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8A0E2" w14:textId="77777777" w:rsidR="00366814" w:rsidRDefault="00366814" w:rsidP="00366814"/>
    <w:p w14:paraId="2E70B6F9" w14:textId="77777777" w:rsidR="00366814" w:rsidRDefault="00366814" w:rsidP="00366814">
      <w:pPr>
        <w:tabs>
          <w:tab w:val="clear" w:pos="794"/>
          <w:tab w:val="clear" w:pos="1191"/>
          <w:tab w:val="clear" w:pos="1588"/>
          <w:tab w:val="clear" w:pos="1985"/>
        </w:tabs>
      </w:pPr>
    </w:p>
    <w:p w14:paraId="35284321" w14:textId="0DF3053D" w:rsidR="00366814" w:rsidRPr="004A6FEB" w:rsidRDefault="00366814" w:rsidP="00366814">
      <w:pPr>
        <w:pStyle w:val="CoverNumber"/>
      </w:pPr>
      <w:bookmarkStart w:id="0" w:name="_Toc201822259"/>
      <w:r w:rsidRPr="00E97A57">
        <w:t xml:space="preserve">Report ITU-R </w:t>
      </w:r>
      <w:r>
        <w:t>SM</w:t>
      </w:r>
      <w:r w:rsidRPr="00E97A57">
        <w:t>.</w:t>
      </w:r>
      <w:r w:rsidR="007D67A7">
        <w:t>2012-7</w:t>
      </w:r>
      <w:bookmarkEnd w:id="0"/>
    </w:p>
    <w:p w14:paraId="64A40634" w14:textId="4402A23D" w:rsidR="00366814" w:rsidRPr="004A6FEB" w:rsidRDefault="00366814" w:rsidP="00366814">
      <w:pPr>
        <w:pStyle w:val="CoverDate"/>
      </w:pPr>
      <w:r w:rsidRPr="004A6FEB">
        <w:t>(</w:t>
      </w:r>
      <w:r w:rsidR="007D67A7">
        <w:t>06</w:t>
      </w:r>
      <w:r w:rsidRPr="004A6FEB">
        <w:t>/</w:t>
      </w:r>
      <w:r w:rsidR="007D67A7">
        <w:t>2025</w:t>
      </w:r>
      <w:r w:rsidRPr="004A6FEB">
        <w:t>)</w:t>
      </w:r>
    </w:p>
    <w:p w14:paraId="038EE218" w14:textId="77777777" w:rsidR="00366814" w:rsidRPr="004A6FEB" w:rsidRDefault="00366814" w:rsidP="00366814">
      <w:pPr>
        <w:pStyle w:val="CoverSeries"/>
      </w:pPr>
      <w:r>
        <w:t>SM</w:t>
      </w:r>
      <w:r w:rsidRPr="00E97A57">
        <w:t xml:space="preserve"> Series: </w:t>
      </w:r>
      <w:r w:rsidRPr="00156B66">
        <w:rPr>
          <w:iCs/>
          <w:lang w:val="en-GB"/>
        </w:rPr>
        <w:t>Spectrum management</w:t>
      </w:r>
    </w:p>
    <w:p w14:paraId="1B846719" w14:textId="75BAC315" w:rsidR="00366814" w:rsidRPr="004A6FEB" w:rsidRDefault="00D25E5C" w:rsidP="00366814">
      <w:pPr>
        <w:pStyle w:val="CoverTitle"/>
      </w:pPr>
      <w:r w:rsidRPr="00D25E5C">
        <w:t>Economic approaches to spectrum management</w:t>
      </w:r>
    </w:p>
    <w:p w14:paraId="4173DC49" w14:textId="77777777" w:rsidR="00366814" w:rsidRPr="005373E0" w:rsidRDefault="00366814" w:rsidP="00366814">
      <w:pPr>
        <w:rPr>
          <w:lang w:val="en-US"/>
        </w:rPr>
      </w:pPr>
    </w:p>
    <w:p w14:paraId="14D6AAD3" w14:textId="77777777" w:rsidR="00366814" w:rsidRPr="005373E0" w:rsidRDefault="00366814" w:rsidP="00366814"/>
    <w:p w14:paraId="0A640D03" w14:textId="77777777" w:rsidR="00366814" w:rsidRPr="005373E0" w:rsidRDefault="00366814" w:rsidP="00366814">
      <w:pPr>
        <w:sectPr w:rsidR="00366814" w:rsidRPr="005373E0" w:rsidSect="00366814">
          <w:headerReference w:type="even" r:id="rId8"/>
          <w:headerReference w:type="default" r:id="rId9"/>
          <w:footerReference w:type="default" r:id="rId10"/>
          <w:headerReference w:type="first" r:id="rId11"/>
          <w:pgSz w:w="11907" w:h="16840" w:code="9"/>
          <w:pgMar w:top="1089" w:right="1089" w:bottom="284" w:left="1089" w:header="737" w:footer="284" w:gutter="0"/>
          <w:pgNumType w:start="1"/>
          <w:cols w:space="720"/>
          <w:docGrid w:linePitch="326"/>
        </w:sectPr>
      </w:pPr>
    </w:p>
    <w:p w14:paraId="3B53F3F2" w14:textId="77777777" w:rsidR="00366814" w:rsidRDefault="00366814" w:rsidP="0036681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1EC26C2C" w14:textId="77777777" w:rsidR="00366814" w:rsidRDefault="00366814" w:rsidP="0036681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3BCA4FC" w14:textId="77777777" w:rsidR="00366814" w:rsidRDefault="00366814" w:rsidP="0036681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7121896" w14:textId="77777777" w:rsidR="00366814" w:rsidRDefault="00366814" w:rsidP="00366814">
      <w:pPr>
        <w:pStyle w:val="Heading1"/>
        <w:spacing w:before="400"/>
        <w:jc w:val="center"/>
        <w:rPr>
          <w:szCs w:val="24"/>
          <w:lang w:val="en-US"/>
        </w:rPr>
      </w:pPr>
    </w:p>
    <w:p w14:paraId="2C45FF72" w14:textId="77777777" w:rsidR="00366814" w:rsidRDefault="00366814" w:rsidP="00366814">
      <w:pPr>
        <w:pStyle w:val="Heading1"/>
        <w:spacing w:before="540"/>
        <w:jc w:val="center"/>
        <w:rPr>
          <w:szCs w:val="24"/>
          <w:lang w:val="en-US"/>
        </w:rPr>
      </w:pPr>
      <w:bookmarkStart w:id="2" w:name="_Toc201822260"/>
      <w:r>
        <w:rPr>
          <w:szCs w:val="24"/>
          <w:lang w:val="en-US"/>
        </w:rPr>
        <w:t>Policy on Intellectual Property Right (IPR)</w:t>
      </w:r>
      <w:bookmarkEnd w:id="2"/>
    </w:p>
    <w:p w14:paraId="146580CC" w14:textId="116D78CF" w:rsidR="00366814" w:rsidRDefault="00366814" w:rsidP="00366814">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2" w:history="1">
        <w:r w:rsidR="00D25898" w:rsidRPr="008F63EF">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0AD76C" w14:textId="77777777" w:rsidR="00366814" w:rsidRDefault="00366814" w:rsidP="00366814">
      <w:pPr>
        <w:jc w:val="center"/>
        <w:rPr>
          <w:sz w:val="22"/>
          <w:lang w:val="en-US"/>
        </w:rPr>
      </w:pPr>
    </w:p>
    <w:p w14:paraId="5BF6FE62" w14:textId="77777777" w:rsidR="00366814" w:rsidRDefault="00366814" w:rsidP="00366814">
      <w:pPr>
        <w:jc w:val="center"/>
        <w:rPr>
          <w:sz w:val="22"/>
          <w:lang w:val="en-US"/>
        </w:rPr>
      </w:pPr>
    </w:p>
    <w:p w14:paraId="2D89DFA0" w14:textId="77777777" w:rsidR="00366814" w:rsidRDefault="00366814" w:rsidP="0036681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366814" w:rsidRPr="003C6718" w14:paraId="72753C9A" w14:textId="77777777" w:rsidTr="002E7F54">
        <w:tc>
          <w:tcPr>
            <w:tcW w:w="9360" w:type="dxa"/>
            <w:gridSpan w:val="2"/>
            <w:tcBorders>
              <w:top w:val="single" w:sz="12" w:space="0" w:color="000080"/>
              <w:left w:val="single" w:sz="12" w:space="0" w:color="000080"/>
              <w:bottom w:val="nil"/>
              <w:right w:val="single" w:sz="12" w:space="0" w:color="000080"/>
            </w:tcBorders>
          </w:tcPr>
          <w:p w14:paraId="1D54D7CA" w14:textId="77777777" w:rsidR="00366814" w:rsidRPr="00C7761D" w:rsidRDefault="00366814" w:rsidP="002E7F54">
            <w:pPr>
              <w:pStyle w:val="ChapNo"/>
              <w:spacing w:before="240"/>
              <w:rPr>
                <w:sz w:val="22"/>
                <w:szCs w:val="22"/>
                <w:lang w:val="en-US"/>
              </w:rPr>
            </w:pPr>
            <w:r w:rsidRPr="00C7761D">
              <w:rPr>
                <w:sz w:val="22"/>
                <w:szCs w:val="22"/>
                <w:lang w:val="en-US"/>
              </w:rPr>
              <w:t xml:space="preserve">Series of ITU-R Reports </w:t>
            </w:r>
          </w:p>
          <w:p w14:paraId="5AE731FA" w14:textId="77777777" w:rsidR="00366814" w:rsidRDefault="00366814" w:rsidP="002E7F5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https://www.itu.int/publ/R-REP/en</w:t>
              </w:r>
            </w:hyperlink>
            <w:r w:rsidRPr="00F103A9">
              <w:rPr>
                <w:b w:val="0"/>
                <w:sz w:val="18"/>
                <w:szCs w:val="18"/>
                <w:lang w:val="en-US"/>
              </w:rPr>
              <w:t>)</w:t>
            </w:r>
          </w:p>
        </w:tc>
      </w:tr>
      <w:tr w:rsidR="00366814" w14:paraId="420E1B84" w14:textId="77777777" w:rsidTr="002E7F54">
        <w:tc>
          <w:tcPr>
            <w:tcW w:w="1140" w:type="dxa"/>
            <w:tcBorders>
              <w:top w:val="nil"/>
              <w:left w:val="single" w:sz="12" w:space="0" w:color="000080"/>
              <w:bottom w:val="nil"/>
              <w:right w:val="nil"/>
            </w:tcBorders>
            <w:vAlign w:val="bottom"/>
          </w:tcPr>
          <w:p w14:paraId="16A2D8A8" w14:textId="77777777" w:rsidR="00366814" w:rsidRDefault="00366814" w:rsidP="002E7F5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005E707D" w14:textId="77777777" w:rsidR="00366814" w:rsidRDefault="00366814" w:rsidP="002E7F5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66814" w14:paraId="2F6BFC14" w14:textId="77777777" w:rsidTr="002E7F54">
        <w:tc>
          <w:tcPr>
            <w:tcW w:w="1140" w:type="dxa"/>
            <w:tcBorders>
              <w:top w:val="nil"/>
              <w:left w:val="single" w:sz="12" w:space="0" w:color="000080"/>
              <w:bottom w:val="nil"/>
              <w:right w:val="nil"/>
            </w:tcBorders>
            <w:shd w:val="clear" w:color="auto" w:fill="FFFFFF" w:themeFill="background1"/>
          </w:tcPr>
          <w:p w14:paraId="324261F5" w14:textId="77777777" w:rsidR="00366814" w:rsidRPr="00BD3887" w:rsidRDefault="00366814" w:rsidP="002E7F54">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37B4D569" w14:textId="77777777" w:rsidR="00366814" w:rsidRPr="00BD3887" w:rsidRDefault="00366814" w:rsidP="002E7F5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366814" w:rsidRPr="003C6718" w14:paraId="5E373C4F" w14:textId="77777777" w:rsidTr="002E7F54">
        <w:tc>
          <w:tcPr>
            <w:tcW w:w="1140" w:type="dxa"/>
            <w:tcBorders>
              <w:top w:val="nil"/>
              <w:left w:val="single" w:sz="12" w:space="0" w:color="000080"/>
              <w:bottom w:val="nil"/>
              <w:right w:val="nil"/>
            </w:tcBorders>
            <w:shd w:val="clear" w:color="auto" w:fill="FFFFFF" w:themeFill="background1"/>
          </w:tcPr>
          <w:p w14:paraId="5CB26A6C" w14:textId="77777777" w:rsidR="00366814" w:rsidRPr="00BD3887" w:rsidRDefault="00366814" w:rsidP="002E7F54">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43A9A54C" w14:textId="77777777" w:rsidR="00366814" w:rsidRPr="00BD3887" w:rsidRDefault="00366814" w:rsidP="002E7F5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366814" w:rsidRPr="00D55B55" w14:paraId="5879F15B" w14:textId="77777777" w:rsidTr="002E7F54">
        <w:tc>
          <w:tcPr>
            <w:tcW w:w="1140" w:type="dxa"/>
            <w:tcBorders>
              <w:top w:val="nil"/>
              <w:left w:val="single" w:sz="12" w:space="0" w:color="000080"/>
              <w:bottom w:val="nil"/>
              <w:right w:val="nil"/>
            </w:tcBorders>
            <w:shd w:val="clear" w:color="auto" w:fill="FFFFFF" w:themeFill="background1"/>
          </w:tcPr>
          <w:p w14:paraId="08118B87" w14:textId="77777777" w:rsidR="00366814" w:rsidRPr="00F06F93" w:rsidRDefault="00366814" w:rsidP="002E7F54">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242271F1" w14:textId="77777777" w:rsidR="00366814" w:rsidRPr="00D606E1" w:rsidRDefault="00366814" w:rsidP="002E7F5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366814" w:rsidRPr="00BD3F5C" w14:paraId="6CB1DE0C" w14:textId="77777777" w:rsidTr="002E7F54">
        <w:tc>
          <w:tcPr>
            <w:tcW w:w="1140" w:type="dxa"/>
            <w:tcBorders>
              <w:top w:val="nil"/>
              <w:left w:val="single" w:sz="12" w:space="0" w:color="000080"/>
              <w:bottom w:val="nil"/>
              <w:right w:val="nil"/>
            </w:tcBorders>
            <w:shd w:val="clear" w:color="auto" w:fill="FFFFFF" w:themeFill="background1"/>
          </w:tcPr>
          <w:p w14:paraId="592D22D9" w14:textId="77777777" w:rsidR="00366814" w:rsidRPr="000C0798" w:rsidRDefault="00366814" w:rsidP="002E7F54">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339EC329" w14:textId="77777777" w:rsidR="00366814" w:rsidRPr="000C0798" w:rsidRDefault="00366814" w:rsidP="002E7F5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366814" w:rsidRPr="00D069F2" w14:paraId="4CAEEEB9" w14:textId="77777777" w:rsidTr="002E7F54">
        <w:tc>
          <w:tcPr>
            <w:tcW w:w="1140" w:type="dxa"/>
            <w:tcBorders>
              <w:top w:val="nil"/>
              <w:left w:val="single" w:sz="12" w:space="0" w:color="000080"/>
              <w:bottom w:val="nil"/>
              <w:right w:val="nil"/>
            </w:tcBorders>
            <w:shd w:val="clear" w:color="auto" w:fill="FFFFFF" w:themeFill="background1"/>
          </w:tcPr>
          <w:p w14:paraId="7EA0709C" w14:textId="77777777" w:rsidR="00366814" w:rsidRPr="006B56A3" w:rsidRDefault="00366814" w:rsidP="002E7F54">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6C0D136B" w14:textId="77777777" w:rsidR="00366814" w:rsidRPr="00D069F2" w:rsidRDefault="00366814" w:rsidP="002E7F5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6B56A3">
              <w:rPr>
                <w:sz w:val="20"/>
                <w:lang w:val="fr-CH"/>
              </w:rPr>
              <w:t>Fixed service</w:t>
            </w:r>
          </w:p>
        </w:tc>
      </w:tr>
      <w:tr w:rsidR="00366814" w:rsidRPr="008D3D8D" w14:paraId="77B88A36" w14:textId="77777777" w:rsidTr="002E7F54">
        <w:tc>
          <w:tcPr>
            <w:tcW w:w="1140" w:type="dxa"/>
            <w:tcBorders>
              <w:top w:val="nil"/>
              <w:left w:val="single" w:sz="12" w:space="0" w:color="000080"/>
              <w:bottom w:val="nil"/>
              <w:right w:val="nil"/>
            </w:tcBorders>
            <w:shd w:val="clear" w:color="auto" w:fill="FFFFFF" w:themeFill="background1"/>
          </w:tcPr>
          <w:p w14:paraId="6E091CF9" w14:textId="77777777" w:rsidR="00366814" w:rsidRPr="008D3D8D" w:rsidRDefault="00366814" w:rsidP="002E7F54">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6EA980A1" w14:textId="77777777" w:rsidR="00366814" w:rsidRPr="008D3D8D" w:rsidRDefault="00366814" w:rsidP="002E7F5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Mobile, radiodetermination, amateur and related satellite services</w:t>
            </w:r>
          </w:p>
        </w:tc>
      </w:tr>
      <w:tr w:rsidR="00366814" w:rsidRPr="002D77AF" w14:paraId="3910F410" w14:textId="77777777" w:rsidTr="002E7F54">
        <w:tc>
          <w:tcPr>
            <w:tcW w:w="1140" w:type="dxa"/>
            <w:tcBorders>
              <w:top w:val="nil"/>
              <w:left w:val="single" w:sz="12" w:space="0" w:color="000080"/>
              <w:bottom w:val="nil"/>
              <w:right w:val="nil"/>
            </w:tcBorders>
            <w:shd w:val="clear" w:color="auto" w:fill="FFFFFF" w:themeFill="background1"/>
          </w:tcPr>
          <w:p w14:paraId="7D9B1ED8" w14:textId="77777777" w:rsidR="00366814" w:rsidRPr="00A314E2" w:rsidRDefault="00366814" w:rsidP="002E7F54">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42FB2D98" w14:textId="77777777" w:rsidR="00366814" w:rsidRPr="00A314E2" w:rsidRDefault="00366814" w:rsidP="002E7F54">
            <w:pPr>
              <w:spacing w:before="30" w:after="30"/>
              <w:jc w:val="left"/>
              <w:rPr>
                <w:sz w:val="20"/>
                <w:lang w:val="en-US"/>
              </w:rPr>
            </w:pPr>
            <w:r w:rsidRPr="00A314E2">
              <w:rPr>
                <w:sz w:val="20"/>
                <w:lang w:val="en-US"/>
              </w:rPr>
              <w:t>Radiowave propagation</w:t>
            </w:r>
          </w:p>
        </w:tc>
      </w:tr>
      <w:tr w:rsidR="00366814" w:rsidRPr="003B4EE8" w14:paraId="7D61C5AB" w14:textId="77777777" w:rsidTr="002E7F54">
        <w:tc>
          <w:tcPr>
            <w:tcW w:w="1140" w:type="dxa"/>
            <w:tcBorders>
              <w:top w:val="nil"/>
              <w:left w:val="single" w:sz="12" w:space="0" w:color="000080"/>
              <w:bottom w:val="nil"/>
              <w:right w:val="nil"/>
            </w:tcBorders>
            <w:shd w:val="clear" w:color="auto" w:fill="FFFFFF" w:themeFill="background1"/>
          </w:tcPr>
          <w:p w14:paraId="5A6FED77" w14:textId="77777777" w:rsidR="00366814" w:rsidRPr="00422C27" w:rsidRDefault="00366814" w:rsidP="002E7F54">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12F5DE67" w14:textId="77777777" w:rsidR="00366814" w:rsidRPr="00422C27" w:rsidRDefault="00366814" w:rsidP="002E7F5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Radio astronomy</w:t>
            </w:r>
          </w:p>
        </w:tc>
      </w:tr>
      <w:tr w:rsidR="00366814" w:rsidRPr="003B4EE8" w14:paraId="70F97739" w14:textId="77777777" w:rsidTr="002E7F54">
        <w:tc>
          <w:tcPr>
            <w:tcW w:w="1140" w:type="dxa"/>
            <w:tcBorders>
              <w:top w:val="nil"/>
              <w:left w:val="single" w:sz="12" w:space="0" w:color="000080"/>
              <w:bottom w:val="nil"/>
              <w:right w:val="nil"/>
            </w:tcBorders>
            <w:shd w:val="clear" w:color="auto" w:fill="FFFFFF" w:themeFill="background1"/>
          </w:tcPr>
          <w:p w14:paraId="2AE9306D" w14:textId="77777777" w:rsidR="00366814" w:rsidRPr="00422C27" w:rsidRDefault="00366814" w:rsidP="002E7F54">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4EF39073" w14:textId="77777777" w:rsidR="00366814" w:rsidRPr="00422C27" w:rsidRDefault="00366814" w:rsidP="002E7F54">
            <w:pPr>
              <w:spacing w:before="30" w:after="30"/>
              <w:jc w:val="left"/>
              <w:rPr>
                <w:b/>
                <w:bCs/>
                <w:color w:val="000080"/>
                <w:sz w:val="20"/>
                <w:lang w:val="en-US"/>
              </w:rPr>
            </w:pPr>
            <w:r w:rsidRPr="006C5C63">
              <w:rPr>
                <w:sz w:val="20"/>
                <w:lang w:val="en-US"/>
              </w:rPr>
              <w:t>Remote sensing systems</w:t>
            </w:r>
          </w:p>
        </w:tc>
      </w:tr>
      <w:tr w:rsidR="00366814" w14:paraId="12BA2736" w14:textId="77777777" w:rsidTr="002E7F54">
        <w:tc>
          <w:tcPr>
            <w:tcW w:w="1140" w:type="dxa"/>
            <w:tcBorders>
              <w:top w:val="nil"/>
              <w:left w:val="single" w:sz="12" w:space="0" w:color="000080"/>
              <w:bottom w:val="nil"/>
              <w:right w:val="nil"/>
            </w:tcBorders>
            <w:shd w:val="clear" w:color="auto" w:fill="FFFFFF" w:themeFill="background1"/>
          </w:tcPr>
          <w:p w14:paraId="2D5FB1AE" w14:textId="77777777" w:rsidR="00366814" w:rsidRPr="00506B70" w:rsidRDefault="00366814" w:rsidP="002E7F54">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4B30304F" w14:textId="77777777" w:rsidR="00366814" w:rsidRDefault="00366814" w:rsidP="002E7F54">
            <w:pPr>
              <w:spacing w:before="30" w:after="30"/>
              <w:jc w:val="left"/>
              <w:rPr>
                <w:sz w:val="20"/>
                <w:lang w:val="en-US"/>
              </w:rPr>
            </w:pPr>
            <w:r w:rsidRPr="00506B70">
              <w:rPr>
                <w:sz w:val="20"/>
                <w:lang w:val="en-US"/>
              </w:rPr>
              <w:t>Fixed-satellite service</w:t>
            </w:r>
          </w:p>
        </w:tc>
      </w:tr>
      <w:tr w:rsidR="00366814" w14:paraId="0C819058" w14:textId="77777777" w:rsidTr="002E7F54">
        <w:tc>
          <w:tcPr>
            <w:tcW w:w="1140" w:type="dxa"/>
            <w:tcBorders>
              <w:top w:val="nil"/>
              <w:left w:val="single" w:sz="12" w:space="0" w:color="000080"/>
              <w:bottom w:val="nil"/>
              <w:right w:val="nil"/>
            </w:tcBorders>
            <w:shd w:val="clear" w:color="auto" w:fill="FFFFFF" w:themeFill="background1"/>
          </w:tcPr>
          <w:p w14:paraId="0A7EF44C" w14:textId="77777777" w:rsidR="00366814" w:rsidRPr="00506B70" w:rsidRDefault="00366814" w:rsidP="002E7F54">
            <w:pPr>
              <w:spacing w:before="30" w:after="30"/>
              <w:ind w:left="57"/>
              <w:jc w:val="left"/>
              <w:rPr>
                <w:b/>
                <w:bCs/>
                <w:color w:val="000080"/>
                <w:sz w:val="20"/>
                <w:lang w:val="en-US"/>
              </w:rPr>
            </w:pPr>
            <w:r w:rsidRPr="006736DB">
              <w:rPr>
                <w:b/>
                <w:bCs/>
                <w:sz w:val="20"/>
                <w:lang w:val="en-US"/>
              </w:rPr>
              <w:t>SA</w:t>
            </w:r>
          </w:p>
        </w:tc>
        <w:tc>
          <w:tcPr>
            <w:tcW w:w="8220" w:type="dxa"/>
            <w:tcBorders>
              <w:top w:val="nil"/>
              <w:left w:val="nil"/>
              <w:bottom w:val="nil"/>
              <w:right w:val="single" w:sz="12" w:space="0" w:color="000080"/>
            </w:tcBorders>
            <w:shd w:val="clear" w:color="auto" w:fill="FFFFFF" w:themeFill="background1"/>
          </w:tcPr>
          <w:p w14:paraId="436ECB7F" w14:textId="77777777" w:rsidR="00366814" w:rsidRDefault="00366814" w:rsidP="002E7F54">
            <w:pPr>
              <w:spacing w:before="30" w:after="30"/>
              <w:jc w:val="left"/>
              <w:rPr>
                <w:sz w:val="20"/>
                <w:lang w:val="en-US"/>
              </w:rPr>
            </w:pPr>
            <w:r w:rsidRPr="006736DB">
              <w:rPr>
                <w:sz w:val="20"/>
                <w:lang w:val="en-US"/>
              </w:rPr>
              <w:t>Space applications and meteorology</w:t>
            </w:r>
          </w:p>
        </w:tc>
      </w:tr>
      <w:tr w:rsidR="00366814" w:rsidRPr="003C6718" w14:paraId="64592378" w14:textId="77777777" w:rsidTr="002E7F54">
        <w:tc>
          <w:tcPr>
            <w:tcW w:w="1140" w:type="dxa"/>
            <w:tcBorders>
              <w:top w:val="nil"/>
              <w:left w:val="single" w:sz="12" w:space="0" w:color="000080"/>
              <w:bottom w:val="nil"/>
              <w:right w:val="nil"/>
            </w:tcBorders>
            <w:shd w:val="clear" w:color="auto" w:fill="FFFFFF" w:themeFill="background1"/>
          </w:tcPr>
          <w:p w14:paraId="618B4533" w14:textId="77777777" w:rsidR="00366814" w:rsidRDefault="00366814" w:rsidP="002E7F54">
            <w:pPr>
              <w:spacing w:before="30" w:after="30"/>
              <w:ind w:left="57"/>
              <w:jc w:val="left"/>
              <w:rPr>
                <w:b/>
                <w:bCs/>
                <w:sz w:val="20"/>
                <w:lang w:val="en-US"/>
              </w:rPr>
            </w:pPr>
            <w:r w:rsidRPr="006736DB">
              <w:rPr>
                <w:b/>
                <w:bCs/>
                <w:color w:val="000080"/>
                <w:sz w:val="20"/>
                <w:lang w:val="en-US"/>
              </w:rPr>
              <w:t>SF</w:t>
            </w:r>
          </w:p>
        </w:tc>
        <w:tc>
          <w:tcPr>
            <w:tcW w:w="8220" w:type="dxa"/>
            <w:tcBorders>
              <w:top w:val="nil"/>
              <w:left w:val="nil"/>
              <w:bottom w:val="nil"/>
              <w:right w:val="single" w:sz="12" w:space="0" w:color="000080"/>
            </w:tcBorders>
            <w:shd w:val="clear" w:color="auto" w:fill="FFFFFF" w:themeFill="background1"/>
          </w:tcPr>
          <w:p w14:paraId="36EAAF70" w14:textId="77777777" w:rsidR="00366814" w:rsidRDefault="00366814" w:rsidP="002E7F54">
            <w:pPr>
              <w:spacing w:before="30" w:after="30"/>
              <w:jc w:val="left"/>
              <w:rPr>
                <w:sz w:val="20"/>
                <w:lang w:val="en-US"/>
              </w:rPr>
            </w:pPr>
            <w:r w:rsidRPr="00E67DC9">
              <w:rPr>
                <w:sz w:val="20"/>
                <w:lang w:val="en-US"/>
              </w:rPr>
              <w:t>Frequency sharing and coordination between fixed-satellite and fixed service systems</w:t>
            </w:r>
          </w:p>
        </w:tc>
      </w:tr>
      <w:tr w:rsidR="00366814" w:rsidRPr="003C6718" w14:paraId="552A3E5F" w14:textId="77777777" w:rsidTr="002E7F54">
        <w:tc>
          <w:tcPr>
            <w:tcW w:w="1140" w:type="dxa"/>
            <w:tcBorders>
              <w:top w:val="nil"/>
              <w:left w:val="single" w:sz="12" w:space="0" w:color="000080"/>
              <w:bottom w:val="nil"/>
              <w:right w:val="nil"/>
            </w:tcBorders>
            <w:shd w:val="clear" w:color="auto" w:fill="D9D9D9" w:themeFill="background1" w:themeFillShade="D9"/>
          </w:tcPr>
          <w:p w14:paraId="4AB28CE2" w14:textId="77777777" w:rsidR="00366814" w:rsidRPr="00E67DC9" w:rsidRDefault="00366814" w:rsidP="002E7F54">
            <w:pPr>
              <w:spacing w:before="30" w:after="30"/>
              <w:ind w:left="57"/>
              <w:jc w:val="left"/>
              <w:rPr>
                <w:b/>
                <w:bCs/>
                <w:color w:val="000080"/>
                <w:sz w:val="20"/>
                <w:lang w:val="en-US"/>
              </w:rPr>
            </w:pPr>
            <w:r w:rsidRPr="00E67DC9">
              <w:rPr>
                <w:b/>
                <w:bCs/>
                <w:color w:val="000080"/>
                <w:sz w:val="20"/>
                <w:lang w:val="en-US"/>
              </w:rPr>
              <w:t>SM</w:t>
            </w:r>
          </w:p>
        </w:tc>
        <w:tc>
          <w:tcPr>
            <w:tcW w:w="8220" w:type="dxa"/>
            <w:tcBorders>
              <w:top w:val="nil"/>
              <w:left w:val="nil"/>
              <w:bottom w:val="nil"/>
              <w:right w:val="single" w:sz="12" w:space="0" w:color="000080"/>
            </w:tcBorders>
            <w:shd w:val="clear" w:color="auto" w:fill="D9D9D9" w:themeFill="background1" w:themeFillShade="D9"/>
          </w:tcPr>
          <w:p w14:paraId="3ED38F38" w14:textId="77777777" w:rsidR="00366814" w:rsidRDefault="00366814" w:rsidP="002E7F5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67DC9">
              <w:rPr>
                <w:b/>
                <w:bCs/>
                <w:color w:val="000080"/>
                <w:sz w:val="20"/>
                <w:lang w:val="en-US"/>
              </w:rPr>
              <w:t>Spectrum management</w:t>
            </w:r>
          </w:p>
        </w:tc>
      </w:tr>
      <w:tr w:rsidR="00366814" w14:paraId="78A10D34" w14:textId="77777777" w:rsidTr="002E7F54">
        <w:tc>
          <w:tcPr>
            <w:tcW w:w="1140" w:type="dxa"/>
            <w:tcBorders>
              <w:top w:val="nil"/>
              <w:left w:val="single" w:sz="12" w:space="0" w:color="000080"/>
              <w:bottom w:val="single" w:sz="12" w:space="0" w:color="000080"/>
              <w:right w:val="nil"/>
            </w:tcBorders>
          </w:tcPr>
          <w:p w14:paraId="50A792FC" w14:textId="77777777" w:rsidR="00366814" w:rsidRDefault="00366814" w:rsidP="002E7F54">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47BEAA88" w14:textId="77777777" w:rsidR="00366814" w:rsidRDefault="00366814" w:rsidP="002E7F54">
            <w:pPr>
              <w:spacing w:before="30" w:after="180"/>
              <w:jc w:val="left"/>
              <w:rPr>
                <w:sz w:val="20"/>
                <w:lang w:val="en-US"/>
              </w:rPr>
            </w:pPr>
            <w:r w:rsidRPr="000F1EC4">
              <w:rPr>
                <w:sz w:val="20"/>
                <w:lang w:val="en-US"/>
              </w:rPr>
              <w:t>Time signals and frequency standards emissions</w:t>
            </w:r>
          </w:p>
        </w:tc>
      </w:tr>
    </w:tbl>
    <w:p w14:paraId="55847003" w14:textId="77777777" w:rsidR="00366814" w:rsidRDefault="00366814" w:rsidP="00366814">
      <w:pPr>
        <w:spacing w:before="30" w:after="30"/>
        <w:jc w:val="center"/>
        <w:rPr>
          <w:sz w:val="20"/>
          <w:lang w:val="en-US"/>
        </w:rPr>
      </w:pPr>
    </w:p>
    <w:p w14:paraId="54CA0120" w14:textId="77777777" w:rsidR="00366814" w:rsidRDefault="00366814" w:rsidP="0036681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366814" w:rsidRPr="003C6718" w14:paraId="0321039F" w14:textId="77777777" w:rsidTr="002E7F54">
        <w:tc>
          <w:tcPr>
            <w:tcW w:w="9360" w:type="dxa"/>
            <w:tcBorders>
              <w:top w:val="single" w:sz="12" w:space="0" w:color="000080"/>
              <w:left w:val="single" w:sz="12" w:space="0" w:color="000080"/>
              <w:bottom w:val="single" w:sz="12" w:space="0" w:color="000080"/>
              <w:right w:val="single" w:sz="12" w:space="0" w:color="000080"/>
            </w:tcBorders>
          </w:tcPr>
          <w:p w14:paraId="649A00E3" w14:textId="77777777" w:rsidR="00366814" w:rsidRPr="00517190" w:rsidRDefault="00366814" w:rsidP="002E7F54">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2494A79B" w14:textId="77777777" w:rsidR="00366814" w:rsidRDefault="00366814" w:rsidP="00366814">
      <w:pPr>
        <w:spacing w:before="0"/>
        <w:jc w:val="center"/>
        <w:rPr>
          <w:sz w:val="22"/>
          <w:lang w:val="en-US"/>
        </w:rPr>
      </w:pPr>
    </w:p>
    <w:p w14:paraId="75EEABAA" w14:textId="77777777" w:rsidR="00366814" w:rsidRDefault="00366814" w:rsidP="00366814">
      <w:pPr>
        <w:spacing w:before="0"/>
        <w:jc w:val="right"/>
        <w:rPr>
          <w:i/>
          <w:iCs/>
          <w:sz w:val="20"/>
          <w:lang w:val="en-US"/>
        </w:rPr>
      </w:pPr>
      <w:r>
        <w:rPr>
          <w:i/>
          <w:iCs/>
          <w:sz w:val="20"/>
          <w:lang w:val="en-US"/>
        </w:rPr>
        <w:t>Electronic Publication</w:t>
      </w:r>
    </w:p>
    <w:p w14:paraId="603C9F1A" w14:textId="77777777" w:rsidR="00366814" w:rsidRDefault="00366814" w:rsidP="0036681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2025</w:t>
      </w:r>
    </w:p>
    <w:p w14:paraId="10B09C83" w14:textId="77777777" w:rsidR="00366814" w:rsidRDefault="00366814" w:rsidP="00366814">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2025</w:t>
      </w:r>
    </w:p>
    <w:p w14:paraId="62710EED" w14:textId="77777777" w:rsidR="00366814" w:rsidRPr="00470E28" w:rsidRDefault="00366814" w:rsidP="00366814">
      <w:pPr>
        <w:rPr>
          <w:sz w:val="18"/>
          <w:szCs w:val="18"/>
          <w:lang w:val="en-US"/>
        </w:rPr>
      </w:pPr>
      <w:r>
        <w:rPr>
          <w:sz w:val="18"/>
          <w:szCs w:val="18"/>
          <w:lang w:val="en-US"/>
        </w:rPr>
        <w:t>All rights reserved. No part of this publication may be reproduced, by any means whatsoever, without written permission of ITU.</w:t>
      </w:r>
    </w:p>
    <w:p w14:paraId="265682ED" w14:textId="77777777" w:rsidR="00366814" w:rsidRDefault="00366814" w:rsidP="00366814">
      <w:pPr>
        <w:spacing w:before="160"/>
        <w:rPr>
          <w:i/>
          <w:sz w:val="20"/>
          <w:lang w:val="en-US"/>
        </w:rPr>
        <w:sectPr w:rsidR="00366814" w:rsidSect="00366814">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5FE975FE" w14:textId="3DA2A5A1" w:rsidR="00366814" w:rsidRPr="00B874C6" w:rsidRDefault="00366814" w:rsidP="00366814">
      <w:pPr>
        <w:pStyle w:val="RecNo"/>
        <w:spacing w:before="0"/>
        <w:rPr>
          <w:lang w:val="en-US"/>
        </w:rPr>
      </w:pPr>
      <w:bookmarkStart w:id="4" w:name="irecnoe"/>
      <w:bookmarkEnd w:id="4"/>
      <w:r w:rsidRPr="00BF487A">
        <w:t>RE</w:t>
      </w:r>
      <w:r>
        <w:t>PORT</w:t>
      </w:r>
      <w:r w:rsidRPr="00BF487A">
        <w:t xml:space="preserve">  </w:t>
      </w:r>
      <w:r w:rsidRPr="00BF487A">
        <w:rPr>
          <w:rStyle w:val="href"/>
          <w:lang w:val="en-US"/>
        </w:rPr>
        <w:t xml:space="preserve">ITU-R  </w:t>
      </w:r>
      <w:r>
        <w:rPr>
          <w:rStyle w:val="href"/>
          <w:lang w:val="en-US"/>
        </w:rPr>
        <w:t>SM</w:t>
      </w:r>
      <w:r w:rsidRPr="00BF487A">
        <w:rPr>
          <w:rStyle w:val="href"/>
          <w:lang w:val="en-US"/>
        </w:rPr>
        <w:t>.</w:t>
      </w:r>
      <w:r w:rsidR="00D25E5C">
        <w:rPr>
          <w:rStyle w:val="href"/>
          <w:lang w:val="en-US"/>
        </w:rPr>
        <w:t>2012-7</w:t>
      </w:r>
    </w:p>
    <w:p w14:paraId="4A1DAA1E" w14:textId="088E6F0E" w:rsidR="00051A02" w:rsidRPr="005B2348" w:rsidRDefault="00051A02" w:rsidP="00D25898">
      <w:pPr>
        <w:pStyle w:val="Reptitle"/>
      </w:pPr>
      <w:r w:rsidRPr="00A01420">
        <w:rPr>
          <w:lang w:val="en-US" w:eastAsia="zh-CN"/>
        </w:rPr>
        <w:t xml:space="preserve">Economic </w:t>
      </w:r>
      <w:r w:rsidR="00A73CE6" w:rsidRPr="00D25898">
        <w:t>approaches</w:t>
      </w:r>
      <w:r w:rsidRPr="00A01420">
        <w:rPr>
          <w:lang w:val="en-US" w:eastAsia="zh-CN"/>
        </w:rPr>
        <w:t xml:space="preserve"> of spectrum management</w:t>
      </w:r>
    </w:p>
    <w:p w14:paraId="6F14169D" w14:textId="3498373B" w:rsidR="00051A02" w:rsidRPr="005B2348" w:rsidRDefault="00051A02" w:rsidP="00051A02">
      <w:pPr>
        <w:pStyle w:val="Repdate"/>
        <w:rPr>
          <w:lang w:val="en-US"/>
        </w:rPr>
      </w:pPr>
      <w:r>
        <w:rPr>
          <w:lang w:val="en-US"/>
        </w:rPr>
        <w:t>(</w:t>
      </w:r>
      <w:r w:rsidRPr="00BD6197">
        <w:rPr>
          <w:lang w:val="en-US"/>
        </w:rPr>
        <w:t>1997-2000-2004-2010-2014</w:t>
      </w:r>
      <w:r>
        <w:rPr>
          <w:lang w:val="en-US"/>
        </w:rPr>
        <w:t>-2016-2018</w:t>
      </w:r>
      <w:r w:rsidR="00D25898">
        <w:rPr>
          <w:lang w:val="en-US"/>
        </w:rPr>
        <w:t>-2025</w:t>
      </w:r>
      <w:r>
        <w:rPr>
          <w:lang w:val="en-US"/>
        </w:rPr>
        <w:t>)</w:t>
      </w:r>
    </w:p>
    <w:p w14:paraId="70B47D71" w14:textId="77777777" w:rsidR="00051A02" w:rsidRPr="00A73CE6" w:rsidRDefault="00051A02" w:rsidP="00A73CE6">
      <w:pPr>
        <w:pStyle w:val="Repref"/>
      </w:pPr>
      <w:r w:rsidRPr="00A73CE6">
        <w:t xml:space="preserve">Question ITU-R </w:t>
      </w:r>
      <w:r w:rsidRPr="00A73CE6">
        <w:rPr>
          <w:rStyle w:val="InternetLink"/>
          <w:color w:val="auto"/>
          <w:u w:val="none"/>
        </w:rPr>
        <w:t>240/1</w:t>
      </w:r>
    </w:p>
    <w:p w14:paraId="573D545B" w14:textId="77777777" w:rsidR="00051A02" w:rsidRPr="00BD6197" w:rsidRDefault="00051A02" w:rsidP="00051A02">
      <w:pPr>
        <w:rPr>
          <w:lang w:val="en-US"/>
        </w:rPr>
      </w:pPr>
    </w:p>
    <w:p w14:paraId="6F0AE1AC" w14:textId="77777777" w:rsidR="00CF04BC" w:rsidRDefault="00CF04BC" w:rsidP="00CF04BC">
      <w:pPr>
        <w:pStyle w:val="Title3"/>
        <w:spacing w:before="480"/>
      </w:pPr>
      <w:r w:rsidRPr="00B93493">
        <w:t>TABLE OF CONTENTS</w:t>
      </w:r>
    </w:p>
    <w:p w14:paraId="0F8069B1" w14:textId="77777777" w:rsidR="00CF04BC" w:rsidRPr="00B93493" w:rsidRDefault="00CF04BC" w:rsidP="00CF04BC">
      <w:pPr>
        <w:pStyle w:val="toc0"/>
        <w:tabs>
          <w:tab w:val="right" w:pos="9498"/>
        </w:tabs>
      </w:pPr>
      <w:r w:rsidRPr="00B93493">
        <w:tab/>
        <w:t>Page</w:t>
      </w:r>
    </w:p>
    <w:p w14:paraId="494E8E7B" w14:textId="5D80CD85" w:rsidR="000478B9" w:rsidRDefault="000478B9" w:rsidP="000478B9">
      <w:pPr>
        <w:pStyle w:val="TOC1"/>
        <w:spacing w:before="0"/>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"1-2" \h \z \u </w:instrText>
      </w:r>
      <w:r>
        <w:fldChar w:fldCharType="separate"/>
      </w:r>
    </w:p>
    <w:p w14:paraId="184D1C64" w14:textId="742A3713" w:rsidR="000478B9" w:rsidRDefault="000478B9" w:rsidP="000478B9">
      <w:pPr>
        <w:pStyle w:val="TOC1"/>
        <w:spacing w:before="0"/>
        <w:rPr>
          <w:rFonts w:asciiTheme="minorHAnsi" w:eastAsiaTheme="minorEastAsia" w:hAnsiTheme="minorHAnsi" w:cstheme="minorBidi"/>
          <w:noProof/>
          <w:kern w:val="2"/>
          <w:szCs w:val="24"/>
          <w:lang w:val="en-GB" w:eastAsia="en-GB"/>
          <w14:ligatures w14:val="standardContextual"/>
        </w:rPr>
      </w:pPr>
      <w:hyperlink w:anchor="_Toc201822261" w:history="1">
        <w:r w:rsidRPr="003379C7">
          <w:rPr>
            <w:rStyle w:val="Hyperlink"/>
            <w:noProof/>
          </w:rPr>
          <w:t>CHAPTER 1</w:t>
        </w:r>
        <w:r>
          <w:rPr>
            <w:rStyle w:val="Hyperlink"/>
            <w:noProof/>
          </w:rPr>
          <w:tab/>
        </w:r>
        <w:r>
          <w:rPr>
            <w:noProof/>
            <w:webHidden/>
          </w:rPr>
          <w:tab/>
        </w:r>
        <w:r>
          <w:rPr>
            <w:noProof/>
            <w:webHidden/>
          </w:rPr>
          <w:fldChar w:fldCharType="begin"/>
        </w:r>
        <w:r>
          <w:rPr>
            <w:noProof/>
            <w:webHidden/>
          </w:rPr>
          <w:instrText xml:space="preserve"> PAGEREF _Toc201822261 \h </w:instrText>
        </w:r>
        <w:r>
          <w:rPr>
            <w:noProof/>
            <w:webHidden/>
          </w:rPr>
        </w:r>
        <w:r>
          <w:rPr>
            <w:noProof/>
            <w:webHidden/>
          </w:rPr>
          <w:fldChar w:fldCharType="separate"/>
        </w:r>
        <w:r w:rsidR="006E0151">
          <w:rPr>
            <w:noProof/>
            <w:webHidden/>
          </w:rPr>
          <w:t>4</w:t>
        </w:r>
        <w:r>
          <w:rPr>
            <w:noProof/>
            <w:webHidden/>
          </w:rPr>
          <w:fldChar w:fldCharType="end"/>
        </w:r>
      </w:hyperlink>
    </w:p>
    <w:p w14:paraId="6146E7A4" w14:textId="3E0D880D"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62" w:history="1">
        <w:r w:rsidRPr="003379C7">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Need for spectrum economic approach</w:t>
        </w:r>
        <w:r>
          <w:rPr>
            <w:rStyle w:val="Hyperlink"/>
            <w:noProof/>
          </w:rPr>
          <w:tab/>
        </w:r>
        <w:r>
          <w:rPr>
            <w:noProof/>
            <w:webHidden/>
          </w:rPr>
          <w:tab/>
        </w:r>
        <w:r>
          <w:rPr>
            <w:noProof/>
            <w:webHidden/>
          </w:rPr>
          <w:fldChar w:fldCharType="begin"/>
        </w:r>
        <w:r>
          <w:rPr>
            <w:noProof/>
            <w:webHidden/>
          </w:rPr>
          <w:instrText xml:space="preserve"> PAGEREF _Toc201822262 \h </w:instrText>
        </w:r>
        <w:r>
          <w:rPr>
            <w:noProof/>
            <w:webHidden/>
          </w:rPr>
        </w:r>
        <w:r>
          <w:rPr>
            <w:noProof/>
            <w:webHidden/>
          </w:rPr>
          <w:fldChar w:fldCharType="separate"/>
        </w:r>
        <w:r w:rsidR="006E0151">
          <w:rPr>
            <w:noProof/>
            <w:webHidden/>
          </w:rPr>
          <w:t>4</w:t>
        </w:r>
        <w:r>
          <w:rPr>
            <w:noProof/>
            <w:webHidden/>
          </w:rPr>
          <w:fldChar w:fldCharType="end"/>
        </w:r>
      </w:hyperlink>
    </w:p>
    <w:p w14:paraId="78316B12" w14:textId="4CD2D7FA"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63" w:history="1">
        <w:r w:rsidRPr="003379C7">
          <w:rPr>
            <w:rStyle w:val="Hyperlink"/>
            <w:noProof/>
          </w:rPr>
          <w:t>1.2</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Requirements for national spectrum management</w:t>
        </w:r>
        <w:r>
          <w:rPr>
            <w:rStyle w:val="Hyperlink"/>
            <w:noProof/>
          </w:rPr>
          <w:tab/>
        </w:r>
        <w:r>
          <w:rPr>
            <w:noProof/>
            <w:webHidden/>
          </w:rPr>
          <w:tab/>
        </w:r>
        <w:r>
          <w:rPr>
            <w:noProof/>
            <w:webHidden/>
          </w:rPr>
          <w:fldChar w:fldCharType="begin"/>
        </w:r>
        <w:r>
          <w:rPr>
            <w:noProof/>
            <w:webHidden/>
          </w:rPr>
          <w:instrText xml:space="preserve"> PAGEREF _Toc201822263 \h </w:instrText>
        </w:r>
        <w:r>
          <w:rPr>
            <w:noProof/>
            <w:webHidden/>
          </w:rPr>
        </w:r>
        <w:r>
          <w:rPr>
            <w:noProof/>
            <w:webHidden/>
          </w:rPr>
          <w:fldChar w:fldCharType="separate"/>
        </w:r>
        <w:r w:rsidR="006E0151">
          <w:rPr>
            <w:noProof/>
            <w:webHidden/>
          </w:rPr>
          <w:t>4</w:t>
        </w:r>
        <w:r>
          <w:rPr>
            <w:noProof/>
            <w:webHidden/>
          </w:rPr>
          <w:fldChar w:fldCharType="end"/>
        </w:r>
      </w:hyperlink>
    </w:p>
    <w:p w14:paraId="1AE59258" w14:textId="5A39658B"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64" w:history="1">
        <w:r w:rsidRPr="003379C7">
          <w:rPr>
            <w:rStyle w:val="Hyperlink"/>
            <w:noProof/>
          </w:rPr>
          <w:t>1.3</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Goals and objectives</w:t>
        </w:r>
        <w:r>
          <w:rPr>
            <w:noProof/>
            <w:webHidden/>
          </w:rPr>
          <w:tab/>
        </w:r>
        <w:r>
          <w:rPr>
            <w:noProof/>
            <w:webHidden/>
          </w:rPr>
          <w:tab/>
        </w:r>
        <w:r>
          <w:rPr>
            <w:noProof/>
            <w:webHidden/>
          </w:rPr>
          <w:fldChar w:fldCharType="begin"/>
        </w:r>
        <w:r>
          <w:rPr>
            <w:noProof/>
            <w:webHidden/>
          </w:rPr>
          <w:instrText xml:space="preserve"> PAGEREF _Toc201822264 \h </w:instrText>
        </w:r>
        <w:r>
          <w:rPr>
            <w:noProof/>
            <w:webHidden/>
          </w:rPr>
        </w:r>
        <w:r>
          <w:rPr>
            <w:noProof/>
            <w:webHidden/>
          </w:rPr>
          <w:fldChar w:fldCharType="separate"/>
        </w:r>
        <w:r w:rsidR="006E0151">
          <w:rPr>
            <w:noProof/>
            <w:webHidden/>
          </w:rPr>
          <w:t>4</w:t>
        </w:r>
        <w:r>
          <w:rPr>
            <w:noProof/>
            <w:webHidden/>
          </w:rPr>
          <w:fldChar w:fldCharType="end"/>
        </w:r>
      </w:hyperlink>
    </w:p>
    <w:p w14:paraId="742BF6BC" w14:textId="0B744DC2"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65" w:history="1">
        <w:r w:rsidRPr="003379C7">
          <w:rPr>
            <w:rStyle w:val="Hyperlink"/>
            <w:noProof/>
          </w:rPr>
          <w:t>1.4</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Structure and coordination</w:t>
        </w:r>
        <w:r>
          <w:rPr>
            <w:noProof/>
            <w:webHidden/>
          </w:rPr>
          <w:tab/>
        </w:r>
        <w:r>
          <w:rPr>
            <w:noProof/>
            <w:webHidden/>
          </w:rPr>
          <w:tab/>
        </w:r>
        <w:r>
          <w:rPr>
            <w:noProof/>
            <w:webHidden/>
          </w:rPr>
          <w:fldChar w:fldCharType="begin"/>
        </w:r>
        <w:r>
          <w:rPr>
            <w:noProof/>
            <w:webHidden/>
          </w:rPr>
          <w:instrText xml:space="preserve"> PAGEREF _Toc201822265 \h </w:instrText>
        </w:r>
        <w:r>
          <w:rPr>
            <w:noProof/>
            <w:webHidden/>
          </w:rPr>
        </w:r>
        <w:r>
          <w:rPr>
            <w:noProof/>
            <w:webHidden/>
          </w:rPr>
          <w:fldChar w:fldCharType="separate"/>
        </w:r>
        <w:r w:rsidR="006E0151">
          <w:rPr>
            <w:noProof/>
            <w:webHidden/>
          </w:rPr>
          <w:t>5</w:t>
        </w:r>
        <w:r>
          <w:rPr>
            <w:noProof/>
            <w:webHidden/>
          </w:rPr>
          <w:fldChar w:fldCharType="end"/>
        </w:r>
      </w:hyperlink>
    </w:p>
    <w:p w14:paraId="55A5700C" w14:textId="7A976A61"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66" w:history="1">
        <w:r w:rsidRPr="003379C7">
          <w:rPr>
            <w:rStyle w:val="Hyperlink"/>
            <w:noProof/>
          </w:rPr>
          <w:t>1.5</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Functional responsibilities</w:t>
        </w:r>
        <w:r>
          <w:rPr>
            <w:noProof/>
            <w:webHidden/>
          </w:rPr>
          <w:tab/>
        </w:r>
        <w:r>
          <w:rPr>
            <w:noProof/>
            <w:webHidden/>
          </w:rPr>
          <w:tab/>
        </w:r>
        <w:r>
          <w:rPr>
            <w:noProof/>
            <w:webHidden/>
          </w:rPr>
          <w:fldChar w:fldCharType="begin"/>
        </w:r>
        <w:r>
          <w:rPr>
            <w:noProof/>
            <w:webHidden/>
          </w:rPr>
          <w:instrText xml:space="preserve"> PAGEREF _Toc201822266 \h </w:instrText>
        </w:r>
        <w:r>
          <w:rPr>
            <w:noProof/>
            <w:webHidden/>
          </w:rPr>
        </w:r>
        <w:r>
          <w:rPr>
            <w:noProof/>
            <w:webHidden/>
          </w:rPr>
          <w:fldChar w:fldCharType="separate"/>
        </w:r>
        <w:r w:rsidR="006E0151">
          <w:rPr>
            <w:noProof/>
            <w:webHidden/>
          </w:rPr>
          <w:t>5</w:t>
        </w:r>
        <w:r>
          <w:rPr>
            <w:noProof/>
            <w:webHidden/>
          </w:rPr>
          <w:fldChar w:fldCharType="end"/>
        </w:r>
      </w:hyperlink>
    </w:p>
    <w:p w14:paraId="46C86FF9" w14:textId="28E99333"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67" w:history="1">
        <w:r w:rsidRPr="003379C7">
          <w:rPr>
            <w:rStyle w:val="Hyperlink"/>
            <w:noProof/>
          </w:rPr>
          <w:t>1.6</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Performance of spectrum management functions</w:t>
        </w:r>
        <w:r>
          <w:rPr>
            <w:rStyle w:val="Hyperlink"/>
            <w:noProof/>
          </w:rPr>
          <w:tab/>
        </w:r>
        <w:r>
          <w:rPr>
            <w:noProof/>
            <w:webHidden/>
          </w:rPr>
          <w:tab/>
        </w:r>
        <w:r>
          <w:rPr>
            <w:noProof/>
            <w:webHidden/>
          </w:rPr>
          <w:fldChar w:fldCharType="begin"/>
        </w:r>
        <w:r>
          <w:rPr>
            <w:noProof/>
            <w:webHidden/>
          </w:rPr>
          <w:instrText xml:space="preserve"> PAGEREF _Toc201822267 \h </w:instrText>
        </w:r>
        <w:r>
          <w:rPr>
            <w:noProof/>
            <w:webHidden/>
          </w:rPr>
        </w:r>
        <w:r>
          <w:rPr>
            <w:noProof/>
            <w:webHidden/>
          </w:rPr>
          <w:fldChar w:fldCharType="separate"/>
        </w:r>
        <w:r w:rsidR="006E0151">
          <w:rPr>
            <w:noProof/>
            <w:webHidden/>
          </w:rPr>
          <w:t>7</w:t>
        </w:r>
        <w:r>
          <w:rPr>
            <w:noProof/>
            <w:webHidden/>
          </w:rPr>
          <w:fldChar w:fldCharType="end"/>
        </w:r>
      </w:hyperlink>
    </w:p>
    <w:p w14:paraId="127C87B7" w14:textId="360D2849" w:rsidR="000478B9" w:rsidRDefault="000478B9">
      <w:pPr>
        <w:pStyle w:val="TOC1"/>
        <w:rPr>
          <w:rFonts w:asciiTheme="minorHAnsi" w:eastAsiaTheme="minorEastAsia" w:hAnsiTheme="minorHAnsi" w:cstheme="minorBidi"/>
          <w:noProof/>
          <w:kern w:val="2"/>
          <w:szCs w:val="24"/>
          <w:lang w:val="en-GB" w:eastAsia="en-GB"/>
          <w14:ligatures w14:val="standardContextual"/>
        </w:rPr>
      </w:pPr>
      <w:hyperlink w:anchor="_Toc201822268" w:history="1">
        <w:r w:rsidRPr="003379C7">
          <w:rPr>
            <w:rStyle w:val="Hyperlink"/>
            <w:noProof/>
          </w:rPr>
          <w:t>CHAPTER 2</w:t>
        </w:r>
        <w:r>
          <w:rPr>
            <w:rStyle w:val="Hyperlink"/>
            <w:noProof/>
          </w:rPr>
          <w:tab/>
        </w:r>
        <w:r>
          <w:rPr>
            <w:noProof/>
            <w:webHidden/>
          </w:rPr>
          <w:tab/>
        </w:r>
        <w:r>
          <w:rPr>
            <w:noProof/>
            <w:webHidden/>
          </w:rPr>
          <w:fldChar w:fldCharType="begin"/>
        </w:r>
        <w:r>
          <w:rPr>
            <w:noProof/>
            <w:webHidden/>
          </w:rPr>
          <w:instrText xml:space="preserve"> PAGEREF _Toc201822268 \h </w:instrText>
        </w:r>
        <w:r>
          <w:rPr>
            <w:noProof/>
            <w:webHidden/>
          </w:rPr>
        </w:r>
        <w:r>
          <w:rPr>
            <w:noProof/>
            <w:webHidden/>
          </w:rPr>
          <w:fldChar w:fldCharType="separate"/>
        </w:r>
        <w:r w:rsidR="006E0151">
          <w:rPr>
            <w:noProof/>
            <w:webHidden/>
          </w:rPr>
          <w:t>7</w:t>
        </w:r>
        <w:r>
          <w:rPr>
            <w:noProof/>
            <w:webHidden/>
          </w:rPr>
          <w:fldChar w:fldCharType="end"/>
        </w:r>
      </w:hyperlink>
    </w:p>
    <w:p w14:paraId="4E6F2C4E" w14:textId="76362C05"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69" w:history="1">
        <w:r w:rsidRPr="003379C7">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Background</w:t>
        </w:r>
        <w:r>
          <w:rPr>
            <w:rStyle w:val="Hyperlink"/>
            <w:noProof/>
          </w:rPr>
          <w:tab/>
        </w:r>
        <w:r>
          <w:rPr>
            <w:noProof/>
            <w:webHidden/>
          </w:rPr>
          <w:tab/>
        </w:r>
        <w:r>
          <w:rPr>
            <w:noProof/>
            <w:webHidden/>
          </w:rPr>
          <w:fldChar w:fldCharType="begin"/>
        </w:r>
        <w:r>
          <w:rPr>
            <w:noProof/>
            <w:webHidden/>
          </w:rPr>
          <w:instrText xml:space="preserve"> PAGEREF _Toc201822269 \h </w:instrText>
        </w:r>
        <w:r>
          <w:rPr>
            <w:noProof/>
            <w:webHidden/>
          </w:rPr>
        </w:r>
        <w:r>
          <w:rPr>
            <w:noProof/>
            <w:webHidden/>
          </w:rPr>
          <w:fldChar w:fldCharType="separate"/>
        </w:r>
        <w:r w:rsidR="006E0151">
          <w:rPr>
            <w:noProof/>
            <w:webHidden/>
          </w:rPr>
          <w:t>7</w:t>
        </w:r>
        <w:r>
          <w:rPr>
            <w:noProof/>
            <w:webHidden/>
          </w:rPr>
          <w:fldChar w:fldCharType="end"/>
        </w:r>
      </w:hyperlink>
    </w:p>
    <w:p w14:paraId="1A03885A" w14:textId="18AB6A5E"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0" w:history="1">
        <w:r w:rsidRPr="003379C7">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Basic principles for financing national spectrum management</w:t>
        </w:r>
        <w:r>
          <w:rPr>
            <w:rStyle w:val="Hyperlink"/>
            <w:noProof/>
          </w:rPr>
          <w:tab/>
        </w:r>
        <w:r>
          <w:rPr>
            <w:noProof/>
            <w:webHidden/>
          </w:rPr>
          <w:tab/>
        </w:r>
        <w:r>
          <w:rPr>
            <w:noProof/>
            <w:webHidden/>
          </w:rPr>
          <w:fldChar w:fldCharType="begin"/>
        </w:r>
        <w:r>
          <w:rPr>
            <w:noProof/>
            <w:webHidden/>
          </w:rPr>
          <w:instrText xml:space="preserve"> PAGEREF _Toc201822270 \h </w:instrText>
        </w:r>
        <w:r>
          <w:rPr>
            <w:noProof/>
            <w:webHidden/>
          </w:rPr>
        </w:r>
        <w:r>
          <w:rPr>
            <w:noProof/>
            <w:webHidden/>
          </w:rPr>
          <w:fldChar w:fldCharType="separate"/>
        </w:r>
        <w:r w:rsidR="006E0151">
          <w:rPr>
            <w:noProof/>
            <w:webHidden/>
          </w:rPr>
          <w:t>7</w:t>
        </w:r>
        <w:r>
          <w:rPr>
            <w:noProof/>
            <w:webHidden/>
          </w:rPr>
          <w:fldChar w:fldCharType="end"/>
        </w:r>
      </w:hyperlink>
    </w:p>
    <w:p w14:paraId="14929A46" w14:textId="71121956"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1" w:history="1">
        <w:r w:rsidRPr="003379C7">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Economic approaches used to promote efficient national spectrum management</w:t>
        </w:r>
        <w:r>
          <w:rPr>
            <w:noProof/>
            <w:webHidden/>
          </w:rPr>
          <w:tab/>
        </w:r>
        <w:r>
          <w:rPr>
            <w:noProof/>
            <w:webHidden/>
          </w:rPr>
          <w:tab/>
        </w:r>
        <w:r>
          <w:rPr>
            <w:noProof/>
            <w:webHidden/>
          </w:rPr>
          <w:fldChar w:fldCharType="begin"/>
        </w:r>
        <w:r>
          <w:rPr>
            <w:noProof/>
            <w:webHidden/>
          </w:rPr>
          <w:instrText xml:space="preserve"> PAGEREF _Toc201822271 \h </w:instrText>
        </w:r>
        <w:r>
          <w:rPr>
            <w:noProof/>
            <w:webHidden/>
          </w:rPr>
        </w:r>
        <w:r>
          <w:rPr>
            <w:noProof/>
            <w:webHidden/>
          </w:rPr>
          <w:fldChar w:fldCharType="separate"/>
        </w:r>
        <w:r w:rsidR="006E0151">
          <w:rPr>
            <w:noProof/>
            <w:webHidden/>
          </w:rPr>
          <w:t>10</w:t>
        </w:r>
        <w:r>
          <w:rPr>
            <w:noProof/>
            <w:webHidden/>
          </w:rPr>
          <w:fldChar w:fldCharType="end"/>
        </w:r>
      </w:hyperlink>
    </w:p>
    <w:p w14:paraId="57351E09" w14:textId="12EE182E"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2" w:history="1">
        <w:r w:rsidRPr="003379C7">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Factors that could affect various economic approaches</w:t>
        </w:r>
        <w:r>
          <w:rPr>
            <w:noProof/>
            <w:webHidden/>
          </w:rPr>
          <w:tab/>
        </w:r>
        <w:r>
          <w:rPr>
            <w:noProof/>
            <w:webHidden/>
          </w:rPr>
          <w:tab/>
        </w:r>
        <w:r>
          <w:rPr>
            <w:noProof/>
            <w:webHidden/>
          </w:rPr>
          <w:fldChar w:fldCharType="begin"/>
        </w:r>
        <w:r>
          <w:rPr>
            <w:noProof/>
            <w:webHidden/>
          </w:rPr>
          <w:instrText xml:space="preserve"> PAGEREF _Toc201822272 \h </w:instrText>
        </w:r>
        <w:r>
          <w:rPr>
            <w:noProof/>
            <w:webHidden/>
          </w:rPr>
        </w:r>
        <w:r>
          <w:rPr>
            <w:noProof/>
            <w:webHidden/>
          </w:rPr>
          <w:fldChar w:fldCharType="separate"/>
        </w:r>
        <w:r w:rsidR="006E0151">
          <w:rPr>
            <w:noProof/>
            <w:webHidden/>
          </w:rPr>
          <w:t>20</w:t>
        </w:r>
        <w:r>
          <w:rPr>
            <w:noProof/>
            <w:webHidden/>
          </w:rPr>
          <w:fldChar w:fldCharType="end"/>
        </w:r>
      </w:hyperlink>
    </w:p>
    <w:p w14:paraId="2BCE185C" w14:textId="677C26D2"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3" w:history="1">
        <w:r w:rsidRPr="003379C7">
          <w:rPr>
            <w:rStyle w:val="Hyperlink"/>
            <w:noProof/>
          </w:rPr>
          <w:t>2.5</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Managing a change in spectrum management funding</w:t>
        </w:r>
        <w:r>
          <w:rPr>
            <w:noProof/>
            <w:webHidden/>
          </w:rPr>
          <w:tab/>
        </w:r>
        <w:r>
          <w:rPr>
            <w:noProof/>
            <w:webHidden/>
          </w:rPr>
          <w:tab/>
        </w:r>
        <w:r>
          <w:rPr>
            <w:noProof/>
            <w:webHidden/>
          </w:rPr>
          <w:fldChar w:fldCharType="begin"/>
        </w:r>
        <w:r>
          <w:rPr>
            <w:noProof/>
            <w:webHidden/>
          </w:rPr>
          <w:instrText xml:space="preserve"> PAGEREF _Toc201822273 \h </w:instrText>
        </w:r>
        <w:r>
          <w:rPr>
            <w:noProof/>
            <w:webHidden/>
          </w:rPr>
        </w:r>
        <w:r>
          <w:rPr>
            <w:noProof/>
            <w:webHidden/>
          </w:rPr>
          <w:fldChar w:fldCharType="separate"/>
        </w:r>
        <w:r w:rsidR="006E0151">
          <w:rPr>
            <w:noProof/>
            <w:webHidden/>
          </w:rPr>
          <w:t>22</w:t>
        </w:r>
        <w:r>
          <w:rPr>
            <w:noProof/>
            <w:webHidden/>
          </w:rPr>
          <w:fldChar w:fldCharType="end"/>
        </w:r>
      </w:hyperlink>
    </w:p>
    <w:p w14:paraId="1C895A24" w14:textId="55600FCD"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4" w:history="1">
        <w:r w:rsidRPr="003379C7">
          <w:rPr>
            <w:rStyle w:val="Hyperlink"/>
            <w:noProof/>
          </w:rPr>
          <w:t>2.6</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Summary</w:t>
        </w:r>
        <w:r>
          <w:rPr>
            <w:noProof/>
            <w:webHidden/>
          </w:rPr>
          <w:tab/>
        </w:r>
        <w:r>
          <w:rPr>
            <w:noProof/>
            <w:webHidden/>
          </w:rPr>
          <w:tab/>
        </w:r>
        <w:r>
          <w:rPr>
            <w:noProof/>
            <w:webHidden/>
          </w:rPr>
          <w:fldChar w:fldCharType="begin"/>
        </w:r>
        <w:r>
          <w:rPr>
            <w:noProof/>
            <w:webHidden/>
          </w:rPr>
          <w:instrText xml:space="preserve"> PAGEREF _Toc201822274 \h </w:instrText>
        </w:r>
        <w:r>
          <w:rPr>
            <w:noProof/>
            <w:webHidden/>
          </w:rPr>
        </w:r>
        <w:r>
          <w:rPr>
            <w:noProof/>
            <w:webHidden/>
          </w:rPr>
          <w:fldChar w:fldCharType="separate"/>
        </w:r>
        <w:r w:rsidR="006E0151">
          <w:rPr>
            <w:noProof/>
            <w:webHidden/>
          </w:rPr>
          <w:t>23</w:t>
        </w:r>
        <w:r>
          <w:rPr>
            <w:noProof/>
            <w:webHidden/>
          </w:rPr>
          <w:fldChar w:fldCharType="end"/>
        </w:r>
      </w:hyperlink>
    </w:p>
    <w:p w14:paraId="5C53CCF3" w14:textId="1596458F" w:rsidR="000478B9" w:rsidRDefault="000478B9">
      <w:pPr>
        <w:pStyle w:val="TOC1"/>
        <w:rPr>
          <w:rFonts w:asciiTheme="minorHAnsi" w:eastAsiaTheme="minorEastAsia" w:hAnsiTheme="minorHAnsi" w:cstheme="minorBidi"/>
          <w:noProof/>
          <w:kern w:val="2"/>
          <w:szCs w:val="24"/>
          <w:lang w:val="en-GB" w:eastAsia="en-GB"/>
          <w14:ligatures w14:val="standardContextual"/>
        </w:rPr>
      </w:pPr>
      <w:hyperlink w:anchor="_Toc201822275" w:history="1">
        <w:r w:rsidRPr="003379C7">
          <w:rPr>
            <w:rStyle w:val="Hyperlink"/>
            <w:noProof/>
          </w:rPr>
          <w:t>CHAPTER 3</w:t>
        </w:r>
        <w:r>
          <w:rPr>
            <w:noProof/>
            <w:webHidden/>
          </w:rPr>
          <w:tab/>
        </w:r>
        <w:r>
          <w:rPr>
            <w:noProof/>
            <w:webHidden/>
          </w:rPr>
          <w:tab/>
        </w:r>
        <w:r>
          <w:rPr>
            <w:noProof/>
            <w:webHidden/>
          </w:rPr>
          <w:fldChar w:fldCharType="begin"/>
        </w:r>
        <w:r>
          <w:rPr>
            <w:noProof/>
            <w:webHidden/>
          </w:rPr>
          <w:instrText xml:space="preserve"> PAGEREF _Toc201822275 \h </w:instrText>
        </w:r>
        <w:r>
          <w:rPr>
            <w:noProof/>
            <w:webHidden/>
          </w:rPr>
        </w:r>
        <w:r>
          <w:rPr>
            <w:noProof/>
            <w:webHidden/>
          </w:rPr>
          <w:fldChar w:fldCharType="separate"/>
        </w:r>
        <w:r w:rsidR="006E0151">
          <w:rPr>
            <w:noProof/>
            <w:webHidden/>
          </w:rPr>
          <w:t>24</w:t>
        </w:r>
        <w:r>
          <w:rPr>
            <w:noProof/>
            <w:webHidden/>
          </w:rPr>
          <w:fldChar w:fldCharType="end"/>
        </w:r>
      </w:hyperlink>
    </w:p>
    <w:p w14:paraId="15EA771F" w14:textId="6550BD09"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6" w:history="1">
        <w:r w:rsidRPr="003379C7">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Background</w:t>
        </w:r>
        <w:r>
          <w:rPr>
            <w:noProof/>
            <w:webHidden/>
          </w:rPr>
          <w:tab/>
        </w:r>
        <w:r>
          <w:rPr>
            <w:noProof/>
            <w:webHidden/>
          </w:rPr>
          <w:tab/>
        </w:r>
        <w:r>
          <w:rPr>
            <w:noProof/>
            <w:webHidden/>
          </w:rPr>
          <w:fldChar w:fldCharType="begin"/>
        </w:r>
        <w:r>
          <w:rPr>
            <w:noProof/>
            <w:webHidden/>
          </w:rPr>
          <w:instrText xml:space="preserve"> PAGEREF _Toc201822276 \h </w:instrText>
        </w:r>
        <w:r>
          <w:rPr>
            <w:noProof/>
            <w:webHidden/>
          </w:rPr>
        </w:r>
        <w:r>
          <w:rPr>
            <w:noProof/>
            <w:webHidden/>
          </w:rPr>
          <w:fldChar w:fldCharType="separate"/>
        </w:r>
        <w:r w:rsidR="006E0151">
          <w:rPr>
            <w:noProof/>
            <w:webHidden/>
          </w:rPr>
          <w:t>24</w:t>
        </w:r>
        <w:r>
          <w:rPr>
            <w:noProof/>
            <w:webHidden/>
          </w:rPr>
          <w:fldChar w:fldCharType="end"/>
        </w:r>
      </w:hyperlink>
    </w:p>
    <w:p w14:paraId="5EE8A8DE" w14:textId="3A1CDD47"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7" w:history="1">
        <w:r w:rsidRPr="003379C7">
          <w:rPr>
            <w:rStyle w:val="Hyperlink"/>
            <w:noProof/>
          </w:rPr>
          <w:t>3.2</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Methods of assessing the spectrum’s economic benefits</w:t>
        </w:r>
        <w:r>
          <w:rPr>
            <w:noProof/>
            <w:webHidden/>
          </w:rPr>
          <w:tab/>
        </w:r>
        <w:r>
          <w:rPr>
            <w:noProof/>
            <w:webHidden/>
          </w:rPr>
          <w:tab/>
        </w:r>
        <w:r>
          <w:rPr>
            <w:noProof/>
            <w:webHidden/>
          </w:rPr>
          <w:fldChar w:fldCharType="begin"/>
        </w:r>
        <w:r>
          <w:rPr>
            <w:noProof/>
            <w:webHidden/>
          </w:rPr>
          <w:instrText xml:space="preserve"> PAGEREF _Toc201822277 \h </w:instrText>
        </w:r>
        <w:r>
          <w:rPr>
            <w:noProof/>
            <w:webHidden/>
          </w:rPr>
        </w:r>
        <w:r>
          <w:rPr>
            <w:noProof/>
            <w:webHidden/>
          </w:rPr>
          <w:fldChar w:fldCharType="separate"/>
        </w:r>
        <w:r w:rsidR="006E0151">
          <w:rPr>
            <w:noProof/>
            <w:webHidden/>
          </w:rPr>
          <w:t>24</w:t>
        </w:r>
        <w:r>
          <w:rPr>
            <w:noProof/>
            <w:webHidden/>
          </w:rPr>
          <w:fldChar w:fldCharType="end"/>
        </w:r>
      </w:hyperlink>
    </w:p>
    <w:p w14:paraId="1EA326DD" w14:textId="41F9E76E"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8" w:history="1">
        <w:r w:rsidRPr="003379C7">
          <w:rPr>
            <w:rStyle w:val="Hyperlink"/>
            <w:noProof/>
          </w:rPr>
          <w:t>3.3</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Potential uses for economic assessment</w:t>
        </w:r>
        <w:r>
          <w:rPr>
            <w:noProof/>
            <w:webHidden/>
          </w:rPr>
          <w:tab/>
        </w:r>
        <w:r>
          <w:rPr>
            <w:noProof/>
            <w:webHidden/>
          </w:rPr>
          <w:tab/>
        </w:r>
        <w:r>
          <w:rPr>
            <w:noProof/>
            <w:webHidden/>
          </w:rPr>
          <w:fldChar w:fldCharType="begin"/>
        </w:r>
        <w:r>
          <w:rPr>
            <w:noProof/>
            <w:webHidden/>
          </w:rPr>
          <w:instrText xml:space="preserve"> PAGEREF _Toc201822278 \h </w:instrText>
        </w:r>
        <w:r>
          <w:rPr>
            <w:noProof/>
            <w:webHidden/>
          </w:rPr>
        </w:r>
        <w:r>
          <w:rPr>
            <w:noProof/>
            <w:webHidden/>
          </w:rPr>
          <w:fldChar w:fldCharType="separate"/>
        </w:r>
        <w:r w:rsidR="006E0151">
          <w:rPr>
            <w:noProof/>
            <w:webHidden/>
          </w:rPr>
          <w:t>29</w:t>
        </w:r>
        <w:r>
          <w:rPr>
            <w:noProof/>
            <w:webHidden/>
          </w:rPr>
          <w:fldChar w:fldCharType="end"/>
        </w:r>
      </w:hyperlink>
    </w:p>
    <w:p w14:paraId="7416BA6F" w14:textId="73B489BA"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79" w:history="1">
        <w:r w:rsidRPr="003379C7">
          <w:rPr>
            <w:rStyle w:val="Hyperlink"/>
            <w:noProof/>
          </w:rPr>
          <w:t>3.4</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Factors affecting benefits</w:t>
        </w:r>
        <w:r>
          <w:rPr>
            <w:noProof/>
            <w:webHidden/>
          </w:rPr>
          <w:tab/>
        </w:r>
        <w:r>
          <w:rPr>
            <w:noProof/>
            <w:webHidden/>
          </w:rPr>
          <w:tab/>
        </w:r>
        <w:r>
          <w:rPr>
            <w:noProof/>
            <w:webHidden/>
          </w:rPr>
          <w:fldChar w:fldCharType="begin"/>
        </w:r>
        <w:r>
          <w:rPr>
            <w:noProof/>
            <w:webHidden/>
          </w:rPr>
          <w:instrText xml:space="preserve"> PAGEREF _Toc201822279 \h </w:instrText>
        </w:r>
        <w:r>
          <w:rPr>
            <w:noProof/>
            <w:webHidden/>
          </w:rPr>
        </w:r>
        <w:r>
          <w:rPr>
            <w:noProof/>
            <w:webHidden/>
          </w:rPr>
          <w:fldChar w:fldCharType="separate"/>
        </w:r>
        <w:r w:rsidR="006E0151">
          <w:rPr>
            <w:noProof/>
            <w:webHidden/>
          </w:rPr>
          <w:t>31</w:t>
        </w:r>
        <w:r>
          <w:rPr>
            <w:noProof/>
            <w:webHidden/>
          </w:rPr>
          <w:fldChar w:fldCharType="end"/>
        </w:r>
      </w:hyperlink>
    </w:p>
    <w:p w14:paraId="26FB1F79" w14:textId="63DF67A4"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0" w:history="1">
        <w:r w:rsidRPr="003379C7">
          <w:rPr>
            <w:rStyle w:val="Hyperlink"/>
            <w:noProof/>
          </w:rPr>
          <w:t>3.5</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Summary</w:t>
        </w:r>
        <w:r>
          <w:rPr>
            <w:noProof/>
            <w:webHidden/>
          </w:rPr>
          <w:tab/>
        </w:r>
        <w:r>
          <w:rPr>
            <w:noProof/>
            <w:webHidden/>
          </w:rPr>
          <w:tab/>
        </w:r>
        <w:r>
          <w:rPr>
            <w:noProof/>
            <w:webHidden/>
          </w:rPr>
          <w:fldChar w:fldCharType="begin"/>
        </w:r>
        <w:r>
          <w:rPr>
            <w:noProof/>
            <w:webHidden/>
          </w:rPr>
          <w:instrText xml:space="preserve"> PAGEREF _Toc201822280 \h </w:instrText>
        </w:r>
        <w:r>
          <w:rPr>
            <w:noProof/>
            <w:webHidden/>
          </w:rPr>
        </w:r>
        <w:r>
          <w:rPr>
            <w:noProof/>
            <w:webHidden/>
          </w:rPr>
          <w:fldChar w:fldCharType="separate"/>
        </w:r>
        <w:r w:rsidR="006E0151">
          <w:rPr>
            <w:noProof/>
            <w:webHidden/>
          </w:rPr>
          <w:t>38</w:t>
        </w:r>
        <w:r>
          <w:rPr>
            <w:noProof/>
            <w:webHidden/>
          </w:rPr>
          <w:fldChar w:fldCharType="end"/>
        </w:r>
      </w:hyperlink>
    </w:p>
    <w:p w14:paraId="0AF33535" w14:textId="3C7822F4" w:rsidR="000478B9" w:rsidRDefault="000478B9">
      <w:pPr>
        <w:pStyle w:val="TOC1"/>
        <w:rPr>
          <w:rFonts w:asciiTheme="minorHAnsi" w:eastAsiaTheme="minorEastAsia" w:hAnsiTheme="minorHAnsi" w:cstheme="minorBidi"/>
          <w:noProof/>
          <w:kern w:val="2"/>
          <w:szCs w:val="24"/>
          <w:lang w:val="en-GB" w:eastAsia="en-GB"/>
          <w14:ligatures w14:val="standardContextual"/>
        </w:rPr>
      </w:pPr>
      <w:hyperlink w:anchor="_Toc201822281" w:history="1">
        <w:r w:rsidRPr="003379C7">
          <w:rPr>
            <w:rStyle w:val="Hyperlink"/>
            <w:noProof/>
          </w:rPr>
          <w:t>CHAPTER 4</w:t>
        </w:r>
        <w:r>
          <w:rPr>
            <w:noProof/>
            <w:webHidden/>
          </w:rPr>
          <w:tab/>
        </w:r>
        <w:r>
          <w:rPr>
            <w:noProof/>
            <w:webHidden/>
          </w:rPr>
          <w:tab/>
        </w:r>
        <w:r>
          <w:rPr>
            <w:noProof/>
            <w:webHidden/>
          </w:rPr>
          <w:fldChar w:fldCharType="begin"/>
        </w:r>
        <w:r>
          <w:rPr>
            <w:noProof/>
            <w:webHidden/>
          </w:rPr>
          <w:instrText xml:space="preserve"> PAGEREF _Toc201822281 \h </w:instrText>
        </w:r>
        <w:r>
          <w:rPr>
            <w:noProof/>
            <w:webHidden/>
          </w:rPr>
        </w:r>
        <w:r>
          <w:rPr>
            <w:noProof/>
            <w:webHidden/>
          </w:rPr>
          <w:fldChar w:fldCharType="separate"/>
        </w:r>
        <w:r w:rsidR="006E0151">
          <w:rPr>
            <w:noProof/>
            <w:webHidden/>
          </w:rPr>
          <w:t>38</w:t>
        </w:r>
        <w:r>
          <w:rPr>
            <w:noProof/>
            <w:webHidden/>
          </w:rPr>
          <w:fldChar w:fldCharType="end"/>
        </w:r>
      </w:hyperlink>
    </w:p>
    <w:p w14:paraId="2F4CFA56" w14:textId="581C584F"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2" w:history="1">
        <w:r w:rsidRPr="003379C7">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Formula development</w:t>
        </w:r>
        <w:r>
          <w:rPr>
            <w:noProof/>
            <w:webHidden/>
          </w:rPr>
          <w:tab/>
        </w:r>
        <w:r>
          <w:rPr>
            <w:noProof/>
            <w:webHidden/>
          </w:rPr>
          <w:tab/>
        </w:r>
        <w:r>
          <w:rPr>
            <w:noProof/>
            <w:webHidden/>
          </w:rPr>
          <w:fldChar w:fldCharType="begin"/>
        </w:r>
        <w:r>
          <w:rPr>
            <w:noProof/>
            <w:webHidden/>
          </w:rPr>
          <w:instrText xml:space="preserve"> PAGEREF _Toc201822282 \h </w:instrText>
        </w:r>
        <w:r>
          <w:rPr>
            <w:noProof/>
            <w:webHidden/>
          </w:rPr>
        </w:r>
        <w:r>
          <w:rPr>
            <w:noProof/>
            <w:webHidden/>
          </w:rPr>
          <w:fldChar w:fldCharType="separate"/>
        </w:r>
        <w:r w:rsidR="006E0151">
          <w:rPr>
            <w:noProof/>
            <w:webHidden/>
          </w:rPr>
          <w:t>38</w:t>
        </w:r>
        <w:r>
          <w:rPr>
            <w:noProof/>
            <w:webHidden/>
          </w:rPr>
          <w:fldChar w:fldCharType="end"/>
        </w:r>
      </w:hyperlink>
    </w:p>
    <w:p w14:paraId="372C850B" w14:textId="5F9811A2"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3" w:history="1">
        <w:r w:rsidRPr="003379C7">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Guidelines for the establishment of administrative fees (or administrative charges)</w:t>
        </w:r>
        <w:r>
          <w:rPr>
            <w:noProof/>
            <w:webHidden/>
          </w:rPr>
          <w:tab/>
        </w:r>
        <w:r>
          <w:rPr>
            <w:noProof/>
            <w:webHidden/>
          </w:rPr>
          <w:tab/>
        </w:r>
        <w:r>
          <w:rPr>
            <w:noProof/>
            <w:webHidden/>
          </w:rPr>
          <w:fldChar w:fldCharType="begin"/>
        </w:r>
        <w:r>
          <w:rPr>
            <w:noProof/>
            <w:webHidden/>
          </w:rPr>
          <w:instrText xml:space="preserve"> PAGEREF _Toc201822283 \h </w:instrText>
        </w:r>
        <w:r>
          <w:rPr>
            <w:noProof/>
            <w:webHidden/>
          </w:rPr>
        </w:r>
        <w:r>
          <w:rPr>
            <w:noProof/>
            <w:webHidden/>
          </w:rPr>
          <w:fldChar w:fldCharType="separate"/>
        </w:r>
        <w:r w:rsidR="006E0151">
          <w:rPr>
            <w:noProof/>
            <w:webHidden/>
          </w:rPr>
          <w:t>38</w:t>
        </w:r>
        <w:r>
          <w:rPr>
            <w:noProof/>
            <w:webHidden/>
          </w:rPr>
          <w:fldChar w:fldCharType="end"/>
        </w:r>
      </w:hyperlink>
    </w:p>
    <w:p w14:paraId="41F8BBA1" w14:textId="7D3686E2"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4" w:history="1">
        <w:r w:rsidRPr="003379C7">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Guidelines for the establishment of spectrum fees</w:t>
        </w:r>
        <w:r>
          <w:rPr>
            <w:rStyle w:val="Hyperlink"/>
            <w:noProof/>
          </w:rPr>
          <w:tab/>
        </w:r>
        <w:r>
          <w:rPr>
            <w:noProof/>
            <w:webHidden/>
          </w:rPr>
          <w:tab/>
        </w:r>
        <w:r>
          <w:rPr>
            <w:noProof/>
            <w:webHidden/>
          </w:rPr>
          <w:fldChar w:fldCharType="begin"/>
        </w:r>
        <w:r>
          <w:rPr>
            <w:noProof/>
            <w:webHidden/>
          </w:rPr>
          <w:instrText xml:space="preserve"> PAGEREF _Toc201822284 \h </w:instrText>
        </w:r>
        <w:r>
          <w:rPr>
            <w:noProof/>
            <w:webHidden/>
          </w:rPr>
        </w:r>
        <w:r>
          <w:rPr>
            <w:noProof/>
            <w:webHidden/>
          </w:rPr>
          <w:fldChar w:fldCharType="separate"/>
        </w:r>
        <w:r w:rsidR="006E0151">
          <w:rPr>
            <w:noProof/>
            <w:webHidden/>
          </w:rPr>
          <w:t>40</w:t>
        </w:r>
        <w:r>
          <w:rPr>
            <w:noProof/>
            <w:webHidden/>
          </w:rPr>
          <w:fldChar w:fldCharType="end"/>
        </w:r>
      </w:hyperlink>
    </w:p>
    <w:p w14:paraId="7E42F803" w14:textId="789177F2"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5" w:history="1">
        <w:r w:rsidRPr="003379C7">
          <w:rPr>
            <w:rStyle w:val="Hyperlink"/>
            <w:noProof/>
          </w:rPr>
          <w:t>4.4</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Examples of formulas for fee calculation</w:t>
        </w:r>
        <w:r>
          <w:rPr>
            <w:noProof/>
            <w:webHidden/>
          </w:rPr>
          <w:tab/>
        </w:r>
        <w:r>
          <w:rPr>
            <w:noProof/>
            <w:webHidden/>
          </w:rPr>
          <w:tab/>
        </w:r>
        <w:r>
          <w:rPr>
            <w:noProof/>
            <w:webHidden/>
          </w:rPr>
          <w:fldChar w:fldCharType="begin"/>
        </w:r>
        <w:r>
          <w:rPr>
            <w:noProof/>
            <w:webHidden/>
          </w:rPr>
          <w:instrText xml:space="preserve"> PAGEREF _Toc201822285 \h </w:instrText>
        </w:r>
        <w:r>
          <w:rPr>
            <w:noProof/>
            <w:webHidden/>
          </w:rPr>
        </w:r>
        <w:r>
          <w:rPr>
            <w:noProof/>
            <w:webHidden/>
          </w:rPr>
          <w:fldChar w:fldCharType="separate"/>
        </w:r>
        <w:r w:rsidR="006E0151">
          <w:rPr>
            <w:noProof/>
            <w:webHidden/>
          </w:rPr>
          <w:t>41</w:t>
        </w:r>
        <w:r>
          <w:rPr>
            <w:noProof/>
            <w:webHidden/>
          </w:rPr>
          <w:fldChar w:fldCharType="end"/>
        </w:r>
      </w:hyperlink>
    </w:p>
    <w:p w14:paraId="6A3173D6" w14:textId="73289B57"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6" w:history="1">
        <w:r w:rsidRPr="003379C7">
          <w:rPr>
            <w:rStyle w:val="Hyperlink"/>
            <w:noProof/>
          </w:rPr>
          <w:t>4.5</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Spectrum fees for frequencies used in the provision or marketing of services intended for a consumer market</w:t>
        </w:r>
        <w:r w:rsidR="006E0151">
          <w:rPr>
            <w:rStyle w:val="Hyperlink"/>
            <w:noProof/>
          </w:rPr>
          <w:tab/>
        </w:r>
        <w:r>
          <w:rPr>
            <w:noProof/>
            <w:webHidden/>
          </w:rPr>
          <w:tab/>
        </w:r>
        <w:r>
          <w:rPr>
            <w:noProof/>
            <w:webHidden/>
          </w:rPr>
          <w:fldChar w:fldCharType="begin"/>
        </w:r>
        <w:r>
          <w:rPr>
            <w:noProof/>
            <w:webHidden/>
          </w:rPr>
          <w:instrText xml:space="preserve"> PAGEREF _Toc201822286 \h </w:instrText>
        </w:r>
        <w:r>
          <w:rPr>
            <w:noProof/>
            <w:webHidden/>
          </w:rPr>
        </w:r>
        <w:r>
          <w:rPr>
            <w:noProof/>
            <w:webHidden/>
          </w:rPr>
          <w:fldChar w:fldCharType="separate"/>
        </w:r>
        <w:r w:rsidR="006E0151">
          <w:rPr>
            <w:noProof/>
            <w:webHidden/>
          </w:rPr>
          <w:t>42</w:t>
        </w:r>
        <w:r>
          <w:rPr>
            <w:noProof/>
            <w:webHidden/>
          </w:rPr>
          <w:fldChar w:fldCharType="end"/>
        </w:r>
      </w:hyperlink>
    </w:p>
    <w:p w14:paraId="0635D68D" w14:textId="528466F3"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7" w:history="1">
        <w:r w:rsidRPr="003379C7">
          <w:rPr>
            <w:rStyle w:val="Hyperlink"/>
            <w:noProof/>
          </w:rPr>
          <w:t>4.6</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An analytical model for calculating license fees on the basis of specified incentives that are designed to promote efficient spectrum use</w:t>
        </w:r>
        <w:r>
          <w:rPr>
            <w:rStyle w:val="Hyperlink"/>
            <w:noProof/>
          </w:rPr>
          <w:tab/>
        </w:r>
        <w:r>
          <w:rPr>
            <w:noProof/>
            <w:webHidden/>
          </w:rPr>
          <w:tab/>
        </w:r>
        <w:r>
          <w:rPr>
            <w:noProof/>
            <w:webHidden/>
          </w:rPr>
          <w:fldChar w:fldCharType="begin"/>
        </w:r>
        <w:r>
          <w:rPr>
            <w:noProof/>
            <w:webHidden/>
          </w:rPr>
          <w:instrText xml:space="preserve"> PAGEREF _Toc201822287 \h </w:instrText>
        </w:r>
        <w:r>
          <w:rPr>
            <w:noProof/>
            <w:webHidden/>
          </w:rPr>
        </w:r>
        <w:r>
          <w:rPr>
            <w:noProof/>
            <w:webHidden/>
          </w:rPr>
          <w:fldChar w:fldCharType="separate"/>
        </w:r>
        <w:r w:rsidR="006E0151">
          <w:rPr>
            <w:noProof/>
            <w:webHidden/>
          </w:rPr>
          <w:t>43</w:t>
        </w:r>
        <w:r>
          <w:rPr>
            <w:noProof/>
            <w:webHidden/>
          </w:rPr>
          <w:fldChar w:fldCharType="end"/>
        </w:r>
      </w:hyperlink>
    </w:p>
    <w:p w14:paraId="5A7491B9" w14:textId="6E206847"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8" w:history="1">
        <w:r w:rsidRPr="003379C7">
          <w:rPr>
            <w:rStyle w:val="Hyperlink"/>
            <w:noProof/>
          </w:rPr>
          <w:t>4.7</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Procedures and examples of used spectral resource calculations in application to different radio services</w:t>
        </w:r>
        <w:r>
          <w:rPr>
            <w:noProof/>
            <w:webHidden/>
          </w:rPr>
          <w:tab/>
        </w:r>
        <w:r>
          <w:rPr>
            <w:noProof/>
            <w:webHidden/>
          </w:rPr>
          <w:tab/>
        </w:r>
        <w:r>
          <w:rPr>
            <w:noProof/>
            <w:webHidden/>
          </w:rPr>
          <w:fldChar w:fldCharType="begin"/>
        </w:r>
        <w:r>
          <w:rPr>
            <w:noProof/>
            <w:webHidden/>
          </w:rPr>
          <w:instrText xml:space="preserve"> PAGEREF _Toc201822288 \h </w:instrText>
        </w:r>
        <w:r>
          <w:rPr>
            <w:noProof/>
            <w:webHidden/>
          </w:rPr>
        </w:r>
        <w:r>
          <w:rPr>
            <w:noProof/>
            <w:webHidden/>
          </w:rPr>
          <w:fldChar w:fldCharType="separate"/>
        </w:r>
        <w:r w:rsidR="006E0151">
          <w:rPr>
            <w:noProof/>
            <w:webHidden/>
          </w:rPr>
          <w:t>52</w:t>
        </w:r>
        <w:r>
          <w:rPr>
            <w:noProof/>
            <w:webHidden/>
          </w:rPr>
          <w:fldChar w:fldCharType="end"/>
        </w:r>
      </w:hyperlink>
    </w:p>
    <w:p w14:paraId="45075061" w14:textId="6D9D10C4"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89" w:history="1">
        <w:r w:rsidRPr="003379C7">
          <w:rPr>
            <w:rStyle w:val="Hyperlink"/>
            <w:noProof/>
          </w:rPr>
          <w:t>4.8</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Opportunity cost and administrative incentive pricing: simple, functional and linear equations</w:t>
        </w:r>
        <w:r>
          <w:rPr>
            <w:noProof/>
            <w:webHidden/>
          </w:rPr>
          <w:tab/>
        </w:r>
        <w:r>
          <w:rPr>
            <w:noProof/>
            <w:webHidden/>
          </w:rPr>
          <w:tab/>
        </w:r>
        <w:r>
          <w:rPr>
            <w:noProof/>
            <w:webHidden/>
          </w:rPr>
          <w:fldChar w:fldCharType="begin"/>
        </w:r>
        <w:r>
          <w:rPr>
            <w:noProof/>
            <w:webHidden/>
          </w:rPr>
          <w:instrText xml:space="preserve"> PAGEREF _Toc201822289 \h </w:instrText>
        </w:r>
        <w:r>
          <w:rPr>
            <w:noProof/>
            <w:webHidden/>
          </w:rPr>
        </w:r>
        <w:r>
          <w:rPr>
            <w:noProof/>
            <w:webHidden/>
          </w:rPr>
          <w:fldChar w:fldCharType="separate"/>
        </w:r>
        <w:r w:rsidR="006E0151">
          <w:rPr>
            <w:noProof/>
            <w:webHidden/>
          </w:rPr>
          <w:t>80</w:t>
        </w:r>
        <w:r>
          <w:rPr>
            <w:noProof/>
            <w:webHidden/>
          </w:rPr>
          <w:fldChar w:fldCharType="end"/>
        </w:r>
      </w:hyperlink>
    </w:p>
    <w:p w14:paraId="44A381D7" w14:textId="36219888"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90" w:history="1">
        <w:r w:rsidRPr="003379C7">
          <w:rPr>
            <w:rStyle w:val="Hyperlink"/>
            <w:noProof/>
          </w:rPr>
          <w:t>4.9</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Guidelines on applying new fees system</w:t>
        </w:r>
        <w:r>
          <w:rPr>
            <w:noProof/>
            <w:webHidden/>
          </w:rPr>
          <w:tab/>
        </w:r>
        <w:r>
          <w:rPr>
            <w:noProof/>
            <w:webHidden/>
          </w:rPr>
          <w:tab/>
        </w:r>
        <w:r>
          <w:rPr>
            <w:noProof/>
            <w:webHidden/>
          </w:rPr>
          <w:fldChar w:fldCharType="begin"/>
        </w:r>
        <w:r>
          <w:rPr>
            <w:noProof/>
            <w:webHidden/>
          </w:rPr>
          <w:instrText xml:space="preserve"> PAGEREF _Toc201822290 \h </w:instrText>
        </w:r>
        <w:r>
          <w:rPr>
            <w:noProof/>
            <w:webHidden/>
          </w:rPr>
        </w:r>
        <w:r>
          <w:rPr>
            <w:noProof/>
            <w:webHidden/>
          </w:rPr>
          <w:fldChar w:fldCharType="separate"/>
        </w:r>
        <w:r w:rsidR="006E0151">
          <w:rPr>
            <w:noProof/>
            <w:webHidden/>
          </w:rPr>
          <w:t>84</w:t>
        </w:r>
        <w:r>
          <w:rPr>
            <w:noProof/>
            <w:webHidden/>
          </w:rPr>
          <w:fldChar w:fldCharType="end"/>
        </w:r>
      </w:hyperlink>
    </w:p>
    <w:p w14:paraId="4FB8DE76" w14:textId="1B0A237C" w:rsidR="000478B9" w:rsidRDefault="000478B9">
      <w:pPr>
        <w:pStyle w:val="TOC1"/>
        <w:rPr>
          <w:rFonts w:asciiTheme="minorHAnsi" w:eastAsiaTheme="minorEastAsia" w:hAnsiTheme="minorHAnsi" w:cstheme="minorBidi"/>
          <w:noProof/>
          <w:kern w:val="2"/>
          <w:szCs w:val="24"/>
          <w:lang w:val="en-GB" w:eastAsia="en-GB"/>
          <w14:ligatures w14:val="standardContextual"/>
        </w:rPr>
      </w:pPr>
      <w:hyperlink w:anchor="_Toc201822291" w:history="1">
        <w:r w:rsidRPr="003379C7">
          <w:rPr>
            <w:rStyle w:val="Hyperlink"/>
            <w:bCs/>
            <w:noProof/>
          </w:rPr>
          <w:t>CHAPTER 5</w:t>
        </w:r>
        <w:r>
          <w:rPr>
            <w:noProof/>
            <w:webHidden/>
          </w:rPr>
          <w:tab/>
        </w:r>
        <w:r>
          <w:rPr>
            <w:noProof/>
            <w:webHidden/>
          </w:rPr>
          <w:tab/>
        </w:r>
        <w:r>
          <w:rPr>
            <w:noProof/>
            <w:webHidden/>
          </w:rPr>
          <w:fldChar w:fldCharType="begin"/>
        </w:r>
        <w:r>
          <w:rPr>
            <w:noProof/>
            <w:webHidden/>
          </w:rPr>
          <w:instrText xml:space="preserve"> PAGEREF _Toc201822291 \h </w:instrText>
        </w:r>
        <w:r>
          <w:rPr>
            <w:noProof/>
            <w:webHidden/>
          </w:rPr>
        </w:r>
        <w:r>
          <w:rPr>
            <w:noProof/>
            <w:webHidden/>
          </w:rPr>
          <w:fldChar w:fldCharType="separate"/>
        </w:r>
        <w:r w:rsidR="006E0151">
          <w:rPr>
            <w:noProof/>
            <w:webHidden/>
          </w:rPr>
          <w:t>86</w:t>
        </w:r>
        <w:r>
          <w:rPr>
            <w:noProof/>
            <w:webHidden/>
          </w:rPr>
          <w:fldChar w:fldCharType="end"/>
        </w:r>
      </w:hyperlink>
    </w:p>
    <w:p w14:paraId="023B280B" w14:textId="6DA16D5C"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92" w:history="1">
        <w:r w:rsidRPr="003379C7">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Experience with auctions and transferable property rights</w:t>
        </w:r>
        <w:r>
          <w:rPr>
            <w:noProof/>
            <w:webHidden/>
          </w:rPr>
          <w:tab/>
        </w:r>
        <w:r>
          <w:rPr>
            <w:noProof/>
            <w:webHidden/>
          </w:rPr>
          <w:tab/>
        </w:r>
        <w:r>
          <w:rPr>
            <w:noProof/>
            <w:webHidden/>
          </w:rPr>
          <w:fldChar w:fldCharType="begin"/>
        </w:r>
        <w:r>
          <w:rPr>
            <w:noProof/>
            <w:webHidden/>
          </w:rPr>
          <w:instrText xml:space="preserve"> PAGEREF _Toc201822292 \h </w:instrText>
        </w:r>
        <w:r>
          <w:rPr>
            <w:noProof/>
            <w:webHidden/>
          </w:rPr>
        </w:r>
        <w:r>
          <w:rPr>
            <w:noProof/>
            <w:webHidden/>
          </w:rPr>
          <w:fldChar w:fldCharType="separate"/>
        </w:r>
        <w:r w:rsidR="006E0151">
          <w:rPr>
            <w:noProof/>
            <w:webHidden/>
          </w:rPr>
          <w:t>86</w:t>
        </w:r>
        <w:r>
          <w:rPr>
            <w:noProof/>
            <w:webHidden/>
          </w:rPr>
          <w:fldChar w:fldCharType="end"/>
        </w:r>
      </w:hyperlink>
    </w:p>
    <w:p w14:paraId="327BD2F0" w14:textId="7E0512E0"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93" w:history="1">
        <w:r w:rsidRPr="003379C7">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Experience with fees</w:t>
        </w:r>
        <w:r>
          <w:rPr>
            <w:noProof/>
            <w:webHidden/>
          </w:rPr>
          <w:tab/>
        </w:r>
        <w:r>
          <w:rPr>
            <w:noProof/>
            <w:webHidden/>
          </w:rPr>
          <w:tab/>
        </w:r>
        <w:r>
          <w:rPr>
            <w:noProof/>
            <w:webHidden/>
          </w:rPr>
          <w:fldChar w:fldCharType="begin"/>
        </w:r>
        <w:r>
          <w:rPr>
            <w:noProof/>
            <w:webHidden/>
          </w:rPr>
          <w:instrText xml:space="preserve"> PAGEREF _Toc201822293 \h </w:instrText>
        </w:r>
        <w:r>
          <w:rPr>
            <w:noProof/>
            <w:webHidden/>
          </w:rPr>
        </w:r>
        <w:r>
          <w:rPr>
            <w:noProof/>
            <w:webHidden/>
          </w:rPr>
          <w:fldChar w:fldCharType="separate"/>
        </w:r>
        <w:r w:rsidR="006E0151">
          <w:rPr>
            <w:noProof/>
            <w:webHidden/>
          </w:rPr>
          <w:t>111</w:t>
        </w:r>
        <w:r>
          <w:rPr>
            <w:noProof/>
            <w:webHidden/>
          </w:rPr>
          <w:fldChar w:fldCharType="end"/>
        </w:r>
      </w:hyperlink>
    </w:p>
    <w:p w14:paraId="535809B8" w14:textId="00468C35"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94" w:history="1">
        <w:r w:rsidRPr="003379C7">
          <w:rPr>
            <w:rStyle w:val="Hyperlink"/>
            <w:noProof/>
          </w:rPr>
          <w:t>5.3</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Experience using alternative resources</w:t>
        </w:r>
        <w:r>
          <w:rPr>
            <w:noProof/>
            <w:webHidden/>
          </w:rPr>
          <w:tab/>
        </w:r>
        <w:r>
          <w:rPr>
            <w:noProof/>
            <w:webHidden/>
          </w:rPr>
          <w:tab/>
        </w:r>
        <w:r>
          <w:rPr>
            <w:noProof/>
            <w:webHidden/>
          </w:rPr>
          <w:fldChar w:fldCharType="begin"/>
        </w:r>
        <w:r>
          <w:rPr>
            <w:noProof/>
            <w:webHidden/>
          </w:rPr>
          <w:instrText xml:space="preserve"> PAGEREF _Toc201822294 \h </w:instrText>
        </w:r>
        <w:r>
          <w:rPr>
            <w:noProof/>
            <w:webHidden/>
          </w:rPr>
        </w:r>
        <w:r>
          <w:rPr>
            <w:noProof/>
            <w:webHidden/>
          </w:rPr>
          <w:fldChar w:fldCharType="separate"/>
        </w:r>
        <w:r w:rsidR="006E0151">
          <w:rPr>
            <w:noProof/>
            <w:webHidden/>
          </w:rPr>
          <w:t>155</w:t>
        </w:r>
        <w:r>
          <w:rPr>
            <w:noProof/>
            <w:webHidden/>
          </w:rPr>
          <w:fldChar w:fldCharType="end"/>
        </w:r>
      </w:hyperlink>
    </w:p>
    <w:p w14:paraId="7379C217" w14:textId="42787AD7" w:rsidR="000478B9" w:rsidRDefault="000478B9">
      <w:pPr>
        <w:pStyle w:val="TOC2"/>
        <w:rPr>
          <w:rFonts w:asciiTheme="minorHAnsi" w:eastAsiaTheme="minorEastAsia" w:hAnsiTheme="minorHAnsi" w:cstheme="minorBidi"/>
          <w:noProof/>
          <w:kern w:val="2"/>
          <w:szCs w:val="24"/>
          <w:lang w:val="en-GB" w:eastAsia="en-GB"/>
          <w14:ligatures w14:val="standardContextual"/>
        </w:rPr>
      </w:pPr>
      <w:hyperlink w:anchor="_Toc201822295" w:history="1">
        <w:r w:rsidRPr="003379C7">
          <w:rPr>
            <w:rStyle w:val="Hyperlink"/>
            <w:noProof/>
          </w:rPr>
          <w:t>5.4</w:t>
        </w:r>
        <w:r>
          <w:rPr>
            <w:rFonts w:asciiTheme="minorHAnsi" w:eastAsiaTheme="minorEastAsia" w:hAnsiTheme="minorHAnsi" w:cstheme="minorBidi"/>
            <w:noProof/>
            <w:kern w:val="2"/>
            <w:szCs w:val="24"/>
            <w:lang w:val="en-GB" w:eastAsia="en-GB"/>
            <w14:ligatures w14:val="standardContextual"/>
          </w:rPr>
          <w:tab/>
        </w:r>
        <w:r w:rsidRPr="003379C7">
          <w:rPr>
            <w:rStyle w:val="Hyperlink"/>
            <w:noProof/>
          </w:rPr>
          <w:t>Other experiences</w:t>
        </w:r>
        <w:r>
          <w:rPr>
            <w:noProof/>
            <w:webHidden/>
          </w:rPr>
          <w:tab/>
        </w:r>
        <w:r>
          <w:rPr>
            <w:noProof/>
            <w:webHidden/>
          </w:rPr>
          <w:tab/>
        </w:r>
        <w:r>
          <w:rPr>
            <w:noProof/>
            <w:webHidden/>
          </w:rPr>
          <w:fldChar w:fldCharType="begin"/>
        </w:r>
        <w:r>
          <w:rPr>
            <w:noProof/>
            <w:webHidden/>
          </w:rPr>
          <w:instrText xml:space="preserve"> PAGEREF _Toc201822295 \h </w:instrText>
        </w:r>
        <w:r>
          <w:rPr>
            <w:noProof/>
            <w:webHidden/>
          </w:rPr>
        </w:r>
        <w:r>
          <w:rPr>
            <w:noProof/>
            <w:webHidden/>
          </w:rPr>
          <w:fldChar w:fldCharType="separate"/>
        </w:r>
        <w:r w:rsidR="006E0151">
          <w:rPr>
            <w:noProof/>
            <w:webHidden/>
          </w:rPr>
          <w:t>159</w:t>
        </w:r>
        <w:r>
          <w:rPr>
            <w:noProof/>
            <w:webHidden/>
          </w:rPr>
          <w:fldChar w:fldCharType="end"/>
        </w:r>
      </w:hyperlink>
    </w:p>
    <w:p w14:paraId="2117DBED" w14:textId="5407E95A" w:rsidR="000478B9" w:rsidRDefault="000478B9">
      <w:pPr>
        <w:pStyle w:val="TOC1"/>
        <w:rPr>
          <w:rFonts w:asciiTheme="minorHAnsi" w:eastAsiaTheme="minorEastAsia" w:hAnsiTheme="minorHAnsi" w:cstheme="minorBidi"/>
          <w:noProof/>
          <w:kern w:val="2"/>
          <w:szCs w:val="24"/>
          <w:lang w:val="en-GB" w:eastAsia="en-GB"/>
          <w14:ligatures w14:val="standardContextual"/>
        </w:rPr>
      </w:pPr>
      <w:hyperlink w:anchor="_Toc201822296" w:history="1">
        <w:r w:rsidRPr="003379C7">
          <w:rPr>
            <w:rStyle w:val="Hyperlink"/>
            <w:noProof/>
          </w:rPr>
          <w:t>Annex 1</w:t>
        </w:r>
        <w:r>
          <w:rPr>
            <w:noProof/>
            <w:webHidden/>
          </w:rPr>
          <w:tab/>
        </w:r>
        <w:r>
          <w:rPr>
            <w:noProof/>
            <w:webHidden/>
          </w:rPr>
          <w:tab/>
        </w:r>
        <w:r>
          <w:rPr>
            <w:noProof/>
            <w:webHidden/>
          </w:rPr>
          <w:fldChar w:fldCharType="begin"/>
        </w:r>
        <w:r>
          <w:rPr>
            <w:noProof/>
            <w:webHidden/>
          </w:rPr>
          <w:instrText xml:space="preserve"> PAGEREF _Toc201822296 \h </w:instrText>
        </w:r>
        <w:r>
          <w:rPr>
            <w:noProof/>
            <w:webHidden/>
          </w:rPr>
        </w:r>
        <w:r>
          <w:rPr>
            <w:noProof/>
            <w:webHidden/>
          </w:rPr>
          <w:fldChar w:fldCharType="separate"/>
        </w:r>
        <w:r w:rsidR="006E0151">
          <w:rPr>
            <w:noProof/>
            <w:webHidden/>
          </w:rPr>
          <w:t>164</w:t>
        </w:r>
        <w:r>
          <w:rPr>
            <w:noProof/>
            <w:webHidden/>
          </w:rPr>
          <w:fldChar w:fldCharType="end"/>
        </w:r>
      </w:hyperlink>
    </w:p>
    <w:p w14:paraId="2198838A" w14:textId="2B5CD868" w:rsidR="00CF04BC" w:rsidRPr="00B93493" w:rsidRDefault="000478B9" w:rsidP="00CF04BC">
      <w:r>
        <w:fldChar w:fldCharType="end"/>
      </w:r>
    </w:p>
    <w:p w14:paraId="72FB0651" w14:textId="036C8D55" w:rsidR="00CF04BC" w:rsidRPr="00B93493" w:rsidRDefault="00CF04BC" w:rsidP="00CF04BC">
      <w:pPr>
        <w:pStyle w:val="NormalLeft"/>
        <w:rPr>
          <w:lang w:val="en-GB"/>
        </w:rPr>
      </w:pPr>
    </w:p>
    <w:p w14:paraId="232E52AE" w14:textId="77777777" w:rsidR="00CF04BC" w:rsidRPr="00B93493" w:rsidRDefault="00CF04BC" w:rsidP="0055037D">
      <w:pPr>
        <w:pStyle w:val="Headingb"/>
      </w:pPr>
      <w:bookmarkStart w:id="5" w:name="_Toc182391452"/>
      <w:bookmarkStart w:id="6" w:name="_Toc182391863"/>
      <w:r>
        <w:t>Introduction</w:t>
      </w:r>
      <w:bookmarkEnd w:id="5"/>
      <w:bookmarkEnd w:id="6"/>
    </w:p>
    <w:p w14:paraId="43269D6D" w14:textId="77777777" w:rsidR="00CF04BC" w:rsidRDefault="00CF04BC" w:rsidP="0055037D">
      <w:r w:rsidRPr="000C5721">
        <w:t xml:space="preserve">This Report is </w:t>
      </w:r>
      <w:r>
        <w:t xml:space="preserve">a reference for administrations when </w:t>
      </w:r>
      <w:r w:rsidRPr="000C5721">
        <w:t xml:space="preserve">formulating strategies on economic approaches to national spectrum management and financing this activity. In addition, the Report presents an analysis of the benefits of strategic development and the methods of technical support for national spectrum management. These approaches </w:t>
      </w:r>
      <w:r>
        <w:t xml:space="preserve">may </w:t>
      </w:r>
      <w:r w:rsidRPr="000C5721">
        <w:t xml:space="preserve">promote economic efficiency </w:t>
      </w:r>
      <w:r>
        <w:t>as well as the</w:t>
      </w:r>
      <w:r w:rsidRPr="000C5721">
        <w:t xml:space="preserve"> technical and administrative efficiency.</w:t>
      </w:r>
    </w:p>
    <w:p w14:paraId="3B722BA0" w14:textId="40D17E44" w:rsidR="00CF04BC" w:rsidRPr="005165A2" w:rsidRDefault="00CF04BC" w:rsidP="00450D1C">
      <w:pPr>
        <w:pStyle w:val="Note"/>
      </w:pPr>
      <w:r>
        <w:t>NOTE 1</w:t>
      </w:r>
      <w:r w:rsidR="00450D1C">
        <w:t xml:space="preserve"> –</w:t>
      </w:r>
      <w:r>
        <w:t xml:space="preserve"> </w:t>
      </w:r>
      <w:r w:rsidRPr="00B72183">
        <w:rPr>
          <w:lang w:val="en-US"/>
        </w:rPr>
        <w:t>National experiences provided in this Report are only representing the views of the respective administrations</w:t>
      </w:r>
      <w:r w:rsidRPr="00B72183">
        <w:t>. They are for information purpose only and do not engage other members on confirming or otherwise of these experiences.</w:t>
      </w:r>
    </w:p>
    <w:p w14:paraId="2600687A" w14:textId="1A1DA634" w:rsidR="00CF04BC" w:rsidRPr="005165A2" w:rsidRDefault="00CF04BC" w:rsidP="00450D1C">
      <w:pPr>
        <w:pStyle w:val="Note"/>
      </w:pPr>
      <w:r>
        <w:t>NOTE 2</w:t>
      </w:r>
      <w:r w:rsidR="00450D1C">
        <w:t xml:space="preserve"> –</w:t>
      </w:r>
      <w:r>
        <w:t xml:space="preserve"> When references to ITU-R Recommendations or ITU-R Reports are made without specifying the version of the publication, the most recent version in force of should be used.</w:t>
      </w:r>
    </w:p>
    <w:p w14:paraId="78B4D181" w14:textId="0DD5F7EA" w:rsidR="00CF04BC" w:rsidRPr="005165A2" w:rsidRDefault="00CF04BC" w:rsidP="00450D1C">
      <w:pPr>
        <w:pStyle w:val="Note"/>
      </w:pPr>
      <w:r>
        <w:t>NOTE 3</w:t>
      </w:r>
      <w:r w:rsidR="00450D1C">
        <w:t xml:space="preserve"> –</w:t>
      </w:r>
      <w:r>
        <w:t xml:space="preserve"> Examples in this Report which were developed based on a specific version of a publication, may need to be reconsidered if the most recent version of this publication is to be used.</w:t>
      </w:r>
    </w:p>
    <w:p w14:paraId="4BD6431D" w14:textId="77777777" w:rsidR="00CF04BC" w:rsidRPr="001F5496" w:rsidRDefault="00CF04BC" w:rsidP="00450D1C">
      <w:r w:rsidRPr="001F5496">
        <w:t>The objective of this economic study is to respond to the following issues which are divided into three categories:</w:t>
      </w:r>
    </w:p>
    <w:p w14:paraId="75D9961C" w14:textId="57790D2C" w:rsidR="00CF04BC" w:rsidRPr="001F5496" w:rsidRDefault="00CF04BC" w:rsidP="006144A0">
      <w:r w:rsidRPr="001F5496">
        <w:rPr>
          <w:b/>
          <w:i/>
          <w:iCs/>
        </w:rPr>
        <w:t>Category 1</w:t>
      </w:r>
      <w:r w:rsidRPr="001F5496">
        <w:rPr>
          <w:bCs/>
        </w:rPr>
        <w:t>:</w:t>
      </w:r>
      <w:r w:rsidR="006144A0">
        <w:rPr>
          <w:bCs/>
        </w:rPr>
        <w:t xml:space="preserve"> </w:t>
      </w:r>
      <w:r w:rsidRPr="001F5496">
        <w:t>Strategies for economic approaches to national spectrum management and their financing</w:t>
      </w:r>
    </w:p>
    <w:p w14:paraId="3760A390" w14:textId="77777777" w:rsidR="00CF04BC" w:rsidRPr="006144A0" w:rsidRDefault="00CF04BC" w:rsidP="006144A0">
      <w:pPr>
        <w:pStyle w:val="enumlev1"/>
      </w:pPr>
      <w:r w:rsidRPr="006144A0">
        <w:t>1.</w:t>
      </w:r>
      <w:r w:rsidRPr="006144A0">
        <w:tab/>
        <w:t>What are the underlying principles that have been taken into consideration by various administrations in their approaches to financing the maintenance and development of national spectrum management?</w:t>
      </w:r>
    </w:p>
    <w:p w14:paraId="116F9AAA" w14:textId="77777777" w:rsidR="00CF04BC" w:rsidRPr="006144A0" w:rsidRDefault="00CF04BC" w:rsidP="006144A0">
      <w:pPr>
        <w:pStyle w:val="enumlev1"/>
      </w:pPr>
      <w:r w:rsidRPr="006144A0">
        <w:t>2.</w:t>
      </w:r>
      <w:r w:rsidRPr="006144A0">
        <w:tab/>
        <w:t>What economic approaches have been, or are intended to be used to promote efficient national spectrum management in different frequency bands?</w:t>
      </w:r>
    </w:p>
    <w:p w14:paraId="018D2CF3" w14:textId="77777777" w:rsidR="00CF04BC" w:rsidRPr="006144A0" w:rsidRDefault="00CF04BC" w:rsidP="006144A0">
      <w:pPr>
        <w:pStyle w:val="enumlev1"/>
      </w:pPr>
      <w:r w:rsidRPr="006144A0">
        <w:t>3.</w:t>
      </w:r>
      <w:r w:rsidRPr="006144A0">
        <w:tab/>
        <w:t>What are the advantages and disadvantages of these various economic approaches to national spectrum management?</w:t>
      </w:r>
    </w:p>
    <w:p w14:paraId="20021ACE" w14:textId="77777777" w:rsidR="00CF04BC" w:rsidRPr="006144A0" w:rsidRDefault="00CF04BC" w:rsidP="006144A0">
      <w:pPr>
        <w:pStyle w:val="enumlev1"/>
      </w:pPr>
      <w:r w:rsidRPr="006144A0">
        <w:t>4.</w:t>
      </w:r>
      <w:r w:rsidRPr="006144A0">
        <w:tab/>
        <w:t>What are the factors (e.g. geographical, topographical, infrastructural, social, legal) that could affect these approaches and how would they vary with the use of radio in a country and the level of that country’s development?</w:t>
      </w:r>
    </w:p>
    <w:p w14:paraId="0BCB10FB" w14:textId="77777777" w:rsidR="00CF04BC" w:rsidRPr="006144A0" w:rsidRDefault="00CF04BC" w:rsidP="00AB297A">
      <w:r w:rsidRPr="00AB297A">
        <w:rPr>
          <w:b/>
          <w:bCs/>
          <w:i/>
          <w:iCs/>
        </w:rPr>
        <w:t>Category 2</w:t>
      </w:r>
      <w:r w:rsidRPr="006144A0">
        <w:t>: Assessment, for spectrum planning and strategic development purposes, of the benefits arising from the use of the radio spectrum</w:t>
      </w:r>
    </w:p>
    <w:p w14:paraId="08571862" w14:textId="77777777" w:rsidR="00CF04BC" w:rsidRPr="006144A0" w:rsidRDefault="00CF04BC" w:rsidP="006144A0">
      <w:pPr>
        <w:pStyle w:val="enumlev1"/>
      </w:pPr>
      <w:r w:rsidRPr="006144A0">
        <w:t>1.</w:t>
      </w:r>
      <w:r w:rsidRPr="006144A0">
        <w:tab/>
        <w:t>What are the benefits that accrue to an administration from the use of radio within its country and how can they be quantified, allowing them to be represented in an economic form so as to enable a comparison of the benefits and costs of particular spectrum management options (e.g. in terms of employment or Gross Domestic Product)?</w:t>
      </w:r>
    </w:p>
    <w:p w14:paraId="104F235C" w14:textId="77777777" w:rsidR="00CF04BC" w:rsidRPr="006144A0" w:rsidRDefault="00CF04BC" w:rsidP="006144A0">
      <w:pPr>
        <w:pStyle w:val="enumlev1"/>
      </w:pPr>
      <w:r w:rsidRPr="006144A0">
        <w:t>2.</w:t>
      </w:r>
      <w:r w:rsidRPr="006144A0">
        <w:tab/>
        <w:t>What models can be used to represent these benefits in an economic form and how can they be validated?</w:t>
      </w:r>
    </w:p>
    <w:p w14:paraId="470C41A6" w14:textId="77777777" w:rsidR="00CF04BC" w:rsidRPr="006144A0" w:rsidRDefault="00CF04BC" w:rsidP="006144A0">
      <w:pPr>
        <w:pStyle w:val="enumlev1"/>
      </w:pPr>
      <w:r w:rsidRPr="006144A0">
        <w:t>3.</w:t>
      </w:r>
      <w:r w:rsidRPr="006144A0">
        <w:tab/>
        <w:t>What factors could affect the benefits accruing to an administration from the use of the radio</w:t>
      </w:r>
      <w:r w:rsidRPr="006144A0">
        <w:noBreakHyphen/>
        <w:t>frequency spectrum, including by national safety services?</w:t>
      </w:r>
    </w:p>
    <w:p w14:paraId="3C3F487F" w14:textId="77777777" w:rsidR="00CF04BC" w:rsidRPr="006144A0" w:rsidRDefault="00CF04BC" w:rsidP="006144A0">
      <w:pPr>
        <w:pStyle w:val="enumlev1"/>
      </w:pPr>
      <w:r w:rsidRPr="006144A0">
        <w:t>4.</w:t>
      </w:r>
      <w:r w:rsidRPr="006144A0">
        <w:tab/>
        <w:t>How would the factors in § 3 vary from country to country?</w:t>
      </w:r>
    </w:p>
    <w:p w14:paraId="62CD015B" w14:textId="77777777" w:rsidR="00CF04BC" w:rsidRPr="001F5496" w:rsidRDefault="00CF04BC" w:rsidP="00AB297A">
      <w:r w:rsidRPr="001F5496">
        <w:rPr>
          <w:b/>
          <w:i/>
          <w:iCs/>
        </w:rPr>
        <w:t>Category 3</w:t>
      </w:r>
      <w:r w:rsidRPr="001F5496">
        <w:rPr>
          <w:bCs/>
        </w:rPr>
        <w:t>:</w:t>
      </w:r>
      <w:r>
        <w:rPr>
          <w:bCs/>
        </w:rPr>
        <w:t xml:space="preserve"> </w:t>
      </w:r>
      <w:r w:rsidRPr="001F5496">
        <w:t>Alternative methods of national spectrum management</w:t>
      </w:r>
    </w:p>
    <w:p w14:paraId="6DB9FC5D" w14:textId="77777777" w:rsidR="00CF04BC" w:rsidRPr="00AB297A" w:rsidRDefault="00CF04BC" w:rsidP="00AB297A">
      <w:pPr>
        <w:pStyle w:val="enumlev1"/>
      </w:pPr>
      <w:r w:rsidRPr="00AB297A">
        <w:t>1.</w:t>
      </w:r>
      <w:r w:rsidRPr="00AB297A">
        <w:tab/>
        <w:t>What are alternative spectrum management approaches including the use of non-profit making user groups and private sector spectrum management organizations?</w:t>
      </w:r>
    </w:p>
    <w:p w14:paraId="131362BD" w14:textId="77777777" w:rsidR="00CF04BC" w:rsidRPr="00AB297A" w:rsidRDefault="00CF04BC" w:rsidP="00AB297A">
      <w:pPr>
        <w:pStyle w:val="enumlev1"/>
      </w:pPr>
      <w:r w:rsidRPr="00AB297A">
        <w:t>2.</w:t>
      </w:r>
      <w:r w:rsidRPr="00AB297A">
        <w:tab/>
        <w:t>How can these approaches be categorized?</w:t>
      </w:r>
    </w:p>
    <w:p w14:paraId="69BFB650" w14:textId="77777777" w:rsidR="00CF04BC" w:rsidRPr="00AB297A" w:rsidRDefault="00CF04BC" w:rsidP="00AB297A">
      <w:pPr>
        <w:pStyle w:val="enumlev1"/>
      </w:pPr>
      <w:r w:rsidRPr="00AB297A">
        <w:t>3.</w:t>
      </w:r>
      <w:r w:rsidRPr="00AB297A">
        <w:tab/>
        <w:t>Which of these alternative spectrum management approaches would be responsive to the needs of the developing countries as well as for the least developed ones?</w:t>
      </w:r>
    </w:p>
    <w:p w14:paraId="7AC20A1A" w14:textId="77777777" w:rsidR="00CF04BC" w:rsidRPr="00AB297A" w:rsidRDefault="00CF04BC" w:rsidP="00AB297A">
      <w:pPr>
        <w:pStyle w:val="enumlev1"/>
      </w:pPr>
      <w:r w:rsidRPr="00AB297A">
        <w:t>4.</w:t>
      </w:r>
      <w:r w:rsidRPr="00AB297A">
        <w:tab/>
        <w:t>What measures, of a technical, operational and regulatory nature, would it be necessary for an administration to consider implementing when adopting one or more of these spectrum management approaches in the context of:</w:t>
      </w:r>
    </w:p>
    <w:p w14:paraId="010A8EFF" w14:textId="44273762" w:rsidR="00CF04BC" w:rsidRPr="00AB297A" w:rsidRDefault="00AB297A" w:rsidP="00AB297A">
      <w:pPr>
        <w:pStyle w:val="enumlev2"/>
      </w:pPr>
      <w:r>
        <w:t>–</w:t>
      </w:r>
      <w:r w:rsidR="00CF04BC" w:rsidRPr="00AB297A">
        <w:tab/>
        <w:t>the country’s infrastructure;</w:t>
      </w:r>
    </w:p>
    <w:p w14:paraId="0D1C7062" w14:textId="4724BCF8" w:rsidR="00CF04BC" w:rsidRPr="00AB297A" w:rsidRDefault="00AB297A" w:rsidP="00AB297A">
      <w:pPr>
        <w:pStyle w:val="enumlev2"/>
      </w:pPr>
      <w:r>
        <w:t>–</w:t>
      </w:r>
      <w:r w:rsidR="00CF04BC" w:rsidRPr="00AB297A">
        <w:tab/>
        <w:t>national spectrum management;</w:t>
      </w:r>
    </w:p>
    <w:p w14:paraId="1710055F" w14:textId="5BCDF962" w:rsidR="00CF04BC" w:rsidRPr="00AB297A" w:rsidRDefault="00AB297A" w:rsidP="00AB297A">
      <w:pPr>
        <w:pStyle w:val="enumlev2"/>
      </w:pPr>
      <w:r>
        <w:t>–</w:t>
      </w:r>
      <w:r w:rsidR="00CF04BC" w:rsidRPr="00AB297A">
        <w:tab/>
        <w:t>regional and international aspects (e.g. notification, coordination, monitoring)?</w:t>
      </w:r>
    </w:p>
    <w:p w14:paraId="5CAABB1B" w14:textId="77777777" w:rsidR="00CF04BC" w:rsidRPr="001F5496" w:rsidRDefault="00CF04BC" w:rsidP="00AB297A">
      <w:r w:rsidRPr="001F5496">
        <w:t>Further information is likely to be submitted that is relevant to this Report and that information will be included in future revisions as appropriate.</w:t>
      </w:r>
      <w:bookmarkStart w:id="7" w:name="_Toc459792541"/>
      <w:bookmarkStart w:id="8" w:name="_Toc459793712"/>
      <w:bookmarkStart w:id="9" w:name="_Toc459746613"/>
      <w:bookmarkStart w:id="10" w:name="_Toc459793854"/>
      <w:bookmarkStart w:id="11" w:name="_Toc459970352"/>
      <w:bookmarkStart w:id="12" w:name="_Toc289868901"/>
      <w:bookmarkStart w:id="13" w:name="_Toc289933255"/>
      <w:bookmarkStart w:id="14" w:name="_Toc289868741"/>
      <w:bookmarkStart w:id="15" w:name="_Toc289932209"/>
      <w:bookmarkStart w:id="16" w:name="_Toc291852818"/>
    </w:p>
    <w:p w14:paraId="1CD8D5BD" w14:textId="77777777" w:rsidR="00CF04BC" w:rsidRPr="001F5496" w:rsidRDefault="00CF04BC" w:rsidP="00CF04BC">
      <w:pPr>
        <w:overflowPunct/>
        <w:autoSpaceDE/>
        <w:autoSpaceDN/>
        <w:adjustRightInd/>
        <w:spacing w:before="0"/>
        <w:textAlignment w:val="auto"/>
        <w:rPr>
          <w:rFonts w:ascii="Times New Roman Bold" w:hAnsi="Times New Roman Bold"/>
          <w:b/>
          <w:caps/>
          <w:szCs w:val="24"/>
        </w:rPr>
      </w:pPr>
      <w:bookmarkStart w:id="17" w:name="_Toc462233966"/>
      <w:bookmarkStart w:id="18" w:name="_Toc518394130"/>
      <w:bookmarkStart w:id="19" w:name="_Toc182391453"/>
      <w:bookmarkStart w:id="20" w:name="_Toc182391864"/>
      <w:r w:rsidRPr="001F5496">
        <w:rPr>
          <w:szCs w:val="24"/>
        </w:rPr>
        <w:br w:type="page"/>
      </w:r>
    </w:p>
    <w:p w14:paraId="458C6410" w14:textId="77777777" w:rsidR="00CF04BC" w:rsidRPr="00D25898" w:rsidRDefault="00CF04BC" w:rsidP="00E91654">
      <w:pPr>
        <w:pStyle w:val="StyleChapNoNotBold"/>
      </w:pPr>
      <w:bookmarkStart w:id="21" w:name="_Toc201822261"/>
      <w:r w:rsidRPr="00D25898">
        <w:t>CHAPTER 1</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5E7A0B1" w14:textId="77777777" w:rsidR="00CF04BC" w:rsidRPr="00BD7014" w:rsidRDefault="00CF04BC" w:rsidP="00BD7014">
      <w:pPr>
        <w:pStyle w:val="Chaptitle"/>
      </w:pPr>
      <w:bookmarkStart w:id="22" w:name="_Toc289868902"/>
      <w:bookmarkStart w:id="23" w:name="_Toc459746614"/>
      <w:bookmarkStart w:id="24" w:name="_Toc459793713"/>
      <w:bookmarkStart w:id="25" w:name="_Toc459970353"/>
      <w:bookmarkStart w:id="26" w:name="_Toc454284798"/>
      <w:bookmarkStart w:id="27" w:name="_Toc518394131"/>
      <w:bookmarkStart w:id="28" w:name="_Toc459792542"/>
      <w:bookmarkStart w:id="29" w:name="_Toc289933256"/>
      <w:bookmarkStart w:id="30" w:name="_Toc289932210"/>
      <w:bookmarkStart w:id="31" w:name="_Toc289868742"/>
      <w:bookmarkStart w:id="32" w:name="_Toc462233967"/>
      <w:bookmarkStart w:id="33" w:name="_Toc459793855"/>
      <w:bookmarkStart w:id="34" w:name="_Toc291852819"/>
      <w:r w:rsidRPr="00BD7014">
        <w:t>Introduction to economic considerations</w:t>
      </w:r>
      <w:bookmarkEnd w:id="22"/>
      <w:bookmarkEnd w:id="23"/>
      <w:bookmarkEnd w:id="24"/>
      <w:bookmarkEnd w:id="25"/>
      <w:bookmarkEnd w:id="26"/>
      <w:bookmarkEnd w:id="27"/>
      <w:bookmarkEnd w:id="28"/>
      <w:bookmarkEnd w:id="29"/>
      <w:bookmarkEnd w:id="30"/>
      <w:bookmarkEnd w:id="31"/>
      <w:bookmarkEnd w:id="32"/>
      <w:bookmarkEnd w:id="33"/>
      <w:bookmarkEnd w:id="34"/>
    </w:p>
    <w:p w14:paraId="120C68D7" w14:textId="77777777" w:rsidR="00CF04BC" w:rsidRPr="00BD7014" w:rsidRDefault="00CF04BC" w:rsidP="00BD7014">
      <w:pPr>
        <w:pStyle w:val="Heading2"/>
      </w:pPr>
      <w:bookmarkStart w:id="35" w:name="_Toc395503146"/>
      <w:bookmarkStart w:id="36" w:name="_Toc289933257"/>
      <w:bookmarkStart w:id="37" w:name="_Toc394385955"/>
      <w:bookmarkStart w:id="38" w:name="_Toc459793856"/>
      <w:bookmarkStart w:id="39" w:name="_Toc497033889"/>
      <w:bookmarkStart w:id="40" w:name="_Toc462233968"/>
      <w:bookmarkStart w:id="41" w:name="_Toc289932211"/>
      <w:bookmarkStart w:id="42" w:name="_Toc289868903"/>
      <w:bookmarkStart w:id="43" w:name="_Toc459970354"/>
      <w:bookmarkStart w:id="44" w:name="_Toc392515812"/>
      <w:bookmarkStart w:id="45" w:name="_Toc394386042"/>
      <w:bookmarkStart w:id="46" w:name="_Toc289868743"/>
      <w:bookmarkStart w:id="47" w:name="_Toc459746615"/>
      <w:bookmarkStart w:id="48" w:name="_Toc497033091"/>
      <w:bookmarkStart w:id="49" w:name="_Toc459792543"/>
      <w:bookmarkStart w:id="50" w:name="_Toc291852820"/>
      <w:bookmarkStart w:id="51" w:name="_Toc459793714"/>
      <w:bookmarkStart w:id="52" w:name="_Toc518394132"/>
      <w:bookmarkStart w:id="53" w:name="_Toc182391454"/>
      <w:bookmarkStart w:id="54" w:name="_Toc182391865"/>
      <w:bookmarkStart w:id="55" w:name="_Toc201822262"/>
      <w:r w:rsidRPr="00BD7014">
        <w:t>1.1</w:t>
      </w:r>
      <w:r w:rsidRPr="00BD7014">
        <w:tab/>
        <w:t>Need for spectrum economic approach</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11EBEF9" w14:textId="77777777" w:rsidR="00CF04BC" w:rsidRPr="00B93493" w:rsidRDefault="00CF04BC" w:rsidP="00BD7014">
      <w:r w:rsidRPr="00B93493">
        <w:t>The increasing use of new technologies has produced tremendous opportunities for improving the communications infrastructure of a country and the country’s economy. Further, the ongoing technological developments have opened the door to a variety of new spectrum applications. These developments, though often making spectrum use more efficient, have spurred greater interest and demand for the limited spectrum resource. Thus, the efficient and effective management of the spectrum, while crucial to making the most of the opportunities that the spectrum resource represents, grows more complex. Improved data handling capabilities and engineering analysis methods are key to accommodating the number and variety of users seeking access to the spectrum resource. If the spectrum resource is to be used efficiently and effectively, the sharing of the available spectrum has to be coordinated among users in accordance with national regulations within national boundaries and in accordance with the Radio Regulations (RR) of the International Telecommunication Union (ITU) for international use. The ability of each nation to take full advantage of the spectrum resource depends heavily on spectrum managers facilitating the implementation of radio systems, and ensuring their compatible operation. Furthermore, the imbalance between the demand for radio frequencies and the availability of spectrum keeps growing, especially in urban areas. According to economic theory, when demand exceeds supply, a price system should be implemented. As the frequency spectrum is a scarce resource, decisions concerning spectrum management should also consider the economic point of view. Therefore, to improve national spectrum management all available means including economic methods are needed.</w:t>
      </w:r>
    </w:p>
    <w:p w14:paraId="13911925" w14:textId="77777777" w:rsidR="00CF04BC" w:rsidRPr="00B93493" w:rsidRDefault="00CF04BC" w:rsidP="00BD7014">
      <w:r w:rsidRPr="00B93493">
        <w:t>This Report has been developed to assist administrations in the development of strategies on economic approaches to national spectrum management and their financing. In addition, the Report presents a discussion of the benefits of spectrum planning and strategic development and the methods of technical support for national spectrum management. These approaches not only promote economic efficiency but can also promote technical and administrative efficiency.</w:t>
      </w:r>
    </w:p>
    <w:p w14:paraId="407E6D3F" w14:textId="77777777" w:rsidR="00CF04BC" w:rsidRPr="00B93493" w:rsidRDefault="00CF04BC" w:rsidP="00BD7014">
      <w:r w:rsidRPr="00B93493">
        <w:t>Before the economic approaches can be discussed it is first necessary to consider what is an effective spectrum management system and what areas of spectrum management can be appropriately supported by other means.</w:t>
      </w:r>
    </w:p>
    <w:p w14:paraId="4D31CFD5" w14:textId="77777777" w:rsidR="00CF04BC" w:rsidRPr="00B93493" w:rsidRDefault="00CF04BC" w:rsidP="00CF04BC">
      <w:pPr>
        <w:pStyle w:val="Heading2"/>
      </w:pPr>
      <w:bookmarkStart w:id="56" w:name="_Toc459792544"/>
      <w:bookmarkStart w:id="57" w:name="_Toc462233969"/>
      <w:bookmarkStart w:id="58" w:name="_Toc497033890"/>
      <w:bookmarkStart w:id="59" w:name="_Toc459746616"/>
      <w:bookmarkStart w:id="60" w:name="_Toc289868904"/>
      <w:bookmarkStart w:id="61" w:name="_Toc289932212"/>
      <w:bookmarkStart w:id="62" w:name="_Toc291852821"/>
      <w:bookmarkStart w:id="63" w:name="_Toc497033092"/>
      <w:bookmarkStart w:id="64" w:name="_Toc395503147"/>
      <w:bookmarkStart w:id="65" w:name="_Toc459793715"/>
      <w:bookmarkStart w:id="66" w:name="_Toc459970355"/>
      <w:bookmarkStart w:id="67" w:name="_Toc289933258"/>
      <w:bookmarkStart w:id="68" w:name="_Toc289868744"/>
      <w:bookmarkStart w:id="69" w:name="_Toc392515813"/>
      <w:bookmarkStart w:id="70" w:name="_Toc518394133"/>
      <w:bookmarkStart w:id="71" w:name="_Toc394386043"/>
      <w:bookmarkStart w:id="72" w:name="_Toc394385956"/>
      <w:bookmarkStart w:id="73" w:name="_Toc459793857"/>
      <w:bookmarkStart w:id="74" w:name="_Toc182391455"/>
      <w:bookmarkStart w:id="75" w:name="_Toc182391866"/>
      <w:bookmarkStart w:id="76" w:name="_Toc201822263"/>
      <w:r w:rsidRPr="00B93493">
        <w:t>1.2</w:t>
      </w:r>
      <w:r w:rsidRPr="00B93493">
        <w:tab/>
        <w:t>Requirements for national spectrum management</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AFEFA8B" w14:textId="77777777" w:rsidR="00CF04BC" w:rsidRPr="00B93493" w:rsidRDefault="00CF04BC" w:rsidP="00482460">
      <w:r w:rsidRPr="00B93493">
        <w:t>Effective management of the spectrum resource depends on a number of fundamental elements. Although no two administrations are likely to manage the spectrum in exactly the same manner, and the relative importance of these fundamental elements may be dependent on an administration’s use of the spectrum, they are essential to all approaches. For further information on spectrum management functions see the ITU Handbook on National spectrum management.</w:t>
      </w:r>
    </w:p>
    <w:p w14:paraId="72DE6A01" w14:textId="77777777" w:rsidR="00CF04BC" w:rsidRPr="00B93493" w:rsidRDefault="00CF04BC" w:rsidP="00CF04BC">
      <w:pPr>
        <w:pStyle w:val="Heading2"/>
      </w:pPr>
      <w:bookmarkStart w:id="77" w:name="_Toc459793716"/>
      <w:bookmarkStart w:id="78" w:name="_Toc289932213"/>
      <w:bookmarkStart w:id="79" w:name="_Toc291852822"/>
      <w:bookmarkStart w:id="80" w:name="_Toc497033891"/>
      <w:bookmarkStart w:id="81" w:name="_Toc462233970"/>
      <w:bookmarkStart w:id="82" w:name="_Toc459793858"/>
      <w:bookmarkStart w:id="83" w:name="_Toc394385957"/>
      <w:bookmarkStart w:id="84" w:name="_Toc394386044"/>
      <w:bookmarkStart w:id="85" w:name="_Toc395503148"/>
      <w:bookmarkStart w:id="86" w:name="_Toc497033093"/>
      <w:bookmarkStart w:id="87" w:name="_Toc459746617"/>
      <w:bookmarkStart w:id="88" w:name="_Toc459970356"/>
      <w:bookmarkStart w:id="89" w:name="_Toc392515814"/>
      <w:bookmarkStart w:id="90" w:name="_Toc289933259"/>
      <w:bookmarkStart w:id="91" w:name="_Toc289868745"/>
      <w:bookmarkStart w:id="92" w:name="_Toc518394134"/>
      <w:bookmarkStart w:id="93" w:name="_Toc459792545"/>
      <w:bookmarkStart w:id="94" w:name="_Toc289868905"/>
      <w:bookmarkStart w:id="95" w:name="_Toc182391456"/>
      <w:bookmarkStart w:id="96" w:name="_Toc182391867"/>
      <w:bookmarkStart w:id="97" w:name="_Toc201822264"/>
      <w:r w:rsidRPr="00B93493">
        <w:t>1.3</w:t>
      </w:r>
      <w:r w:rsidRPr="00B93493">
        <w:tab/>
        <w:t>Goals and objectives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9959B74" w14:textId="77777777" w:rsidR="00CF04BC" w:rsidRPr="00B93493" w:rsidRDefault="00CF04BC" w:rsidP="00482460">
      <w:r w:rsidRPr="00B93493">
        <w:t>In general, the goals and objectives of the spectrum management system are to facilitate the use of the radio spectrum within the ITU Radio Regulations and in the national interest. The spectrum management system must ensure that adequate spectrum is provided over both the short and long term for public service organizations to fulfil their missions for public correspondence, for private sector business communications, and for broadcasting information to the public. Many administrations also place high priorities on spectrum for research and amateur activities.</w:t>
      </w:r>
    </w:p>
    <w:p w14:paraId="5B798AFA" w14:textId="77777777" w:rsidR="00CF04BC" w:rsidRPr="00B93493" w:rsidRDefault="00CF04BC" w:rsidP="00CF04BC">
      <w:r w:rsidRPr="00B93493">
        <w:t>In order to accomplish these goals, the spectrum management system must provide an orderly method for allocating frequency bands, authorizing and recording frequency use, establishing regulations and standards to govern spectrum use, resolving spectrum conflicts, and representing national interests in international fora.</w:t>
      </w:r>
    </w:p>
    <w:p w14:paraId="60D590DB" w14:textId="77777777" w:rsidR="00CF04BC" w:rsidRPr="00482460" w:rsidRDefault="00CF04BC" w:rsidP="00482460">
      <w:pPr>
        <w:pStyle w:val="Heading3"/>
      </w:pPr>
      <w:bookmarkStart w:id="98" w:name="_Toc497033094"/>
      <w:bookmarkStart w:id="99" w:name="_Toc395503149"/>
      <w:bookmarkStart w:id="100" w:name="_Toc459746618"/>
      <w:bookmarkStart w:id="101" w:name="_Toc459793859"/>
      <w:bookmarkStart w:id="102" w:name="_Toc459792546"/>
      <w:bookmarkStart w:id="103" w:name="_Toc462233971"/>
      <w:bookmarkStart w:id="104" w:name="_Toc289868906"/>
      <w:bookmarkStart w:id="105" w:name="_Toc289933260"/>
      <w:bookmarkStart w:id="106" w:name="_Toc392515815"/>
      <w:bookmarkStart w:id="107" w:name="_Toc289868746"/>
      <w:bookmarkStart w:id="108" w:name="_Toc518394135"/>
      <w:bookmarkStart w:id="109" w:name="_Toc459970357"/>
      <w:bookmarkStart w:id="110" w:name="_Toc394386045"/>
      <w:bookmarkStart w:id="111" w:name="_Toc459793717"/>
      <w:bookmarkStart w:id="112" w:name="_Toc289932214"/>
      <w:bookmarkStart w:id="113" w:name="_Toc394385958"/>
      <w:bookmarkStart w:id="114" w:name="_Toc497033892"/>
      <w:bookmarkStart w:id="115" w:name="_Toc291852823"/>
      <w:bookmarkStart w:id="116" w:name="_Toc182391457"/>
      <w:bookmarkStart w:id="117" w:name="_Toc182391868"/>
      <w:r w:rsidRPr="00482460">
        <w:t>1.3.1</w:t>
      </w:r>
      <w:r w:rsidRPr="00482460">
        <w:tab/>
        <w:t>Radiocommunications law</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C22FAF2" w14:textId="77777777" w:rsidR="00CF04BC" w:rsidRPr="00B93493" w:rsidRDefault="00CF04BC" w:rsidP="00482460">
      <w:r w:rsidRPr="00B93493">
        <w:t>The use and regulation of radiocommunications must be covered within each nation’s laws. In areas where radiocommunications use is not extensive, and where the need for management of the spectrum may not yet be crucial, national governments must still anticipate the increase of radio use and ensure that an adequate legal structure is in place.</w:t>
      </w:r>
    </w:p>
    <w:p w14:paraId="65020A80" w14:textId="77777777" w:rsidR="00CF04BC" w:rsidRPr="00482460" w:rsidRDefault="00CF04BC" w:rsidP="00482460">
      <w:pPr>
        <w:pStyle w:val="Heading3"/>
      </w:pPr>
      <w:bookmarkStart w:id="118" w:name="_Toc518394136"/>
      <w:bookmarkStart w:id="119" w:name="_Toc394385959"/>
      <w:bookmarkStart w:id="120" w:name="_Toc459793718"/>
      <w:bookmarkStart w:id="121" w:name="_Toc459746619"/>
      <w:bookmarkStart w:id="122" w:name="_Toc497033095"/>
      <w:bookmarkStart w:id="123" w:name="_Toc395503150"/>
      <w:bookmarkStart w:id="124" w:name="_Toc459793860"/>
      <w:bookmarkStart w:id="125" w:name="_Toc289868747"/>
      <w:bookmarkStart w:id="126" w:name="_Toc289868907"/>
      <w:bookmarkStart w:id="127" w:name="_Toc289933261"/>
      <w:bookmarkStart w:id="128" w:name="_Toc392515816"/>
      <w:bookmarkStart w:id="129" w:name="_Toc497033893"/>
      <w:bookmarkStart w:id="130" w:name="_Toc291852824"/>
      <w:bookmarkStart w:id="131" w:name="_Toc459970358"/>
      <w:bookmarkStart w:id="132" w:name="_Toc289932215"/>
      <w:bookmarkStart w:id="133" w:name="_Toc462233972"/>
      <w:bookmarkStart w:id="134" w:name="_Toc394386046"/>
      <w:bookmarkStart w:id="135" w:name="_Toc459792547"/>
      <w:bookmarkStart w:id="136" w:name="_Toc182391458"/>
      <w:bookmarkStart w:id="137" w:name="_Toc182391869"/>
      <w:r w:rsidRPr="00482460">
        <w:t>1.3.2</w:t>
      </w:r>
      <w:r w:rsidRPr="00482460">
        <w:tab/>
        <w:t>National allocation tables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A59C29E" w14:textId="77777777" w:rsidR="00CF04BC" w:rsidRPr="00B93493" w:rsidRDefault="00CF04BC" w:rsidP="00482460">
      <w:r w:rsidRPr="00B93493">
        <w:t>A national table of frequency allocations provides a foundation for an effective spectrum management process. It provides a general plan for spectrum use and the basic structure to ensure efficient use of the spectrum and the prevention of RF interference between services nationally and internationally.</w:t>
      </w:r>
    </w:p>
    <w:p w14:paraId="008BF361" w14:textId="77777777" w:rsidR="00CF04BC" w:rsidRPr="00482460" w:rsidRDefault="00CF04BC" w:rsidP="00482460">
      <w:pPr>
        <w:pStyle w:val="Heading2"/>
      </w:pPr>
      <w:bookmarkStart w:id="138" w:name="_Toc289868908"/>
      <w:bookmarkStart w:id="139" w:name="_Toc289868748"/>
      <w:bookmarkStart w:id="140" w:name="_Toc459746620"/>
      <w:bookmarkStart w:id="141" w:name="_Toc395503151"/>
      <w:bookmarkStart w:id="142" w:name="_Toc394385960"/>
      <w:bookmarkStart w:id="143" w:name="_Toc459970359"/>
      <w:bookmarkStart w:id="144" w:name="_Toc289932216"/>
      <w:bookmarkStart w:id="145" w:name="_Toc289933262"/>
      <w:bookmarkStart w:id="146" w:name="_Toc459793719"/>
      <w:bookmarkStart w:id="147" w:name="_Toc291852825"/>
      <w:bookmarkStart w:id="148" w:name="_Toc394386047"/>
      <w:bookmarkStart w:id="149" w:name="_Toc459792548"/>
      <w:bookmarkStart w:id="150" w:name="_Toc497033096"/>
      <w:bookmarkStart w:id="151" w:name="_Toc459793861"/>
      <w:bookmarkStart w:id="152" w:name="_Toc392515817"/>
      <w:bookmarkStart w:id="153" w:name="_Toc497033894"/>
      <w:bookmarkStart w:id="154" w:name="_Toc462233973"/>
      <w:bookmarkStart w:id="155" w:name="_Toc518394137"/>
      <w:bookmarkStart w:id="156" w:name="_Toc182391459"/>
      <w:bookmarkStart w:id="157" w:name="_Toc182391870"/>
      <w:bookmarkStart w:id="158" w:name="_Toc201822265"/>
      <w:r w:rsidRPr="00482460">
        <w:t>1.4</w:t>
      </w:r>
      <w:r w:rsidRPr="00482460">
        <w:tab/>
        <w:t>Structure and coordination</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4048AC3" w14:textId="77777777" w:rsidR="00CF04BC" w:rsidRPr="00B93493" w:rsidRDefault="00CF04BC" w:rsidP="00482460">
      <w:r w:rsidRPr="00B93493">
        <w:t>Spectrum management activities may be performed by a government body or by a combination of government bodies and private sector organizations. Which government bodies or organizations are given the authority to manage the spectrum, will however, depend upon the structure of the national government itself and will vary from country to country.</w:t>
      </w:r>
    </w:p>
    <w:p w14:paraId="0D4C0900" w14:textId="77777777" w:rsidR="00CF04BC" w:rsidRPr="00482460" w:rsidRDefault="00CF04BC" w:rsidP="00482460">
      <w:pPr>
        <w:pStyle w:val="Heading2"/>
      </w:pPr>
      <w:bookmarkStart w:id="159" w:name="_Toc459746622"/>
      <w:bookmarkStart w:id="160" w:name="_Toc459792550"/>
      <w:bookmarkStart w:id="161" w:name="_Toc289868749"/>
      <w:bookmarkStart w:id="162" w:name="_Toc497033896"/>
      <w:bookmarkStart w:id="163" w:name="_Toc392515818"/>
      <w:bookmarkStart w:id="164" w:name="_Toc289933263"/>
      <w:bookmarkStart w:id="165" w:name="_Toc394385962"/>
      <w:bookmarkStart w:id="166" w:name="_Toc518394138"/>
      <w:bookmarkStart w:id="167" w:name="_Toc462233974"/>
      <w:bookmarkStart w:id="168" w:name="_Toc394386049"/>
      <w:bookmarkStart w:id="169" w:name="_Toc291852826"/>
      <w:bookmarkStart w:id="170" w:name="_Toc497033098"/>
      <w:bookmarkStart w:id="171" w:name="_Toc459970361"/>
      <w:bookmarkStart w:id="172" w:name="_Toc459793721"/>
      <w:bookmarkStart w:id="173" w:name="_Toc289932217"/>
      <w:bookmarkStart w:id="174" w:name="_Toc395503153"/>
      <w:bookmarkStart w:id="175" w:name="_Toc289868909"/>
      <w:bookmarkStart w:id="176" w:name="_Toc459793863"/>
      <w:bookmarkStart w:id="177" w:name="_Toc182391460"/>
      <w:bookmarkStart w:id="178" w:name="_Toc182391871"/>
      <w:bookmarkStart w:id="179" w:name="_Toc201822266"/>
      <w:r w:rsidRPr="00482460">
        <w:t>1.5</w:t>
      </w:r>
      <w:r w:rsidRPr="00482460">
        <w:tab/>
        <w:t>Functional responsibilities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901FFC8" w14:textId="77777777" w:rsidR="00CF04BC" w:rsidRPr="00B93493" w:rsidRDefault="00CF04BC" w:rsidP="00482460">
      <w:r w:rsidRPr="00B93493">
        <w:t>The spectrum management structure is naturally formed around the functions that it must perform. The basic functions are:</w:t>
      </w:r>
    </w:p>
    <w:p w14:paraId="1CBE7563" w14:textId="0108C73F" w:rsidR="00CF04BC" w:rsidRPr="00482460" w:rsidRDefault="00CF04BC" w:rsidP="00482460">
      <w:pPr>
        <w:pStyle w:val="enumlev1"/>
      </w:pPr>
      <w:r w:rsidRPr="00482460">
        <w:t>–</w:t>
      </w:r>
      <w:r w:rsidRPr="00482460">
        <w:tab/>
        <w:t>spectrum management policy and planning/allocation of spectrum;</w:t>
      </w:r>
    </w:p>
    <w:p w14:paraId="51AA0AF7" w14:textId="77777777" w:rsidR="00CF04BC" w:rsidRPr="00482460" w:rsidRDefault="00CF04BC" w:rsidP="00482460">
      <w:pPr>
        <w:pStyle w:val="enumlev1"/>
      </w:pPr>
      <w:r w:rsidRPr="00482460">
        <w:t>–</w:t>
      </w:r>
      <w:r w:rsidRPr="00482460">
        <w:tab/>
        <w:t>frequency assignment and licensing;</w:t>
      </w:r>
    </w:p>
    <w:p w14:paraId="037381D2" w14:textId="77777777" w:rsidR="00CF04BC" w:rsidRPr="00482460" w:rsidRDefault="00CF04BC" w:rsidP="00482460">
      <w:pPr>
        <w:pStyle w:val="enumlev1"/>
      </w:pPr>
      <w:r w:rsidRPr="00482460">
        <w:t>–</w:t>
      </w:r>
      <w:r w:rsidRPr="00482460">
        <w:tab/>
        <w:t>standards, specifications, and equipment authorization;</w:t>
      </w:r>
    </w:p>
    <w:p w14:paraId="014811D6" w14:textId="77777777" w:rsidR="00CF04BC" w:rsidRPr="00482460" w:rsidRDefault="00CF04BC" w:rsidP="00482460">
      <w:pPr>
        <w:pStyle w:val="enumlev1"/>
      </w:pPr>
      <w:r w:rsidRPr="00482460">
        <w:t>–</w:t>
      </w:r>
      <w:r w:rsidRPr="00482460">
        <w:tab/>
        <w:t>spectrum control (enforcement and monitoring);</w:t>
      </w:r>
    </w:p>
    <w:p w14:paraId="44E0E93A" w14:textId="77777777" w:rsidR="00CF04BC" w:rsidRPr="00482460" w:rsidRDefault="00CF04BC" w:rsidP="00482460">
      <w:pPr>
        <w:pStyle w:val="enumlev1"/>
      </w:pPr>
      <w:r w:rsidRPr="00482460">
        <w:t>–</w:t>
      </w:r>
      <w:r w:rsidRPr="00482460">
        <w:tab/>
        <w:t>international cooperation;</w:t>
      </w:r>
    </w:p>
    <w:p w14:paraId="03602F8A" w14:textId="77777777" w:rsidR="00CF04BC" w:rsidRPr="00482460" w:rsidRDefault="00CF04BC" w:rsidP="00482460">
      <w:pPr>
        <w:pStyle w:val="enumlev1"/>
      </w:pPr>
      <w:r w:rsidRPr="00482460">
        <w:t>–</w:t>
      </w:r>
      <w:r w:rsidRPr="00482460">
        <w:tab/>
        <w:t>liaison and consultation;</w:t>
      </w:r>
    </w:p>
    <w:p w14:paraId="1C0C7B6E" w14:textId="77777777" w:rsidR="00CF04BC" w:rsidRPr="00482460" w:rsidRDefault="00CF04BC" w:rsidP="00482460">
      <w:pPr>
        <w:pStyle w:val="enumlev1"/>
      </w:pPr>
      <w:r w:rsidRPr="00482460">
        <w:t>–</w:t>
      </w:r>
      <w:r w:rsidRPr="00482460">
        <w:tab/>
        <w:t>spectrum engineering support;</w:t>
      </w:r>
    </w:p>
    <w:p w14:paraId="25E7EA94" w14:textId="77777777" w:rsidR="00CF04BC" w:rsidRPr="00482460" w:rsidRDefault="00CF04BC" w:rsidP="00482460">
      <w:pPr>
        <w:pStyle w:val="enumlev1"/>
      </w:pPr>
      <w:r w:rsidRPr="00482460">
        <w:t>–</w:t>
      </w:r>
      <w:r w:rsidRPr="00482460">
        <w:tab/>
        <w:t>computer support;</w:t>
      </w:r>
    </w:p>
    <w:p w14:paraId="4D1EEB68" w14:textId="77777777" w:rsidR="00CF04BC" w:rsidRPr="00482460" w:rsidRDefault="00CF04BC" w:rsidP="00482460">
      <w:pPr>
        <w:pStyle w:val="enumlev1"/>
      </w:pPr>
      <w:r w:rsidRPr="00482460">
        <w:t>–</w:t>
      </w:r>
      <w:r w:rsidRPr="00482460">
        <w:tab/>
        <w:t>administrative and legal support.</w:t>
      </w:r>
    </w:p>
    <w:p w14:paraId="3639E51A" w14:textId="77777777" w:rsidR="00CF04BC" w:rsidRPr="00B93493" w:rsidRDefault="00CF04BC" w:rsidP="00D071FE">
      <w:r w:rsidRPr="00B93493">
        <w:t>Administrative and legal support functions will necessarily be a part of the spectrum management organization, but they are common to all organizations and thus it is not necessary to discuss these in relation to spectrum management.</w:t>
      </w:r>
    </w:p>
    <w:p w14:paraId="6616D4A2" w14:textId="77777777" w:rsidR="00CF04BC" w:rsidRPr="00D071FE" w:rsidRDefault="00CF04BC" w:rsidP="00D071FE">
      <w:pPr>
        <w:pStyle w:val="Heading3"/>
      </w:pPr>
      <w:bookmarkStart w:id="180" w:name="_Toc289933264"/>
      <w:bookmarkStart w:id="181" w:name="_Toc394386050"/>
      <w:bookmarkStart w:id="182" w:name="_Toc459793864"/>
      <w:bookmarkStart w:id="183" w:name="_Toc459970362"/>
      <w:bookmarkStart w:id="184" w:name="_Toc497033099"/>
      <w:bookmarkStart w:id="185" w:name="_Toc459793722"/>
      <w:bookmarkStart w:id="186" w:name="_Toc395503154"/>
      <w:bookmarkStart w:id="187" w:name="_Toc497033897"/>
      <w:bookmarkStart w:id="188" w:name="_Toc459746623"/>
      <w:bookmarkStart w:id="189" w:name="_Toc392515819"/>
      <w:bookmarkStart w:id="190" w:name="_Toc518394139"/>
      <w:bookmarkStart w:id="191" w:name="_Toc459792551"/>
      <w:bookmarkStart w:id="192" w:name="_Toc289868910"/>
      <w:bookmarkStart w:id="193" w:name="_Toc291852827"/>
      <w:bookmarkStart w:id="194" w:name="_Toc289868750"/>
      <w:bookmarkStart w:id="195" w:name="_Toc394385963"/>
      <w:bookmarkStart w:id="196" w:name="_Toc289932218"/>
      <w:bookmarkStart w:id="197" w:name="_Toc462233975"/>
      <w:bookmarkStart w:id="198" w:name="_Toc182391461"/>
      <w:bookmarkStart w:id="199" w:name="_Toc182391872"/>
      <w:r w:rsidRPr="00D071FE">
        <w:t>1.5.1</w:t>
      </w:r>
      <w:r w:rsidRPr="00D071FE">
        <w:tab/>
        <w:t>Spectrum management policy and planning/allocation of spectrum</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4E841EA" w14:textId="77777777" w:rsidR="00CF04BC" w:rsidRPr="00B93493" w:rsidRDefault="00CF04BC" w:rsidP="00D071FE">
      <w:r w:rsidRPr="00B93493">
        <w:t>The national spectrum management organization should develop and implement policies and plans relating to the use of the radio spectrum, taking into account advances in technology as well as social, economic and political realities. National radiocommunications policy is commonly associated with regulation development because the regulations generally follow the establishment of policies and plans. Accordingly, it is often a primary function of the policy and planning unit to conduct studies to determine existing and future radiocommunications needs of the country and to develop policies to ensure the best combination of radio and wireline communications systems employed in meeting the identified needs.</w:t>
      </w:r>
    </w:p>
    <w:p w14:paraId="2D357989" w14:textId="77777777" w:rsidR="00CF04BC" w:rsidRPr="00B93493" w:rsidRDefault="00CF04BC" w:rsidP="00D071FE">
      <w:r w:rsidRPr="00B93493">
        <w:t>The primary result of the planning and policy-making effort is the allocation of frequency bands to the various radio services. The designation of frequency bands for specific uses serves as the first step to promoting spectrum use. From allocation decisions follow further considerations such as standards, sharing criteria, channelling plans and others.</w:t>
      </w:r>
    </w:p>
    <w:p w14:paraId="77845A34" w14:textId="77777777" w:rsidR="00CF04BC" w:rsidRPr="00D071FE" w:rsidRDefault="00CF04BC" w:rsidP="00D071FE">
      <w:pPr>
        <w:pStyle w:val="Heading3"/>
      </w:pPr>
      <w:bookmarkStart w:id="200" w:name="_Toc291852828"/>
      <w:bookmarkStart w:id="201" w:name="_Toc462233976"/>
      <w:bookmarkStart w:id="202" w:name="_Toc289933265"/>
      <w:bookmarkStart w:id="203" w:name="_Toc392515820"/>
      <w:bookmarkStart w:id="204" w:name="_Toc497033100"/>
      <w:bookmarkStart w:id="205" w:name="_Toc497033898"/>
      <w:bookmarkStart w:id="206" w:name="_Toc289868911"/>
      <w:bookmarkStart w:id="207" w:name="_Toc289932219"/>
      <w:bookmarkStart w:id="208" w:name="_Toc459793723"/>
      <w:bookmarkStart w:id="209" w:name="_Toc459970363"/>
      <w:bookmarkStart w:id="210" w:name="_Toc395503155"/>
      <w:bookmarkStart w:id="211" w:name="_Toc459792552"/>
      <w:bookmarkStart w:id="212" w:name="_Toc394385964"/>
      <w:bookmarkStart w:id="213" w:name="_Toc459793865"/>
      <w:bookmarkStart w:id="214" w:name="_Toc518394140"/>
      <w:bookmarkStart w:id="215" w:name="_Toc289868751"/>
      <w:bookmarkStart w:id="216" w:name="_Toc394386051"/>
      <w:bookmarkStart w:id="217" w:name="_Toc459746624"/>
      <w:bookmarkStart w:id="218" w:name="_Toc182391462"/>
      <w:bookmarkStart w:id="219" w:name="_Toc182391873"/>
      <w:r w:rsidRPr="00D071FE">
        <w:t>1.5.2</w:t>
      </w:r>
      <w:r w:rsidRPr="00D071FE">
        <w:tab/>
        <w:t>Frequency assignment and licensing</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B856A23" w14:textId="77777777" w:rsidR="00CF04BC" w:rsidRPr="00B93493" w:rsidRDefault="00CF04BC" w:rsidP="00D071FE">
      <w:r w:rsidRPr="00B93493">
        <w:t>Providing or assigning frequencies represents the heart of the daily operation of the spectrum management organization. The frequency assignment unit performs, or coordinates the performance of, whatever analysis is required to select the most appropriate frequencies for radiocommunications systems. It also coordinates all proposed assignments with regard to existing assignments.</w:t>
      </w:r>
    </w:p>
    <w:p w14:paraId="38459443" w14:textId="77777777" w:rsidR="00CF04BC" w:rsidRPr="00D071FE" w:rsidRDefault="00CF04BC" w:rsidP="00D071FE">
      <w:pPr>
        <w:pStyle w:val="Heading3"/>
      </w:pPr>
      <w:bookmarkStart w:id="220" w:name="_Toc392515821"/>
      <w:bookmarkStart w:id="221" w:name="_Toc395503158"/>
      <w:bookmarkStart w:id="222" w:name="_Toc459792557"/>
      <w:bookmarkStart w:id="223" w:name="_Toc394385967"/>
      <w:bookmarkStart w:id="224" w:name="_Toc394386054"/>
      <w:bookmarkStart w:id="225" w:name="_Toc459793870"/>
      <w:bookmarkStart w:id="226" w:name="_Toc497033105"/>
      <w:bookmarkStart w:id="227" w:name="_Toc459746629"/>
      <w:bookmarkStart w:id="228" w:name="_Toc289933266"/>
      <w:bookmarkStart w:id="229" w:name="_Toc291852829"/>
      <w:bookmarkStart w:id="230" w:name="_Toc289868912"/>
      <w:bookmarkStart w:id="231" w:name="_Toc462233977"/>
      <w:bookmarkStart w:id="232" w:name="_Toc459793728"/>
      <w:bookmarkStart w:id="233" w:name="_Toc497033903"/>
      <w:bookmarkStart w:id="234" w:name="_Toc289932220"/>
      <w:bookmarkStart w:id="235" w:name="_Toc518394141"/>
      <w:bookmarkStart w:id="236" w:name="_Toc289868752"/>
      <w:bookmarkStart w:id="237" w:name="_Toc459970366"/>
      <w:bookmarkStart w:id="238" w:name="_Toc182391463"/>
      <w:bookmarkStart w:id="239" w:name="_Toc182391874"/>
      <w:r w:rsidRPr="00D071FE">
        <w:t>1.5.3</w:t>
      </w:r>
      <w:r w:rsidRPr="00D071FE">
        <w:tab/>
        <w:t>International cooperation</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055961F" w14:textId="77777777" w:rsidR="00CF04BC" w:rsidRPr="00B93493" w:rsidRDefault="00CF04BC" w:rsidP="004C58CF">
      <w:r w:rsidRPr="00B93493">
        <w:t>Radiocommunications have a significance that goes beyond the borders of each nation. Navigation equipment is standardized to allow movement throughout the world. Satellite system transmissions facilitate worldwide communications. Radio wave propagation is unhindered by political boundaries. Communications system manufactur</w:t>
      </w:r>
      <w:r w:rsidRPr="00B93493">
        <w:softHyphen/>
        <w:t>ers produce equipment for many markets, and the more the markets encourage commonality the simpler and less expensive the production process will be. For each of these reasons, the national spectrum manager’s ability to participate in international fora becomes significant. International activities include those within the ITU, those within other international bodies, and bilateral discussions between neighbouring countries concerned with ITU Radio Regulations.</w:t>
      </w:r>
    </w:p>
    <w:p w14:paraId="4E6CFD8D" w14:textId="77777777" w:rsidR="00CF04BC" w:rsidRPr="00D071FE" w:rsidRDefault="00CF04BC" w:rsidP="00D071FE">
      <w:pPr>
        <w:pStyle w:val="Heading3"/>
      </w:pPr>
      <w:bookmarkStart w:id="240" w:name="_Toc459793871"/>
      <w:bookmarkStart w:id="241" w:name="_Toc497033106"/>
      <w:bookmarkStart w:id="242" w:name="_Toc497033904"/>
      <w:bookmarkStart w:id="243" w:name="_Toc289868913"/>
      <w:bookmarkStart w:id="244" w:name="_Toc289868753"/>
      <w:bookmarkStart w:id="245" w:name="_Toc459970367"/>
      <w:bookmarkStart w:id="246" w:name="_Toc518394142"/>
      <w:bookmarkStart w:id="247" w:name="_Toc289933267"/>
      <w:bookmarkStart w:id="248" w:name="_Toc462233978"/>
      <w:bookmarkStart w:id="249" w:name="_Toc291852830"/>
      <w:bookmarkStart w:id="250" w:name="_Toc289932221"/>
      <w:bookmarkStart w:id="251" w:name="_Toc392515822"/>
      <w:bookmarkStart w:id="252" w:name="_Toc394386055"/>
      <w:bookmarkStart w:id="253" w:name="_Toc395503159"/>
      <w:bookmarkStart w:id="254" w:name="_Toc459746630"/>
      <w:bookmarkStart w:id="255" w:name="_Toc459792558"/>
      <w:bookmarkStart w:id="256" w:name="_Toc394385968"/>
      <w:bookmarkStart w:id="257" w:name="_Toc459793729"/>
      <w:bookmarkStart w:id="258" w:name="_Toc182391464"/>
      <w:bookmarkStart w:id="259" w:name="_Toc182391875"/>
      <w:r w:rsidRPr="00D071FE">
        <w:t>1.5.4</w:t>
      </w:r>
      <w:r w:rsidRPr="00D071FE">
        <w:tab/>
        <w:t>Liaison and consultation</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4647DF57" w14:textId="77777777" w:rsidR="00CF04BC" w:rsidRPr="00B93493" w:rsidRDefault="00CF04BC" w:rsidP="004C58CF">
      <w:r w:rsidRPr="00B93493">
        <w:t>In order to be effective, the spectrum management organization must communicate with and consult its constituents, i.e. the radio users composed of businesses, the communications industry, government users and the general public. This includes dissemination of information on the policies, rules and practices of the administration and provides mechanisms for feedback to evaluate the results of these policies, rules and practices.</w:t>
      </w:r>
    </w:p>
    <w:p w14:paraId="4E4FF3A2" w14:textId="77777777" w:rsidR="00CF04BC" w:rsidRPr="00B93493" w:rsidRDefault="00CF04BC" w:rsidP="00CF04BC">
      <w:pPr>
        <w:pStyle w:val="Heading3"/>
      </w:pPr>
      <w:bookmarkStart w:id="260" w:name="_Toc497033107"/>
      <w:bookmarkStart w:id="261" w:name="_Toc395503160"/>
      <w:bookmarkStart w:id="262" w:name="_Toc459792559"/>
      <w:bookmarkStart w:id="263" w:name="_Toc394386056"/>
      <w:bookmarkStart w:id="264" w:name="_Toc394385969"/>
      <w:bookmarkStart w:id="265" w:name="_Toc459793730"/>
      <w:bookmarkStart w:id="266" w:name="_Toc289932222"/>
      <w:bookmarkStart w:id="267" w:name="_Toc289933268"/>
      <w:bookmarkStart w:id="268" w:name="_Toc289868914"/>
      <w:bookmarkStart w:id="269" w:name="_Toc392515823"/>
      <w:bookmarkStart w:id="270" w:name="_Toc289868754"/>
      <w:bookmarkStart w:id="271" w:name="_Toc459746631"/>
      <w:bookmarkStart w:id="272" w:name="_Toc459793872"/>
      <w:bookmarkStart w:id="273" w:name="_Toc497033905"/>
      <w:bookmarkStart w:id="274" w:name="_Toc291852831"/>
      <w:bookmarkStart w:id="275" w:name="_Toc462233979"/>
      <w:bookmarkStart w:id="276" w:name="_Toc518394143"/>
      <w:bookmarkStart w:id="277" w:name="_Toc459970368"/>
      <w:bookmarkStart w:id="278" w:name="_Toc182391465"/>
      <w:bookmarkStart w:id="279" w:name="_Toc182391876"/>
      <w:r w:rsidRPr="00B93493">
        <w:t>1.5.5</w:t>
      </w:r>
      <w:r w:rsidRPr="00B93493">
        <w:tab/>
        <w:t>Spectrum engineering support</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6C425E52" w14:textId="77777777" w:rsidR="00CF04BC" w:rsidRPr="00B93493" w:rsidRDefault="00CF04BC" w:rsidP="004C58CF">
      <w:r w:rsidRPr="00B93493">
        <w:t>Since spectrum management involves decisions pertaining to a field of technology, engineering support is required to adequately evaluate the information, capabilities and choices involved. Engineering support can assist the spectrum manager in many ways. For example, interference situations can often be prevented or resolved through technical analysis. The equipment specifications and standards necessary to ensure compatibility between systems can be determined. Frequencies can be assigned using models or methods developed through engineering support. Also, the resolution of many spectrum allocation issues can be facilitated by analysis of spectrum use and future requirements.</w:t>
      </w:r>
    </w:p>
    <w:p w14:paraId="49297323" w14:textId="77777777" w:rsidR="00CF04BC" w:rsidRPr="00B93493" w:rsidRDefault="00CF04BC" w:rsidP="00CF04BC">
      <w:pPr>
        <w:pStyle w:val="Heading3"/>
      </w:pPr>
      <w:bookmarkStart w:id="280" w:name="_Toc395503161"/>
      <w:bookmarkStart w:id="281" w:name="_Toc459746632"/>
      <w:bookmarkStart w:id="282" w:name="_Toc459792560"/>
      <w:bookmarkStart w:id="283" w:name="_Toc459793731"/>
      <w:bookmarkStart w:id="284" w:name="_Toc459970369"/>
      <w:bookmarkStart w:id="285" w:name="_Toc497033906"/>
      <w:bookmarkStart w:id="286" w:name="_Toc289868915"/>
      <w:bookmarkStart w:id="287" w:name="_Toc289932223"/>
      <w:bookmarkStart w:id="288" w:name="_Toc394386057"/>
      <w:bookmarkStart w:id="289" w:name="_Toc394385970"/>
      <w:bookmarkStart w:id="290" w:name="_Toc462233980"/>
      <w:bookmarkStart w:id="291" w:name="_Toc392515824"/>
      <w:bookmarkStart w:id="292" w:name="_Toc518394144"/>
      <w:bookmarkStart w:id="293" w:name="_Toc289868755"/>
      <w:bookmarkStart w:id="294" w:name="_Toc497033108"/>
      <w:bookmarkStart w:id="295" w:name="_Toc289933269"/>
      <w:bookmarkStart w:id="296" w:name="_Toc459793873"/>
      <w:bookmarkStart w:id="297" w:name="_Toc291852832"/>
      <w:bookmarkStart w:id="298" w:name="_Toc182391466"/>
      <w:bookmarkStart w:id="299" w:name="_Toc182391877"/>
      <w:r w:rsidRPr="00B93493">
        <w:t>1.5.6</w:t>
      </w:r>
      <w:r w:rsidRPr="00B93493">
        <w:tab/>
        <w:t>Computer support</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5632EF96" w14:textId="77777777" w:rsidR="00CF04BC" w:rsidRPr="00B93493" w:rsidRDefault="00CF04BC" w:rsidP="004C58CF">
      <w:r w:rsidRPr="00B93493">
        <w:t>The extent to which computer support facilities are available to be used and are used by the spectrum management authority depends on the resources, priorities, and particular requirements of the country concerned. Computer support may cover licensing records to complex engineering calculations and may include the development, provision, and maintenance of support facilities for nearly all spectrum management activities, including record keeping, forecasting and financial management related to licensing.</w:t>
      </w:r>
    </w:p>
    <w:p w14:paraId="7B1E4094" w14:textId="77777777" w:rsidR="00CF04BC" w:rsidRPr="004C58CF" w:rsidRDefault="00CF04BC" w:rsidP="009B389D">
      <w:pPr>
        <w:pStyle w:val="Heading2"/>
      </w:pPr>
      <w:bookmarkStart w:id="300" w:name="_Toc394385971"/>
      <w:bookmarkStart w:id="301" w:name="_Toc394386058"/>
      <w:bookmarkStart w:id="302" w:name="_Toc459746633"/>
      <w:bookmarkStart w:id="303" w:name="_Toc497033109"/>
      <w:bookmarkStart w:id="304" w:name="_Toc289932224"/>
      <w:bookmarkStart w:id="305" w:name="_Toc392515825"/>
      <w:bookmarkStart w:id="306" w:name="_Toc289868756"/>
      <w:bookmarkStart w:id="307" w:name="_Toc459793874"/>
      <w:bookmarkStart w:id="308" w:name="_Toc462233981"/>
      <w:bookmarkStart w:id="309" w:name="_Toc289933270"/>
      <w:bookmarkStart w:id="310" w:name="_Toc518394145"/>
      <w:bookmarkStart w:id="311" w:name="_Toc497033907"/>
      <w:bookmarkStart w:id="312" w:name="_Toc395503162"/>
      <w:bookmarkStart w:id="313" w:name="_Toc289868916"/>
      <w:bookmarkStart w:id="314" w:name="_Toc459793732"/>
      <w:bookmarkStart w:id="315" w:name="_Toc459970370"/>
      <w:bookmarkStart w:id="316" w:name="_Toc291852833"/>
      <w:bookmarkStart w:id="317" w:name="_Toc459792561"/>
      <w:bookmarkStart w:id="318" w:name="_Toc182391467"/>
      <w:bookmarkStart w:id="319" w:name="_Toc182391878"/>
      <w:bookmarkStart w:id="320" w:name="_Toc201822267"/>
      <w:r w:rsidRPr="004C58CF">
        <w:t>1.6</w:t>
      </w:r>
      <w:r w:rsidRPr="004C58CF">
        <w:tab/>
        <w:t>Performance of spectrum management function</w:t>
      </w:r>
      <w:bookmarkEnd w:id="300"/>
      <w:bookmarkEnd w:id="301"/>
      <w:r w:rsidRPr="004C58CF">
        <w:t>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52A06DF8" w14:textId="77777777" w:rsidR="00CF04BC" w:rsidRDefault="00CF04BC" w:rsidP="009B389D">
      <w:pPr>
        <w:keepNext/>
        <w:keepLines/>
      </w:pPr>
      <w:r w:rsidRPr="00B93493">
        <w:t>The previously described spectrum management functions need to be established in order to have an effective spectrum management system. However not every aspect of each function needs to be performed by the national spectrum management organization. The policy or overall management authority must, however, remain with the national spectrum management organizations. The following Chapters discuss the means by which spectrum management may be funded and the means by which economic approaches may improve the efficiency of spectrum use, methods of assessing the benefits of spectrum use and the use of other organizations to support and/or provide part, or all, of specific spectrum management functions.</w:t>
      </w:r>
    </w:p>
    <w:p w14:paraId="6FA794D7" w14:textId="2D2ABDD3" w:rsidR="00CF04BC" w:rsidRDefault="00CF04BC" w:rsidP="009B389D"/>
    <w:p w14:paraId="5806B427" w14:textId="77777777" w:rsidR="009B389D" w:rsidRDefault="009B389D" w:rsidP="009B389D"/>
    <w:p w14:paraId="0B05DC78" w14:textId="77777777" w:rsidR="00CF04BC" w:rsidRPr="00F63AE2" w:rsidRDefault="00CF04BC" w:rsidP="00E91654">
      <w:pPr>
        <w:pStyle w:val="StyleChapNoNotBold1"/>
      </w:pPr>
      <w:bookmarkStart w:id="321" w:name="_Toc289868917"/>
      <w:bookmarkStart w:id="322" w:name="_Toc289868757"/>
      <w:bookmarkStart w:id="323" w:name="_Toc289933271"/>
      <w:bookmarkStart w:id="324" w:name="_Toc518394146"/>
      <w:bookmarkStart w:id="325" w:name="_Toc291852834"/>
      <w:bookmarkStart w:id="326" w:name="_Toc289932225"/>
      <w:bookmarkStart w:id="327" w:name="_Toc462233982"/>
      <w:bookmarkStart w:id="328" w:name="_Toc182391468"/>
      <w:bookmarkStart w:id="329" w:name="_Toc182391879"/>
      <w:bookmarkStart w:id="330" w:name="_Toc201822268"/>
      <w:r w:rsidRPr="00F63AE2">
        <w:t>CHAPTER 2</w:t>
      </w:r>
      <w:bookmarkEnd w:id="321"/>
      <w:bookmarkEnd w:id="322"/>
      <w:bookmarkEnd w:id="323"/>
      <w:bookmarkEnd w:id="324"/>
      <w:bookmarkEnd w:id="325"/>
      <w:bookmarkEnd w:id="326"/>
      <w:bookmarkEnd w:id="327"/>
      <w:bookmarkEnd w:id="328"/>
      <w:bookmarkEnd w:id="329"/>
      <w:bookmarkEnd w:id="330"/>
    </w:p>
    <w:p w14:paraId="7AE78B7B" w14:textId="77777777" w:rsidR="00CF04BC" w:rsidRPr="00B769FE" w:rsidRDefault="00CF04BC" w:rsidP="00B769FE">
      <w:pPr>
        <w:pStyle w:val="Chaptitle"/>
      </w:pPr>
      <w:bookmarkStart w:id="331" w:name="_Toc459970373"/>
      <w:bookmarkStart w:id="332" w:name="_Toc459792564"/>
      <w:bookmarkStart w:id="333" w:name="_Toc459746636"/>
      <w:bookmarkStart w:id="334" w:name="_Toc459793877"/>
      <w:bookmarkStart w:id="335" w:name="_Toc459793735"/>
      <w:bookmarkStart w:id="336" w:name="_Toc289868758"/>
      <w:bookmarkStart w:id="337" w:name="_Toc289933272"/>
      <w:bookmarkStart w:id="338" w:name="_Toc291852835"/>
      <w:bookmarkStart w:id="339" w:name="_Toc454284814"/>
      <w:bookmarkStart w:id="340" w:name="_Toc289932226"/>
      <w:bookmarkStart w:id="341" w:name="_Toc518394147"/>
      <w:bookmarkStart w:id="342" w:name="_Toc289868918"/>
      <w:bookmarkStart w:id="343" w:name="_Toc462233983"/>
      <w:r w:rsidRPr="00B769FE">
        <w:t>Strategies for spectrum financing</w:t>
      </w:r>
      <w:bookmarkEnd w:id="331"/>
      <w:bookmarkEnd w:id="332"/>
      <w:bookmarkEnd w:id="333"/>
      <w:bookmarkEnd w:id="334"/>
      <w:bookmarkEnd w:id="335"/>
      <w:r w:rsidRPr="00B769FE">
        <w:t xml:space="preserve"> mechanisms</w:t>
      </w:r>
      <w:bookmarkEnd w:id="336"/>
      <w:bookmarkEnd w:id="337"/>
      <w:bookmarkEnd w:id="338"/>
      <w:bookmarkEnd w:id="339"/>
      <w:bookmarkEnd w:id="340"/>
      <w:bookmarkEnd w:id="341"/>
      <w:bookmarkEnd w:id="342"/>
      <w:bookmarkEnd w:id="343"/>
    </w:p>
    <w:p w14:paraId="1FDEEE1D" w14:textId="77777777" w:rsidR="00CF04BC" w:rsidRPr="00B769FE" w:rsidRDefault="00CF04BC" w:rsidP="00B769FE">
      <w:pPr>
        <w:pStyle w:val="Heading2"/>
      </w:pPr>
      <w:bookmarkStart w:id="344" w:name="_Toc392515826"/>
      <w:bookmarkStart w:id="345" w:name="_Toc497033110"/>
      <w:bookmarkStart w:id="346" w:name="_Toc459746637"/>
      <w:bookmarkStart w:id="347" w:name="_Toc291852836"/>
      <w:bookmarkStart w:id="348" w:name="_Toc289933273"/>
      <w:bookmarkStart w:id="349" w:name="_Toc497033908"/>
      <w:bookmarkStart w:id="350" w:name="_Toc289868919"/>
      <w:bookmarkStart w:id="351" w:name="_Toc459793878"/>
      <w:bookmarkStart w:id="352" w:name="_Toc459793736"/>
      <w:bookmarkStart w:id="353" w:name="_Toc462233984"/>
      <w:bookmarkStart w:id="354" w:name="_Toc394386060"/>
      <w:bookmarkStart w:id="355" w:name="_Toc459970374"/>
      <w:bookmarkStart w:id="356" w:name="_Toc518394148"/>
      <w:bookmarkStart w:id="357" w:name="_Toc394385973"/>
      <w:bookmarkStart w:id="358" w:name="_Toc459792565"/>
      <w:bookmarkStart w:id="359" w:name="_Toc289932227"/>
      <w:bookmarkStart w:id="360" w:name="_Toc289868759"/>
      <w:bookmarkStart w:id="361" w:name="_Toc395503164"/>
      <w:bookmarkStart w:id="362" w:name="_Toc182391469"/>
      <w:bookmarkStart w:id="363" w:name="_Toc182391880"/>
      <w:bookmarkStart w:id="364" w:name="_Toc201822269"/>
      <w:r w:rsidRPr="00B769FE">
        <w:t>2.1</w:t>
      </w:r>
      <w:r w:rsidRPr="00B769FE">
        <w:tab/>
        <w:t>Background</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46618EE6" w14:textId="77777777" w:rsidR="00CF04BC" w:rsidRPr="00B93493" w:rsidRDefault="00CF04BC" w:rsidP="00B769FE">
      <w:r w:rsidRPr="00B93493">
        <w:t>There is increasing interest in economic approaches to national spectrum management. This Chapter of the Report addresses issues pertaining both to the principles on financing a national spectrum management program and the strategies. The objective of economic approaches must be consistent with an administration’s spectrum management goals and objectives. When implementing an economic approach, using and managing spectrum efficiently and effectively should be a top priority.</w:t>
      </w:r>
    </w:p>
    <w:p w14:paraId="27B3E885" w14:textId="77777777" w:rsidR="00CF04BC" w:rsidRPr="00B769FE" w:rsidRDefault="00CF04BC" w:rsidP="00B769FE">
      <w:pPr>
        <w:pStyle w:val="Heading2"/>
      </w:pPr>
      <w:bookmarkStart w:id="365" w:name="_Toc459970375"/>
      <w:bookmarkStart w:id="366" w:name="_Toc459793879"/>
      <w:bookmarkStart w:id="367" w:name="_Toc459792566"/>
      <w:bookmarkStart w:id="368" w:name="_Toc497033111"/>
      <w:bookmarkStart w:id="369" w:name="_Toc497033909"/>
      <w:bookmarkStart w:id="370" w:name="_Toc459746638"/>
      <w:bookmarkStart w:id="371" w:name="_Toc289868760"/>
      <w:bookmarkStart w:id="372" w:name="_Toc395503165"/>
      <w:bookmarkStart w:id="373" w:name="_Toc459793737"/>
      <w:bookmarkStart w:id="374" w:name="_Toc392515827"/>
      <w:bookmarkStart w:id="375" w:name="_Toc462233985"/>
      <w:bookmarkStart w:id="376" w:name="_Toc289868920"/>
      <w:bookmarkStart w:id="377" w:name="_Toc518394149"/>
      <w:bookmarkStart w:id="378" w:name="_Toc394385974"/>
      <w:bookmarkStart w:id="379" w:name="_Toc289932228"/>
      <w:bookmarkStart w:id="380" w:name="_Toc291852837"/>
      <w:bookmarkStart w:id="381" w:name="_Toc289933274"/>
      <w:bookmarkStart w:id="382" w:name="_Toc394386061"/>
      <w:bookmarkStart w:id="383" w:name="_Toc182391470"/>
      <w:bookmarkStart w:id="384" w:name="_Toc182391881"/>
      <w:bookmarkStart w:id="385" w:name="_Toc201822270"/>
      <w:r w:rsidRPr="00B769FE">
        <w:t>2.2</w:t>
      </w:r>
      <w:r w:rsidRPr="00B769FE">
        <w:tab/>
        <w:t>Basic principles for financing national spectrum management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BEBFD6D" w14:textId="77777777" w:rsidR="00CF04BC" w:rsidRPr="00B93493" w:rsidRDefault="00CF04BC" w:rsidP="00CF04BC">
      <w:r w:rsidRPr="00B93493">
        <w:t>The following principles should be adhered to when establishing any fee system.</w:t>
      </w:r>
    </w:p>
    <w:p w14:paraId="67660088" w14:textId="77777777" w:rsidR="00CF04BC" w:rsidRPr="00B93493" w:rsidRDefault="00CF04BC" w:rsidP="00CF04BC">
      <w:pPr>
        <w:pStyle w:val="Heading3"/>
      </w:pPr>
      <w:bookmarkStart w:id="386" w:name="_Toc291852838"/>
      <w:bookmarkStart w:id="387" w:name="_Toc462233986"/>
      <w:bookmarkStart w:id="388" w:name="_Toc518394150"/>
      <w:bookmarkStart w:id="389" w:name="_Toc289868761"/>
      <w:bookmarkStart w:id="390" w:name="_Toc289868921"/>
      <w:bookmarkStart w:id="391" w:name="_Toc289932229"/>
      <w:bookmarkStart w:id="392" w:name="_Toc392515828"/>
      <w:bookmarkStart w:id="393" w:name="_Toc289933275"/>
      <w:bookmarkStart w:id="394" w:name="_Toc182391471"/>
      <w:bookmarkStart w:id="395" w:name="_Toc182391882"/>
      <w:r w:rsidRPr="00B93493">
        <w:t>2.2.1</w:t>
      </w:r>
      <w:r w:rsidRPr="00B93493">
        <w:tab/>
        <w:t>Legal principles</w:t>
      </w:r>
      <w:bookmarkEnd w:id="386"/>
      <w:bookmarkEnd w:id="387"/>
      <w:bookmarkEnd w:id="388"/>
      <w:bookmarkEnd w:id="389"/>
      <w:bookmarkEnd w:id="390"/>
      <w:bookmarkEnd w:id="391"/>
      <w:bookmarkEnd w:id="392"/>
      <w:bookmarkEnd w:id="393"/>
      <w:bookmarkEnd w:id="394"/>
      <w:bookmarkEnd w:id="395"/>
    </w:p>
    <w:p w14:paraId="4F2F5B9D" w14:textId="77777777" w:rsidR="00CF04BC" w:rsidRPr="00B93493" w:rsidRDefault="00CF04BC" w:rsidP="00CF04BC">
      <w:pPr>
        <w:pStyle w:val="enumlev1"/>
      </w:pPr>
      <w:r w:rsidRPr="00B93493">
        <w:t>a)</w:t>
      </w:r>
      <w:r w:rsidRPr="00B93493">
        <w:tab/>
        <w:t>The radio-frequency spectrum is the property of the State. Thus, any spectrum occupancy relating to non-governmental activities is considered to be private occupancy.</w:t>
      </w:r>
    </w:p>
    <w:p w14:paraId="66DA79B0" w14:textId="77777777" w:rsidR="00CF04BC" w:rsidRPr="00B93493" w:rsidRDefault="00CF04BC" w:rsidP="00CF04BC">
      <w:pPr>
        <w:pStyle w:val="enumlev1"/>
      </w:pPr>
      <w:r w:rsidRPr="00B93493">
        <w:t>b)</w:t>
      </w:r>
      <w:r w:rsidRPr="00B93493">
        <w:tab/>
        <w:t>Belonging as it does to the public domain of the State, the spectrum must be managed in the interests of the national community as a whole.</w:t>
      </w:r>
    </w:p>
    <w:p w14:paraId="667B451A" w14:textId="77777777" w:rsidR="00CF04BC" w:rsidRPr="00B93493" w:rsidRDefault="00CF04BC" w:rsidP="00CF04BC">
      <w:pPr>
        <w:pStyle w:val="enumlev1"/>
      </w:pPr>
      <w:r w:rsidRPr="00B93493">
        <w:t>c)</w:t>
      </w:r>
      <w:r w:rsidRPr="00B93493">
        <w:tab/>
        <w:t xml:space="preserve">As the owner of the spectrum, the State has the right to require private occupants thereof to pay </w:t>
      </w:r>
      <w:r w:rsidRPr="00B93493">
        <w:rPr>
          <w:i/>
          <w:iCs/>
          <w:u w:val="single"/>
        </w:rPr>
        <w:t>spectrum fees</w:t>
      </w:r>
      <w:r w:rsidRPr="00B93493">
        <w:t xml:space="preserve"> (known also as </w:t>
      </w:r>
      <w:r w:rsidRPr="00B93493">
        <w:rPr>
          <w:i/>
          <w:iCs/>
        </w:rPr>
        <w:t>spectrum occupancy fees</w:t>
      </w:r>
      <w:r w:rsidRPr="00B93493">
        <w:t xml:space="preserve">, </w:t>
      </w:r>
      <w:r w:rsidRPr="00B93493">
        <w:rPr>
          <w:i/>
          <w:iCs/>
        </w:rPr>
        <w:t>frequency availability fees</w:t>
      </w:r>
      <w:r w:rsidRPr="00B93493">
        <w:t xml:space="preserve"> or</w:t>
      </w:r>
      <w:r w:rsidRPr="00B93493">
        <w:rPr>
          <w:i/>
          <w:iCs/>
        </w:rPr>
        <w:t xml:space="preserve"> spectrum usage fees</w:t>
      </w:r>
      <w:r w:rsidRPr="00B93493">
        <w:t xml:space="preserve">, or simply as </w:t>
      </w:r>
      <w:r w:rsidRPr="00B93493">
        <w:rPr>
          <w:i/>
          <w:iCs/>
        </w:rPr>
        <w:t>fees</w:t>
      </w:r>
      <w:r w:rsidRPr="00B93493">
        <w:t xml:space="preserve"> where there is no ambiguity). </w:t>
      </w:r>
    </w:p>
    <w:p w14:paraId="2216F36E" w14:textId="77777777" w:rsidR="00CF04BC" w:rsidRPr="00B93493" w:rsidRDefault="00CF04BC" w:rsidP="00CF04BC">
      <w:pPr>
        <w:pStyle w:val="enumlev1"/>
        <w:keepNext/>
        <w:keepLines/>
      </w:pPr>
      <w:r w:rsidRPr="00B93493">
        <w:t>d)</w:t>
      </w:r>
      <w:r w:rsidRPr="00B93493">
        <w:tab/>
        <w:t xml:space="preserve">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 </w:t>
      </w:r>
    </w:p>
    <w:p w14:paraId="65857589" w14:textId="77777777" w:rsidR="00CF04BC" w:rsidRPr="00B93493" w:rsidRDefault="00CF04BC" w:rsidP="00CF04BC">
      <w:pPr>
        <w:pStyle w:val="enumlev1"/>
      </w:pPr>
      <w:r w:rsidRPr="00B93493">
        <w:t>e)</w:t>
      </w:r>
      <w:r w:rsidRPr="00B93493">
        <w:tab/>
        <w:t xml:space="preserve">It is therefore lawful for the authorities to require, moreover, that private spectrum occupants also pay </w:t>
      </w:r>
      <w:r w:rsidRPr="00B93493">
        <w:rPr>
          <w:i/>
          <w:iCs/>
          <w:u w:val="single"/>
        </w:rPr>
        <w:t>administrative fees</w:t>
      </w:r>
      <w:r w:rsidRPr="00B93493">
        <w:t xml:space="preserve"> (known also as </w:t>
      </w:r>
      <w:r w:rsidRPr="00B93493">
        <w:rPr>
          <w:i/>
          <w:iCs/>
        </w:rPr>
        <w:t>frequency management fees</w:t>
      </w:r>
      <w:r w:rsidRPr="00B93493">
        <w:t xml:space="preserve"> or </w:t>
      </w:r>
      <w:r w:rsidRPr="00B93493">
        <w:rPr>
          <w:i/>
          <w:iCs/>
        </w:rPr>
        <w:t>service fees</w:t>
      </w:r>
      <w:r w:rsidRPr="00B93493">
        <w:t xml:space="preserve">, as well as </w:t>
      </w:r>
      <w:r w:rsidRPr="00B93493">
        <w:rPr>
          <w:i/>
          <w:iCs/>
        </w:rPr>
        <w:t>administrative charges</w:t>
      </w:r>
      <w:r w:rsidRPr="00B93493">
        <w:t xml:space="preserve"> or, where there is no ambiguity, simply as </w:t>
      </w:r>
      <w:r w:rsidRPr="00B93493">
        <w:rPr>
          <w:i/>
          <w:iCs/>
        </w:rPr>
        <w:t>charges</w:t>
      </w:r>
      <w:r w:rsidRPr="00B93493">
        <w:t xml:space="preserve">) to cover all of the costs arising out of spectrum planning, management and monitoring activities. </w:t>
      </w:r>
    </w:p>
    <w:p w14:paraId="4BFAF9E9" w14:textId="77777777" w:rsidR="00CF04BC" w:rsidRPr="00B93493" w:rsidRDefault="00CF04BC" w:rsidP="00CF04BC">
      <w:pPr>
        <w:pStyle w:val="enumlev1"/>
      </w:pPr>
      <w:r w:rsidRPr="00B93493">
        <w:t>f)</w:t>
      </w:r>
      <w:r w:rsidRPr="00B93493">
        <w:tab/>
        <w:t xml:space="preserve">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 </w:t>
      </w:r>
    </w:p>
    <w:p w14:paraId="7652441F" w14:textId="77777777" w:rsidR="00CF04BC" w:rsidRPr="00B93493" w:rsidRDefault="00CF04BC" w:rsidP="00CF04BC">
      <w:pPr>
        <w:pStyle w:val="enumlev1"/>
      </w:pPr>
      <w:r w:rsidRPr="00B93493">
        <w:t>g)</w:t>
      </w:r>
      <w:r w:rsidRPr="00B93493">
        <w:tab/>
        <w:t xml:space="preserve">The rules governing the establishment of fees must be relatively stable over time in order to provide spectrum occupants with the necessary visibility and legal security. </w:t>
      </w:r>
    </w:p>
    <w:p w14:paraId="4D0C495B" w14:textId="77777777" w:rsidR="00CF04BC" w:rsidRPr="00B93493" w:rsidRDefault="00CF04BC" w:rsidP="00CF04BC">
      <w:pPr>
        <w:pStyle w:val="enumlev1"/>
      </w:pPr>
      <w:r w:rsidRPr="00B93493">
        <w:t>h)</w:t>
      </w:r>
      <w:r w:rsidRPr="00B93493">
        <w:tab/>
        <w:t xml:space="preserve">In return for the fees they pay, users of assigned or allotted frequencies enjoy protection under the relevant provisions of the regulations in force. By contrast, users of freely accessible frequencies (used, for example, for low-range and low-power sets, WiFi, Bluetooth, amateur radio and radio-controlled models) are not protected and should therefore not be required to pay fees. A reality principle unites with this legal principle to dictate that fees should not be applied to freely accessible frequencies. </w:t>
      </w:r>
    </w:p>
    <w:p w14:paraId="6B66F7B4" w14:textId="77777777" w:rsidR="00CF04BC" w:rsidRPr="000530A8" w:rsidRDefault="00CF04BC" w:rsidP="000530A8">
      <w:pPr>
        <w:pStyle w:val="Heading3"/>
      </w:pPr>
      <w:bookmarkStart w:id="396" w:name="_Toc289868762"/>
      <w:bookmarkStart w:id="397" w:name="_Toc289933276"/>
      <w:bookmarkStart w:id="398" w:name="_Toc289868922"/>
      <w:bookmarkStart w:id="399" w:name="_Toc392515829"/>
      <w:bookmarkStart w:id="400" w:name="_Toc518394151"/>
      <w:bookmarkStart w:id="401" w:name="_Toc289932230"/>
      <w:bookmarkStart w:id="402" w:name="_Toc291852839"/>
      <w:bookmarkStart w:id="403" w:name="_Toc462233987"/>
      <w:bookmarkStart w:id="404" w:name="_Toc182391472"/>
      <w:bookmarkStart w:id="405" w:name="_Toc182391883"/>
      <w:r w:rsidRPr="000530A8">
        <w:t>2.2.2</w:t>
      </w:r>
      <w:r w:rsidRPr="000530A8">
        <w:tab/>
        <w:t>Economic principles</w:t>
      </w:r>
      <w:bookmarkEnd w:id="396"/>
      <w:bookmarkEnd w:id="397"/>
      <w:bookmarkEnd w:id="398"/>
      <w:bookmarkEnd w:id="399"/>
      <w:bookmarkEnd w:id="400"/>
      <w:bookmarkEnd w:id="401"/>
      <w:bookmarkEnd w:id="402"/>
      <w:bookmarkEnd w:id="403"/>
      <w:bookmarkEnd w:id="404"/>
      <w:bookmarkEnd w:id="405"/>
    </w:p>
    <w:p w14:paraId="6839B7D0" w14:textId="77777777" w:rsidR="00CF04BC" w:rsidRPr="000530A8" w:rsidRDefault="00CF04BC" w:rsidP="000530A8">
      <w:pPr>
        <w:pStyle w:val="enumlev1"/>
      </w:pPr>
      <w:r w:rsidRPr="000530A8">
        <w:t>a)</w:t>
      </w:r>
      <w:r w:rsidRPr="000530A8">
        <w:tab/>
        <w:t xml:space="preserve">The frequency spectrum is a limited and, in some cases, scarce resource. The main objectives of the manager are to secure both optimum spectrum occupancy and effective frequency utilization. </w:t>
      </w:r>
    </w:p>
    <w:p w14:paraId="094D977C" w14:textId="77777777" w:rsidR="00CF04BC" w:rsidRPr="000530A8" w:rsidRDefault="00CF04BC" w:rsidP="000530A8">
      <w:pPr>
        <w:pStyle w:val="enumlev1"/>
      </w:pPr>
      <w:r w:rsidRPr="000530A8">
        <w:t>b)</w:t>
      </w:r>
      <w:r w:rsidRPr="000530A8">
        <w:tab/>
        <w:t xml:space="preserve">The reasons for spectrum fees and administrative fees, and the ends to which they are put, are different. That difference should thus be reflected in two distinct approaches for establishing each kind of fee. </w:t>
      </w:r>
    </w:p>
    <w:p w14:paraId="00B91943" w14:textId="77777777" w:rsidR="00CF04BC" w:rsidRPr="000530A8" w:rsidRDefault="00CF04BC" w:rsidP="000530A8">
      <w:pPr>
        <w:pStyle w:val="enumlev1"/>
      </w:pPr>
      <w:r w:rsidRPr="000530A8">
        <w:t>c)</w:t>
      </w:r>
      <w:r w:rsidRPr="000530A8">
        <w:tab/>
        <w:t xml:space="preserve">The sole purpose of administrative fees should be to pay for the service rendered by the authorities. </w:t>
      </w:r>
    </w:p>
    <w:p w14:paraId="580ACF11" w14:textId="77777777" w:rsidR="00CF04BC" w:rsidRPr="000530A8" w:rsidRDefault="00CF04BC" w:rsidP="000530A8">
      <w:pPr>
        <w:pStyle w:val="enumlev1"/>
      </w:pPr>
      <w:r w:rsidRPr="000530A8">
        <w:t>d)</w:t>
      </w:r>
      <w:r w:rsidRPr="000530A8">
        <w:tab/>
        <w:t>By contrast, the purpose of spectrum fees is multifaceted in that they must:</w:t>
      </w:r>
    </w:p>
    <w:p w14:paraId="31B6B411" w14:textId="7770CE6A" w:rsidR="00CF04BC" w:rsidRPr="000530A8" w:rsidRDefault="000530A8" w:rsidP="000530A8">
      <w:pPr>
        <w:pStyle w:val="enumlev2"/>
      </w:pPr>
      <w:r>
        <w:t>–</w:t>
      </w:r>
      <w:r w:rsidR="00CF04BC" w:rsidRPr="000530A8">
        <w:tab/>
        <w:t>enable achievement of the budgetary objective set by the authorities;</w:t>
      </w:r>
    </w:p>
    <w:p w14:paraId="4926BCE7" w14:textId="643397D2" w:rsidR="00CF04BC" w:rsidRPr="000530A8" w:rsidRDefault="000530A8" w:rsidP="000530A8">
      <w:pPr>
        <w:pStyle w:val="enumlev2"/>
      </w:pPr>
      <w:r>
        <w:t>–</w:t>
      </w:r>
      <w:r w:rsidR="00CF04BC" w:rsidRPr="000530A8">
        <w:tab/>
        <w:t>not clash with the economic objectives of the authorities in regard to national development and the development of new services;</w:t>
      </w:r>
    </w:p>
    <w:p w14:paraId="6E29C3C1" w14:textId="23C95180" w:rsidR="00CF04BC" w:rsidRPr="000530A8" w:rsidRDefault="000530A8" w:rsidP="000530A8">
      <w:pPr>
        <w:pStyle w:val="enumlev2"/>
      </w:pPr>
      <w:r>
        <w:t>–</w:t>
      </w:r>
      <w:r w:rsidR="00CF04BC" w:rsidRPr="000530A8">
        <w:tab/>
        <w:t>take account of all the benefits that occupants derive from the spectrum;</w:t>
      </w:r>
    </w:p>
    <w:p w14:paraId="5347BB26" w14:textId="1AF7CCBF" w:rsidR="00CF04BC" w:rsidRPr="000530A8" w:rsidRDefault="000530A8" w:rsidP="000530A8">
      <w:pPr>
        <w:pStyle w:val="enumlev2"/>
      </w:pPr>
      <w:r>
        <w:t>–</w:t>
      </w:r>
      <w:r w:rsidR="00CF04BC" w:rsidRPr="000530A8">
        <w:tab/>
        <w:t>constitute a tool for spectrum management.</w:t>
      </w:r>
    </w:p>
    <w:p w14:paraId="01E37A59" w14:textId="77777777" w:rsidR="00CF04BC" w:rsidRPr="000530A8" w:rsidRDefault="00CF04BC" w:rsidP="000530A8">
      <w:pPr>
        <w:pStyle w:val="enumlev1"/>
      </w:pPr>
      <w:r w:rsidRPr="000530A8">
        <w:t>e)</w:t>
      </w:r>
      <w:r w:rsidRPr="000530A8">
        <w:tab/>
        <w:t>Fees constitute financial resources for the State and for the spectrum manager. The level at which they are set should systematically take account of inflation and the evolving status of the spectrum manager’s budget.</w:t>
      </w:r>
    </w:p>
    <w:p w14:paraId="0ED95E22" w14:textId="77777777" w:rsidR="00CF04BC" w:rsidRPr="000530A8" w:rsidRDefault="00CF04BC" w:rsidP="000530A8">
      <w:pPr>
        <w:pStyle w:val="Heading3"/>
      </w:pPr>
      <w:bookmarkStart w:id="406" w:name="_Toc289868763"/>
      <w:bookmarkStart w:id="407" w:name="_Toc291852840"/>
      <w:bookmarkStart w:id="408" w:name="_Toc462233988"/>
      <w:bookmarkStart w:id="409" w:name="_Toc289933277"/>
      <w:bookmarkStart w:id="410" w:name="_Toc289868923"/>
      <w:bookmarkStart w:id="411" w:name="_Toc518394152"/>
      <w:bookmarkStart w:id="412" w:name="_Toc392515830"/>
      <w:bookmarkStart w:id="413" w:name="_Toc289932231"/>
      <w:bookmarkStart w:id="414" w:name="_Toc182391473"/>
      <w:bookmarkStart w:id="415" w:name="_Toc182391884"/>
      <w:r w:rsidRPr="000530A8">
        <w:t>2.2.3</w:t>
      </w:r>
      <w:r w:rsidRPr="000530A8">
        <w:tab/>
        <w:t>Reality principles</w:t>
      </w:r>
      <w:bookmarkEnd w:id="406"/>
      <w:bookmarkEnd w:id="407"/>
      <w:bookmarkEnd w:id="408"/>
      <w:bookmarkEnd w:id="409"/>
      <w:bookmarkEnd w:id="410"/>
      <w:bookmarkEnd w:id="411"/>
      <w:bookmarkEnd w:id="412"/>
      <w:bookmarkEnd w:id="413"/>
      <w:bookmarkEnd w:id="414"/>
      <w:bookmarkEnd w:id="415"/>
    </w:p>
    <w:p w14:paraId="43FD01DD" w14:textId="77777777" w:rsidR="00CF04BC" w:rsidRPr="00B93493" w:rsidRDefault="00CF04BC" w:rsidP="00CF04BC">
      <w:pPr>
        <w:pStyle w:val="enumlev1"/>
      </w:pPr>
      <w:r w:rsidRPr="00B93493">
        <w:t>a)</w:t>
      </w:r>
      <w:r w:rsidRPr="00B93493">
        <w:tab/>
        <w:t>Fees should not be introduced in cases where those subject to them would be hard to identify individually (for example users of freely accessible frequencies), since their collection would be uncertain and probably very limited in terms of completeness.</w:t>
      </w:r>
    </w:p>
    <w:p w14:paraId="5C3D5F03" w14:textId="186E15E0" w:rsidR="00CF04BC" w:rsidRPr="00B93493" w:rsidRDefault="00CF04BC" w:rsidP="00CF04BC">
      <w:pPr>
        <w:pStyle w:val="enumlev1"/>
        <w:keepNext/>
        <w:keepLines/>
      </w:pPr>
      <w:r w:rsidRPr="00B93493">
        <w:t>b)</w:t>
      </w:r>
      <w:r w:rsidRPr="00B93493">
        <w:tab/>
        <w:t xml:space="preserve">When choosing the parameters to be used as the basis for fee calculation, those for which it is difficult or impossible in practice to verify the values declared by the users in question </w:t>
      </w:r>
      <w:r w:rsidRPr="00D25898">
        <w:t>(</w:t>
      </w:r>
      <w:r w:rsidRPr="00E91654">
        <w:t>e.g.</w:t>
      </w:r>
      <w:r w:rsidR="00523D55" w:rsidRPr="00D25898">
        <w:t> </w:t>
      </w:r>
      <w:r w:rsidRPr="00D25898">
        <w:t>height of a station antenna or number of mobile stations in a private network) should be</w:t>
      </w:r>
      <w:r w:rsidRPr="00B93493">
        <w:t xml:space="preserve"> avoided. This would reduce the opportunities for making inaccurate declarations in an attempt to reduce the amount payable.</w:t>
      </w:r>
    </w:p>
    <w:p w14:paraId="3972ED3A" w14:textId="77777777" w:rsidR="00CF04BC" w:rsidRPr="00B93493" w:rsidRDefault="00CF04BC" w:rsidP="00CF04BC">
      <w:pPr>
        <w:pStyle w:val="enumlev1"/>
      </w:pPr>
      <w:r w:rsidRPr="00B93493">
        <w:t>c)</w:t>
      </w:r>
      <w:r w:rsidRPr="00B93493">
        <w:tab/>
        <w:t>The establishment of a fee system should be based on a consensus among all the players, since this would make for a healthy collection rate.</w:t>
      </w:r>
    </w:p>
    <w:p w14:paraId="09039C92" w14:textId="77777777" w:rsidR="00CF04BC" w:rsidRPr="00B93493" w:rsidRDefault="00CF04BC" w:rsidP="00CF04BC">
      <w:pPr>
        <w:pStyle w:val="Heading3"/>
      </w:pPr>
      <w:bookmarkStart w:id="416" w:name="_Toc497033910"/>
      <w:bookmarkStart w:id="417" w:name="_Toc497033112"/>
      <w:bookmarkStart w:id="418" w:name="_Toc459792567"/>
      <w:bookmarkStart w:id="419" w:name="_Toc459793880"/>
      <w:bookmarkStart w:id="420" w:name="_Toc394385975"/>
      <w:bookmarkStart w:id="421" w:name="_Toc395503166"/>
      <w:bookmarkStart w:id="422" w:name="_Toc459746639"/>
      <w:bookmarkStart w:id="423" w:name="_Toc459793738"/>
      <w:bookmarkStart w:id="424" w:name="_Toc394386062"/>
      <w:bookmarkStart w:id="425" w:name="_Toc459970376"/>
      <w:bookmarkStart w:id="426" w:name="_Toc289932232"/>
      <w:bookmarkStart w:id="427" w:name="_Toc518394153"/>
      <w:bookmarkStart w:id="428" w:name="_Toc289868764"/>
      <w:bookmarkStart w:id="429" w:name="_Toc291852841"/>
      <w:bookmarkStart w:id="430" w:name="_Toc462233989"/>
      <w:bookmarkStart w:id="431" w:name="_Toc289933278"/>
      <w:bookmarkStart w:id="432" w:name="_Toc289868924"/>
      <w:bookmarkStart w:id="433" w:name="_Toc392515831"/>
      <w:bookmarkStart w:id="434" w:name="_Toc182391474"/>
      <w:bookmarkStart w:id="435" w:name="_Toc182391885"/>
      <w:r w:rsidRPr="00B93493">
        <w:t>2.2.4</w:t>
      </w:r>
      <w:r w:rsidRPr="00B93493">
        <w:tab/>
        <w:t>Approaches</w:t>
      </w:r>
      <w:bookmarkEnd w:id="416"/>
      <w:bookmarkEnd w:id="417"/>
      <w:bookmarkEnd w:id="418"/>
      <w:bookmarkEnd w:id="419"/>
      <w:bookmarkEnd w:id="420"/>
      <w:bookmarkEnd w:id="421"/>
      <w:bookmarkEnd w:id="422"/>
      <w:bookmarkEnd w:id="423"/>
      <w:bookmarkEnd w:id="424"/>
      <w:bookmarkEnd w:id="425"/>
      <w:r w:rsidRPr="00B93493">
        <w:t xml:space="preserve"> by different administrations</w:t>
      </w:r>
      <w:bookmarkEnd w:id="426"/>
      <w:bookmarkEnd w:id="427"/>
      <w:bookmarkEnd w:id="428"/>
      <w:bookmarkEnd w:id="429"/>
      <w:bookmarkEnd w:id="430"/>
      <w:bookmarkEnd w:id="431"/>
      <w:bookmarkEnd w:id="432"/>
      <w:bookmarkEnd w:id="433"/>
      <w:bookmarkEnd w:id="434"/>
      <w:bookmarkEnd w:id="435"/>
    </w:p>
    <w:p w14:paraId="6A9A3FFD" w14:textId="77777777" w:rsidR="00CF04BC" w:rsidRPr="00B93493" w:rsidRDefault="00CF04BC" w:rsidP="00CF04BC">
      <w:pPr>
        <w:pStyle w:val="Heading4"/>
      </w:pPr>
      <w:bookmarkStart w:id="436" w:name="_Toc459793739"/>
      <w:bookmarkStart w:id="437" w:name="_Toc497033113"/>
      <w:bookmarkStart w:id="438" w:name="_Toc459792568"/>
      <w:bookmarkStart w:id="439" w:name="_Toc459793881"/>
      <w:bookmarkStart w:id="440" w:name="_Toc459746640"/>
      <w:bookmarkStart w:id="441" w:name="_Toc497033911"/>
      <w:r w:rsidRPr="00B93493">
        <w:t>2.2.4.1</w:t>
      </w:r>
      <w:r w:rsidRPr="00B93493">
        <w:tab/>
        <w:t>Traditional national budget financing</w:t>
      </w:r>
      <w:bookmarkEnd w:id="436"/>
      <w:bookmarkEnd w:id="437"/>
      <w:bookmarkEnd w:id="438"/>
      <w:bookmarkEnd w:id="439"/>
      <w:bookmarkEnd w:id="440"/>
      <w:bookmarkEnd w:id="441"/>
    </w:p>
    <w:p w14:paraId="3A95BA88" w14:textId="77777777" w:rsidR="00CF04BC" w:rsidRPr="00B93493" w:rsidRDefault="00CF04BC" w:rsidP="00CF04BC">
      <w:r w:rsidRPr="00B93493">
        <w:t>Until recently, virtually all countries have funded their spectrum management programmes through a centralized national budget process. This approach simply involves allocating a portion of the administration’s annual budget to spectrum management. Generally</w:t>
      </w:r>
      <w:r>
        <w:rPr>
          <w:rFonts w:hint="eastAsia"/>
          <w:lang w:eastAsia="zh-CN"/>
        </w:rPr>
        <w:t>,</w:t>
      </w:r>
      <w:r w:rsidRPr="00B93493">
        <w:t xml:space="preserve"> the amount provided depends on the priorities of the national government. In many cases, the national spectrum manager provides estimates of its funding needs. The national government response, however, is limited by its total tax resources.</w:t>
      </w:r>
    </w:p>
    <w:p w14:paraId="1D21C348" w14:textId="77777777" w:rsidR="00CF04BC" w:rsidRPr="00B93493" w:rsidRDefault="00CF04BC" w:rsidP="00CF04BC">
      <w:pPr>
        <w:pStyle w:val="Heading4"/>
      </w:pPr>
      <w:bookmarkStart w:id="442" w:name="_Toc459792569"/>
      <w:bookmarkStart w:id="443" w:name="_Toc497033912"/>
      <w:bookmarkStart w:id="444" w:name="_Toc497033114"/>
      <w:bookmarkStart w:id="445" w:name="_Toc459793740"/>
      <w:bookmarkStart w:id="446" w:name="_Toc459793882"/>
      <w:bookmarkStart w:id="447" w:name="_Toc459746641"/>
      <w:r w:rsidRPr="00B93493">
        <w:t>2.2.4.2</w:t>
      </w:r>
      <w:r w:rsidRPr="00B93493">
        <w:tab/>
        <w:t>Spectrum use fees</w:t>
      </w:r>
      <w:bookmarkEnd w:id="442"/>
      <w:bookmarkEnd w:id="443"/>
      <w:bookmarkEnd w:id="444"/>
      <w:bookmarkEnd w:id="445"/>
      <w:bookmarkEnd w:id="446"/>
      <w:bookmarkEnd w:id="447"/>
    </w:p>
    <w:p w14:paraId="334D6CC3" w14:textId="77777777" w:rsidR="00CF04BC" w:rsidRPr="00B93493" w:rsidRDefault="00CF04BC" w:rsidP="00CF04BC">
      <w:r w:rsidRPr="00B93493">
        <w:t>This approach involves charging some or all licensees for their use of the spectrum. Some countries are now funding their spectrum management programmes in whole or in part through fees. In some cases</w:t>
      </w:r>
      <w:r>
        <w:rPr>
          <w:rFonts w:hint="eastAsia"/>
          <w:lang w:eastAsia="zh-CN"/>
        </w:rPr>
        <w:t>,</w:t>
      </w:r>
      <w:r w:rsidRPr="00B93493">
        <w:t xml:space="preserve"> this includes financing a phased implementation of a national spectrum management programme. These fees are based either directly on spectrum use or indirectly through general administrative or regulatory charges. Fees can be established on a variety of bases and formulas for fee calculation can range from the simple to the complex.</w:t>
      </w:r>
    </w:p>
    <w:p w14:paraId="3C5232E2" w14:textId="77777777" w:rsidR="00CF04BC" w:rsidRPr="00B93493" w:rsidRDefault="00CF04BC" w:rsidP="00CF04BC">
      <w:pPr>
        <w:pStyle w:val="Heading4"/>
      </w:pPr>
      <w:bookmarkStart w:id="448" w:name="_Toc459746642"/>
      <w:bookmarkStart w:id="449" w:name="_Toc459792570"/>
      <w:bookmarkStart w:id="450" w:name="_Toc459793883"/>
      <w:bookmarkStart w:id="451" w:name="_Toc497033913"/>
      <w:bookmarkStart w:id="452" w:name="_Toc459793741"/>
      <w:bookmarkStart w:id="453" w:name="_Toc497033115"/>
      <w:r w:rsidRPr="00B93493">
        <w:t>2.2.4.3</w:t>
      </w:r>
      <w:r w:rsidRPr="00B93493">
        <w:tab/>
        <w:t>Auctions</w:t>
      </w:r>
      <w:bookmarkEnd w:id="448"/>
      <w:bookmarkEnd w:id="449"/>
      <w:bookmarkEnd w:id="450"/>
      <w:bookmarkEnd w:id="451"/>
      <w:bookmarkEnd w:id="452"/>
      <w:bookmarkEnd w:id="453"/>
    </w:p>
    <w:p w14:paraId="3876CADD" w14:textId="77777777" w:rsidR="00CF04BC" w:rsidRPr="00B93493" w:rsidRDefault="00CF04BC" w:rsidP="00CF04BC">
      <w:r w:rsidRPr="00B93493">
        <w:t>Another way of funding spectrum management is by using a percentage of the money raised through auctions. While no country has directly funded spectrum management through auction revenues only, such revenues in some countries have vastly exceeded spectrum management costs.</w:t>
      </w:r>
    </w:p>
    <w:p w14:paraId="4051540E" w14:textId="77777777" w:rsidR="00CF04BC" w:rsidRPr="00B93493" w:rsidRDefault="00CF04BC" w:rsidP="00CF04BC">
      <w:pPr>
        <w:pStyle w:val="Heading3"/>
      </w:pPr>
      <w:bookmarkStart w:id="454" w:name="_Toc394386063"/>
      <w:bookmarkStart w:id="455" w:name="_Toc459746643"/>
      <w:bookmarkStart w:id="456" w:name="_Toc459792571"/>
      <w:bookmarkStart w:id="457" w:name="_Toc395503167"/>
      <w:bookmarkStart w:id="458" w:name="_Toc459793742"/>
      <w:bookmarkStart w:id="459" w:name="_Toc289868925"/>
      <w:bookmarkStart w:id="460" w:name="_Toc394385976"/>
      <w:bookmarkStart w:id="461" w:name="_Toc459793884"/>
      <w:bookmarkStart w:id="462" w:name="_Toc462233990"/>
      <w:bookmarkStart w:id="463" w:name="_Toc289932233"/>
      <w:bookmarkStart w:id="464" w:name="_Toc392515832"/>
      <w:bookmarkStart w:id="465" w:name="_Toc289933279"/>
      <w:bookmarkStart w:id="466" w:name="_Toc459970377"/>
      <w:bookmarkStart w:id="467" w:name="_Toc289868765"/>
      <w:bookmarkStart w:id="468" w:name="_Toc497033116"/>
      <w:bookmarkStart w:id="469" w:name="_Toc497033914"/>
      <w:bookmarkStart w:id="470" w:name="_Toc518394154"/>
      <w:bookmarkStart w:id="471" w:name="_Toc291852842"/>
      <w:bookmarkStart w:id="472" w:name="_Toc182391475"/>
      <w:bookmarkStart w:id="473" w:name="_Toc182391886"/>
      <w:r w:rsidRPr="00B93493">
        <w:t>2.2.5</w:t>
      </w:r>
      <w:r w:rsidRPr="00B93493">
        <w:tab/>
        <w:t>Advantages and disadvantages of these approaches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0B1279C7" w14:textId="77777777" w:rsidR="00CF04BC" w:rsidRPr="00B93493" w:rsidRDefault="00CF04BC" w:rsidP="00523D55">
      <w:r w:rsidRPr="00B93493">
        <w:t>The national budget financing approach has been used successfully in some countries for a number of years. However, it depends heavily on the administration’s recognition of the importance of radiocommunications and spectrum management. National governing bodies dealing with a host of national issues are often unfamiliar with spectrum issues or the impact of radio on the national economy. Furthermore, the national budget financing approach does not impose any immediate costs on those who directly benefit from spectrum use, but rather imposes an indirect tax on all citizens. Funding for spectrum management under this approach has often been difficult in developed countries, but may be a particular problem in developing countries, where budgetary resources are limited and where the importance of spectrum-using services to the economy may not be as evident as in developed countries.</w:t>
      </w:r>
    </w:p>
    <w:p w14:paraId="5ED66EDB" w14:textId="77777777" w:rsidR="00CF04BC" w:rsidRPr="00B93493" w:rsidRDefault="00CF04BC" w:rsidP="00523D55">
      <w:r w:rsidRPr="00B93493">
        <w:t>The fee approach has also been used successfully in a number of countries, and it has the advantages of pre-determining revenues to be used for spectrum management and imposing costs on at least some entities that benefit from spectrum use. However, because fee levels can be based on a variety of considerations, such as policy direction or payment of administrative costs, determination of the levels for each type of radio use may represent a complex undertaking. Further, the use of fees to cover the cost of administrative processing may prove insufficient by itself to cover the costs of an adequate spectrum management programme. However, fee approaches that cover additional spectrum regulatory costs can be developed to fully fund spectrum management. It should be noted that in addition to fees charged to spectrum users, application fees could be charged for the right to participate in comparative processes, lotteries, or auctions.</w:t>
      </w:r>
    </w:p>
    <w:p w14:paraId="63679DCD" w14:textId="77777777" w:rsidR="00CF04BC" w:rsidRPr="00B93493" w:rsidRDefault="00CF04BC" w:rsidP="00523D55">
      <w:r w:rsidRPr="00B93493">
        <w:t>Advantages of the auction approach are that it holds potential for an accurate reflection of the value of the spectrum and it imposes costs on those who directly benefit from spectrum use. However, the use of auctions may be viewed as a significant departure from normal practice. Furthermore, a disadvantage of this approach is that revenues are uncertain, and may exceed or fall short of what is needed to adequately fund spectrum management. If revenues exceed what is necessary, a portion of the revenues could be returned to the treasury, which would need to determine how this revenue will be distributed; whereas if revenues fall short, supplementary national budget or licence fee funding would have to be used to maintain all necessary spectrum management functions. Spectrum managers could attempt to ensure that revenues would be sufficient by establishing minimum bid amounts; however, if these amounts were set too high, no bids would be received. Auctions may not be suitable under certain circumstances and may need to be supplemented by other means. Auctions would not be suitable, for example, if there are no competing applicants, if a spectrum right cannot be properly defined, or if the anticipated costs of the auction exceed the anticipated revenues.</w:t>
      </w:r>
    </w:p>
    <w:p w14:paraId="191D9DF0" w14:textId="77777777" w:rsidR="00CF04BC" w:rsidRPr="00B93493" w:rsidRDefault="00CF04BC" w:rsidP="00CF04BC">
      <w:pPr>
        <w:pStyle w:val="Heading2"/>
      </w:pPr>
      <w:bookmarkStart w:id="474" w:name="_Toc459746644"/>
      <w:bookmarkStart w:id="475" w:name="_Toc459792572"/>
      <w:bookmarkStart w:id="476" w:name="_Toc459793743"/>
      <w:bookmarkStart w:id="477" w:name="_Toc497033915"/>
      <w:bookmarkStart w:id="478" w:name="_Toc395503168"/>
      <w:bookmarkStart w:id="479" w:name="_Toc497033117"/>
      <w:bookmarkStart w:id="480" w:name="_Toc289868766"/>
      <w:bookmarkStart w:id="481" w:name="_Toc462233991"/>
      <w:bookmarkStart w:id="482" w:name="_Toc289932234"/>
      <w:bookmarkStart w:id="483" w:name="_Toc289933280"/>
      <w:bookmarkStart w:id="484" w:name="_Toc291852843"/>
      <w:bookmarkStart w:id="485" w:name="_Toc459793885"/>
      <w:bookmarkStart w:id="486" w:name="_Toc289868926"/>
      <w:bookmarkStart w:id="487" w:name="_Toc394385977"/>
      <w:bookmarkStart w:id="488" w:name="_Toc518394155"/>
      <w:bookmarkStart w:id="489" w:name="_Toc392515833"/>
      <w:bookmarkStart w:id="490" w:name="_Toc459970378"/>
      <w:bookmarkStart w:id="491" w:name="_Toc394386064"/>
      <w:bookmarkStart w:id="492" w:name="_Toc182391476"/>
      <w:bookmarkStart w:id="493" w:name="_Toc182391887"/>
      <w:bookmarkStart w:id="494" w:name="_Toc201822271"/>
      <w:r w:rsidRPr="00B93493">
        <w:t>2.3</w:t>
      </w:r>
      <w:r w:rsidRPr="00B93493">
        <w:tab/>
        <w:t>Economic approaches used to promote efficient national spectrum management</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2040B936" w14:textId="77777777" w:rsidR="00CF04BC" w:rsidRPr="00B93493" w:rsidRDefault="00CF04BC" w:rsidP="00CF04BC">
      <w:r w:rsidRPr="00B93493">
        <w:t>Economic (market-based) approaches can be used to improve national spectrum management in a variety of ways. As the term implies, these approaches promote economic efficiency; they also promote technical and administrative efficiency.</w:t>
      </w:r>
    </w:p>
    <w:p w14:paraId="6E0E08DB" w14:textId="77777777" w:rsidR="00CF04BC" w:rsidRPr="00B93493" w:rsidRDefault="00CF04BC" w:rsidP="00CF04BC">
      <w:r w:rsidRPr="00B93493">
        <w:t>For any resource, including the spectrum, the primary economic objective is to maximize the net benefits to society that can be generated from that resource; this is what economists refer to as an economically efficient distribution of the resource. Resources are said to be efficiently distributed, and the overall benefits to society maximized, when it is impossible to redistribute so as to make at least one individual better off without making another worse off. Such a distribution of resources is referred to as the “Pareto Optimality Criterion”, in honour of its developer, Italian economist Vilfredo Pareto (1848-1923). Strict adherence to this criterion in decision-making, however, greatly restricts the options available to spectrum managers because there will always be at least one person made worse off by any decision, hence, the less restrictive “Potential Pareto Optimality Criterion” is far more feasible. This criterion states that a redistribution of resources leads to an increase in overall social welfare and therefore should take place if those that are made better off by that redistribution could, in principle, fully compensate those that are made worse off and still receive greater benefits than was the case prior to the redistribution.</w:t>
      </w:r>
    </w:p>
    <w:p w14:paraId="2B76BB43" w14:textId="77777777" w:rsidR="00CF04BC" w:rsidRPr="00B93493" w:rsidRDefault="00CF04BC" w:rsidP="00CF04BC">
      <w:r w:rsidRPr="00B93493">
        <w:t>A second economic objective relevant to spectrum management is resource rent capture. Economists categorize the value of a resource, be it spectrum, oil, or timber, as a “rent”. Rights or privileges to extract oil from the ground have value to companies who can sell that oil to consumers or use it to fuel their vehicles, so too does a right or privilege to use radio spectrum have value to a spectrum user who can sell wireless services (a paging company, for example) or use wireless technologies in the provision of other goods or services (a taxi company, for example). The rent accruing to a resource, including a spectrum licence, can be quantified by the price that the resource would bring in an open market. If a spectrum licensee receives for free a licence that has economic value, the licensee has captured the rent accruing to that licence.</w:t>
      </w:r>
    </w:p>
    <w:p w14:paraId="04FABD01" w14:textId="77777777" w:rsidR="00CF04BC" w:rsidRPr="00B93493" w:rsidRDefault="00CF04BC" w:rsidP="00CF04BC">
      <w:r w:rsidRPr="00B93493">
        <w:t>The value of spectrum is reflected in two inherent rents: scarcity rent and differential rent. Scarcity rent exists because demand for spectrum, at least in certain bands and at certain times, exceeds supply at zero price. Differential rent exists because each frequency band possesses specific propagation characteristics that make it suitable for specific services. Having access to the most suitable frequency band could minimize the cost of implementation and optimize the performance of a radio system. Bands that are suitable for many different services using inexpensive equipment are more valuable than bands that are suitable for only one type of service using costly equipment. However, even for the former bands, their non-exclusive use in a particular geographic area may dramatically reduce their value. While some shared use of spectrum may be efficient, where transmitters operate at the same time in the same area and on the same frequency, they may cause mutual harmful interference, thus reducing the band’s value in that area at that time.</w:t>
      </w:r>
    </w:p>
    <w:p w14:paraId="223183AA" w14:textId="77777777" w:rsidR="00CF04BC" w:rsidRPr="00B93493" w:rsidRDefault="00CF04BC" w:rsidP="00CF04BC">
      <w:r w:rsidRPr="00B93493">
        <w:t>In theory, both the goals of Pareto Optimality and resource rent capture can be promoted by creating a free market in spectrum. In such a market, all spectrum assignments would consist of well-defined, legal rights of possession that could be transferred, aggregated and sub</w:t>
      </w:r>
      <w:r w:rsidRPr="00B93493">
        <w:noBreakHyphen/>
        <w:t>divided, and used for any purpose the owner saw fit, so long as this use did not interfere with the possession rights of other spectrum users. However, preventing interference among technically different services (for example, broadcast, mobile, fixed, and satellite) in a spectrum market would require extremely complex engineering analysis, and could lead to litigation among spectrum users. Further, most spectrum managers believe that there are other reasons for imposing some limitations on a spectrum market. These include the following:</w:t>
      </w:r>
    </w:p>
    <w:p w14:paraId="6094E25A" w14:textId="58CF3DEC" w:rsidR="00CF04BC" w:rsidRPr="00523D55" w:rsidRDefault="00523D55" w:rsidP="00523D55">
      <w:pPr>
        <w:pStyle w:val="enumlev1"/>
      </w:pPr>
      <w:r>
        <w:t>–</w:t>
      </w:r>
      <w:r w:rsidR="00CF04BC" w:rsidRPr="00523D55">
        <w:tab/>
        <w:t>Critical government, scientific research, and other socially desirable requirements may not be adequately satisfied.</w:t>
      </w:r>
    </w:p>
    <w:p w14:paraId="4ABC8F7B" w14:textId="7DF57F4D" w:rsidR="00CF04BC" w:rsidRPr="00523D55" w:rsidRDefault="00523D55" w:rsidP="00523D55">
      <w:pPr>
        <w:pStyle w:val="enumlev1"/>
      </w:pPr>
      <w:r>
        <w:t>–</w:t>
      </w:r>
      <w:r w:rsidR="00CF04BC" w:rsidRPr="00523D55">
        <w:tab/>
        <w:t>Limits on spectrum aggregation by individual users may be desirable to preclude anti</w:t>
      </w:r>
      <w:r w:rsidR="00CF04BC" w:rsidRPr="00523D55">
        <w:noBreakHyphen/>
        <w:t>competitive market dominance by rich users.</w:t>
      </w:r>
    </w:p>
    <w:p w14:paraId="3ED93408" w14:textId="4FA97C62" w:rsidR="00CF04BC" w:rsidRPr="00523D55" w:rsidRDefault="00523D55" w:rsidP="00523D55">
      <w:pPr>
        <w:pStyle w:val="enumlev1"/>
      </w:pPr>
      <w:r>
        <w:t>–</w:t>
      </w:r>
      <w:r w:rsidR="00CF04BC" w:rsidRPr="00523D55">
        <w:tab/>
        <w:t>By allocating certain bands to certain uses, whether on a unilateral, national basis or a multilateral, international basis, economies of scale in equipment production may be facilitated.</w:t>
      </w:r>
    </w:p>
    <w:p w14:paraId="2DADE249" w14:textId="2F9DEF72" w:rsidR="00CF04BC" w:rsidRPr="00523D55" w:rsidRDefault="00523D55" w:rsidP="00523D55">
      <w:pPr>
        <w:pStyle w:val="enumlev1"/>
      </w:pPr>
      <w:r>
        <w:t>–</w:t>
      </w:r>
      <w:r w:rsidR="00CF04BC" w:rsidRPr="00523D55">
        <w:tab/>
        <w:t>Internationally allocated bands for globally mobile spectrum users such as mobile users aboard ships and aircraft help to ensure that multiple transmitters and receivers for the same communications function are not needed on board.</w:t>
      </w:r>
    </w:p>
    <w:p w14:paraId="02CEDA06" w14:textId="2869FE07" w:rsidR="00CF04BC" w:rsidRPr="00B93493" w:rsidRDefault="00CF04BC" w:rsidP="00523D55">
      <w:r w:rsidRPr="00B93493">
        <w:t>Accordingly, national spectrum managers worldwide have usually chosen to forego an unfettered spectrum market and have allocated frequency bands to particular uses, with varying technical restrictions. However, in the absence of a property rights system, spectrum managers may wish to consider spectrum valuations of competing groups of users </w:t>
      </w:r>
      <w:r w:rsidR="00523D55" w:rsidRPr="00523D55">
        <w:t>–</w:t>
      </w:r>
      <w:r w:rsidR="00523D55">
        <w:t> </w:t>
      </w:r>
      <w:r w:rsidRPr="00B93493">
        <w:t>broadcasters versus mobile telecommunications service providers, for example. Without a spectrum market, such valuations can be done only imperfectly, but using market proxies such as estimation of service revenues and impact of the service on gross domestic product and employment can be helpful in generating data for use in making allocation and other spectrum management decisions.</w:t>
      </w:r>
    </w:p>
    <w:p w14:paraId="548EC0F1" w14:textId="77777777" w:rsidR="00CF04BC" w:rsidRPr="00B93493" w:rsidRDefault="00CF04BC" w:rsidP="00CF04BC">
      <w:pPr>
        <w:pStyle w:val="Heading3"/>
      </w:pPr>
      <w:bookmarkStart w:id="495" w:name="_Toc289868927"/>
      <w:bookmarkStart w:id="496" w:name="_Toc289868767"/>
      <w:bookmarkStart w:id="497" w:name="_Toc291852844"/>
      <w:bookmarkStart w:id="498" w:name="_Toc459746645"/>
      <w:bookmarkStart w:id="499" w:name="_Toc462233992"/>
      <w:bookmarkStart w:id="500" w:name="_Toc395503169"/>
      <w:bookmarkStart w:id="501" w:name="_Toc459793886"/>
      <w:bookmarkStart w:id="502" w:name="_Toc394386065"/>
      <w:bookmarkStart w:id="503" w:name="_Toc518394156"/>
      <w:bookmarkStart w:id="504" w:name="_Toc497033916"/>
      <w:bookmarkStart w:id="505" w:name="_Toc497033118"/>
      <w:bookmarkStart w:id="506" w:name="_Toc459793744"/>
      <w:bookmarkStart w:id="507" w:name="_Toc392515834"/>
      <w:bookmarkStart w:id="508" w:name="_Toc394385978"/>
      <w:bookmarkStart w:id="509" w:name="_Toc459792573"/>
      <w:bookmarkStart w:id="510" w:name="_Toc289932235"/>
      <w:bookmarkStart w:id="511" w:name="_Toc289933281"/>
      <w:bookmarkStart w:id="512" w:name="_Toc459970379"/>
      <w:bookmarkStart w:id="513" w:name="_Toc182391477"/>
      <w:bookmarkStart w:id="514" w:name="_Toc182391888"/>
      <w:r w:rsidRPr="00B93493">
        <w:t>2.3.1</w:t>
      </w:r>
      <w:r w:rsidRPr="00B93493">
        <w:tab/>
        <w:t>Spectrum assignment methods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038CB034" w14:textId="77777777" w:rsidR="00CF04BC" w:rsidRPr="00B93493" w:rsidRDefault="00CF04BC" w:rsidP="00CF04BC">
      <w:r w:rsidRPr="00B93493">
        <w:t>After spectrum is allocated to a particular use, it must be assigned to individual users. If demand for a particular frequency band in a particular geographic area is limited, there will be no necessity to resolve mutually exclusive (competing) requests for that band. Accordingly, licences may simply be assigned to applicants upon request, provided that applicants adhere to certain technical standards and regulations. However, if mutually exclusive spectrum requests exist, an assignment method must be used to choose from among competing applicants. Three methods of doing this are comparative processes (such as comparative hearings), lotteries, and auctions.</w:t>
      </w:r>
    </w:p>
    <w:p w14:paraId="47506C6B" w14:textId="77777777" w:rsidR="00CF04BC" w:rsidRPr="00523D55" w:rsidRDefault="00CF04BC" w:rsidP="00523D55">
      <w:pPr>
        <w:pStyle w:val="Heading4"/>
      </w:pPr>
      <w:bookmarkStart w:id="515" w:name="_Toc459793887"/>
      <w:bookmarkStart w:id="516" w:name="_Toc497033917"/>
      <w:bookmarkStart w:id="517" w:name="_Toc497033119"/>
      <w:bookmarkStart w:id="518" w:name="_Toc459792574"/>
      <w:bookmarkStart w:id="519" w:name="_Toc459793745"/>
      <w:bookmarkStart w:id="520" w:name="_Toc459746646"/>
      <w:r w:rsidRPr="00523D55">
        <w:t>2.3.1.1</w:t>
      </w:r>
      <w:r w:rsidRPr="00523D55">
        <w:tab/>
        <w:t>Non-market-based assignment approaches: comparative processes and lotteries</w:t>
      </w:r>
      <w:bookmarkEnd w:id="515"/>
      <w:bookmarkEnd w:id="516"/>
      <w:bookmarkEnd w:id="517"/>
      <w:bookmarkEnd w:id="518"/>
      <w:bookmarkEnd w:id="519"/>
      <w:bookmarkEnd w:id="520"/>
    </w:p>
    <w:p w14:paraId="735C212E" w14:textId="77777777" w:rsidR="00CF04BC" w:rsidRPr="00B93493" w:rsidRDefault="00CF04BC" w:rsidP="00523D55">
      <w:r w:rsidRPr="00B93493">
        <w:t>In a comparative process, the qualifications of each of the competing spectrum applicants are formally compared based on established and published national criteria. (Typically, these criteria might include population to be served, quality of service, and speed of service implementation.) The spectrum management authority determines who is the best qualified applicant to use the spectrum and awards the licence. However, comparative processes can be very time-consuming and resource-intensive, may not assign spectrum to those who value it most highly, and may not generate any revenues unless licence fees and/or application fees are charged. Additionally, comparative processes are often decided on the basis of minor differences among applicants, and may cause the decision to be contested by unsuccessful applicants.</w:t>
      </w:r>
    </w:p>
    <w:p w14:paraId="3071D986" w14:textId="77777777" w:rsidR="00CF04BC" w:rsidRPr="00B93493" w:rsidRDefault="00CF04BC" w:rsidP="00523D55">
      <w:r w:rsidRPr="00B93493">
        <w:t>In a lottery, licensees are selected at random from among all competing spectrum applicants. Lotteries can decrease some aspects of the administrative burden entailed in comparative hearings, such as legal expenses, but may create a different kind of administrative burden by encouraging more applications to be filed. Additionally, lotteries do not assign spectrum to those who value it most highly, except by chance, lead to significant transaction costs, and again generate no revenues, unless fees are attached to the licence assigned by lottery or an entry fee to participate in the lottery is charged. Rather, lottery winners in many cases transfer their spectrum rights to other parties, thus capturing the resource rents for themselves. Thus lotteries, without significant application fees or other measures that guarantee the applicant’s intent to provide radio services, tend to encourage speculation.</w:t>
      </w:r>
    </w:p>
    <w:p w14:paraId="1AB2AE3E" w14:textId="77777777" w:rsidR="00CF04BC" w:rsidRPr="00B93493" w:rsidRDefault="00CF04BC" w:rsidP="00523D55">
      <w:r w:rsidRPr="00B93493">
        <w:t>While comparative processes and lotteries are not market-based assignment methods, market forces can be brought to bear after the spectrum has been assigned through the establishment of a secondary market (see § 2.3.2).</w:t>
      </w:r>
    </w:p>
    <w:p w14:paraId="53D33BB7" w14:textId="77777777" w:rsidR="00CF04BC" w:rsidRPr="00523D55" w:rsidRDefault="00CF04BC" w:rsidP="00523D55">
      <w:pPr>
        <w:pStyle w:val="Heading4"/>
      </w:pPr>
      <w:bookmarkStart w:id="521" w:name="_Toc497033918"/>
      <w:bookmarkStart w:id="522" w:name="_Toc459746647"/>
      <w:bookmarkStart w:id="523" w:name="_Toc459793888"/>
      <w:bookmarkStart w:id="524" w:name="_Toc459793746"/>
      <w:bookmarkStart w:id="525" w:name="_Toc459792575"/>
      <w:bookmarkStart w:id="526" w:name="_Toc497033120"/>
      <w:r w:rsidRPr="00523D55">
        <w:t>2.3.1.2</w:t>
      </w:r>
      <w:r w:rsidRPr="00523D55">
        <w:tab/>
        <w:t>Market-based assignment approach: auctions</w:t>
      </w:r>
      <w:bookmarkEnd w:id="521"/>
      <w:bookmarkEnd w:id="522"/>
      <w:bookmarkEnd w:id="523"/>
      <w:bookmarkEnd w:id="524"/>
      <w:bookmarkEnd w:id="525"/>
      <w:bookmarkEnd w:id="526"/>
    </w:p>
    <w:p w14:paraId="69A6C859" w14:textId="77777777" w:rsidR="00CF04BC" w:rsidRPr="00B93493" w:rsidRDefault="00CF04BC" w:rsidP="00523D55">
      <w:r w:rsidRPr="00B93493">
        <w:t>In an auction, licences are awarded by bidding among competing spectrum applicants. Auctions award licences to those who value them most highly while simultaneously generating revenues for the spectrum authority. However, as is the case with an unrestricted spectrum market, auctions may raise competitive concerns if not combined with an active competition policy and limits on how much spectrum an entity may purchase. Market forces do not ensure economic efficiency or maximize consumer welfare in markets that are not competitive because a dominant service provider or group of providers have market power. Additionally, auctions may fail to adequately provide certain socially desirable services or distribute licences to certain groups, such as small businesses (if that is an objective). However, “bidding credits” (discounts) and installment payments to selected entities may alleviate these problems. In fact, entities that would have little chance to win in a comparative process or a lottery may be successful in an auction if bidding credits are significant and if installment payments permit licence costs to be paid over a number of years.</w:t>
      </w:r>
    </w:p>
    <w:p w14:paraId="3E60FB9D" w14:textId="77777777" w:rsidR="00CF04BC" w:rsidRPr="00B93493" w:rsidRDefault="00CF04BC" w:rsidP="00523D55">
      <w:r w:rsidRPr="00B93493">
        <w:t>Auctions and lotteries may significantly decrease the administrative costs and time associated with the spectrum assignment process and therefore improve overall administrative efficiency in contrast to comparative processes.</w:t>
      </w:r>
    </w:p>
    <w:p w14:paraId="29A1847D" w14:textId="77777777" w:rsidR="00CF04BC" w:rsidRPr="00B93493" w:rsidRDefault="00CF04BC" w:rsidP="00CF04BC">
      <w:pPr>
        <w:pStyle w:val="Heading3"/>
      </w:pPr>
      <w:bookmarkStart w:id="527" w:name="_Toc289933282"/>
      <w:bookmarkStart w:id="528" w:name="_Toc289932236"/>
      <w:bookmarkStart w:id="529" w:name="_Toc392515835"/>
      <w:bookmarkStart w:id="530" w:name="_Toc459793747"/>
      <w:bookmarkStart w:id="531" w:name="_Toc395503170"/>
      <w:bookmarkStart w:id="532" w:name="_Toc459746648"/>
      <w:bookmarkStart w:id="533" w:name="_Toc459793889"/>
      <w:bookmarkStart w:id="534" w:name="_Toc394385979"/>
      <w:bookmarkStart w:id="535" w:name="_Toc497033919"/>
      <w:bookmarkStart w:id="536" w:name="_Toc291852845"/>
      <w:bookmarkStart w:id="537" w:name="_Toc289868768"/>
      <w:bookmarkStart w:id="538" w:name="_Toc497033121"/>
      <w:bookmarkStart w:id="539" w:name="_Toc459792576"/>
      <w:bookmarkStart w:id="540" w:name="_Toc459970380"/>
      <w:bookmarkStart w:id="541" w:name="_Toc289868928"/>
      <w:bookmarkStart w:id="542" w:name="_Toc394386066"/>
      <w:bookmarkStart w:id="543" w:name="_Toc518394157"/>
      <w:bookmarkStart w:id="544" w:name="_Toc462233993"/>
      <w:bookmarkStart w:id="545" w:name="_Toc182391478"/>
      <w:bookmarkStart w:id="546" w:name="_Toc182391889"/>
      <w:r w:rsidRPr="00B93493">
        <w:t>2.3.2</w:t>
      </w:r>
      <w:r w:rsidRPr="00B93493">
        <w:tab/>
        <w:t>Transferable and flexible spectrum rights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346469B5" w14:textId="77777777" w:rsidR="00CF04BC" w:rsidRPr="00B93493" w:rsidRDefault="00CF04BC" w:rsidP="00523D55">
      <w:r w:rsidRPr="00B93493">
        <w:t>While auctions are the assignment mechanism best suited to providing an initial economically efficient distribution of the spectrum resource, they will not ensure that spectrum continues to be used in an economically efficient manner in the future. 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14:paraId="0B38045F" w14:textId="77777777" w:rsidR="00CF04BC" w:rsidRPr="00B93493" w:rsidRDefault="00CF04BC" w:rsidP="00523D55">
      <w:r w:rsidRPr="00B93493">
        <w:t>The least restrictive form of transferable property rights permits unlimited technical flexibility without regard to an allocation structure, provided that harmful interference is not caused outside the assigned band. This system, if applied to all frequency bands, would result in an unfettered spectrum market. However, as discussed in § 2.3, a totally free market spectrum approach has not been implemented by any country.</w:t>
      </w:r>
    </w:p>
    <w:p w14:paraId="7F0C6C27" w14:textId="77777777" w:rsidR="00CF04BC" w:rsidRPr="00B93493" w:rsidRDefault="00CF04BC" w:rsidP="00523D55">
      <w:r w:rsidRPr="00B93493">
        <w:t>The most restrictive form of property rights permits transferability only within the confines of a given allocation and only within strictly defined technical parameters. This system has the advantages of ensuring that the entity within the allocated service who values a particular frequency assignment the most will be able to use that assignment, while minimizing the possibility of interference. However, by restricting technical flexibility to ensure interference control, economic efficiency may also be significantly reduced. Further, if property rights are simply vested in incumbent licensees, any resource rent accruing to a particular frequency assignment is captured by the incumbent, rather than the spectrum management authority, unless the rents have been captured initially via an auction or through licence fees.</w:t>
      </w:r>
    </w:p>
    <w:p w14:paraId="1A9E047D" w14:textId="3BAEB19C" w:rsidR="00CF04BC" w:rsidRPr="00B93493" w:rsidRDefault="00CF04BC" w:rsidP="00523D55">
      <w:r w:rsidRPr="00B93493">
        <w:t xml:space="preserve">The middle course with respect to property rights, and the approach used in some bands by New Zealand, the United States of America, and Australia, is to specify emission rights within a given allocation, which may be broadly defined, for example, broadcasting or mobile radio. This approach can lead to an increase in economic efficiency both because licensees are allowed to adjust their use of inputs in accordance with cost and demand considerations; e.g. a mobile radio provider may be able to satisfy increased demand by using a different modulation technique, and because licensees may freely transfer their frequency rights in whole or in part to entities that value those rights more highly. Hence a tradable spectrum rights system provides licensees with the full incentive to use their spectrum in a technically efficient manner. However, a disadvantage of this approach is that it may increase the potential for harmful interference among licensees because technical inputs are not specified. Specifying licensees’ emission rights rather than specifying what inputs licensees must use places a heavier interference control burden on licensees. However, licensees can be allowed to </w:t>
      </w:r>
      <w:r w:rsidRPr="00D25898">
        <w:t xml:space="preserve">negotiate their emission rights; </w:t>
      </w:r>
      <w:r w:rsidRPr="00E91654">
        <w:t>e.g.</w:t>
      </w:r>
      <w:r w:rsidRPr="00D25898">
        <w:t xml:space="preserve"> one licensee may agree to accept additional interference in</w:t>
      </w:r>
      <w:r w:rsidRPr="00B93493">
        <w:t xml:space="preserve"> exchange for monetary compensation. Dependent upon how often disputes requiring resolution by the spectrum management authority or the courts arise, permitting such negotiations may prove advantageous or disadvantageous.</w:t>
      </w:r>
    </w:p>
    <w:p w14:paraId="3B1EEDAD" w14:textId="77777777" w:rsidR="00CF04BC" w:rsidRPr="00523D55" w:rsidRDefault="00CF04BC" w:rsidP="00523D55">
      <w:pPr>
        <w:pStyle w:val="Heading3"/>
      </w:pPr>
      <w:bookmarkStart w:id="547" w:name="_Toc394386067"/>
      <w:bookmarkStart w:id="548" w:name="_Toc289868929"/>
      <w:bookmarkStart w:id="549" w:name="_Toc289932237"/>
      <w:bookmarkStart w:id="550" w:name="_Toc394385980"/>
      <w:bookmarkStart w:id="551" w:name="_Toc459793748"/>
      <w:bookmarkStart w:id="552" w:name="_Toc459746649"/>
      <w:bookmarkStart w:id="553" w:name="_Toc291852846"/>
      <w:bookmarkStart w:id="554" w:name="_Toc459970381"/>
      <w:bookmarkStart w:id="555" w:name="_Toc395503171"/>
      <w:bookmarkStart w:id="556" w:name="_Toc459793890"/>
      <w:bookmarkStart w:id="557" w:name="_Toc289933283"/>
      <w:bookmarkStart w:id="558" w:name="_Toc392515836"/>
      <w:bookmarkStart w:id="559" w:name="_Toc497033920"/>
      <w:bookmarkStart w:id="560" w:name="_Toc289868769"/>
      <w:bookmarkStart w:id="561" w:name="_Toc462233994"/>
      <w:bookmarkStart w:id="562" w:name="_Toc459792577"/>
      <w:bookmarkStart w:id="563" w:name="_Toc518394158"/>
      <w:bookmarkStart w:id="564" w:name="_Toc497033122"/>
      <w:bookmarkStart w:id="565" w:name="_Toc182391479"/>
      <w:bookmarkStart w:id="566" w:name="_Toc182391890"/>
      <w:r w:rsidRPr="00523D55">
        <w:t>2.3.3</w:t>
      </w:r>
      <w:r w:rsidRPr="00523D55">
        <w:tab/>
        <w:t>Advantages and disadvantages of auctions and transferable spectrum rights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2C90DD84" w14:textId="77777777" w:rsidR="00CF04BC" w:rsidRPr="00B93493" w:rsidRDefault="00CF04BC" w:rsidP="00523D55">
      <w:r w:rsidRPr="00B93493">
        <w:t>Auctions have the advantages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 For example, if a particular block of spectrum in a particular area is valued most highly by broadcasters but is allocated to mobile radio, revenues and the economic benefits generated from that spectrum will be less than if broadcasters were allowed to participate in the auction. Broadening the range of uses permitted under an auctioned licence also allows spectrum to be used for those services most in demand. However, broadly defining services has the potential disadvantage of increasing the cost of interference coordination between licensees in adjacent spectrum and areas. These arguments regarding allocation structure apply equally to a system of transferable spectrum rights after the initial spectrum assignment.</w:t>
      </w:r>
    </w:p>
    <w:p w14:paraId="4C8ED85C" w14:textId="77777777" w:rsidR="00CF04BC" w:rsidRPr="00B93493" w:rsidRDefault="00CF04BC" w:rsidP="00523D55">
      <w:r w:rsidRPr="00B93493">
        <w:t>Other expected benefits associated with auctions may be fairness, transparency, objectiveness, and the speed with which licenses can be awarded. Auctions can reduce the opportunities for favouritism and corruption in the competition for spectrum, promote investment, and promote technological advancement.</w:t>
      </w:r>
    </w:p>
    <w:p w14:paraId="1F0F1F3C" w14:textId="77777777" w:rsidR="00CF04BC" w:rsidRPr="00B93493" w:rsidRDefault="00CF04BC" w:rsidP="00523D55">
      <w:r w:rsidRPr="00B93493">
        <w:t>However, in order to promote competition, it may be necessary to impose additional safeguards, for auctioned services. For example, in some situations some or all of the potential bidders may be dominant service providers who are endeavouring to strengthen their monopoly or oligopoly (limited number of competitors) positions. Restrictions on eligibility to participate in an auction or limits on the amount of spectrum that any entity may win can alleviate this problem, although this may limit the number of participants.</w:t>
      </w:r>
    </w:p>
    <w:p w14:paraId="222E0429" w14:textId="77777777" w:rsidR="00CF04BC" w:rsidRPr="00B93493" w:rsidRDefault="00CF04BC" w:rsidP="00523D55">
      <w:r w:rsidRPr="00B93493">
        <w:t>Finally, auctions may be inefficient or impractical for certain services or situations. One case is where there is no competition for spectrum. This could occur, for example, with fixed microwave systems where there are many individual links with narrow beamwidths and very exact locations. A second case is where, providers of socially desirable spectrum-using services such as national defence or scientific research may have difficulties in placing a financial value on spectrum which could lead to those services being under-provided to society if all providers of spectrum-using services faced auctions. While ideally these services could be funded to allow participation in spectrum auctions, the prospect of this happening in any country in the near future appears to be remote. Finally, if auctions to license global or regional satellite systems were held in multiple countries, it is likely that potential service providers would have to expend significant resources simply to participate in each auction, and such a cumbersome process could lead to delays in implementing new and innovative services. In addition, sequential auctions would create significant uncertainty for potential service providers because such providers would be unsure that they would win auctions in all countries in which they wish to provide service. If this uncertainty were sufficiently severe, it could impede the provision and the development of international satellite systems under current ITU Radio Regulations.</w:t>
      </w:r>
    </w:p>
    <w:p w14:paraId="5A6257AF" w14:textId="77777777" w:rsidR="00CF04BC" w:rsidRPr="00B93493" w:rsidRDefault="00CF04BC" w:rsidP="00CF04BC">
      <w:pPr>
        <w:pStyle w:val="Heading3"/>
      </w:pPr>
      <w:bookmarkStart w:id="567" w:name="_Toc497033123"/>
      <w:bookmarkStart w:id="568" w:name="_Toc462233995"/>
      <w:bookmarkStart w:id="569" w:name="_Toc459970382"/>
      <w:bookmarkStart w:id="570" w:name="_Toc289868770"/>
      <w:bookmarkStart w:id="571" w:name="_Toc289933284"/>
      <w:bookmarkStart w:id="572" w:name="_Toc392515837"/>
      <w:bookmarkStart w:id="573" w:name="_Toc518394159"/>
      <w:bookmarkStart w:id="574" w:name="_Toc289868930"/>
      <w:bookmarkStart w:id="575" w:name="_Toc289932238"/>
      <w:bookmarkStart w:id="576" w:name="_Toc291852847"/>
      <w:bookmarkStart w:id="577" w:name="_Toc459792578"/>
      <w:bookmarkStart w:id="578" w:name="_Toc459793891"/>
      <w:bookmarkStart w:id="579" w:name="_Toc394385982"/>
      <w:bookmarkStart w:id="580" w:name="_Toc394386069"/>
      <w:bookmarkStart w:id="581" w:name="_Toc497033921"/>
      <w:bookmarkStart w:id="582" w:name="_Toc459746650"/>
      <w:bookmarkStart w:id="583" w:name="_Toc395503173"/>
      <w:bookmarkStart w:id="584" w:name="_Toc459793749"/>
      <w:bookmarkStart w:id="585" w:name="_Toc182391480"/>
      <w:bookmarkStart w:id="586" w:name="_Toc182391891"/>
      <w:r w:rsidRPr="00B93493">
        <w:t>2.3.4</w:t>
      </w:r>
      <w:r w:rsidRPr="00B93493">
        <w:tab/>
        <w:t>Licence fees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9CAB6A9" w14:textId="77777777" w:rsidR="00CF04BC" w:rsidRPr="00B93493" w:rsidRDefault="00CF04BC" w:rsidP="00523D55">
      <w:pPr>
        <w:rPr>
          <w:b/>
        </w:rPr>
      </w:pPr>
      <w:r w:rsidRPr="00B93493">
        <w:t>Licence fees represent another way which can be used to achieve some of the spectrum manager’s goals and objectives.</w:t>
      </w:r>
    </w:p>
    <w:p w14:paraId="40CE1BF4" w14:textId="77777777" w:rsidR="00CF04BC" w:rsidRPr="00B93493" w:rsidRDefault="00CF04BC" w:rsidP="00523D55">
      <w:r w:rsidRPr="00B93493">
        <w:t>Revenues may be generated and at least some of the resource rent that may exist for use of a particular frequency band in a particular area may be captured by establishing licence fees. (In some administrations fees may cover concessions, authorizations or permissions.) Further, a simple fee structure, such as charging for the direct cost of processing licence applications or charging for the amount of spectrum used, may receive public support because it appears equitable. In addition to auctions, licence fees can also encourage radiocommunications users to make an economically rational choice regarding spectrum use.</w:t>
      </w:r>
    </w:p>
    <w:p w14:paraId="3E134013" w14:textId="77777777" w:rsidR="00CF04BC" w:rsidRPr="00B93493" w:rsidRDefault="00CF04BC" w:rsidP="00523D55">
      <w:r w:rsidRPr="00B93493">
        <w:t>Licence fees range in complexity from a simple table by service, to a charge per frequency per station for each service, to complex formulas involving a number of variables. Most countries do not charge government entities for spectrum use, and many also do not charge for other public interest uses, such as by non-profit organizations; however, Australia, Canada, and the United Kingdom, among other countries, do charge government entities.</w:t>
      </w:r>
    </w:p>
    <w:p w14:paraId="038DE9FB" w14:textId="77777777" w:rsidR="00CF04BC" w:rsidRPr="00B93493" w:rsidRDefault="00CF04BC" w:rsidP="00523D55">
      <w:r w:rsidRPr="00B93493">
        <w:t>Licence fees can be efficiently implemented using the following principles:</w:t>
      </w:r>
    </w:p>
    <w:p w14:paraId="7655E3D3" w14:textId="77777777" w:rsidR="00CF04BC" w:rsidRPr="00B93493" w:rsidRDefault="00CF04BC" w:rsidP="00CF04BC">
      <w:pPr>
        <w:pStyle w:val="enumlev1"/>
      </w:pPr>
      <w:r w:rsidRPr="00B93493">
        <w:t>–</w:t>
      </w:r>
      <w:r w:rsidRPr="00B93493">
        <w:tab/>
        <w:t>Decisions and changes related to fee collection should be undertaken in an open manner through consultation with users and industry.</w:t>
      </w:r>
    </w:p>
    <w:p w14:paraId="581204D8" w14:textId="77777777" w:rsidR="00CF04BC" w:rsidRPr="00B93493" w:rsidRDefault="00CF04BC" w:rsidP="00CF04BC">
      <w:pPr>
        <w:pStyle w:val="enumlev1"/>
      </w:pPr>
      <w:r w:rsidRPr="00B93493">
        <w:t>–</w:t>
      </w:r>
      <w:r w:rsidRPr="00B93493">
        <w:tab/>
        <w:t>Fees should take into consideration, to the maximum extent possible, the value of the spectrum.</w:t>
      </w:r>
    </w:p>
    <w:p w14:paraId="4650C196" w14:textId="77777777" w:rsidR="00CF04BC" w:rsidRPr="00B93493" w:rsidRDefault="00CF04BC" w:rsidP="00CF04BC">
      <w:pPr>
        <w:pStyle w:val="enumlev1"/>
      </w:pPr>
      <w:r w:rsidRPr="00B93493">
        <w:t>–</w:t>
      </w:r>
      <w:r w:rsidRPr="00B93493">
        <w:tab/>
        <w:t>Fee mechanisms should be easy to understand and implement.</w:t>
      </w:r>
    </w:p>
    <w:p w14:paraId="231F7FA5" w14:textId="77777777" w:rsidR="00CF04BC" w:rsidRPr="00B93493" w:rsidRDefault="00CF04BC" w:rsidP="00CF04BC">
      <w:pPr>
        <w:pStyle w:val="enumlev1"/>
      </w:pPr>
      <w:r w:rsidRPr="00B93493">
        <w:t>–</w:t>
      </w:r>
      <w:r w:rsidRPr="00B93493">
        <w:tab/>
        <w:t>Fees should not be an impediment to innovation and use of new radio technologies, or to competition.</w:t>
      </w:r>
    </w:p>
    <w:p w14:paraId="0A70A2DA" w14:textId="77777777" w:rsidR="00CF04BC" w:rsidRPr="00B93493" w:rsidRDefault="00CF04BC" w:rsidP="00CF04BC">
      <w:pPr>
        <w:pStyle w:val="enumlev1"/>
      </w:pPr>
      <w:r w:rsidRPr="00B93493">
        <w:t>–</w:t>
      </w:r>
      <w:r w:rsidRPr="00B93493">
        <w:tab/>
        <w:t>Fees should support the attainment of the spectrum manager’s national goals and objectives.</w:t>
      </w:r>
    </w:p>
    <w:p w14:paraId="1E244ABB" w14:textId="3945C81F" w:rsidR="00CF04BC" w:rsidRPr="00B93493" w:rsidRDefault="00CF04BC" w:rsidP="00CF04BC">
      <w:r w:rsidRPr="00B93493">
        <w:t>The basic types of fees are those based on the spectrum management costs for processing licence applications, revenues derived from licensee’s use of the frequency spectrum, and incentive fee formulas. Spectrum management fees are based on direct costs incurred by spectrum managers in processing applications, and may also reflect indirect spectrum management costs; i.e. overhead costs. In order for national spectrum management to be conducted, resources are needed to cover the full range of spectrum management functions (see Chapter 1). As stated in § 2.2.4.2, fees may be a source of this funding. With this intent, fees can be linked to specific spectrum management activity, the overall annual funding requirement or to other spectrum management objectives. These fees can be charged for the initial application and for application renewals. Fees can also be charged annually in order to maintain the spectrum management activity since spectrum users continue to benefit from the activity of the national spectrum manager through monitoring, database maintenance, ITU representation, etc. even after their applications have been approved. Individual licensees are generally grouped into licence categories for the purpose of setting fees. Revenue-based fees are proportional to the gross income the licensees generate from use of the spectrum. Incentive fee formulas take into account the value of the spectrum.</w:t>
      </w:r>
    </w:p>
    <w:p w14:paraId="7153B0FC" w14:textId="77777777" w:rsidR="00CF04BC" w:rsidRPr="00B93493" w:rsidRDefault="00CF04BC" w:rsidP="00CF04BC">
      <w:r w:rsidRPr="00B93493">
        <w:t>Another option is to charge fees based on the “opportunity cost” of spectrum use. In an auction, the bidder with the highest willingness to pay will win, with a bid that is just above the valuation of the bidder with the second highest willingness to pay. This second highest valuation represents the best alternative use, or opportunity cost, of the auctioned item. Therefore, in a situation in which the spectrum management authority must set spectrum fees administratively, an economically efficient distribution can be ensured if the fee is set equal to this opportunity cost/market value. However, to calculate the opportunity cost accurately, a market must be simulated to determine spectrum users’ willingness to pay. To do this with absolute precision is extremely difficult, nonetheless an approxi</w:t>
      </w:r>
      <w:r w:rsidRPr="00B93493">
        <w:softHyphen/>
        <w:t>mation can be obtained which may make this a practical option.</w:t>
      </w:r>
    </w:p>
    <w:p w14:paraId="32B9B792" w14:textId="77777777" w:rsidR="00CF04BC" w:rsidRPr="00B93493" w:rsidRDefault="00CF04BC" w:rsidP="00523D55">
      <w:pPr>
        <w:keepNext/>
        <w:keepLines/>
      </w:pPr>
      <w:r w:rsidRPr="00B93493">
        <w:t>It should also be noted that in some instances administrations may charge fees on the basis of individual equipment or frequencies, while in other cases a single fee for the use of a block of frequencies will be charged. The latter approach may provide improvements in administrative efficiency.</w:t>
      </w:r>
    </w:p>
    <w:p w14:paraId="19C437FB" w14:textId="77777777" w:rsidR="00CF04BC" w:rsidRPr="00B93493" w:rsidRDefault="00CF04BC" w:rsidP="00CF04BC">
      <w:pPr>
        <w:pStyle w:val="Heading4"/>
      </w:pPr>
      <w:bookmarkStart w:id="587" w:name="_Toc459792579"/>
      <w:bookmarkStart w:id="588" w:name="_Toc456492111"/>
      <w:bookmarkStart w:id="589" w:name="_Toc456491667"/>
      <w:bookmarkStart w:id="590" w:name="_Toc459746651"/>
      <w:bookmarkStart w:id="591" w:name="_Toc459793750"/>
      <w:bookmarkStart w:id="592" w:name="_Toc458355735"/>
      <w:bookmarkStart w:id="593" w:name="_Toc459793892"/>
      <w:bookmarkStart w:id="594" w:name="_Toc497033124"/>
      <w:bookmarkStart w:id="595" w:name="_Toc497033922"/>
      <w:bookmarkStart w:id="596" w:name="_Toc456492151"/>
      <w:r w:rsidRPr="00B93493">
        <w:t>2.3.4.1</w:t>
      </w:r>
      <w:r w:rsidRPr="00B93493">
        <w:tab/>
        <w:t>Fees based on spectrum management costs</w:t>
      </w:r>
      <w:bookmarkEnd w:id="587"/>
      <w:bookmarkEnd w:id="588"/>
      <w:bookmarkEnd w:id="589"/>
      <w:bookmarkEnd w:id="590"/>
      <w:bookmarkEnd w:id="591"/>
      <w:bookmarkEnd w:id="592"/>
      <w:bookmarkEnd w:id="593"/>
      <w:bookmarkEnd w:id="594"/>
      <w:bookmarkEnd w:id="595"/>
      <w:bookmarkEnd w:id="596"/>
    </w:p>
    <w:p w14:paraId="17A446CB" w14:textId="77777777" w:rsidR="00CF04BC" w:rsidRPr="00B93493" w:rsidRDefault="00CF04BC" w:rsidP="00523D55">
      <w:r w:rsidRPr="00B93493">
        <w:t>Fees based on spectrum management costs depend on two separate elements: the range of spectrum management authority’s functions included in the overall costs and the method used to determine the fees for an individual licensee. A spectrum management authority’s costs can be broadly divided into two areas: direct and indirect costs. The specific spectrum management functions associated with each category may vary according to the administration.</w:t>
      </w:r>
    </w:p>
    <w:p w14:paraId="143C8C7A" w14:textId="77777777" w:rsidR="00CF04BC" w:rsidRPr="00B93493" w:rsidRDefault="00CF04BC" w:rsidP="00CF04BC">
      <w:pPr>
        <w:pStyle w:val="Heading5"/>
      </w:pPr>
      <w:r w:rsidRPr="00B93493">
        <w:t>2.3.4.1.1</w:t>
      </w:r>
      <w:r w:rsidRPr="00B93493">
        <w:tab/>
        <w:t>Direct costs</w:t>
      </w:r>
    </w:p>
    <w:p w14:paraId="71E5D6AB" w14:textId="77777777" w:rsidR="00CF04BC" w:rsidRPr="00B93493" w:rsidRDefault="00CF04BC" w:rsidP="00523D55">
      <w:r w:rsidRPr="00B93493">
        <w:t>The immediate and identifiable cost of issuing licences for specific applications. For example, they include: the cost of staff time in the frequency assignment process, site clearance, interference analysis when it can be directly associated with a particular class of service – keeping the public news and entertainment channels clear, ITU and regional international consultation that is specific to an identifiable group of users. In some frequency bands and for some services, or if the equipment is located near neighbouring countries, the direct costs will include the cost of relevant international consultation.</w:t>
      </w:r>
    </w:p>
    <w:p w14:paraId="196960B9" w14:textId="77777777" w:rsidR="00CF04BC" w:rsidRPr="00523D55" w:rsidRDefault="00CF04BC" w:rsidP="00523D55">
      <w:pPr>
        <w:pStyle w:val="Heading5"/>
      </w:pPr>
      <w:r w:rsidRPr="00523D55">
        <w:t>2.3.4.1.2</w:t>
      </w:r>
      <w:r w:rsidRPr="00523D55">
        <w:tab/>
        <w:t>Indirect costs</w:t>
      </w:r>
    </w:p>
    <w:p w14:paraId="7AB063C2" w14:textId="77777777" w:rsidR="00CF04BC" w:rsidRPr="00B93493" w:rsidRDefault="00CF04BC" w:rsidP="00CF04BC">
      <w:r w:rsidRPr="00B93493">
        <w:t>The cost of the spectrum management functions (see Note 1) used to support the administration’s frequency assignment process and the overhead of operating the administration’s spectrum management procedures. They represent costs that cannot be identified as attributable to specific services or licensees such as general international consultation, for example with the ITU and regional groups, propagation research covering many frequency bands and services, general spectrum monitoring, interference investigations arising from the complaints of rightful users and the cost of support staff and equipment.</w:t>
      </w:r>
    </w:p>
    <w:p w14:paraId="5BEFFF6A" w14:textId="77777777" w:rsidR="00CF04BC" w:rsidRPr="00B93493" w:rsidRDefault="00CF04BC" w:rsidP="00CF04BC">
      <w:r w:rsidRPr="00B93493">
        <w:t>In some administrations the definition of direct costs is very restrictive and is limited to the costs incurred for each individual licence applicant. Some administrations may not make any charge for indirect costs.</w:t>
      </w:r>
    </w:p>
    <w:p w14:paraId="21265BC1" w14:textId="77777777" w:rsidR="00CF04BC" w:rsidRPr="00B93493" w:rsidRDefault="00CF04BC" w:rsidP="00CF04BC">
      <w:r w:rsidRPr="00B93493">
        <w:t>The methods used to determine fees from spectrum management costs range from the simplistic method of dividing the total costs by the number of licensees to the more complex “cost recovery”. Cost recovery is used to apportion the costs of spectrum management functions to the licensee according to the costs incurred in issuing the licence and the associated frequency assignment process (for example: frequency assignment, site clearance, coordination) including any other necessary spectrum management functions. The licence fees are usually structured on the principle of recovering the costs directly and indirectly attributable to a specific licence category. In some countries the accounts are audited, by a national auditor, to ensure the costs, on which the licence fees are based, are appropriate and justifiable.</w:t>
      </w:r>
    </w:p>
    <w:p w14:paraId="579AB136" w14:textId="77777777" w:rsidR="00CF04BC" w:rsidRPr="00B93493" w:rsidRDefault="00CF04BC" w:rsidP="00CF04BC">
      <w:r w:rsidRPr="00B93493">
        <w:t>The exact definition and operation of “cost recovery” varies according to national spectrum management, legislative and constitutional requirements. These requirements may have an impact on the implementation of cost recovery in each country and affect how the costs and fees are justified. There are several reasons for these differences:</w:t>
      </w:r>
    </w:p>
    <w:p w14:paraId="648D4400" w14:textId="77777777" w:rsidR="00CF04BC" w:rsidRPr="00523D55" w:rsidRDefault="00CF04BC" w:rsidP="00523D55">
      <w:pPr>
        <w:pStyle w:val="enumlev1"/>
      </w:pPr>
      <w:r w:rsidRPr="00523D55">
        <w:t>a)</w:t>
      </w:r>
      <w:r w:rsidRPr="00523D55">
        <w:tab/>
        <w:t>In some countries a distinction is made between the administration’s total income matching or simply approximating its costs. In the former case the administration is not permitted to subsidize or overcharge the licensee, with any excess having to be repaid. In the latter case it is recognized that fees are based on an estimate of the expected costs, and therefore the income may exceed or not reach the administration’s actual costs. It is to be noted that in those countries using the latter system, strict audit control may still be applied.</w:t>
      </w:r>
    </w:p>
    <w:p w14:paraId="1A76969C" w14:textId="77777777" w:rsidR="00CF04BC" w:rsidRPr="00523D55" w:rsidRDefault="00CF04BC" w:rsidP="00523D55">
      <w:pPr>
        <w:pStyle w:val="enumlev1"/>
      </w:pPr>
      <w:r w:rsidRPr="00523D55">
        <w:t>b)</w:t>
      </w:r>
      <w:r w:rsidRPr="00523D55">
        <w:tab/>
        <w:t>The fees set for cost recovery may be based on the work performed on an individual licence or the average for that licence category.</w:t>
      </w:r>
    </w:p>
    <w:p w14:paraId="527C93A5" w14:textId="77777777" w:rsidR="00CF04BC" w:rsidRPr="00523D55" w:rsidRDefault="00CF04BC" w:rsidP="00523D55">
      <w:pPr>
        <w:pStyle w:val="enumlev1"/>
      </w:pPr>
      <w:r w:rsidRPr="00523D55">
        <w:t>c)</w:t>
      </w:r>
      <w:r w:rsidRPr="00523D55">
        <w:tab/>
        <w:t>The complexity of the frequency assignment process and the number of spectrum management functions that need to be performed to issue a licence may vary due to:</w:t>
      </w:r>
    </w:p>
    <w:p w14:paraId="10390AE5" w14:textId="7E3E70B1" w:rsidR="00CF04BC" w:rsidRPr="00523D55" w:rsidRDefault="00523D55" w:rsidP="00523D55">
      <w:pPr>
        <w:pStyle w:val="enumlev2"/>
      </w:pPr>
      <w:r>
        <w:t>–</w:t>
      </w:r>
      <w:r w:rsidR="00CF04BC" w:rsidRPr="00523D55">
        <w:tab/>
        <w:t>national characteristics – for example the number of users, geographic features requiring the use of a detailed topographic database;</w:t>
      </w:r>
    </w:p>
    <w:p w14:paraId="7763A085" w14:textId="3E5206F5" w:rsidR="00CF04BC" w:rsidRPr="00523D55" w:rsidRDefault="00523D55" w:rsidP="00523D55">
      <w:pPr>
        <w:pStyle w:val="enumlev2"/>
      </w:pPr>
      <w:r>
        <w:t>–</w:t>
      </w:r>
      <w:r w:rsidR="00CF04BC" w:rsidRPr="00523D55">
        <w:tab/>
        <w:t>international requirements – for example bilateral or multilateral treaties, footnotes in the Radio Regulations.</w:t>
      </w:r>
    </w:p>
    <w:p w14:paraId="44120A66" w14:textId="77777777" w:rsidR="00CF04BC" w:rsidRPr="00B93493" w:rsidRDefault="00CF04BC" w:rsidP="00CF04BC">
      <w:pPr>
        <w:pStyle w:val="enumlev1"/>
      </w:pPr>
      <w:r w:rsidRPr="00B93493">
        <w:t>d)</w:t>
      </w:r>
      <w:r w:rsidRPr="00B93493">
        <w:tab/>
        <w:t>How the costs of the individual spectrum management functions are attributed to a particular licence category may be different due to:</w:t>
      </w:r>
    </w:p>
    <w:p w14:paraId="0325BD1B" w14:textId="04AA9B78" w:rsidR="00CF04BC" w:rsidRPr="00523D55" w:rsidRDefault="00523D55" w:rsidP="00523D55">
      <w:pPr>
        <w:pStyle w:val="enumlev2"/>
      </w:pPr>
      <w:r>
        <w:t>–</w:t>
      </w:r>
      <w:r w:rsidR="00CF04BC" w:rsidRPr="00523D55">
        <w:tab/>
        <w:t>the government’s interpretation of whether the cost should be the responsibility of the licensee, should attract a fixed fee or should be the responsibility of the State (paid from the national budget) – for example, some administrations consider monitoring is the responsibility of the state;</w:t>
      </w:r>
    </w:p>
    <w:p w14:paraId="59D46450" w14:textId="46872A4F" w:rsidR="00CF04BC" w:rsidRPr="00523D55" w:rsidRDefault="00523D55" w:rsidP="00523D55">
      <w:pPr>
        <w:pStyle w:val="enumlev2"/>
      </w:pPr>
      <w:r>
        <w:t>–</w:t>
      </w:r>
      <w:r w:rsidR="00CF04BC" w:rsidRPr="00523D55">
        <w:tab/>
        <w:t>their allocation between direct and indirect costs.</w:t>
      </w:r>
    </w:p>
    <w:p w14:paraId="4419310C" w14:textId="77777777" w:rsidR="00CF04BC" w:rsidRPr="00B93493" w:rsidRDefault="00CF04BC" w:rsidP="00CF04BC">
      <w:r w:rsidRPr="00B93493">
        <w:t>All of these factors will affect the composition of the licence fee and the mechanisms an administration puts in place to monitor its income and costs.</w:t>
      </w:r>
    </w:p>
    <w:p w14:paraId="157B7DFE" w14:textId="77777777" w:rsidR="00CF04BC" w:rsidRPr="00523D55" w:rsidRDefault="00CF04BC" w:rsidP="00523D55">
      <w:pPr>
        <w:pStyle w:val="Note"/>
      </w:pPr>
      <w:r w:rsidRPr="00523D55">
        <w:t>NOTE 1 – There are activities associated with the management of the spectrum that some administrations consider to be separate from their licensing costs. These activities typically relate to approval processes not directly related to frequency assignment. In these cases</w:t>
      </w:r>
      <w:r w:rsidRPr="00523D55">
        <w:rPr>
          <w:rFonts w:hint="eastAsia"/>
        </w:rPr>
        <w:t>,</w:t>
      </w:r>
      <w:r w:rsidRPr="00523D55">
        <w:t xml:space="preserve"> the administrations tend to make a separate charge and this is usually based on a simple fee that does not recover the cost of the function. These miscellaneous spectrum management fees may include a type approval, test laboratory accreditation, EMC fees and charges, installation inspection, examination certificates (radio amateurs, maritime examinations, etc.).</w:t>
      </w:r>
    </w:p>
    <w:p w14:paraId="3D9D2A94" w14:textId="77777777" w:rsidR="00CF04BC" w:rsidRPr="00523D55" w:rsidRDefault="00CF04BC" w:rsidP="00523D55">
      <w:pPr>
        <w:pStyle w:val="Heading4"/>
      </w:pPr>
      <w:bookmarkStart w:id="597" w:name="_Toc456492152"/>
      <w:bookmarkStart w:id="598" w:name="_Toc456492112"/>
      <w:bookmarkStart w:id="599" w:name="_Toc458355736"/>
      <w:bookmarkStart w:id="600" w:name="_Toc456491668"/>
      <w:bookmarkStart w:id="601" w:name="_Toc459793893"/>
      <w:bookmarkStart w:id="602" w:name="_Toc459746652"/>
      <w:bookmarkStart w:id="603" w:name="_Toc497033923"/>
      <w:bookmarkStart w:id="604" w:name="_Toc497033125"/>
      <w:bookmarkStart w:id="605" w:name="_Toc459792580"/>
      <w:bookmarkStart w:id="606" w:name="_Toc459793751"/>
      <w:r w:rsidRPr="00523D55">
        <w:t>2.3.4.2</w:t>
      </w:r>
      <w:r w:rsidRPr="00523D55">
        <w:tab/>
        <w:t xml:space="preserve">Fees based on user’s </w:t>
      </w:r>
      <w:bookmarkEnd w:id="597"/>
      <w:bookmarkEnd w:id="598"/>
      <w:bookmarkEnd w:id="599"/>
      <w:bookmarkEnd w:id="600"/>
      <w:r w:rsidRPr="00523D55">
        <w:t>gross income</w:t>
      </w:r>
      <w:bookmarkEnd w:id="601"/>
      <w:bookmarkEnd w:id="602"/>
      <w:bookmarkEnd w:id="603"/>
      <w:bookmarkEnd w:id="604"/>
      <w:bookmarkEnd w:id="605"/>
      <w:bookmarkEnd w:id="606"/>
    </w:p>
    <w:p w14:paraId="5177372C" w14:textId="77777777" w:rsidR="00CF04BC" w:rsidRPr="00B93493" w:rsidRDefault="00CF04BC" w:rsidP="00523D55">
      <w:r w:rsidRPr="00B93493">
        <w:t>A fee can be charged based on a percentage of the gross income of a company. The value of the gross income used in the fee calculation must be directly related to the company’s use of the spectrum to avoid difficulty in the accounting and auditing processes.</w:t>
      </w:r>
    </w:p>
    <w:p w14:paraId="658C70CB" w14:textId="77777777" w:rsidR="00CF04BC" w:rsidRPr="00523D55" w:rsidRDefault="00CF04BC" w:rsidP="00523D55">
      <w:pPr>
        <w:pStyle w:val="Heading4"/>
      </w:pPr>
      <w:bookmarkStart w:id="607" w:name="_Toc497033126"/>
      <w:bookmarkStart w:id="608" w:name="_Toc456491669"/>
      <w:bookmarkStart w:id="609" w:name="_Toc459793752"/>
      <w:bookmarkStart w:id="610" w:name="_Toc497033924"/>
      <w:bookmarkStart w:id="611" w:name="_Toc458355737"/>
      <w:bookmarkStart w:id="612" w:name="_Toc456492113"/>
      <w:bookmarkStart w:id="613" w:name="_Toc456492153"/>
      <w:bookmarkStart w:id="614" w:name="_Toc459792581"/>
      <w:bookmarkStart w:id="615" w:name="_Toc459746653"/>
      <w:bookmarkStart w:id="616" w:name="_Toc459793894"/>
      <w:r w:rsidRPr="00523D55">
        <w:t>2.3.4.3</w:t>
      </w:r>
      <w:r w:rsidRPr="00523D55">
        <w:tab/>
        <w:t>Incentive fees</w:t>
      </w:r>
      <w:bookmarkEnd w:id="607"/>
      <w:bookmarkEnd w:id="608"/>
      <w:bookmarkEnd w:id="609"/>
      <w:bookmarkEnd w:id="610"/>
      <w:bookmarkEnd w:id="611"/>
      <w:bookmarkEnd w:id="612"/>
      <w:bookmarkEnd w:id="613"/>
      <w:bookmarkEnd w:id="614"/>
      <w:bookmarkEnd w:id="615"/>
      <w:bookmarkEnd w:id="616"/>
    </w:p>
    <w:p w14:paraId="57D00578" w14:textId="77777777" w:rsidR="00CF04BC" w:rsidRPr="00B93493" w:rsidRDefault="00CF04BC" w:rsidP="00523D55">
      <w:r w:rsidRPr="00B93493">
        <w:t>An incentive fee attempts to use price to achieve spectrum management objectives and hence to provide some incentive to use the spectrum efficiently. Various elements of spectrum usage may be taken into consideration in the development of an approach or a formula (e.g. population density, bandwidth, frequency band, coverage area, exclusivity, power) and different formulae may be required for different frequency bands and services. Developing an incentive fee formula may not be a simple task if it is to accurately reflect the variation in spectrum usage across a country. Incentive fees may not be suitable for all services.</w:t>
      </w:r>
    </w:p>
    <w:p w14:paraId="626EB1BF" w14:textId="77777777" w:rsidR="00CF04BC" w:rsidRPr="00523D55" w:rsidRDefault="00CF04BC" w:rsidP="00523D55">
      <w:pPr>
        <w:pStyle w:val="Heading4"/>
      </w:pPr>
      <w:bookmarkStart w:id="617" w:name="_Toc459792582"/>
      <w:bookmarkStart w:id="618" w:name="_Toc459793753"/>
      <w:bookmarkStart w:id="619" w:name="_Toc497033127"/>
      <w:bookmarkStart w:id="620" w:name="_Toc456492114"/>
      <w:bookmarkStart w:id="621" w:name="_Toc456492154"/>
      <w:bookmarkStart w:id="622" w:name="_Toc459746654"/>
      <w:bookmarkStart w:id="623" w:name="_Toc459793895"/>
      <w:bookmarkStart w:id="624" w:name="_Toc497033925"/>
      <w:bookmarkStart w:id="625" w:name="_Toc456491670"/>
      <w:bookmarkStart w:id="626" w:name="_Toc458355738"/>
      <w:r w:rsidRPr="00523D55">
        <w:t>2.3.4.4</w:t>
      </w:r>
      <w:r w:rsidRPr="00523D55">
        <w:tab/>
        <w:t>Opportunity cost fees</w:t>
      </w:r>
      <w:bookmarkEnd w:id="617"/>
      <w:bookmarkEnd w:id="618"/>
      <w:bookmarkEnd w:id="619"/>
      <w:bookmarkEnd w:id="620"/>
      <w:bookmarkEnd w:id="621"/>
      <w:bookmarkEnd w:id="622"/>
      <w:bookmarkEnd w:id="623"/>
      <w:bookmarkEnd w:id="624"/>
      <w:bookmarkEnd w:id="625"/>
      <w:bookmarkEnd w:id="626"/>
    </w:p>
    <w:p w14:paraId="4BA5CE78" w14:textId="77777777" w:rsidR="00CF04BC" w:rsidRPr="00B93493" w:rsidRDefault="00CF04BC" w:rsidP="00523D55">
      <w:r w:rsidRPr="00B93493">
        <w:t>Opportunity cost is defined as the value of something in its best alternative use. In the case of spectrum, it means the alternative value that is foregone when a section of frequency spectrum is assigned to a particular user. An opportunity cost fee tries to simulate the market value of the spectrum. This process may require financial analysis, estimations of demand or market studies to achieve a valuation, and considerable expertise.</w:t>
      </w:r>
    </w:p>
    <w:p w14:paraId="32EEA284" w14:textId="77777777" w:rsidR="00CF04BC" w:rsidRPr="00523D55" w:rsidRDefault="00CF04BC" w:rsidP="00523D55">
      <w:pPr>
        <w:pStyle w:val="Heading4"/>
      </w:pPr>
      <w:bookmarkStart w:id="627" w:name="_Toc458355739"/>
      <w:bookmarkStart w:id="628" w:name="_Toc459793896"/>
      <w:bookmarkStart w:id="629" w:name="_Toc459746655"/>
      <w:bookmarkStart w:id="630" w:name="_Toc456492115"/>
      <w:bookmarkStart w:id="631" w:name="_Toc456491671"/>
      <w:bookmarkStart w:id="632" w:name="_Toc459792583"/>
      <w:bookmarkStart w:id="633" w:name="_Toc459793754"/>
      <w:bookmarkStart w:id="634" w:name="_Toc456492155"/>
      <w:bookmarkStart w:id="635" w:name="_Toc497033128"/>
      <w:bookmarkStart w:id="636" w:name="_Toc497033926"/>
      <w:r w:rsidRPr="00523D55">
        <w:t>2.3.4.5</w:t>
      </w:r>
      <w:r w:rsidRPr="00523D55">
        <w:tab/>
        <w:t>Fee calculation example</w:t>
      </w:r>
      <w:bookmarkEnd w:id="627"/>
      <w:bookmarkEnd w:id="628"/>
      <w:bookmarkEnd w:id="629"/>
      <w:bookmarkEnd w:id="630"/>
      <w:bookmarkEnd w:id="631"/>
      <w:bookmarkEnd w:id="632"/>
      <w:bookmarkEnd w:id="633"/>
      <w:bookmarkEnd w:id="634"/>
      <w:r w:rsidRPr="00523D55">
        <w:t>s</w:t>
      </w:r>
      <w:bookmarkEnd w:id="635"/>
      <w:bookmarkEnd w:id="636"/>
    </w:p>
    <w:p w14:paraId="07DD8264" w14:textId="77777777" w:rsidR="00CF04BC" w:rsidRPr="00B93493" w:rsidRDefault="00CF04BC" w:rsidP="00523D55">
      <w:r w:rsidRPr="00B93493">
        <w:t>Fees based on spectrum management costs may be represented by the general functional forms:</w:t>
      </w:r>
    </w:p>
    <w:p w14:paraId="57DFE109" w14:textId="77777777" w:rsidR="00CF04BC" w:rsidRPr="00596592" w:rsidRDefault="00CF04BC" w:rsidP="00CF04BC">
      <w:pPr>
        <w:pStyle w:val="Equation"/>
        <w:rPr>
          <w:lang w:val="it-IT"/>
        </w:rPr>
      </w:pPr>
      <w:r w:rsidRPr="00B93493">
        <w:tab/>
      </w:r>
      <w:r w:rsidRPr="00B93493">
        <w:tab/>
      </w:r>
      <w:r w:rsidRPr="00596592">
        <w:rPr>
          <w:i/>
          <w:iCs/>
          <w:lang w:val="it-IT"/>
        </w:rPr>
        <w:t xml:space="preserve">F </w:t>
      </w:r>
      <w:r w:rsidRPr="00596592">
        <w:rPr>
          <w:lang w:val="it-IT"/>
        </w:rPr>
        <w:t xml:space="preserve"> </w:t>
      </w:r>
      <w:r w:rsidRPr="00B93493">
        <w:rPr>
          <w:rFonts w:ascii="Symbol" w:hAnsi="Symbol"/>
        </w:rPr>
        <w:t></w:t>
      </w:r>
      <w:r w:rsidRPr="00596592">
        <w:rPr>
          <w:lang w:val="it-IT"/>
        </w:rPr>
        <w:t xml:space="preserve">  </w:t>
      </w:r>
      <w:r w:rsidRPr="00596592">
        <w:rPr>
          <w:i/>
          <w:iCs/>
          <w:lang w:val="it-IT"/>
        </w:rPr>
        <w:t>Di</w:t>
      </w:r>
      <w:r w:rsidRPr="00596592">
        <w:rPr>
          <w:lang w:val="it-IT"/>
        </w:rPr>
        <w:tab/>
        <w:t>(1)</w:t>
      </w:r>
    </w:p>
    <w:p w14:paraId="42C904A4" w14:textId="346B6339" w:rsidR="00CF04BC" w:rsidRPr="00596592" w:rsidRDefault="00CF04BC" w:rsidP="00CF04BC">
      <w:pPr>
        <w:pStyle w:val="Equation"/>
        <w:rPr>
          <w:lang w:val="it-IT"/>
        </w:rPr>
      </w:pPr>
      <w:r w:rsidRPr="00596592">
        <w:rPr>
          <w:lang w:val="it-IT"/>
        </w:rPr>
        <w:tab/>
      </w:r>
      <w:r w:rsidRPr="00596592">
        <w:rPr>
          <w:lang w:val="it-IT"/>
        </w:rPr>
        <w:tab/>
      </w:r>
      <w:r w:rsidRPr="00596592">
        <w:rPr>
          <w:i/>
          <w:iCs/>
          <w:lang w:val="it-IT"/>
        </w:rPr>
        <w:t>F</w:t>
      </w:r>
      <w:r w:rsidRPr="00596592">
        <w:rPr>
          <w:lang w:val="it-IT"/>
        </w:rPr>
        <w:t xml:space="preserve">  </w:t>
      </w:r>
      <w:r w:rsidR="00523D55" w:rsidRPr="00D25898">
        <w:rPr>
          <w:lang w:val="it-IT"/>
        </w:rPr>
        <w:t>=</w:t>
      </w:r>
      <w:r w:rsidRPr="00596592">
        <w:rPr>
          <w:lang w:val="it-IT"/>
        </w:rPr>
        <w:t xml:space="preserve">  </w:t>
      </w:r>
      <w:r w:rsidRPr="00596592">
        <w:rPr>
          <w:i/>
          <w:iCs/>
          <w:lang w:val="it-IT"/>
        </w:rPr>
        <w:t>f</w:t>
      </w:r>
      <w:r w:rsidRPr="00596592">
        <w:rPr>
          <w:lang w:val="it-IT"/>
        </w:rPr>
        <w:t>(</w:t>
      </w:r>
      <w:r w:rsidRPr="00596592">
        <w:rPr>
          <w:i/>
          <w:iCs/>
          <w:lang w:val="it-IT"/>
        </w:rPr>
        <w:t>Di</w:t>
      </w:r>
      <w:r w:rsidRPr="00596592">
        <w:rPr>
          <w:lang w:val="it-IT"/>
        </w:rPr>
        <w:t xml:space="preserve">, </w:t>
      </w:r>
      <w:r w:rsidRPr="00596592">
        <w:rPr>
          <w:i/>
          <w:iCs/>
          <w:lang w:val="it-IT"/>
        </w:rPr>
        <w:t>LiI</w:t>
      </w:r>
      <w:r w:rsidRPr="00596592">
        <w:rPr>
          <w:lang w:val="it-IT"/>
        </w:rPr>
        <w:t>)</w:t>
      </w:r>
      <w:r w:rsidRPr="00596592">
        <w:rPr>
          <w:lang w:val="it-IT"/>
        </w:rPr>
        <w:tab/>
        <w:t>(2)</w:t>
      </w:r>
    </w:p>
    <w:p w14:paraId="34C3D069" w14:textId="77777777" w:rsidR="00CF04BC" w:rsidRPr="00B93493" w:rsidRDefault="00CF04BC" w:rsidP="00CF04BC">
      <w:r w:rsidRPr="00B93493">
        <w:t>where:</w:t>
      </w:r>
    </w:p>
    <w:p w14:paraId="571F14E6" w14:textId="55461D39" w:rsidR="00CF04BC" w:rsidRPr="00B93493" w:rsidRDefault="00CF04BC" w:rsidP="00CF04BC">
      <w:pPr>
        <w:pStyle w:val="Equationlegend"/>
      </w:pPr>
      <w:r w:rsidRPr="00B93493">
        <w:tab/>
      </w:r>
      <w:r w:rsidRPr="00B93493">
        <w:rPr>
          <w:i/>
          <w:iCs/>
        </w:rPr>
        <w:t>F</w:t>
      </w:r>
      <w:r w:rsidR="00523D55">
        <w:rPr>
          <w:i/>
          <w:iCs/>
        </w:rPr>
        <w:t xml:space="preserve"> </w:t>
      </w:r>
      <w:r w:rsidRPr="00B93493">
        <w:t>:</w:t>
      </w:r>
      <w:r w:rsidRPr="00B93493">
        <w:tab/>
        <w:t>fee charged to licensee</w:t>
      </w:r>
    </w:p>
    <w:p w14:paraId="5E71A3B4" w14:textId="72F5845F" w:rsidR="00CF04BC" w:rsidRPr="00B93493" w:rsidRDefault="00CF04BC" w:rsidP="00CF04BC">
      <w:pPr>
        <w:pStyle w:val="Equationlegend"/>
      </w:pPr>
      <w:r w:rsidRPr="00B93493">
        <w:tab/>
      </w:r>
      <w:r w:rsidRPr="00B93493">
        <w:rPr>
          <w:i/>
          <w:iCs/>
        </w:rPr>
        <w:t>Di</w:t>
      </w:r>
      <w:r w:rsidR="00523D55">
        <w:rPr>
          <w:i/>
          <w:iCs/>
        </w:rPr>
        <w:t xml:space="preserve"> </w:t>
      </w:r>
      <w:r w:rsidRPr="00B93493">
        <w:t>:</w:t>
      </w:r>
      <w:r w:rsidRPr="00B93493">
        <w:tab/>
        <w:t xml:space="preserve"> direct administrative costs of processing licensee’s application</w:t>
      </w:r>
    </w:p>
    <w:p w14:paraId="48A21CA9" w14:textId="4467089D" w:rsidR="00CF04BC" w:rsidRPr="00B93493" w:rsidRDefault="00CF04BC" w:rsidP="00CF04BC">
      <w:pPr>
        <w:pStyle w:val="Equationlegend"/>
      </w:pPr>
      <w:r w:rsidRPr="00B93493">
        <w:tab/>
      </w:r>
      <w:r w:rsidRPr="00B93493">
        <w:rPr>
          <w:i/>
          <w:iCs/>
        </w:rPr>
        <w:t>Li</w:t>
      </w:r>
      <w:r w:rsidR="00523D55">
        <w:rPr>
          <w:i/>
          <w:iCs/>
        </w:rPr>
        <w:t xml:space="preserve"> </w:t>
      </w:r>
      <w:r w:rsidRPr="00B93493">
        <w:t>:</w:t>
      </w:r>
      <w:r w:rsidRPr="00B93493">
        <w:tab/>
        <w:t>licensee’s proportion of indirect administrative costs</w:t>
      </w:r>
    </w:p>
    <w:p w14:paraId="0E326B4B" w14:textId="713BC1C5" w:rsidR="00CF04BC" w:rsidRPr="00B93493" w:rsidRDefault="00CF04BC" w:rsidP="00CF04BC">
      <w:pPr>
        <w:pStyle w:val="Equationlegend"/>
        <w:rPr>
          <w:b/>
        </w:rPr>
      </w:pPr>
      <w:r w:rsidRPr="00B93493">
        <w:tab/>
      </w:r>
      <w:r w:rsidRPr="00B93493">
        <w:rPr>
          <w:i/>
          <w:iCs/>
        </w:rPr>
        <w:t>I</w:t>
      </w:r>
      <w:r w:rsidR="00523D55">
        <w:rPr>
          <w:i/>
          <w:iCs/>
        </w:rPr>
        <w:t xml:space="preserve"> </w:t>
      </w:r>
      <w:r w:rsidRPr="00B93493">
        <w:t>:</w:t>
      </w:r>
      <w:r w:rsidRPr="00B93493">
        <w:tab/>
        <w:t>total indirect administrative costs.</w:t>
      </w:r>
    </w:p>
    <w:p w14:paraId="3F4AE54D" w14:textId="77777777" w:rsidR="00CF04BC" w:rsidRPr="00B93493" w:rsidRDefault="00CF04BC" w:rsidP="00CF04BC">
      <w:pPr>
        <w:rPr>
          <w:b/>
        </w:rPr>
      </w:pPr>
      <w:r w:rsidRPr="00B93493">
        <w:t>Fees based on user revenues may be represented by the general functional form:</w:t>
      </w:r>
    </w:p>
    <w:p w14:paraId="374B98A2" w14:textId="7BFB981D" w:rsidR="00CF04BC" w:rsidRPr="00B93493" w:rsidRDefault="00CF04BC" w:rsidP="00CF04BC">
      <w:pPr>
        <w:pStyle w:val="Equation"/>
      </w:pPr>
      <w:r w:rsidRPr="00B93493">
        <w:tab/>
      </w:r>
      <w:r w:rsidRPr="00B93493">
        <w:tab/>
      </w:r>
      <w:r w:rsidRPr="00B93493">
        <w:rPr>
          <w:i/>
          <w:iCs/>
        </w:rPr>
        <w:t>F</w:t>
      </w:r>
      <w:r w:rsidRPr="00B93493">
        <w:t xml:space="preserve">  </w:t>
      </w:r>
      <w:r w:rsidR="00523D55">
        <w:t>=</w:t>
      </w:r>
      <w:r w:rsidRPr="00B93493">
        <w:t xml:space="preserve">  </w:t>
      </w:r>
      <w:r w:rsidRPr="00B93493">
        <w:rPr>
          <w:i/>
          <w:iCs/>
        </w:rPr>
        <w:t>f</w:t>
      </w:r>
      <w:r w:rsidRPr="00B93493">
        <w:t>(</w:t>
      </w:r>
      <w:r w:rsidRPr="00B93493">
        <w:rPr>
          <w:i/>
          <w:iCs/>
        </w:rPr>
        <w:t>a</w:t>
      </w:r>
      <w:r w:rsidRPr="00B93493">
        <w:t xml:space="preserve">, </w:t>
      </w:r>
      <w:r w:rsidRPr="00B93493">
        <w:rPr>
          <w:i/>
          <w:iCs/>
        </w:rPr>
        <w:t>G</w:t>
      </w:r>
      <w:r w:rsidRPr="00B93493">
        <w:t>)</w:t>
      </w:r>
      <w:r w:rsidRPr="00B93493">
        <w:tab/>
        <w:t>(3)</w:t>
      </w:r>
    </w:p>
    <w:p w14:paraId="6A2B5AA3" w14:textId="77777777" w:rsidR="00CF04BC" w:rsidRPr="00B93493" w:rsidRDefault="00CF04BC" w:rsidP="00CF04BC">
      <w:r w:rsidRPr="00B93493">
        <w:t>where:</w:t>
      </w:r>
    </w:p>
    <w:p w14:paraId="1C410C9D" w14:textId="3FAE98F0" w:rsidR="00CF04BC" w:rsidRPr="00B93493" w:rsidRDefault="00CF04BC" w:rsidP="00CF04BC">
      <w:pPr>
        <w:pStyle w:val="Equationlegend"/>
      </w:pPr>
      <w:r w:rsidRPr="00B93493">
        <w:tab/>
      </w:r>
      <w:r w:rsidRPr="00B93493">
        <w:rPr>
          <w:i/>
          <w:iCs/>
        </w:rPr>
        <w:t>F</w:t>
      </w:r>
      <w:r w:rsidR="00523D55">
        <w:rPr>
          <w:i/>
          <w:iCs/>
        </w:rPr>
        <w:t xml:space="preserve"> </w:t>
      </w:r>
      <w:r w:rsidRPr="00B93493">
        <w:t xml:space="preserve">: </w:t>
      </w:r>
      <w:r w:rsidRPr="00B93493">
        <w:tab/>
        <w:t>fee charged to user</w:t>
      </w:r>
    </w:p>
    <w:p w14:paraId="068D9E02" w14:textId="327375FD" w:rsidR="00CF04BC" w:rsidRPr="00B93493" w:rsidRDefault="00CF04BC" w:rsidP="00CF04BC">
      <w:pPr>
        <w:pStyle w:val="Equationlegend"/>
      </w:pPr>
      <w:r w:rsidRPr="00B93493">
        <w:tab/>
      </w:r>
      <w:r w:rsidRPr="00B93493">
        <w:rPr>
          <w:i/>
          <w:iCs/>
        </w:rPr>
        <w:t>a</w:t>
      </w:r>
      <w:r w:rsidR="00523D55">
        <w:rPr>
          <w:i/>
          <w:iCs/>
        </w:rPr>
        <w:t xml:space="preserve"> </w:t>
      </w:r>
      <w:r w:rsidRPr="00B93493">
        <w:t xml:space="preserve">: </w:t>
      </w:r>
      <w:r w:rsidRPr="00B93493">
        <w:tab/>
        <w:t>proportionate fee established by regulatory agency</w:t>
      </w:r>
    </w:p>
    <w:p w14:paraId="01F36455" w14:textId="733BA090" w:rsidR="00CF04BC" w:rsidRPr="00B93493" w:rsidRDefault="00CF04BC" w:rsidP="00CF04BC">
      <w:pPr>
        <w:pStyle w:val="Equationlegend"/>
      </w:pPr>
      <w:r w:rsidRPr="00B93493">
        <w:tab/>
      </w:r>
      <w:r w:rsidRPr="00B93493">
        <w:rPr>
          <w:i/>
          <w:iCs/>
        </w:rPr>
        <w:t>G</w:t>
      </w:r>
      <w:r w:rsidR="00523D55">
        <w:rPr>
          <w:i/>
          <w:iCs/>
        </w:rPr>
        <w:t xml:space="preserve"> </w:t>
      </w:r>
      <w:r w:rsidRPr="00B93493">
        <w:t>:</w:t>
      </w:r>
      <w:r w:rsidRPr="00B93493">
        <w:tab/>
        <w:t>user gross income.</w:t>
      </w:r>
    </w:p>
    <w:p w14:paraId="715CCDCB" w14:textId="77777777" w:rsidR="00CF04BC" w:rsidRPr="00B93493" w:rsidRDefault="00CF04BC" w:rsidP="00CF04BC">
      <w:r w:rsidRPr="00B93493">
        <w:t>Incentive fee formulas may be represented by the general functional form:</w:t>
      </w:r>
    </w:p>
    <w:p w14:paraId="104FD871" w14:textId="6979F77D" w:rsidR="00CF04BC" w:rsidRPr="00596592" w:rsidRDefault="00CF04BC" w:rsidP="00CF04BC">
      <w:pPr>
        <w:pStyle w:val="Equation"/>
        <w:rPr>
          <w:lang w:val="pt-PT"/>
        </w:rPr>
      </w:pPr>
      <w:r w:rsidRPr="00B93493">
        <w:tab/>
      </w:r>
      <w:r w:rsidRPr="00B93493">
        <w:tab/>
      </w:r>
      <w:r w:rsidRPr="00596592">
        <w:rPr>
          <w:i/>
          <w:iCs/>
          <w:lang w:val="pt-PT"/>
        </w:rPr>
        <w:t>F</w:t>
      </w:r>
      <w:r w:rsidRPr="00596592">
        <w:rPr>
          <w:lang w:val="pt-PT"/>
        </w:rPr>
        <w:t xml:space="preserve">  </w:t>
      </w:r>
      <w:r w:rsidR="00523D55">
        <w:t>=</w:t>
      </w:r>
      <w:r w:rsidRPr="00596592">
        <w:rPr>
          <w:lang w:val="pt-PT"/>
        </w:rPr>
        <w:t xml:space="preserve">  </w:t>
      </w:r>
      <w:r w:rsidRPr="00596592">
        <w:rPr>
          <w:i/>
          <w:iCs/>
          <w:lang w:val="pt-PT"/>
        </w:rPr>
        <w:t>f</w:t>
      </w:r>
      <w:r w:rsidRPr="00596592">
        <w:rPr>
          <w:lang w:val="pt-PT"/>
        </w:rPr>
        <w:t>(</w:t>
      </w:r>
      <w:r w:rsidRPr="00596592">
        <w:rPr>
          <w:i/>
          <w:iCs/>
          <w:lang w:val="pt-PT"/>
        </w:rPr>
        <w:t>B, C, S, E,</w:t>
      </w:r>
      <w:r w:rsidRPr="00596592">
        <w:rPr>
          <w:lang w:val="pt-PT"/>
        </w:rPr>
        <w:t xml:space="preserve"> </w:t>
      </w:r>
      <w:r w:rsidRPr="00596592">
        <w:rPr>
          <w:i/>
          <w:iCs/>
          <w:lang w:val="pt-PT"/>
        </w:rPr>
        <w:t>F</w:t>
      </w:r>
      <w:r w:rsidRPr="00596592">
        <w:rPr>
          <w:i/>
          <w:iCs/>
          <w:vertAlign w:val="subscript"/>
          <w:lang w:val="pt-PT"/>
        </w:rPr>
        <w:t>R</w:t>
      </w:r>
      <w:r w:rsidRPr="00596592">
        <w:rPr>
          <w:lang w:val="pt-PT"/>
        </w:rPr>
        <w:t xml:space="preserve">, </w:t>
      </w:r>
      <w:r w:rsidRPr="00596592">
        <w:rPr>
          <w:i/>
          <w:iCs/>
          <w:lang w:val="pt-PT"/>
        </w:rPr>
        <w:t>F</w:t>
      </w:r>
      <w:r w:rsidRPr="00596592">
        <w:rPr>
          <w:i/>
          <w:iCs/>
          <w:vertAlign w:val="subscript"/>
          <w:lang w:val="pt-PT"/>
        </w:rPr>
        <w:t>C</w:t>
      </w:r>
      <w:r w:rsidRPr="00596592">
        <w:rPr>
          <w:lang w:val="pt-PT"/>
        </w:rPr>
        <w:t>)</w:t>
      </w:r>
      <w:r w:rsidRPr="00596592">
        <w:rPr>
          <w:lang w:val="pt-PT"/>
        </w:rPr>
        <w:tab/>
        <w:t>(4)</w:t>
      </w:r>
    </w:p>
    <w:p w14:paraId="622F1C9F" w14:textId="77777777" w:rsidR="00CF04BC" w:rsidRPr="00B93493" w:rsidRDefault="00CF04BC" w:rsidP="00CF04BC">
      <w:pPr>
        <w:keepNext/>
        <w:keepLines/>
      </w:pPr>
      <w:r w:rsidRPr="00B93493">
        <w:t>where:</w:t>
      </w:r>
    </w:p>
    <w:p w14:paraId="4469FB18" w14:textId="2D3FF2F3" w:rsidR="00CF04BC" w:rsidRPr="00B93493" w:rsidRDefault="00CF04BC" w:rsidP="00CF04BC">
      <w:pPr>
        <w:pStyle w:val="Equationlegend"/>
        <w:keepNext/>
        <w:keepLines/>
      </w:pPr>
      <w:r w:rsidRPr="00B93493">
        <w:tab/>
      </w:r>
      <w:r w:rsidRPr="00B93493">
        <w:rPr>
          <w:i/>
          <w:iCs/>
        </w:rPr>
        <w:t>F</w:t>
      </w:r>
      <w:r w:rsidR="00523D55">
        <w:rPr>
          <w:i/>
          <w:iCs/>
        </w:rPr>
        <w:t xml:space="preserve"> </w:t>
      </w:r>
      <w:r w:rsidRPr="00B93493">
        <w:t>:</w:t>
      </w:r>
      <w:r w:rsidRPr="00B93493">
        <w:tab/>
        <w:t>fee charged to licensee</w:t>
      </w:r>
    </w:p>
    <w:p w14:paraId="30D2A0CF" w14:textId="2A8E2C52" w:rsidR="00CF04BC" w:rsidRPr="00B93493" w:rsidRDefault="00CF04BC" w:rsidP="00CF04BC">
      <w:pPr>
        <w:pStyle w:val="Equationlegend"/>
        <w:keepNext/>
        <w:keepLines/>
      </w:pPr>
      <w:r w:rsidRPr="00B93493">
        <w:tab/>
      </w:r>
      <w:r w:rsidRPr="00B93493">
        <w:rPr>
          <w:i/>
          <w:iCs/>
        </w:rPr>
        <w:t>B</w:t>
      </w:r>
      <w:r w:rsidR="00523D55">
        <w:rPr>
          <w:i/>
          <w:iCs/>
        </w:rPr>
        <w:t xml:space="preserve"> </w:t>
      </w:r>
      <w:r w:rsidRPr="00B93493">
        <w:rPr>
          <w:i/>
          <w:iCs/>
        </w:rPr>
        <w:t>:</w:t>
      </w:r>
      <w:r w:rsidRPr="00B93493">
        <w:tab/>
        <w:t>bandwidth</w:t>
      </w:r>
    </w:p>
    <w:p w14:paraId="1B6FFDEB" w14:textId="290FF604" w:rsidR="00CF04BC" w:rsidRPr="00B93493" w:rsidRDefault="00CF04BC" w:rsidP="00CF04BC">
      <w:pPr>
        <w:pStyle w:val="Equationlegend"/>
      </w:pPr>
      <w:r w:rsidRPr="00B93493">
        <w:tab/>
      </w:r>
      <w:r w:rsidRPr="00B93493">
        <w:rPr>
          <w:i/>
          <w:iCs/>
        </w:rPr>
        <w:t>C</w:t>
      </w:r>
      <w:r w:rsidR="00523D55">
        <w:rPr>
          <w:i/>
          <w:iCs/>
        </w:rPr>
        <w:t xml:space="preserve"> </w:t>
      </w:r>
      <w:r w:rsidRPr="00B93493">
        <w:t>:</w:t>
      </w:r>
      <w:r w:rsidRPr="00B93493">
        <w:tab/>
        <w:t>coverage area</w:t>
      </w:r>
    </w:p>
    <w:p w14:paraId="326CD63F" w14:textId="44BE7C5F" w:rsidR="00CF04BC" w:rsidRPr="00B93493" w:rsidRDefault="00CF04BC" w:rsidP="00CF04BC">
      <w:pPr>
        <w:pStyle w:val="Equationlegend"/>
        <w:rPr>
          <w:b/>
        </w:rPr>
      </w:pPr>
      <w:r w:rsidRPr="00B93493">
        <w:tab/>
      </w:r>
      <w:r w:rsidRPr="00B93493">
        <w:rPr>
          <w:i/>
          <w:iCs/>
        </w:rPr>
        <w:t>S</w:t>
      </w:r>
      <w:r w:rsidR="00523D55">
        <w:rPr>
          <w:i/>
          <w:iCs/>
        </w:rPr>
        <w:t xml:space="preserve"> </w:t>
      </w:r>
      <w:r w:rsidRPr="00B93493">
        <w:t>:</w:t>
      </w:r>
      <w:r w:rsidRPr="00B93493">
        <w:tab/>
        <w:t>site location</w:t>
      </w:r>
    </w:p>
    <w:p w14:paraId="1463F95E" w14:textId="052F9381" w:rsidR="00CF04BC" w:rsidRPr="00B93493" w:rsidRDefault="00CF04BC" w:rsidP="00CF04BC">
      <w:pPr>
        <w:pStyle w:val="Equationlegend"/>
      </w:pPr>
      <w:r w:rsidRPr="00B93493">
        <w:tab/>
      </w:r>
      <w:r w:rsidRPr="00B93493">
        <w:rPr>
          <w:i/>
          <w:iCs/>
        </w:rPr>
        <w:t>E</w:t>
      </w:r>
      <w:r w:rsidR="00523D55">
        <w:rPr>
          <w:i/>
          <w:iCs/>
        </w:rPr>
        <w:t xml:space="preserve"> </w:t>
      </w:r>
      <w:r w:rsidRPr="00B93493">
        <w:t>:</w:t>
      </w:r>
      <w:r w:rsidRPr="00B93493">
        <w:tab/>
        <w:t>exclusivity of use</w:t>
      </w:r>
    </w:p>
    <w:p w14:paraId="5A6253C1" w14:textId="020DB1FD" w:rsidR="00CF04BC" w:rsidRPr="00B93493" w:rsidRDefault="00CF04BC" w:rsidP="00CF04BC">
      <w:pPr>
        <w:pStyle w:val="Equationlegend"/>
      </w:pPr>
      <w:r w:rsidRPr="00B93493">
        <w:rPr>
          <w:i/>
          <w:iCs/>
        </w:rPr>
        <w:tab/>
        <w:t>F</w:t>
      </w:r>
      <w:r w:rsidRPr="00B93493">
        <w:rPr>
          <w:i/>
          <w:iCs/>
          <w:position w:val="-4"/>
          <w:sz w:val="18"/>
        </w:rPr>
        <w:t>R</w:t>
      </w:r>
      <w:r w:rsidR="00523D55">
        <w:rPr>
          <w:i/>
          <w:iCs/>
          <w:position w:val="-4"/>
          <w:sz w:val="18"/>
        </w:rPr>
        <w:t xml:space="preserve"> </w:t>
      </w:r>
      <w:r w:rsidRPr="00B93493">
        <w:t>:</w:t>
      </w:r>
      <w:r w:rsidRPr="00B93493">
        <w:tab/>
        <w:t>frequency</w:t>
      </w:r>
    </w:p>
    <w:p w14:paraId="0933ED55" w14:textId="650F4173" w:rsidR="00CF04BC" w:rsidRPr="00B93493" w:rsidRDefault="00CF04BC" w:rsidP="00CF04BC">
      <w:pPr>
        <w:pStyle w:val="Equationlegend"/>
      </w:pPr>
      <w:r w:rsidRPr="00B93493">
        <w:tab/>
      </w:r>
      <w:r w:rsidRPr="00B93493">
        <w:rPr>
          <w:i/>
          <w:iCs/>
        </w:rPr>
        <w:t>F</w:t>
      </w:r>
      <w:r w:rsidRPr="00B93493">
        <w:rPr>
          <w:i/>
          <w:iCs/>
          <w:vertAlign w:val="subscript"/>
        </w:rPr>
        <w:t>C</w:t>
      </w:r>
      <w:r w:rsidRPr="00B93493">
        <w:t xml:space="preserve"> :</w:t>
      </w:r>
      <w:r w:rsidRPr="00B93493">
        <w:tab/>
        <w:t>administration’s financial coefficient.</w:t>
      </w:r>
    </w:p>
    <w:p w14:paraId="28247DAB" w14:textId="77777777" w:rsidR="00CF04BC" w:rsidRPr="00B93493" w:rsidRDefault="00CF04BC" w:rsidP="00523D55">
      <w:r w:rsidRPr="00B93493">
        <w:t>Opportunity cost fee formulas may also be used. Such fee formulas will resemble incentive fee formulas. However, in this case the administration’s financial coefficient (</w:t>
      </w:r>
      <w:r w:rsidRPr="00B93493">
        <w:rPr>
          <w:i/>
          <w:iCs/>
        </w:rPr>
        <w:t>F</w:t>
      </w:r>
      <w:r w:rsidRPr="00C61CB4">
        <w:rPr>
          <w:i/>
          <w:iCs/>
          <w:position w:val="-4"/>
          <w:szCs w:val="24"/>
          <w:vertAlign w:val="subscript"/>
        </w:rPr>
        <w:t>C</w:t>
      </w:r>
      <w:r w:rsidRPr="00B93493">
        <w:t>) will be set so as to make the fee approximate the market value of the spectrum.</w:t>
      </w:r>
    </w:p>
    <w:p w14:paraId="1AF5CDE8" w14:textId="77777777" w:rsidR="00CF04BC" w:rsidRPr="00B93493" w:rsidRDefault="00CF04BC" w:rsidP="00523D55">
      <w:pPr>
        <w:rPr>
          <w:b/>
        </w:rPr>
      </w:pPr>
      <w:r w:rsidRPr="00B93493">
        <w:t>A number of the above formulas and those presented in other ITU documents contain an arbitrary factor which is set by the administration. Use of this arbitrary factor means the resultant fee is itself an arbitrary value. A number of countries have implemented or are considering the implementation of fee models based on the various general functional forms described above. In countries developing incentive fee or opportunity cost fee models, it has been recognized that this is a complex and difficult undertaking and some administrations are holding public consultations prior to implementation.</w:t>
      </w:r>
    </w:p>
    <w:p w14:paraId="62E90D61" w14:textId="77777777" w:rsidR="00CF04BC" w:rsidRPr="00B93493" w:rsidRDefault="00CF04BC" w:rsidP="00CF04BC">
      <w:pPr>
        <w:pStyle w:val="Heading3"/>
      </w:pPr>
      <w:bookmarkStart w:id="637" w:name="_Toc459793755"/>
      <w:bookmarkStart w:id="638" w:name="_Toc497033129"/>
      <w:bookmarkStart w:id="639" w:name="_Toc518394160"/>
      <w:bookmarkStart w:id="640" w:name="_Toc289868931"/>
      <w:bookmarkStart w:id="641" w:name="_Toc459793897"/>
      <w:bookmarkStart w:id="642" w:name="_Toc459792584"/>
      <w:bookmarkStart w:id="643" w:name="_Toc462233996"/>
      <w:bookmarkStart w:id="644" w:name="_Toc395503174"/>
      <w:bookmarkStart w:id="645" w:name="_Toc497033927"/>
      <w:bookmarkStart w:id="646" w:name="_Toc459970383"/>
      <w:bookmarkStart w:id="647" w:name="_Toc289933285"/>
      <w:bookmarkStart w:id="648" w:name="_Toc289932239"/>
      <w:bookmarkStart w:id="649" w:name="_Toc394385983"/>
      <w:bookmarkStart w:id="650" w:name="_Toc289868771"/>
      <w:bookmarkStart w:id="651" w:name="_Toc392515838"/>
      <w:bookmarkStart w:id="652" w:name="_Toc459746656"/>
      <w:bookmarkStart w:id="653" w:name="_Toc394386070"/>
      <w:bookmarkStart w:id="654" w:name="_Toc291852848"/>
      <w:bookmarkStart w:id="655" w:name="_Toc182391481"/>
      <w:bookmarkStart w:id="656" w:name="_Toc182391892"/>
      <w:r w:rsidRPr="00B93493">
        <w:t>2.3.5</w:t>
      </w:r>
      <w:r w:rsidRPr="00B93493">
        <w:tab/>
        <w:t>Advantages and disadvantages of fee approaches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1B322C0" w14:textId="77777777" w:rsidR="00CF04BC" w:rsidRPr="00B93493" w:rsidRDefault="00CF04BC" w:rsidP="00C61CB4">
      <w:r w:rsidRPr="00B93493">
        <w:t>In terms of their effect on economic efficiency, spectrum fees are an improvement on awarding licences at no charge, provided that fees are not set higher than the market value. If they are set higher, spectrum will not be fully utilized. In fact, if fees are set above the willingness to pay of all potential users, spectrum will go unused and generate no benefits to society. On the other hand, if fees are set lower than the market value, economic efficiency will be improved even though excess demand will remain for the spectrum, and revenues to the spectrum management authority will be below the market valuation. Detrimental consequences of setting fees too low are that spectrum potentially could be used wastefully and that spectrum congestion may increase.</w:t>
      </w:r>
    </w:p>
    <w:p w14:paraId="7048D16D" w14:textId="77777777" w:rsidR="00CF04BC" w:rsidRPr="00B93493" w:rsidRDefault="00CF04BC" w:rsidP="00C61CB4">
      <w:r w:rsidRPr="00B93493">
        <w:t>For example, assume that there is a service provider who uses two blocks of spectrum and pays a below the market value fee of $100 per block, or $200 in total. Assume also that by purchasing more spectrally efficient equipment for $150, the same service could be provided using only one spectrum block. The rational service provider will see that the second alternative has a higher total cost of $250 ($150 for the new equipment and $100 for the single spectrum block) and thus will not choose it. If, however, the true market value of the spectrum of, say, $175 per block is now charged, then the service provider will choose to buy the new equipment and keep one spectrum block for a total cost of $325, as opposed to a total cost of $350 for keeping the old equipment and both spectrum blocks. Now that this spectrum block has been released, another party can use it, meaning that the public is now receiving the benefits of two services via the same amount of spectrum that used to provide only one service.</w:t>
      </w:r>
    </w:p>
    <w:p w14:paraId="34972CD9" w14:textId="77777777" w:rsidR="00CF04BC" w:rsidRPr="00B93493" w:rsidRDefault="00CF04BC" w:rsidP="00C61CB4">
      <w:r w:rsidRPr="00B93493">
        <w:t>A similar problem created by fees that are below market value is the potential for services to wastefully use spectrum. For example, some services, such as the delivery of television programming, can be provided by either wired or wireless means. Other services, such as mobile telephony, can be provided only via the radio spectrum. When all resources (spectrum, fibre optic cable, copper wire, etc.) are priced at market rates, service providers will choose the combination of these inputs that is consistent with an economically efficient distribution. However, if spectrum is priced at a level below its market value, then service providers (such as the distributors of television programming) who have the option of using either wired or wireless infrastructure in their activities will be inclined to use more spectrum and less of the various available spectrum alternatives. The greater amount of spectrum used by television results in less being available for other services, such as mobile telephony, meaning that the total number of services available to the public has decreased – obviously, an inefficient outcome.</w:t>
      </w:r>
    </w:p>
    <w:p w14:paraId="26A04A30" w14:textId="77777777" w:rsidR="00CF04BC" w:rsidRPr="00B93493" w:rsidRDefault="00CF04BC" w:rsidP="00C61CB4">
      <w:r w:rsidRPr="00B93493">
        <w:t>Formulae can be useful in setting licence fees, but must be tailored to the individual circumstances of the country. Development of formulae requires considerable effort on the part of the administration and spectrum users. In order to operate correctly, a formula must be designed to achieve a specific purpose within an explicit set of operational conditions. These conditions depend on particular aspects of the country including its geographical structure (e.g. terrain, size, latitude), its radiocommunications infrastructure, the potential demand for services, and the degree of coordination required with neighbours. Hence the applicability of any formulae, other than the most basic, is often limited to a specific administration, a particular service and even a limited number of frequency bands. Existing formula can be reused, but will invariably require modification. This process requires an understanding of the purpose and conditions behind the formula’s original development as well as the details of its proposed implementation.</w:t>
      </w:r>
    </w:p>
    <w:p w14:paraId="6E4AE69B" w14:textId="77777777" w:rsidR="00CF04BC" w:rsidRPr="00B93493" w:rsidRDefault="00CF04BC" w:rsidP="00CF04BC">
      <w:pPr>
        <w:pStyle w:val="Heading4"/>
        <w:rPr>
          <w:u w:val="single"/>
        </w:rPr>
      </w:pPr>
      <w:bookmarkStart w:id="657" w:name="_Toc391269590"/>
      <w:bookmarkStart w:id="658" w:name="_Toc459793756"/>
      <w:bookmarkStart w:id="659" w:name="_Toc497033130"/>
      <w:bookmarkStart w:id="660" w:name="_Toc497033928"/>
      <w:bookmarkStart w:id="661" w:name="_Toc459746657"/>
      <w:bookmarkStart w:id="662" w:name="_Toc459793898"/>
      <w:bookmarkStart w:id="663" w:name="_Toc459792585"/>
      <w:r w:rsidRPr="00B93493">
        <w:t>2.3.5.1</w:t>
      </w:r>
      <w:r w:rsidRPr="00B93493">
        <w:tab/>
        <w:t>Fees based on spectrum management costs</w:t>
      </w:r>
      <w:bookmarkEnd w:id="657"/>
      <w:bookmarkEnd w:id="658"/>
      <w:bookmarkEnd w:id="659"/>
      <w:bookmarkEnd w:id="660"/>
      <w:bookmarkEnd w:id="661"/>
      <w:bookmarkEnd w:id="662"/>
      <w:bookmarkEnd w:id="663"/>
    </w:p>
    <w:p w14:paraId="4A7DB9F9" w14:textId="77777777" w:rsidR="00CF04BC" w:rsidRPr="00B93493" w:rsidRDefault="00CF04BC" w:rsidP="00CF04BC">
      <w:r w:rsidRPr="00B93493">
        <w:t>This approach has the advantages of raising revenues for the spectrum management authority and ensuring that licensees will pay at least some nominal amount for their spectrum use, while eliminating those would-be licensees who place insufficient value on their use to pay even those nominal fees. However, a major disadvantage of this approach is that there is a disconnection between the level of the fee and the value of the spectrum used. For example, one licensee may use a spectrum band in a relatively unpopulated area and pay the same fee as a second user who uses the identical band in a heavily populated area, even though the latter band has far greater value. Because of this disconnection between fees and spectrum value, such fees do little to promote the efficient use of the spectrum. In some areas and frequency bands in which the spectrum has little value, fees can inhibit any use of the spectrum, producing an inefficient outcome. More typically, however, cost based fees are far less than the value of the spectrum, and therefore promote efficient use of the spectrum to only a minimal extent. Low fees can be a particular problem in countries that have a high inflation rate because fees generally are updated only every few years, and therefore may lag well behind the general price level. However, this problem can be alleviated if the political authority conveys to spectrum managers the ability to update fees as often as needed to reflect general price trends in the economy.</w:t>
      </w:r>
    </w:p>
    <w:p w14:paraId="5454746D" w14:textId="77777777" w:rsidR="00CF04BC" w:rsidRPr="00B93493" w:rsidRDefault="00CF04BC" w:rsidP="00CF04BC">
      <w:r w:rsidRPr="00B93493">
        <w:t>This approach could be used in the long run if scarcity of spectrum gradually reduces. In such case, fees can be used to cover the costs of administration spectrum management and to secure protection against interference</w:t>
      </w:r>
      <w:r w:rsidRPr="00B93493">
        <w:rPr>
          <w:rStyle w:val="FootnoteReference"/>
        </w:rPr>
        <w:footnoteReference w:id="1"/>
      </w:r>
      <w:r w:rsidRPr="00B93493">
        <w:t>.</w:t>
      </w:r>
    </w:p>
    <w:p w14:paraId="470353D0" w14:textId="77777777" w:rsidR="00CF04BC" w:rsidRPr="00B93493" w:rsidRDefault="00CF04BC" w:rsidP="00CF04BC">
      <w:pPr>
        <w:pStyle w:val="Heading4"/>
      </w:pPr>
      <w:bookmarkStart w:id="664" w:name="_Toc391269591"/>
      <w:bookmarkStart w:id="665" w:name="_Toc459792586"/>
      <w:bookmarkStart w:id="666" w:name="_Toc459746658"/>
      <w:bookmarkStart w:id="667" w:name="_Toc459793899"/>
      <w:bookmarkStart w:id="668" w:name="_Toc497033131"/>
      <w:bookmarkStart w:id="669" w:name="_Toc459793757"/>
      <w:bookmarkStart w:id="670" w:name="_Toc497033929"/>
      <w:r w:rsidRPr="00B93493">
        <w:t>2.3.5.2</w:t>
      </w:r>
      <w:r w:rsidRPr="00B93493">
        <w:tab/>
        <w:t>Fees based on user’s gross income</w:t>
      </w:r>
      <w:bookmarkEnd w:id="664"/>
      <w:bookmarkEnd w:id="665"/>
      <w:bookmarkEnd w:id="666"/>
      <w:bookmarkEnd w:id="667"/>
      <w:bookmarkEnd w:id="668"/>
      <w:bookmarkEnd w:id="669"/>
      <w:bookmarkEnd w:id="670"/>
    </w:p>
    <w:p w14:paraId="65B320B6" w14:textId="77777777" w:rsidR="00CF04BC" w:rsidRPr="00B93493" w:rsidRDefault="00CF04BC" w:rsidP="00CF04BC">
      <w:r w:rsidRPr="00B93493">
        <w:t>Establishing a fee based on a certain percentage of gross income related to spectrum use can generate significant revenues for the spectrum management authority for certain services. For example, a television broadcaster with annual revenues of $500 million would pay an annual fee of $500 000 if the fee were just 0.1% of revenues. Further, this type of fee generates more revenue for the spectrum management authority as the licensee’s gross income increases, which could be viewed as both efficient and equitable. However, there are three major problems with this type of fee.</w:t>
      </w:r>
    </w:p>
    <w:p w14:paraId="23FAD144" w14:textId="77777777" w:rsidR="00CF04BC" w:rsidRPr="00B93493" w:rsidRDefault="00CF04BC" w:rsidP="00CF04BC">
      <w:r w:rsidRPr="00B93493">
        <w:t xml:space="preserve">First, it can apply only to users having a gross income directly linked to spectrum use and not to those users whose gross income results only indirectly from spectrum exploitation – as determining gross income may be difficult due to the complexity of company accounting and in addition determining </w:t>
      </w:r>
      <w:r w:rsidRPr="00B34186">
        <w:t>how much of a user</w:t>
      </w:r>
      <w:r w:rsidRPr="00B34186">
        <w:rPr>
          <w:lang w:eastAsia="zh-CN"/>
        </w:rPr>
        <w:t>’</w:t>
      </w:r>
      <w:r w:rsidRPr="00B34186">
        <w:t xml:space="preserve">s gross income is directly linked to spectrum use is virtually impossible, </w:t>
      </w:r>
      <w:r w:rsidRPr="00E91654">
        <w:t>e.g.</w:t>
      </w:r>
      <w:r w:rsidRPr="00B34186">
        <w:t xml:space="preserve"> how</w:t>
      </w:r>
      <w:r w:rsidRPr="00B93493">
        <w:t xml:space="preserve"> much of a public utilities or telephone companies gross income can be attributed to their use of microwave links in portions of their fixed network.</w:t>
      </w:r>
    </w:p>
    <w:p w14:paraId="683AEDCD" w14:textId="77777777" w:rsidR="00CF04BC" w:rsidRPr="00B93493" w:rsidRDefault="00CF04BC" w:rsidP="00CF04BC">
      <w:r w:rsidRPr="00B93493">
        <w:t>Second, such a fee does not necessarily promote efficient spectrum use or equitable treatment of licensees because a user’s gross income is not directly related to the value of the spectrum. For example, two broadcasters may have an identical gross income, but one may be reaping substantial profits, while the second may be reaping no such profits, and indeed may even be operating at a loss.</w:t>
      </w:r>
    </w:p>
    <w:p w14:paraId="37C1B1FB" w14:textId="77777777" w:rsidR="00CF04BC" w:rsidRPr="00B93493" w:rsidRDefault="00CF04BC" w:rsidP="00CF04BC">
      <w:r w:rsidRPr="00B93493">
        <w:t>Third, it may suppress spectrum usage, reduce the growth in services, impair innovation and spectrum efficiency, and have an adverse effect on international competitiveness.</w:t>
      </w:r>
    </w:p>
    <w:p w14:paraId="1CD5C23A" w14:textId="77777777" w:rsidR="00CF04BC" w:rsidRPr="00B93493" w:rsidRDefault="00CF04BC" w:rsidP="00CF04BC">
      <w:pPr>
        <w:pStyle w:val="Heading4"/>
      </w:pPr>
      <w:bookmarkStart w:id="671" w:name="_Toc459746659"/>
      <w:bookmarkStart w:id="672" w:name="_Toc459793900"/>
      <w:bookmarkStart w:id="673" w:name="_Toc391269592"/>
      <w:bookmarkStart w:id="674" w:name="_Toc497033930"/>
      <w:bookmarkStart w:id="675" w:name="_Toc459793758"/>
      <w:bookmarkStart w:id="676" w:name="_Toc459792587"/>
      <w:bookmarkStart w:id="677" w:name="_Toc497033132"/>
      <w:r w:rsidRPr="00B93493">
        <w:t>2.3.5.3</w:t>
      </w:r>
      <w:r w:rsidRPr="00B93493">
        <w:tab/>
        <w:t>Incentive fee formulas</w:t>
      </w:r>
      <w:bookmarkEnd w:id="671"/>
      <w:bookmarkEnd w:id="672"/>
      <w:bookmarkEnd w:id="673"/>
      <w:bookmarkEnd w:id="674"/>
      <w:bookmarkEnd w:id="675"/>
      <w:bookmarkEnd w:id="676"/>
      <w:bookmarkEnd w:id="677"/>
    </w:p>
    <w:p w14:paraId="4F88EEF4" w14:textId="269E015A" w:rsidR="00CF04BC" w:rsidRPr="00B93493" w:rsidRDefault="00CF04BC" w:rsidP="00CF04BC">
      <w:r w:rsidRPr="00B93493">
        <w:t>Incentive fee formulas have the advantage of representing to some extent the scarcity and differential rents of the spectrum. By taking into account factors such as population, area, bandwidth used, and the frequency band such formulas may approximate the market value. However, the disadvantage of such fees is that no formula, however complex, can take into account all the variations of the market</w:t>
      </w:r>
      <w:r w:rsidR="00C61CB4">
        <w:noBreakHyphen/>
      </w:r>
      <w:r w:rsidRPr="00B93493">
        <w:t>place. This requires that considerable care is exercised in setting licence fees in order to avoid a large discrepancy between the fee and the market value. For this reason</w:t>
      </w:r>
      <w:r>
        <w:rPr>
          <w:rFonts w:hint="eastAsia"/>
          <w:lang w:eastAsia="zh-CN"/>
        </w:rPr>
        <w:t>,</w:t>
      </w:r>
      <w:r w:rsidRPr="00B93493">
        <w:t xml:space="preserve"> an incentive fee formula may need to be linked to a market valuation in order to be used effectively.</w:t>
      </w:r>
    </w:p>
    <w:p w14:paraId="5343F635" w14:textId="77777777" w:rsidR="00CF04BC" w:rsidRPr="00B93493" w:rsidRDefault="00CF04BC" w:rsidP="00CF04BC">
      <w:r w:rsidRPr="00B93493">
        <w:t>For some services, technical factors preclude a reduction in bandwidth and therefore incentive fees based on bandwidth would be inappropriate; for example, radar services.</w:t>
      </w:r>
    </w:p>
    <w:p w14:paraId="71493AD9" w14:textId="77777777" w:rsidR="00CF04BC" w:rsidRPr="00B93493" w:rsidRDefault="00CF04BC" w:rsidP="00CF04BC">
      <w:pPr>
        <w:pStyle w:val="Heading4"/>
      </w:pPr>
      <w:bookmarkStart w:id="678" w:name="_Toc459793759"/>
      <w:bookmarkStart w:id="679" w:name="_Toc497033931"/>
      <w:bookmarkStart w:id="680" w:name="_Toc391269593"/>
      <w:bookmarkStart w:id="681" w:name="_Toc459746660"/>
      <w:bookmarkStart w:id="682" w:name="_Toc459792588"/>
      <w:bookmarkStart w:id="683" w:name="_Toc459793901"/>
      <w:bookmarkStart w:id="684" w:name="_Toc497033133"/>
      <w:r w:rsidRPr="00B93493">
        <w:t>2.3.5.4</w:t>
      </w:r>
      <w:r w:rsidRPr="00B93493">
        <w:tab/>
        <w:t>Opportunity cost fee formulas</w:t>
      </w:r>
      <w:bookmarkEnd w:id="678"/>
      <w:bookmarkEnd w:id="679"/>
      <w:bookmarkEnd w:id="680"/>
      <w:bookmarkEnd w:id="681"/>
      <w:bookmarkEnd w:id="682"/>
      <w:bookmarkEnd w:id="683"/>
      <w:bookmarkEnd w:id="684"/>
    </w:p>
    <w:p w14:paraId="216390BE" w14:textId="37E07707" w:rsidR="00CF04BC" w:rsidRPr="00B93493" w:rsidRDefault="00CF04BC" w:rsidP="00CF04BC">
      <w:r w:rsidRPr="00B93493">
        <w:t xml:space="preserve">Opportunity cost fee formulas have the advantage of being directly targeted at the desirable goal of simulating the market value, – thus encouraging consideration of alternative means of communication and the return, by existing users, of surplus spectrum. However, just as it is extremely difficult to establish an incentive fee formula that accounts for all relevant variables that influence the price of spectrum in a particular location, so too it is extremely difficult to accurately simulate an auction and the effort required to complete the analysis may exceed the costs of an auction. Such a simulation depends upon evaluating individual consumer decisions and somehow integrating this information into a usable model. Financial studies or extrapolations based on prior secondary market transactions may be useful to some extent, but simulating the market will always remain very much an imperfect exercise, </w:t>
      </w:r>
      <w:r w:rsidRPr="00E91654">
        <w:t>e.g.</w:t>
      </w:r>
      <w:r w:rsidRPr="00B93493">
        <w:t xml:space="preserve"> the three US broadband PCS auctions produced results strikingly different than what had been forecast by almost all analysts. Nonetheless, such methods may have advantages over cost</w:t>
      </w:r>
      <w:r w:rsidR="00C61CB4">
        <w:noBreakHyphen/>
      </w:r>
      <w:r w:rsidRPr="00B93493">
        <w:t>based alternatives in terms of managing the spectrum to balance supply and demand and maximizing economic welfare where an auction is impracticable or illegal.</w:t>
      </w:r>
    </w:p>
    <w:p w14:paraId="03B490E2" w14:textId="77777777" w:rsidR="00CF04BC" w:rsidRPr="00B93493" w:rsidRDefault="00CF04BC" w:rsidP="00CF04BC">
      <w:pPr>
        <w:pStyle w:val="Heading2"/>
      </w:pPr>
      <w:bookmarkStart w:id="685" w:name="_Toc462233997"/>
      <w:bookmarkStart w:id="686" w:name="_Toc392515839"/>
      <w:bookmarkStart w:id="687" w:name="_Toc289868772"/>
      <w:bookmarkStart w:id="688" w:name="_Toc291852849"/>
      <w:bookmarkStart w:id="689" w:name="_Toc497033134"/>
      <w:bookmarkStart w:id="690" w:name="_Toc289868932"/>
      <w:bookmarkStart w:id="691" w:name="_Toc518394161"/>
      <w:bookmarkStart w:id="692" w:name="_Toc497033932"/>
      <w:bookmarkStart w:id="693" w:name="_Toc289932240"/>
      <w:bookmarkStart w:id="694" w:name="_Toc289933286"/>
      <w:bookmarkStart w:id="695" w:name="_Toc182391482"/>
      <w:bookmarkStart w:id="696" w:name="_Toc182391893"/>
      <w:bookmarkStart w:id="697" w:name="_Toc201822272"/>
      <w:r w:rsidRPr="00B93493">
        <w:t>2.4</w:t>
      </w:r>
      <w:r w:rsidRPr="00B93493">
        <w:tab/>
        <w:t>Factors that could affect various economic approaches</w:t>
      </w:r>
      <w:bookmarkEnd w:id="685"/>
      <w:bookmarkEnd w:id="686"/>
      <w:bookmarkEnd w:id="687"/>
      <w:bookmarkEnd w:id="688"/>
      <w:bookmarkEnd w:id="689"/>
      <w:bookmarkEnd w:id="690"/>
      <w:bookmarkEnd w:id="691"/>
      <w:bookmarkEnd w:id="692"/>
      <w:bookmarkEnd w:id="693"/>
      <w:bookmarkEnd w:id="694"/>
      <w:bookmarkEnd w:id="695"/>
      <w:bookmarkEnd w:id="696"/>
      <w:bookmarkEnd w:id="697"/>
    </w:p>
    <w:p w14:paraId="4126E8FF" w14:textId="77777777" w:rsidR="00CF04BC" w:rsidRPr="00B93493" w:rsidRDefault="00CF04BC" w:rsidP="00CF04BC">
      <w:r w:rsidRPr="00B93493">
        <w:t>There are a number of factors which could affect both the need and the ability of different administrations to implement the economic approaches to spectrum management discussed above. Various legal, socio</w:t>
      </w:r>
      <w:r w:rsidRPr="00B93493">
        <w:noBreakHyphen/>
        <w:t>economic, and technical infrastructure considerations will all have an impact with respect to spectrum auctions, transferable property rights, and licence fee regimes.</w:t>
      </w:r>
    </w:p>
    <w:p w14:paraId="0CC54FA3" w14:textId="77777777" w:rsidR="00CF04BC" w:rsidRPr="00B93493" w:rsidRDefault="00CF04BC" w:rsidP="00CF04BC">
      <w:pPr>
        <w:pStyle w:val="Heading3"/>
      </w:pPr>
      <w:bookmarkStart w:id="698" w:name="_Toc462233998"/>
      <w:bookmarkStart w:id="699" w:name="_Toc497033933"/>
      <w:bookmarkStart w:id="700" w:name="_Toc392515840"/>
      <w:bookmarkStart w:id="701" w:name="_Toc518394162"/>
      <w:bookmarkStart w:id="702" w:name="_Toc289933287"/>
      <w:bookmarkStart w:id="703" w:name="_Toc394385986"/>
      <w:bookmarkStart w:id="704" w:name="_Toc459793903"/>
      <w:bookmarkStart w:id="705" w:name="_Toc459793761"/>
      <w:bookmarkStart w:id="706" w:name="_Toc289932241"/>
      <w:bookmarkStart w:id="707" w:name="_Toc459970385"/>
      <w:bookmarkStart w:id="708" w:name="_Toc289868773"/>
      <w:bookmarkStart w:id="709" w:name="_Toc497033135"/>
      <w:bookmarkStart w:id="710" w:name="_Toc289868933"/>
      <w:bookmarkStart w:id="711" w:name="_Toc394386073"/>
      <w:bookmarkStart w:id="712" w:name="_Toc459746662"/>
      <w:bookmarkStart w:id="713" w:name="_Toc459792590"/>
      <w:bookmarkStart w:id="714" w:name="_Toc395503177"/>
      <w:bookmarkStart w:id="715" w:name="_Toc291852850"/>
      <w:bookmarkStart w:id="716" w:name="_Toc182391483"/>
      <w:bookmarkStart w:id="717" w:name="_Toc182391894"/>
      <w:r w:rsidRPr="00B93493">
        <w:t>2.4.1</w:t>
      </w:r>
      <w:r w:rsidRPr="00B93493">
        <w:tab/>
        <w:t>Auctions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88CE142" w14:textId="77777777" w:rsidR="00CF04BC" w:rsidRPr="00B93493" w:rsidRDefault="00CF04BC" w:rsidP="00CF04BC">
      <w:pPr>
        <w:pStyle w:val="Heading4"/>
      </w:pPr>
      <w:bookmarkStart w:id="718" w:name="_Toc459792591"/>
      <w:bookmarkStart w:id="719" w:name="_Toc497033136"/>
      <w:bookmarkStart w:id="720" w:name="_Toc459746663"/>
      <w:bookmarkStart w:id="721" w:name="_Toc459793762"/>
      <w:bookmarkStart w:id="722" w:name="_Toc459793904"/>
      <w:bookmarkStart w:id="723" w:name="_Toc497033934"/>
      <w:r w:rsidRPr="00B93493">
        <w:t>2.4.1.1</w:t>
      </w:r>
      <w:r w:rsidRPr="00B93493">
        <w:tab/>
        <w:t>Applicability of auctions</w:t>
      </w:r>
      <w:bookmarkEnd w:id="718"/>
      <w:bookmarkEnd w:id="719"/>
      <w:bookmarkEnd w:id="720"/>
      <w:bookmarkEnd w:id="721"/>
      <w:bookmarkEnd w:id="722"/>
      <w:bookmarkEnd w:id="723"/>
    </w:p>
    <w:p w14:paraId="1FAA4791" w14:textId="77777777" w:rsidR="00CF04BC" w:rsidRPr="00B93493" w:rsidRDefault="00CF04BC" w:rsidP="00C61CB4">
      <w:r w:rsidRPr="00B93493">
        <w:t>As discussed previously, there are several potential advantages to using auctions as a method of spectrum assignment. However, different countries will likely also have a number of spectrum management objectives which auctions by themselves may not adequately address. Often such objectives can be met through the use of other policy instruments (regulations, licence conditions, standards, etc.) which are fully compatible with spectrum auctioning, but each administration will have to consider its priorities and decide on the overall appropriateness of auctions in light of the various objectives it wishes to achieve. Should an administration decide to utilize auctions, it should be aware that, generally, the greater the number of regulations, conditions, or restrictions put on the use of spectrum to be auctioned, the lower will be the auction revenue, hence, administrations may wish to consider the trade</w:t>
      </w:r>
      <w:r w:rsidRPr="00B93493">
        <w:noBreakHyphen/>
        <w:t>offs involved, depending on their priorities. On a related note, administrations could choose to restrict spectrum supply, which would generally lead to higher auction revenues; however, there is a trade-off here as well in that a restricted supply of spectrum will lead to a narrower range of consumer services, higher consumer prices, and an overall decrease in economic efficiency.</w:t>
      </w:r>
    </w:p>
    <w:p w14:paraId="62884E0E" w14:textId="77777777" w:rsidR="00CF04BC" w:rsidRPr="00B93493" w:rsidRDefault="00CF04BC" w:rsidP="00C61CB4">
      <w:r w:rsidRPr="00B93493">
        <w:t>While it may seem obvious, it is also worth noting that auctions by definition are applicable only in those circumstances where the demand for spectrum exceeds the available supply. Depending on any particular country’s level of economic development, the level of its communications infrastructure development, its investment climate, and any foreign ownership or trade restrictions it may impose with regard to the provision of spectrum-based services (among other factors), the possibility exists that an administration may receive insufficient interest to make an auction necessary for some spectrum.</w:t>
      </w:r>
    </w:p>
    <w:p w14:paraId="22275AC3" w14:textId="77777777" w:rsidR="00CF04BC" w:rsidRPr="00B93493" w:rsidRDefault="00CF04BC" w:rsidP="00C61CB4">
      <w:r w:rsidRPr="00B93493">
        <w:t>Generally speaking, the higher the level of economic and communications infrastructure development, the more favourable the investment climate; and the lower the foreign ownership barriers and trade barriers, the greater will be the demand for access to spectrum, leading to more vigorous competition in an auction and presumably higher revenues for the government.</w:t>
      </w:r>
    </w:p>
    <w:p w14:paraId="5AD19EFD" w14:textId="77777777" w:rsidR="00CF04BC" w:rsidRPr="00B93493" w:rsidRDefault="00CF04BC" w:rsidP="00C61CB4">
      <w:r w:rsidRPr="00B93493">
        <w:t>Auctions are a market based mechanism and a fundamental requirement for the proper functioning of any market is a solid legal underpinning. This means, first of all, that the political authority must authorize the use of auctions for specified services. Second, for an auction to perform optimally, the nature of the right being auctioned (geographic coverage, available bandwidth, tenure of licence, etc.) as well as the accompanying responsibilities (licence conditions, service restrictions, equipment standards, etc.) should be specified as precisely as possible. As well, there should be certainty that the government is both willing and able to act as necessary to ensure that licensees are able to exercise the rights or privileges granted to them while at the same time meeting the responsibilities required of them. Any uncertainty surrounding such factors as the length of tenure of the licence being auctioned will create confusion and may result in lower bids.</w:t>
      </w:r>
    </w:p>
    <w:p w14:paraId="36CD39EF" w14:textId="77777777" w:rsidR="00CF04BC" w:rsidRPr="00B93493" w:rsidRDefault="00CF04BC" w:rsidP="00C61CB4">
      <w:r w:rsidRPr="00B93493">
        <w:t>Before entering a spectrum auction, for example, bidders will wish to know what degree of protection from harmful interference they can expect with the spectrum to be auctioned, as well as the steps they will be expected to take to avoid causing harmful interference to others. They will also wish to be assured that the government will enforce this interference protection regime.</w:t>
      </w:r>
    </w:p>
    <w:p w14:paraId="7A34607C" w14:textId="77777777" w:rsidR="00CF04BC" w:rsidRPr="00B93493" w:rsidRDefault="00CF04BC" w:rsidP="00C61CB4">
      <w:r w:rsidRPr="00B93493">
        <w:t>The quality of an administration’s licence/licensee database, its spectrum monitoring capability, and its ability to impose meaningful penalties on those who cause harmful interference to others all impact the government’s ability to protect the rights or privileges of spectrum users and hence have an impact on the ability to conduct successful spectrum auctions.</w:t>
      </w:r>
    </w:p>
    <w:p w14:paraId="46666D02" w14:textId="77777777" w:rsidR="00CF04BC" w:rsidRPr="00C61CB4" w:rsidRDefault="00CF04BC" w:rsidP="00C61CB4">
      <w:pPr>
        <w:pStyle w:val="Heading4"/>
      </w:pPr>
      <w:bookmarkStart w:id="724" w:name="_Toc459746664"/>
      <w:bookmarkStart w:id="725" w:name="_Toc459793763"/>
      <w:bookmarkStart w:id="726" w:name="_Toc459793905"/>
      <w:bookmarkStart w:id="727" w:name="_Toc497033137"/>
      <w:bookmarkStart w:id="728" w:name="_Toc459792592"/>
      <w:bookmarkStart w:id="729" w:name="_Toc497033935"/>
      <w:r w:rsidRPr="00C61CB4">
        <w:t>2.4.1.2</w:t>
      </w:r>
      <w:r w:rsidRPr="00C61CB4">
        <w:tab/>
        <w:t>Pre</w:t>
      </w:r>
      <w:r w:rsidRPr="00C61CB4">
        <w:noBreakHyphen/>
        <w:t>auction requirements</w:t>
      </w:r>
      <w:bookmarkEnd w:id="724"/>
      <w:bookmarkEnd w:id="725"/>
      <w:bookmarkEnd w:id="726"/>
      <w:bookmarkEnd w:id="727"/>
      <w:bookmarkEnd w:id="728"/>
      <w:bookmarkEnd w:id="729"/>
    </w:p>
    <w:p w14:paraId="6270B839" w14:textId="77777777" w:rsidR="00CF04BC" w:rsidRPr="00B93493" w:rsidRDefault="00CF04BC" w:rsidP="00C61CB4">
      <w:r w:rsidRPr="00B93493">
        <w:t>It is desirable that all the rights and responsibilities accompanying the spectrum to be auctioned are specified prior to the auction; otherwise, bidders will face high degrees of uncertainty which will significantly compromise their abilities to bid rationally, greatly increasing the chances of an unsuccessful auction. This means, of course, that administrations seeking to use auctions must be able, both legally and politically, to establish licence definitions, terms, conditions, and policies before knowing who the licensees will be.</w:t>
      </w:r>
    </w:p>
    <w:p w14:paraId="19583C06" w14:textId="12B1FEC9" w:rsidR="00CF04BC" w:rsidRPr="00B93493" w:rsidRDefault="00CF04BC" w:rsidP="00C61CB4">
      <w:r w:rsidRPr="00B93493">
        <w:t>Similarly, the rules and procedures of an auction should be known and clearly understood by all participants prior to the auction’s commencement. Great advances in auction theory, and in its practical application, have been made in recent years. Any administration planning to implement spectrum auctions would be well advised to consult the growing body of literature on this subject and to review the experiences of spectrum auction “pioneers” such as New Zealand, the United States of America and Australia, to learn both from their successes and from some of the problems that have been encountered with respect to auction design and operation.</w:t>
      </w:r>
    </w:p>
    <w:p w14:paraId="6903796F" w14:textId="77777777" w:rsidR="00CF04BC" w:rsidRPr="00B93493" w:rsidRDefault="00CF04BC" w:rsidP="00C61CB4">
      <w:r w:rsidRPr="00B93493">
        <w:t>Depending on the complexity of the auction in question, an automated auction system may be desirable. Thus, certain technical infrastructure may be required to hold an auction. As well, education and training for both spectrum managers and potential bidders may be required to ensure a sufficient level of “auction literacy”.</w:t>
      </w:r>
    </w:p>
    <w:p w14:paraId="45568D90" w14:textId="77777777" w:rsidR="00CF04BC" w:rsidRPr="00B93493" w:rsidRDefault="00CF04BC" w:rsidP="00CF04BC">
      <w:pPr>
        <w:pStyle w:val="Heading4"/>
      </w:pPr>
      <w:bookmarkStart w:id="730" w:name="_Toc497033138"/>
      <w:bookmarkStart w:id="731" w:name="_Toc459746665"/>
      <w:bookmarkStart w:id="732" w:name="_Toc459792593"/>
      <w:bookmarkStart w:id="733" w:name="_Toc459793906"/>
      <w:bookmarkStart w:id="734" w:name="_Toc459793764"/>
      <w:bookmarkStart w:id="735" w:name="_Toc497033936"/>
      <w:r w:rsidRPr="00B93493">
        <w:t>2.4.1.3</w:t>
      </w:r>
      <w:r w:rsidRPr="00B93493">
        <w:tab/>
        <w:t>Competition policy</w:t>
      </w:r>
      <w:bookmarkEnd w:id="730"/>
      <w:bookmarkEnd w:id="731"/>
      <w:bookmarkEnd w:id="732"/>
      <w:bookmarkEnd w:id="733"/>
      <w:bookmarkEnd w:id="734"/>
      <w:bookmarkEnd w:id="735"/>
    </w:p>
    <w:p w14:paraId="248198EB" w14:textId="77777777" w:rsidR="00CF04BC" w:rsidRPr="00B93493" w:rsidRDefault="00CF04BC" w:rsidP="00CF04BC">
      <w:r w:rsidRPr="00B93493">
        <w:t>Depending on a given administration’s stance towards competition in spectrum-based services, it may be particularly important that the possibility of market dominance is considered. Existing competition policies, as well as proposed licence conditions and auction rules and procedures, should be reviewed to ensure that an unacceptable auction outcome is avoided.</w:t>
      </w:r>
    </w:p>
    <w:p w14:paraId="1AD42D6A" w14:textId="77777777" w:rsidR="00CF04BC" w:rsidRPr="00B93493" w:rsidRDefault="00CF04BC" w:rsidP="00CF04BC">
      <w:pPr>
        <w:pStyle w:val="Heading3"/>
      </w:pPr>
      <w:bookmarkStart w:id="736" w:name="_Toc459793907"/>
      <w:bookmarkStart w:id="737" w:name="_Toc392515841"/>
      <w:bookmarkStart w:id="738" w:name="_Toc291852851"/>
      <w:bookmarkStart w:id="739" w:name="_Toc497033139"/>
      <w:bookmarkStart w:id="740" w:name="_Toc497033937"/>
      <w:bookmarkStart w:id="741" w:name="_Toc518394163"/>
      <w:bookmarkStart w:id="742" w:name="_Toc462233999"/>
      <w:bookmarkStart w:id="743" w:name="_Toc459793765"/>
      <w:bookmarkStart w:id="744" w:name="_Toc459746666"/>
      <w:bookmarkStart w:id="745" w:name="_Toc289868934"/>
      <w:bookmarkStart w:id="746" w:name="_Toc394386074"/>
      <w:bookmarkStart w:id="747" w:name="_Toc289933288"/>
      <w:bookmarkStart w:id="748" w:name="_Toc289932242"/>
      <w:bookmarkStart w:id="749" w:name="_Toc289868774"/>
      <w:bookmarkStart w:id="750" w:name="_Toc395503178"/>
      <w:bookmarkStart w:id="751" w:name="_Toc394385987"/>
      <w:bookmarkStart w:id="752" w:name="_Toc459970386"/>
      <w:bookmarkStart w:id="753" w:name="_Toc459792594"/>
      <w:bookmarkStart w:id="754" w:name="_Toc182391484"/>
      <w:bookmarkStart w:id="755" w:name="_Toc182391895"/>
      <w:r w:rsidRPr="00B93493">
        <w:t>2.4.2</w:t>
      </w:r>
      <w:r w:rsidRPr="00B93493">
        <w:tab/>
        <w:t>Transferable property rights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58DEFE45" w14:textId="77777777" w:rsidR="00CF04BC" w:rsidRPr="00B93493" w:rsidRDefault="00CF04BC" w:rsidP="00C61CB4">
      <w:r w:rsidRPr="00B93493">
        <w:t>As with spectrum auctioning, the legal framework which underlies the ability of markets to function effectively, the clear specification by spectrum managers of rules and policies, and the legal and policy stance with respect to competition are all critical to how well a transferable spectrum property rights regime will work.</w:t>
      </w:r>
    </w:p>
    <w:p w14:paraId="7DCD70D5" w14:textId="77777777" w:rsidR="00CF04BC" w:rsidRPr="00B93493" w:rsidRDefault="00CF04BC" w:rsidP="00C61CB4">
      <w:r w:rsidRPr="00B93493">
        <w:t>An administration considering the implementation of such a regime will wish to ensure that it has the wherewithal to continue to enforce applicable licence conditions, standards, and regulations once spectrum has been transferred from an original licensee to another party. The ability of an administration to maintain an accurate licence/licensee database is important in this regard, so a certain degree of administrative and/or technical infrastructure would appear necessary for a transferable property rights regime to be successfully implemented. This need is amplified if the administration intends to allow licensees to transfer their licences not only in whole, but also in part, that is to say, to allow licence divisibility.</w:t>
      </w:r>
    </w:p>
    <w:p w14:paraId="4D6E9E6E" w14:textId="77777777" w:rsidR="00CF04BC" w:rsidRPr="00C61CB4" w:rsidRDefault="00CF04BC" w:rsidP="00C61CB4">
      <w:pPr>
        <w:pStyle w:val="Heading3"/>
      </w:pPr>
      <w:bookmarkStart w:id="756" w:name="_Toc462234000"/>
      <w:bookmarkStart w:id="757" w:name="_Toc459793908"/>
      <w:bookmarkStart w:id="758" w:name="_Toc289868775"/>
      <w:bookmarkStart w:id="759" w:name="_Toc394386075"/>
      <w:bookmarkStart w:id="760" w:name="_Toc497033140"/>
      <w:bookmarkStart w:id="761" w:name="_Toc459792595"/>
      <w:bookmarkStart w:id="762" w:name="_Toc497033938"/>
      <w:bookmarkStart w:id="763" w:name="_Toc459793766"/>
      <w:bookmarkStart w:id="764" w:name="_Toc289868935"/>
      <w:bookmarkStart w:id="765" w:name="_Toc394385988"/>
      <w:bookmarkStart w:id="766" w:name="_Toc291852852"/>
      <w:bookmarkStart w:id="767" w:name="_Toc518394164"/>
      <w:bookmarkStart w:id="768" w:name="_Toc459970387"/>
      <w:bookmarkStart w:id="769" w:name="_Toc395503179"/>
      <w:bookmarkStart w:id="770" w:name="_Toc459746667"/>
      <w:bookmarkStart w:id="771" w:name="_Toc289932243"/>
      <w:bookmarkStart w:id="772" w:name="_Toc392515842"/>
      <w:bookmarkStart w:id="773" w:name="_Toc289933289"/>
      <w:bookmarkStart w:id="774" w:name="_Toc182391485"/>
      <w:bookmarkStart w:id="775" w:name="_Toc182391896"/>
      <w:r w:rsidRPr="00C61CB4">
        <w:t>2.4.3</w:t>
      </w:r>
      <w:r w:rsidRPr="00C61CB4">
        <w:tab/>
        <w:t>Licence fees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27C0AFF7" w14:textId="77777777" w:rsidR="00CF04BC" w:rsidRPr="00B93493" w:rsidRDefault="00CF04BC" w:rsidP="00C61CB4">
      <w:r w:rsidRPr="00B93493">
        <w:t>The applicability of various licence fee regimes may vary among different countries. Countries with more developed economies and communications infrastructures may, for example, be more inclined to pursue such goals as:</w:t>
      </w:r>
    </w:p>
    <w:p w14:paraId="262B4D94" w14:textId="77777777" w:rsidR="00CF04BC" w:rsidRPr="00C61CB4" w:rsidRDefault="00CF04BC" w:rsidP="00C61CB4">
      <w:pPr>
        <w:pStyle w:val="enumlev1"/>
      </w:pPr>
      <w:r w:rsidRPr="00C61CB4">
        <w:t>–</w:t>
      </w:r>
      <w:r w:rsidRPr="00C61CB4">
        <w:tab/>
        <w:t>ensuring that the total payments made by spectrum users, through fees and/or auction proceeds, are greater than or equal to the total costs of spectrum management so as to avoid the subsidization of spectrum users from the general treasury;</w:t>
      </w:r>
    </w:p>
    <w:p w14:paraId="664BFF1B" w14:textId="77777777" w:rsidR="00CF04BC" w:rsidRPr="00C61CB4" w:rsidRDefault="00CF04BC" w:rsidP="00C61CB4">
      <w:pPr>
        <w:pStyle w:val="enumlev1"/>
      </w:pPr>
      <w:r w:rsidRPr="00C61CB4">
        <w:t>–</w:t>
      </w:r>
      <w:r w:rsidRPr="00C61CB4">
        <w:tab/>
        <w:t>having fees approximate the market value of the spectrum resource to promote efficient use; and/or</w:t>
      </w:r>
    </w:p>
    <w:p w14:paraId="0C868E92" w14:textId="77777777" w:rsidR="00CF04BC" w:rsidRPr="00C61CB4" w:rsidRDefault="00CF04BC" w:rsidP="00C61CB4">
      <w:pPr>
        <w:pStyle w:val="enumlev1"/>
      </w:pPr>
      <w:r w:rsidRPr="00C61CB4">
        <w:t>–</w:t>
      </w:r>
      <w:r w:rsidRPr="00C61CB4">
        <w:tab/>
        <w:t>capturing any economic rents that the spectrum resource may generate.</w:t>
      </w:r>
    </w:p>
    <w:p w14:paraId="21182FC3" w14:textId="77777777" w:rsidR="00CF04BC" w:rsidRPr="00B93493" w:rsidRDefault="00CF04BC" w:rsidP="00C61CB4">
      <w:r w:rsidRPr="00B93493">
        <w:t>Countries with less developed economies may choose to pursue these same goals, or alternatively they might see fit to implicitly subsidize spectrum users through low licence fees if they feel that this will further other policy objectives.</w:t>
      </w:r>
    </w:p>
    <w:p w14:paraId="37ED1293" w14:textId="77777777" w:rsidR="00CF04BC" w:rsidRPr="00B93493" w:rsidRDefault="00CF04BC" w:rsidP="00C61CB4">
      <w:r w:rsidRPr="00B93493">
        <w:t>With reference to the different types of licence fee regimes discussed previously, incentive and/or opportunity cost-based fees have certain requirements for successful implementation. These types of fees are generally based on notions such as “spectrum consumed” or “the economic value of spectrum”, which are not always easy to practically define or estimate. Reliable automated licence/licensee databases and other informatics tools such as geographic information software may be necessary to perform the calculations imbedded in the fee model. Administrations wishing to reflect market values in their licence fees will need to consider to what extent the licences they grant resemble “market properties”. Any attempt to extract fees which in actuality are beyond the value of the associated spectrum may have negative economic consequences such as stifling investment, limiting service penetration, or raising consumer prices.</w:t>
      </w:r>
    </w:p>
    <w:p w14:paraId="1CEE56DD" w14:textId="77777777" w:rsidR="00CF04BC" w:rsidRPr="00B93493" w:rsidRDefault="00CF04BC" w:rsidP="00C61CB4">
      <w:r w:rsidRPr="00B93493">
        <w:t>Finally, in countries that have not previously charged fees, it is essential that spectrum managers have the legal authority in their communications law to charge for spectrum use.</w:t>
      </w:r>
    </w:p>
    <w:p w14:paraId="7E871E5E" w14:textId="77777777" w:rsidR="00CF04BC" w:rsidRPr="00C61CB4" w:rsidRDefault="00CF04BC" w:rsidP="00C61CB4">
      <w:pPr>
        <w:pStyle w:val="Heading2"/>
      </w:pPr>
      <w:bookmarkStart w:id="776" w:name="_Toc405044148"/>
      <w:bookmarkStart w:id="777" w:name="_Toc400523524"/>
      <w:bookmarkStart w:id="778" w:name="_Toc423234793"/>
      <w:bookmarkStart w:id="779" w:name="_Toc459793909"/>
      <w:bookmarkStart w:id="780" w:name="_Toc459792596"/>
      <w:bookmarkStart w:id="781" w:name="_Toc459793767"/>
      <w:bookmarkStart w:id="782" w:name="_Toc423240978"/>
      <w:bookmarkStart w:id="783" w:name="_Toc409770190"/>
      <w:bookmarkStart w:id="784" w:name="_Toc425918239"/>
      <w:bookmarkStart w:id="785" w:name="_Toc456491512"/>
      <w:bookmarkStart w:id="786" w:name="_Toc392515843"/>
      <w:bookmarkStart w:id="787" w:name="_Toc405043911"/>
      <w:bookmarkStart w:id="788" w:name="_Toc289868936"/>
      <w:bookmarkStart w:id="789" w:name="_Toc497033141"/>
      <w:bookmarkStart w:id="790" w:name="_Toc462234001"/>
      <w:bookmarkStart w:id="791" w:name="_Toc518394165"/>
      <w:bookmarkStart w:id="792" w:name="_Toc456491685"/>
      <w:bookmarkStart w:id="793" w:name="_Toc405175978"/>
      <w:bookmarkStart w:id="794" w:name="_Toc289932244"/>
      <w:bookmarkStart w:id="795" w:name="_Toc423241806"/>
      <w:bookmarkStart w:id="796" w:name="_Toc289933290"/>
      <w:bookmarkStart w:id="797" w:name="_Toc423242254"/>
      <w:bookmarkStart w:id="798" w:name="_Toc456492170"/>
      <w:bookmarkStart w:id="799" w:name="_Toc291852853"/>
      <w:bookmarkStart w:id="800" w:name="_Toc423938026"/>
      <w:bookmarkStart w:id="801" w:name="_Toc456492129"/>
      <w:bookmarkStart w:id="802" w:name="_Toc458355754"/>
      <w:bookmarkStart w:id="803" w:name="_Toc497033939"/>
      <w:bookmarkStart w:id="804" w:name="_Toc423242114"/>
      <w:bookmarkStart w:id="805" w:name="_Toc403127174"/>
      <w:bookmarkStart w:id="806" w:name="_Toc403126962"/>
      <w:bookmarkStart w:id="807" w:name="_Toc403794756"/>
      <w:bookmarkStart w:id="808" w:name="_Toc289868776"/>
      <w:bookmarkStart w:id="809" w:name="_Toc403794338"/>
      <w:bookmarkStart w:id="810" w:name="_Toc459970388"/>
      <w:bookmarkStart w:id="811" w:name="_Toc182391486"/>
      <w:bookmarkStart w:id="812" w:name="_Toc182391897"/>
      <w:bookmarkStart w:id="813" w:name="_Toc201822273"/>
      <w:bookmarkStart w:id="814" w:name="_Toc395503180"/>
      <w:bookmarkStart w:id="815" w:name="_Toc394385989"/>
      <w:bookmarkStart w:id="816" w:name="_Toc394386076"/>
      <w:r w:rsidRPr="00C61CB4">
        <w:t>2.5</w:t>
      </w:r>
      <w:r w:rsidRPr="00C61CB4">
        <w:tab/>
        <w:t>Managing a change in spectrum management funding</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20A5044C" w14:textId="77777777" w:rsidR="00CF04BC" w:rsidRPr="00B93493" w:rsidRDefault="00CF04BC" w:rsidP="00C61CB4">
      <w:r w:rsidRPr="00B93493">
        <w:t>Use of radio has been identified as providing a number of benefits (see Chapter 3). Whether the level of economic benefits from the use of radio grows or diminishes depends on the spectrum being used efficiently and managed effectively. As implementation of spectrum pricing, or spectrum rights, can have a significant impact on spectrum management processes it is advisable that change should be managed due to the potential implications for the economy, the licensing process, industry and radio users.</w:t>
      </w:r>
    </w:p>
    <w:p w14:paraId="75A28CBB" w14:textId="77777777" w:rsidR="00CF04BC" w:rsidRPr="00B93493" w:rsidRDefault="00CF04BC" w:rsidP="00C61CB4">
      <w:r w:rsidRPr="00B93493">
        <w:t>The issues that a spectrum management authority needs to consider related to these changes are likely to vary from administration to administration and the precise spectrum pricing procedure will differ, but they can be grouped into a small number of categories.</w:t>
      </w:r>
    </w:p>
    <w:p w14:paraId="77FDD9D1" w14:textId="77777777" w:rsidR="00CF04BC" w:rsidRPr="00C61CB4" w:rsidRDefault="00CF04BC" w:rsidP="00C61CB4">
      <w:pPr>
        <w:pStyle w:val="Heading3"/>
      </w:pPr>
      <w:bookmarkStart w:id="817" w:name="_Toc497033142"/>
      <w:bookmarkStart w:id="818" w:name="_Toc423242257"/>
      <w:bookmarkStart w:id="819" w:name="_Toc459792597"/>
      <w:bookmarkStart w:id="820" w:name="_Toc497033940"/>
      <w:bookmarkStart w:id="821" w:name="_Toc456492172"/>
      <w:bookmarkStart w:id="822" w:name="_Toc423241809"/>
      <w:bookmarkStart w:id="823" w:name="_Toc289868777"/>
      <w:bookmarkStart w:id="824" w:name="_Toc423242117"/>
      <w:bookmarkStart w:id="825" w:name="_Toc289933291"/>
      <w:bookmarkStart w:id="826" w:name="_Toc405044151"/>
      <w:bookmarkStart w:id="827" w:name="_Toc423240981"/>
      <w:bookmarkStart w:id="828" w:name="_Toc423938029"/>
      <w:bookmarkStart w:id="829" w:name="_Toc405175981"/>
      <w:bookmarkStart w:id="830" w:name="_Toc458355756"/>
      <w:bookmarkStart w:id="831" w:name="_Toc289868937"/>
      <w:bookmarkStart w:id="832" w:name="_Toc423234796"/>
      <w:bookmarkStart w:id="833" w:name="_Toc291852854"/>
      <w:bookmarkStart w:id="834" w:name="_Toc462234002"/>
      <w:bookmarkStart w:id="835" w:name="_Toc392515844"/>
      <w:bookmarkStart w:id="836" w:name="_Toc409770193"/>
      <w:bookmarkStart w:id="837" w:name="_Toc425918242"/>
      <w:bookmarkStart w:id="838" w:name="_Toc405043914"/>
      <w:bookmarkStart w:id="839" w:name="_Toc289932245"/>
      <w:bookmarkStart w:id="840" w:name="_Toc518394166"/>
      <w:bookmarkStart w:id="841" w:name="_Toc456492131"/>
      <w:bookmarkStart w:id="842" w:name="_Toc456491687"/>
      <w:bookmarkStart w:id="843" w:name="_Toc456491514"/>
      <w:bookmarkStart w:id="844" w:name="_Toc182391487"/>
      <w:bookmarkStart w:id="845" w:name="_Toc182391898"/>
      <w:r w:rsidRPr="00C61CB4">
        <w:t>2.5.1</w:t>
      </w:r>
      <w:r w:rsidRPr="00C61CB4">
        <w:tab/>
        <w:t>Legal</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609A18BD" w14:textId="77777777" w:rsidR="00CF04BC" w:rsidRPr="00B93493" w:rsidRDefault="00CF04BC" w:rsidP="00C61CB4">
      <w:pPr>
        <w:rPr>
          <w:b/>
        </w:rPr>
      </w:pPr>
      <w:r w:rsidRPr="00B93493">
        <w:t>Whether or not an administration needs to develop new legislation to introduce spectrum pricing, it is essential that the administration ensures that its existing legislation is effective. If the administration plans to introduce auctions, transferable spectrum rights, or a secondary market, it is also essential that the administration has appropriate competition legislation in place. If effective competition legislation and any organizations required to implement it have not been created prior to the launch of spectrum pricing, th</w:t>
      </w:r>
      <w:bookmarkStart w:id="846" w:name="_Toc423234797"/>
      <w:bookmarkStart w:id="847" w:name="_Toc423241810"/>
      <w:bookmarkStart w:id="848" w:name="_Toc423242118"/>
      <w:bookmarkStart w:id="849" w:name="_Toc423938030"/>
      <w:bookmarkStart w:id="850" w:name="_Toc458355757"/>
      <w:bookmarkStart w:id="851" w:name="_Toc459792598"/>
      <w:bookmarkStart w:id="852" w:name="_Toc456492132"/>
      <w:bookmarkStart w:id="853" w:name="_Toc423240982"/>
      <w:bookmarkStart w:id="854" w:name="_Toc456491515"/>
      <w:bookmarkStart w:id="855" w:name="_Toc409770194"/>
      <w:bookmarkStart w:id="856" w:name="_Toc456491688"/>
      <w:bookmarkStart w:id="857" w:name="_Toc425918243"/>
      <w:bookmarkStart w:id="858" w:name="_Toc456492173"/>
      <w:bookmarkStart w:id="859" w:name="_Toc423242258"/>
      <w:bookmarkStart w:id="860" w:name="_Toc405175982"/>
      <w:r w:rsidRPr="00B93493">
        <w:t>is could inhibit its operation.</w:t>
      </w:r>
    </w:p>
    <w:p w14:paraId="12B40792" w14:textId="77777777" w:rsidR="00CF04BC" w:rsidRPr="00C61CB4" w:rsidRDefault="00CF04BC" w:rsidP="00C61CB4">
      <w:pPr>
        <w:pStyle w:val="Heading3"/>
      </w:pPr>
      <w:bookmarkStart w:id="861" w:name="_Toc289868778"/>
      <w:bookmarkStart w:id="862" w:name="_Toc289868938"/>
      <w:bookmarkStart w:id="863" w:name="_Toc289932246"/>
      <w:bookmarkStart w:id="864" w:name="_Toc289933292"/>
      <w:bookmarkStart w:id="865" w:name="_Toc291852855"/>
      <w:bookmarkStart w:id="866" w:name="_Toc497033143"/>
      <w:bookmarkStart w:id="867" w:name="_Toc518394167"/>
      <w:bookmarkStart w:id="868" w:name="_Toc392515845"/>
      <w:bookmarkStart w:id="869" w:name="_Toc462234003"/>
      <w:bookmarkStart w:id="870" w:name="_Toc497033941"/>
      <w:bookmarkStart w:id="871" w:name="_Toc182391488"/>
      <w:bookmarkStart w:id="872" w:name="_Toc182391899"/>
      <w:r w:rsidRPr="00C61CB4">
        <w:t>2.5.2</w:t>
      </w:r>
      <w:r w:rsidRPr="00C61CB4">
        <w:tab/>
        <w:t>International obligations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1F9317A6" w14:textId="7956FDC9" w:rsidR="00CF04BC" w:rsidRPr="00B93493" w:rsidRDefault="00CF04BC" w:rsidP="00CF04BC">
      <w:r w:rsidRPr="00B93493">
        <w:t>Where an administration introduces spectrum pricing and particularly transferable spectrum rights, it is important that it should retain responsibility for the country’s international obligations. However, the administration may need to consider establishing a mechanism for representing the users’ views in the relevant international fora, especially if the user is permitted to take on any of the management responsibilities for their spectrum that normally may be associated with the administration (see Chapter</w:t>
      </w:r>
      <w:r w:rsidR="00C61CB4">
        <w:t> </w:t>
      </w:r>
      <w:r w:rsidRPr="00B93493">
        <w:t xml:space="preserve">4). In most countries these mechanisms may already exist, whether they would need modification to reflect different levels of spectrum management responsibility between users may depend on the national spectrum management process structure </w:t>
      </w:r>
      <w:bookmarkStart w:id="873" w:name="_Toc456491689"/>
      <w:bookmarkStart w:id="874" w:name="_Toc423234798"/>
      <w:bookmarkStart w:id="875" w:name="_Toc423241811"/>
      <w:bookmarkStart w:id="876" w:name="_Toc456492174"/>
      <w:bookmarkStart w:id="877" w:name="_Toc405043915"/>
      <w:bookmarkStart w:id="878" w:name="_Toc423242119"/>
      <w:bookmarkStart w:id="879" w:name="_Toc405044152"/>
      <w:bookmarkStart w:id="880" w:name="_Toc423240983"/>
      <w:bookmarkStart w:id="881" w:name="_Toc405175983"/>
      <w:bookmarkStart w:id="882" w:name="_Toc456492133"/>
      <w:bookmarkStart w:id="883" w:name="_Toc425918244"/>
      <w:bookmarkStart w:id="884" w:name="_Toc409770195"/>
      <w:bookmarkStart w:id="885" w:name="_Toc456491516"/>
      <w:bookmarkStart w:id="886" w:name="_Toc459792599"/>
      <w:bookmarkStart w:id="887" w:name="_Toc423938031"/>
      <w:bookmarkStart w:id="888" w:name="_Toc423242259"/>
      <w:bookmarkStart w:id="889" w:name="_Toc458355758"/>
      <w:r w:rsidRPr="00B93493">
        <w:t>and organization.</w:t>
      </w:r>
    </w:p>
    <w:p w14:paraId="68FF0A34" w14:textId="77777777" w:rsidR="00CF04BC" w:rsidRPr="00B93493" w:rsidRDefault="00CF04BC" w:rsidP="00CF04BC">
      <w:pPr>
        <w:pStyle w:val="Heading3"/>
      </w:pPr>
      <w:bookmarkStart w:id="890" w:name="_Toc423234799"/>
      <w:bookmarkStart w:id="891" w:name="_Toc405175984"/>
      <w:bookmarkStart w:id="892" w:name="_Toc423240984"/>
      <w:bookmarkStart w:id="893" w:name="_Toc405043916"/>
      <w:bookmarkStart w:id="894" w:name="_Toc423241812"/>
      <w:bookmarkStart w:id="895" w:name="_Toc409770196"/>
      <w:bookmarkStart w:id="896" w:name="_Toc405044153"/>
      <w:bookmarkStart w:id="897" w:name="_Toc456492134"/>
      <w:bookmarkStart w:id="898" w:name="_Toc462234004"/>
      <w:bookmarkStart w:id="899" w:name="_Toc456492175"/>
      <w:bookmarkStart w:id="900" w:name="_Toc291852856"/>
      <w:bookmarkStart w:id="901" w:name="_Toc392515846"/>
      <w:bookmarkStart w:id="902" w:name="_Toc456491517"/>
      <w:bookmarkStart w:id="903" w:name="_Toc423242260"/>
      <w:bookmarkStart w:id="904" w:name="_Toc497033943"/>
      <w:bookmarkStart w:id="905" w:name="_Toc497033145"/>
      <w:bookmarkStart w:id="906" w:name="_Toc289868779"/>
      <w:bookmarkStart w:id="907" w:name="_Toc423938032"/>
      <w:bookmarkStart w:id="908" w:name="_Toc458355759"/>
      <w:bookmarkStart w:id="909" w:name="_Toc456491690"/>
      <w:bookmarkStart w:id="910" w:name="_Toc425918245"/>
      <w:bookmarkStart w:id="911" w:name="_Toc289932247"/>
      <w:bookmarkStart w:id="912" w:name="_Toc518394168"/>
      <w:bookmarkStart w:id="913" w:name="_Toc289868939"/>
      <w:bookmarkStart w:id="914" w:name="_Toc423242120"/>
      <w:bookmarkStart w:id="915" w:name="_Toc459792600"/>
      <w:bookmarkStart w:id="916" w:name="_Toc289933293"/>
      <w:bookmarkStart w:id="917" w:name="_Toc182391489"/>
      <w:bookmarkStart w:id="918" w:name="_Toc182391900"/>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Pr="00B93493">
        <w:t>2.5.3</w:t>
      </w:r>
      <w:r w:rsidRPr="00B93493">
        <w:tab/>
        <w:t>Funding implications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1B3750FF" w14:textId="77777777" w:rsidR="00CF04BC" w:rsidRPr="00B93493" w:rsidRDefault="00CF04BC" w:rsidP="00CF04BC">
      <w:r w:rsidRPr="00B93493">
        <w:t>Administrations that have previously operated a “cost-recovery” system, or been dependent on fees for funding their spectrum management operations, need to consider the implications for their overall income arising from a change in spectrum management funding mechanisms, such as:</w:t>
      </w:r>
    </w:p>
    <w:p w14:paraId="342B13E4" w14:textId="77777777" w:rsidR="00CF04BC" w:rsidRPr="00C61CB4" w:rsidRDefault="00CF04BC" w:rsidP="00C61CB4">
      <w:pPr>
        <w:pStyle w:val="enumlev1"/>
      </w:pPr>
      <w:r w:rsidRPr="00C61CB4">
        <w:t>–</w:t>
      </w:r>
      <w:r w:rsidRPr="00C61CB4">
        <w:tab/>
        <w:t>auctions may be held only periodically, since at certain times there may not be suitable spectrum to be auctioned;</w:t>
      </w:r>
    </w:p>
    <w:p w14:paraId="73A6CFB7" w14:textId="77777777" w:rsidR="00CF04BC" w:rsidRPr="00C61CB4" w:rsidRDefault="00CF04BC" w:rsidP="00C61CB4">
      <w:pPr>
        <w:pStyle w:val="enumlev1"/>
      </w:pPr>
      <w:r w:rsidRPr="00C61CB4">
        <w:t>–</w:t>
      </w:r>
      <w:r w:rsidRPr="00C61CB4">
        <w:tab/>
        <w:t>incentive pricing is intended to relieve congestion, not to increase the levels of the administration’s funding.</w:t>
      </w:r>
    </w:p>
    <w:p w14:paraId="617BA108" w14:textId="77777777" w:rsidR="00CF04BC" w:rsidRPr="00B93493" w:rsidRDefault="00CF04BC" w:rsidP="00C61CB4">
      <w:r w:rsidRPr="00B93493">
        <w:t>In the short term funding levels may increase, but as the spectrum pricing mechanisms take effect the levels of funding may fluctuate with time and adjustments to the level of supply and demand.</w:t>
      </w:r>
    </w:p>
    <w:p w14:paraId="5EDD8BFE" w14:textId="77777777" w:rsidR="00CF04BC" w:rsidRPr="00B93493" w:rsidRDefault="00CF04BC" w:rsidP="00CF04BC">
      <w:pPr>
        <w:pStyle w:val="Heading2"/>
      </w:pPr>
      <w:bookmarkStart w:id="919" w:name="_Toc289868780"/>
      <w:bookmarkStart w:id="920" w:name="_Toc497033146"/>
      <w:bookmarkStart w:id="921" w:name="_Toc289868940"/>
      <w:bookmarkStart w:id="922" w:name="_Toc459792601"/>
      <w:bookmarkStart w:id="923" w:name="_Toc392515847"/>
      <w:bookmarkStart w:id="924" w:name="_Toc456492135"/>
      <w:bookmarkStart w:id="925" w:name="_Toc518394169"/>
      <w:bookmarkStart w:id="926" w:name="_Toc289933294"/>
      <w:bookmarkStart w:id="927" w:name="_Toc456491691"/>
      <w:bookmarkStart w:id="928" w:name="_Toc456492176"/>
      <w:bookmarkStart w:id="929" w:name="_Toc456491518"/>
      <w:bookmarkStart w:id="930" w:name="_Toc459793768"/>
      <w:bookmarkStart w:id="931" w:name="_Toc458355760"/>
      <w:bookmarkStart w:id="932" w:name="_Toc459970389"/>
      <w:bookmarkStart w:id="933" w:name="_Toc291852857"/>
      <w:bookmarkStart w:id="934" w:name="_Toc462234005"/>
      <w:bookmarkStart w:id="935" w:name="_Toc459793910"/>
      <w:bookmarkStart w:id="936" w:name="_Toc497033944"/>
      <w:bookmarkStart w:id="937" w:name="_Toc289932248"/>
      <w:bookmarkStart w:id="938" w:name="_Toc182391490"/>
      <w:bookmarkStart w:id="939" w:name="_Toc182391901"/>
      <w:bookmarkStart w:id="940" w:name="_Toc201822274"/>
      <w:r w:rsidRPr="00B93493">
        <w:t>2.6</w:t>
      </w:r>
      <w:r w:rsidRPr="00B93493">
        <w:tab/>
        <w:t>Summary</w:t>
      </w:r>
      <w:bookmarkEnd w:id="814"/>
      <w:bookmarkEnd w:id="815"/>
      <w:bookmarkEnd w:id="816"/>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7450722D" w14:textId="77777777" w:rsidR="00CF04BC" w:rsidRPr="00B93493" w:rsidRDefault="00CF04BC" w:rsidP="00C61CB4">
      <w:r w:rsidRPr="00B93493">
        <w:t>In view of increasing worldwide demand for radio services, economic approaches to national spectrum management are becoming essential. These approaches promote economic, technical, and administrative efficiency, and can also help fund national spectrum management programmes that can ensure that radio services are able to operate on a non-interference basis. While a free market in spectrum does not appear feasible due to technical, economic, and social considerations; auctions, transferable and flexible spectrum rights, and well-designed fees can enable a number of the benefits of a market approach to be realized. Auctions appear best-designed to promote efficient use of spectrum when there are competing applicants for the same frequency assignment, and transferable and flexible spectrum rights ensure that an assignment will continue to be used efficiently after the auction has taken place. However, auctions may not be appropriate for services in which there is limited competition for spectrum assignments, for socially desirable services such as national defence, and for international services such as satellite services. For some of these services, fees may be appropriate. Fees can promote efficient use of the spectrum provided that they incorporate the correct economic incentives and are not set so low as to be negligible in the eyes of spectrum users or so high as to exceed what a market would set, in which case spectrum will sit idle and generate no benefits.</w:t>
      </w:r>
    </w:p>
    <w:p w14:paraId="4D391F8F" w14:textId="77777777" w:rsidR="00CF04BC" w:rsidRPr="00B93493" w:rsidRDefault="00CF04BC" w:rsidP="00C61CB4">
      <w:r w:rsidRPr="00B93493">
        <w:t>Through spectrum pricing national spectrum managers can develop a variety of economic tools to promote more efficient spectrum use. If properly applied, these tools can help encourage investment in radio services, leading to growth of the telecommunications sector and benefiting the entire economy.</w:t>
      </w:r>
    </w:p>
    <w:p w14:paraId="237C8A7E" w14:textId="77777777" w:rsidR="00CF04BC" w:rsidRDefault="00CF04BC" w:rsidP="00C61CB4">
      <w:bookmarkStart w:id="941" w:name="_Toc459746669"/>
      <w:bookmarkStart w:id="942" w:name="_Toc459793769"/>
      <w:bookmarkStart w:id="943" w:name="_Toc459792602"/>
      <w:bookmarkStart w:id="944" w:name="_Toc459793911"/>
      <w:bookmarkStart w:id="945" w:name="_Toc459970390"/>
    </w:p>
    <w:p w14:paraId="7087F5E1" w14:textId="77777777" w:rsidR="00C61CB4" w:rsidRPr="00B93493" w:rsidRDefault="00C61CB4" w:rsidP="00C61CB4"/>
    <w:p w14:paraId="6AB0FFE9" w14:textId="77777777" w:rsidR="00CF04BC" w:rsidRPr="00F63AE2" w:rsidRDefault="00CF04BC" w:rsidP="00E91654">
      <w:pPr>
        <w:pStyle w:val="StyleChapNoNotBold1"/>
      </w:pPr>
      <w:bookmarkStart w:id="946" w:name="_Toc518394170"/>
      <w:bookmarkStart w:id="947" w:name="_Toc289868941"/>
      <w:bookmarkStart w:id="948" w:name="_Toc291852858"/>
      <w:bookmarkStart w:id="949" w:name="_Toc289868781"/>
      <w:bookmarkStart w:id="950" w:name="_Toc289932249"/>
      <w:bookmarkStart w:id="951" w:name="_Toc289933295"/>
      <w:bookmarkStart w:id="952" w:name="_Toc462234006"/>
      <w:bookmarkStart w:id="953" w:name="_Toc182391491"/>
      <w:bookmarkStart w:id="954" w:name="_Toc182391902"/>
      <w:bookmarkStart w:id="955" w:name="_Toc201822275"/>
      <w:r w:rsidRPr="00F63AE2">
        <w:t>CHAPTER 3</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235680D0" w14:textId="77777777" w:rsidR="00CF04BC" w:rsidRPr="00C61CB4" w:rsidRDefault="00CF04BC" w:rsidP="00C61CB4">
      <w:pPr>
        <w:pStyle w:val="Chaptitle"/>
      </w:pPr>
      <w:bookmarkStart w:id="956" w:name="_Toc289932250"/>
      <w:bookmarkStart w:id="957" w:name="_Toc518394171"/>
      <w:bookmarkStart w:id="958" w:name="_Toc459792603"/>
      <w:bookmarkStart w:id="959" w:name="_Toc462234007"/>
      <w:bookmarkStart w:id="960" w:name="_Toc289933296"/>
      <w:bookmarkStart w:id="961" w:name="_Toc459746670"/>
      <w:bookmarkStart w:id="962" w:name="_Toc459793770"/>
      <w:bookmarkStart w:id="963" w:name="_Toc459793912"/>
      <w:bookmarkStart w:id="964" w:name="_Toc289868782"/>
      <w:bookmarkStart w:id="965" w:name="_Toc459970391"/>
      <w:bookmarkStart w:id="966" w:name="_Toc454284838"/>
      <w:bookmarkStart w:id="967" w:name="_Toc291852859"/>
      <w:bookmarkStart w:id="968" w:name="_Toc289868942"/>
      <w:r w:rsidRPr="00C61CB4">
        <w:t>Assessment of the benefits of using the radio spectrum</w:t>
      </w:r>
      <w:bookmarkEnd w:id="956"/>
      <w:bookmarkEnd w:id="957"/>
      <w:bookmarkEnd w:id="958"/>
      <w:bookmarkEnd w:id="959"/>
      <w:bookmarkEnd w:id="960"/>
      <w:bookmarkEnd w:id="961"/>
      <w:bookmarkEnd w:id="962"/>
      <w:bookmarkEnd w:id="963"/>
      <w:bookmarkEnd w:id="964"/>
      <w:bookmarkEnd w:id="965"/>
      <w:bookmarkEnd w:id="966"/>
      <w:bookmarkEnd w:id="967"/>
      <w:bookmarkEnd w:id="968"/>
    </w:p>
    <w:p w14:paraId="48986602" w14:textId="77777777" w:rsidR="00CF04BC" w:rsidRPr="00C61CB4" w:rsidRDefault="00CF04BC" w:rsidP="00C61CB4">
      <w:pPr>
        <w:pStyle w:val="Heading2"/>
      </w:pPr>
      <w:bookmarkStart w:id="969" w:name="_Toc459792604"/>
      <w:bookmarkStart w:id="970" w:name="_Toc394385990"/>
      <w:bookmarkStart w:id="971" w:name="_Toc395503181"/>
      <w:bookmarkStart w:id="972" w:name="_Toc459793771"/>
      <w:bookmarkStart w:id="973" w:name="_Toc459793913"/>
      <w:bookmarkStart w:id="974" w:name="_Toc289868783"/>
      <w:bookmarkStart w:id="975" w:name="_Toc392515848"/>
      <w:bookmarkStart w:id="976" w:name="_Toc518394172"/>
      <w:bookmarkStart w:id="977" w:name="_Toc291852860"/>
      <w:bookmarkStart w:id="978" w:name="_Toc459746671"/>
      <w:bookmarkStart w:id="979" w:name="_Toc289932251"/>
      <w:bookmarkStart w:id="980" w:name="_Toc289933297"/>
      <w:bookmarkStart w:id="981" w:name="_Toc459970392"/>
      <w:bookmarkStart w:id="982" w:name="_Toc289868943"/>
      <w:bookmarkStart w:id="983" w:name="_Toc497033945"/>
      <w:bookmarkStart w:id="984" w:name="_Toc394386077"/>
      <w:bookmarkStart w:id="985" w:name="_Toc462234008"/>
      <w:bookmarkStart w:id="986" w:name="_Toc497033147"/>
      <w:bookmarkStart w:id="987" w:name="_Toc182391492"/>
      <w:bookmarkStart w:id="988" w:name="_Toc182391903"/>
      <w:bookmarkStart w:id="989" w:name="_Toc201822276"/>
      <w:r w:rsidRPr="00C61CB4">
        <w:t>3.1</w:t>
      </w:r>
      <w:r w:rsidRPr="00C61CB4">
        <w:tab/>
        <w:t>Background</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198E2848" w14:textId="1F5F0E9F" w:rsidR="00CF04BC" w:rsidRPr="00B93493" w:rsidRDefault="00CF04BC" w:rsidP="00C61CB4">
      <w:r w:rsidRPr="00B93493">
        <w:t>Effective management of the radio spectrum is required to ensure spectrum access for new services (see Note 1)</w:t>
      </w:r>
      <w:r w:rsidRPr="00B93493">
        <w:rPr>
          <w:vertAlign w:val="superscript"/>
        </w:rPr>
        <w:t xml:space="preserve"> </w:t>
      </w:r>
      <w:r w:rsidRPr="00B93493">
        <w:t>and technologies, growth in existing services and avoidance of interference between users. Funding for this task will be dependent on the competing claims of all government activities. The extent of radio usage within a country will influence the particular functions performed by the spectrum management authority. As radio usage increases, so does the requirement for spectrum management. Assessment of the economic benefits (see Note 2) arising from the use of the radio spectrum is useful in making spectrum planning decisions. If quantification of these benefits is required for spectrum planning and strategic development then suitable methodologies must be identified. This Chapter, which is based on a report from the UK, provides a comparison of two</w:t>
      </w:r>
      <w:r w:rsidR="00C61CB4">
        <w:t> </w:t>
      </w:r>
      <w:r w:rsidRPr="00B93493">
        <w:t>methods to quantify the economic benefits and examines the factors that may affect this value.</w:t>
      </w:r>
    </w:p>
    <w:p w14:paraId="7DAC058E" w14:textId="77777777" w:rsidR="00CF04BC" w:rsidRPr="00C61CB4" w:rsidRDefault="00CF04BC" w:rsidP="00C61CB4">
      <w:pPr>
        <w:pStyle w:val="Note"/>
      </w:pPr>
      <w:r w:rsidRPr="00C61CB4">
        <w:t>NOTE 1 – In this Report the use of the word “service” with a non-capitalized “s” means an end-user service (e.g. cellular radio) and not a Radiocommunication Service.</w:t>
      </w:r>
    </w:p>
    <w:p w14:paraId="4B5E09A7" w14:textId="77777777" w:rsidR="00CF04BC" w:rsidRPr="00C61CB4" w:rsidRDefault="00CF04BC" w:rsidP="00C61CB4">
      <w:pPr>
        <w:pStyle w:val="Note"/>
      </w:pPr>
      <w:r w:rsidRPr="00C61CB4">
        <w:t>NOTE 2 – Here the term “benefits” is not used in its standard economic sense.</w:t>
      </w:r>
    </w:p>
    <w:p w14:paraId="71A52940" w14:textId="77777777" w:rsidR="00CF04BC" w:rsidRPr="00C61CB4" w:rsidRDefault="00CF04BC" w:rsidP="00C61CB4">
      <w:pPr>
        <w:pStyle w:val="Heading2"/>
      </w:pPr>
      <w:bookmarkStart w:id="990" w:name="_Toc289933298"/>
      <w:bookmarkStart w:id="991" w:name="_Toc291852861"/>
      <w:bookmarkStart w:id="992" w:name="_Toc395503182"/>
      <w:bookmarkStart w:id="993" w:name="_Toc462234009"/>
      <w:bookmarkStart w:id="994" w:name="_Toc459792605"/>
      <w:bookmarkStart w:id="995" w:name="_Toc459793914"/>
      <w:bookmarkStart w:id="996" w:name="_Toc459793772"/>
      <w:bookmarkStart w:id="997" w:name="_Toc394386078"/>
      <w:bookmarkStart w:id="998" w:name="_Toc394385991"/>
      <w:bookmarkStart w:id="999" w:name="_Toc392515849"/>
      <w:bookmarkStart w:id="1000" w:name="_Toc518394173"/>
      <w:bookmarkStart w:id="1001" w:name="_Toc289868784"/>
      <w:bookmarkStart w:id="1002" w:name="_Toc497033946"/>
      <w:bookmarkStart w:id="1003" w:name="_Toc459746672"/>
      <w:bookmarkStart w:id="1004" w:name="_Toc289868944"/>
      <w:bookmarkStart w:id="1005" w:name="_Toc459970393"/>
      <w:bookmarkStart w:id="1006" w:name="_Toc497033148"/>
      <w:bookmarkStart w:id="1007" w:name="_Toc289932252"/>
      <w:bookmarkStart w:id="1008" w:name="_Toc182391493"/>
      <w:bookmarkStart w:id="1009" w:name="_Toc182391904"/>
      <w:bookmarkStart w:id="1010" w:name="_Toc201822277"/>
      <w:r w:rsidRPr="00C61CB4">
        <w:t>3.2</w:t>
      </w:r>
      <w:r w:rsidRPr="00C61CB4">
        <w:tab/>
        <w:t>Methods of assessing the spectrum’s economic benefits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682C776E" w14:textId="77777777" w:rsidR="00CF04BC" w:rsidRPr="00B93493" w:rsidRDefault="00CF04BC" w:rsidP="00C61CB4">
      <w:r w:rsidRPr="00B93493">
        <w:t>Economic benefits are generally recognized to accrue from the expansion of manufacturing capability, or the creation of new radio industries and services. They also arise from the impact radio services have on generating improvements in the performance of a business. These improvements may include: increased productivity, increased exports, reduced operating costs and increased employment. Improvements in the performance of a business are not only found where radio forms part of the core business (e.g. a telecommunications service provider, radio equipment manufacturer), but also where it is used as a way to support the core business (e.g. a water supply company using telemetry and telecommand to remote reservoirs, a taxi company using mobile radio to pass passenger details to taxis).</w:t>
      </w:r>
    </w:p>
    <w:p w14:paraId="0CEEA87B" w14:textId="77777777" w:rsidR="00CF04BC" w:rsidRPr="00B93493" w:rsidRDefault="00CF04BC" w:rsidP="00C61CB4">
      <w:r w:rsidRPr="00B93493">
        <w:t>Two methods used for quantifying economic benefits have been identified in the Report – The Economic impact of the Use of Radio in the UK</w:t>
      </w:r>
      <w:r w:rsidRPr="00B93493">
        <w:rPr>
          <w:rStyle w:val="FootnoteReference"/>
        </w:rPr>
        <w:footnoteReference w:id="2"/>
      </w:r>
      <w:r w:rsidRPr="00B93493">
        <w:t>, published in 1995 and subsequently updated with last update in March 2006. The methods calculate the contribution of radio use to the economy using:</w:t>
      </w:r>
    </w:p>
    <w:p w14:paraId="3AC23147" w14:textId="77777777" w:rsidR="00CF04BC" w:rsidRPr="00C61CB4" w:rsidRDefault="00CF04BC" w:rsidP="00C61CB4">
      <w:pPr>
        <w:pStyle w:val="enumlev1"/>
      </w:pPr>
      <w:r w:rsidRPr="00C61CB4">
        <w:t>–</w:t>
      </w:r>
      <w:r w:rsidRPr="00C61CB4">
        <w:tab/>
        <w:t>gross domestic product (GDP) and employment;</w:t>
      </w:r>
    </w:p>
    <w:p w14:paraId="46E94C48" w14:textId="77777777" w:rsidR="00CF04BC" w:rsidRPr="00C61CB4" w:rsidRDefault="00CF04BC" w:rsidP="00C61CB4">
      <w:pPr>
        <w:pStyle w:val="enumlev1"/>
      </w:pPr>
      <w:r w:rsidRPr="00C61CB4">
        <w:t>–</w:t>
      </w:r>
      <w:r w:rsidRPr="00C61CB4">
        <w:tab/>
        <w:t>consumer and producer surplus.</w:t>
      </w:r>
    </w:p>
    <w:p w14:paraId="7F2037AD" w14:textId="77777777" w:rsidR="00CF04BC" w:rsidRPr="00B93493" w:rsidRDefault="00CF04BC" w:rsidP="00C61CB4">
      <w:r w:rsidRPr="00B93493">
        <w:t>These methods may be used to estimate the economic benefits arising from the provision of a single end-user service, or each service’s economic benefits can be added together to provide the total economic benefits arising from radio in a country. Both methods and their relative merits are presented in the following sections. Although in this Report measurement of employment is linked to the measurement of GDP, it is really a complementary measurement that could be equally applied to the measurement of consumer surplus.</w:t>
      </w:r>
    </w:p>
    <w:p w14:paraId="1204D9AB" w14:textId="77777777" w:rsidR="00CF04BC" w:rsidRPr="00C61CB4" w:rsidRDefault="00CF04BC" w:rsidP="00C61CB4">
      <w:pPr>
        <w:pStyle w:val="Heading3"/>
      </w:pPr>
      <w:bookmarkStart w:id="1011" w:name="_Toc394385992"/>
      <w:bookmarkStart w:id="1012" w:name="_Toc394386079"/>
      <w:bookmarkStart w:id="1013" w:name="_Toc459792606"/>
      <w:bookmarkStart w:id="1014" w:name="_Toc395503183"/>
      <w:bookmarkStart w:id="1015" w:name="_Toc459746673"/>
      <w:bookmarkStart w:id="1016" w:name="_Toc459970394"/>
      <w:bookmarkStart w:id="1017" w:name="_Toc289868785"/>
      <w:bookmarkStart w:id="1018" w:name="_Toc289932253"/>
      <w:bookmarkStart w:id="1019" w:name="_Toc291852862"/>
      <w:bookmarkStart w:id="1020" w:name="_Toc459793773"/>
      <w:bookmarkStart w:id="1021" w:name="_Toc289868945"/>
      <w:bookmarkStart w:id="1022" w:name="_Toc392515850"/>
      <w:bookmarkStart w:id="1023" w:name="_Toc289933299"/>
      <w:bookmarkStart w:id="1024" w:name="_Toc462234010"/>
      <w:bookmarkStart w:id="1025" w:name="_Toc459793915"/>
      <w:bookmarkStart w:id="1026" w:name="_Toc518394174"/>
      <w:bookmarkStart w:id="1027" w:name="_Toc497033947"/>
      <w:bookmarkStart w:id="1028" w:name="_Toc497033149"/>
      <w:bookmarkStart w:id="1029" w:name="_Toc182391494"/>
      <w:bookmarkStart w:id="1030" w:name="_Toc182391905"/>
      <w:r w:rsidRPr="00C61CB4">
        <w:t>3.2.1</w:t>
      </w:r>
      <w:r w:rsidRPr="00C61CB4">
        <w:tab/>
        <w:t>GDP and employment</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5F1F254C" w14:textId="77777777" w:rsidR="00CF04BC" w:rsidRPr="00B93493" w:rsidRDefault="00CF04BC" w:rsidP="00CF04BC">
      <w:r w:rsidRPr="00B93493">
        <w:t>The use of the GDP method to estimate the economic benefits is based on the contribution radio makes to all business activity within a country. The contribution to GDP will be equal to the product of the price of a good or service, and the number that are sold. The expenditure of the resulting wages and profits provides a further increase (multiplier effects) in both GDP and employment which can be added to these figures.</w:t>
      </w:r>
    </w:p>
    <w:p w14:paraId="48E6CCF2" w14:textId="77777777" w:rsidR="00CF04BC" w:rsidRPr="00B93493" w:rsidRDefault="00CF04BC" w:rsidP="00CF04BC">
      <w:r w:rsidRPr="00B93493">
        <w:t>In practice GDP and employment contributions may enter the economy at a number of different points that are determined by the operation of the particular service. Typically for a service which is sold to an end user (</w:t>
      </w:r>
      <w:r w:rsidRPr="00E91654">
        <w:t>e.g.</w:t>
      </w:r>
      <w:r w:rsidRPr="00B93493">
        <w:t xml:space="preserve"> broadcasting), contributions will occur in:</w:t>
      </w:r>
    </w:p>
    <w:p w14:paraId="59512ED0" w14:textId="3021D7E5" w:rsidR="00CF04BC" w:rsidRPr="00C61CB4" w:rsidRDefault="00CF04BC" w:rsidP="00C61CB4">
      <w:pPr>
        <w:pStyle w:val="enumlev1"/>
      </w:pPr>
      <w:r w:rsidRPr="00C61CB4">
        <w:t>–</w:t>
      </w:r>
      <w:r w:rsidRPr="00C61CB4">
        <w:tab/>
        <w:t>the business providing the radio service (company A). This contribution to the economy is known as the direct effect of the use of radio. When the whole of the business of “company</w:t>
      </w:r>
      <w:r w:rsidR="00C61CB4" w:rsidRPr="00C61CB4">
        <w:t> </w:t>
      </w:r>
      <w:r w:rsidRPr="00C61CB4">
        <w:t>A” is based on the radio service (e.g. broadcasting), determining the required information is relatively straightforward. When the radio service provides only part of the business (e.g. private mobile radio (PMR)) it can be more difficult;</w:t>
      </w:r>
    </w:p>
    <w:p w14:paraId="1A7DC5AB" w14:textId="77777777" w:rsidR="00CF04BC" w:rsidRPr="00C61CB4" w:rsidRDefault="00CF04BC" w:rsidP="00C61CB4">
      <w:pPr>
        <w:pStyle w:val="enumlev1"/>
      </w:pPr>
      <w:r w:rsidRPr="00C61CB4">
        <w:t>–</w:t>
      </w:r>
      <w:r w:rsidRPr="00C61CB4">
        <w:tab/>
        <w:t>businesses manufacturing equipment purchased by “company A”, or supplying other services (e.g. cleaning services, recruitment services, information technology support, market research) in support of “company A’s” operations, these indirect contributions to the economy are called backward linkages;</w:t>
      </w:r>
    </w:p>
    <w:p w14:paraId="6614FE5F" w14:textId="77777777" w:rsidR="00CF04BC" w:rsidRPr="00C61CB4" w:rsidRDefault="00CF04BC" w:rsidP="00C61CB4">
      <w:pPr>
        <w:pStyle w:val="enumlev1"/>
      </w:pPr>
      <w:r w:rsidRPr="00C61CB4">
        <w:t>–</w:t>
      </w:r>
      <w:r w:rsidRPr="00C61CB4">
        <w:tab/>
        <w:t>businesses manufacturing equipment for users of “company A’s” service, or distributing and retailing “company A’s” services, these indirect contributions to the economy are called forward linkages. These services need not be related to radio, e.g. airlines use aeronautical mobile but their services that are retailed relate to passenger and freight traffic.</w:t>
      </w:r>
    </w:p>
    <w:p w14:paraId="4E6F66C4" w14:textId="77777777" w:rsidR="00CF04BC" w:rsidRPr="00B93493" w:rsidRDefault="00CF04BC" w:rsidP="00CF04BC">
      <w:r w:rsidRPr="00B93493">
        <w:t>In the case of a radio service provided by the end user, as in PMR, the direct effect and backward linkage would be the same. However, there is no forward linkage because the contributing elements are incorporated within the direct effect.</w:t>
      </w:r>
    </w:p>
    <w:p w14:paraId="22C64865" w14:textId="5F1022AA" w:rsidR="00CF04BC" w:rsidRPr="00B93493" w:rsidRDefault="00CF04BC" w:rsidP="00CF04BC">
      <w:r w:rsidRPr="00B93493">
        <w:t>The contribution to GDP and employment from the service or services will be equal to the sum of the direct effect, the forward and backward linkages. This value will depend on the amount of capital equipment and materials originating within, and the level of profits retained in, a country. In practice all countries will import some of the capital equipment and materials used and this will reduce the</w:t>
      </w:r>
      <w:r w:rsidR="005F1CA3">
        <w:t> </w:t>
      </w:r>
      <w:r w:rsidRPr="00B93493">
        <w:t>GDP contribution. However, even in the worst-case scenario where all capital equipment and materials are imported (unlikely because of the impracticalities of importing all raw materials and the increase in overhead costs) there will still be a positive contribution to GDP and employment through salaries, supplies to users of the equipment, distribution and retailing.</w:t>
      </w:r>
    </w:p>
    <w:p w14:paraId="2BD40057" w14:textId="77777777" w:rsidR="00CF04BC" w:rsidRPr="005F1CA3" w:rsidRDefault="00CF04BC" w:rsidP="005F1CA3">
      <w:pPr>
        <w:pStyle w:val="Heading4"/>
      </w:pPr>
      <w:bookmarkStart w:id="1031" w:name="_Toc459792607"/>
      <w:bookmarkStart w:id="1032" w:name="_Toc459793916"/>
      <w:bookmarkStart w:id="1033" w:name="_Toc497033948"/>
      <w:bookmarkStart w:id="1034" w:name="_Toc459793774"/>
      <w:bookmarkStart w:id="1035" w:name="_Toc497033150"/>
      <w:bookmarkStart w:id="1036" w:name="_Toc459746674"/>
      <w:r w:rsidRPr="005F1CA3">
        <w:t>3.2.1.1</w:t>
      </w:r>
      <w:r w:rsidRPr="005F1CA3">
        <w:tab/>
        <w:t>Factors modifying the combined GDP and employment values</w:t>
      </w:r>
      <w:bookmarkEnd w:id="1031"/>
      <w:bookmarkEnd w:id="1032"/>
      <w:bookmarkEnd w:id="1033"/>
      <w:bookmarkEnd w:id="1034"/>
      <w:bookmarkEnd w:id="1035"/>
      <w:bookmarkEnd w:id="1036"/>
    </w:p>
    <w:p w14:paraId="7F1DE58A" w14:textId="77777777" w:rsidR="00CF04BC" w:rsidRPr="00B93493" w:rsidRDefault="00CF04BC" w:rsidP="005F1CA3">
      <w:r w:rsidRPr="00B93493">
        <w:t>In all cases, the combined GDP and employment figures resulting from radio’s contribution towards the economy has to be revised downwards because of the impact of “displacement effects”. These are based on the principle there will always be an alternative to the existing use, e.g. if aircraft did not exist, then the shipping and railway industries would expand. These effects equate to the following scenarios:</w:t>
      </w:r>
    </w:p>
    <w:p w14:paraId="38FBDA77" w14:textId="77777777" w:rsidR="00CF04BC" w:rsidRPr="005F1CA3" w:rsidRDefault="00CF04BC" w:rsidP="005F1CA3">
      <w:pPr>
        <w:pStyle w:val="enumlev1"/>
      </w:pPr>
      <w:r w:rsidRPr="005F1CA3">
        <w:t>–</w:t>
      </w:r>
      <w:r w:rsidRPr="005F1CA3">
        <w:tab/>
        <w:t>radio may be a substitute for another non-radio service, e.g. cable;</w:t>
      </w:r>
    </w:p>
    <w:p w14:paraId="30F8E079" w14:textId="77777777" w:rsidR="00CF04BC" w:rsidRPr="005F1CA3" w:rsidRDefault="00CF04BC" w:rsidP="005F1CA3">
      <w:pPr>
        <w:pStyle w:val="enumlev1"/>
      </w:pPr>
      <w:r w:rsidRPr="005F1CA3">
        <w:t>–</w:t>
      </w:r>
      <w:r w:rsidRPr="005F1CA3">
        <w:tab/>
        <w:t>if radio did not exist the resources used in its development would be employed in other parts of the economy.</w:t>
      </w:r>
    </w:p>
    <w:p w14:paraId="56C8423F" w14:textId="77777777" w:rsidR="00CF04BC" w:rsidRPr="00B93493" w:rsidRDefault="00CF04BC" w:rsidP="005F1CA3">
      <w:r w:rsidRPr="00B93493">
        <w:t>Allowance can be made in the calculations for the impact of relative changes in GDP and employment arising from a substitute service. However, the latter case for the wider economic displacement is more of a problem. Although the theory that all resources are completely mobile has some validity, there are disagreements on the limitations to this theory and validation is hampered by a lack of substantive information.</w:t>
      </w:r>
    </w:p>
    <w:p w14:paraId="5BA23EE1" w14:textId="41C5B830" w:rsidR="00CF04BC" w:rsidRPr="00B93493" w:rsidRDefault="00CF04BC" w:rsidP="005F1CA3">
      <w:r w:rsidRPr="00B93493">
        <w:t>Once the GDP and employment figures have been adjusted to take into account the displacement effects, the impact of “multiplier effects” can be considered. Multiplier effects arise from the impact of wages and profits, generated in all businesses associated with the use of radio, as they spread through the rest of a country’s economy and in the process create further income and employment. They are a function of a country’s economic structure and may be different values for assessment of</w:t>
      </w:r>
      <w:r w:rsidR="005F1CA3">
        <w:t> </w:t>
      </w:r>
      <w:r w:rsidRPr="00B93493">
        <w:t>GDP and employment. In the United Kingdom, the Report – The Economic impact of the Use of Radio in the UK, estimated that the “multiplier effect” allowing for imports was approximately 1.4 times for income and slightly more for employment.</w:t>
      </w:r>
    </w:p>
    <w:p w14:paraId="7A532F54" w14:textId="77777777" w:rsidR="00CF04BC" w:rsidRPr="00B93493" w:rsidRDefault="00CF04BC" w:rsidP="00CF04BC">
      <w:pPr>
        <w:keepNext/>
        <w:keepLines/>
      </w:pPr>
      <w:r w:rsidRPr="00B93493">
        <w:t>Hence,</w:t>
      </w:r>
    </w:p>
    <w:p w14:paraId="644B9170" w14:textId="4A9C1AAF" w:rsidR="00CF04BC" w:rsidRPr="00B93493" w:rsidRDefault="00CF04BC" w:rsidP="00CF04BC">
      <w:pPr>
        <w:pStyle w:val="Equation"/>
        <w:keepNext/>
        <w:keepLines/>
      </w:pPr>
      <w:r w:rsidRPr="00B93493">
        <w:t xml:space="preserve">The total contribution to GDP and employment for a service </w:t>
      </w:r>
      <w:r w:rsidR="005F1CA3">
        <w:t>=</w:t>
      </w:r>
      <w:r w:rsidRPr="00B93493">
        <w:t xml:space="preserve"> (DE </w:t>
      </w:r>
      <w:r w:rsidRPr="00B93493">
        <w:rPr>
          <w:rFonts w:ascii="Symbol" w:hAnsi="Symbol"/>
        </w:rPr>
        <w:t></w:t>
      </w:r>
      <w:r w:rsidRPr="00B93493">
        <w:t> FL </w:t>
      </w:r>
      <w:r w:rsidRPr="00B93493">
        <w:rPr>
          <w:rFonts w:ascii="Symbol" w:hAnsi="Symbol"/>
        </w:rPr>
        <w:t></w:t>
      </w:r>
      <w:r w:rsidRPr="00B93493">
        <w:t xml:space="preserve"> BL – DPE) </w:t>
      </w:r>
      <w:r w:rsidRPr="00B93493">
        <w:rPr>
          <w:rFonts w:ascii="Symbol" w:hAnsi="Symbol"/>
        </w:rPr>
        <w:t></w:t>
      </w:r>
      <w:r w:rsidRPr="00B93493">
        <w:t> MPE</w:t>
      </w:r>
      <w:r w:rsidRPr="00B93493">
        <w:tab/>
        <w:t>(5)</w:t>
      </w:r>
    </w:p>
    <w:p w14:paraId="4217737E" w14:textId="77777777" w:rsidR="00CF04BC" w:rsidRPr="00B93493" w:rsidRDefault="00CF04BC" w:rsidP="00CF04BC">
      <w:pPr>
        <w:keepNext/>
        <w:keepLines/>
      </w:pPr>
      <w:r w:rsidRPr="00B93493">
        <w:t xml:space="preserve">Where: DE </w:t>
      </w:r>
      <w:r w:rsidRPr="00B93493">
        <w:rPr>
          <w:rFonts w:ascii="Symbol" w:hAnsi="Symbol"/>
        </w:rPr>
        <w:t></w:t>
      </w:r>
      <w:r w:rsidRPr="00B93493">
        <w:t xml:space="preserve"> direct effect; FL = forward linkage; BL = backward linkage; DPE = displacement effects; MPE = multiplier effects.</w:t>
      </w:r>
    </w:p>
    <w:p w14:paraId="18B681A4" w14:textId="77777777" w:rsidR="00CF04BC" w:rsidRPr="00B93493" w:rsidRDefault="00CF04BC" w:rsidP="005F1CA3">
      <w:r w:rsidRPr="00B93493">
        <w:rPr>
          <w:lang w:eastAsia="zh-CN"/>
        </w:rPr>
        <w:t>The 2006 UK report uses company turnover data to compute direct effects, and then use the Input</w:t>
      </w:r>
      <w:r w:rsidRPr="00B93493">
        <w:rPr>
          <w:lang w:eastAsia="zh-CN"/>
        </w:rPr>
        <w:noBreakHyphen/>
        <w:t xml:space="preserve">Output tables to calculate multiplier effects. An alternative methodology could have been to calculate the value added by these firms, rather than use their turnover figures. However, preference is given to turnover, as it is better suited to computing multiplier effects and is consistent with the previous (1995) study which estimated the GDP effect of radio spectrum use. To compute direct GDP and employment effects, identify firms for whom radio spectrum contributes substantially to turnover, </w:t>
      </w:r>
      <w:r w:rsidRPr="00D25898">
        <w:rPr>
          <w:lang w:eastAsia="zh-CN"/>
        </w:rPr>
        <w:t>i.e. firms that are small scale users of spectrum are not included. The reason for this is that it is very</w:t>
      </w:r>
      <w:r w:rsidRPr="00B93493">
        <w:rPr>
          <w:lang w:eastAsia="zh-CN"/>
        </w:rPr>
        <w:t xml:space="preserve"> difficult to break down, for each firm, how much of the turnover and employment arises due to the use of radio spectrum compared with other inputs. </w:t>
      </w:r>
      <w:r w:rsidRPr="00B93493">
        <w:t>The total economic benefits arising from radio in a country would be equal to the summation of all of the total contributions arising from each service.</w:t>
      </w:r>
    </w:p>
    <w:p w14:paraId="2C983464" w14:textId="09BEB077" w:rsidR="00CF04BC" w:rsidRPr="00B93493" w:rsidRDefault="00CF04BC" w:rsidP="005F1CA3">
      <w:r w:rsidRPr="00B93493">
        <w:rPr>
          <w:color w:val="000000"/>
          <w:lang w:eastAsia="zh-CN"/>
        </w:rPr>
        <w:t xml:space="preserve">Two types of GDP and employment effects arise from direct employment and turnover: linkage effects and induced effects. Linkage effects refer to the jobs created in the supply or distribution chain. An example would be jobs in a mobile handset manufacturing firm which provides the physical equipment to cellular phone providers. The jobs of those employed in the manufacturing firm will be directly affected if there is a change in demand from the cellular phone provider. The second effect is the induced employment or the income multiplier effect that arises due to expenditure of the incomes that employees in the radio spectrum using sector earn. This additional expenditure creates further jobs as the money is spent on goods and services – a ripple effect. The method that </w:t>
      </w:r>
      <w:r w:rsidR="00092428">
        <w:rPr>
          <w:color w:val="000000"/>
          <w:lang w:eastAsia="zh-CN"/>
        </w:rPr>
        <w:t>is</w:t>
      </w:r>
      <w:r w:rsidRPr="00B93493">
        <w:rPr>
          <w:color w:val="000000"/>
          <w:lang w:eastAsia="zh-CN"/>
        </w:rPr>
        <w:t xml:space="preserve"> consider</w:t>
      </w:r>
      <w:r w:rsidR="00092428">
        <w:rPr>
          <w:color w:val="000000"/>
          <w:lang w:eastAsia="zh-CN"/>
        </w:rPr>
        <w:t>ed</w:t>
      </w:r>
      <w:r w:rsidRPr="00B93493">
        <w:rPr>
          <w:color w:val="000000"/>
          <w:lang w:eastAsia="zh-CN"/>
        </w:rPr>
        <w:t xml:space="preserve"> to be the most suitable for assessing sector level change is to use multipliers derived from Input-Output tables. Input-Output tables provide a complete picture of the flows of products and services within an economy for </w:t>
      </w:r>
      <w:r w:rsidRPr="00B93493">
        <w:rPr>
          <w:i/>
          <w:iCs/>
          <w:color w:val="000000"/>
          <w:lang w:eastAsia="zh-CN"/>
        </w:rPr>
        <w:t xml:space="preserve">all </w:t>
      </w:r>
      <w:r w:rsidRPr="00B93493">
        <w:rPr>
          <w:color w:val="000000"/>
          <w:lang w:eastAsia="zh-CN"/>
        </w:rPr>
        <w:t xml:space="preserve">sectors in an economy. Specifically, the tables detail the flows between various industries and also between industries and the final demand sector. Such linkages can then be used to estimate the extent to which any given industry contributes to the various final demand sectors. The main concept behind the multiplier is the recognition that the various sectors that make up an economy are interdependent. One can manipulate the Input-Output table to estimate different types of multipliers depending on whether there is an interest in output, employment or income effects. The constituent component of the multipliers is the Leontief Inverse matrix. This is derived from the symmetric industry-by-industry use matrix and shows how much of each industry’s output is required, in terms of direct and indirect requirements, to produce one unit of a given industry’s output. The output </w:t>
      </w:r>
      <w:r w:rsidRPr="00B93493">
        <w:rPr>
          <w:i/>
          <w:iCs/>
          <w:lang w:eastAsia="zh-CN"/>
        </w:rPr>
        <w:t xml:space="preserve">GDP Effects </w:t>
      </w:r>
      <w:r w:rsidRPr="00B93493">
        <w:rPr>
          <w:iCs/>
          <w:lang w:eastAsia="zh-CN"/>
        </w:rPr>
        <w:t xml:space="preserve">can be derived </w:t>
      </w:r>
      <w:r w:rsidRPr="00B93493">
        <w:rPr>
          <w:color w:val="000000"/>
          <w:lang w:eastAsia="zh-CN"/>
        </w:rPr>
        <w:t xml:space="preserve">from the Leontief inverse tables, and then use industry level output-employment ratios to determine employment effects. The estimates of employment and income thus derived are for gross employment rather than net new employment, i.e. the figures are over-estimated as they do not adjust for factors of production which might have been displaced from other productive uses. There is a range of beliefs regarding displacement effects, with a Treasury view that there are no net effects in the economy of the employment and output of a single firm or project. This view stems from the idea that, if a particular firm did not exist, others would have arisen in its place in the long run. Still, other studies have attempted to measure specific short-run displacement effects and these can be used to provide benchmark figures. </w:t>
      </w:r>
    </w:p>
    <w:p w14:paraId="661EA290" w14:textId="77777777" w:rsidR="00CF04BC" w:rsidRPr="00B93493" w:rsidRDefault="00CF04BC" w:rsidP="00CF04BC">
      <w:pPr>
        <w:pStyle w:val="Heading3"/>
      </w:pPr>
      <w:bookmarkStart w:id="1037" w:name="_Toc497033151"/>
      <w:bookmarkStart w:id="1038" w:name="_Toc392515851"/>
      <w:bookmarkStart w:id="1039" w:name="_Toc289933300"/>
      <w:bookmarkStart w:id="1040" w:name="_Toc289868786"/>
      <w:bookmarkStart w:id="1041" w:name="_Toc459793775"/>
      <w:bookmarkStart w:id="1042" w:name="_Toc459793917"/>
      <w:bookmarkStart w:id="1043" w:name="_Toc395503184"/>
      <w:bookmarkStart w:id="1044" w:name="_Toc289932254"/>
      <w:bookmarkStart w:id="1045" w:name="_Toc291852863"/>
      <w:bookmarkStart w:id="1046" w:name="_Toc394385993"/>
      <w:bookmarkStart w:id="1047" w:name="_Toc394386080"/>
      <w:bookmarkStart w:id="1048" w:name="_Toc459746675"/>
      <w:bookmarkStart w:id="1049" w:name="_Toc459970395"/>
      <w:bookmarkStart w:id="1050" w:name="_Toc462234011"/>
      <w:bookmarkStart w:id="1051" w:name="_Toc518394175"/>
      <w:bookmarkStart w:id="1052" w:name="_Toc289868946"/>
      <w:bookmarkStart w:id="1053" w:name="_Toc497033949"/>
      <w:bookmarkStart w:id="1054" w:name="_Toc459792608"/>
      <w:bookmarkStart w:id="1055" w:name="_Toc182391495"/>
      <w:bookmarkStart w:id="1056" w:name="_Toc182391906"/>
      <w:r w:rsidRPr="00B93493">
        <w:t>3.2.2</w:t>
      </w:r>
      <w:r w:rsidRPr="00B93493">
        <w:tab/>
        <w:t>Consumer and producer surplus</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404F5E08" w14:textId="77777777" w:rsidR="00CF04BC" w:rsidRPr="00B93493" w:rsidRDefault="00CF04BC" w:rsidP="005F1CA3">
      <w:r w:rsidRPr="00B93493">
        <w:t xml:space="preserve">Consumer surplus is a measure of the difference between what a customer is willing to pay and the actual price of the product. </w:t>
      </w:r>
      <w:r w:rsidRPr="00B93493">
        <w:rPr>
          <w:lang w:eastAsia="zh-CN"/>
        </w:rPr>
        <w:t>Consumer surplus was formally explained by Alfred Marshall in his Principles of Economics. It can be defined as the excess utility (or surplus) above the price actually paid. In Marshall’s words: “the price which a person pays for a thing can never exceed and seldom comes up to that which he would be willing to pay rather than go without it: so that the satisfaction which he gets from its purchase generally exceeds that which he gives up in paying away its price; and he thus derives from the purchase a surplus satisfaction. The excess of the price which he would be willing to pay rather than go without the thing, over that which he actually does pay, is the economic measure of this surplus satisfaction.”</w:t>
      </w:r>
    </w:p>
    <w:p w14:paraId="3FD72C14" w14:textId="77777777" w:rsidR="00CF04BC" w:rsidRPr="00B93493" w:rsidRDefault="00CF04BC" w:rsidP="005F1CA3">
      <w:r w:rsidRPr="00B93493">
        <w:t>To determine the consumer surplus for a service it is necessary to estimate its demand curve – a plot of the item price (y-axis) against the quantity sold (x-axis). The consumer surplus is then equal to the area between a horizontal line at the item price from zero to the quantity purchased and the demand curve. To estimate the demand curve</w:t>
      </w:r>
      <w:r>
        <w:rPr>
          <w:rFonts w:hint="eastAsia"/>
          <w:lang w:eastAsia="zh-CN"/>
        </w:rPr>
        <w:t>,</w:t>
      </w:r>
      <w:r w:rsidRPr="00B93493">
        <w:t xml:space="preserve"> it is important to have historical information on the service that covers several years. This information is not always available. If the service is new then there will be no historical information. Without sufficient data it is extremely difficult to estimate the demand curve and if the demand curve cannot be estimated then the consumer surplus cannot be calculated.</w:t>
      </w:r>
    </w:p>
    <w:p w14:paraId="3CC2C692" w14:textId="77777777" w:rsidR="00CF04BC" w:rsidRPr="00B93493" w:rsidRDefault="00CF04BC" w:rsidP="005F1CA3">
      <w:r w:rsidRPr="00B93493">
        <w:t xml:space="preserve">Producer surplus is the difference between what a producer actually earns and the amount it needs to earn to continue in business. </w:t>
      </w:r>
      <w:r w:rsidRPr="00B93493">
        <w:rPr>
          <w:lang w:eastAsia="zh-CN"/>
        </w:rPr>
        <w:t xml:space="preserve">Producer surplus is related to the consumer surplus. It can be defined as the revenue received by a supplier of any particular good or service over the minimum amount he would be willing to accept to maintain the same level of supply. </w:t>
      </w:r>
      <w:r w:rsidRPr="00B93493">
        <w:t>To determine the correct value of producer surplus, the performance of the business needs to be monitored over a substantial part of its lifetime. In practice this is difficult to achieve as it requires consistent historical data for established businesses and accurate estimates of future performance for new businesses.</w:t>
      </w:r>
    </w:p>
    <w:p w14:paraId="17489793" w14:textId="77777777" w:rsidR="00CF04BC" w:rsidRPr="00B93493" w:rsidRDefault="00CF04BC" w:rsidP="005F1CA3">
      <w:r w:rsidRPr="00B93493">
        <w:t>The total surplus arising from the use of radio would be equal to the summation of the consumer and producer surplus for each service.</w:t>
      </w:r>
    </w:p>
    <w:p w14:paraId="56EB8F49" w14:textId="3A4413E3" w:rsidR="00CF04BC" w:rsidRPr="00B93493" w:rsidRDefault="00CF04BC" w:rsidP="005F1CA3">
      <w:r w:rsidRPr="00B93493">
        <w:t>Consumer and producer surplus are presented graphically in the Fig. 1. The price of the item (p</w:t>
      </w:r>
      <w:r w:rsidRPr="00B93493">
        <w:rPr>
          <w:vertAlign w:val="subscript"/>
        </w:rPr>
        <w:t>x</w:t>
      </w:r>
      <w:r w:rsidRPr="00B93493">
        <w:t>) and the quantity (q</w:t>
      </w:r>
      <w:r w:rsidRPr="00B93493">
        <w:rPr>
          <w:vertAlign w:val="subscript"/>
        </w:rPr>
        <w:t>x</w:t>
      </w:r>
      <w:r w:rsidRPr="00B93493">
        <w:t>) of the item sold at price p</w:t>
      </w:r>
      <w:r w:rsidRPr="00B93493">
        <w:rPr>
          <w:vertAlign w:val="subscript"/>
        </w:rPr>
        <w:t>x</w:t>
      </w:r>
      <w:r w:rsidRPr="00B93493">
        <w:t xml:space="preserve"> are shown on their respective axes. Consumer surplus (CS) is shown as the area between the demand curve and the price level (triangle p</w:t>
      </w:r>
      <w:r w:rsidRPr="00B93493">
        <w:rPr>
          <w:vertAlign w:val="subscript"/>
        </w:rPr>
        <w:t>x</w:t>
      </w:r>
      <w:r w:rsidRPr="00B93493">
        <w:t>-x-d</w:t>
      </w:r>
      <w:r w:rsidRPr="00B93493">
        <w:rPr>
          <w:vertAlign w:val="subscript"/>
        </w:rPr>
        <w:t>i</w:t>
      </w:r>
      <w:r w:rsidRPr="00B93493">
        <w:t>). Producer surplus (PS) is shown as the area between the supply curve and the price level (triangle p</w:t>
      </w:r>
      <w:r w:rsidRPr="00B93493">
        <w:rPr>
          <w:vertAlign w:val="subscript"/>
        </w:rPr>
        <w:t>x</w:t>
      </w:r>
      <w:r w:rsidRPr="00B93493">
        <w:t>-x-s</w:t>
      </w:r>
      <w:r w:rsidRPr="00B93493">
        <w:rPr>
          <w:vertAlign w:val="subscript"/>
        </w:rPr>
        <w:t>i</w:t>
      </w:r>
      <w:r w:rsidRPr="00B93493">
        <w:t>).</w:t>
      </w:r>
    </w:p>
    <w:p w14:paraId="25E4B5CB" w14:textId="77777777" w:rsidR="00CF04BC" w:rsidRPr="00B93493" w:rsidRDefault="00CF04BC" w:rsidP="00CF04BC">
      <w:pPr>
        <w:pStyle w:val="FigureNo"/>
      </w:pPr>
      <w:r w:rsidRPr="00B93493">
        <w:t>FIGURE 1</w:t>
      </w:r>
    </w:p>
    <w:p w14:paraId="521EF128" w14:textId="77777777" w:rsidR="00CF04BC" w:rsidRPr="00B93493" w:rsidRDefault="00CF04BC" w:rsidP="00CF04BC">
      <w:pPr>
        <w:pStyle w:val="Figuretitle"/>
      </w:pPr>
      <w:r w:rsidRPr="00B93493">
        <w:t>Consumer and producer surplus</w:t>
      </w:r>
    </w:p>
    <w:p w14:paraId="08165F28" w14:textId="6A0AC7C4" w:rsidR="00CF04BC" w:rsidRPr="00B93493" w:rsidRDefault="00FF4406" w:rsidP="00CF04BC">
      <w:pPr>
        <w:pStyle w:val="Figure"/>
      </w:pPr>
      <w:r>
        <w:rPr>
          <w:noProof/>
        </w:rPr>
        <w:drawing>
          <wp:inline distT="0" distB="0" distL="0" distR="0" wp14:anchorId="054B1DAA" wp14:editId="52A287CB">
            <wp:extent cx="4826635" cy="5327650"/>
            <wp:effectExtent l="0" t="0" r="0" b="6350"/>
            <wp:docPr id="1620670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6635" cy="5327650"/>
                    </a:xfrm>
                    <a:prstGeom prst="rect">
                      <a:avLst/>
                    </a:prstGeom>
                    <a:noFill/>
                    <a:ln>
                      <a:noFill/>
                    </a:ln>
                  </pic:spPr>
                </pic:pic>
              </a:graphicData>
            </a:graphic>
          </wp:inline>
        </w:drawing>
      </w:r>
    </w:p>
    <w:p w14:paraId="5D4D29EB" w14:textId="77777777" w:rsidR="00CF04BC" w:rsidRPr="00B93493" w:rsidRDefault="00CF04BC" w:rsidP="00CF04BC">
      <w:pPr>
        <w:pStyle w:val="Heading3"/>
      </w:pPr>
      <w:bookmarkStart w:id="1057" w:name="_Toc459746676"/>
      <w:bookmarkStart w:id="1058" w:name="_Toc289868947"/>
      <w:bookmarkStart w:id="1059" w:name="_Toc291852864"/>
      <w:bookmarkStart w:id="1060" w:name="_Toc394385994"/>
      <w:bookmarkStart w:id="1061" w:name="_Toc459792609"/>
      <w:bookmarkStart w:id="1062" w:name="_Toc289868787"/>
      <w:bookmarkStart w:id="1063" w:name="_Toc289933301"/>
      <w:bookmarkStart w:id="1064" w:name="_Toc497033152"/>
      <w:bookmarkStart w:id="1065" w:name="_Toc459793918"/>
      <w:bookmarkStart w:id="1066" w:name="_Toc395503185"/>
      <w:bookmarkStart w:id="1067" w:name="_Toc459793776"/>
      <w:bookmarkStart w:id="1068" w:name="_Toc394386081"/>
      <w:bookmarkStart w:id="1069" w:name="_Toc518394176"/>
      <w:bookmarkStart w:id="1070" w:name="_Toc289932255"/>
      <w:bookmarkStart w:id="1071" w:name="_Toc459970396"/>
      <w:bookmarkStart w:id="1072" w:name="_Toc497033950"/>
      <w:bookmarkStart w:id="1073" w:name="_Toc392515852"/>
      <w:bookmarkStart w:id="1074" w:name="_Toc462234012"/>
      <w:bookmarkStart w:id="1075" w:name="_Toc182391496"/>
      <w:bookmarkStart w:id="1076" w:name="_Toc182391907"/>
      <w:r w:rsidRPr="00B93493">
        <w:t>3.2.3</w:t>
      </w:r>
      <w:r w:rsidRPr="00B93493">
        <w:tab/>
        <w:t>The link between economic and social benefits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744DF289" w14:textId="77777777" w:rsidR="00CF04BC" w:rsidRPr="00B93493" w:rsidRDefault="00CF04BC" w:rsidP="005F1CA3">
      <w:r w:rsidRPr="00B93493">
        <w:t>Some uses of the radio spectrum generate economic benefits but do not directly generate revenues. The economic benefits that the use of spectrum generates in such activities however, are not readily apparent. No clear or easily measurable financial values generally exist to directly quantify the magnitude of these benefits. Hence it may be assumed that economic analysis cannot account for these social benefits and can only account for such factors as the revenues and profits received by firms. This is not the case. A proper economic analysis considers benefits that do not directly generate revenues.</w:t>
      </w:r>
    </w:p>
    <w:p w14:paraId="6D5E6DA0" w14:textId="77777777" w:rsidR="00CF04BC" w:rsidRPr="00B93493" w:rsidRDefault="00CF04BC" w:rsidP="005F1CA3">
      <w:r w:rsidRPr="00B93493">
        <w:t>Examples of services providing social benefits include:</w:t>
      </w:r>
    </w:p>
    <w:p w14:paraId="5AA076B4" w14:textId="2C8313A4" w:rsidR="00CF04BC" w:rsidRPr="005F1CA3" w:rsidRDefault="005F1CA3" w:rsidP="005F1CA3">
      <w:pPr>
        <w:pStyle w:val="enumlev1"/>
      </w:pPr>
      <w:r>
        <w:t>–</w:t>
      </w:r>
      <w:r w:rsidR="00CF04BC" w:rsidRPr="005F1CA3">
        <w:tab/>
        <w:t>broadcasting – providing education, training, news and recreation;</w:t>
      </w:r>
    </w:p>
    <w:p w14:paraId="58F6C0AA" w14:textId="77777777" w:rsidR="00CF04BC" w:rsidRPr="005F1CA3" w:rsidRDefault="00CF04BC" w:rsidP="005F1CA3">
      <w:pPr>
        <w:pStyle w:val="enumlev1"/>
      </w:pPr>
      <w:r w:rsidRPr="005F1CA3">
        <w:t>–</w:t>
      </w:r>
      <w:r w:rsidRPr="005F1CA3">
        <w:tab/>
        <w:t>emergency services – providing a link to the police, accident and rescue services including disaster control facilities;</w:t>
      </w:r>
    </w:p>
    <w:p w14:paraId="0D4A1B78" w14:textId="77777777" w:rsidR="00CF04BC" w:rsidRPr="005F1CA3" w:rsidRDefault="00CF04BC" w:rsidP="005F1CA3">
      <w:pPr>
        <w:pStyle w:val="enumlev1"/>
      </w:pPr>
      <w:r w:rsidRPr="005F1CA3">
        <w:t>–</w:t>
      </w:r>
      <w:r w:rsidRPr="005F1CA3">
        <w:tab/>
        <w:t>personal services – home health care/nursing, home security for the elderly;</w:t>
      </w:r>
    </w:p>
    <w:p w14:paraId="6F0C78AC" w14:textId="77777777" w:rsidR="00CF04BC" w:rsidRPr="005F1CA3" w:rsidRDefault="00CF04BC" w:rsidP="005F1CA3">
      <w:pPr>
        <w:pStyle w:val="enumlev1"/>
      </w:pPr>
      <w:r w:rsidRPr="005F1CA3">
        <w:t>–</w:t>
      </w:r>
      <w:r w:rsidRPr="005F1CA3">
        <w:tab/>
        <w:t>research – meteorology, radio astronomy.</w:t>
      </w:r>
    </w:p>
    <w:p w14:paraId="4C7E5386" w14:textId="77777777" w:rsidR="00CF04BC" w:rsidRPr="005F1CA3" w:rsidRDefault="00CF04BC" w:rsidP="005F1CA3">
      <w:pPr>
        <w:pStyle w:val="Heading3"/>
      </w:pPr>
      <w:bookmarkStart w:id="1077" w:name="_Toc395503186"/>
      <w:bookmarkStart w:id="1078" w:name="_Toc459792610"/>
      <w:bookmarkStart w:id="1079" w:name="_Toc289932256"/>
      <w:bookmarkStart w:id="1080" w:name="_Toc459970397"/>
      <w:bookmarkStart w:id="1081" w:name="_Toc497033951"/>
      <w:bookmarkStart w:id="1082" w:name="_Toc289933302"/>
      <w:bookmarkStart w:id="1083" w:name="_Toc459793919"/>
      <w:bookmarkStart w:id="1084" w:name="_Toc394385995"/>
      <w:bookmarkStart w:id="1085" w:name="_Toc289868788"/>
      <w:bookmarkStart w:id="1086" w:name="_Toc497033153"/>
      <w:bookmarkStart w:id="1087" w:name="_Toc291852865"/>
      <w:bookmarkStart w:id="1088" w:name="_Toc459793777"/>
      <w:bookmarkStart w:id="1089" w:name="_Toc394386082"/>
      <w:bookmarkStart w:id="1090" w:name="_Toc289868948"/>
      <w:bookmarkStart w:id="1091" w:name="_Toc392515853"/>
      <w:bookmarkStart w:id="1092" w:name="_Toc459746677"/>
      <w:bookmarkStart w:id="1093" w:name="_Toc518394177"/>
      <w:bookmarkStart w:id="1094" w:name="_Toc462234013"/>
      <w:bookmarkStart w:id="1095" w:name="_Toc182391497"/>
      <w:bookmarkStart w:id="1096" w:name="_Toc182391908"/>
      <w:r w:rsidRPr="005F1CA3">
        <w:t>3.2.4</w:t>
      </w:r>
      <w:r w:rsidRPr="005F1CA3">
        <w:tab/>
        <w:t>Comparison of the methods for quantifying economic benefits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25570B08" w14:textId="77777777" w:rsidR="00CF04BC" w:rsidRPr="00B93493" w:rsidRDefault="00CF04BC" w:rsidP="005F1CA3">
      <w:r w:rsidRPr="00B93493">
        <w:t>Both methods produce an estimate of the contribution of radio to the economy of a country, but are based on different assumptions for treatment of the wider economic displacement. GDP and employment do not take account of the wider economic displacement. Consumer and producer surplus take full account of wider economic displacement. In addition, the two methods measure different aspects of the impact of radio usage on the economy of a country. GDP measures what has been paid and consumer surplus measures what consumers would be willing to pay. Both methods include producer surplus. Accordingly, the results cannot be added together.</w:t>
      </w:r>
    </w:p>
    <w:p w14:paraId="174EF319" w14:textId="77777777" w:rsidR="00CF04BC" w:rsidRPr="00B93493" w:rsidRDefault="00CF04BC" w:rsidP="005F1CA3">
      <w:r w:rsidRPr="00B93493">
        <w:t>Although both methods can be used, and are used in the United Kingdom, for showing the spectrum’s overall value to a country, it may be appropriate to select a method based on the application. GDP is better for assessing the value of multiple uses of radio within a country, or for comparison between individual uses/services, whereas consumer surplus provides more detailed information that may be used, for example, in determining licence fees or reserve auction prices. Comparison of the methods usually centres on the theoretical validity of the arguments and assumptions on which the particular methodology is based. However, it may be more realistic to review the methods based on the difficulty in obtaining data for analysis and the ease of comparison of the results with other economic data.</w:t>
      </w:r>
    </w:p>
    <w:p w14:paraId="4AD0BA9B" w14:textId="77777777" w:rsidR="00CF04BC" w:rsidRPr="005F1CA3" w:rsidRDefault="00CF04BC" w:rsidP="005F1CA3">
      <w:pPr>
        <w:pStyle w:val="Heading4"/>
      </w:pPr>
      <w:bookmarkStart w:id="1097" w:name="_Toc459793778"/>
      <w:bookmarkStart w:id="1098" w:name="_Toc497033154"/>
      <w:bookmarkStart w:id="1099" w:name="_Toc459746678"/>
      <w:bookmarkStart w:id="1100" w:name="_Toc459793920"/>
      <w:bookmarkStart w:id="1101" w:name="_Toc459792611"/>
      <w:bookmarkStart w:id="1102" w:name="_Toc497033952"/>
      <w:r w:rsidRPr="005F1CA3">
        <w:t>3.2.4.1</w:t>
      </w:r>
      <w:r w:rsidRPr="005F1CA3">
        <w:tab/>
        <w:t>Advantages and disadvantages of the GDP method</w:t>
      </w:r>
      <w:bookmarkEnd w:id="1097"/>
      <w:bookmarkEnd w:id="1098"/>
      <w:bookmarkEnd w:id="1099"/>
      <w:bookmarkEnd w:id="1100"/>
      <w:bookmarkEnd w:id="1101"/>
      <w:bookmarkEnd w:id="1102"/>
    </w:p>
    <w:p w14:paraId="4493B2CF" w14:textId="77777777" w:rsidR="00CF04BC" w:rsidRPr="00B93493" w:rsidRDefault="00CF04BC" w:rsidP="005F1CA3">
      <w:r w:rsidRPr="00B93493">
        <w:t>The advantage of the GDP method is that it shows the collective impact of those involved in the radio using sector and provision of intermediate goods to that sector. The information required for the calculations is available in companies’ financial reports and is easy to understand and compare with other areas of the economy which are represented in the same form. This enables funding (or investment) decisions to be compared using the same measures.</w:t>
      </w:r>
    </w:p>
    <w:p w14:paraId="713F9B9E" w14:textId="6570ED9A" w:rsidR="00CF04BC" w:rsidRPr="00B93493" w:rsidRDefault="00CF04BC" w:rsidP="005F1CA3">
      <w:r w:rsidRPr="00B93493">
        <w:t xml:space="preserve">The disadvantage of the GDP method is that it does not take proper account of the wider displacement effects and these may be considerable in a diverse and flexible economy. In the extreme, if all displacement effects are taken into consideration, the net benefit of the use of radio to the economy would simply equal the improvement in efficiency that radio provides. However, this approach assumes that the resources currently provided for radio can be easily diverted into other areas of the economy. This is not necessarily correct. Furthermore, the estimated contribution in GDP and employment may not include consequential improvements in associated businesses arising from improvements in their efficiency (e.g. cellular telephone user’s improved access to their business and clients) and may therefore lead to a more conservative estimate of GDP. The extent to which this </w:t>
      </w:r>
      <w:r w:rsidRPr="006E0151">
        <w:t>occurs will be dependent on the relationship between the use of radio and the original business (e.g.</w:t>
      </w:r>
      <w:r w:rsidRPr="00B93493">
        <w:t xml:space="preserve"> </w:t>
      </w:r>
      <w:r w:rsidRPr="00B34186">
        <w:t>is it a manufacturer of radio equipment, a service provider, a business using radio) and the type of service (</w:t>
      </w:r>
      <w:r w:rsidRPr="00E91654">
        <w:t>e.g.</w:t>
      </w:r>
      <w:r w:rsidRPr="00B34186">
        <w:t xml:space="preserve"> broadcasting, fixed links, PMR).</w:t>
      </w:r>
    </w:p>
    <w:p w14:paraId="3041F63C" w14:textId="77777777" w:rsidR="00CF04BC" w:rsidRPr="005F1CA3" w:rsidRDefault="00CF04BC" w:rsidP="005F1CA3">
      <w:pPr>
        <w:pStyle w:val="Heading4"/>
      </w:pPr>
      <w:bookmarkStart w:id="1103" w:name="_Toc459793779"/>
      <w:bookmarkStart w:id="1104" w:name="_Toc497033953"/>
      <w:bookmarkStart w:id="1105" w:name="_Toc497033155"/>
      <w:bookmarkStart w:id="1106" w:name="_Toc459746679"/>
      <w:bookmarkStart w:id="1107" w:name="_Toc459792612"/>
      <w:bookmarkStart w:id="1108" w:name="_Toc459793921"/>
      <w:r w:rsidRPr="005F1CA3">
        <w:t>3.2.4.2</w:t>
      </w:r>
      <w:r w:rsidRPr="005F1CA3">
        <w:tab/>
        <w:t>Advantages and disadvantages of consumer and producer surplus method</w:t>
      </w:r>
      <w:bookmarkEnd w:id="1103"/>
      <w:bookmarkEnd w:id="1104"/>
      <w:bookmarkEnd w:id="1105"/>
      <w:bookmarkEnd w:id="1106"/>
      <w:bookmarkEnd w:id="1107"/>
      <w:bookmarkEnd w:id="1108"/>
    </w:p>
    <w:p w14:paraId="6D901CC2" w14:textId="77777777" w:rsidR="00CF04BC" w:rsidRPr="00B93493" w:rsidRDefault="00CF04BC" w:rsidP="005F1CA3">
      <w:r w:rsidRPr="00B93493">
        <w:t>The advantage of the consumer and producer surplus method is that it accounts for the impact of the wider displacement effects, indicating the benefits of providing a service by radio against the best non-radio alternative to be shown. In addition, the demand and supply curves can be useful for displaying the costs and benefits of a particular use of radio.</w:t>
      </w:r>
    </w:p>
    <w:p w14:paraId="4CAC2AD3" w14:textId="77777777" w:rsidR="00CF04BC" w:rsidRPr="00B93493" w:rsidRDefault="00CF04BC" w:rsidP="005F1CA3">
      <w:r w:rsidRPr="00B93493">
        <w:t>The disadvantage of the consumer and producer surplus method is that the demand curve can be difficult and time consuming to determine. A separate demand curve has to be produced for each service studied and this can be onerous if the aim is to measure the consumer and producer surplus for all radio services across the entire economy. If the demand curve cannot be produced, then alternative methods based on different assumptions have to be used and these may distort the results. Finally, consumer surplus is not easily comparable with GDP.</w:t>
      </w:r>
    </w:p>
    <w:p w14:paraId="03F3AD4F" w14:textId="77777777" w:rsidR="00CF04BC" w:rsidRPr="005F1CA3" w:rsidRDefault="00CF04BC" w:rsidP="005F1CA3">
      <w:pPr>
        <w:pStyle w:val="Heading2"/>
      </w:pPr>
      <w:bookmarkStart w:id="1109" w:name="_Toc394385996"/>
      <w:bookmarkStart w:id="1110" w:name="_Toc395503187"/>
      <w:bookmarkStart w:id="1111" w:name="_Toc459793922"/>
      <w:bookmarkStart w:id="1112" w:name="_Toc497033156"/>
      <w:bookmarkStart w:id="1113" w:name="_Toc459746680"/>
      <w:bookmarkStart w:id="1114" w:name="_Toc518394178"/>
      <w:bookmarkStart w:id="1115" w:name="_Toc459970398"/>
      <w:bookmarkStart w:id="1116" w:name="_Toc394386083"/>
      <w:bookmarkStart w:id="1117" w:name="_Toc462234014"/>
      <w:bookmarkStart w:id="1118" w:name="_Toc459793780"/>
      <w:bookmarkStart w:id="1119" w:name="_Toc459792613"/>
      <w:bookmarkStart w:id="1120" w:name="_Toc289933303"/>
      <w:bookmarkStart w:id="1121" w:name="_Toc392515854"/>
      <w:bookmarkStart w:id="1122" w:name="_Toc289868789"/>
      <w:bookmarkStart w:id="1123" w:name="_Toc291852866"/>
      <w:bookmarkStart w:id="1124" w:name="_Toc289932257"/>
      <w:bookmarkStart w:id="1125" w:name="_Toc289868949"/>
      <w:bookmarkStart w:id="1126" w:name="_Toc497033954"/>
      <w:bookmarkStart w:id="1127" w:name="_Toc182391498"/>
      <w:bookmarkStart w:id="1128" w:name="_Toc182391909"/>
      <w:bookmarkStart w:id="1129" w:name="_Toc201822278"/>
      <w:r w:rsidRPr="005F1CA3">
        <w:t>3.3</w:t>
      </w:r>
      <w:r w:rsidRPr="005F1CA3">
        <w:tab/>
        <w:t>Potential uses for economic assessment</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364C5C35" w14:textId="77777777" w:rsidR="00CF04BC" w:rsidRPr="00B93493" w:rsidRDefault="00CF04BC" w:rsidP="005F1CA3">
      <w:r w:rsidRPr="00B93493">
        <w:t>In recent years changes in radiocommunications technology together with the increasing tendency for shorter development cycles, have increased the pressure on spectrum managers for quicker decisions on who and which technology should have access to the spectrum. In addition to these changes in radiocommunications technology, further pressure has been added by the liberalization of telecommunications which has resulted in a growing demand for radio spectrum access. The increasing demand for spectrum access, combined with spectrum managers’ difficulty in predicting which of several competing technologies and uses, will be successful and should therefore have access to the spectrum, is making the spectrum management process increasingly complex and time consuming. This can discourage investment, which can be especially detrimental when delays in providing spectrum access can make the difference between the success or failure of a new service. In addition, as demand has increased, the recurring spectrum management issues of achieving efficient spectral use and finding spectrum for the new services needed by society are becoming increasingly difficult to resolve for a number of countries. At the same time, governments’ awareness of the overall burden of rising public spending on the economy has tightened control on funding for all government activities.</w:t>
      </w:r>
    </w:p>
    <w:p w14:paraId="2A7A330C" w14:textId="77777777" w:rsidR="00CF04BC" w:rsidRPr="00B93493" w:rsidRDefault="00CF04BC" w:rsidP="005F1CA3">
      <w:r w:rsidRPr="00B93493">
        <w:t>Management of the radio spectrum has traditionally been based on regulation of this finite resource. However, due to the pressures on spectrum management and particularly where difficulty in providing sufficient spectrum is limiting or distorting competition, or where it is inhibiting development of the radio spectrum resource, several administrations have moved away from a strict regulatory approach and are either using, or are considering using, economic factors as part of their approach to spectrum management.</w:t>
      </w:r>
    </w:p>
    <w:p w14:paraId="2D052C60" w14:textId="77777777" w:rsidR="00CF04BC" w:rsidRPr="005F1CA3" w:rsidRDefault="00CF04BC" w:rsidP="005F1CA3">
      <w:pPr>
        <w:pStyle w:val="Heading3"/>
      </w:pPr>
      <w:bookmarkStart w:id="1130" w:name="_Toc497033955"/>
      <w:bookmarkStart w:id="1131" w:name="_Toc518394179"/>
      <w:bookmarkStart w:id="1132" w:name="_Toc462234015"/>
      <w:bookmarkStart w:id="1133" w:name="_Toc497033157"/>
      <w:bookmarkStart w:id="1134" w:name="_Toc459746681"/>
      <w:bookmarkStart w:id="1135" w:name="_Toc291852867"/>
      <w:bookmarkStart w:id="1136" w:name="_Toc289868790"/>
      <w:bookmarkStart w:id="1137" w:name="_Toc392515855"/>
      <w:bookmarkStart w:id="1138" w:name="_Toc459793923"/>
      <w:bookmarkStart w:id="1139" w:name="_Toc289868950"/>
      <w:bookmarkStart w:id="1140" w:name="_Toc289933304"/>
      <w:bookmarkStart w:id="1141" w:name="_Toc459970399"/>
      <w:bookmarkStart w:id="1142" w:name="_Toc395503188"/>
      <w:bookmarkStart w:id="1143" w:name="_Toc459793781"/>
      <w:bookmarkStart w:id="1144" w:name="_Toc394386084"/>
      <w:bookmarkStart w:id="1145" w:name="_Toc289932258"/>
      <w:bookmarkStart w:id="1146" w:name="_Toc394385997"/>
      <w:bookmarkStart w:id="1147" w:name="_Toc459792614"/>
      <w:bookmarkStart w:id="1148" w:name="_Toc182391499"/>
      <w:bookmarkStart w:id="1149" w:name="_Toc182391910"/>
      <w:r w:rsidRPr="005F1CA3">
        <w:t>3.3.1</w:t>
      </w:r>
      <w:r w:rsidRPr="005F1CA3">
        <w:tab/>
        <w:t>Applications for funding spectrum management activities</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3A84309F" w14:textId="77777777" w:rsidR="00CF04BC" w:rsidRPr="00B93493" w:rsidRDefault="00CF04BC" w:rsidP="005F1CA3">
      <w:r w:rsidRPr="00B93493">
        <w:t>Assessment of the economic benefits arising from the use of radio enables spectrum managers to demonstrate to the government that radiocommunications is not a self-contained industry, but is interwoven with other areas of a country’s economy. Representation in economic form allows radio’s contribution to the economy to be put in context with other areas of the economy. It also helps show the connection between spectrum management and radio’s benefit to the economy.</w:t>
      </w:r>
    </w:p>
    <w:p w14:paraId="7C4A241E" w14:textId="77777777" w:rsidR="00CF04BC" w:rsidRPr="005F1CA3" w:rsidRDefault="00CF04BC" w:rsidP="005F1CA3">
      <w:pPr>
        <w:pStyle w:val="Heading3"/>
      </w:pPr>
      <w:bookmarkStart w:id="1150" w:name="_Toc459793782"/>
      <w:bookmarkStart w:id="1151" w:name="_Toc289868791"/>
      <w:bookmarkStart w:id="1152" w:name="_Toc459792615"/>
      <w:bookmarkStart w:id="1153" w:name="_Toc289932259"/>
      <w:bookmarkStart w:id="1154" w:name="_Toc459746682"/>
      <w:bookmarkStart w:id="1155" w:name="_Toc394386085"/>
      <w:bookmarkStart w:id="1156" w:name="_Toc392515856"/>
      <w:bookmarkStart w:id="1157" w:name="_Toc395503189"/>
      <w:bookmarkStart w:id="1158" w:name="_Toc459970400"/>
      <w:bookmarkStart w:id="1159" w:name="_Toc394385998"/>
      <w:bookmarkStart w:id="1160" w:name="_Toc518394180"/>
      <w:bookmarkStart w:id="1161" w:name="_Toc459793924"/>
      <w:bookmarkStart w:id="1162" w:name="_Toc462234016"/>
      <w:bookmarkStart w:id="1163" w:name="_Toc289933305"/>
      <w:bookmarkStart w:id="1164" w:name="_Toc497033956"/>
      <w:bookmarkStart w:id="1165" w:name="_Toc497033158"/>
      <w:bookmarkStart w:id="1166" w:name="_Toc289868951"/>
      <w:bookmarkStart w:id="1167" w:name="_Toc291852868"/>
      <w:bookmarkStart w:id="1168" w:name="_Toc182391500"/>
      <w:bookmarkStart w:id="1169" w:name="_Toc182391911"/>
      <w:r w:rsidRPr="005F1CA3">
        <w:t>3.3.2</w:t>
      </w:r>
      <w:r w:rsidRPr="005F1CA3">
        <w:tab/>
        <w:t>National frequency assignment decisions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4358835E" w14:textId="77777777" w:rsidR="00CF04BC" w:rsidRPr="00B93493" w:rsidRDefault="00CF04BC" w:rsidP="005F1CA3">
      <w:r w:rsidRPr="00B93493">
        <w:t>Knowledge of the economic and social benefits that competing uses and the manner in which they are provided give spectrum managers information, in addition to the standard technical and operational assessments, that could be used to help make assignment decisions and maximize the economic benefits from the utilization of the radio spectrum.</w:t>
      </w:r>
    </w:p>
    <w:p w14:paraId="35B4795A" w14:textId="77777777" w:rsidR="00CF04BC" w:rsidRPr="00B93493" w:rsidRDefault="00CF04BC" w:rsidP="005F1CA3">
      <w:r w:rsidRPr="00B93493">
        <w:t>Economic benefits analysis can be used in a number of ways. It can show the impact of delays in introducing a new service, the relative benefits of different types of service, the economic benefits of introducing more spectrally efficient technology and the benefits from reassigning a frequency band to a new service or technology.</w:t>
      </w:r>
    </w:p>
    <w:p w14:paraId="67A0411E" w14:textId="77777777" w:rsidR="00CF04BC" w:rsidRPr="00B93493" w:rsidRDefault="00CF04BC" w:rsidP="005F1CA3">
      <w:r w:rsidRPr="00B93493">
        <w:t xml:space="preserve">Technical and operational factors are obviously essential in any assignment decision, for without efficient use of the spectrum, economic benefits cannot be maximized. For some assignment decisions cultural/social aspects may be another factor. However, economic benefits analysis also has a role to play in determining assignment decisions, as failure to give due weight to economic benefits in spectrum management decisions could impose substantial costs on the economy. </w:t>
      </w:r>
    </w:p>
    <w:p w14:paraId="09EF0A6C" w14:textId="77777777" w:rsidR="00CF04BC" w:rsidRPr="00B93493" w:rsidRDefault="00CF04BC" w:rsidP="005F1CA3">
      <w:r w:rsidRPr="00B93493">
        <w:t>The main advantage therefore of applying economic benefits analysis to assignment decisions, whether nationally or possibly internationally, is that it provides an analytical tool for optimizing the economic contribution made by radio. At present, perceptions of methodological difficulties may have meant that less emphasis is placed on benefits analysis than is warranted. As this Report shows, techniques are now available to estimate the economic benefits so that they can be taken into account.</w:t>
      </w:r>
    </w:p>
    <w:p w14:paraId="326F81A4" w14:textId="77777777" w:rsidR="00CF04BC" w:rsidRPr="005F1CA3" w:rsidRDefault="00CF04BC" w:rsidP="005F1CA3">
      <w:pPr>
        <w:pStyle w:val="Heading3"/>
      </w:pPr>
      <w:bookmarkStart w:id="1170" w:name="_Toc394386086"/>
      <w:bookmarkStart w:id="1171" w:name="_Toc394385999"/>
      <w:bookmarkStart w:id="1172" w:name="_Toc497033957"/>
      <w:bookmarkStart w:id="1173" w:name="_Toc459792616"/>
      <w:bookmarkStart w:id="1174" w:name="_Toc459793925"/>
      <w:bookmarkStart w:id="1175" w:name="_Toc459746683"/>
      <w:bookmarkStart w:id="1176" w:name="_Toc395503190"/>
      <w:bookmarkStart w:id="1177" w:name="_Toc497033159"/>
      <w:bookmarkStart w:id="1178" w:name="_Toc289868792"/>
      <w:bookmarkStart w:id="1179" w:name="_Toc459970401"/>
      <w:bookmarkStart w:id="1180" w:name="_Toc289868952"/>
      <w:bookmarkStart w:id="1181" w:name="_Toc289932260"/>
      <w:bookmarkStart w:id="1182" w:name="_Toc289933306"/>
      <w:bookmarkStart w:id="1183" w:name="_Toc291852869"/>
      <w:bookmarkStart w:id="1184" w:name="_Toc518394181"/>
      <w:bookmarkStart w:id="1185" w:name="_Toc459793783"/>
      <w:bookmarkStart w:id="1186" w:name="_Toc462234017"/>
      <w:bookmarkStart w:id="1187" w:name="_Toc392515857"/>
      <w:bookmarkStart w:id="1188" w:name="_Toc182391501"/>
      <w:bookmarkStart w:id="1189" w:name="_Toc182391912"/>
      <w:r w:rsidRPr="005F1CA3">
        <w:t>3.3.3</w:t>
      </w:r>
      <w:r w:rsidRPr="005F1CA3">
        <w:tab/>
        <w:t>Changes in spectrum management national legislation</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7ACD3117" w14:textId="77777777" w:rsidR="00CF04BC" w:rsidRPr="00B93493" w:rsidRDefault="00CF04BC" w:rsidP="005F1CA3">
      <w:r w:rsidRPr="00B93493">
        <w:t>For most administrations the provision of spectrum management is defined by legislation. This may limit changes in the way spectrum management can be provided, the way licences are issued and the type of support the spectrum management authority can receive from non-government organizations. Providing governments with justification for a change to legislation frequently requires assessment of the cost of implementation and the benefits the users and government will receive.</w:t>
      </w:r>
    </w:p>
    <w:p w14:paraId="2CE12842" w14:textId="77777777" w:rsidR="00CF04BC" w:rsidRPr="00B93493" w:rsidRDefault="00CF04BC" w:rsidP="005F1CA3">
      <w:r w:rsidRPr="00B93493">
        <w:t>Economic analysis enables the economic benefits from using radio to be put in context with other areas of the economy and possibly an estimate of the consequential change in economic benefits arising from the proposed change in legislation to be provided. This information can provide governments with more information on the impact of the proposed legislation and the importance of the legislative changes relative to both spectrum management and the wider economy. Hence it can be used in the determination of timescales for introduction of the proposed changes to the legislature.</w:t>
      </w:r>
    </w:p>
    <w:p w14:paraId="54D22AD7" w14:textId="77777777" w:rsidR="00CF04BC" w:rsidRPr="005F1CA3" w:rsidRDefault="00CF04BC" w:rsidP="005F1CA3">
      <w:pPr>
        <w:pStyle w:val="Heading3"/>
      </w:pPr>
      <w:bookmarkStart w:id="1190" w:name="_Toc394386087"/>
      <w:bookmarkStart w:id="1191" w:name="_Toc394386000"/>
      <w:bookmarkStart w:id="1192" w:name="_Toc459793926"/>
      <w:bookmarkStart w:id="1193" w:name="_Toc459746684"/>
      <w:bookmarkStart w:id="1194" w:name="_Toc459970402"/>
      <w:bookmarkStart w:id="1195" w:name="_Toc459792617"/>
      <w:bookmarkStart w:id="1196" w:name="_Toc289868953"/>
      <w:bookmarkStart w:id="1197" w:name="_Toc291852870"/>
      <w:bookmarkStart w:id="1198" w:name="_Toc497033958"/>
      <w:bookmarkStart w:id="1199" w:name="_Toc289933307"/>
      <w:bookmarkStart w:id="1200" w:name="_Toc518394182"/>
      <w:bookmarkStart w:id="1201" w:name="_Toc459793784"/>
      <w:bookmarkStart w:id="1202" w:name="_Toc497033160"/>
      <w:bookmarkStart w:id="1203" w:name="_Toc395503191"/>
      <w:bookmarkStart w:id="1204" w:name="_Toc289932261"/>
      <w:bookmarkStart w:id="1205" w:name="_Toc392515858"/>
      <w:bookmarkStart w:id="1206" w:name="_Toc289868793"/>
      <w:bookmarkStart w:id="1207" w:name="_Toc462234018"/>
      <w:bookmarkStart w:id="1208" w:name="_Toc182391502"/>
      <w:bookmarkStart w:id="1209" w:name="_Toc182391913"/>
      <w:r w:rsidRPr="005F1CA3">
        <w:t>3.3.4</w:t>
      </w:r>
      <w:r w:rsidRPr="005F1CA3">
        <w:tab/>
        <w:t>Support to the spectrum manager on the operation of auctions</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1DC26328" w14:textId="77777777" w:rsidR="00CF04BC" w:rsidRPr="00B93493" w:rsidRDefault="00CF04BC" w:rsidP="005F1CA3">
      <w:r w:rsidRPr="00B93493">
        <w:t>Auctions are widely acknowledged to be the best method for determining the value of the spectrum (see Chapter 2 for a full explanation of auctions). However, the success of auctions can be affected by a number of different parameters. These include administrative limitations on auctions, administrative limitations on the operation of the new service or frequency assignment, and technical limitations imposed on the new service or frequency assignment. This last case may include issues of interference from another national or international radio source, coverage area, etc.</w:t>
      </w:r>
    </w:p>
    <w:p w14:paraId="4562C255" w14:textId="77777777" w:rsidR="00CF04BC" w:rsidRPr="00B93493" w:rsidRDefault="00CF04BC" w:rsidP="005F1CA3">
      <w:r w:rsidRPr="00B93493">
        <w:t>Economic analysis can be used to provide an initial assessment of the value of the frequency assignment. This may be used to determine if there will be sufficient competition for the spectrum, to support spectrum managers in their evaluation of bidders business plans, or to provide a reserve price for the auction.</w:t>
      </w:r>
    </w:p>
    <w:p w14:paraId="78C617AF" w14:textId="77777777" w:rsidR="00CF04BC" w:rsidRPr="00B93493" w:rsidRDefault="00CF04BC" w:rsidP="005F1CA3">
      <w:r w:rsidRPr="00B93493">
        <w:t>A reserve price is a threshold value placed on a commodity by the owner that if not exceeded during the bidding process prevents the highest bidder winning the auction without the owner’s further consent. The reserve price is usually based on a percentage of the valuation of the item and is provided by either the auction house, or an expert in the field. Reserve prices are commonly used in many forms of auction, especially antiques and art.</w:t>
      </w:r>
    </w:p>
    <w:p w14:paraId="6287887D" w14:textId="77777777" w:rsidR="00CF04BC" w:rsidRPr="005F1CA3" w:rsidRDefault="00CF04BC" w:rsidP="005F1CA3">
      <w:pPr>
        <w:pStyle w:val="Heading3"/>
      </w:pPr>
      <w:bookmarkStart w:id="1210" w:name="_Toc462234019"/>
      <w:bookmarkStart w:id="1211" w:name="_Toc518394183"/>
      <w:bookmarkStart w:id="1212" w:name="_Toc394386088"/>
      <w:bookmarkStart w:id="1213" w:name="_Toc459746685"/>
      <w:bookmarkStart w:id="1214" w:name="_Toc289932262"/>
      <w:bookmarkStart w:id="1215" w:name="_Toc289933308"/>
      <w:bookmarkStart w:id="1216" w:name="_Toc392515859"/>
      <w:bookmarkStart w:id="1217" w:name="_Toc291852871"/>
      <w:bookmarkStart w:id="1218" w:name="_Toc394386001"/>
      <w:bookmarkStart w:id="1219" w:name="_Toc459970403"/>
      <w:bookmarkStart w:id="1220" w:name="_Toc459792618"/>
      <w:bookmarkStart w:id="1221" w:name="_Toc497033161"/>
      <w:bookmarkStart w:id="1222" w:name="_Toc459793927"/>
      <w:bookmarkStart w:id="1223" w:name="_Toc289868954"/>
      <w:bookmarkStart w:id="1224" w:name="_Toc459793785"/>
      <w:bookmarkStart w:id="1225" w:name="_Toc395503192"/>
      <w:bookmarkStart w:id="1226" w:name="_Toc497033959"/>
      <w:bookmarkStart w:id="1227" w:name="_Toc289868794"/>
      <w:bookmarkStart w:id="1228" w:name="_Toc182391503"/>
      <w:bookmarkStart w:id="1229" w:name="_Toc182391914"/>
      <w:r w:rsidRPr="005F1CA3">
        <w:t>3.3.5</w:t>
      </w:r>
      <w:r w:rsidRPr="005F1CA3">
        <w:tab/>
        <w:t>Using economic assessment to monitor economic performance over time</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048BFD41" w14:textId="29073D60" w:rsidR="00CF04BC" w:rsidRPr="00B93493" w:rsidRDefault="00CF04BC" w:rsidP="005F1CA3">
      <w:r w:rsidRPr="00B93493">
        <w:t>Assessment at periodic intervals of the economic benefits from the use of radio can be used to provide information on the economic performance of radio usage over of time. Monitoring this performance provides a better picture of the radio spectrum’s condition than a single assessment and can be used with licensing data to show trends and developments in spectrum use. This information may be linked to spectrum management decisions, (e.g. frequency assignments, changes in licensing conditions, introduction of new services) so that the impact of spectrum management decisions may be evaluated and their application modified as necessary. In this way any detrimental impact on users can be rectified, and ineffective decisions reviewed or revoked.</w:t>
      </w:r>
    </w:p>
    <w:p w14:paraId="097F51ED" w14:textId="77777777" w:rsidR="00CF04BC" w:rsidRPr="00B93493" w:rsidRDefault="00CF04BC" w:rsidP="005F1CA3">
      <w:r w:rsidRPr="00B93493">
        <w:t>For example, in the United Kingdom a follow-up study to the 1993/1994 economic Report has shown that radio’s contribution to GDP has increased by 11% per annum compared to the 3% for the rest of the economy and employment increased over the two-year period by 1</w:t>
      </w:r>
      <w:r w:rsidRPr="00B93493">
        <w:rPr>
          <w:rFonts w:ascii="Tms Rmn" w:hAnsi="Tms Rmn"/>
          <w:sz w:val="12"/>
        </w:rPr>
        <w:t> </w:t>
      </w:r>
      <w:r w:rsidRPr="00B93493">
        <w:t>000 jobs a week. Employment (see Note 1) due to the use of radio has increased by 110</w:t>
      </w:r>
      <w:r w:rsidRPr="00B93493">
        <w:rPr>
          <w:rFonts w:ascii="Tms Rmn" w:hAnsi="Tms Rmn"/>
          <w:sz w:val="12"/>
        </w:rPr>
        <w:t> </w:t>
      </w:r>
      <w:r w:rsidRPr="00B93493">
        <w:t>000 to 410</w:t>
      </w:r>
      <w:r w:rsidRPr="00B93493">
        <w:rPr>
          <w:rFonts w:ascii="Tms Rmn" w:hAnsi="Tms Rmn"/>
          <w:sz w:val="12"/>
        </w:rPr>
        <w:t> </w:t>
      </w:r>
      <w:r w:rsidRPr="00B93493">
        <w:t>000 an approximate increase of 36%. Although this increase is perhaps exaggerated by an underestimation of the employment figures in the previous study, it compares favourably with an increase of 485</w:t>
      </w:r>
      <w:r w:rsidRPr="00B93493">
        <w:rPr>
          <w:rFonts w:ascii="Tms Rmn" w:hAnsi="Tms Rmn"/>
          <w:sz w:val="12"/>
        </w:rPr>
        <w:t> </w:t>
      </w:r>
      <w:r w:rsidRPr="00B93493">
        <w:t>000 for the total economy over the same period. This study of economic performance will in future be repeated bi-annually.</w:t>
      </w:r>
    </w:p>
    <w:p w14:paraId="7476A41F" w14:textId="77777777" w:rsidR="00CF04BC" w:rsidRPr="005F1CA3" w:rsidRDefault="00CF04BC" w:rsidP="005F1CA3">
      <w:pPr>
        <w:pStyle w:val="Note"/>
      </w:pPr>
      <w:bookmarkStart w:id="1230" w:name="_Toc394386089"/>
      <w:bookmarkStart w:id="1231" w:name="_Toc459746686"/>
      <w:bookmarkStart w:id="1232" w:name="_Toc395503193"/>
      <w:bookmarkStart w:id="1233" w:name="_Toc459793928"/>
      <w:bookmarkStart w:id="1234" w:name="_Toc497033162"/>
      <w:bookmarkStart w:id="1235" w:name="_Toc459970404"/>
      <w:bookmarkStart w:id="1236" w:name="_Toc497033960"/>
      <w:bookmarkStart w:id="1237" w:name="_Toc459792619"/>
      <w:bookmarkStart w:id="1238" w:name="_Toc394386002"/>
      <w:bookmarkStart w:id="1239" w:name="_Toc459793786"/>
      <w:r w:rsidRPr="005F1CA3">
        <w:t>NOTE 1 – Employment due to the use of radio includes industries, or services, which use radio, but in which radio is not the primary product, e.g. taxi companies.</w:t>
      </w:r>
    </w:p>
    <w:p w14:paraId="06832DDB" w14:textId="77777777" w:rsidR="00CF04BC" w:rsidRPr="005F1CA3" w:rsidRDefault="00CF04BC" w:rsidP="005F1CA3">
      <w:pPr>
        <w:pStyle w:val="Heading2"/>
      </w:pPr>
      <w:bookmarkStart w:id="1240" w:name="_Toc518394184"/>
      <w:bookmarkStart w:id="1241" w:name="_Toc392515860"/>
      <w:bookmarkStart w:id="1242" w:name="_Toc289933309"/>
      <w:bookmarkStart w:id="1243" w:name="_Toc289868795"/>
      <w:bookmarkStart w:id="1244" w:name="_Toc289932263"/>
      <w:bookmarkStart w:id="1245" w:name="_Toc462234020"/>
      <w:bookmarkStart w:id="1246" w:name="_Toc289868955"/>
      <w:bookmarkStart w:id="1247" w:name="_Toc291852872"/>
      <w:bookmarkStart w:id="1248" w:name="_Toc182391504"/>
      <w:bookmarkStart w:id="1249" w:name="_Toc182391915"/>
      <w:bookmarkStart w:id="1250" w:name="_Toc201822279"/>
      <w:r w:rsidRPr="005F1CA3">
        <w:t>3.4</w:t>
      </w:r>
      <w:r w:rsidRPr="005F1CA3">
        <w:tab/>
        <w:t>Factors affecting benefits</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7182CFF2" w14:textId="77777777" w:rsidR="00CF04BC" w:rsidRPr="00B93493" w:rsidRDefault="00CF04BC" w:rsidP="005F1CA3">
      <w:r w:rsidRPr="00B93493">
        <w:t>This section examines a series of factors affecting the economic benefits that arise from the use of radio. It does not seek to quantify their impact; rather its purpose is to explain how these factors impact the national radiocommunications infrastructure, which in turn affects the value of economic benefits.</w:t>
      </w:r>
    </w:p>
    <w:p w14:paraId="42706941" w14:textId="77777777" w:rsidR="00CF04BC" w:rsidRPr="00B93493" w:rsidRDefault="00CF04BC" w:rsidP="005F1CA3">
      <w:r w:rsidRPr="00B93493">
        <w:t>The radiocommunications infrastructure is the combination of all existing radio systems operating in a country, the frequency allocations, individual frequency assignments, any necessary coordination agreements and the spare capacity in the spectrum that can be used by the existing radio technology.</w:t>
      </w:r>
    </w:p>
    <w:p w14:paraId="6D82C3A5" w14:textId="77777777" w:rsidR="00CF04BC" w:rsidRPr="00B93493" w:rsidRDefault="00CF04BC" w:rsidP="005F1CA3">
      <w:r w:rsidRPr="00B93493">
        <w:t>The benefits arising from the use of radio increase with the level of investment, increased usage and the introduction of new services and technologies. However</w:t>
      </w:r>
      <w:r>
        <w:rPr>
          <w:rFonts w:hint="eastAsia"/>
          <w:lang w:eastAsia="zh-CN"/>
        </w:rPr>
        <w:t>,</w:t>
      </w:r>
      <w:r w:rsidRPr="00B93493">
        <w:t xml:space="preserve"> the larger the investments and the more heavily developed the spectrum becomes, the less flexibility exists for introducing new services in the same band. Providing a balance between the contradictory requirements of increasing the use of the spectrum and retaining sufficient spectrum to meet future demand is an increasingly difficult problem, particularly in the lower frequency bands, and becomes more difficult as demand for spectrum access increases. The following sections review some of the information that characterizes the infrastructure. It should be noted that they apply equally to the entire country and its regions.</w:t>
      </w:r>
    </w:p>
    <w:p w14:paraId="4C987366" w14:textId="77777777" w:rsidR="00CF04BC" w:rsidRPr="005F1CA3" w:rsidRDefault="00CF04BC" w:rsidP="005F1CA3">
      <w:pPr>
        <w:pStyle w:val="Heading3"/>
      </w:pPr>
      <w:bookmarkStart w:id="1251" w:name="_Toc394386003"/>
      <w:bookmarkStart w:id="1252" w:name="_Toc497033961"/>
      <w:bookmarkStart w:id="1253" w:name="_Toc289868796"/>
      <w:bookmarkStart w:id="1254" w:name="_Toc459793787"/>
      <w:bookmarkStart w:id="1255" w:name="_Toc497033163"/>
      <w:bookmarkStart w:id="1256" w:name="_Toc518394185"/>
      <w:bookmarkStart w:id="1257" w:name="_Toc459792620"/>
      <w:bookmarkStart w:id="1258" w:name="_Toc395503194"/>
      <w:bookmarkStart w:id="1259" w:name="_Toc394386090"/>
      <w:bookmarkStart w:id="1260" w:name="_Toc289932264"/>
      <w:bookmarkStart w:id="1261" w:name="_Toc459970405"/>
      <w:bookmarkStart w:id="1262" w:name="_Toc289933310"/>
      <w:bookmarkStart w:id="1263" w:name="_Toc462234021"/>
      <w:bookmarkStart w:id="1264" w:name="_Toc392515861"/>
      <w:bookmarkStart w:id="1265" w:name="_Toc291852873"/>
      <w:bookmarkStart w:id="1266" w:name="_Toc289868956"/>
      <w:bookmarkStart w:id="1267" w:name="_Toc459746687"/>
      <w:bookmarkStart w:id="1268" w:name="_Toc459793929"/>
      <w:bookmarkStart w:id="1269" w:name="_Toc182391505"/>
      <w:bookmarkStart w:id="1270" w:name="_Toc182391916"/>
      <w:r w:rsidRPr="005F1CA3">
        <w:t>3.4.1</w:t>
      </w:r>
      <w:r w:rsidRPr="005F1CA3">
        <w:tab/>
        <w:t>Frequency availability</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0F8FDD9C" w14:textId="77777777" w:rsidR="00CF04BC" w:rsidRPr="00B93493" w:rsidRDefault="00CF04BC" w:rsidP="005F1CA3">
      <w:r w:rsidRPr="00B93493">
        <w:t>The ability of administrations to make frequencies available for use is a major factor in determining the economic benefits they can achieve. Availability of specific frequencies or frequency bands may affect the cost of implementing new radio systems, radio system viability and the number of users that can be accommodated. The more users that a frequency can accommodate, within agreed performance limits, the greater will be the potential economic benefits.</w:t>
      </w:r>
    </w:p>
    <w:p w14:paraId="1D355D13" w14:textId="77777777" w:rsidR="00CF04BC" w:rsidRPr="00B93493" w:rsidRDefault="00CF04BC" w:rsidP="005F1CA3">
      <w:r w:rsidRPr="00B93493">
        <w:t>Frequency availability is closely linked with coverage area and required bandwidth. The larger the coverage area the lower the frequency reuse in a given area. The wider the required channel bandwidth, the fewer channels can be fitted into a particular frequency band and the more spectrum denied to other users or uses. Coverage area is determined by many factors, e.g. transmitter power, antenna height, antenna pattern. Reducing the coverage area with improved antenna patterns or site shielding will increase frequency availability. By reducing the coverage area, the area denied to other users by those transmissions is also reduced.</w:t>
      </w:r>
    </w:p>
    <w:p w14:paraId="23406C9C" w14:textId="77777777" w:rsidR="00CF04BC" w:rsidRPr="005F1CA3" w:rsidRDefault="00CF04BC" w:rsidP="005F1CA3">
      <w:pPr>
        <w:pStyle w:val="Note"/>
      </w:pPr>
      <w:r w:rsidRPr="005F1CA3">
        <w:t>NOTE 1 – The area denied to other users is normally larger than the coverage area.</w:t>
      </w:r>
    </w:p>
    <w:p w14:paraId="799353D1" w14:textId="77777777" w:rsidR="00CF04BC" w:rsidRPr="005F1CA3" w:rsidRDefault="00CF04BC" w:rsidP="005F1CA3">
      <w:pPr>
        <w:pStyle w:val="Heading4"/>
      </w:pPr>
      <w:bookmarkStart w:id="1271" w:name="_Toc497033962"/>
      <w:bookmarkStart w:id="1272" w:name="_Toc459746688"/>
      <w:bookmarkStart w:id="1273" w:name="_Toc459792621"/>
      <w:bookmarkStart w:id="1274" w:name="_Toc459793930"/>
      <w:bookmarkStart w:id="1275" w:name="_Toc459793788"/>
      <w:bookmarkStart w:id="1276" w:name="_Toc497033164"/>
      <w:r w:rsidRPr="005F1CA3">
        <w:t>3.4.1.1</w:t>
      </w:r>
      <w:r w:rsidRPr="005F1CA3">
        <w:tab/>
        <w:t>Suitability</w:t>
      </w:r>
      <w:bookmarkEnd w:id="1271"/>
      <w:bookmarkEnd w:id="1272"/>
      <w:bookmarkEnd w:id="1273"/>
      <w:bookmarkEnd w:id="1274"/>
      <w:bookmarkEnd w:id="1275"/>
      <w:bookmarkEnd w:id="1276"/>
    </w:p>
    <w:p w14:paraId="24036D24" w14:textId="7370C488" w:rsidR="00CF04BC" w:rsidRPr="00B93493" w:rsidRDefault="00CF04BC" w:rsidP="00CF04BC">
      <w:r w:rsidRPr="00B93493">
        <w:t>Providing spectrum for a new service is not necessarily a question of finding a vacant block of frequencies. Apart from the variation in cost of equipment between different frequency bands, and the impact of propagation considerations, both of which may determine whether it is economically viable to operate a particular service, there are some services and applications that have a requirement for a particular frequency band. For example: temperature profiling and climatic monitoring have a specific need for the oxygen absorption lines around 60 GHz, whilst international broadcasting needs</w:t>
      </w:r>
      <w:r w:rsidR="005F1CA3">
        <w:t> </w:t>
      </w:r>
      <w:r w:rsidRPr="00B93493">
        <w:t>HF; neither of these services could make use of the other’s frequencies. In addition, the frequency band selected for a service may affect the structure of the system, cost of implementation and operation. Selecting the right frequency band will therefore determine the viability and hence the benefits the new service can provide.</w:t>
      </w:r>
    </w:p>
    <w:p w14:paraId="327ECD6E" w14:textId="77777777" w:rsidR="00CF04BC" w:rsidRPr="005F1CA3" w:rsidRDefault="00CF04BC" w:rsidP="005F1CA3">
      <w:pPr>
        <w:pStyle w:val="Heading3"/>
      </w:pPr>
      <w:bookmarkStart w:id="1277" w:name="_Toc392515862"/>
      <w:bookmarkStart w:id="1278" w:name="_Toc497033165"/>
      <w:bookmarkStart w:id="1279" w:name="_Toc518394186"/>
      <w:bookmarkStart w:id="1280" w:name="_Toc394386004"/>
      <w:bookmarkStart w:id="1281" w:name="_Toc459793931"/>
      <w:bookmarkStart w:id="1282" w:name="_Toc291852874"/>
      <w:bookmarkStart w:id="1283" w:name="_Toc289868797"/>
      <w:bookmarkStart w:id="1284" w:name="_Toc289933311"/>
      <w:bookmarkStart w:id="1285" w:name="_Toc462234022"/>
      <w:bookmarkStart w:id="1286" w:name="_Toc459792622"/>
      <w:bookmarkStart w:id="1287" w:name="_Toc459793789"/>
      <w:bookmarkStart w:id="1288" w:name="_Toc459746689"/>
      <w:bookmarkStart w:id="1289" w:name="_Toc497033963"/>
      <w:bookmarkStart w:id="1290" w:name="_Toc395503195"/>
      <w:bookmarkStart w:id="1291" w:name="_Toc394386091"/>
      <w:bookmarkStart w:id="1292" w:name="_Toc289868957"/>
      <w:bookmarkStart w:id="1293" w:name="_Toc459970406"/>
      <w:bookmarkStart w:id="1294" w:name="_Toc289932265"/>
      <w:bookmarkStart w:id="1295" w:name="_Toc182391506"/>
      <w:bookmarkStart w:id="1296" w:name="_Toc182391917"/>
      <w:r w:rsidRPr="005F1CA3">
        <w:t>3.4.2</w:t>
      </w:r>
      <w:r w:rsidRPr="005F1CA3">
        <w:tab/>
        <w:t>Demand</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459BB626" w14:textId="77777777" w:rsidR="00CF04BC" w:rsidRPr="00B93493" w:rsidRDefault="00CF04BC" w:rsidP="005F1CA3">
      <w:r w:rsidRPr="00B93493">
        <w:t>A country’s population and industry provide the demand for radio services. The viability of introducing services on a commercial basis (i.e. not State funded) throughout a country will depend on the level of that demand, unless there are specific requirements placed on the service provider (e.g. in the United Kingdom, some broadcasters and telephone service providers are obliged to provide universal coverage for certain services). The level of demand in a country is therefore probably the most important element in determining radio usage and together with the country’s geography, determines the shape of the radiocommunications infrastructure.</w:t>
      </w:r>
    </w:p>
    <w:p w14:paraId="01A7AAB2" w14:textId="77777777" w:rsidR="00CF04BC" w:rsidRPr="00B93493" w:rsidRDefault="00CF04BC" w:rsidP="005F1CA3">
      <w:pPr>
        <w:keepNext/>
        <w:keepLines/>
      </w:pPr>
      <w:r w:rsidRPr="00B93493">
        <w:t>A large population will normally provide the demand for the introduction of a wide variety of radio services, although it may not guarantee their viability. Although most communications are based on population centres, or areas of employment, that demand can also occur in relatively uninhabited areas e.g. major transport routes are not necessarily in major population centres. However</w:t>
      </w:r>
      <w:r>
        <w:rPr>
          <w:rFonts w:hint="eastAsia"/>
          <w:lang w:eastAsia="zh-CN"/>
        </w:rPr>
        <w:t>,</w:t>
      </w:r>
      <w:r w:rsidRPr="00B93493">
        <w:t xml:space="preserve"> it can normally be assumed that the greatest demand will occur in areas with the greatest population density and/or the highest economic activity. Conversely the lower the population density the lower the level of demand and the less competition the market will be able to support. This may lead to less variety and consequently higher costs for a particular service.</w:t>
      </w:r>
    </w:p>
    <w:p w14:paraId="184C2ECE" w14:textId="77777777" w:rsidR="00CF04BC" w:rsidRPr="005F1CA3" w:rsidRDefault="00CF04BC" w:rsidP="005F1CA3">
      <w:pPr>
        <w:pStyle w:val="Heading3"/>
      </w:pPr>
      <w:bookmarkStart w:id="1297" w:name="_Toc395503196"/>
      <w:bookmarkStart w:id="1298" w:name="_Toc459746690"/>
      <w:bookmarkStart w:id="1299" w:name="_Toc459970407"/>
      <w:bookmarkStart w:id="1300" w:name="_Toc394386092"/>
      <w:bookmarkStart w:id="1301" w:name="_Toc394386005"/>
      <w:bookmarkStart w:id="1302" w:name="_Toc497033166"/>
      <w:bookmarkStart w:id="1303" w:name="_Toc392515863"/>
      <w:bookmarkStart w:id="1304" w:name="_Toc289933312"/>
      <w:bookmarkStart w:id="1305" w:name="_Toc462234023"/>
      <w:bookmarkStart w:id="1306" w:name="_Toc289868958"/>
      <w:bookmarkStart w:id="1307" w:name="_Toc459792623"/>
      <w:bookmarkStart w:id="1308" w:name="_Toc459793790"/>
      <w:bookmarkStart w:id="1309" w:name="_Toc291852875"/>
      <w:bookmarkStart w:id="1310" w:name="_Toc459793932"/>
      <w:bookmarkStart w:id="1311" w:name="_Toc518394187"/>
      <w:bookmarkStart w:id="1312" w:name="_Toc289932266"/>
      <w:bookmarkStart w:id="1313" w:name="_Toc289868798"/>
      <w:bookmarkStart w:id="1314" w:name="_Toc497033964"/>
      <w:bookmarkStart w:id="1315" w:name="_Toc182391507"/>
      <w:bookmarkStart w:id="1316" w:name="_Toc182391918"/>
      <w:r w:rsidRPr="005F1CA3">
        <w:t>3.4.3</w:t>
      </w:r>
      <w:r w:rsidRPr="005F1CA3">
        <w:tab/>
        <w:t>The country’s geography</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3DAC5AE5" w14:textId="77777777" w:rsidR="00CF04BC" w:rsidRPr="00B93493" w:rsidRDefault="00CF04BC" w:rsidP="005F1CA3">
      <w:r w:rsidRPr="00B93493">
        <w:t>The geography of the country covers a number of separate items that can affect the benefits arising from the use of radio. These include the country’s size, its geographic shape, terrain structure, the number of countries within coordination distance and their radiocommunications infrastructure.</w:t>
      </w:r>
    </w:p>
    <w:p w14:paraId="1827E22A" w14:textId="77777777" w:rsidR="00CF04BC" w:rsidRPr="00B93493" w:rsidRDefault="00CF04BC" w:rsidP="005F1CA3">
      <w:r w:rsidRPr="00B93493">
        <w:t>Broadly this translates into: countries with many close neighbours are more likely to have to coordinate the majority of their radio systems and may therefore be more likely to fit their radiocommunications infrastructure around that of their neighbours. The more developed the neighbouring countries’ infrastructure the greater the difficulty there is likely to be in introducing new services. This may not be a big problem as countries with low population densities generally have smaller populations and hence make less demands on the spectrum. At the other end of the scale large countries have greater freedom to plan services above certain frequency bands without the need to resort to coordination. This freedom is increased if they have few neighbours. Those countries with no neighbours within the coordination distance for a specific frequency benefit from the fact that they have unrestricted access to this frequency everywhere within their borders.</w:t>
      </w:r>
    </w:p>
    <w:p w14:paraId="4D1C34AE" w14:textId="77777777" w:rsidR="00CF04BC" w:rsidRPr="00B93493" w:rsidRDefault="00CF04BC" w:rsidP="005F1CA3">
      <w:r w:rsidRPr="00B93493">
        <w:t>For the purpose of this Report, terrain structure includes mountain regions, dense woodland and desert. When combined with the other elements of the country’s geography and the population characteristics the terrain structure helps to determine which frequency bands may be the most appropriate for a particular service.</w:t>
      </w:r>
    </w:p>
    <w:p w14:paraId="4E1DE5BB" w14:textId="77777777" w:rsidR="00CF04BC" w:rsidRPr="005F1CA3" w:rsidRDefault="00CF04BC" w:rsidP="005F1CA3">
      <w:pPr>
        <w:pStyle w:val="Heading4"/>
      </w:pPr>
      <w:bookmarkStart w:id="1317" w:name="_Toc459746691"/>
      <w:bookmarkStart w:id="1318" w:name="_Toc459792624"/>
      <w:bookmarkStart w:id="1319" w:name="_Toc459793791"/>
      <w:bookmarkStart w:id="1320" w:name="_Toc459793933"/>
      <w:bookmarkStart w:id="1321" w:name="_Toc497033167"/>
      <w:bookmarkStart w:id="1322" w:name="_Toc497033965"/>
      <w:r w:rsidRPr="005F1CA3">
        <w:t>3.4.3.1</w:t>
      </w:r>
      <w:r w:rsidRPr="005F1CA3">
        <w:tab/>
        <w:t>Regional variations and spectrum congestion</w:t>
      </w:r>
      <w:bookmarkEnd w:id="1317"/>
      <w:bookmarkEnd w:id="1318"/>
      <w:bookmarkEnd w:id="1319"/>
      <w:bookmarkEnd w:id="1320"/>
      <w:bookmarkEnd w:id="1321"/>
      <w:bookmarkEnd w:id="1322"/>
    </w:p>
    <w:p w14:paraId="6C030DB3" w14:textId="77777777" w:rsidR="00CF04BC" w:rsidRPr="00B93493" w:rsidRDefault="00CF04BC" w:rsidP="005F1CA3">
      <w:r w:rsidRPr="00B93493">
        <w:t>A country’s geography and demand distribution can combine to provide a variation in the level of frequency availability across a country. The distribution of a country’s population equally across a country is extremely unlikely and the population tends to group in a number of population centres of varying sizes. In practice this grouping is beneficial to the provision of radio services; however, there comes a point where the level of demand can be disproportionate to the area in which it arises and this can cause frequency availability problems and eventually spectrum congestion. Spectrum congestion is a major problem for spectrum managers and cited by many administrations as one of the major factors in their consideration of moving to a spectrum pricing structure. The following example shows the impact of regional variations on spectrum demand.</w:t>
      </w:r>
    </w:p>
    <w:p w14:paraId="4C3172E7" w14:textId="741F59C9" w:rsidR="00CF04BC" w:rsidRPr="00B93493" w:rsidRDefault="00CF04BC" w:rsidP="005F1CA3">
      <w:r w:rsidRPr="00B93493">
        <w:t>In the United Kingdom some 25% of the population live in about 7% of the total land area, an area that includes two of the world’s busiest airports and is bounded by the world’s busiest shipping lane. This concentration of the population and industry creates high demand for all types of service (e.g. mobile, fixed, broadcasting, satellite, radionavigation) whilst at the same time placing considerable restraints on frequency reuse because of the short distance separation. In addition, despite being an island, the United Kingdom’s close proximity to neighbouring countries requires coordination in many frequency bands and places further limits on frequency availability. Public mobile telephone services have increased dramatically with increasing competition from new telecommunication operators, but the roll out of services is based on major centres of population and the prime road and rail links that connect them. Consequently</w:t>
      </w:r>
      <w:r>
        <w:rPr>
          <w:rFonts w:hint="eastAsia"/>
          <w:lang w:eastAsia="zh-CN"/>
        </w:rPr>
        <w:t>,</w:t>
      </w:r>
      <w:r w:rsidRPr="00B93493">
        <w:t xml:space="preserve"> there is a shortage of spectrum in some parts of the United Kingdom whilst in other areas this is not a problem. In areas like the South East of England there is congestion in many bands and a general shortage of available spectrum below</w:t>
      </w:r>
      <w:r w:rsidR="005F1CA3">
        <w:t> </w:t>
      </w:r>
      <w:r w:rsidRPr="00B93493">
        <w:t>25 GHz. In particular below 3 GHz there is a problem with spectrum availability for mobile services. The United Kingdom is therefore putting considerable effort into opening up the frequency bands above 30 GHz.</w:t>
      </w:r>
    </w:p>
    <w:p w14:paraId="2011F0E5" w14:textId="77777777" w:rsidR="00CF04BC" w:rsidRPr="00B93493" w:rsidRDefault="00CF04BC" w:rsidP="00CF04BC">
      <w:pPr>
        <w:pStyle w:val="Heading3"/>
      </w:pPr>
      <w:bookmarkStart w:id="1323" w:name="_Toc289933313"/>
      <w:bookmarkStart w:id="1324" w:name="_Toc459746692"/>
      <w:bookmarkStart w:id="1325" w:name="_Toc392515864"/>
      <w:bookmarkStart w:id="1326" w:name="_Toc289868959"/>
      <w:bookmarkStart w:id="1327" w:name="_Toc394386006"/>
      <w:bookmarkStart w:id="1328" w:name="_Toc459793792"/>
      <w:bookmarkStart w:id="1329" w:name="_Toc459793934"/>
      <w:bookmarkStart w:id="1330" w:name="_Toc459792625"/>
      <w:bookmarkStart w:id="1331" w:name="_Toc459970408"/>
      <w:bookmarkStart w:id="1332" w:name="_Toc289868799"/>
      <w:bookmarkStart w:id="1333" w:name="_Toc291852876"/>
      <w:bookmarkStart w:id="1334" w:name="_Toc394386093"/>
      <w:bookmarkStart w:id="1335" w:name="_Toc289932267"/>
      <w:bookmarkStart w:id="1336" w:name="_Toc497033168"/>
      <w:bookmarkStart w:id="1337" w:name="_Toc395503197"/>
      <w:bookmarkStart w:id="1338" w:name="_Toc462234024"/>
      <w:bookmarkStart w:id="1339" w:name="_Toc497033966"/>
      <w:bookmarkStart w:id="1340" w:name="_Toc518394188"/>
      <w:bookmarkStart w:id="1341" w:name="_Toc182391508"/>
      <w:bookmarkStart w:id="1342" w:name="_Toc182391919"/>
      <w:r w:rsidRPr="00B93493">
        <w:t>3.4.4</w:t>
      </w:r>
      <w:r w:rsidRPr="00B93493">
        <w:tab/>
        <w:t>Variation from country to country</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6B534706" w14:textId="77777777" w:rsidR="00CF04BC" w:rsidRPr="00B93493" w:rsidRDefault="00CF04BC" w:rsidP="00CF04BC">
      <w:r w:rsidRPr="00B93493">
        <w:t>The variation between countries is similar to the variation within a country except that it is generally on a larger scale but with some modifications and additional factors.</w:t>
      </w:r>
    </w:p>
    <w:p w14:paraId="74D8961B" w14:textId="77777777" w:rsidR="00CF04BC" w:rsidRPr="00B93493" w:rsidRDefault="00CF04BC" w:rsidP="00CF04BC">
      <w:pPr>
        <w:pStyle w:val="Heading4"/>
      </w:pPr>
      <w:bookmarkStart w:id="1343" w:name="_Toc459793935"/>
      <w:bookmarkStart w:id="1344" w:name="_Toc459793793"/>
      <w:bookmarkStart w:id="1345" w:name="_Toc497033169"/>
      <w:bookmarkStart w:id="1346" w:name="_Toc497033967"/>
      <w:bookmarkStart w:id="1347" w:name="_Toc459746693"/>
      <w:bookmarkStart w:id="1348" w:name="_Toc459792626"/>
      <w:r w:rsidRPr="00B93493">
        <w:t>3.4.4.1</w:t>
      </w:r>
      <w:r w:rsidRPr="00B93493">
        <w:tab/>
        <w:t>Frequency allocation</w:t>
      </w:r>
      <w:bookmarkEnd w:id="1343"/>
      <w:bookmarkEnd w:id="1344"/>
      <w:bookmarkEnd w:id="1345"/>
      <w:bookmarkEnd w:id="1346"/>
      <w:bookmarkEnd w:id="1347"/>
      <w:bookmarkEnd w:id="1348"/>
    </w:p>
    <w:p w14:paraId="34037D6D" w14:textId="77777777" w:rsidR="00CF04BC" w:rsidRPr="00B93493" w:rsidRDefault="00CF04BC" w:rsidP="00CF04BC">
      <w:r w:rsidRPr="00B93493">
        <w:t xml:space="preserve">Probably the most fundamental difference between countries will be in the allocation of frequencies </w:t>
      </w:r>
      <w:r w:rsidRPr="00B34186">
        <w:t xml:space="preserve">to services. This may arise through different allocations to countries between ITU Regions, footnotes </w:t>
      </w:r>
      <w:r w:rsidRPr="00E91654">
        <w:t>in RR Article 5</w:t>
      </w:r>
      <w:r w:rsidRPr="00B34186">
        <w:t xml:space="preserve"> and individual differences from </w:t>
      </w:r>
      <w:r w:rsidRPr="00E91654">
        <w:t>RR Article 5</w:t>
      </w:r>
      <w:r w:rsidRPr="00B34186">
        <w:t xml:space="preserve"> that have been coordinated between</w:t>
      </w:r>
      <w:r w:rsidRPr="00B93493">
        <w:t xml:space="preserve"> countries. These differences between countries may affect both Primary and Secondary allocations. These changes will primarily affect frequency availability and be subject to coordination agreements between individual countries.</w:t>
      </w:r>
    </w:p>
    <w:p w14:paraId="04EF7C91" w14:textId="77777777" w:rsidR="00CF04BC" w:rsidRPr="00B93493" w:rsidRDefault="00CF04BC" w:rsidP="00CF04BC">
      <w:pPr>
        <w:pStyle w:val="Heading4"/>
      </w:pPr>
      <w:bookmarkStart w:id="1349" w:name="_Toc497033968"/>
      <w:bookmarkStart w:id="1350" w:name="_Toc459793794"/>
      <w:bookmarkStart w:id="1351" w:name="_Toc459793936"/>
      <w:bookmarkStart w:id="1352" w:name="_Toc459792627"/>
      <w:bookmarkStart w:id="1353" w:name="_Toc497033170"/>
      <w:bookmarkStart w:id="1354" w:name="_Toc459746694"/>
      <w:r w:rsidRPr="00B93493">
        <w:t>3.4.4.2</w:t>
      </w:r>
      <w:r w:rsidRPr="00B93493">
        <w:tab/>
        <w:t>Regulatory approach and planning criteria</w:t>
      </w:r>
      <w:bookmarkEnd w:id="1349"/>
      <w:bookmarkEnd w:id="1350"/>
      <w:bookmarkEnd w:id="1351"/>
      <w:bookmarkEnd w:id="1352"/>
      <w:bookmarkEnd w:id="1353"/>
      <w:bookmarkEnd w:id="1354"/>
    </w:p>
    <w:p w14:paraId="728A8277" w14:textId="77777777" w:rsidR="00CF04BC" w:rsidRPr="00B93493" w:rsidRDefault="00CF04BC" w:rsidP="00CF04BC">
      <w:r w:rsidRPr="00B93493">
        <w:t>The spectrum management authorities may be subject to different legislative requirements and as a consequence have a different regulatory approach. In addition</w:t>
      </w:r>
      <w:r>
        <w:rPr>
          <w:rFonts w:hint="eastAsia"/>
          <w:lang w:eastAsia="zh-CN"/>
        </w:rPr>
        <w:t>,</w:t>
      </w:r>
      <w:r w:rsidRPr="00B93493">
        <w:t xml:space="preserve"> there are a number of factors that would normally be expected to vary between countries. These are spectrum management objectives, aims, frequency planning criteria, and operational requirements.</w:t>
      </w:r>
    </w:p>
    <w:p w14:paraId="46BC0D7C" w14:textId="77777777" w:rsidR="00CF04BC" w:rsidRPr="00B93493" w:rsidRDefault="00CF04BC" w:rsidP="00CF04BC">
      <w:pPr>
        <w:pStyle w:val="Heading3"/>
        <w:rPr>
          <w:lang w:eastAsia="fr-FR"/>
        </w:rPr>
      </w:pPr>
      <w:bookmarkStart w:id="1355" w:name="_Toc289868800"/>
      <w:bookmarkStart w:id="1356" w:name="_Toc462234025"/>
      <w:bookmarkStart w:id="1357" w:name="_Toc392515865"/>
      <w:bookmarkStart w:id="1358" w:name="_Toc291852877"/>
      <w:bookmarkStart w:id="1359" w:name="_Toc289932268"/>
      <w:bookmarkStart w:id="1360" w:name="_Toc289933314"/>
      <w:bookmarkStart w:id="1361" w:name="_Toc289868960"/>
      <w:bookmarkStart w:id="1362" w:name="_Toc518394189"/>
      <w:bookmarkStart w:id="1363" w:name="_Toc182391509"/>
      <w:bookmarkStart w:id="1364" w:name="_Toc182391920"/>
      <w:bookmarkStart w:id="1365" w:name="_Toc394386007"/>
      <w:bookmarkStart w:id="1366" w:name="_Toc394386094"/>
      <w:bookmarkStart w:id="1367" w:name="_Toc459793795"/>
      <w:bookmarkStart w:id="1368" w:name="_Toc459793937"/>
      <w:bookmarkStart w:id="1369" w:name="_Toc497033171"/>
      <w:bookmarkStart w:id="1370" w:name="_Toc459792628"/>
      <w:bookmarkStart w:id="1371" w:name="_Toc395503198"/>
      <w:bookmarkStart w:id="1372" w:name="_Toc459746695"/>
      <w:bookmarkStart w:id="1373" w:name="_Toc497033969"/>
      <w:bookmarkStart w:id="1374" w:name="_Toc459970409"/>
      <w:r w:rsidRPr="00B93493">
        <w:t>3.4.5</w:t>
      </w:r>
      <w:r w:rsidRPr="00B93493">
        <w:tab/>
      </w:r>
      <w:r w:rsidRPr="00B93493">
        <w:rPr>
          <w:lang w:eastAsia="fr-FR"/>
        </w:rPr>
        <w:t>Factors which may be taken into account in an international comparison of fee levels</w:t>
      </w:r>
      <w:bookmarkEnd w:id="1355"/>
      <w:bookmarkEnd w:id="1356"/>
      <w:bookmarkEnd w:id="1357"/>
      <w:bookmarkEnd w:id="1358"/>
      <w:bookmarkEnd w:id="1359"/>
      <w:bookmarkEnd w:id="1360"/>
      <w:bookmarkEnd w:id="1361"/>
      <w:bookmarkEnd w:id="1362"/>
      <w:bookmarkEnd w:id="1363"/>
      <w:bookmarkEnd w:id="1364"/>
    </w:p>
    <w:p w14:paraId="375E2A6F" w14:textId="77777777" w:rsidR="00CF04BC" w:rsidRPr="00B93493" w:rsidRDefault="00CF04BC" w:rsidP="001233AF">
      <w:pPr>
        <w:rPr>
          <w:lang w:eastAsia="fr-FR"/>
        </w:rPr>
      </w:pPr>
      <w:r w:rsidRPr="00B93493">
        <w:rPr>
          <w:lang w:eastAsia="fr-FR"/>
        </w:rPr>
        <w:t>The Spectrum Fees database contains details of the fees applied in a number of countries. In this connection, the question arises as to which fee levels to select and whether they can be used directly without modification or, “all other things being equal”, with an appropriate transposition prior to application.</w:t>
      </w:r>
    </w:p>
    <w:p w14:paraId="328EBCBE" w14:textId="77777777" w:rsidR="00CF04BC" w:rsidRPr="00B93493" w:rsidRDefault="00CF04BC" w:rsidP="001233AF">
      <w:pPr>
        <w:rPr>
          <w:lang w:eastAsia="fr-FR"/>
        </w:rPr>
      </w:pPr>
      <w:r w:rsidRPr="00B93493">
        <w:rPr>
          <w:lang w:eastAsia="fr-FR"/>
        </w:rPr>
        <w:t>In replying to this question, there is a need to conduct an analysis of the economic conditions surrounding licensed operations and, on the basis of that analysis, to draw up a (non-exhaustive) list of factors to be taken into account prior to transposing the fees applied by one of the countries in the database to another country.</w:t>
      </w:r>
    </w:p>
    <w:p w14:paraId="28EB8563" w14:textId="6B9345CE" w:rsidR="00CF04BC" w:rsidRPr="00B93493" w:rsidRDefault="006A469F" w:rsidP="001233AF">
      <w:pPr>
        <w:rPr>
          <w:lang w:eastAsia="fr-FR"/>
        </w:rPr>
      </w:pPr>
      <w:r>
        <w:rPr>
          <w:lang w:eastAsia="fr-FR"/>
        </w:rPr>
        <w:t>The analysis will be confined</w:t>
      </w:r>
      <w:r w:rsidR="00CF04BC" w:rsidRPr="00B93493">
        <w:rPr>
          <w:lang w:eastAsia="fr-FR"/>
        </w:rPr>
        <w:t xml:space="preserve"> to the case of those fees that are set administratively and applied to telecommunication operators having been authorized to use frequencies (i.e. licensed operators).</w:t>
      </w:r>
    </w:p>
    <w:p w14:paraId="6E6901ED" w14:textId="77777777" w:rsidR="00CF04BC" w:rsidRPr="00B93493" w:rsidRDefault="00CF04BC" w:rsidP="001233AF">
      <w:pPr>
        <w:rPr>
          <w:lang w:eastAsia="fr-FR"/>
        </w:rPr>
      </w:pPr>
      <w:r w:rsidRPr="00B93493">
        <w:rPr>
          <w:lang w:eastAsia="fr-FR"/>
        </w:rPr>
        <w:t xml:space="preserve">Some of the aforementioned factors may be taken as criteria for comparing the economic conditions under which licensed operations are conducted in the countries in question. This comparison should enable the administrations concerned to identify how to </w:t>
      </w:r>
      <w:r>
        <w:rPr>
          <w:rFonts w:hint="eastAsia"/>
          <w:lang w:eastAsia="zh-CN"/>
        </w:rPr>
        <w:t>a</w:t>
      </w:r>
      <w:r w:rsidRPr="00B93493">
        <w:rPr>
          <w:lang w:eastAsia="fr-FR"/>
        </w:rPr>
        <w:t>ffect the transposition on an economic basis.</w:t>
      </w:r>
    </w:p>
    <w:p w14:paraId="4D7BCE91" w14:textId="77777777" w:rsidR="00CF04BC" w:rsidRPr="001233AF" w:rsidRDefault="00CF04BC" w:rsidP="001233AF">
      <w:pPr>
        <w:pStyle w:val="Heading4"/>
      </w:pPr>
      <w:r w:rsidRPr="001233AF">
        <w:t>3.4.5.1</w:t>
      </w:r>
      <w:r w:rsidRPr="001233AF">
        <w:tab/>
        <w:t>Grounds for fees and their economic impact</w:t>
      </w:r>
    </w:p>
    <w:p w14:paraId="21B0790E" w14:textId="77777777" w:rsidR="00CF04BC" w:rsidRPr="00B93493" w:rsidRDefault="00CF04BC" w:rsidP="001233AF">
      <w:pPr>
        <w:rPr>
          <w:lang w:eastAsia="fr-FR"/>
        </w:rPr>
      </w:pPr>
      <w:r w:rsidRPr="00B93493">
        <w:rPr>
          <w:lang w:eastAsia="fr-FR"/>
        </w:rPr>
        <w:t>In most countries the radio-frequency spectrum lies in the State's public domain, and its use for commercial purposes constitutes private occupancy within that domain.</w:t>
      </w:r>
    </w:p>
    <w:p w14:paraId="0A20C28A" w14:textId="77777777" w:rsidR="00CF04BC" w:rsidRPr="00B93493" w:rsidRDefault="00CF04BC" w:rsidP="001233AF">
      <w:pPr>
        <w:rPr>
          <w:lang w:eastAsia="fr-FR"/>
        </w:rPr>
      </w:pPr>
      <w:r w:rsidRPr="00B93493">
        <w:rPr>
          <w:lang w:eastAsia="fr-FR"/>
        </w:rPr>
        <w:t>Such occupancy is therefore normally subject to the payment:</w:t>
      </w:r>
    </w:p>
    <w:p w14:paraId="25D3E14E" w14:textId="7D8EB0A8" w:rsidR="00CF04BC" w:rsidRPr="001233AF" w:rsidRDefault="001233AF" w:rsidP="001233AF">
      <w:pPr>
        <w:pStyle w:val="enumlev1"/>
      </w:pPr>
      <w:r>
        <w:t>–</w:t>
      </w:r>
      <w:r w:rsidR="00CF04BC" w:rsidRPr="001233AF">
        <w:tab/>
        <w:t>on the one hand, of a management fee calculated to cover the administrative costs of spectrum management (in the broad sense of the term, i.e. planning, domestic management and monitoring);</w:t>
      </w:r>
    </w:p>
    <w:p w14:paraId="4C773784" w14:textId="1AB271D2" w:rsidR="00CF04BC" w:rsidRPr="001233AF" w:rsidRDefault="001233AF" w:rsidP="001233AF">
      <w:pPr>
        <w:pStyle w:val="enumlev1"/>
      </w:pPr>
      <w:r>
        <w:t>–</w:t>
      </w:r>
      <w:r w:rsidR="00CF04BC" w:rsidRPr="001233AF">
        <w:tab/>
        <w:t>on the other hand, of a fee for provision of the frequencies, which must be in proportion to the benefits derived therefore by the recipient.</w:t>
      </w:r>
    </w:p>
    <w:p w14:paraId="1499960D" w14:textId="77777777" w:rsidR="00CF04BC" w:rsidRPr="00B93493" w:rsidRDefault="00CF04BC" w:rsidP="001233AF">
      <w:pPr>
        <w:rPr>
          <w:lang w:eastAsia="fr-FR"/>
        </w:rPr>
      </w:pPr>
      <w:r w:rsidRPr="00B93493">
        <w:rPr>
          <w:lang w:eastAsia="fr-FR"/>
        </w:rPr>
        <w:t>The benefits derived by a telecommunication operator from its spectrum occupancy may be evaluated by considering, among other things, its net operating result. From this standpoint, the fees associated with frequency usage and applied to an operator should thus be in relation to its net operating result.</w:t>
      </w:r>
    </w:p>
    <w:p w14:paraId="631E350E" w14:textId="77777777" w:rsidR="00CF04BC" w:rsidRPr="00B93493" w:rsidRDefault="00CF04BC" w:rsidP="001233AF">
      <w:pPr>
        <w:rPr>
          <w:lang w:eastAsia="fr-FR"/>
        </w:rPr>
      </w:pPr>
      <w:r w:rsidRPr="00B93493">
        <w:rPr>
          <w:lang w:eastAsia="fr-FR"/>
        </w:rPr>
        <w:t>From the economic and accounting standpoint, operators experience frequency usage fees as a tying up of resources and/or an operational cost which thus reduces their net operating result by a corresponding amount.</w:t>
      </w:r>
    </w:p>
    <w:p w14:paraId="18E64D1B" w14:textId="77777777" w:rsidR="00CF04BC" w:rsidRPr="00B93493" w:rsidRDefault="00CF04BC" w:rsidP="001233AF">
      <w:pPr>
        <w:rPr>
          <w:lang w:eastAsia="fr-FR"/>
        </w:rPr>
      </w:pPr>
      <w:r w:rsidRPr="00B93493">
        <w:rPr>
          <w:lang w:eastAsia="fr-FR"/>
        </w:rPr>
        <w:t>This is why, although the application of frequency usage fees is a legitimate approach, those fees must not be set too high in order not to discourage initiatives and hamper the development of new services. In any event, the level of the fees cannot exceed operator</w:t>
      </w:r>
      <w:r w:rsidRPr="00B93493">
        <w:t>’</w:t>
      </w:r>
      <w:r w:rsidRPr="00B93493">
        <w:rPr>
          <w:lang w:eastAsia="fr-FR"/>
        </w:rPr>
        <w:t>s propensity to pay.</w:t>
      </w:r>
    </w:p>
    <w:p w14:paraId="5628B151" w14:textId="77777777" w:rsidR="00CF04BC" w:rsidRPr="001233AF" w:rsidRDefault="00CF04BC" w:rsidP="001233AF">
      <w:pPr>
        <w:pStyle w:val="Heading4"/>
      </w:pPr>
      <w:r w:rsidRPr="001233AF">
        <w:t>3.4.5.2</w:t>
      </w:r>
      <w:r w:rsidRPr="001233AF">
        <w:tab/>
        <w:t>Economic conditions surrounding licensed operations</w:t>
      </w:r>
    </w:p>
    <w:p w14:paraId="72274637" w14:textId="77777777" w:rsidR="00CF04BC" w:rsidRPr="00B93493" w:rsidRDefault="00CF04BC" w:rsidP="001233AF">
      <w:pPr>
        <w:rPr>
          <w:lang w:eastAsia="fr-FR"/>
        </w:rPr>
      </w:pPr>
      <w:r w:rsidRPr="00B93493">
        <w:rPr>
          <w:lang w:eastAsia="fr-FR"/>
        </w:rPr>
        <w:t>An operator's net operating result comprises the difference between the total sale price of the goods and services marketed (turnover) and the total cost involved in acquiring those goods and services (operating costs).</w:t>
      </w:r>
    </w:p>
    <w:p w14:paraId="67BDAB5B" w14:textId="77777777" w:rsidR="00CF04BC" w:rsidRPr="00B93493" w:rsidRDefault="00CF04BC" w:rsidP="001233AF">
      <w:pPr>
        <w:rPr>
          <w:lang w:eastAsia="fr-FR"/>
        </w:rPr>
      </w:pPr>
      <w:r w:rsidRPr="00B93493">
        <w:rPr>
          <w:lang w:eastAsia="fr-FR"/>
        </w:rPr>
        <w:t>It goes without saying that the economic conditions under which licensed operations are conducted have an impact on both turnover and operating costs and thus have a bearing on the operator’s net result.</w:t>
      </w:r>
    </w:p>
    <w:p w14:paraId="7263BA2A" w14:textId="77777777" w:rsidR="00CF04BC" w:rsidRPr="00B93493" w:rsidRDefault="00CF04BC" w:rsidP="001233AF">
      <w:pPr>
        <w:rPr>
          <w:lang w:eastAsia="fr-FR"/>
        </w:rPr>
      </w:pPr>
      <w:r w:rsidRPr="00B93493">
        <w:rPr>
          <w:lang w:eastAsia="fr-FR"/>
        </w:rPr>
        <w:t>Thus, the more the operating conditions are favourable to operators, the greater their propensity to pay fees, and vice versa.</w:t>
      </w:r>
    </w:p>
    <w:p w14:paraId="76E9E3FA" w14:textId="77777777" w:rsidR="00CF04BC" w:rsidRPr="00B93493" w:rsidRDefault="00CF04BC" w:rsidP="001233AF">
      <w:pPr>
        <w:rPr>
          <w:lang w:eastAsia="fr-FR"/>
        </w:rPr>
      </w:pPr>
      <w:r w:rsidRPr="00B93493">
        <w:rPr>
          <w:lang w:eastAsia="fr-FR"/>
        </w:rPr>
        <w:t>It is therefore necessary to analyse and compare the economic conditions surrounding licensed operations in the countries under consideration.</w:t>
      </w:r>
    </w:p>
    <w:p w14:paraId="05DBDE71" w14:textId="77777777" w:rsidR="00CF04BC" w:rsidRPr="00B93493" w:rsidRDefault="00CF04BC" w:rsidP="001233AF">
      <w:pPr>
        <w:rPr>
          <w:lang w:eastAsia="fr-FR"/>
        </w:rPr>
      </w:pPr>
      <w:r w:rsidRPr="00B93493">
        <w:rPr>
          <w:lang w:eastAsia="fr-FR"/>
        </w:rPr>
        <w:t>Those conditions are determined by, among other things, the following factors.</w:t>
      </w:r>
    </w:p>
    <w:p w14:paraId="5EF148D3" w14:textId="77777777" w:rsidR="00CF04BC" w:rsidRPr="001233AF" w:rsidRDefault="00CF04BC" w:rsidP="001233AF">
      <w:pPr>
        <w:pStyle w:val="Headingb"/>
      </w:pPr>
      <w:bookmarkStart w:id="1375" w:name="_Toc454284857"/>
      <w:bookmarkStart w:id="1376" w:name="_Toc462234026"/>
      <w:r w:rsidRPr="001233AF">
        <w:t>a)</w:t>
      </w:r>
      <w:r w:rsidRPr="001233AF">
        <w:tab/>
        <w:t>Socio-economic factors in the countries under consideration</w:t>
      </w:r>
      <w:bookmarkEnd w:id="1375"/>
      <w:bookmarkEnd w:id="1376"/>
    </w:p>
    <w:p w14:paraId="6983B432" w14:textId="77777777" w:rsidR="00CF04BC" w:rsidRPr="00B93493" w:rsidRDefault="00CF04BC" w:rsidP="001233AF">
      <w:pPr>
        <w:rPr>
          <w:lang w:eastAsia="fr-FR"/>
        </w:rPr>
      </w:pPr>
      <w:r w:rsidRPr="00B93493">
        <w:rPr>
          <w:lang w:eastAsia="fr-FR"/>
        </w:rPr>
        <w:t>Factors to be covered by the analysis may include:</w:t>
      </w:r>
    </w:p>
    <w:p w14:paraId="7CA4D16E" w14:textId="51A11519" w:rsidR="00CF04BC" w:rsidRPr="001233AF" w:rsidRDefault="001233AF" w:rsidP="001233AF">
      <w:pPr>
        <w:pStyle w:val="enumlev1"/>
      </w:pPr>
      <w:r>
        <w:t>–</w:t>
      </w:r>
      <w:r w:rsidR="00CF04BC" w:rsidRPr="001233AF">
        <w:tab/>
        <w:t>GDP or GDP/inhabitant;</w:t>
      </w:r>
    </w:p>
    <w:p w14:paraId="5A035F0C" w14:textId="6B0DF8F9" w:rsidR="00CF04BC" w:rsidRPr="001233AF" w:rsidRDefault="001233AF" w:rsidP="001233AF">
      <w:pPr>
        <w:pStyle w:val="enumlev1"/>
      </w:pPr>
      <w:r>
        <w:t>–</w:t>
      </w:r>
      <w:r w:rsidR="00CF04BC" w:rsidRPr="001233AF">
        <w:tab/>
        <w:t>total population or population density;</w:t>
      </w:r>
    </w:p>
    <w:p w14:paraId="4E623363" w14:textId="0C0C07D2" w:rsidR="00CF04BC" w:rsidRPr="001233AF" w:rsidRDefault="001233AF" w:rsidP="001233AF">
      <w:pPr>
        <w:pStyle w:val="enumlev1"/>
      </w:pPr>
      <w:r>
        <w:t>–</w:t>
      </w:r>
      <w:r w:rsidR="00CF04BC" w:rsidRPr="001233AF">
        <w:tab/>
        <w:t>geographic distribution of the population (concentrated in a few areas, dispersed, …);</w:t>
      </w:r>
    </w:p>
    <w:p w14:paraId="285A499D" w14:textId="58638DD6" w:rsidR="00CF04BC" w:rsidRPr="001233AF" w:rsidRDefault="001233AF" w:rsidP="001233AF">
      <w:pPr>
        <w:pStyle w:val="enumlev1"/>
      </w:pPr>
      <w:r>
        <w:t>–</w:t>
      </w:r>
      <w:r w:rsidR="00CF04BC" w:rsidRPr="001233AF">
        <w:tab/>
        <w:t>the country’s size, relief (plains, mountains, …) and degree of insularity.</w:t>
      </w:r>
    </w:p>
    <w:p w14:paraId="2AC6CE0C" w14:textId="77777777" w:rsidR="00CF04BC" w:rsidRPr="001233AF" w:rsidRDefault="00CF04BC" w:rsidP="001233AF">
      <w:pPr>
        <w:pStyle w:val="Headingb"/>
      </w:pPr>
      <w:bookmarkStart w:id="1377" w:name="_Toc462234027"/>
      <w:bookmarkStart w:id="1378" w:name="_Toc454284858"/>
      <w:r w:rsidRPr="001233AF">
        <w:t>b)</w:t>
      </w:r>
      <w:r w:rsidRPr="001233AF">
        <w:tab/>
        <w:t>Characteristics of authorizations or licences allocated</w:t>
      </w:r>
      <w:bookmarkEnd w:id="1377"/>
      <w:bookmarkEnd w:id="1378"/>
    </w:p>
    <w:p w14:paraId="27DB7D2D" w14:textId="77777777" w:rsidR="00CF04BC" w:rsidRPr="00B93493" w:rsidRDefault="00CF04BC" w:rsidP="001233AF">
      <w:pPr>
        <w:rPr>
          <w:lang w:eastAsia="fr-FR"/>
        </w:rPr>
      </w:pPr>
      <w:r w:rsidRPr="00B93493">
        <w:rPr>
          <w:lang w:eastAsia="fr-FR"/>
        </w:rPr>
        <w:t>Particular attention may be focused on:</w:t>
      </w:r>
    </w:p>
    <w:p w14:paraId="2A5DE085" w14:textId="300F9E1D" w:rsidR="00CF04BC" w:rsidRPr="00B93493" w:rsidRDefault="001233AF" w:rsidP="00CF04BC">
      <w:pPr>
        <w:pStyle w:val="enumlev1"/>
        <w:rPr>
          <w:lang w:eastAsia="fr-FR"/>
        </w:rPr>
      </w:pPr>
      <w:r>
        <w:t>–</w:t>
      </w:r>
      <w:r w:rsidR="00CF04BC" w:rsidRPr="00B93493">
        <w:rPr>
          <w:lang w:eastAsia="fr-FR"/>
        </w:rPr>
        <w:tab/>
        <w:t>the licence period;</w:t>
      </w:r>
    </w:p>
    <w:p w14:paraId="6E7B187E" w14:textId="556597FE" w:rsidR="00CF04BC" w:rsidRPr="00B93493" w:rsidRDefault="001233AF" w:rsidP="00CF04BC">
      <w:pPr>
        <w:pStyle w:val="enumlev1"/>
        <w:rPr>
          <w:lang w:eastAsia="fr-FR"/>
        </w:rPr>
      </w:pPr>
      <w:r>
        <w:t>–</w:t>
      </w:r>
      <w:r w:rsidR="00CF04BC" w:rsidRPr="00B93493">
        <w:rPr>
          <w:lang w:eastAsia="fr-FR"/>
        </w:rPr>
        <w:tab/>
        <w:t>the stability of operating conditions;</w:t>
      </w:r>
    </w:p>
    <w:p w14:paraId="0367933C" w14:textId="04B148B5" w:rsidR="00CF04BC" w:rsidRPr="00B93493" w:rsidRDefault="001233AF" w:rsidP="00CF04BC">
      <w:pPr>
        <w:pStyle w:val="enumlev1"/>
        <w:rPr>
          <w:lang w:eastAsia="fr-FR"/>
        </w:rPr>
      </w:pPr>
      <w:r>
        <w:t>–</w:t>
      </w:r>
      <w:r w:rsidR="00CF04BC" w:rsidRPr="00B93493">
        <w:rPr>
          <w:lang w:eastAsia="fr-FR"/>
        </w:rPr>
        <w:tab/>
        <w:t>whether or not licences are renewable.</w:t>
      </w:r>
    </w:p>
    <w:p w14:paraId="37882935" w14:textId="77777777" w:rsidR="00CF04BC" w:rsidRPr="001233AF" w:rsidRDefault="00CF04BC" w:rsidP="001233AF">
      <w:pPr>
        <w:pStyle w:val="Headingb"/>
      </w:pPr>
      <w:bookmarkStart w:id="1379" w:name="_Toc462234028"/>
      <w:bookmarkStart w:id="1380" w:name="_Toc454284859"/>
      <w:r w:rsidRPr="001233AF">
        <w:t>c)</w:t>
      </w:r>
      <w:r w:rsidRPr="001233AF">
        <w:tab/>
        <w:t>Terms of reference of authorized operators</w:t>
      </w:r>
      <w:bookmarkEnd w:id="1379"/>
      <w:bookmarkEnd w:id="1380"/>
    </w:p>
    <w:p w14:paraId="7DA1A9DF" w14:textId="77777777" w:rsidR="00CF04BC" w:rsidRPr="00B93493" w:rsidRDefault="00CF04BC" w:rsidP="00CF04BC">
      <w:pPr>
        <w:rPr>
          <w:lang w:eastAsia="fr-FR"/>
        </w:rPr>
      </w:pPr>
      <w:r w:rsidRPr="00B93493">
        <w:rPr>
          <w:lang w:eastAsia="fr-FR"/>
        </w:rPr>
        <w:t>The obligations imposed on operators in their terms of reference and which thus increase their operating costs may relate to:</w:t>
      </w:r>
    </w:p>
    <w:p w14:paraId="3DFEC520" w14:textId="2847586C" w:rsidR="00CF04BC" w:rsidRPr="00B93493" w:rsidRDefault="001233AF" w:rsidP="00CF04BC">
      <w:pPr>
        <w:pStyle w:val="enumlev1"/>
      </w:pPr>
      <w:r>
        <w:t>–</w:t>
      </w:r>
      <w:r w:rsidR="00CF04BC" w:rsidRPr="00B93493">
        <w:tab/>
        <w:t>coverage of the territory in question;</w:t>
      </w:r>
    </w:p>
    <w:p w14:paraId="71DD32DD" w14:textId="6F909294" w:rsidR="00CF04BC" w:rsidRPr="00B93493" w:rsidRDefault="001233AF" w:rsidP="00CF04BC">
      <w:pPr>
        <w:pStyle w:val="enumlev1"/>
      </w:pPr>
      <w:r>
        <w:t>–</w:t>
      </w:r>
      <w:r w:rsidR="00CF04BC" w:rsidRPr="00B93493">
        <w:tab/>
        <w:t>quality of service;</w:t>
      </w:r>
    </w:p>
    <w:p w14:paraId="4DF54B1C" w14:textId="3E93CA5B" w:rsidR="00CF04BC" w:rsidRPr="00B93493" w:rsidRDefault="001233AF" w:rsidP="00CF04BC">
      <w:pPr>
        <w:pStyle w:val="enumlev1"/>
      </w:pPr>
      <w:r>
        <w:t>–</w:t>
      </w:r>
      <w:r w:rsidR="00CF04BC" w:rsidRPr="00B93493">
        <w:tab/>
        <w:t xml:space="preserve">participation in universal service; </w:t>
      </w:r>
    </w:p>
    <w:p w14:paraId="564F50B4" w14:textId="5C351BE4" w:rsidR="00CF04BC" w:rsidRPr="00B93493" w:rsidRDefault="001233AF" w:rsidP="00CF04BC">
      <w:pPr>
        <w:pStyle w:val="enumlev1"/>
      </w:pPr>
      <w:r>
        <w:t>–</w:t>
      </w:r>
      <w:r w:rsidR="00CF04BC" w:rsidRPr="00B93493">
        <w:tab/>
        <w:t>participation in research and development efforts in the telecommunication sphere;</w:t>
      </w:r>
    </w:p>
    <w:p w14:paraId="3BD7F9EF" w14:textId="516ABD74" w:rsidR="00CF04BC" w:rsidRPr="00B93493" w:rsidRDefault="001233AF" w:rsidP="00CF04BC">
      <w:pPr>
        <w:pStyle w:val="enumlev1"/>
      </w:pPr>
      <w:r>
        <w:t>–</w:t>
      </w:r>
      <w:r w:rsidR="00CF04BC" w:rsidRPr="00B93493">
        <w:tab/>
        <w:t>additional constraints (free calls to certain numbers, number portability, …).</w:t>
      </w:r>
    </w:p>
    <w:p w14:paraId="679C18EB" w14:textId="77777777" w:rsidR="00CF04BC" w:rsidRPr="002869B9" w:rsidRDefault="00CF04BC" w:rsidP="002869B9">
      <w:pPr>
        <w:pStyle w:val="Headingb"/>
      </w:pPr>
      <w:bookmarkStart w:id="1381" w:name="_Toc454284860"/>
      <w:bookmarkStart w:id="1382" w:name="_Toc462234029"/>
      <w:r w:rsidRPr="002869B9">
        <w:t>d)</w:t>
      </w:r>
      <w:r w:rsidRPr="002869B9">
        <w:tab/>
        <w:t>Comparison/transposition of fee levels</w:t>
      </w:r>
      <w:bookmarkEnd w:id="1381"/>
      <w:bookmarkEnd w:id="1382"/>
    </w:p>
    <w:p w14:paraId="6A74DA11" w14:textId="77777777" w:rsidR="00CF04BC" w:rsidRPr="00B93493" w:rsidRDefault="00CF04BC" w:rsidP="002869B9">
      <w:pPr>
        <w:rPr>
          <w:lang w:eastAsia="fr-FR"/>
        </w:rPr>
      </w:pPr>
      <w:r w:rsidRPr="00B93493">
        <w:rPr>
          <w:lang w:eastAsia="fr-FR"/>
        </w:rPr>
        <w:t>The table below describes the influence that the economic conditions surrounding licensed operations have on operator</w:t>
      </w:r>
      <w:r w:rsidRPr="00B93493">
        <w:t>’</w:t>
      </w:r>
      <w:r w:rsidRPr="00B93493">
        <w:rPr>
          <w:lang w:eastAsia="fr-FR"/>
        </w:rPr>
        <w:t>s propensity to pay fees.</w:t>
      </w:r>
    </w:p>
    <w:p w14:paraId="1FDEB131" w14:textId="77777777" w:rsidR="00CF04BC" w:rsidRPr="00B93493" w:rsidRDefault="00CF04BC" w:rsidP="002869B9">
      <w:pPr>
        <w:rPr>
          <w:lang w:eastAsia="fr-FR"/>
        </w:rPr>
      </w:pPr>
      <w:r w:rsidRPr="00B93493">
        <w:rPr>
          <w:lang w:eastAsia="fr-FR"/>
        </w:rPr>
        <w:t>It goes without saying that those factors which help to boost turnover will serve to increase that propensity, while those which add to operating costs will drive that propensity downwards.</w:t>
      </w:r>
    </w:p>
    <w:p w14:paraId="3D4077AC" w14:textId="77777777" w:rsidR="00CF04BC" w:rsidRPr="00B93493" w:rsidRDefault="00CF04BC" w:rsidP="00CF04BC">
      <w:pPr>
        <w:rPr>
          <w:lang w:eastAsia="fr-FR"/>
        </w:rPr>
      </w:pPr>
    </w:p>
    <w:p w14:paraId="6D3BD746" w14:textId="77777777" w:rsidR="00CF04BC" w:rsidRPr="00B93493" w:rsidRDefault="00CF04BC" w:rsidP="00CF04BC">
      <w:pPr>
        <w:rPr>
          <w:b/>
          <w:szCs w:val="24"/>
          <w:lang w:eastAsia="fr-FR"/>
        </w:rPr>
        <w:sectPr w:rsidR="00CF04BC" w:rsidRPr="00B93493" w:rsidSect="00216ACC">
          <w:headerReference w:type="even" r:id="rId17"/>
          <w:headerReference w:type="default" r:id="rId18"/>
          <w:footerReference w:type="default" r:id="rId19"/>
          <w:footerReference w:type="first" r:id="rId20"/>
          <w:pgSz w:w="11907" w:h="16834" w:code="9"/>
          <w:pgMar w:top="1418" w:right="1134" w:bottom="1134" w:left="1134" w:header="720" w:footer="482" w:gutter="0"/>
          <w:paperSrc w:first="15" w:other="15"/>
          <w:pgNumType w:start="1"/>
          <w:cols w:space="720"/>
          <w:titlePg/>
          <w:docGrid w:linePitch="326"/>
        </w:sectPr>
      </w:pPr>
    </w:p>
    <w:p w14:paraId="2BBE97CF" w14:textId="77777777" w:rsidR="00CF04BC" w:rsidRPr="00B93493" w:rsidRDefault="00CF04BC" w:rsidP="00CF04BC">
      <w:pPr>
        <w:pStyle w:val="TableNo"/>
      </w:pPr>
      <w:r w:rsidRPr="00B93493">
        <w:t>TABLE 1</w:t>
      </w:r>
    </w:p>
    <w:p w14:paraId="49D2B1F2" w14:textId="77777777" w:rsidR="00CF04BC" w:rsidRPr="00B93493" w:rsidRDefault="00CF04BC" w:rsidP="00CF04BC">
      <w:pPr>
        <w:pStyle w:val="Tabletitle"/>
        <w:rPr>
          <w:bCs/>
          <w:lang w:eastAsia="fr-FR"/>
        </w:rPr>
      </w:pPr>
      <w:r w:rsidRPr="00B93493">
        <w:rPr>
          <w:lang w:eastAsia="fr-FR"/>
        </w:rPr>
        <w:t xml:space="preserve">Factors which may be taken into </w:t>
      </w:r>
      <w:r w:rsidRPr="00B93493">
        <w:t>account</w:t>
      </w:r>
      <w:r w:rsidRPr="00B93493">
        <w:rPr>
          <w:lang w:eastAsia="fr-FR"/>
        </w:rPr>
        <w:t xml:space="preserve"> when comparing or transposing fee levels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6"/>
        <w:gridCol w:w="7233"/>
      </w:tblGrid>
      <w:tr w:rsidR="00CF04BC" w:rsidRPr="002869B9" w14:paraId="52AED7E5" w14:textId="77777777" w:rsidTr="002E7F54">
        <w:trPr>
          <w:jc w:val="center"/>
        </w:trPr>
        <w:tc>
          <w:tcPr>
            <w:tcW w:w="7226" w:type="dxa"/>
          </w:tcPr>
          <w:p w14:paraId="33017146" w14:textId="77777777" w:rsidR="00CF04BC" w:rsidRPr="002869B9" w:rsidRDefault="00CF04BC" w:rsidP="002869B9">
            <w:pPr>
              <w:pStyle w:val="Tablehead"/>
              <w:rPr>
                <w:sz w:val="20"/>
              </w:rPr>
            </w:pPr>
            <w:r w:rsidRPr="002869B9">
              <w:rPr>
                <w:sz w:val="20"/>
              </w:rPr>
              <w:t>Socio-economic factors in the countries under consideration</w:t>
            </w:r>
          </w:p>
        </w:tc>
        <w:tc>
          <w:tcPr>
            <w:tcW w:w="7233" w:type="dxa"/>
          </w:tcPr>
          <w:p w14:paraId="59635488" w14:textId="77777777" w:rsidR="00CF04BC" w:rsidRPr="002869B9" w:rsidRDefault="00CF04BC" w:rsidP="002869B9">
            <w:pPr>
              <w:pStyle w:val="Tablehead"/>
              <w:rPr>
                <w:sz w:val="20"/>
              </w:rPr>
            </w:pPr>
            <w:r w:rsidRPr="002869B9">
              <w:rPr>
                <w:sz w:val="20"/>
              </w:rPr>
              <w:t>Remarks</w:t>
            </w:r>
          </w:p>
        </w:tc>
      </w:tr>
      <w:tr w:rsidR="00CF04BC" w:rsidRPr="002869B9" w14:paraId="64059287" w14:textId="77777777" w:rsidTr="002869B9">
        <w:trPr>
          <w:jc w:val="center"/>
        </w:trPr>
        <w:tc>
          <w:tcPr>
            <w:tcW w:w="7226" w:type="dxa"/>
          </w:tcPr>
          <w:p w14:paraId="189D5B03" w14:textId="77777777" w:rsidR="00CF04BC" w:rsidRPr="002869B9" w:rsidRDefault="00CF04BC" w:rsidP="002869B9">
            <w:pPr>
              <w:pStyle w:val="Tabletext"/>
              <w:jc w:val="left"/>
              <w:rPr>
                <w:sz w:val="20"/>
              </w:rPr>
            </w:pPr>
            <w:r w:rsidRPr="002869B9">
              <w:rPr>
                <w:sz w:val="20"/>
              </w:rPr>
              <w:t>GDP or GDP/inhabitant</w:t>
            </w:r>
          </w:p>
        </w:tc>
        <w:tc>
          <w:tcPr>
            <w:tcW w:w="7233" w:type="dxa"/>
          </w:tcPr>
          <w:p w14:paraId="67B94E5D" w14:textId="77777777" w:rsidR="00CF04BC" w:rsidRPr="002869B9" w:rsidRDefault="00CF04BC" w:rsidP="002869B9">
            <w:pPr>
              <w:pStyle w:val="Tabletext"/>
              <w:jc w:val="left"/>
              <w:rPr>
                <w:sz w:val="20"/>
              </w:rPr>
            </w:pPr>
            <w:r w:rsidRPr="002869B9">
              <w:rPr>
                <w:sz w:val="20"/>
              </w:rPr>
              <w:t>Operator’s propensity to pay fees increases in line with GDP since the potential turnover increases with GDP.</w:t>
            </w:r>
          </w:p>
          <w:p w14:paraId="4B00428A" w14:textId="77777777" w:rsidR="00CF04BC" w:rsidRPr="002869B9" w:rsidRDefault="00CF04BC" w:rsidP="002869B9">
            <w:pPr>
              <w:pStyle w:val="Tabletext"/>
              <w:jc w:val="left"/>
              <w:rPr>
                <w:sz w:val="20"/>
              </w:rPr>
            </w:pPr>
            <w:r w:rsidRPr="002869B9">
              <w:rPr>
                <w:sz w:val="20"/>
              </w:rPr>
              <w:t>Remark: The existence of a countertrading system may result in a calculated GDP that is lower than actual GDP.</w:t>
            </w:r>
          </w:p>
        </w:tc>
      </w:tr>
      <w:tr w:rsidR="00CF04BC" w:rsidRPr="002869B9" w14:paraId="3CEF8A46" w14:textId="77777777" w:rsidTr="002869B9">
        <w:trPr>
          <w:jc w:val="center"/>
        </w:trPr>
        <w:tc>
          <w:tcPr>
            <w:tcW w:w="7226" w:type="dxa"/>
          </w:tcPr>
          <w:p w14:paraId="44D3428C" w14:textId="77777777" w:rsidR="00CF04BC" w:rsidRPr="002869B9" w:rsidRDefault="00CF04BC" w:rsidP="002869B9">
            <w:pPr>
              <w:pStyle w:val="Tabletext"/>
              <w:jc w:val="left"/>
              <w:rPr>
                <w:sz w:val="20"/>
              </w:rPr>
            </w:pPr>
            <w:r w:rsidRPr="002869B9">
              <w:rPr>
                <w:sz w:val="20"/>
              </w:rPr>
              <w:t>Total population; population density</w:t>
            </w:r>
          </w:p>
        </w:tc>
        <w:tc>
          <w:tcPr>
            <w:tcW w:w="7233" w:type="dxa"/>
          </w:tcPr>
          <w:p w14:paraId="77ACD836" w14:textId="77777777" w:rsidR="00CF04BC" w:rsidRPr="002869B9" w:rsidRDefault="00CF04BC" w:rsidP="002869B9">
            <w:pPr>
              <w:pStyle w:val="Tabletext"/>
              <w:jc w:val="left"/>
              <w:rPr>
                <w:sz w:val="20"/>
              </w:rPr>
            </w:pPr>
            <w:r w:rsidRPr="002869B9">
              <w:rPr>
                <w:sz w:val="20"/>
              </w:rPr>
              <w:t>Operator’s propensity to pay fees increases in line with population size since, generally speaking, the potential turnover increases with population size.</w:t>
            </w:r>
          </w:p>
        </w:tc>
      </w:tr>
      <w:tr w:rsidR="00CF04BC" w:rsidRPr="002869B9" w14:paraId="0B845597" w14:textId="77777777" w:rsidTr="002869B9">
        <w:trPr>
          <w:jc w:val="center"/>
        </w:trPr>
        <w:tc>
          <w:tcPr>
            <w:tcW w:w="7226" w:type="dxa"/>
          </w:tcPr>
          <w:p w14:paraId="4C98869B" w14:textId="77777777" w:rsidR="00CF04BC" w:rsidRPr="002869B9" w:rsidRDefault="00CF04BC" w:rsidP="002869B9">
            <w:pPr>
              <w:pStyle w:val="Tabletext"/>
              <w:jc w:val="left"/>
              <w:rPr>
                <w:sz w:val="20"/>
              </w:rPr>
            </w:pPr>
            <w:r w:rsidRPr="002869B9">
              <w:rPr>
                <w:sz w:val="20"/>
              </w:rPr>
              <w:t>Geographic distribution of the population (concentrated in a few areas, dispersed, ...)</w:t>
            </w:r>
          </w:p>
        </w:tc>
        <w:tc>
          <w:tcPr>
            <w:tcW w:w="7233" w:type="dxa"/>
          </w:tcPr>
          <w:p w14:paraId="1270C6B9" w14:textId="77777777" w:rsidR="00CF04BC" w:rsidRPr="002869B9" w:rsidRDefault="00CF04BC" w:rsidP="002869B9">
            <w:pPr>
              <w:pStyle w:val="Tabletext"/>
              <w:jc w:val="left"/>
              <w:rPr>
                <w:sz w:val="20"/>
              </w:rPr>
            </w:pPr>
            <w:r w:rsidRPr="002869B9">
              <w:rPr>
                <w:sz w:val="20"/>
              </w:rPr>
              <w:t>Operator’s propensity to pay fees increases with concentration since, generally speaking, the cost of network deployment decreases with concentration.</w:t>
            </w:r>
          </w:p>
        </w:tc>
      </w:tr>
      <w:tr w:rsidR="00CF04BC" w:rsidRPr="002869B9" w14:paraId="08936B4F" w14:textId="77777777" w:rsidTr="002869B9">
        <w:trPr>
          <w:jc w:val="center"/>
        </w:trPr>
        <w:tc>
          <w:tcPr>
            <w:tcW w:w="7226" w:type="dxa"/>
          </w:tcPr>
          <w:p w14:paraId="6ED4460A" w14:textId="77777777" w:rsidR="00CF04BC" w:rsidRPr="002869B9" w:rsidRDefault="00CF04BC" w:rsidP="002869B9">
            <w:pPr>
              <w:pStyle w:val="Tabletext"/>
              <w:jc w:val="left"/>
              <w:rPr>
                <w:sz w:val="20"/>
              </w:rPr>
            </w:pPr>
            <w:r w:rsidRPr="002869B9">
              <w:rPr>
                <w:sz w:val="20"/>
              </w:rPr>
              <w:t>Country size, relief and degree of insularity</w:t>
            </w:r>
          </w:p>
        </w:tc>
        <w:tc>
          <w:tcPr>
            <w:tcW w:w="7233" w:type="dxa"/>
          </w:tcPr>
          <w:p w14:paraId="608FD2B6" w14:textId="77777777" w:rsidR="00CF04BC" w:rsidRPr="002869B9" w:rsidRDefault="00CF04BC" w:rsidP="002869B9">
            <w:pPr>
              <w:pStyle w:val="Tabletext"/>
              <w:jc w:val="left"/>
              <w:rPr>
                <w:sz w:val="20"/>
              </w:rPr>
            </w:pPr>
            <w:r w:rsidRPr="002869B9">
              <w:rPr>
                <w:sz w:val="20"/>
              </w:rPr>
              <w:t>Operator’s propensity to pay fees decreases in line with the country’s size and relief since, generally speaking, the cost of network deployment increases in line with those parameters.</w:t>
            </w:r>
          </w:p>
        </w:tc>
      </w:tr>
      <w:tr w:rsidR="00CF04BC" w:rsidRPr="002869B9" w14:paraId="7E8B1144" w14:textId="77777777" w:rsidTr="002869B9">
        <w:trPr>
          <w:jc w:val="center"/>
        </w:trPr>
        <w:tc>
          <w:tcPr>
            <w:tcW w:w="14459" w:type="dxa"/>
            <w:gridSpan w:val="2"/>
          </w:tcPr>
          <w:p w14:paraId="1A886B5A" w14:textId="77777777" w:rsidR="00CF04BC" w:rsidRPr="002869B9" w:rsidRDefault="00CF04BC" w:rsidP="002869B9">
            <w:pPr>
              <w:pStyle w:val="Tabletext"/>
              <w:jc w:val="left"/>
              <w:rPr>
                <w:sz w:val="20"/>
              </w:rPr>
            </w:pPr>
            <w:r w:rsidRPr="002869B9">
              <w:rPr>
                <w:sz w:val="20"/>
              </w:rPr>
              <w:t>Characteristics of authorizations or licences</w:t>
            </w:r>
          </w:p>
        </w:tc>
      </w:tr>
      <w:tr w:rsidR="00CF04BC" w:rsidRPr="002869B9" w14:paraId="60616CE0" w14:textId="77777777" w:rsidTr="002869B9">
        <w:trPr>
          <w:jc w:val="center"/>
        </w:trPr>
        <w:tc>
          <w:tcPr>
            <w:tcW w:w="7226" w:type="dxa"/>
          </w:tcPr>
          <w:p w14:paraId="38225909" w14:textId="77777777" w:rsidR="00CF04BC" w:rsidRPr="002869B9" w:rsidRDefault="00CF04BC" w:rsidP="002869B9">
            <w:pPr>
              <w:pStyle w:val="Tabletext"/>
              <w:jc w:val="left"/>
              <w:rPr>
                <w:sz w:val="20"/>
              </w:rPr>
            </w:pPr>
            <w:r w:rsidRPr="002869B9">
              <w:rPr>
                <w:sz w:val="20"/>
              </w:rPr>
              <w:t>Period of validity of authorizations</w:t>
            </w:r>
          </w:p>
        </w:tc>
        <w:tc>
          <w:tcPr>
            <w:tcW w:w="7233" w:type="dxa"/>
          </w:tcPr>
          <w:p w14:paraId="18BE8783" w14:textId="77777777" w:rsidR="00CF04BC" w:rsidRPr="002869B9" w:rsidRDefault="00CF04BC" w:rsidP="002869B9">
            <w:pPr>
              <w:pStyle w:val="Tabletext"/>
              <w:jc w:val="left"/>
              <w:rPr>
                <w:sz w:val="20"/>
              </w:rPr>
            </w:pPr>
            <w:r w:rsidRPr="002869B9">
              <w:rPr>
                <w:sz w:val="20"/>
              </w:rPr>
              <w:t>Operator’s propensity to pay fees increases in line with the period of validity since equipment amortization is better assured and the final years of operation are generally far more profitable than the initial years.</w:t>
            </w:r>
          </w:p>
        </w:tc>
      </w:tr>
      <w:tr w:rsidR="00CF04BC" w:rsidRPr="002869B9" w14:paraId="791DF69A" w14:textId="77777777" w:rsidTr="002869B9">
        <w:trPr>
          <w:jc w:val="center"/>
        </w:trPr>
        <w:tc>
          <w:tcPr>
            <w:tcW w:w="7226" w:type="dxa"/>
          </w:tcPr>
          <w:p w14:paraId="149AC7BC" w14:textId="77777777" w:rsidR="00CF04BC" w:rsidRPr="002869B9" w:rsidRDefault="00CF04BC" w:rsidP="002869B9">
            <w:pPr>
              <w:pStyle w:val="Tabletext"/>
              <w:jc w:val="left"/>
              <w:rPr>
                <w:sz w:val="20"/>
              </w:rPr>
            </w:pPr>
            <w:r w:rsidRPr="002869B9">
              <w:rPr>
                <w:sz w:val="20"/>
              </w:rPr>
              <w:t>Stability of operating conditions</w:t>
            </w:r>
          </w:p>
        </w:tc>
        <w:tc>
          <w:tcPr>
            <w:tcW w:w="7233" w:type="dxa"/>
          </w:tcPr>
          <w:p w14:paraId="10ED4287" w14:textId="77777777" w:rsidR="00CF04BC" w:rsidRPr="002869B9" w:rsidRDefault="00CF04BC" w:rsidP="002869B9">
            <w:pPr>
              <w:pStyle w:val="Tabletext"/>
              <w:jc w:val="left"/>
              <w:rPr>
                <w:sz w:val="20"/>
              </w:rPr>
            </w:pPr>
            <w:r w:rsidRPr="002869B9">
              <w:rPr>
                <w:sz w:val="20"/>
              </w:rPr>
              <w:t>Operator’s propensity to pay fees increases in line with the level of stability since instability leads operators to cover themselves against the inherent risks.</w:t>
            </w:r>
          </w:p>
        </w:tc>
      </w:tr>
      <w:tr w:rsidR="00CF04BC" w:rsidRPr="002869B9" w14:paraId="5F1A540F" w14:textId="77777777" w:rsidTr="002869B9">
        <w:trPr>
          <w:jc w:val="center"/>
        </w:trPr>
        <w:tc>
          <w:tcPr>
            <w:tcW w:w="7226" w:type="dxa"/>
          </w:tcPr>
          <w:p w14:paraId="0D8A6FAE" w14:textId="77777777" w:rsidR="00CF04BC" w:rsidRPr="002869B9" w:rsidRDefault="00CF04BC" w:rsidP="002869B9">
            <w:pPr>
              <w:pStyle w:val="Tabletext"/>
              <w:jc w:val="left"/>
              <w:rPr>
                <w:sz w:val="20"/>
              </w:rPr>
            </w:pPr>
            <w:r w:rsidRPr="002869B9">
              <w:rPr>
                <w:sz w:val="20"/>
              </w:rPr>
              <w:t>Renewability of authorizations</w:t>
            </w:r>
          </w:p>
        </w:tc>
        <w:tc>
          <w:tcPr>
            <w:tcW w:w="7233" w:type="dxa"/>
          </w:tcPr>
          <w:p w14:paraId="12EB11E6" w14:textId="77777777" w:rsidR="00CF04BC" w:rsidRPr="002869B9" w:rsidRDefault="00CF04BC" w:rsidP="002869B9">
            <w:pPr>
              <w:pStyle w:val="Tabletext"/>
              <w:jc w:val="left"/>
              <w:rPr>
                <w:sz w:val="20"/>
              </w:rPr>
            </w:pPr>
            <w:r w:rsidRPr="002869B9">
              <w:rPr>
                <w:sz w:val="20"/>
              </w:rPr>
              <w:t>The influence of this factor is similar to that of the period of validity.</w:t>
            </w:r>
          </w:p>
        </w:tc>
      </w:tr>
      <w:tr w:rsidR="00CF04BC" w:rsidRPr="002869B9" w14:paraId="75E5A6F2" w14:textId="77777777" w:rsidTr="002869B9">
        <w:trPr>
          <w:jc w:val="center"/>
        </w:trPr>
        <w:tc>
          <w:tcPr>
            <w:tcW w:w="14459" w:type="dxa"/>
            <w:gridSpan w:val="2"/>
          </w:tcPr>
          <w:p w14:paraId="1017A370" w14:textId="77777777" w:rsidR="00CF04BC" w:rsidRPr="002869B9" w:rsidRDefault="00CF04BC" w:rsidP="002869B9">
            <w:pPr>
              <w:pStyle w:val="Tabletext"/>
              <w:jc w:val="left"/>
              <w:rPr>
                <w:sz w:val="20"/>
              </w:rPr>
            </w:pPr>
            <w:r w:rsidRPr="002869B9">
              <w:rPr>
                <w:sz w:val="20"/>
              </w:rPr>
              <w:t>Content of authorized operator terms of reference</w:t>
            </w:r>
          </w:p>
        </w:tc>
      </w:tr>
      <w:tr w:rsidR="00CF04BC" w:rsidRPr="002869B9" w14:paraId="0610258B" w14:textId="77777777" w:rsidTr="002869B9">
        <w:trPr>
          <w:jc w:val="center"/>
        </w:trPr>
        <w:tc>
          <w:tcPr>
            <w:tcW w:w="7226" w:type="dxa"/>
          </w:tcPr>
          <w:p w14:paraId="06429903" w14:textId="77777777" w:rsidR="00CF04BC" w:rsidRPr="002869B9" w:rsidRDefault="00CF04BC" w:rsidP="002869B9">
            <w:pPr>
              <w:pStyle w:val="Tabletext"/>
              <w:jc w:val="left"/>
              <w:rPr>
                <w:sz w:val="20"/>
              </w:rPr>
            </w:pPr>
            <w:r w:rsidRPr="002869B9">
              <w:rPr>
                <w:sz w:val="20"/>
              </w:rPr>
              <w:t>Coverage of the territory in question</w:t>
            </w:r>
          </w:p>
        </w:tc>
        <w:tc>
          <w:tcPr>
            <w:tcW w:w="7233" w:type="dxa"/>
            <w:vMerge w:val="restart"/>
          </w:tcPr>
          <w:p w14:paraId="43F4CEBF" w14:textId="77777777" w:rsidR="00CF04BC" w:rsidRPr="002869B9" w:rsidRDefault="00CF04BC" w:rsidP="002869B9">
            <w:pPr>
              <w:pStyle w:val="Tabletext"/>
              <w:jc w:val="left"/>
              <w:rPr>
                <w:sz w:val="20"/>
              </w:rPr>
            </w:pPr>
            <w:r w:rsidRPr="002869B9">
              <w:rPr>
                <w:sz w:val="20"/>
              </w:rPr>
              <w:t>The inclusion of such obligations in the terms of reference increases the operating costs in line with the degree to which they are mandatory and has a corresponding negative effect on operator’s propensity to pay.</w:t>
            </w:r>
          </w:p>
          <w:p w14:paraId="21AC5A3E" w14:textId="77777777" w:rsidR="00CF04BC" w:rsidRPr="002869B9" w:rsidRDefault="00CF04BC" w:rsidP="002869B9">
            <w:pPr>
              <w:pStyle w:val="Tabletext"/>
              <w:jc w:val="left"/>
              <w:rPr>
                <w:sz w:val="20"/>
              </w:rPr>
            </w:pPr>
            <w:r w:rsidRPr="002869B9">
              <w:rPr>
                <w:sz w:val="20"/>
              </w:rPr>
              <w:t>In order to make a detailed comparison, it would be necessary to analyse the degree to which each such obligation is mandatory, taking particular account of the following:</w:t>
            </w:r>
          </w:p>
          <w:p w14:paraId="6C0EC2BB" w14:textId="472C67FB" w:rsidR="00CF04BC" w:rsidRPr="002869B9" w:rsidRDefault="002869B9" w:rsidP="002869B9">
            <w:pPr>
              <w:pStyle w:val="Tabletext"/>
              <w:ind w:left="284" w:hanging="284"/>
              <w:jc w:val="left"/>
              <w:rPr>
                <w:sz w:val="20"/>
              </w:rPr>
            </w:pPr>
            <w:r w:rsidRPr="002869B9">
              <w:rPr>
                <w:sz w:val="20"/>
              </w:rPr>
              <w:t>–</w:t>
            </w:r>
            <w:r w:rsidR="00CF04BC" w:rsidRPr="002869B9">
              <w:rPr>
                <w:sz w:val="20"/>
              </w:rPr>
              <w:tab/>
              <w:t>conditions governing international access, which may influence quality of service;</w:t>
            </w:r>
          </w:p>
          <w:p w14:paraId="0D516158" w14:textId="65AFBDD9" w:rsidR="00CF04BC" w:rsidRPr="002869B9" w:rsidRDefault="002869B9" w:rsidP="002869B9">
            <w:pPr>
              <w:pStyle w:val="Tabletext"/>
              <w:ind w:left="284" w:hanging="284"/>
              <w:jc w:val="left"/>
              <w:rPr>
                <w:sz w:val="20"/>
              </w:rPr>
            </w:pPr>
            <w:r w:rsidRPr="002869B9">
              <w:rPr>
                <w:sz w:val="20"/>
              </w:rPr>
              <w:t>–</w:t>
            </w:r>
            <w:r w:rsidR="00CF04BC" w:rsidRPr="002869B9">
              <w:rPr>
                <w:sz w:val="20"/>
              </w:rPr>
              <w:tab/>
              <w:t>existence of local practices/customs such as cost-free service for certain categories of user, the effect of which is to reduce the operating result.</w:t>
            </w:r>
          </w:p>
        </w:tc>
      </w:tr>
      <w:tr w:rsidR="00CF04BC" w:rsidRPr="002869B9" w14:paraId="04123B9E" w14:textId="77777777" w:rsidTr="002869B9">
        <w:trPr>
          <w:jc w:val="center"/>
        </w:trPr>
        <w:tc>
          <w:tcPr>
            <w:tcW w:w="7226" w:type="dxa"/>
          </w:tcPr>
          <w:p w14:paraId="347CFE4B" w14:textId="77777777" w:rsidR="00CF04BC" w:rsidRPr="002869B9" w:rsidRDefault="00CF04BC" w:rsidP="002869B9">
            <w:pPr>
              <w:pStyle w:val="Tabletext"/>
              <w:jc w:val="left"/>
              <w:rPr>
                <w:sz w:val="20"/>
              </w:rPr>
            </w:pPr>
            <w:r w:rsidRPr="002869B9">
              <w:rPr>
                <w:sz w:val="20"/>
              </w:rPr>
              <w:t>Quality of service</w:t>
            </w:r>
          </w:p>
        </w:tc>
        <w:tc>
          <w:tcPr>
            <w:tcW w:w="7233" w:type="dxa"/>
            <w:vMerge/>
          </w:tcPr>
          <w:p w14:paraId="3A3450F3" w14:textId="77777777" w:rsidR="00CF04BC" w:rsidRPr="002869B9" w:rsidRDefault="00CF04BC" w:rsidP="002E7F54">
            <w:pPr>
              <w:pStyle w:val="Heading2"/>
              <w:ind w:left="0" w:firstLine="0"/>
              <w:rPr>
                <w:sz w:val="20"/>
              </w:rPr>
            </w:pPr>
          </w:p>
        </w:tc>
      </w:tr>
      <w:tr w:rsidR="00CF04BC" w:rsidRPr="002869B9" w14:paraId="427FDDE2" w14:textId="77777777" w:rsidTr="002869B9">
        <w:trPr>
          <w:jc w:val="center"/>
        </w:trPr>
        <w:tc>
          <w:tcPr>
            <w:tcW w:w="7226" w:type="dxa"/>
          </w:tcPr>
          <w:p w14:paraId="4A85DEDC" w14:textId="77777777" w:rsidR="00CF04BC" w:rsidRPr="002869B9" w:rsidRDefault="00CF04BC" w:rsidP="002869B9">
            <w:pPr>
              <w:pStyle w:val="Tabletext"/>
              <w:jc w:val="left"/>
              <w:rPr>
                <w:sz w:val="20"/>
              </w:rPr>
            </w:pPr>
            <w:r w:rsidRPr="002869B9">
              <w:rPr>
                <w:sz w:val="20"/>
              </w:rPr>
              <w:t>Participation in universal service</w:t>
            </w:r>
          </w:p>
        </w:tc>
        <w:tc>
          <w:tcPr>
            <w:tcW w:w="7233" w:type="dxa"/>
            <w:vMerge/>
          </w:tcPr>
          <w:p w14:paraId="0CC37C2F" w14:textId="77777777" w:rsidR="00CF04BC" w:rsidRPr="002869B9" w:rsidRDefault="00CF04BC" w:rsidP="002E7F54">
            <w:pPr>
              <w:pStyle w:val="Heading2"/>
              <w:ind w:left="0" w:firstLine="0"/>
              <w:rPr>
                <w:sz w:val="20"/>
              </w:rPr>
            </w:pPr>
          </w:p>
        </w:tc>
      </w:tr>
      <w:tr w:rsidR="00CF04BC" w:rsidRPr="002869B9" w14:paraId="5A0A2CAB" w14:textId="77777777" w:rsidTr="002869B9">
        <w:trPr>
          <w:jc w:val="center"/>
        </w:trPr>
        <w:tc>
          <w:tcPr>
            <w:tcW w:w="7226" w:type="dxa"/>
          </w:tcPr>
          <w:p w14:paraId="3E6FF387" w14:textId="77777777" w:rsidR="00CF04BC" w:rsidRPr="002869B9" w:rsidRDefault="00CF04BC" w:rsidP="002869B9">
            <w:pPr>
              <w:pStyle w:val="Tabletext"/>
              <w:jc w:val="left"/>
              <w:rPr>
                <w:sz w:val="20"/>
              </w:rPr>
            </w:pPr>
            <w:r w:rsidRPr="002869B9">
              <w:rPr>
                <w:sz w:val="20"/>
              </w:rPr>
              <w:t>Participation in research and development efforts in the telecommunication sphere</w:t>
            </w:r>
          </w:p>
        </w:tc>
        <w:tc>
          <w:tcPr>
            <w:tcW w:w="7233" w:type="dxa"/>
            <w:vMerge/>
          </w:tcPr>
          <w:p w14:paraId="67DE665F" w14:textId="77777777" w:rsidR="00CF04BC" w:rsidRPr="002869B9" w:rsidRDefault="00CF04BC" w:rsidP="002E7F54">
            <w:pPr>
              <w:pStyle w:val="Heading2"/>
              <w:ind w:left="0" w:firstLine="0"/>
              <w:rPr>
                <w:sz w:val="20"/>
              </w:rPr>
            </w:pPr>
          </w:p>
        </w:tc>
      </w:tr>
      <w:tr w:rsidR="00CF04BC" w:rsidRPr="002869B9" w14:paraId="210B07DE" w14:textId="77777777" w:rsidTr="002869B9">
        <w:trPr>
          <w:jc w:val="center"/>
        </w:trPr>
        <w:tc>
          <w:tcPr>
            <w:tcW w:w="7226" w:type="dxa"/>
          </w:tcPr>
          <w:p w14:paraId="53607403" w14:textId="77777777" w:rsidR="00CF04BC" w:rsidRPr="002869B9" w:rsidRDefault="00CF04BC" w:rsidP="002869B9">
            <w:pPr>
              <w:pStyle w:val="Tabletext"/>
              <w:jc w:val="left"/>
              <w:rPr>
                <w:sz w:val="20"/>
              </w:rPr>
            </w:pPr>
            <w:r w:rsidRPr="002869B9">
              <w:rPr>
                <w:sz w:val="20"/>
              </w:rPr>
              <w:t>Other obligations (free calls to certain numbers, number portability, spectrum monitoring, ...)</w:t>
            </w:r>
          </w:p>
        </w:tc>
        <w:tc>
          <w:tcPr>
            <w:tcW w:w="7233" w:type="dxa"/>
            <w:vMerge/>
          </w:tcPr>
          <w:p w14:paraId="364F7367" w14:textId="77777777" w:rsidR="00CF04BC" w:rsidRPr="002869B9" w:rsidRDefault="00CF04BC" w:rsidP="002E7F54">
            <w:pPr>
              <w:pStyle w:val="Heading2"/>
              <w:ind w:left="0" w:firstLine="0"/>
              <w:rPr>
                <w:sz w:val="20"/>
              </w:rPr>
            </w:pPr>
          </w:p>
        </w:tc>
      </w:tr>
    </w:tbl>
    <w:p w14:paraId="7B5BF7B5" w14:textId="77777777" w:rsidR="00CF04BC" w:rsidRDefault="00CF04BC" w:rsidP="0074785C">
      <w:pPr>
        <w:pStyle w:val="Tablefin"/>
      </w:pPr>
    </w:p>
    <w:p w14:paraId="2F757B15" w14:textId="77777777" w:rsidR="0074785C" w:rsidRPr="0074785C" w:rsidRDefault="0074785C" w:rsidP="0074785C"/>
    <w:p w14:paraId="3F399422" w14:textId="77777777" w:rsidR="0074785C" w:rsidRPr="0074785C" w:rsidRDefault="0074785C" w:rsidP="0074785C">
      <w:pPr>
        <w:sectPr w:rsidR="0074785C" w:rsidRPr="0074785C" w:rsidSect="008F49EF">
          <w:headerReference w:type="even" r:id="rId21"/>
          <w:headerReference w:type="default" r:id="rId22"/>
          <w:footerReference w:type="default" r:id="rId23"/>
          <w:pgSz w:w="16834" w:h="11913" w:orient="landscape" w:code="9"/>
          <w:pgMar w:top="1134" w:right="1418" w:bottom="1134" w:left="1134" w:header="720" w:footer="482" w:gutter="0"/>
          <w:paperSrc w:first="15" w:other="15"/>
          <w:cols w:space="720"/>
          <w:docGrid w:linePitch="326"/>
        </w:sectPr>
      </w:pPr>
    </w:p>
    <w:p w14:paraId="1EF4B6F1" w14:textId="77777777" w:rsidR="00CF04BC" w:rsidRPr="002869B9" w:rsidRDefault="00CF04BC" w:rsidP="002869B9">
      <w:pPr>
        <w:pStyle w:val="Heading2"/>
      </w:pPr>
      <w:bookmarkStart w:id="1383" w:name="_Toc291852878"/>
      <w:bookmarkStart w:id="1384" w:name="_Toc392515866"/>
      <w:bookmarkStart w:id="1385" w:name="_Toc289868961"/>
      <w:bookmarkStart w:id="1386" w:name="_Toc289868801"/>
      <w:bookmarkStart w:id="1387" w:name="_Toc289932269"/>
      <w:bookmarkStart w:id="1388" w:name="_Toc289933315"/>
      <w:bookmarkStart w:id="1389" w:name="_Toc518394190"/>
      <w:bookmarkStart w:id="1390" w:name="_Toc462234030"/>
      <w:bookmarkStart w:id="1391" w:name="_Toc182391510"/>
      <w:bookmarkStart w:id="1392" w:name="_Toc182391921"/>
      <w:bookmarkStart w:id="1393" w:name="_Toc201822280"/>
      <w:r w:rsidRPr="002869B9">
        <w:t>3.5</w:t>
      </w:r>
      <w:r w:rsidRPr="002869B9">
        <w:tab/>
        <w:t>Summary</w:t>
      </w:r>
      <w:bookmarkEnd w:id="1365"/>
      <w:bookmarkEnd w:id="1366"/>
      <w:bookmarkEnd w:id="1367"/>
      <w:bookmarkEnd w:id="1368"/>
      <w:bookmarkEnd w:id="1369"/>
      <w:bookmarkEnd w:id="1370"/>
      <w:bookmarkEnd w:id="1371"/>
      <w:bookmarkEnd w:id="1372"/>
      <w:bookmarkEnd w:id="1373"/>
      <w:bookmarkEnd w:id="1374"/>
      <w:bookmarkEnd w:id="1383"/>
      <w:bookmarkEnd w:id="1384"/>
      <w:bookmarkEnd w:id="1385"/>
      <w:bookmarkEnd w:id="1386"/>
      <w:bookmarkEnd w:id="1387"/>
      <w:bookmarkEnd w:id="1388"/>
      <w:bookmarkEnd w:id="1389"/>
      <w:bookmarkEnd w:id="1390"/>
      <w:bookmarkEnd w:id="1391"/>
      <w:bookmarkEnd w:id="1392"/>
      <w:bookmarkEnd w:id="1393"/>
    </w:p>
    <w:p w14:paraId="2D1B062E" w14:textId="77777777" w:rsidR="00CF04BC" w:rsidRPr="00B93493" w:rsidRDefault="00CF04BC" w:rsidP="002869B9">
      <w:r w:rsidRPr="00B93493">
        <w:t>The value that the use of radiocommunications and the development of new services can provide to a country’s economy is indicated by the economic benefits identified in the studies undertaken by some administrations. In the past, failure to recognize radiocommunication’s economic contribution to a country, perhaps coupled with uncertainty over the methodology, may have meant that benefits analysis was not considered to provide information relevant to spectrum management. This Report shows that techniques are now available to quantify the economic benefits and are capable of providing information, previously unavailable to spectrum managers that can be taken into consideration when making decisions on frequency assignments and for evaluating the effectiveness of spectrum management decisions. In addition, economic benefit analysis may be used to support justification for spectrum management funding. Effective spectrum management is essential for maintaining access to the radio spectrum and hence the benefits radio can provide to a country.</w:t>
      </w:r>
    </w:p>
    <w:p w14:paraId="00C8E942" w14:textId="77777777" w:rsidR="00CF04BC" w:rsidRDefault="00CF04BC" w:rsidP="00CF04BC"/>
    <w:p w14:paraId="05895442" w14:textId="77777777" w:rsidR="002869B9" w:rsidRPr="00B93493" w:rsidRDefault="002869B9" w:rsidP="00CF04BC"/>
    <w:p w14:paraId="14532D65" w14:textId="77777777" w:rsidR="00CF04BC" w:rsidRPr="00F63AE2" w:rsidRDefault="00CF04BC" w:rsidP="00E91654">
      <w:pPr>
        <w:pStyle w:val="StyleChapNoNotBold1"/>
      </w:pPr>
      <w:bookmarkStart w:id="1394" w:name="_Toc462234031"/>
      <w:bookmarkStart w:id="1395" w:name="_Toc289933316"/>
      <w:bookmarkStart w:id="1396" w:name="_Toc291852879"/>
      <w:bookmarkStart w:id="1397" w:name="_Toc518394191"/>
      <w:bookmarkStart w:id="1398" w:name="_Toc459970410"/>
      <w:bookmarkStart w:id="1399" w:name="_Toc289868962"/>
      <w:bookmarkStart w:id="1400" w:name="_Toc459793938"/>
      <w:bookmarkStart w:id="1401" w:name="_Toc459792629"/>
      <w:bookmarkStart w:id="1402" w:name="_Toc459793796"/>
      <w:bookmarkStart w:id="1403" w:name="_Toc459746696"/>
      <w:bookmarkStart w:id="1404" w:name="_Toc289932270"/>
      <w:bookmarkStart w:id="1405" w:name="_Toc289868802"/>
      <w:bookmarkStart w:id="1406" w:name="_Toc182391511"/>
      <w:bookmarkStart w:id="1407" w:name="_Toc182391922"/>
      <w:bookmarkStart w:id="1408" w:name="_Toc201822281"/>
      <w:r w:rsidRPr="00F63AE2">
        <w:t>CHAPTER 4</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560144E5" w14:textId="77777777" w:rsidR="00CF04BC" w:rsidRPr="006E66D0" w:rsidRDefault="00CF04BC" w:rsidP="006E66D0">
      <w:pPr>
        <w:pStyle w:val="Chaptitle"/>
      </w:pPr>
      <w:bookmarkStart w:id="1409" w:name="_Toc289868963"/>
      <w:bookmarkStart w:id="1410" w:name="_Toc454284863"/>
      <w:bookmarkStart w:id="1411" w:name="_Toc518394192"/>
      <w:bookmarkStart w:id="1412" w:name="_Toc291852880"/>
      <w:bookmarkStart w:id="1413" w:name="_Toc289932271"/>
      <w:bookmarkStart w:id="1414" w:name="_Toc289868803"/>
      <w:bookmarkStart w:id="1415" w:name="_Toc289933317"/>
      <w:bookmarkStart w:id="1416" w:name="_Toc462234032"/>
      <w:bookmarkStart w:id="1417" w:name="_Toc459793797"/>
      <w:bookmarkStart w:id="1418" w:name="_Toc459793939"/>
      <w:bookmarkStart w:id="1419" w:name="_Toc459746697"/>
      <w:bookmarkStart w:id="1420" w:name="_Toc459970411"/>
      <w:bookmarkStart w:id="1421" w:name="_Toc459792630"/>
      <w:r w:rsidRPr="006E66D0">
        <w:t xml:space="preserve">Guidelines on methodologies for the establishment of </w:t>
      </w:r>
      <w:r w:rsidRPr="006E66D0">
        <w:br/>
        <w:t>spectrum fees formula and system</w:t>
      </w:r>
      <w:bookmarkEnd w:id="1409"/>
      <w:bookmarkEnd w:id="1410"/>
      <w:bookmarkEnd w:id="1411"/>
      <w:bookmarkEnd w:id="1412"/>
      <w:bookmarkEnd w:id="1413"/>
      <w:bookmarkEnd w:id="1414"/>
      <w:bookmarkEnd w:id="1415"/>
      <w:bookmarkEnd w:id="1416"/>
      <w:r w:rsidRPr="006E66D0">
        <w:t xml:space="preserve"> </w:t>
      </w:r>
      <w:bookmarkEnd w:id="1417"/>
      <w:bookmarkEnd w:id="1418"/>
      <w:bookmarkEnd w:id="1419"/>
      <w:bookmarkEnd w:id="1420"/>
      <w:bookmarkEnd w:id="1421"/>
    </w:p>
    <w:p w14:paraId="09BCF0CB" w14:textId="77777777" w:rsidR="00CF04BC" w:rsidRPr="00B93493" w:rsidRDefault="00CF04BC" w:rsidP="00CF04BC">
      <w:pPr>
        <w:pStyle w:val="Heading2"/>
      </w:pPr>
      <w:bookmarkStart w:id="1422" w:name="_Toc392515867"/>
      <w:bookmarkStart w:id="1423" w:name="_Toc291852881"/>
      <w:bookmarkStart w:id="1424" w:name="_Toc518394193"/>
      <w:bookmarkStart w:id="1425" w:name="_Toc289868964"/>
      <w:bookmarkStart w:id="1426" w:name="_Toc289868804"/>
      <w:bookmarkStart w:id="1427" w:name="_Toc289933318"/>
      <w:bookmarkStart w:id="1428" w:name="_Toc289932272"/>
      <w:bookmarkStart w:id="1429" w:name="_Toc462234033"/>
      <w:bookmarkStart w:id="1430" w:name="_Toc182391512"/>
      <w:bookmarkStart w:id="1431" w:name="_Toc182391923"/>
      <w:bookmarkStart w:id="1432" w:name="_Toc201822282"/>
      <w:r w:rsidRPr="00B93493">
        <w:t>4.1</w:t>
      </w:r>
      <w:r w:rsidRPr="00B93493">
        <w:tab/>
        <w:t>Formula development</w:t>
      </w:r>
      <w:bookmarkEnd w:id="1422"/>
      <w:bookmarkEnd w:id="1423"/>
      <w:bookmarkEnd w:id="1424"/>
      <w:bookmarkEnd w:id="1425"/>
      <w:bookmarkEnd w:id="1426"/>
      <w:bookmarkEnd w:id="1427"/>
      <w:bookmarkEnd w:id="1428"/>
      <w:bookmarkEnd w:id="1429"/>
      <w:bookmarkEnd w:id="1430"/>
      <w:bookmarkEnd w:id="1431"/>
      <w:bookmarkEnd w:id="1432"/>
    </w:p>
    <w:p w14:paraId="306E48EE" w14:textId="77777777" w:rsidR="00CF04BC" w:rsidRPr="00B93493" w:rsidRDefault="00CF04BC" w:rsidP="00CF04BC">
      <w:r w:rsidRPr="00B93493">
        <w:t>Pricing requires the development of formulae to operate effectively. In developing these formulae</w:t>
      </w:r>
      <w:r>
        <w:rPr>
          <w:rFonts w:hint="eastAsia"/>
          <w:lang w:eastAsia="zh-CN"/>
        </w:rPr>
        <w:t>,</w:t>
      </w:r>
      <w:r w:rsidRPr="00B93493">
        <w:t xml:space="preserve"> it is advisable that the administration should consult the radio industry on the appropriate technical parameters and definition of the criteria to be used; for example, highly congested geographic areas and frequency bands. The spectrum pricing formulae need to be fair, objective, transparent and simple. Simplicity is important, otherwise there could be difficulty in operating and maintaining the formulae. Consultation can also help to ensure the parameters are appropriate for the service and any disputes on the definition of areas of high usage are resolved. The consultation process is also important for users as it provides transparency to the development of the spectrum pricing procedures.</w:t>
      </w:r>
    </w:p>
    <w:p w14:paraId="11F09A3F" w14:textId="77777777" w:rsidR="00CF04BC" w:rsidRPr="00B93493" w:rsidRDefault="00CF04BC" w:rsidP="00CF04BC">
      <w:r w:rsidRPr="00B93493">
        <w:t>If the introduction of spectrum pricing requires the development of new software, this may need to be tested and staff trained in its use. This is particularly important if the administration has previously never charged for a spectrum licence. The setting of the fee level is critical to the operation of spectrum pricing and it is necessary to have a suitable differentiation, in terms of the fee value, between areas with high and low levels of spectrum usage.</w:t>
      </w:r>
    </w:p>
    <w:p w14:paraId="565A16D0" w14:textId="77777777" w:rsidR="00CF04BC" w:rsidRPr="006E66D0" w:rsidRDefault="00CF04BC" w:rsidP="006E66D0">
      <w:pPr>
        <w:pStyle w:val="Heading2"/>
      </w:pPr>
      <w:bookmarkStart w:id="1433" w:name="_Toc289868965"/>
      <w:bookmarkStart w:id="1434" w:name="_Toc289932273"/>
      <w:bookmarkStart w:id="1435" w:name="_Toc289933319"/>
      <w:bookmarkStart w:id="1436" w:name="_Toc291852882"/>
      <w:bookmarkStart w:id="1437" w:name="_Toc462234034"/>
      <w:bookmarkStart w:id="1438" w:name="_Toc289868805"/>
      <w:bookmarkStart w:id="1439" w:name="_Toc392515868"/>
      <w:bookmarkStart w:id="1440" w:name="_Toc518394194"/>
      <w:bookmarkStart w:id="1441" w:name="_Toc182391513"/>
      <w:bookmarkStart w:id="1442" w:name="_Toc182391924"/>
      <w:bookmarkStart w:id="1443" w:name="_Toc201822283"/>
      <w:r w:rsidRPr="006E66D0">
        <w:t>4.2</w:t>
      </w:r>
      <w:r w:rsidRPr="006E66D0">
        <w:tab/>
        <w:t>Guidelines for the establishment of administrative fees (or administrative charges)</w:t>
      </w:r>
      <w:bookmarkEnd w:id="1433"/>
      <w:bookmarkEnd w:id="1434"/>
      <w:bookmarkEnd w:id="1435"/>
      <w:bookmarkEnd w:id="1436"/>
      <w:bookmarkEnd w:id="1437"/>
      <w:bookmarkEnd w:id="1438"/>
      <w:bookmarkEnd w:id="1439"/>
      <w:bookmarkEnd w:id="1440"/>
      <w:bookmarkEnd w:id="1441"/>
      <w:bookmarkEnd w:id="1442"/>
      <w:bookmarkEnd w:id="1443"/>
    </w:p>
    <w:p w14:paraId="5929FEAE" w14:textId="77777777" w:rsidR="00CF04BC" w:rsidRPr="006E66D0" w:rsidRDefault="00CF04BC" w:rsidP="006E66D0">
      <w:pPr>
        <w:pStyle w:val="Heading3"/>
      </w:pPr>
      <w:bookmarkStart w:id="1444" w:name="_Toc289933320"/>
      <w:bookmarkStart w:id="1445" w:name="_Toc289932274"/>
      <w:bookmarkStart w:id="1446" w:name="_Toc289868966"/>
      <w:bookmarkStart w:id="1447" w:name="_Toc392515869"/>
      <w:bookmarkStart w:id="1448" w:name="_Toc462234035"/>
      <w:bookmarkStart w:id="1449" w:name="_Toc518394195"/>
      <w:bookmarkStart w:id="1450" w:name="_Toc291852883"/>
      <w:bookmarkStart w:id="1451" w:name="_Toc289868806"/>
      <w:bookmarkStart w:id="1452" w:name="_Toc182391514"/>
      <w:bookmarkStart w:id="1453" w:name="_Toc182391925"/>
      <w:r w:rsidRPr="006E66D0">
        <w:t>4.2.1</w:t>
      </w:r>
      <w:r w:rsidRPr="006E66D0">
        <w:tab/>
        <w:t>Observations and general approaches</w:t>
      </w:r>
      <w:bookmarkEnd w:id="1444"/>
      <w:bookmarkEnd w:id="1445"/>
      <w:bookmarkEnd w:id="1446"/>
      <w:bookmarkEnd w:id="1447"/>
      <w:bookmarkEnd w:id="1448"/>
      <w:bookmarkEnd w:id="1449"/>
      <w:bookmarkEnd w:id="1450"/>
      <w:bookmarkEnd w:id="1451"/>
      <w:bookmarkEnd w:id="1452"/>
      <w:bookmarkEnd w:id="1453"/>
    </w:p>
    <w:p w14:paraId="3B1C403D" w14:textId="77777777" w:rsidR="00CF04BC" w:rsidRPr="00B93493" w:rsidRDefault="00CF04BC" w:rsidP="006E66D0">
      <w:r w:rsidRPr="00B93493">
        <w:t>Administrative fees are intended to cover all of the costs:</w:t>
      </w:r>
    </w:p>
    <w:p w14:paraId="45D934A2" w14:textId="77777777" w:rsidR="00CF04BC" w:rsidRPr="006E66D0" w:rsidRDefault="00CF04BC" w:rsidP="006E66D0">
      <w:pPr>
        <w:pStyle w:val="enumlev1"/>
      </w:pPr>
      <w:r w:rsidRPr="006E66D0">
        <w:t>–</w:t>
      </w:r>
      <w:r w:rsidRPr="006E66D0">
        <w:tab/>
        <w:t>of activities relating to spectrum planning, management and monitoring;</w:t>
      </w:r>
    </w:p>
    <w:p w14:paraId="38C507D7" w14:textId="77777777" w:rsidR="00CF04BC" w:rsidRPr="006E66D0" w:rsidRDefault="00CF04BC" w:rsidP="006E66D0">
      <w:pPr>
        <w:pStyle w:val="enumlev1"/>
      </w:pPr>
      <w:r w:rsidRPr="006E66D0">
        <w:t>–</w:t>
      </w:r>
      <w:r w:rsidRPr="006E66D0">
        <w:tab/>
        <w:t>of activities carried out by the authorities and delegated entities in regard to the spectrum;</w:t>
      </w:r>
    </w:p>
    <w:p w14:paraId="79CA868A" w14:textId="77777777" w:rsidR="00CF04BC" w:rsidRPr="006E66D0" w:rsidRDefault="00CF04BC" w:rsidP="006E66D0">
      <w:pPr>
        <w:pStyle w:val="enumlev1"/>
      </w:pPr>
      <w:r w:rsidRPr="006E66D0">
        <w:t>–</w:t>
      </w:r>
      <w:r w:rsidRPr="006E66D0">
        <w:tab/>
        <w:t>arising out of spectrum occupancy solely on the private side.</w:t>
      </w:r>
    </w:p>
    <w:p w14:paraId="69984841" w14:textId="77777777" w:rsidR="00CF04BC" w:rsidRPr="00B93493" w:rsidRDefault="00CF04BC" w:rsidP="00CF04BC">
      <w:r w:rsidRPr="00B93493">
        <w:t xml:space="preserve">Such costs will hereinafter be referred to as “administrative costs”. The management function includes activities relating to the issuance of licences and authorizations for spectrum use and to the establishment and collection of the corresponding fees. Administrative costs are made up of staff costs, operational costs and the costs (amortization) of buildings and equipment corresponding to the aforementioned activities. By way of an example, the following entities may devote a more or less significant part of their work to spectrum-related matters and should therefore be taken into account in the determination of administrative costs: spectrum manager(s), telecommunication market regulator, entity responsible for radio and television, ministry(ies) responsible for radio, television and telecommunications, ministry of foreign affairs. The fee levels are normally established for a period of one year. Where the frequency usage period is less than one year, the corresponding amounts are determined </w:t>
      </w:r>
      <w:r w:rsidRPr="00B93493">
        <w:rPr>
          <w:i/>
          <w:iCs/>
        </w:rPr>
        <w:t>pro rata temporis</w:t>
      </w:r>
      <w:r w:rsidRPr="00B93493">
        <w:t>. If they turn out to be less than the minimum collection rate it is the latter which applies (the minimum collection rate is the threshold below which the cost of collecting a fee would be higher than the fee itself). The total annual amount of the chargeable administrative fees should be as close as possible to the total annual amount of the administrative costs. The annual administrative costs should therefore be evaluated with a view to their allocation among all the users of assigned or allotted frequencies. Administrative costs can be relatively accurately determined through the use of a suitable cost accounting mechanism. At the end of each calendar or fiscal year, and in the event of a not insignificant variance between the amount of the fees payable and that of the administrative costs actually recorded, it is recommended that an adjustment be made to absorb that variance. For the purposes of allocating the amount of the administrative costs among those subject to the administrative fee, it is recommended that the allocation rule adopted be both simple and, wherever possible, representative of the administrative work done in respect of each of the fee payer categories.</w:t>
      </w:r>
    </w:p>
    <w:p w14:paraId="1218C3A7" w14:textId="77777777" w:rsidR="00CF04BC" w:rsidRPr="006E66D0" w:rsidRDefault="00CF04BC" w:rsidP="006E66D0">
      <w:pPr>
        <w:pStyle w:val="Heading3"/>
      </w:pPr>
      <w:bookmarkStart w:id="1454" w:name="_Toc289868807"/>
      <w:bookmarkStart w:id="1455" w:name="_Toc289868967"/>
      <w:bookmarkStart w:id="1456" w:name="_Toc289932275"/>
      <w:bookmarkStart w:id="1457" w:name="_Toc462234036"/>
      <w:bookmarkStart w:id="1458" w:name="_Toc518394196"/>
      <w:bookmarkStart w:id="1459" w:name="_Toc291852884"/>
      <w:bookmarkStart w:id="1460" w:name="_Toc289933321"/>
      <w:bookmarkStart w:id="1461" w:name="_Toc392515870"/>
      <w:bookmarkStart w:id="1462" w:name="_Toc182391515"/>
      <w:bookmarkStart w:id="1463" w:name="_Toc182391926"/>
      <w:r w:rsidRPr="006E66D0">
        <w:t>4.2.2</w:t>
      </w:r>
      <w:r w:rsidRPr="006E66D0">
        <w:tab/>
        <w:t>Rule for the allocation of administrative costs – Example 1</w:t>
      </w:r>
      <w:bookmarkEnd w:id="1454"/>
      <w:bookmarkEnd w:id="1455"/>
      <w:bookmarkEnd w:id="1456"/>
      <w:bookmarkEnd w:id="1457"/>
      <w:bookmarkEnd w:id="1458"/>
      <w:bookmarkEnd w:id="1459"/>
      <w:bookmarkEnd w:id="1460"/>
      <w:bookmarkEnd w:id="1461"/>
      <w:bookmarkEnd w:id="1462"/>
      <w:bookmarkEnd w:id="1463"/>
    </w:p>
    <w:p w14:paraId="5B168F92" w14:textId="77777777" w:rsidR="00CF04BC" w:rsidRPr="00B93493" w:rsidRDefault="00CF04BC" w:rsidP="006E66D0">
      <w:r w:rsidRPr="00B93493">
        <w:t>The annual administrative costs are allocated among all those subject to the management fee, in proportion to their respective turnover.</w:t>
      </w:r>
    </w:p>
    <w:p w14:paraId="0B8EACD5" w14:textId="77777777" w:rsidR="00CF04BC" w:rsidRPr="00B93493" w:rsidRDefault="00CF04BC" w:rsidP="006E66D0">
      <w:pPr>
        <w:rPr>
          <w:bCs/>
          <w:szCs w:val="24"/>
        </w:rPr>
      </w:pPr>
      <w:r w:rsidRPr="00B93493">
        <w:t xml:space="preserve">Thus, for a fee payer whose turnover is equal to </w:t>
      </w:r>
      <w:r w:rsidRPr="00B93493">
        <w:rPr>
          <w:i/>
          <w:iCs/>
        </w:rPr>
        <w:t>CA</w:t>
      </w:r>
      <w:r w:rsidRPr="00B93493">
        <w:t xml:space="preserve">, the annual amount of the administrative fee </w:t>
      </w:r>
      <w:r w:rsidRPr="00B93493">
        <w:rPr>
          <w:i/>
          <w:iCs/>
        </w:rPr>
        <w:t xml:space="preserve">Ra </w:t>
      </w:r>
      <w:r w:rsidRPr="00B93493">
        <w:t xml:space="preserve">for the year in question is equal to the product of </w:t>
      </w:r>
      <w:r w:rsidRPr="00B93493">
        <w:rPr>
          <w:bCs/>
          <w:iCs/>
          <w:szCs w:val="24"/>
        </w:rPr>
        <w:t>administrative costs for the year in question with sum of the turnovers of each of the fee payers for the year in question.</w:t>
      </w:r>
    </w:p>
    <w:p w14:paraId="7B892438" w14:textId="77777777" w:rsidR="00CF04BC" w:rsidRPr="00B93493" w:rsidRDefault="00CF04BC" w:rsidP="006E66D0">
      <w:r w:rsidRPr="00B93493">
        <w:t>While this rule has the advantage of being simple, it may prove particularly harsh for fee payers operating only a private radio network and whose industrial or commercial activities are significant but not associated with the frequency domain, since they could end up having to pay a fee that is much higher than the cost of the service provided.</w:t>
      </w:r>
    </w:p>
    <w:p w14:paraId="573F6510" w14:textId="77777777" w:rsidR="00CF04BC" w:rsidRPr="00B93493" w:rsidRDefault="00CF04BC" w:rsidP="006E66D0">
      <w:pPr>
        <w:rPr>
          <w:bCs/>
          <w:szCs w:val="24"/>
        </w:rPr>
      </w:pPr>
      <w:r w:rsidRPr="00B93493">
        <w:rPr>
          <w:bCs/>
          <w:szCs w:val="24"/>
        </w:rPr>
        <w:t>This rule could be used in cases where it is not possible to implement the rule described in § 4.3.</w:t>
      </w:r>
    </w:p>
    <w:p w14:paraId="3615063B" w14:textId="77777777" w:rsidR="00CF04BC" w:rsidRPr="006E66D0" w:rsidRDefault="00CF04BC" w:rsidP="006E66D0">
      <w:pPr>
        <w:pStyle w:val="Heading3"/>
      </w:pPr>
      <w:bookmarkStart w:id="1464" w:name="_Toc289868968"/>
      <w:bookmarkStart w:id="1465" w:name="_Toc392515871"/>
      <w:bookmarkStart w:id="1466" w:name="_Toc289868808"/>
      <w:bookmarkStart w:id="1467" w:name="_Toc462234037"/>
      <w:bookmarkStart w:id="1468" w:name="_Toc289933322"/>
      <w:bookmarkStart w:id="1469" w:name="_Toc289932276"/>
      <w:bookmarkStart w:id="1470" w:name="_Toc291852885"/>
      <w:bookmarkStart w:id="1471" w:name="_Toc518394197"/>
      <w:bookmarkStart w:id="1472" w:name="_Toc182391516"/>
      <w:bookmarkStart w:id="1473" w:name="_Toc182391927"/>
      <w:r w:rsidRPr="006E66D0">
        <w:t>4.2.3</w:t>
      </w:r>
      <w:r w:rsidRPr="006E66D0">
        <w:tab/>
        <w:t>Rule for the allocation of administrative costs – Example 2</w:t>
      </w:r>
      <w:bookmarkEnd w:id="1464"/>
      <w:bookmarkEnd w:id="1465"/>
      <w:bookmarkEnd w:id="1466"/>
      <w:bookmarkEnd w:id="1467"/>
      <w:bookmarkEnd w:id="1468"/>
      <w:bookmarkEnd w:id="1469"/>
      <w:bookmarkEnd w:id="1470"/>
      <w:bookmarkEnd w:id="1471"/>
      <w:bookmarkEnd w:id="1472"/>
      <w:bookmarkEnd w:id="1473"/>
    </w:p>
    <w:p w14:paraId="5F9CE318" w14:textId="77777777" w:rsidR="00CF04BC" w:rsidRPr="00B93493" w:rsidRDefault="00CF04BC" w:rsidP="006E66D0">
      <w:r w:rsidRPr="00B93493">
        <w:t>Administrative costs are allocated in proportion to the number of assignments and number of allotments allocated, respectively, to each of those subject to the management fee. In practice, this rule calls for the determination of two reference monetary values corresponding, respectively, to the amount of the administrative fee for an assigned frequency (G) and to the amount of the administrative fee for an allotted 1 MHz frequency band (G’). The determination of G and G’ is such that it should be possible to get as close as possible to the following equation for a given year:</w:t>
      </w:r>
    </w:p>
    <w:p w14:paraId="20C0EB82" w14:textId="77777777" w:rsidR="00CF04BC" w:rsidRPr="00B93493" w:rsidRDefault="00CF04BC" w:rsidP="00CF04BC">
      <w:pPr>
        <w:pStyle w:val="Equation"/>
        <w:jc w:val="center"/>
      </w:pPr>
      <w:r w:rsidRPr="00B93493">
        <w:rPr>
          <w:rStyle w:val="enumlev1Char"/>
        </w:rPr>
        <w:t>Administrative costs = total number of frequencies assigned throughout the territory * G</w:t>
      </w:r>
      <w:r w:rsidRPr="00B93493">
        <w:rPr>
          <w:rStyle w:val="enumlev1Char"/>
        </w:rPr>
        <w:br/>
      </w:r>
      <w:r w:rsidRPr="00B93493">
        <w:rPr>
          <w:rStyle w:val="enumlev1Char"/>
        </w:rPr>
        <w:tab/>
        <w:t>+ total number of MHz allotted throughout the territory * G’</w:t>
      </w:r>
      <w:r w:rsidRPr="00B93493">
        <w:tab/>
        <w:t>(5</w:t>
      </w:r>
      <w:r w:rsidRPr="00B93493">
        <w:rPr>
          <w:i/>
          <w:iCs/>
        </w:rPr>
        <w:t>bis</w:t>
      </w:r>
      <w:r w:rsidRPr="00B93493">
        <w:t>)</w:t>
      </w:r>
    </w:p>
    <w:p w14:paraId="2417A143" w14:textId="77777777" w:rsidR="00CF04BC" w:rsidRPr="00B93493" w:rsidRDefault="00CF04BC" w:rsidP="00CF04BC">
      <w:r w:rsidRPr="00B93493">
        <w:t xml:space="preserve">By way of an example, a fee payer with 50 assigned frequencies and an allotment of 20 MHz will pay an annual administrative fee </w:t>
      </w:r>
      <w:r w:rsidRPr="00B93493">
        <w:rPr>
          <w:i/>
          <w:iCs/>
        </w:rPr>
        <w:t>Ra</w:t>
      </w:r>
      <w:r w:rsidRPr="00B93493">
        <w:t> amounting to:</w:t>
      </w:r>
    </w:p>
    <w:p w14:paraId="3992424F" w14:textId="77777777" w:rsidR="00CF04BC" w:rsidRPr="00B93493" w:rsidRDefault="00CF04BC" w:rsidP="00CF04BC">
      <w:pPr>
        <w:pStyle w:val="Blanc"/>
      </w:pPr>
    </w:p>
    <w:p w14:paraId="3B06A8AA" w14:textId="77777777" w:rsidR="00CF04BC" w:rsidRPr="00B93493" w:rsidRDefault="00CF04BC" w:rsidP="00CF04BC">
      <w:pPr>
        <w:pStyle w:val="Equation"/>
      </w:pPr>
      <w:r w:rsidRPr="00B93493">
        <w:rPr>
          <w:i/>
          <w:iCs/>
        </w:rPr>
        <w:tab/>
      </w:r>
      <w:r w:rsidRPr="00B93493">
        <w:rPr>
          <w:i/>
          <w:iCs/>
        </w:rPr>
        <w:tab/>
        <w:t xml:space="preserve">Ra </w:t>
      </w:r>
      <w:r w:rsidRPr="00B93493">
        <w:t>= 50 * G + 20 * G’</w:t>
      </w:r>
      <w:r w:rsidRPr="00B93493">
        <w:tab/>
        <w:t>(6)</w:t>
      </w:r>
    </w:p>
    <w:p w14:paraId="0981650B" w14:textId="77777777" w:rsidR="00CF04BC" w:rsidRPr="00B93493" w:rsidRDefault="00CF04BC" w:rsidP="006E66D0">
      <w:r w:rsidRPr="00B93493">
        <w:t>In many cases, the administrative work relating to an allotment is greater than that for an assignment. It is therefore recommended that this be taken into account by giving greater weight to allotments when allocating the administrative costs, i.e. when determining G and G’.</w:t>
      </w:r>
    </w:p>
    <w:p w14:paraId="440DFDF5" w14:textId="77777777" w:rsidR="00CF04BC" w:rsidRPr="00B93493" w:rsidRDefault="00CF04BC" w:rsidP="006E66D0">
      <w:pPr>
        <w:rPr>
          <w:bCs/>
          <w:szCs w:val="24"/>
        </w:rPr>
      </w:pPr>
      <w:r w:rsidRPr="00B93493">
        <w:rPr>
          <w:bCs/>
          <w:szCs w:val="24"/>
        </w:rPr>
        <w:t>The values of G and G’ can be easily determined through the use of a suitable cost accounting mechanism. This rule for the allocation of administrative costs has the advantage of reflecting quite well the service provided, since the necessary administrative work increases with the number of assigned frequencies and number of allotted MHz allocated to a given fee payer.</w:t>
      </w:r>
    </w:p>
    <w:p w14:paraId="67D48B39" w14:textId="77777777" w:rsidR="00CF04BC" w:rsidRPr="006E66D0" w:rsidRDefault="00CF04BC" w:rsidP="006E66D0">
      <w:pPr>
        <w:pStyle w:val="Heading2"/>
      </w:pPr>
      <w:bookmarkStart w:id="1474" w:name="_Toc392515872"/>
      <w:bookmarkStart w:id="1475" w:name="_Toc289868809"/>
      <w:bookmarkStart w:id="1476" w:name="_Toc289868969"/>
      <w:bookmarkStart w:id="1477" w:name="_Toc291852886"/>
      <w:bookmarkStart w:id="1478" w:name="_Toc289933323"/>
      <w:bookmarkStart w:id="1479" w:name="_Toc289932277"/>
      <w:bookmarkStart w:id="1480" w:name="_Toc518394198"/>
      <w:bookmarkStart w:id="1481" w:name="_Toc462234038"/>
      <w:bookmarkStart w:id="1482" w:name="_Toc182391517"/>
      <w:bookmarkStart w:id="1483" w:name="_Toc182391928"/>
      <w:bookmarkStart w:id="1484" w:name="_Toc201822284"/>
      <w:r w:rsidRPr="006E66D0">
        <w:t>4.3</w:t>
      </w:r>
      <w:r w:rsidRPr="006E66D0">
        <w:tab/>
        <w:t>Guidelines for the establishment of spectrum fees</w:t>
      </w:r>
      <w:bookmarkEnd w:id="1474"/>
      <w:bookmarkEnd w:id="1475"/>
      <w:bookmarkEnd w:id="1476"/>
      <w:bookmarkEnd w:id="1477"/>
      <w:bookmarkEnd w:id="1478"/>
      <w:bookmarkEnd w:id="1479"/>
      <w:bookmarkEnd w:id="1480"/>
      <w:bookmarkEnd w:id="1481"/>
      <w:bookmarkEnd w:id="1482"/>
      <w:bookmarkEnd w:id="1483"/>
      <w:bookmarkEnd w:id="1484"/>
    </w:p>
    <w:p w14:paraId="5FEE0723" w14:textId="77777777" w:rsidR="00CF04BC" w:rsidRPr="00B93493" w:rsidRDefault="00CF04BC" w:rsidP="00CF04BC">
      <w:r w:rsidRPr="00B93493">
        <w:t>There are five general steps to calculate the spectrum fees</w:t>
      </w:r>
      <w:r w:rsidRPr="00B93493">
        <w:rPr>
          <w:rStyle w:val="FootnoteReference"/>
        </w:rPr>
        <w:footnoteReference w:id="3"/>
      </w:r>
      <w:r w:rsidRPr="00B93493">
        <w:t>:</w:t>
      </w:r>
    </w:p>
    <w:p w14:paraId="4994A61A" w14:textId="77777777" w:rsidR="00CF04BC" w:rsidRPr="00B93493" w:rsidRDefault="00CF04BC" w:rsidP="00CF04BC">
      <w:pPr>
        <w:pStyle w:val="Heading3"/>
      </w:pPr>
      <w:bookmarkStart w:id="1485" w:name="_Toc289932278"/>
      <w:bookmarkStart w:id="1486" w:name="_Toc289933324"/>
      <w:bookmarkStart w:id="1487" w:name="_Toc291852887"/>
      <w:bookmarkStart w:id="1488" w:name="_Toc462234039"/>
      <w:bookmarkStart w:id="1489" w:name="_Toc518394199"/>
      <w:bookmarkStart w:id="1490" w:name="_Toc289868970"/>
      <w:bookmarkStart w:id="1491" w:name="_Toc392515873"/>
      <w:bookmarkStart w:id="1492" w:name="_Toc289868810"/>
      <w:bookmarkStart w:id="1493" w:name="_Toc182391518"/>
      <w:bookmarkStart w:id="1494" w:name="_Toc182391929"/>
      <w:r w:rsidRPr="00B93493">
        <w:t>4.3.1</w:t>
      </w:r>
      <w:r w:rsidRPr="00B93493">
        <w:tab/>
        <w:t>Defining the goals of the spectrum fees</w:t>
      </w:r>
      <w:bookmarkEnd w:id="1485"/>
      <w:bookmarkEnd w:id="1486"/>
      <w:bookmarkEnd w:id="1487"/>
      <w:bookmarkEnd w:id="1488"/>
      <w:bookmarkEnd w:id="1489"/>
      <w:bookmarkEnd w:id="1490"/>
      <w:bookmarkEnd w:id="1491"/>
      <w:bookmarkEnd w:id="1492"/>
      <w:bookmarkEnd w:id="1493"/>
      <w:bookmarkEnd w:id="1494"/>
    </w:p>
    <w:p w14:paraId="66B50BDC" w14:textId="77777777" w:rsidR="00CF04BC" w:rsidRPr="00B93493" w:rsidRDefault="00CF04BC" w:rsidP="00CF04BC">
      <w:pPr>
        <w:pStyle w:val="Heading4"/>
      </w:pPr>
      <w:r w:rsidRPr="00B93493">
        <w:t>4.3.1.1</w:t>
      </w:r>
      <w:r w:rsidRPr="00B93493">
        <w:tab/>
        <w:t>Observations and general approaches</w:t>
      </w:r>
    </w:p>
    <w:p w14:paraId="4A94DDA6" w14:textId="77777777" w:rsidR="00CF04BC" w:rsidRPr="00B93493" w:rsidRDefault="00CF04BC" w:rsidP="006E66D0">
      <w:r w:rsidRPr="00B93493">
        <w:t>The spectrum fee system must respect, among other things, the economic principles described before. It must, moreover, also take account of the reality principles when identifying the set of parameters to be used as the basis for fee calculation.</w:t>
      </w:r>
    </w:p>
    <w:p w14:paraId="4C080444" w14:textId="77777777" w:rsidR="00CF04BC" w:rsidRPr="006E66D0" w:rsidRDefault="00CF04BC" w:rsidP="006E66D0">
      <w:pPr>
        <w:pStyle w:val="Heading4"/>
      </w:pPr>
      <w:r w:rsidRPr="006E66D0">
        <w:t>4.3.1.2</w:t>
      </w:r>
      <w:r w:rsidRPr="006E66D0">
        <w:tab/>
        <w:t>Budgetary objective of the authorities</w:t>
      </w:r>
    </w:p>
    <w:p w14:paraId="6A98922C" w14:textId="77777777" w:rsidR="00CF04BC" w:rsidRPr="00B93493" w:rsidRDefault="00CF04BC" w:rsidP="006E66D0">
      <w:r w:rsidRPr="00B93493">
        <w:t>Generally speaking, the budgetary objective is expressed in terms of the total income amount that the fees must generate for the State. While adhering to the total income amount established by the authorities, it is recommended that the fee levels be adjusted according to the applications in question so as to ensure that the other three purposes of spectrum fees and are taken into account as fully as possible.</w:t>
      </w:r>
    </w:p>
    <w:p w14:paraId="7A2C8A48" w14:textId="77777777" w:rsidR="00CF04BC" w:rsidRPr="006E66D0" w:rsidRDefault="00CF04BC" w:rsidP="006E66D0">
      <w:pPr>
        <w:pStyle w:val="Heading4"/>
      </w:pPr>
      <w:r w:rsidRPr="006E66D0">
        <w:t>4.3.1.3</w:t>
      </w:r>
      <w:r w:rsidRPr="006E66D0">
        <w:tab/>
        <w:t>Spectrum fees for frequencies intended for user’s own requirements</w:t>
      </w:r>
    </w:p>
    <w:p w14:paraId="19C1E65E" w14:textId="77777777" w:rsidR="00CF04BC" w:rsidRPr="00B93493" w:rsidRDefault="00CF04BC" w:rsidP="00CF04BC">
      <w:pPr>
        <w:pStyle w:val="Headingb"/>
      </w:pPr>
      <w:bookmarkStart w:id="1495" w:name="_Toc454284871"/>
      <w:bookmarkStart w:id="1496" w:name="_Toc462234040"/>
      <w:r w:rsidRPr="006E66D0">
        <w:t>Observations</w:t>
      </w:r>
      <w:r w:rsidRPr="00B93493">
        <w:t xml:space="preserve"> and general approaches</w:t>
      </w:r>
      <w:bookmarkEnd w:id="1495"/>
      <w:bookmarkEnd w:id="1496"/>
    </w:p>
    <w:p w14:paraId="3EAF6184" w14:textId="77777777" w:rsidR="00CF04BC" w:rsidRPr="00B93493" w:rsidRDefault="00CF04BC" w:rsidP="006E66D0">
      <w:r w:rsidRPr="00B93493">
        <w:t>Determination of the modalities for fee-setting should take account, first and foremost, of the factors as given earlier. In putting together the basis for fee calculation, it is recommended that only the minimum number of factors necessary for achieving the objectives of effective spectrum management and effective frequency utilization be used. Use of a simple calculation formula is recommended. Multiplication comes out as a very suitable formula for determining fee levels on the basis of the factors selected when putting together the calculation basis. For the purpose of adjusting fee levels according to applications, it is recommended to determine, respectively for each of the applications under consideration, a reference monetary value “k”, expressed in the prevailing currency. This “k” will then be one of the factors in the aforementioned multiplication.</w:t>
      </w:r>
    </w:p>
    <w:p w14:paraId="693CD5B9" w14:textId="77777777" w:rsidR="00CF04BC" w:rsidRPr="00B93493" w:rsidRDefault="00CF04BC" w:rsidP="00CF04BC">
      <w:pPr>
        <w:pStyle w:val="Heading3"/>
      </w:pPr>
      <w:bookmarkStart w:id="1497" w:name="_Toc289868811"/>
      <w:bookmarkStart w:id="1498" w:name="_Toc289933325"/>
      <w:bookmarkStart w:id="1499" w:name="_Toc462234041"/>
      <w:bookmarkStart w:id="1500" w:name="_Toc392515874"/>
      <w:bookmarkStart w:id="1501" w:name="_Toc518394200"/>
      <w:bookmarkStart w:id="1502" w:name="_Toc289868971"/>
      <w:bookmarkStart w:id="1503" w:name="_Toc289932279"/>
      <w:bookmarkStart w:id="1504" w:name="_Toc291852888"/>
      <w:bookmarkStart w:id="1505" w:name="_Toc182391519"/>
      <w:bookmarkStart w:id="1506" w:name="_Toc182391930"/>
      <w:r w:rsidRPr="00B93493">
        <w:t>4.3.2</w:t>
      </w:r>
      <w:r w:rsidRPr="00B93493">
        <w:tab/>
        <w:t>Demand assessment for the spectrum</w:t>
      </w:r>
      <w:bookmarkEnd w:id="1497"/>
      <w:bookmarkEnd w:id="1498"/>
      <w:bookmarkEnd w:id="1499"/>
      <w:bookmarkEnd w:id="1500"/>
      <w:bookmarkEnd w:id="1501"/>
      <w:bookmarkEnd w:id="1502"/>
      <w:bookmarkEnd w:id="1503"/>
      <w:bookmarkEnd w:id="1504"/>
      <w:bookmarkEnd w:id="1505"/>
      <w:bookmarkEnd w:id="1506"/>
    </w:p>
    <w:p w14:paraId="5DE01311" w14:textId="77777777" w:rsidR="00CF04BC" w:rsidRPr="00B93493" w:rsidRDefault="00CF04BC" w:rsidP="00CF04BC">
      <w:r w:rsidRPr="00B93493">
        <w:t>In this step, the demand for each service should be tested in order to find out if there is excess demand of the spectrum by any service.</w:t>
      </w:r>
    </w:p>
    <w:p w14:paraId="78484C7D" w14:textId="77777777" w:rsidR="00CF04BC" w:rsidRPr="00B93493" w:rsidRDefault="00CF04BC" w:rsidP="00CF04BC">
      <w:pPr>
        <w:pStyle w:val="Heading3"/>
        <w:rPr>
          <w:szCs w:val="23"/>
        </w:rPr>
      </w:pPr>
      <w:bookmarkStart w:id="1507" w:name="_Toc392515875"/>
      <w:bookmarkStart w:id="1508" w:name="_Toc289933326"/>
      <w:bookmarkStart w:id="1509" w:name="_Toc289932280"/>
      <w:bookmarkStart w:id="1510" w:name="_Toc518394201"/>
      <w:bookmarkStart w:id="1511" w:name="_Toc289868972"/>
      <w:bookmarkStart w:id="1512" w:name="_Toc462234042"/>
      <w:bookmarkStart w:id="1513" w:name="_Toc291852889"/>
      <w:bookmarkStart w:id="1514" w:name="_Toc289868812"/>
      <w:bookmarkStart w:id="1515" w:name="_Toc182391520"/>
      <w:bookmarkStart w:id="1516" w:name="_Toc182391931"/>
      <w:r w:rsidRPr="00B93493">
        <w:t>4.3.3</w:t>
      </w:r>
      <w:r w:rsidRPr="00B93493">
        <w:tab/>
        <w:t>Cost assessment for the spectrum</w:t>
      </w:r>
      <w:bookmarkEnd w:id="1507"/>
      <w:bookmarkEnd w:id="1508"/>
      <w:bookmarkEnd w:id="1509"/>
      <w:bookmarkEnd w:id="1510"/>
      <w:bookmarkEnd w:id="1511"/>
      <w:bookmarkEnd w:id="1512"/>
      <w:bookmarkEnd w:id="1513"/>
      <w:bookmarkEnd w:id="1514"/>
      <w:bookmarkEnd w:id="1515"/>
      <w:bookmarkEnd w:id="1516"/>
    </w:p>
    <w:p w14:paraId="08AB4509" w14:textId="77777777" w:rsidR="00CF04BC" w:rsidRPr="00B93493" w:rsidRDefault="00CF04BC" w:rsidP="006E66D0">
      <w:r w:rsidRPr="00B93493">
        <w:t>Cost of the spectrum could be considered as the cost of managing the spectrum which could include frequency assignment, site clearance, coordination and others according to the service type.</w:t>
      </w:r>
    </w:p>
    <w:p w14:paraId="2D8413DB" w14:textId="77777777" w:rsidR="00CF04BC" w:rsidRPr="00B93493" w:rsidRDefault="00CF04BC" w:rsidP="00CF04BC">
      <w:pPr>
        <w:pStyle w:val="Heading3"/>
      </w:pPr>
      <w:bookmarkStart w:id="1517" w:name="_Toc462234043"/>
      <w:bookmarkStart w:id="1518" w:name="_Toc289868973"/>
      <w:bookmarkStart w:id="1519" w:name="_Toc291852890"/>
      <w:bookmarkStart w:id="1520" w:name="_Toc518394202"/>
      <w:bookmarkStart w:id="1521" w:name="_Toc289933327"/>
      <w:bookmarkStart w:id="1522" w:name="_Toc289868813"/>
      <w:bookmarkStart w:id="1523" w:name="_Toc392515876"/>
      <w:bookmarkStart w:id="1524" w:name="_Toc289932281"/>
      <w:bookmarkStart w:id="1525" w:name="_Toc182391521"/>
      <w:bookmarkStart w:id="1526" w:name="_Toc182391932"/>
      <w:r w:rsidRPr="00B93493">
        <w:t>4.3.4</w:t>
      </w:r>
      <w:r w:rsidRPr="00B93493">
        <w:tab/>
        <w:t>Choosing the fees approach</w:t>
      </w:r>
      <w:bookmarkEnd w:id="1517"/>
      <w:bookmarkEnd w:id="1518"/>
      <w:bookmarkEnd w:id="1519"/>
      <w:bookmarkEnd w:id="1520"/>
      <w:bookmarkEnd w:id="1521"/>
      <w:bookmarkEnd w:id="1522"/>
      <w:bookmarkEnd w:id="1523"/>
      <w:bookmarkEnd w:id="1524"/>
      <w:bookmarkEnd w:id="1525"/>
      <w:bookmarkEnd w:id="1526"/>
    </w:p>
    <w:p w14:paraId="3EFA8B21" w14:textId="77777777" w:rsidR="00CF04BC" w:rsidRPr="00B93493" w:rsidRDefault="00CF04BC" w:rsidP="00CF04BC">
      <w:r w:rsidRPr="00B93493">
        <w:t>The approach for calculating the fees can be chosen from § 2.3.4.</w:t>
      </w:r>
    </w:p>
    <w:p w14:paraId="2CB85146" w14:textId="77777777" w:rsidR="00CF04BC" w:rsidRPr="00B93493" w:rsidRDefault="00CF04BC" w:rsidP="00CF04BC">
      <w:pPr>
        <w:pStyle w:val="Heading3"/>
        <w:rPr>
          <w:rFonts w:ascii="Times-Roman" w:hAnsi="Times-Roman" w:cs="Times-Roman"/>
          <w:sz w:val="23"/>
          <w:szCs w:val="23"/>
        </w:rPr>
      </w:pPr>
      <w:bookmarkStart w:id="1527" w:name="_Toc462234044"/>
      <w:bookmarkStart w:id="1528" w:name="_Toc289868814"/>
      <w:bookmarkStart w:id="1529" w:name="_Toc518394203"/>
      <w:bookmarkStart w:id="1530" w:name="_Toc289868974"/>
      <w:bookmarkStart w:id="1531" w:name="_Toc392515877"/>
      <w:bookmarkStart w:id="1532" w:name="_Toc289932282"/>
      <w:bookmarkStart w:id="1533" w:name="_Toc289933328"/>
      <w:bookmarkStart w:id="1534" w:name="_Toc291852891"/>
      <w:bookmarkStart w:id="1535" w:name="_Toc182391522"/>
      <w:bookmarkStart w:id="1536" w:name="_Toc182391933"/>
      <w:r w:rsidRPr="00B93493">
        <w:t>4.3.5</w:t>
      </w:r>
      <w:r w:rsidRPr="00B93493">
        <w:tab/>
        <w:t>Determining the fees</w:t>
      </w:r>
      <w:bookmarkEnd w:id="1527"/>
      <w:bookmarkEnd w:id="1528"/>
      <w:bookmarkEnd w:id="1529"/>
      <w:bookmarkEnd w:id="1530"/>
      <w:bookmarkEnd w:id="1531"/>
      <w:bookmarkEnd w:id="1532"/>
      <w:bookmarkEnd w:id="1533"/>
      <w:bookmarkEnd w:id="1534"/>
      <w:bookmarkEnd w:id="1535"/>
      <w:bookmarkEnd w:id="1536"/>
    </w:p>
    <w:p w14:paraId="3612AD91" w14:textId="77777777" w:rsidR="00CF04BC" w:rsidRPr="00B93493" w:rsidRDefault="00CF04BC" w:rsidP="00CF04BC">
      <w:r w:rsidRPr="00B93493">
        <w:t>This step should be considered case by case by the administrations according to the different economic and political factors.</w:t>
      </w:r>
    </w:p>
    <w:p w14:paraId="059963EE" w14:textId="77777777" w:rsidR="00CF04BC" w:rsidRPr="00B93493" w:rsidRDefault="00CF04BC" w:rsidP="00CF04BC">
      <w:pPr>
        <w:pStyle w:val="Heading2"/>
      </w:pPr>
      <w:bookmarkStart w:id="1537" w:name="_Toc289933329"/>
      <w:bookmarkStart w:id="1538" w:name="_Toc392515878"/>
      <w:bookmarkStart w:id="1539" w:name="_Toc518394204"/>
      <w:bookmarkStart w:id="1540" w:name="_Toc289868975"/>
      <w:bookmarkStart w:id="1541" w:name="_Toc289868815"/>
      <w:bookmarkStart w:id="1542" w:name="_Toc462234045"/>
      <w:bookmarkStart w:id="1543" w:name="_Toc289932283"/>
      <w:bookmarkStart w:id="1544" w:name="_Toc291852892"/>
      <w:bookmarkStart w:id="1545" w:name="_Toc182391523"/>
      <w:bookmarkStart w:id="1546" w:name="_Toc182391934"/>
      <w:bookmarkStart w:id="1547" w:name="_Toc201822285"/>
      <w:r w:rsidRPr="00B93493">
        <w:t>4.4</w:t>
      </w:r>
      <w:r w:rsidRPr="00B93493">
        <w:tab/>
        <w:t>Examples of formulas for fee calculation</w:t>
      </w:r>
      <w:bookmarkEnd w:id="1537"/>
      <w:bookmarkEnd w:id="1538"/>
      <w:bookmarkEnd w:id="1539"/>
      <w:bookmarkEnd w:id="1540"/>
      <w:bookmarkEnd w:id="1541"/>
      <w:bookmarkEnd w:id="1542"/>
      <w:bookmarkEnd w:id="1543"/>
      <w:bookmarkEnd w:id="1544"/>
      <w:bookmarkEnd w:id="1545"/>
      <w:bookmarkEnd w:id="1546"/>
      <w:bookmarkEnd w:id="1547"/>
    </w:p>
    <w:p w14:paraId="689B432D" w14:textId="77777777" w:rsidR="00CF04BC" w:rsidRPr="006E66D0" w:rsidRDefault="00CF04BC" w:rsidP="006E66D0">
      <w:pPr>
        <w:pStyle w:val="Heading3"/>
      </w:pPr>
      <w:bookmarkStart w:id="1548" w:name="_Toc289933330"/>
      <w:bookmarkStart w:id="1549" w:name="_Toc289868816"/>
      <w:bookmarkStart w:id="1550" w:name="_Toc291852893"/>
      <w:bookmarkStart w:id="1551" w:name="_Toc462234046"/>
      <w:bookmarkStart w:id="1552" w:name="_Toc518394205"/>
      <w:bookmarkStart w:id="1553" w:name="_Toc392515879"/>
      <w:bookmarkStart w:id="1554" w:name="_Toc289868976"/>
      <w:bookmarkStart w:id="1555" w:name="_Toc289932284"/>
      <w:bookmarkStart w:id="1556" w:name="_Toc182391524"/>
      <w:bookmarkStart w:id="1557" w:name="_Toc182391935"/>
      <w:r w:rsidRPr="006E66D0">
        <w:t>4.4.1</w:t>
      </w:r>
      <w:r w:rsidRPr="006E66D0">
        <w:tab/>
        <w:t>Notations and definitions of coefficients</w:t>
      </w:r>
      <w:bookmarkEnd w:id="1548"/>
      <w:bookmarkEnd w:id="1549"/>
      <w:bookmarkEnd w:id="1550"/>
      <w:bookmarkEnd w:id="1551"/>
      <w:bookmarkEnd w:id="1552"/>
      <w:bookmarkEnd w:id="1553"/>
      <w:bookmarkEnd w:id="1554"/>
      <w:bookmarkEnd w:id="1555"/>
      <w:bookmarkEnd w:id="1556"/>
      <w:bookmarkEnd w:id="1557"/>
    </w:p>
    <w:p w14:paraId="276D0B83" w14:textId="77777777" w:rsidR="00CF04BC" w:rsidRPr="00B93493" w:rsidRDefault="00CF04BC" w:rsidP="006E66D0">
      <w:r w:rsidRPr="00B93493">
        <w:t>The coefficients defined below are used in the examples of formulas for calculating fee amounts:</w:t>
      </w:r>
    </w:p>
    <w:p w14:paraId="1D5F653A" w14:textId="77777777" w:rsidR="00CF04BC" w:rsidRPr="006E66D0" w:rsidRDefault="00CF04BC" w:rsidP="006E66D0">
      <w:pPr>
        <w:pStyle w:val="enumlev1"/>
      </w:pPr>
      <w:r w:rsidRPr="006E66D0">
        <w:t>–</w:t>
      </w:r>
      <w:r w:rsidRPr="006E66D0">
        <w:tab/>
        <w:t>The coefficient “L” represents the allocated bandwidth.</w:t>
      </w:r>
    </w:p>
    <w:p w14:paraId="6FBB243B" w14:textId="77777777" w:rsidR="00CF04BC" w:rsidRPr="006E66D0" w:rsidRDefault="00CF04BC" w:rsidP="006E66D0">
      <w:pPr>
        <w:pStyle w:val="enumlev1"/>
      </w:pPr>
      <w:r w:rsidRPr="006E66D0">
        <w:t>–</w:t>
      </w:r>
      <w:r w:rsidRPr="006E66D0">
        <w:tab/>
        <w:t xml:space="preserve">The coefficient “bf” expresses the position within the spectrum of the frequency or allocated frequency band. In practice, a table is established giving, for each block of frequencies under consideration, the value of the corresponding “bf” coefficient. </w:t>
      </w:r>
    </w:p>
    <w:p w14:paraId="7969D42E" w14:textId="77777777" w:rsidR="00CF04BC" w:rsidRPr="006E66D0" w:rsidRDefault="00CF04BC" w:rsidP="006E66D0">
      <w:pPr>
        <w:pStyle w:val="enumlev1"/>
      </w:pPr>
      <w:r w:rsidRPr="006E66D0">
        <w:t>–</w:t>
      </w:r>
      <w:r w:rsidRPr="006E66D0">
        <w:tab/>
        <w:t xml:space="preserve">The coefficient “a” expresses the frequency usage authorizations by allotment. </w:t>
      </w:r>
    </w:p>
    <w:p w14:paraId="6BFDE683" w14:textId="77777777" w:rsidR="00CF04BC" w:rsidRPr="006E66D0" w:rsidRDefault="00CF04BC" w:rsidP="006E66D0">
      <w:pPr>
        <w:pStyle w:val="enumlev1"/>
      </w:pPr>
      <w:r w:rsidRPr="006E66D0">
        <w:t>–</w:t>
      </w:r>
      <w:r w:rsidRPr="006E66D0">
        <w:tab/>
        <w:t xml:space="preserve">The coefficient “c” expresses the surface area covered by the frequency usage authorization. Generally speaking, the surface over which an assignment is allocated constitutes a disk with the station in question at its centre and with a radius equal to the maximum distance over which the assigned frequency may be utilized in cases where the station antenna is omnidirectional, or a segment of that disk corresponding to the angular width of the antenna in cases where it is directional. In practice, a table is established giving the value of coefficient “c” corresponding to the values of the surfaces considered. Such a table has the advantage of correcting the very wide range of fee amounts that would have been obtained by direct consideration of the area of the allocation surface. </w:t>
      </w:r>
    </w:p>
    <w:p w14:paraId="06812EE6" w14:textId="77777777" w:rsidR="00CF04BC" w:rsidRPr="006E66D0" w:rsidRDefault="00CF04BC" w:rsidP="006E66D0">
      <w:pPr>
        <w:pStyle w:val="enumlev1"/>
      </w:pPr>
      <w:r w:rsidRPr="006E66D0">
        <w:t>–</w:t>
      </w:r>
      <w:r w:rsidRPr="006E66D0">
        <w:tab/>
        <w:t>The coefficients “k1”, “k2”, “k3” and “k4” are reference monetary values that are specific to the applications in question. When setting these values, priority consideration should be given to enable achievement of the budgetary objective set by the authorities; and not to clash with the economic objectives of the authorities in regard to national development and the development of new services.</w:t>
      </w:r>
    </w:p>
    <w:p w14:paraId="24F0D20C" w14:textId="0EDF5551" w:rsidR="00CF04BC" w:rsidRPr="006E66D0" w:rsidRDefault="00CF04BC" w:rsidP="006E66D0">
      <w:pPr>
        <w:pStyle w:val="Heading3"/>
      </w:pPr>
      <w:bookmarkStart w:id="1558" w:name="_Toc289868817"/>
      <w:bookmarkStart w:id="1559" w:name="_Toc289932285"/>
      <w:bookmarkStart w:id="1560" w:name="_Toc291852894"/>
      <w:bookmarkStart w:id="1561" w:name="_Toc462234047"/>
      <w:bookmarkStart w:id="1562" w:name="_Toc289868977"/>
      <w:bookmarkStart w:id="1563" w:name="_Toc289933331"/>
      <w:bookmarkStart w:id="1564" w:name="_Toc518394206"/>
      <w:bookmarkStart w:id="1565" w:name="_Toc392515880"/>
      <w:bookmarkStart w:id="1566" w:name="_Toc182391525"/>
      <w:bookmarkStart w:id="1567" w:name="_Toc182391936"/>
      <w:r w:rsidRPr="006E66D0">
        <w:t>4.4.2</w:t>
      </w:r>
      <w:r w:rsidRPr="006E66D0">
        <w:tab/>
        <w:t>Fee applied to a point-to-point fixed-service assignment</w:t>
      </w:r>
      <w:bookmarkEnd w:id="1558"/>
      <w:bookmarkEnd w:id="1559"/>
      <w:bookmarkEnd w:id="1560"/>
      <w:bookmarkEnd w:id="1561"/>
      <w:bookmarkEnd w:id="1562"/>
      <w:bookmarkEnd w:id="1563"/>
      <w:bookmarkEnd w:id="1564"/>
      <w:bookmarkEnd w:id="1565"/>
      <w:bookmarkEnd w:id="1566"/>
      <w:bookmarkEnd w:id="1567"/>
    </w:p>
    <w:p w14:paraId="45B6DB71" w14:textId="77777777" w:rsidR="00CF04BC" w:rsidRPr="00B93493" w:rsidRDefault="00CF04BC" w:rsidP="006E66D0">
      <w:r w:rsidRPr="00B93493">
        <w:t xml:space="preserve">The following equation could be used for determining the annual amount </w:t>
      </w:r>
      <w:r w:rsidRPr="00B93493">
        <w:rPr>
          <w:i/>
          <w:iCs/>
        </w:rPr>
        <w:t>Rs</w:t>
      </w:r>
      <w:r w:rsidRPr="00B93493">
        <w:t xml:space="preserve"> of the spectrum fee:</w:t>
      </w:r>
    </w:p>
    <w:p w14:paraId="130D6A07" w14:textId="77777777" w:rsidR="00CF04BC" w:rsidRPr="00B93493" w:rsidRDefault="00CF04BC" w:rsidP="00CF04BC">
      <w:pPr>
        <w:pStyle w:val="Blanc"/>
      </w:pPr>
    </w:p>
    <w:p w14:paraId="04A93835" w14:textId="77777777" w:rsidR="00CF04BC" w:rsidRPr="00B93493" w:rsidRDefault="00CF04BC" w:rsidP="00CF04BC">
      <w:pPr>
        <w:pStyle w:val="Equation"/>
      </w:pPr>
      <w:r w:rsidRPr="00B93493">
        <w:tab/>
      </w:r>
      <w:r w:rsidRPr="00B93493">
        <w:tab/>
      </w:r>
      <w:r w:rsidRPr="00FF4406">
        <w:rPr>
          <w:i/>
          <w:iCs/>
        </w:rPr>
        <w:t>Rs</w:t>
      </w:r>
      <w:r w:rsidRPr="00B93493">
        <w:t xml:space="preserve"> = </w:t>
      </w:r>
      <w:r w:rsidRPr="00FF4406">
        <w:rPr>
          <w:i/>
          <w:iCs/>
        </w:rPr>
        <w:t>L</w:t>
      </w:r>
      <w:r w:rsidRPr="00B93493">
        <w:t xml:space="preserve"> * </w:t>
      </w:r>
      <w:r w:rsidRPr="00FF4406">
        <w:rPr>
          <w:i/>
          <w:iCs/>
        </w:rPr>
        <w:t>bf</w:t>
      </w:r>
      <w:r w:rsidRPr="00B93493">
        <w:t xml:space="preserve"> * </w:t>
      </w:r>
      <w:r w:rsidRPr="005B1526">
        <w:rPr>
          <w:i/>
          <w:iCs/>
        </w:rPr>
        <w:t>k</w:t>
      </w:r>
      <w:r w:rsidRPr="00FF4406">
        <w:t>1</w:t>
      </w:r>
      <w:r w:rsidRPr="00B93493">
        <w:tab/>
        <w:t>(7)</w:t>
      </w:r>
    </w:p>
    <w:p w14:paraId="6ADDFC6D" w14:textId="77777777" w:rsidR="00CF04BC" w:rsidRPr="00B93493" w:rsidRDefault="00CF04BC" w:rsidP="00CF04BC">
      <w:pPr>
        <w:pStyle w:val="Blanc"/>
      </w:pPr>
    </w:p>
    <w:p w14:paraId="6129E41F" w14:textId="229BB7D7" w:rsidR="00CF04BC" w:rsidRPr="006E66D0" w:rsidRDefault="00CF04BC" w:rsidP="006E66D0">
      <w:pPr>
        <w:pStyle w:val="Heading3"/>
      </w:pPr>
      <w:bookmarkStart w:id="1568" w:name="_Toc289932286"/>
      <w:bookmarkStart w:id="1569" w:name="_Toc462234048"/>
      <w:bookmarkStart w:id="1570" w:name="_Toc289933332"/>
      <w:bookmarkStart w:id="1571" w:name="_Toc289868818"/>
      <w:bookmarkStart w:id="1572" w:name="_Toc392515881"/>
      <w:bookmarkStart w:id="1573" w:name="_Toc291852895"/>
      <w:bookmarkStart w:id="1574" w:name="_Toc289868978"/>
      <w:bookmarkStart w:id="1575" w:name="_Toc518394207"/>
      <w:bookmarkStart w:id="1576" w:name="_Toc182391526"/>
      <w:bookmarkStart w:id="1577" w:name="_Toc182391937"/>
      <w:r w:rsidRPr="006E66D0">
        <w:t>4.4.3</w:t>
      </w:r>
      <w:r w:rsidRPr="006E66D0">
        <w:tab/>
        <w:t>Fee applied to a point-to-point fixed-service allotment</w:t>
      </w:r>
      <w:bookmarkEnd w:id="1568"/>
      <w:bookmarkEnd w:id="1569"/>
      <w:bookmarkEnd w:id="1570"/>
      <w:bookmarkEnd w:id="1571"/>
      <w:bookmarkEnd w:id="1572"/>
      <w:bookmarkEnd w:id="1573"/>
      <w:bookmarkEnd w:id="1574"/>
      <w:bookmarkEnd w:id="1575"/>
      <w:bookmarkEnd w:id="1576"/>
      <w:bookmarkEnd w:id="1577"/>
    </w:p>
    <w:p w14:paraId="1F21634A" w14:textId="77777777" w:rsidR="00CF04BC" w:rsidRPr="00B93493" w:rsidRDefault="00CF04BC" w:rsidP="00CF04BC">
      <w:r w:rsidRPr="00B93493">
        <w:t xml:space="preserve">The following equation could be used for determining the annual amount </w:t>
      </w:r>
      <w:r w:rsidRPr="00B93493">
        <w:rPr>
          <w:i/>
          <w:iCs/>
        </w:rPr>
        <w:t>Rs</w:t>
      </w:r>
      <w:r w:rsidRPr="00B93493">
        <w:t xml:space="preserve"> of the spectrum fee:</w:t>
      </w:r>
    </w:p>
    <w:p w14:paraId="5EEAC22E" w14:textId="77777777" w:rsidR="00CF04BC" w:rsidRPr="00B93493" w:rsidRDefault="00CF04BC" w:rsidP="00CF04BC">
      <w:pPr>
        <w:pStyle w:val="Blanc"/>
      </w:pPr>
    </w:p>
    <w:p w14:paraId="6F2856AB" w14:textId="77777777" w:rsidR="00CF04BC" w:rsidRPr="00B93493" w:rsidRDefault="00CF04BC" w:rsidP="00CF04BC">
      <w:pPr>
        <w:pStyle w:val="Equation"/>
      </w:pPr>
      <w:r w:rsidRPr="00B93493">
        <w:tab/>
      </w:r>
      <w:r w:rsidRPr="00B93493">
        <w:tab/>
      </w:r>
      <w:r w:rsidRPr="00FF4406">
        <w:rPr>
          <w:i/>
          <w:iCs/>
        </w:rPr>
        <w:t>Rs</w:t>
      </w:r>
      <w:r w:rsidRPr="00B93493">
        <w:t xml:space="preserve"> = </w:t>
      </w:r>
      <w:r w:rsidRPr="00FF4406">
        <w:rPr>
          <w:i/>
          <w:iCs/>
        </w:rPr>
        <w:t>L</w:t>
      </w:r>
      <w:r w:rsidRPr="00B93493">
        <w:t xml:space="preserve"> * </w:t>
      </w:r>
      <w:r w:rsidRPr="00FF4406">
        <w:rPr>
          <w:i/>
          <w:iCs/>
        </w:rPr>
        <w:t>bf</w:t>
      </w:r>
      <w:r w:rsidRPr="00B93493">
        <w:t xml:space="preserve"> * </w:t>
      </w:r>
      <w:r w:rsidRPr="00FF4406">
        <w:rPr>
          <w:i/>
          <w:iCs/>
        </w:rPr>
        <w:t>a</w:t>
      </w:r>
      <w:r w:rsidRPr="00B93493">
        <w:t xml:space="preserve"> * </w:t>
      </w:r>
      <w:r w:rsidRPr="00FF4406">
        <w:rPr>
          <w:i/>
          <w:iCs/>
        </w:rPr>
        <w:t>c</w:t>
      </w:r>
      <w:r w:rsidRPr="00FF4406">
        <w:t xml:space="preserve"> </w:t>
      </w:r>
      <w:r w:rsidRPr="00B93493">
        <w:t xml:space="preserve">* </w:t>
      </w:r>
      <w:r w:rsidRPr="005B1526">
        <w:rPr>
          <w:i/>
          <w:iCs/>
        </w:rPr>
        <w:t>k</w:t>
      </w:r>
      <w:r w:rsidRPr="00B93493">
        <w:t>1</w:t>
      </w:r>
      <w:r w:rsidRPr="00B93493">
        <w:tab/>
        <w:t>(8)</w:t>
      </w:r>
    </w:p>
    <w:p w14:paraId="7991D6E7" w14:textId="77777777" w:rsidR="00CF04BC" w:rsidRPr="00B93493" w:rsidRDefault="00CF04BC" w:rsidP="00CF04BC">
      <w:pPr>
        <w:pStyle w:val="Blanc"/>
      </w:pPr>
    </w:p>
    <w:p w14:paraId="6AEE54A0" w14:textId="77777777" w:rsidR="00CF04BC" w:rsidRPr="00B93493" w:rsidRDefault="00CF04BC" w:rsidP="00CF04BC">
      <w:r w:rsidRPr="00B93493">
        <w:t>where “c” is the ratio between the surface area covered by the allotment and the total surface area of the national territory.</w:t>
      </w:r>
    </w:p>
    <w:p w14:paraId="54316FF1" w14:textId="77777777" w:rsidR="00CF04BC" w:rsidRPr="006E66D0" w:rsidRDefault="00CF04BC" w:rsidP="006E66D0">
      <w:pPr>
        <w:pStyle w:val="Heading3"/>
      </w:pPr>
      <w:bookmarkStart w:id="1578" w:name="_Toc289868979"/>
      <w:bookmarkStart w:id="1579" w:name="_Toc289933333"/>
      <w:bookmarkStart w:id="1580" w:name="_Toc462234049"/>
      <w:bookmarkStart w:id="1581" w:name="_Toc392515882"/>
      <w:bookmarkStart w:id="1582" w:name="_Toc518394208"/>
      <w:bookmarkStart w:id="1583" w:name="_Toc291852896"/>
      <w:bookmarkStart w:id="1584" w:name="_Toc289868819"/>
      <w:bookmarkStart w:id="1585" w:name="_Toc289932287"/>
      <w:bookmarkStart w:id="1586" w:name="_Toc182391527"/>
      <w:bookmarkStart w:id="1587" w:name="_Toc182391938"/>
      <w:r w:rsidRPr="006E66D0">
        <w:t>4.4.4</w:t>
      </w:r>
      <w:r w:rsidRPr="006E66D0">
        <w:tab/>
        <w:t>Fee applied to a wireless local loop allotment in the fixed service</w:t>
      </w:r>
      <w:bookmarkEnd w:id="1578"/>
      <w:bookmarkEnd w:id="1579"/>
      <w:bookmarkEnd w:id="1580"/>
      <w:bookmarkEnd w:id="1581"/>
      <w:bookmarkEnd w:id="1582"/>
      <w:bookmarkEnd w:id="1583"/>
      <w:bookmarkEnd w:id="1584"/>
      <w:bookmarkEnd w:id="1585"/>
      <w:bookmarkEnd w:id="1586"/>
      <w:bookmarkEnd w:id="1587"/>
    </w:p>
    <w:p w14:paraId="07A04719" w14:textId="77777777" w:rsidR="00CF04BC" w:rsidRPr="00B93493" w:rsidRDefault="00CF04BC" w:rsidP="006E66D0">
      <w:pPr>
        <w:keepNext/>
        <w:keepLines/>
      </w:pPr>
      <w:r w:rsidRPr="00B93493">
        <w:t xml:space="preserve">The following equation could be used for determining the annual amount </w:t>
      </w:r>
      <w:r w:rsidRPr="00B93493">
        <w:rPr>
          <w:i/>
          <w:iCs/>
        </w:rPr>
        <w:t>Rs</w:t>
      </w:r>
      <w:r w:rsidRPr="00B93493">
        <w:t xml:space="preserve"> of the spectrum fee:</w:t>
      </w:r>
    </w:p>
    <w:p w14:paraId="2AD435B1" w14:textId="77777777" w:rsidR="00CF04BC" w:rsidRPr="00B93493" w:rsidRDefault="00CF04BC" w:rsidP="00CF04BC">
      <w:pPr>
        <w:pStyle w:val="Blanc"/>
      </w:pPr>
    </w:p>
    <w:p w14:paraId="2A1C9634" w14:textId="77777777" w:rsidR="00CF04BC" w:rsidRPr="00B93493" w:rsidRDefault="00CF04BC" w:rsidP="00CF04BC">
      <w:pPr>
        <w:pStyle w:val="Equation"/>
      </w:pPr>
      <w:r w:rsidRPr="00B93493">
        <w:tab/>
      </w:r>
      <w:r w:rsidRPr="00B93493">
        <w:tab/>
      </w:r>
      <w:r w:rsidRPr="005B1526">
        <w:rPr>
          <w:i/>
          <w:iCs/>
        </w:rPr>
        <w:t>Rs</w:t>
      </w:r>
      <w:r w:rsidRPr="00B93493">
        <w:t xml:space="preserve"> = </w:t>
      </w:r>
      <w:r w:rsidRPr="005B1526">
        <w:rPr>
          <w:i/>
          <w:iCs/>
        </w:rPr>
        <w:t>L</w:t>
      </w:r>
      <w:r w:rsidRPr="00B93493">
        <w:t xml:space="preserve"> * </w:t>
      </w:r>
      <w:r w:rsidRPr="005B1526">
        <w:rPr>
          <w:i/>
          <w:iCs/>
        </w:rPr>
        <w:t>bf</w:t>
      </w:r>
      <w:r w:rsidRPr="00B93493">
        <w:t xml:space="preserve"> * </w:t>
      </w:r>
      <w:r w:rsidRPr="005B1526">
        <w:rPr>
          <w:i/>
          <w:iCs/>
        </w:rPr>
        <w:t>a</w:t>
      </w:r>
      <w:r w:rsidRPr="00B93493">
        <w:t xml:space="preserve"> * </w:t>
      </w:r>
      <w:r w:rsidRPr="005B1526">
        <w:rPr>
          <w:i/>
          <w:iCs/>
        </w:rPr>
        <w:t>c</w:t>
      </w:r>
      <w:r w:rsidRPr="00B93493">
        <w:t xml:space="preserve"> * </w:t>
      </w:r>
      <w:r w:rsidRPr="005B1526">
        <w:rPr>
          <w:i/>
          <w:iCs/>
        </w:rPr>
        <w:t>k</w:t>
      </w:r>
      <w:r w:rsidRPr="00B93493">
        <w:t>2</w:t>
      </w:r>
      <w:r w:rsidRPr="00B93493">
        <w:tab/>
        <w:t>(9)</w:t>
      </w:r>
    </w:p>
    <w:p w14:paraId="25BB06A2" w14:textId="77777777" w:rsidR="00CF04BC" w:rsidRPr="00B93493" w:rsidRDefault="00CF04BC" w:rsidP="00CF04BC">
      <w:r w:rsidRPr="00B93493">
        <w:t>where “c” is the ratio between the surface area covered by the allotment and the total surface area of the national territory.</w:t>
      </w:r>
    </w:p>
    <w:p w14:paraId="12FA421B" w14:textId="77777777" w:rsidR="00CF04BC" w:rsidRPr="006E66D0" w:rsidRDefault="00CF04BC" w:rsidP="006E66D0">
      <w:pPr>
        <w:pStyle w:val="Heading3"/>
      </w:pPr>
      <w:bookmarkStart w:id="1588" w:name="_Toc289868820"/>
      <w:bookmarkStart w:id="1589" w:name="_Toc291852897"/>
      <w:bookmarkStart w:id="1590" w:name="_Toc289932288"/>
      <w:bookmarkStart w:id="1591" w:name="_Toc518394209"/>
      <w:bookmarkStart w:id="1592" w:name="_Toc289868980"/>
      <w:bookmarkStart w:id="1593" w:name="_Toc289933334"/>
      <w:bookmarkStart w:id="1594" w:name="_Toc392515883"/>
      <w:bookmarkStart w:id="1595" w:name="_Toc462234050"/>
      <w:bookmarkStart w:id="1596" w:name="_Toc182391528"/>
      <w:bookmarkStart w:id="1597" w:name="_Toc182391939"/>
      <w:r w:rsidRPr="006E66D0">
        <w:t>4.4.5</w:t>
      </w:r>
      <w:r w:rsidRPr="006E66D0">
        <w:tab/>
        <w:t>Fee applied to an assignment to an earth station in the fixed or mobile-satellite service</w:t>
      </w:r>
      <w:bookmarkEnd w:id="1588"/>
      <w:bookmarkEnd w:id="1589"/>
      <w:bookmarkEnd w:id="1590"/>
      <w:bookmarkEnd w:id="1591"/>
      <w:bookmarkEnd w:id="1592"/>
      <w:bookmarkEnd w:id="1593"/>
      <w:bookmarkEnd w:id="1594"/>
      <w:bookmarkEnd w:id="1595"/>
      <w:bookmarkEnd w:id="1596"/>
      <w:bookmarkEnd w:id="1597"/>
    </w:p>
    <w:p w14:paraId="25C6C3B4" w14:textId="77777777" w:rsidR="00CF04BC" w:rsidRPr="00B93493" w:rsidRDefault="00CF04BC" w:rsidP="00CF04BC">
      <w:r w:rsidRPr="00B93493">
        <w:t xml:space="preserve">The following equation could be used for determining the annual amount </w:t>
      </w:r>
      <w:r w:rsidRPr="00B93493">
        <w:rPr>
          <w:i/>
          <w:iCs/>
        </w:rPr>
        <w:t>Rs</w:t>
      </w:r>
      <w:r w:rsidRPr="00B93493">
        <w:t xml:space="preserve"> of the spectrum fee:</w:t>
      </w:r>
    </w:p>
    <w:p w14:paraId="554E8537" w14:textId="77777777" w:rsidR="00CF04BC" w:rsidRPr="00B93493" w:rsidRDefault="00CF04BC" w:rsidP="00CF04BC">
      <w:pPr>
        <w:pStyle w:val="Blanc"/>
      </w:pPr>
    </w:p>
    <w:p w14:paraId="40596AFE" w14:textId="77777777" w:rsidR="00CF04BC" w:rsidRPr="00B93493" w:rsidRDefault="00CF04BC" w:rsidP="00CF04BC">
      <w:pPr>
        <w:pStyle w:val="Equation"/>
      </w:pPr>
      <w:r w:rsidRPr="00B93493">
        <w:tab/>
      </w:r>
      <w:r w:rsidRPr="00B93493">
        <w:tab/>
      </w:r>
      <w:r w:rsidRPr="005B1526">
        <w:rPr>
          <w:i/>
          <w:iCs/>
        </w:rPr>
        <w:t>Rs</w:t>
      </w:r>
      <w:r w:rsidRPr="00B93493">
        <w:t xml:space="preserve"> = </w:t>
      </w:r>
      <w:r w:rsidRPr="005B1526">
        <w:rPr>
          <w:i/>
          <w:iCs/>
        </w:rPr>
        <w:t>L</w:t>
      </w:r>
      <w:r w:rsidRPr="00B93493">
        <w:t xml:space="preserve"> * </w:t>
      </w:r>
      <w:r w:rsidRPr="005B1526">
        <w:rPr>
          <w:i/>
          <w:iCs/>
        </w:rPr>
        <w:t>bf</w:t>
      </w:r>
      <w:r w:rsidRPr="00B93493">
        <w:t xml:space="preserve"> * </w:t>
      </w:r>
      <w:r w:rsidRPr="005B1526">
        <w:rPr>
          <w:i/>
          <w:iCs/>
        </w:rPr>
        <w:t>k</w:t>
      </w:r>
      <w:r w:rsidRPr="00B93493">
        <w:t>3</w:t>
      </w:r>
      <w:r w:rsidRPr="00B93493">
        <w:tab/>
        <w:t>(10)</w:t>
      </w:r>
    </w:p>
    <w:p w14:paraId="416A6E36" w14:textId="77777777" w:rsidR="00CF04BC" w:rsidRPr="00B93493" w:rsidRDefault="00CF04BC" w:rsidP="00CF04BC">
      <w:pPr>
        <w:pStyle w:val="Blanc"/>
        <w:keepNext w:val="0"/>
        <w:keepLines w:val="0"/>
      </w:pPr>
    </w:p>
    <w:p w14:paraId="2B12E296" w14:textId="77777777" w:rsidR="00CF04BC" w:rsidRPr="006E66D0" w:rsidRDefault="00CF04BC" w:rsidP="006E66D0">
      <w:pPr>
        <w:pStyle w:val="Heading3"/>
      </w:pPr>
      <w:bookmarkStart w:id="1598" w:name="_Toc518394210"/>
      <w:bookmarkStart w:id="1599" w:name="_Toc291852898"/>
      <w:bookmarkStart w:id="1600" w:name="_Toc462234051"/>
      <w:bookmarkStart w:id="1601" w:name="_Toc392515884"/>
      <w:bookmarkStart w:id="1602" w:name="_Toc289932289"/>
      <w:bookmarkStart w:id="1603" w:name="_Toc289933335"/>
      <w:bookmarkStart w:id="1604" w:name="_Toc289868821"/>
      <w:bookmarkStart w:id="1605" w:name="_Toc289868981"/>
      <w:bookmarkStart w:id="1606" w:name="_Toc182391529"/>
      <w:bookmarkStart w:id="1607" w:name="_Toc182391940"/>
      <w:r w:rsidRPr="006E66D0">
        <w:t>4.4.6</w:t>
      </w:r>
      <w:r w:rsidRPr="006E66D0">
        <w:tab/>
        <w:t>Fee applied to an allotment in the fixed or mobile-satellite service</w:t>
      </w:r>
      <w:bookmarkEnd w:id="1598"/>
      <w:bookmarkEnd w:id="1599"/>
      <w:bookmarkEnd w:id="1600"/>
      <w:bookmarkEnd w:id="1601"/>
      <w:bookmarkEnd w:id="1602"/>
      <w:bookmarkEnd w:id="1603"/>
      <w:bookmarkEnd w:id="1604"/>
      <w:bookmarkEnd w:id="1605"/>
      <w:bookmarkEnd w:id="1606"/>
      <w:bookmarkEnd w:id="1607"/>
    </w:p>
    <w:p w14:paraId="0E8B6D96" w14:textId="77777777" w:rsidR="00CF04BC" w:rsidRPr="00B93493" w:rsidRDefault="00CF04BC" w:rsidP="00CF04BC">
      <w:r w:rsidRPr="00B93493">
        <w:t xml:space="preserve">The following equation could be used for determining the annual amount </w:t>
      </w:r>
      <w:r w:rsidRPr="00B93493">
        <w:rPr>
          <w:i/>
          <w:iCs/>
        </w:rPr>
        <w:t>Rs</w:t>
      </w:r>
      <w:r w:rsidRPr="00B93493">
        <w:t xml:space="preserve"> of the spectrum fee:</w:t>
      </w:r>
    </w:p>
    <w:p w14:paraId="15F7C5D9" w14:textId="77777777" w:rsidR="00CF04BC" w:rsidRPr="00B93493" w:rsidRDefault="00CF04BC" w:rsidP="00CF04BC">
      <w:pPr>
        <w:pStyle w:val="Blanc"/>
      </w:pPr>
    </w:p>
    <w:p w14:paraId="5D6DCBB4" w14:textId="77777777" w:rsidR="00CF04BC" w:rsidRPr="00B93493" w:rsidRDefault="00CF04BC" w:rsidP="00CF04BC">
      <w:pPr>
        <w:pStyle w:val="Equation"/>
      </w:pPr>
      <w:r w:rsidRPr="00B93493">
        <w:tab/>
      </w:r>
      <w:r w:rsidRPr="00B93493">
        <w:tab/>
      </w:r>
      <w:r w:rsidRPr="005B1526">
        <w:rPr>
          <w:i/>
          <w:iCs/>
        </w:rPr>
        <w:t>Rs</w:t>
      </w:r>
      <w:r w:rsidRPr="00B93493">
        <w:t xml:space="preserve"> = </w:t>
      </w:r>
      <w:r w:rsidRPr="005B1526">
        <w:rPr>
          <w:i/>
          <w:iCs/>
        </w:rPr>
        <w:t>L</w:t>
      </w:r>
      <w:r w:rsidRPr="00B93493">
        <w:t xml:space="preserve"> * </w:t>
      </w:r>
      <w:r w:rsidRPr="005B1526">
        <w:rPr>
          <w:i/>
          <w:iCs/>
        </w:rPr>
        <w:t>bf</w:t>
      </w:r>
      <w:r w:rsidRPr="00B93493">
        <w:t xml:space="preserve"> * </w:t>
      </w:r>
      <w:r w:rsidRPr="005B1526">
        <w:rPr>
          <w:i/>
          <w:iCs/>
        </w:rPr>
        <w:t>k</w:t>
      </w:r>
      <w:r w:rsidRPr="00B93493">
        <w:t xml:space="preserve">3 * </w:t>
      </w:r>
      <w:r w:rsidRPr="005B1526">
        <w:rPr>
          <w:i/>
          <w:iCs/>
        </w:rPr>
        <w:t>a</w:t>
      </w:r>
      <w:r w:rsidRPr="00B93493">
        <w:tab/>
        <w:t>(11)</w:t>
      </w:r>
    </w:p>
    <w:p w14:paraId="582CA93B" w14:textId="77777777" w:rsidR="00CF04BC" w:rsidRPr="00B93493" w:rsidRDefault="00CF04BC" w:rsidP="00CF04BC">
      <w:pPr>
        <w:pStyle w:val="Blanc"/>
      </w:pPr>
    </w:p>
    <w:p w14:paraId="44652B67" w14:textId="77777777" w:rsidR="00CF04BC" w:rsidRPr="006E66D0" w:rsidRDefault="00CF04BC" w:rsidP="006E66D0">
      <w:pPr>
        <w:pStyle w:val="Heading3"/>
      </w:pPr>
      <w:bookmarkStart w:id="1608" w:name="_Toc289932290"/>
      <w:bookmarkStart w:id="1609" w:name="_Toc462234052"/>
      <w:bookmarkStart w:id="1610" w:name="_Toc289868982"/>
      <w:bookmarkStart w:id="1611" w:name="_Toc289868822"/>
      <w:bookmarkStart w:id="1612" w:name="_Toc291852899"/>
      <w:bookmarkStart w:id="1613" w:name="_Toc392515885"/>
      <w:bookmarkStart w:id="1614" w:name="_Toc518394211"/>
      <w:bookmarkStart w:id="1615" w:name="_Toc289933336"/>
      <w:bookmarkStart w:id="1616" w:name="_Toc182391530"/>
      <w:bookmarkStart w:id="1617" w:name="_Toc182391941"/>
      <w:r w:rsidRPr="006E66D0">
        <w:t>4.4.7</w:t>
      </w:r>
      <w:r w:rsidRPr="006E66D0">
        <w:tab/>
        <w:t>Fee applied to an assignment for private networks in the mobile service</w:t>
      </w:r>
      <w:bookmarkEnd w:id="1608"/>
      <w:bookmarkEnd w:id="1609"/>
      <w:bookmarkEnd w:id="1610"/>
      <w:bookmarkEnd w:id="1611"/>
      <w:bookmarkEnd w:id="1612"/>
      <w:bookmarkEnd w:id="1613"/>
      <w:bookmarkEnd w:id="1614"/>
      <w:bookmarkEnd w:id="1615"/>
      <w:bookmarkEnd w:id="1616"/>
      <w:bookmarkEnd w:id="1617"/>
    </w:p>
    <w:p w14:paraId="783EE8A1" w14:textId="77777777" w:rsidR="00CF04BC" w:rsidRPr="00B93493" w:rsidRDefault="00CF04BC" w:rsidP="00CF04BC">
      <w:r w:rsidRPr="00B93493">
        <w:t xml:space="preserve">The following equation could be used for determining the annual amount </w:t>
      </w:r>
      <w:r w:rsidRPr="00B93493">
        <w:rPr>
          <w:i/>
          <w:iCs/>
        </w:rPr>
        <w:t>Rs</w:t>
      </w:r>
      <w:r w:rsidRPr="00B93493">
        <w:t xml:space="preserve"> of the spectrum fee:</w:t>
      </w:r>
    </w:p>
    <w:p w14:paraId="206F5D01" w14:textId="77777777" w:rsidR="00CF04BC" w:rsidRPr="00B93493" w:rsidRDefault="00CF04BC" w:rsidP="00CF04BC">
      <w:pPr>
        <w:pStyle w:val="Blanc"/>
      </w:pPr>
    </w:p>
    <w:p w14:paraId="6B4FB438" w14:textId="77777777" w:rsidR="00CF04BC" w:rsidRPr="00B93493" w:rsidRDefault="00CF04BC" w:rsidP="00CF04BC">
      <w:pPr>
        <w:pStyle w:val="Equation"/>
      </w:pPr>
      <w:r w:rsidRPr="00B93493">
        <w:tab/>
      </w:r>
      <w:r w:rsidRPr="00B93493">
        <w:tab/>
      </w:r>
      <w:r w:rsidRPr="005B1526">
        <w:rPr>
          <w:i/>
          <w:iCs/>
        </w:rPr>
        <w:t>Rs</w:t>
      </w:r>
      <w:r w:rsidRPr="00B93493">
        <w:t xml:space="preserve"> = </w:t>
      </w:r>
      <w:r w:rsidRPr="005B1526">
        <w:rPr>
          <w:i/>
          <w:iCs/>
        </w:rPr>
        <w:t>L</w:t>
      </w:r>
      <w:r w:rsidRPr="00B93493">
        <w:t xml:space="preserve"> * </w:t>
      </w:r>
      <w:r w:rsidRPr="005B1526">
        <w:rPr>
          <w:i/>
          <w:iCs/>
        </w:rPr>
        <w:t>bf</w:t>
      </w:r>
      <w:r w:rsidRPr="00B93493">
        <w:t xml:space="preserve"> * </w:t>
      </w:r>
      <w:r w:rsidRPr="005B1526">
        <w:rPr>
          <w:i/>
          <w:iCs/>
        </w:rPr>
        <w:t>c</w:t>
      </w:r>
      <w:r w:rsidRPr="00B93493">
        <w:t xml:space="preserve"> * </w:t>
      </w:r>
      <w:r w:rsidRPr="005B1526">
        <w:rPr>
          <w:i/>
          <w:iCs/>
        </w:rPr>
        <w:t>k</w:t>
      </w:r>
      <w:r w:rsidRPr="00B93493">
        <w:t>4</w:t>
      </w:r>
      <w:r w:rsidRPr="00B93493">
        <w:tab/>
        <w:t>(12)</w:t>
      </w:r>
    </w:p>
    <w:p w14:paraId="6BC1C5C5" w14:textId="77777777" w:rsidR="00CF04BC" w:rsidRPr="00B93493" w:rsidRDefault="00CF04BC" w:rsidP="00CF04BC">
      <w:pPr>
        <w:pStyle w:val="Blanc"/>
      </w:pPr>
    </w:p>
    <w:p w14:paraId="03CD1978" w14:textId="77777777" w:rsidR="00CF04BC" w:rsidRPr="006E66D0" w:rsidRDefault="00CF04BC" w:rsidP="006E66D0">
      <w:pPr>
        <w:pStyle w:val="Heading3"/>
      </w:pPr>
      <w:bookmarkStart w:id="1618" w:name="_Toc518394212"/>
      <w:bookmarkStart w:id="1619" w:name="_Toc462234053"/>
      <w:bookmarkStart w:id="1620" w:name="_Toc182391531"/>
      <w:bookmarkStart w:id="1621" w:name="_Toc182391942"/>
      <w:r w:rsidRPr="006E66D0">
        <w:t>4.4.8</w:t>
      </w:r>
      <w:r w:rsidRPr="006E66D0">
        <w:tab/>
        <w:t>Practical example of fee calculation formula from the Republic of Colombia</w:t>
      </w:r>
      <w:bookmarkEnd w:id="1618"/>
      <w:bookmarkEnd w:id="1619"/>
      <w:bookmarkEnd w:id="1620"/>
      <w:bookmarkEnd w:id="1621"/>
    </w:p>
    <w:p w14:paraId="6E56D0A8" w14:textId="77777777" w:rsidR="00CF04BC" w:rsidRPr="00B93493" w:rsidRDefault="00CF04BC" w:rsidP="006E66D0">
      <w:r w:rsidRPr="00B93493">
        <w:t>See § 5.2.13.</w:t>
      </w:r>
    </w:p>
    <w:p w14:paraId="138FA27D" w14:textId="77777777" w:rsidR="00CF04BC" w:rsidRPr="006E66D0" w:rsidRDefault="00CF04BC" w:rsidP="006E66D0">
      <w:pPr>
        <w:pStyle w:val="Heading2"/>
      </w:pPr>
      <w:bookmarkStart w:id="1622" w:name="_Toc392515886"/>
      <w:bookmarkStart w:id="1623" w:name="_Toc291852900"/>
      <w:bookmarkStart w:id="1624" w:name="_Toc289868983"/>
      <w:bookmarkStart w:id="1625" w:name="_Toc289868823"/>
      <w:bookmarkStart w:id="1626" w:name="_Toc289932291"/>
      <w:bookmarkStart w:id="1627" w:name="_Toc518394213"/>
      <w:bookmarkStart w:id="1628" w:name="_Toc462234054"/>
      <w:bookmarkStart w:id="1629" w:name="_Toc289933337"/>
      <w:bookmarkStart w:id="1630" w:name="_Toc182391532"/>
      <w:bookmarkStart w:id="1631" w:name="_Toc182391943"/>
      <w:bookmarkStart w:id="1632" w:name="_Toc201822286"/>
      <w:r w:rsidRPr="006E66D0">
        <w:t>4.5</w:t>
      </w:r>
      <w:r w:rsidRPr="006E66D0">
        <w:tab/>
        <w:t>Spectrum fees for frequencies used in the provision or marketing of services intended for a consumer market</w:t>
      </w:r>
      <w:bookmarkEnd w:id="1622"/>
      <w:bookmarkEnd w:id="1623"/>
      <w:bookmarkEnd w:id="1624"/>
      <w:bookmarkEnd w:id="1625"/>
      <w:bookmarkEnd w:id="1626"/>
      <w:bookmarkEnd w:id="1627"/>
      <w:bookmarkEnd w:id="1628"/>
      <w:bookmarkEnd w:id="1629"/>
      <w:bookmarkEnd w:id="1630"/>
      <w:bookmarkEnd w:id="1631"/>
      <w:bookmarkEnd w:id="1632"/>
    </w:p>
    <w:p w14:paraId="085946CB" w14:textId="77777777" w:rsidR="00CF04BC" w:rsidRPr="006E66D0" w:rsidRDefault="00CF04BC" w:rsidP="006E66D0">
      <w:pPr>
        <w:pStyle w:val="Heading3"/>
      </w:pPr>
      <w:bookmarkStart w:id="1633" w:name="_Toc462234055"/>
      <w:bookmarkStart w:id="1634" w:name="_Toc289932292"/>
      <w:bookmarkStart w:id="1635" w:name="_Toc289933338"/>
      <w:bookmarkStart w:id="1636" w:name="_Toc518394214"/>
      <w:bookmarkStart w:id="1637" w:name="_Toc289868984"/>
      <w:bookmarkStart w:id="1638" w:name="_Toc392515887"/>
      <w:bookmarkStart w:id="1639" w:name="_Toc291852901"/>
      <w:bookmarkStart w:id="1640" w:name="_Toc289868824"/>
      <w:bookmarkStart w:id="1641" w:name="_Toc182391533"/>
      <w:bookmarkStart w:id="1642" w:name="_Toc182391944"/>
      <w:r w:rsidRPr="006E66D0">
        <w:t>4.5.1</w:t>
      </w:r>
      <w:r w:rsidRPr="006E66D0">
        <w:tab/>
        <w:t>Observations and general approaches</w:t>
      </w:r>
      <w:bookmarkEnd w:id="1633"/>
      <w:bookmarkEnd w:id="1634"/>
      <w:bookmarkEnd w:id="1635"/>
      <w:bookmarkEnd w:id="1636"/>
      <w:bookmarkEnd w:id="1637"/>
      <w:bookmarkEnd w:id="1638"/>
      <w:bookmarkEnd w:id="1639"/>
      <w:bookmarkEnd w:id="1640"/>
      <w:bookmarkEnd w:id="1641"/>
      <w:bookmarkEnd w:id="1642"/>
    </w:p>
    <w:p w14:paraId="63FD81C2" w14:textId="77777777" w:rsidR="00CF04BC" w:rsidRPr="00B93493" w:rsidRDefault="00CF04BC" w:rsidP="00CF04BC">
      <w:r w:rsidRPr="00B93493">
        <w:t>Generally speaking, the fees applied in respect of the above frequencies constitute the major part of the budgetary revenue that the State receives by way of spectrum-related fees. To reflect the income derived from the situation rent, various factors may be envisaged, such as the population covered by the licence, the portion of territory concerned by the licence, or turnover resulting from the provision or marketing of the services. It is very often the turnover that proves to be the most representative factor in terms of the situation rent. If the turnover is to be used as the basis for fee calculation, it is recommended that its perimeter and content be clearly defined.</w:t>
      </w:r>
    </w:p>
    <w:p w14:paraId="0F67C92B" w14:textId="77777777" w:rsidR="00CF04BC" w:rsidRPr="006E66D0" w:rsidRDefault="00CF04BC" w:rsidP="006E66D0">
      <w:pPr>
        <w:pStyle w:val="Heading3"/>
      </w:pPr>
      <w:bookmarkStart w:id="1643" w:name="_Toc289932293"/>
      <w:bookmarkStart w:id="1644" w:name="_Toc291852902"/>
      <w:bookmarkStart w:id="1645" w:name="_Toc462234056"/>
      <w:bookmarkStart w:id="1646" w:name="_Toc289868985"/>
      <w:bookmarkStart w:id="1647" w:name="_Toc289868825"/>
      <w:bookmarkStart w:id="1648" w:name="_Toc289933339"/>
      <w:bookmarkStart w:id="1649" w:name="_Toc518394215"/>
      <w:bookmarkStart w:id="1650" w:name="_Toc392515888"/>
      <w:bookmarkStart w:id="1651" w:name="_Toc182391534"/>
      <w:bookmarkStart w:id="1652" w:name="_Toc182391945"/>
      <w:r w:rsidRPr="006E66D0">
        <w:t>4.5.2</w:t>
      </w:r>
      <w:r w:rsidRPr="006E66D0">
        <w:tab/>
        <w:t>Example of fees applied to the 2G mobile service</w:t>
      </w:r>
      <w:bookmarkEnd w:id="1643"/>
      <w:bookmarkEnd w:id="1644"/>
      <w:bookmarkEnd w:id="1645"/>
      <w:bookmarkEnd w:id="1646"/>
      <w:bookmarkEnd w:id="1647"/>
      <w:bookmarkEnd w:id="1648"/>
      <w:bookmarkEnd w:id="1649"/>
      <w:bookmarkEnd w:id="1650"/>
      <w:bookmarkEnd w:id="1651"/>
      <w:bookmarkEnd w:id="1652"/>
    </w:p>
    <w:p w14:paraId="1B9D3A5C" w14:textId="77777777" w:rsidR="00CF04BC" w:rsidRPr="00B93493" w:rsidRDefault="00CF04BC" w:rsidP="006E66D0">
      <w:r w:rsidRPr="00B93493">
        <w:t xml:space="preserve">The following equation could be used for determining the annual amount </w:t>
      </w:r>
      <w:r w:rsidRPr="00B93493">
        <w:rPr>
          <w:i/>
          <w:iCs/>
        </w:rPr>
        <w:t>Rs</w:t>
      </w:r>
      <w:r w:rsidRPr="00B93493">
        <w:t xml:space="preserve"> of the spectrum fee:</w:t>
      </w:r>
    </w:p>
    <w:p w14:paraId="79D496B0" w14:textId="77777777" w:rsidR="00CF04BC" w:rsidRPr="00B93493" w:rsidRDefault="00CF04BC" w:rsidP="00CF04BC">
      <w:pPr>
        <w:pStyle w:val="Blanc"/>
      </w:pPr>
    </w:p>
    <w:p w14:paraId="6BA5D1C6" w14:textId="77777777" w:rsidR="00CF04BC" w:rsidRPr="00B93493" w:rsidRDefault="00CF04BC" w:rsidP="00CF04BC">
      <w:pPr>
        <w:pStyle w:val="Equation"/>
      </w:pPr>
      <w:r w:rsidRPr="00B93493">
        <w:tab/>
      </w:r>
      <w:r w:rsidRPr="00B93493">
        <w:tab/>
      </w:r>
      <w:r w:rsidRPr="005B1526">
        <w:rPr>
          <w:i/>
          <w:iCs/>
        </w:rPr>
        <w:t>Rs</w:t>
      </w:r>
      <w:r w:rsidRPr="00B93493">
        <w:t xml:space="preserve"> = </w:t>
      </w:r>
      <w:r w:rsidRPr="005B1526">
        <w:rPr>
          <w:i/>
          <w:iCs/>
        </w:rPr>
        <w:t>F</w:t>
      </w:r>
      <w:r w:rsidRPr="00B93493">
        <w:t xml:space="preserve"> + </w:t>
      </w:r>
      <w:r w:rsidRPr="005B1526">
        <w:rPr>
          <w:i/>
          <w:iCs/>
        </w:rPr>
        <w:t>t</w:t>
      </w:r>
      <w:r w:rsidRPr="00B93493">
        <w:t xml:space="preserve">% * </w:t>
      </w:r>
      <w:r w:rsidRPr="005B1526">
        <w:rPr>
          <w:i/>
          <w:iCs/>
        </w:rPr>
        <w:t>CA</w:t>
      </w:r>
      <w:r w:rsidRPr="00B93493">
        <w:tab/>
        <w:t>(13)</w:t>
      </w:r>
    </w:p>
    <w:p w14:paraId="536D923D" w14:textId="77777777" w:rsidR="00CF04BC" w:rsidRPr="00B93493" w:rsidRDefault="00CF04BC" w:rsidP="00CF04BC">
      <w:r w:rsidRPr="00B93493">
        <w:t>where:</w:t>
      </w:r>
    </w:p>
    <w:p w14:paraId="2D900AFF" w14:textId="17173AA7" w:rsidR="00CF04BC" w:rsidRPr="00D25898" w:rsidRDefault="00CF04BC" w:rsidP="00CF04BC">
      <w:pPr>
        <w:pStyle w:val="Equationlegend"/>
      </w:pPr>
      <w:r w:rsidRPr="00B93493">
        <w:tab/>
      </w:r>
      <w:r w:rsidRPr="00D25898">
        <w:t>F</w:t>
      </w:r>
      <w:r w:rsidR="006E66D0" w:rsidRPr="00D25898">
        <w:t xml:space="preserve"> </w:t>
      </w:r>
      <w:r w:rsidRPr="00D25898">
        <w:t xml:space="preserve">: </w:t>
      </w:r>
      <w:r w:rsidRPr="00D25898">
        <w:tab/>
      </w:r>
      <w:r w:rsidRPr="00D25898">
        <w:rPr>
          <w:spacing w:val="-4"/>
        </w:rPr>
        <w:t>represents a fixed amount to be paid each year. This amount may be proportional t</w:t>
      </w:r>
      <w:r w:rsidRPr="00D25898">
        <w:t>o the total bandwidth allocated to the operator in question for the 2G service</w:t>
      </w:r>
    </w:p>
    <w:p w14:paraId="0A02B481" w14:textId="6F1B121E" w:rsidR="00CF04BC" w:rsidRPr="00D25898" w:rsidRDefault="00CF04BC" w:rsidP="00CF04BC">
      <w:pPr>
        <w:pStyle w:val="Equationlegend"/>
      </w:pPr>
      <w:r w:rsidRPr="00D25898">
        <w:tab/>
        <w:t>CA</w:t>
      </w:r>
      <w:r w:rsidR="006E66D0" w:rsidRPr="00D25898">
        <w:t xml:space="preserve"> </w:t>
      </w:r>
      <w:r w:rsidRPr="00D25898">
        <w:t xml:space="preserve">: </w:t>
      </w:r>
      <w:r w:rsidRPr="00D25898">
        <w:tab/>
        <w:t>represents the turnover of the operator for the corresponding year in respect of the 2G mobile service frequencies</w:t>
      </w:r>
    </w:p>
    <w:p w14:paraId="24D36081" w14:textId="4C44927D" w:rsidR="00CF04BC" w:rsidRPr="00B93493" w:rsidRDefault="00CF04BC" w:rsidP="00CF04BC">
      <w:pPr>
        <w:pStyle w:val="Equationlegend"/>
      </w:pPr>
      <w:r w:rsidRPr="00D25898">
        <w:tab/>
        <w:t>t%</w:t>
      </w:r>
      <w:r w:rsidR="006E66D0" w:rsidRPr="00D25898">
        <w:t xml:space="preserve"> </w:t>
      </w:r>
      <w:r w:rsidRPr="00D25898">
        <w:t xml:space="preserve">: </w:t>
      </w:r>
      <w:r w:rsidRPr="00D25898">
        <w:tab/>
        <w:t>represents the percentage to be levied on the operator’s turnover. Generally</w:t>
      </w:r>
      <w:r w:rsidRPr="00B93493">
        <w:t xml:space="preserve"> speaking, the t% applied by administrations is 1% or close to 1%.</w:t>
      </w:r>
    </w:p>
    <w:p w14:paraId="5C29EBB6" w14:textId="77777777" w:rsidR="00CF04BC" w:rsidRPr="006E66D0" w:rsidRDefault="00CF04BC" w:rsidP="006E66D0">
      <w:pPr>
        <w:pStyle w:val="Heading3"/>
      </w:pPr>
      <w:bookmarkStart w:id="1653" w:name="_Toc289868986"/>
      <w:bookmarkStart w:id="1654" w:name="_Toc289933340"/>
      <w:bookmarkStart w:id="1655" w:name="_Toc289932294"/>
      <w:bookmarkStart w:id="1656" w:name="_Toc291852903"/>
      <w:bookmarkStart w:id="1657" w:name="_Toc462234057"/>
      <w:bookmarkStart w:id="1658" w:name="_Toc289868826"/>
      <w:bookmarkStart w:id="1659" w:name="_Toc518394216"/>
      <w:bookmarkStart w:id="1660" w:name="_Toc392515889"/>
      <w:bookmarkStart w:id="1661" w:name="_Toc182391535"/>
      <w:bookmarkStart w:id="1662" w:name="_Toc182391946"/>
      <w:r w:rsidRPr="006E66D0">
        <w:t>4.5.3</w:t>
      </w:r>
      <w:r w:rsidRPr="006E66D0">
        <w:tab/>
        <w:t>Example of fees applied to the 3G mobile service</w:t>
      </w:r>
      <w:bookmarkEnd w:id="1653"/>
      <w:bookmarkEnd w:id="1654"/>
      <w:bookmarkEnd w:id="1655"/>
      <w:bookmarkEnd w:id="1656"/>
      <w:bookmarkEnd w:id="1657"/>
      <w:bookmarkEnd w:id="1658"/>
      <w:bookmarkEnd w:id="1659"/>
      <w:bookmarkEnd w:id="1660"/>
      <w:bookmarkEnd w:id="1661"/>
      <w:bookmarkEnd w:id="1662"/>
    </w:p>
    <w:p w14:paraId="4F447D75" w14:textId="77777777" w:rsidR="00CF04BC" w:rsidRPr="00B93493" w:rsidRDefault="00CF04BC" w:rsidP="006E66D0">
      <w:r w:rsidRPr="00B93493">
        <w:t xml:space="preserve">The following equation could be used for determining the annual amount </w:t>
      </w:r>
      <w:r w:rsidRPr="00B93493">
        <w:rPr>
          <w:i/>
          <w:iCs/>
        </w:rPr>
        <w:t>Rs</w:t>
      </w:r>
      <w:r w:rsidRPr="00B93493">
        <w:t xml:space="preserve"> of the spectrum fee:</w:t>
      </w:r>
    </w:p>
    <w:p w14:paraId="118DD144" w14:textId="77777777" w:rsidR="00CF04BC" w:rsidRPr="00B93493" w:rsidRDefault="00CF04BC" w:rsidP="00CF04BC">
      <w:pPr>
        <w:pStyle w:val="Blanc"/>
      </w:pPr>
    </w:p>
    <w:p w14:paraId="08A1D66D" w14:textId="77777777" w:rsidR="00CF04BC" w:rsidRPr="006E66D0" w:rsidRDefault="00CF04BC" w:rsidP="006E66D0">
      <w:pPr>
        <w:pStyle w:val="Equation"/>
      </w:pPr>
      <w:r w:rsidRPr="006E66D0">
        <w:tab/>
      </w:r>
      <w:r w:rsidRPr="006E66D0">
        <w:tab/>
      </w:r>
      <w:r w:rsidRPr="005B1526">
        <w:rPr>
          <w:i/>
          <w:iCs/>
        </w:rPr>
        <w:t>Rs</w:t>
      </w:r>
      <w:r w:rsidRPr="006E66D0">
        <w:t xml:space="preserve"> = </w:t>
      </w:r>
      <w:r w:rsidRPr="005B1526">
        <w:rPr>
          <w:i/>
          <w:iCs/>
        </w:rPr>
        <w:t>t</w:t>
      </w:r>
      <w:r w:rsidRPr="006E66D0">
        <w:t xml:space="preserve">% * </w:t>
      </w:r>
      <w:r w:rsidRPr="005B1526">
        <w:rPr>
          <w:i/>
          <w:iCs/>
        </w:rPr>
        <w:t>CA</w:t>
      </w:r>
      <w:r w:rsidRPr="006E66D0">
        <w:tab/>
        <w:t>(14)</w:t>
      </w:r>
    </w:p>
    <w:p w14:paraId="43ABDA54" w14:textId="77777777" w:rsidR="00CF04BC" w:rsidRPr="00B93493" w:rsidRDefault="00CF04BC" w:rsidP="00CF04BC">
      <w:r w:rsidRPr="00B93493">
        <w:t>where:</w:t>
      </w:r>
    </w:p>
    <w:p w14:paraId="32E3B457" w14:textId="60F0555C" w:rsidR="00CF04BC" w:rsidRPr="00B93493" w:rsidRDefault="00CF04BC" w:rsidP="00CF04BC">
      <w:pPr>
        <w:pStyle w:val="Equationlegend"/>
      </w:pPr>
      <w:r w:rsidRPr="00B93493">
        <w:tab/>
        <w:t>CA</w:t>
      </w:r>
      <w:r w:rsidR="006E66D0">
        <w:t xml:space="preserve"> </w:t>
      </w:r>
      <w:r w:rsidRPr="00B93493">
        <w:t xml:space="preserve">: </w:t>
      </w:r>
      <w:r w:rsidRPr="00B93493">
        <w:tab/>
        <w:t>represents the operator’s turnover for the corresponding year in respect of the 3G mobile service frequencies</w:t>
      </w:r>
    </w:p>
    <w:p w14:paraId="648A2FB1" w14:textId="305D6B2B" w:rsidR="00CF04BC" w:rsidRPr="00B93493" w:rsidRDefault="00CF04BC" w:rsidP="00CF04BC">
      <w:pPr>
        <w:pStyle w:val="Equationlegend"/>
      </w:pPr>
      <w:r w:rsidRPr="00B93493">
        <w:tab/>
        <w:t>t%</w:t>
      </w:r>
      <w:r w:rsidR="006E66D0">
        <w:t xml:space="preserve"> </w:t>
      </w:r>
      <w:r w:rsidRPr="00B93493">
        <w:t>:</w:t>
      </w:r>
      <w:r w:rsidRPr="00B93493">
        <w:tab/>
        <w:t>represents the percentage to be levied on the operator’s turnover.</w:t>
      </w:r>
    </w:p>
    <w:p w14:paraId="24547B16" w14:textId="77777777" w:rsidR="00CF04BC" w:rsidRPr="00B93493" w:rsidRDefault="00CF04BC" w:rsidP="006E66D0">
      <w:r w:rsidRPr="00B93493">
        <w:t>To this annual fee is added an “entry ticket”, payable upon allocation of the licence. The amount of the entry ticket, which may be proportional to the allocated bandwidth, should be set with particular reference to § [23] in order, as the case may be, not to hamper the deployment of new entrant’s networks.</w:t>
      </w:r>
    </w:p>
    <w:p w14:paraId="5802B00A" w14:textId="77777777" w:rsidR="00CF04BC" w:rsidRPr="006E66D0" w:rsidRDefault="00CF04BC" w:rsidP="006E66D0">
      <w:pPr>
        <w:pStyle w:val="Heading3"/>
      </w:pPr>
      <w:bookmarkStart w:id="1663" w:name="_Toc289933341"/>
      <w:bookmarkStart w:id="1664" w:name="_Toc392515890"/>
      <w:bookmarkStart w:id="1665" w:name="_Toc289932295"/>
      <w:bookmarkStart w:id="1666" w:name="_Toc291852904"/>
      <w:bookmarkStart w:id="1667" w:name="_Toc289868987"/>
      <w:bookmarkStart w:id="1668" w:name="_Toc462234058"/>
      <w:bookmarkStart w:id="1669" w:name="_Toc518394217"/>
      <w:bookmarkStart w:id="1670" w:name="_Toc289868827"/>
      <w:bookmarkStart w:id="1671" w:name="_Toc182391536"/>
      <w:bookmarkStart w:id="1672" w:name="_Toc182391947"/>
      <w:r w:rsidRPr="006E66D0">
        <w:t>4.5.4</w:t>
      </w:r>
      <w:r w:rsidRPr="006E66D0">
        <w:tab/>
        <w:t>Another example of fees applied to the fixed wireless local loop service</w:t>
      </w:r>
      <w:bookmarkEnd w:id="1663"/>
      <w:bookmarkEnd w:id="1664"/>
      <w:bookmarkEnd w:id="1665"/>
      <w:bookmarkEnd w:id="1666"/>
      <w:bookmarkEnd w:id="1667"/>
      <w:bookmarkEnd w:id="1668"/>
      <w:bookmarkEnd w:id="1669"/>
      <w:bookmarkEnd w:id="1670"/>
      <w:bookmarkEnd w:id="1671"/>
      <w:bookmarkEnd w:id="1672"/>
    </w:p>
    <w:p w14:paraId="7A28608C" w14:textId="77777777" w:rsidR="00CF04BC" w:rsidRPr="00B93493" w:rsidRDefault="00CF04BC" w:rsidP="006E66D0">
      <w:r w:rsidRPr="00B93493">
        <w:t xml:space="preserve">The following equation could be used for determining the annual amount </w:t>
      </w:r>
      <w:r w:rsidRPr="00B93493">
        <w:rPr>
          <w:i/>
          <w:iCs/>
        </w:rPr>
        <w:t>Rs</w:t>
      </w:r>
      <w:r w:rsidRPr="00B93493">
        <w:t xml:space="preserve"> of the spectrum fee:</w:t>
      </w:r>
    </w:p>
    <w:p w14:paraId="7A0CD0CB" w14:textId="77777777" w:rsidR="00CF04BC" w:rsidRPr="00B93493" w:rsidRDefault="00CF04BC" w:rsidP="00CF04BC">
      <w:pPr>
        <w:pStyle w:val="Blanc"/>
      </w:pPr>
    </w:p>
    <w:p w14:paraId="58B2F85A" w14:textId="77777777" w:rsidR="00CF04BC" w:rsidRPr="006E66D0" w:rsidRDefault="00CF04BC" w:rsidP="006E66D0">
      <w:pPr>
        <w:pStyle w:val="Equation"/>
      </w:pPr>
      <w:r w:rsidRPr="006E66D0">
        <w:tab/>
      </w:r>
      <w:r w:rsidRPr="006E66D0">
        <w:tab/>
      </w:r>
      <w:r w:rsidRPr="005B1526">
        <w:rPr>
          <w:i/>
          <w:iCs/>
        </w:rPr>
        <w:t>Rs</w:t>
      </w:r>
      <w:r w:rsidRPr="006E66D0">
        <w:t xml:space="preserve"> = </w:t>
      </w:r>
      <w:r w:rsidRPr="005B1526">
        <w:rPr>
          <w:i/>
          <w:iCs/>
        </w:rPr>
        <w:t>t</w:t>
      </w:r>
      <w:r w:rsidRPr="006E66D0">
        <w:t xml:space="preserve">% * </w:t>
      </w:r>
      <w:r w:rsidRPr="005B1526">
        <w:rPr>
          <w:i/>
          <w:iCs/>
        </w:rPr>
        <w:t>CA</w:t>
      </w:r>
      <w:r w:rsidRPr="006E66D0">
        <w:tab/>
        <w:t>(15)</w:t>
      </w:r>
    </w:p>
    <w:p w14:paraId="64EE713B" w14:textId="77777777" w:rsidR="00CF04BC" w:rsidRPr="00B93493" w:rsidRDefault="00CF04BC" w:rsidP="00CF04BC">
      <w:r w:rsidRPr="00B93493">
        <w:t>where:</w:t>
      </w:r>
    </w:p>
    <w:p w14:paraId="2A7ACACA" w14:textId="04C94A68" w:rsidR="00CF04BC" w:rsidRPr="00B93493" w:rsidRDefault="00CF04BC" w:rsidP="00CF04BC">
      <w:pPr>
        <w:pStyle w:val="Equationlegend"/>
      </w:pPr>
      <w:r w:rsidRPr="00B93493">
        <w:tab/>
        <w:t>CA</w:t>
      </w:r>
      <w:r w:rsidR="006E66D0">
        <w:t xml:space="preserve"> </w:t>
      </w:r>
      <w:r w:rsidRPr="00B93493">
        <w:t xml:space="preserve">: </w:t>
      </w:r>
      <w:r w:rsidRPr="00B93493">
        <w:tab/>
        <w:t>represents the operator’s turnover for the corresponding year in respect of the frequencies for the fixed wireless local loop service</w:t>
      </w:r>
    </w:p>
    <w:p w14:paraId="43C25F81" w14:textId="10C0F61D" w:rsidR="00CF04BC" w:rsidRPr="00B93493" w:rsidRDefault="00CF04BC" w:rsidP="00CF04BC">
      <w:pPr>
        <w:pStyle w:val="Equationlegend"/>
      </w:pPr>
      <w:r w:rsidRPr="00B93493">
        <w:tab/>
        <w:t>t%</w:t>
      </w:r>
      <w:r w:rsidR="006E66D0">
        <w:t xml:space="preserve"> </w:t>
      </w:r>
      <w:r w:rsidRPr="00B93493">
        <w:t xml:space="preserve">: </w:t>
      </w:r>
      <w:r w:rsidRPr="00B93493">
        <w:tab/>
        <w:t>represents the percentage to be levied on the operator’s turnover.</w:t>
      </w:r>
    </w:p>
    <w:p w14:paraId="12D6B394" w14:textId="77777777" w:rsidR="00CF04BC" w:rsidRPr="00B93493" w:rsidRDefault="00CF04BC" w:rsidP="006E66D0">
      <w:r w:rsidRPr="00B93493">
        <w:t>To this annual fee is added an “entry ticket”, payable upon allocation of the licence. The amount of the entry ticket, which may be proportional to the allocated bandwidth, should be set with particular reference to “entry ticket” in order, as the case may be, not to hamper the deployment of new entrant’s networks.</w:t>
      </w:r>
    </w:p>
    <w:p w14:paraId="51B3F4D4" w14:textId="795AD804" w:rsidR="00CF04BC" w:rsidRPr="006E66D0" w:rsidRDefault="00CF04BC" w:rsidP="006E66D0">
      <w:pPr>
        <w:pStyle w:val="Heading3"/>
      </w:pPr>
      <w:bookmarkStart w:id="1673" w:name="_Toc291852905"/>
      <w:bookmarkStart w:id="1674" w:name="_Toc289932296"/>
      <w:bookmarkStart w:id="1675" w:name="_Toc462234059"/>
      <w:bookmarkStart w:id="1676" w:name="_Toc289868828"/>
      <w:bookmarkStart w:id="1677" w:name="_Toc289868988"/>
      <w:bookmarkStart w:id="1678" w:name="_Toc518394218"/>
      <w:bookmarkStart w:id="1679" w:name="_Toc289933342"/>
      <w:bookmarkStart w:id="1680" w:name="_Toc392515891"/>
      <w:bookmarkStart w:id="1681" w:name="_Toc182391537"/>
      <w:bookmarkStart w:id="1682" w:name="_Toc182391948"/>
      <w:r w:rsidRPr="006E66D0">
        <w:t>4.5.5</w:t>
      </w:r>
      <w:r w:rsidRPr="006E66D0">
        <w:tab/>
        <w:t>Example of fees applied to a television programme producer</w:t>
      </w:r>
      <w:bookmarkEnd w:id="1673"/>
      <w:bookmarkEnd w:id="1674"/>
      <w:bookmarkEnd w:id="1675"/>
      <w:bookmarkEnd w:id="1676"/>
      <w:bookmarkEnd w:id="1677"/>
      <w:bookmarkEnd w:id="1678"/>
      <w:bookmarkEnd w:id="1679"/>
      <w:bookmarkEnd w:id="1680"/>
      <w:bookmarkEnd w:id="1681"/>
      <w:bookmarkEnd w:id="1682"/>
    </w:p>
    <w:p w14:paraId="7FC44E77" w14:textId="77777777" w:rsidR="00CF04BC" w:rsidRPr="00B93493" w:rsidRDefault="00CF04BC" w:rsidP="006E66D0">
      <w:r w:rsidRPr="00B93493">
        <w:t xml:space="preserve">The following equation could be used for determining the annual amount </w:t>
      </w:r>
      <w:r w:rsidRPr="00B93493">
        <w:rPr>
          <w:i/>
          <w:iCs/>
        </w:rPr>
        <w:t>Rs</w:t>
      </w:r>
      <w:r w:rsidRPr="00B93493">
        <w:t xml:space="preserve"> of the spectrum fee:</w:t>
      </w:r>
    </w:p>
    <w:p w14:paraId="29032930" w14:textId="77777777" w:rsidR="00CF04BC" w:rsidRPr="00B93493" w:rsidRDefault="00CF04BC" w:rsidP="00CF04BC">
      <w:pPr>
        <w:pStyle w:val="Blanc"/>
      </w:pPr>
    </w:p>
    <w:p w14:paraId="794FD6F3" w14:textId="77777777" w:rsidR="00CF04BC" w:rsidRPr="00B93493" w:rsidRDefault="00CF04BC" w:rsidP="00CF04BC">
      <w:pPr>
        <w:pStyle w:val="Equation"/>
      </w:pPr>
      <w:r w:rsidRPr="00B93493">
        <w:tab/>
      </w:r>
      <w:r w:rsidRPr="00B93493">
        <w:tab/>
      </w:r>
      <w:r w:rsidRPr="005B1526">
        <w:rPr>
          <w:i/>
          <w:iCs/>
        </w:rPr>
        <w:t>Rs</w:t>
      </w:r>
      <w:r w:rsidRPr="00B93493">
        <w:t xml:space="preserve"> = </w:t>
      </w:r>
      <w:r w:rsidRPr="005B1526">
        <w:rPr>
          <w:i/>
          <w:iCs/>
        </w:rPr>
        <w:t>F</w:t>
      </w:r>
      <w:r w:rsidRPr="00B93493">
        <w:t xml:space="preserve"> + </w:t>
      </w:r>
      <w:r w:rsidRPr="005B1526">
        <w:rPr>
          <w:i/>
          <w:iCs/>
        </w:rPr>
        <w:t>t</w:t>
      </w:r>
      <w:r w:rsidRPr="00B93493">
        <w:t xml:space="preserve">% * </w:t>
      </w:r>
      <w:r w:rsidRPr="005B1526">
        <w:rPr>
          <w:i/>
          <w:iCs/>
        </w:rPr>
        <w:t>CA</w:t>
      </w:r>
      <w:r w:rsidRPr="00B93493">
        <w:tab/>
        <w:t>(16)</w:t>
      </w:r>
    </w:p>
    <w:p w14:paraId="06F6112E" w14:textId="77777777" w:rsidR="00CF04BC" w:rsidRPr="00B93493" w:rsidRDefault="00CF04BC" w:rsidP="00CF04BC">
      <w:r w:rsidRPr="00B93493">
        <w:t>where:</w:t>
      </w:r>
    </w:p>
    <w:p w14:paraId="28FDD094" w14:textId="335F9DF0" w:rsidR="00CF04BC" w:rsidRPr="006E66D0" w:rsidRDefault="00CF04BC" w:rsidP="006E66D0">
      <w:pPr>
        <w:pStyle w:val="Equationlegend"/>
      </w:pPr>
      <w:r w:rsidRPr="00B93493">
        <w:tab/>
      </w:r>
      <w:r w:rsidRPr="006E66D0">
        <w:t>F</w:t>
      </w:r>
      <w:r w:rsidR="006E66D0">
        <w:t xml:space="preserve"> </w:t>
      </w:r>
      <w:r w:rsidRPr="006E66D0">
        <w:t xml:space="preserve">: </w:t>
      </w:r>
      <w:r w:rsidRPr="006E66D0">
        <w:tab/>
        <w:t>represents a fixed amount to be paid each year. This amount may be proportional to the total bandwidth allocated to the operator in question for broadcasting purposes</w:t>
      </w:r>
    </w:p>
    <w:p w14:paraId="2C378074" w14:textId="061A6617" w:rsidR="00CF04BC" w:rsidRPr="006E66D0" w:rsidRDefault="00CF04BC" w:rsidP="006E66D0">
      <w:pPr>
        <w:pStyle w:val="Equationlegend"/>
      </w:pPr>
      <w:r w:rsidRPr="006E66D0">
        <w:tab/>
        <w:t>CA</w:t>
      </w:r>
      <w:r w:rsidR="006E66D0">
        <w:t xml:space="preserve"> </w:t>
      </w:r>
      <w:r w:rsidRPr="006E66D0">
        <w:t xml:space="preserve">: </w:t>
      </w:r>
      <w:r w:rsidRPr="006E66D0">
        <w:tab/>
        <w:t>represents the operator’s turnover for the corresponding year derived from advertising income, supplemented, as the case may be, by income derived from subscriptions and per-view payments</w:t>
      </w:r>
    </w:p>
    <w:p w14:paraId="6847AEF1" w14:textId="2F66662B" w:rsidR="00CF04BC" w:rsidRPr="006E66D0" w:rsidRDefault="00CF04BC" w:rsidP="006E66D0">
      <w:pPr>
        <w:pStyle w:val="Equationlegend"/>
      </w:pPr>
      <w:r w:rsidRPr="006E66D0">
        <w:tab/>
        <w:t>t%</w:t>
      </w:r>
      <w:r w:rsidR="006E66D0">
        <w:t xml:space="preserve"> </w:t>
      </w:r>
      <w:r w:rsidRPr="006E66D0">
        <w:t xml:space="preserve">: </w:t>
      </w:r>
      <w:r w:rsidRPr="006E66D0">
        <w:tab/>
        <w:t>represents the percentage to be levied on the operator’s turnover.</w:t>
      </w:r>
    </w:p>
    <w:p w14:paraId="210F345C" w14:textId="77777777" w:rsidR="00CF04BC" w:rsidRPr="006E66D0" w:rsidRDefault="00CF04BC" w:rsidP="006E66D0">
      <w:pPr>
        <w:pStyle w:val="Heading2"/>
      </w:pPr>
      <w:bookmarkStart w:id="1683" w:name="_Toc462234060"/>
      <w:bookmarkStart w:id="1684" w:name="_Toc289933343"/>
      <w:bookmarkStart w:id="1685" w:name="_Toc289868829"/>
      <w:bookmarkStart w:id="1686" w:name="_Toc518394219"/>
      <w:bookmarkStart w:id="1687" w:name="_Toc289868989"/>
      <w:bookmarkStart w:id="1688" w:name="_Toc289932297"/>
      <w:bookmarkStart w:id="1689" w:name="_Toc392515892"/>
      <w:bookmarkStart w:id="1690" w:name="_Toc291852906"/>
      <w:bookmarkStart w:id="1691" w:name="_Toc182391538"/>
      <w:bookmarkStart w:id="1692" w:name="_Toc182391949"/>
      <w:bookmarkStart w:id="1693" w:name="_Toc201822287"/>
      <w:r w:rsidRPr="006E66D0">
        <w:t>4.6</w:t>
      </w:r>
      <w:r w:rsidRPr="006E66D0">
        <w:tab/>
        <w:t>An analytical model for calculating license fees on the basis of specified incentives that are designed to promote efficient spectrum use</w:t>
      </w:r>
      <w:bookmarkEnd w:id="1683"/>
      <w:bookmarkEnd w:id="1684"/>
      <w:bookmarkEnd w:id="1685"/>
      <w:bookmarkEnd w:id="1686"/>
      <w:bookmarkEnd w:id="1687"/>
      <w:bookmarkEnd w:id="1688"/>
      <w:bookmarkEnd w:id="1689"/>
      <w:bookmarkEnd w:id="1690"/>
      <w:bookmarkEnd w:id="1691"/>
      <w:bookmarkEnd w:id="1692"/>
      <w:bookmarkEnd w:id="1693"/>
    </w:p>
    <w:p w14:paraId="5F587AF9" w14:textId="77777777" w:rsidR="00CF04BC" w:rsidRPr="00B93493" w:rsidRDefault="00CF04BC" w:rsidP="0002647B">
      <w:r w:rsidRPr="00B93493">
        <w:t>This model was developed in the framework of the BDT Asia and Pacific Project on Spectrum Validation and Licensing, Bangkok, 2000. The study focuses on a specific method of spectrum fee calculation. The model is derived from the conceptual base that there is a distinct need to price spectrum and that the pricing of spectrum resources should reflect more than administrative convenience. This has been reinforced by the views of administrations participating in the data collection and policy review of SE Asian countries under the above Project. Further detailed information is available from the ITU website:</w:t>
      </w:r>
    </w:p>
    <w:p w14:paraId="60727C38" w14:textId="77777777" w:rsidR="00CF04BC" w:rsidRPr="00B93493" w:rsidRDefault="00CF04BC" w:rsidP="0002647B">
      <w:pPr>
        <w:spacing w:before="0"/>
      </w:pPr>
      <w:hyperlink r:id="rId24" w:history="1">
        <w:r w:rsidRPr="00B93493">
          <w:rPr>
            <w:rStyle w:val="Hyperlink"/>
          </w:rPr>
          <w:t>http://www.itu.int/ITU-D/tech/spectrum_management/docs/MODEL_FULL.pdf</w:t>
        </w:r>
      </w:hyperlink>
    </w:p>
    <w:p w14:paraId="2314616A" w14:textId="77777777" w:rsidR="00CF04BC" w:rsidRPr="00B93493" w:rsidRDefault="00CF04BC" w:rsidP="0002647B">
      <w:pPr>
        <w:rPr>
          <w:rFonts w:eastAsia="SimSun"/>
          <w:lang w:eastAsia="zh-CN"/>
        </w:rPr>
      </w:pPr>
      <w:r w:rsidRPr="00B93493">
        <w:rPr>
          <w:rFonts w:eastAsia="SimSun"/>
          <w:lang w:eastAsia="zh-CN"/>
        </w:rPr>
        <w:t>The importance of the model rests on it providing to administrations a functional tool which can be used to calculate spectrum fees on the basis of tangible criteria. In fact</w:t>
      </w:r>
      <w:r>
        <w:rPr>
          <w:rFonts w:eastAsia="SimSun" w:hint="eastAsia"/>
          <w:lang w:eastAsia="zh-CN"/>
        </w:rPr>
        <w:t>,</w:t>
      </w:r>
      <w:r w:rsidRPr="00B93493">
        <w:rPr>
          <w:rFonts w:eastAsia="SimSun"/>
          <w:lang w:eastAsia="zh-CN"/>
        </w:rPr>
        <w:t xml:space="preserve"> it falls within the category of administrative incentive pricing approaches. In the manner of most prevalent administrative incentive approaches it allows variations in not only the criteria used as inputs to the pricing but supports weighting those criteria to reflect the importance of certain spectrum utilization variables. This can also be used to vary the pricing between different spectrum uses whereby the underlying scarcity of spectrum can be considered.</w:t>
      </w:r>
    </w:p>
    <w:p w14:paraId="5FE9D6A7" w14:textId="77777777" w:rsidR="00CF04BC" w:rsidRPr="00B93493" w:rsidRDefault="00CF04BC" w:rsidP="0002647B">
      <w:r w:rsidRPr="00B93493">
        <w:t>The model, while rather complicated for manual calculations, is most effective for application to automated national spectrum management systems. Relevant software can be customized in accordance with the Model and all the rest calculations will be fulfilled automatically without any involvement of the system operators. Similar experience is described by the Administration of the Kyrgyz Republic in § 5.2.6.</w:t>
      </w:r>
    </w:p>
    <w:p w14:paraId="28DCB8E2" w14:textId="77777777" w:rsidR="00CF04BC" w:rsidRPr="0002647B" w:rsidRDefault="00CF04BC" w:rsidP="0002647B">
      <w:pPr>
        <w:pStyle w:val="Heading3"/>
      </w:pPr>
      <w:bookmarkStart w:id="1694" w:name="_Toc289932298"/>
      <w:bookmarkStart w:id="1695" w:name="_Toc518394220"/>
      <w:bookmarkStart w:id="1696" w:name="_Toc289933344"/>
      <w:bookmarkStart w:id="1697" w:name="_Toc392515893"/>
      <w:bookmarkStart w:id="1698" w:name="_Toc291852907"/>
      <w:bookmarkStart w:id="1699" w:name="_Toc462234061"/>
      <w:bookmarkStart w:id="1700" w:name="_Toc289868830"/>
      <w:bookmarkStart w:id="1701" w:name="_Toc289868990"/>
      <w:bookmarkStart w:id="1702" w:name="_Toc182391539"/>
      <w:bookmarkStart w:id="1703" w:name="_Toc182391950"/>
      <w:r w:rsidRPr="0002647B">
        <w:t>4.6.1</w:t>
      </w:r>
      <w:r w:rsidRPr="0002647B">
        <w:tab/>
        <w:t>General purpose of the model</w:t>
      </w:r>
      <w:bookmarkEnd w:id="1694"/>
      <w:bookmarkEnd w:id="1695"/>
      <w:bookmarkEnd w:id="1696"/>
      <w:bookmarkEnd w:id="1697"/>
      <w:bookmarkEnd w:id="1698"/>
      <w:bookmarkEnd w:id="1699"/>
      <w:bookmarkEnd w:id="1700"/>
      <w:bookmarkEnd w:id="1701"/>
      <w:bookmarkEnd w:id="1702"/>
      <w:bookmarkEnd w:id="1703"/>
    </w:p>
    <w:p w14:paraId="36AD8560" w14:textId="77777777" w:rsidR="00CF04BC" w:rsidRPr="00B93493" w:rsidRDefault="00CF04BC" w:rsidP="0002647B">
      <w:r w:rsidRPr="00B93493">
        <w:t>The purpose of this model is to increase spectrum utilization efficiency. It is designed to introduce non-discriminatory access to the spectrum for various categories of users, stimulate the use of less congested (particularly – higher) frequency bands, stimulate harmonized development of radio communication services throughout the country, and cover the cost of spectrum management. It includes the consideration of the phased development and/or maintenance of spectrum management and monitoring facilities and reimbursement of expenditures of a national telecommunication administration including its international activities within ITU.</w:t>
      </w:r>
    </w:p>
    <w:p w14:paraId="39E29475" w14:textId="77777777" w:rsidR="00CF04BC" w:rsidRPr="00B93493" w:rsidRDefault="00CF04BC" w:rsidP="0002647B">
      <w:r w:rsidRPr="00B93493">
        <w:t>The model determines the value of annual payments to be made for the spectrum use of each transmitting radio station using a pricing formula based on the following basic elements:</w:t>
      </w:r>
    </w:p>
    <w:p w14:paraId="44662B83" w14:textId="77777777" w:rsidR="00CF04BC" w:rsidRPr="0002647B" w:rsidRDefault="00CF04BC" w:rsidP="0002647B">
      <w:pPr>
        <w:pStyle w:val="enumlev1"/>
      </w:pPr>
      <w:r w:rsidRPr="0002647B">
        <w:t>–</w:t>
      </w:r>
      <w:r w:rsidRPr="0002647B">
        <w:tab/>
        <w:t xml:space="preserve">Three-dimensional radio frequency-spatial-time resource (see Note 1), referred to as the </w:t>
      </w:r>
      <w:r w:rsidRPr="0002647B">
        <w:rPr>
          <w:i/>
          <w:iCs/>
        </w:rPr>
        <w:t>spectral resource</w:t>
      </w:r>
      <w:r w:rsidRPr="0002647B">
        <w:t>, used in the country and representing the common spectral value applicable to all frequency assignments, stored in the national spectrum management database and which is calculated on an annual basis.</w:t>
      </w:r>
    </w:p>
    <w:p w14:paraId="1EA026B8" w14:textId="77777777" w:rsidR="00CF04BC" w:rsidRPr="0002647B" w:rsidRDefault="00CF04BC" w:rsidP="0002647B">
      <w:pPr>
        <w:pStyle w:val="enumlev1"/>
      </w:pPr>
      <w:r w:rsidRPr="0002647B">
        <w:t>–</w:t>
      </w:r>
      <w:r w:rsidRPr="0002647B">
        <w:tab/>
        <w:t>For each frequency assignment the spectral value is determined by the frequency band occupied by the emission, multiplied by an area, occupied by the emission (which is determined by the power of transmitter, height and direction of the antenna etc.), and multiplied by the fraction of time throughout which the transmitter operates with that emission in accordance with terms of relevant license. Relevant assumptions and criteria are presented below in § 4.6.5.</w:t>
      </w:r>
    </w:p>
    <w:p w14:paraId="00FA2A6D" w14:textId="77777777" w:rsidR="00CF04BC" w:rsidRPr="0002647B" w:rsidRDefault="00CF04BC" w:rsidP="0002647B">
      <w:pPr>
        <w:pStyle w:val="enumlev1"/>
      </w:pPr>
      <w:r w:rsidRPr="0002647B">
        <w:t>–</w:t>
      </w:r>
      <w:r w:rsidRPr="0002647B">
        <w:tab/>
        <w:t>The annual administration cost of spectrum management including the phased development and/or maintenance of spectrum management and monitoring facilities and the reimbursement of expenditures of a national telecommunication administration.</w:t>
      </w:r>
    </w:p>
    <w:p w14:paraId="183A5950" w14:textId="77777777" w:rsidR="00CF04BC" w:rsidRPr="0002647B" w:rsidRDefault="00CF04BC" w:rsidP="0002647B">
      <w:pPr>
        <w:pStyle w:val="enumlev1"/>
      </w:pPr>
      <w:r w:rsidRPr="0002647B">
        <w:t>–</w:t>
      </w:r>
      <w:r w:rsidRPr="0002647B">
        <w:tab/>
        <w:t>The average price for the spectral resource unit determined from the above values.</w:t>
      </w:r>
    </w:p>
    <w:p w14:paraId="11811102" w14:textId="77777777" w:rsidR="00CF04BC" w:rsidRPr="0002647B" w:rsidRDefault="00CF04BC" w:rsidP="0002647B">
      <w:pPr>
        <w:pStyle w:val="enumlev1"/>
      </w:pPr>
      <w:r w:rsidRPr="0002647B">
        <w:t>–</w:t>
      </w:r>
      <w:r w:rsidRPr="0002647B">
        <w:tab/>
        <w:t>The annual payment by a specific user determined from the actual value of used spectral resource.</w:t>
      </w:r>
    </w:p>
    <w:p w14:paraId="1F762886" w14:textId="77777777" w:rsidR="00CF04BC" w:rsidRPr="0002647B" w:rsidRDefault="00CF04BC" w:rsidP="0002647B">
      <w:pPr>
        <w:pStyle w:val="Note"/>
      </w:pPr>
      <w:r w:rsidRPr="0002647B">
        <w:t>NOTE 1 – For reasons of simplicity and taking into account that spectrum sharing conditions are usually provided only by territory separation of stations, for purposes of the given Model a spatial (three</w:t>
      </w:r>
      <w:r w:rsidRPr="0002647B">
        <w:noBreakHyphen/>
        <w:t>dimensional) resource is represented by a territorial (two-dimensional) one.</w:t>
      </w:r>
    </w:p>
    <w:p w14:paraId="12FD4DA6" w14:textId="5E9D0607" w:rsidR="00CF04BC" w:rsidRPr="00B93493" w:rsidRDefault="00CF04BC" w:rsidP="0002647B">
      <w:r w:rsidRPr="00B93493">
        <w:t>A number of incentive weighting factors are entered in the formula. Thus</w:t>
      </w:r>
      <w:r>
        <w:rPr>
          <w:rFonts w:hint="eastAsia"/>
          <w:lang w:eastAsia="zh-CN"/>
        </w:rPr>
        <w:t>,</w:t>
      </w:r>
      <w:r w:rsidRPr="00B93493">
        <w:t xml:space="preserve"> the spectrum price or fee will depend not only on the relevant occupied bandwidth and coverage area values, but also on time</w:t>
      </w:r>
      <w:r w:rsidR="0002647B">
        <w:noBreakHyphen/>
      </w:r>
      <w:r w:rsidRPr="00B93493">
        <w:t>sharing conditions, geographical location of the station, economic development level or population density in the coverage area, social factors, exclusivity, type of radio service, spectrum employment, as well as some operational factors such as complexity of radio monitoring and imposing sanctions, etc.</w:t>
      </w:r>
    </w:p>
    <w:p w14:paraId="1A98948A" w14:textId="77777777" w:rsidR="00CF04BC" w:rsidRPr="00B93493" w:rsidRDefault="00CF04BC" w:rsidP="0002647B">
      <w:r w:rsidRPr="00B93493">
        <w:t>The proposed Model allows the user at any moment to determine the value of his annual payment for the spectrum and also renders it to be transparent and accessible to all users. Thus, if the user employs greater bandwidth and service area, operates in more populated geographical area or the area is more economically developed and operates full time in more congested frequency bands, the larger will be the payment.</w:t>
      </w:r>
    </w:p>
    <w:p w14:paraId="6A8728F1" w14:textId="77777777" w:rsidR="00CF04BC" w:rsidRPr="00B93493" w:rsidRDefault="00CF04BC" w:rsidP="0002647B">
      <w:r w:rsidRPr="00B93493">
        <w:t>The approach thus encourages more efficient spectrum use and is an incentive for the user to implement more modern equipment and operate in new higher frequency bands. It should also encourage the use if possible of time-sharing regimes with other users, avoid using redundant margins for the power of a transmitter and height of antenna etc. and support expansion of its coverage to rural and remote areas.</w:t>
      </w:r>
    </w:p>
    <w:p w14:paraId="5E3A8D96" w14:textId="77777777" w:rsidR="00CF04BC" w:rsidRPr="0002647B" w:rsidRDefault="00CF04BC" w:rsidP="0002647B">
      <w:pPr>
        <w:pStyle w:val="Heading3"/>
      </w:pPr>
      <w:bookmarkStart w:id="1704" w:name="_Toc289932299"/>
      <w:bookmarkStart w:id="1705" w:name="_Toc392515894"/>
      <w:bookmarkStart w:id="1706" w:name="_Toc289868991"/>
      <w:bookmarkStart w:id="1707" w:name="_Toc289933345"/>
      <w:bookmarkStart w:id="1708" w:name="_Toc518394221"/>
      <w:bookmarkStart w:id="1709" w:name="_Toc291852908"/>
      <w:bookmarkStart w:id="1710" w:name="_Toc289868831"/>
      <w:bookmarkStart w:id="1711" w:name="_Toc462234062"/>
      <w:bookmarkStart w:id="1712" w:name="_Toc182391540"/>
      <w:bookmarkStart w:id="1713" w:name="_Toc182391951"/>
      <w:r w:rsidRPr="0002647B">
        <w:t>4.6.2</w:t>
      </w:r>
      <w:r w:rsidRPr="0002647B">
        <w:tab/>
        <w:t>Steps in the model formulation</w:t>
      </w:r>
      <w:bookmarkEnd w:id="1704"/>
      <w:bookmarkEnd w:id="1705"/>
      <w:bookmarkEnd w:id="1706"/>
      <w:bookmarkEnd w:id="1707"/>
      <w:bookmarkEnd w:id="1708"/>
      <w:bookmarkEnd w:id="1709"/>
      <w:bookmarkEnd w:id="1710"/>
      <w:bookmarkEnd w:id="1711"/>
      <w:bookmarkEnd w:id="1712"/>
      <w:bookmarkEnd w:id="1713"/>
    </w:p>
    <w:p w14:paraId="0756A889" w14:textId="77777777" w:rsidR="00CF04BC" w:rsidRPr="00B93493" w:rsidRDefault="00CF04BC" w:rsidP="0002647B">
      <w:r w:rsidRPr="00B93493">
        <w:t>The proposed spectrum payment algorithm includes the following steps:</w:t>
      </w:r>
    </w:p>
    <w:p w14:paraId="228C389C" w14:textId="77777777" w:rsidR="00CF04BC" w:rsidRPr="0002647B" w:rsidRDefault="00CF04BC" w:rsidP="0002647B">
      <w:pPr>
        <w:pStyle w:val="enumlev1"/>
      </w:pPr>
      <w:r w:rsidRPr="0002647B">
        <w:t>–</w:t>
      </w:r>
      <w:r w:rsidRPr="0002647B">
        <w:tab/>
        <w:t>Determination of annual expenditures of the State on management of actually used spectral resource and determination of the common value of the annual payments for all spectral resources.</w:t>
      </w:r>
    </w:p>
    <w:p w14:paraId="78646BEB" w14:textId="77777777" w:rsidR="00CF04BC" w:rsidRPr="0002647B" w:rsidRDefault="00CF04BC" w:rsidP="0002647B">
      <w:pPr>
        <w:pStyle w:val="enumlev1"/>
      </w:pPr>
      <w:r w:rsidRPr="0002647B">
        <w:t>–</w:t>
      </w:r>
      <w:r w:rsidRPr="0002647B">
        <w:tab/>
        <w:t>Determination of the value of the spectral resource used by each radio station and, through their summation, by all stations registered in a national Spectrum Management Database.</w:t>
      </w:r>
    </w:p>
    <w:p w14:paraId="3F8D1FDD" w14:textId="77777777" w:rsidR="00CF04BC" w:rsidRPr="0002647B" w:rsidRDefault="00CF04BC" w:rsidP="0002647B">
      <w:pPr>
        <w:pStyle w:val="enumlev1"/>
      </w:pPr>
      <w:r w:rsidRPr="0002647B">
        <w:t>–</w:t>
      </w:r>
      <w:r w:rsidRPr="0002647B">
        <w:tab/>
        <w:t>Determination of the price for a unit of the spectral resource.</w:t>
      </w:r>
    </w:p>
    <w:p w14:paraId="240C471D" w14:textId="77777777" w:rsidR="00CF04BC" w:rsidRPr="0002647B" w:rsidRDefault="00CF04BC" w:rsidP="0002647B">
      <w:pPr>
        <w:pStyle w:val="enumlev1"/>
      </w:pPr>
      <w:r w:rsidRPr="0002647B">
        <w:t>–</w:t>
      </w:r>
      <w:r w:rsidRPr="0002647B">
        <w:tab/>
        <w:t>Determination of the annual payment for a specific user on a differential and non-discriminatory basis, determined from the actual value of used spectral resource.</w:t>
      </w:r>
    </w:p>
    <w:p w14:paraId="0610F79C" w14:textId="77777777" w:rsidR="00CF04BC" w:rsidRPr="00B93493" w:rsidRDefault="00CF04BC" w:rsidP="0002647B">
      <w:r w:rsidRPr="00B93493">
        <w:t>Each of these steps is described in detail below.</w:t>
      </w:r>
    </w:p>
    <w:p w14:paraId="53F7C781" w14:textId="77777777" w:rsidR="00CF04BC" w:rsidRPr="0002647B" w:rsidRDefault="00CF04BC" w:rsidP="0002647B">
      <w:pPr>
        <w:pStyle w:val="Heading3"/>
      </w:pPr>
      <w:bookmarkStart w:id="1714" w:name="_Toc289868992"/>
      <w:bookmarkStart w:id="1715" w:name="_Toc289933346"/>
      <w:bookmarkStart w:id="1716" w:name="_Toc518394222"/>
      <w:bookmarkStart w:id="1717" w:name="_Toc289932300"/>
      <w:bookmarkStart w:id="1718" w:name="_Toc291852909"/>
      <w:bookmarkStart w:id="1719" w:name="_Toc289868832"/>
      <w:bookmarkStart w:id="1720" w:name="_Toc462234063"/>
      <w:bookmarkStart w:id="1721" w:name="_Toc392515895"/>
      <w:bookmarkStart w:id="1722" w:name="_Toc182391541"/>
      <w:bookmarkStart w:id="1723" w:name="_Toc182391952"/>
      <w:r w:rsidRPr="0002647B">
        <w:t>4.6.3</w:t>
      </w:r>
      <w:r w:rsidRPr="0002647B">
        <w:tab/>
        <w:t>General principles for the model development</w:t>
      </w:r>
      <w:bookmarkEnd w:id="1714"/>
      <w:bookmarkEnd w:id="1715"/>
      <w:bookmarkEnd w:id="1716"/>
      <w:bookmarkEnd w:id="1717"/>
      <w:bookmarkEnd w:id="1718"/>
      <w:bookmarkEnd w:id="1719"/>
      <w:bookmarkEnd w:id="1720"/>
      <w:bookmarkEnd w:id="1721"/>
      <w:bookmarkEnd w:id="1722"/>
      <w:bookmarkEnd w:id="1723"/>
    </w:p>
    <w:p w14:paraId="63AD83AA" w14:textId="77777777" w:rsidR="00CF04BC" w:rsidRPr="00B93493" w:rsidRDefault="00CF04BC" w:rsidP="0002647B">
      <w:r w:rsidRPr="00B93493">
        <w:t>It is necessary to underline that the number and values of all particular coefficients below are given only as illustrative examples. They are based on available data and the experts’ estimations in application to South-East Asia countries. Each national telecommunication administration can cho</w:t>
      </w:r>
      <w:r>
        <w:rPr>
          <w:rFonts w:hint="eastAsia"/>
          <w:lang w:eastAsia="zh-CN"/>
        </w:rPr>
        <w:t>o</w:t>
      </w:r>
      <w:r w:rsidRPr="00B93493">
        <w:t>se other values and add other coefficients reflecting its particular needs and experiences. All coefficient values, unless indicated specifically, can be integer or fractional numbers.</w:t>
      </w:r>
    </w:p>
    <w:p w14:paraId="12A10EDD" w14:textId="77777777" w:rsidR="00CF04BC" w:rsidRPr="00B93493" w:rsidRDefault="00CF04BC" w:rsidP="0002647B">
      <w:r w:rsidRPr="00B93493">
        <w:t>The model is intended to cover those cases (and they are the great majority of frequency assignments) for which simplified calculation methods of some important parameters (mainly – service or occupied areas) can be used.</w:t>
      </w:r>
    </w:p>
    <w:p w14:paraId="47C402A9" w14:textId="77777777" w:rsidR="00CF04BC" w:rsidRPr="00B93493" w:rsidRDefault="00CF04BC" w:rsidP="0002647B">
      <w:r w:rsidRPr="00B93493">
        <w:t xml:space="preserve">This approach has been chosen also from the understanding that for purposes of fees calculation it is much more important to provide universal procedures to guarantee equal conditions for all users belonging to one group (by radio service or its particular application) rather than to obtain a high accuracy of technical parameter calculations. </w:t>
      </w:r>
    </w:p>
    <w:p w14:paraId="45A6E715" w14:textId="5B52ACB5" w:rsidR="00CF04BC" w:rsidRPr="00B93493" w:rsidRDefault="00CF04BC" w:rsidP="0002647B">
      <w:r w:rsidRPr="00B93493">
        <w:t>Based on a general principle that not only a transmitter but also a receiver occupies a particular spectral resource by denying operation of other transmitters (other than a communicating one) in a particular frequency band within the limits of a particular territory (Recommendation</w:t>
      </w:r>
      <w:r w:rsidR="005B1526">
        <w:t xml:space="preserve"> </w:t>
      </w:r>
      <w:r w:rsidRPr="00B93493">
        <w:t>ITU</w:t>
      </w:r>
      <w:r w:rsidRPr="00B93493">
        <w:noBreakHyphen/>
        <w:t xml:space="preserve">R SM.1046-2), the Model can be used for calculating fees for receivers as well in a case when a user requires protection of a receiver from interference and it is registered in a National Frequency Assignment Database. </w:t>
      </w:r>
    </w:p>
    <w:p w14:paraId="2EFBFABB" w14:textId="77777777" w:rsidR="00CF04BC" w:rsidRPr="00B93493" w:rsidRDefault="00CF04BC" w:rsidP="0002647B">
      <w:r w:rsidRPr="00B93493">
        <w:t>Annex 1 of Recommendation ITU</w:t>
      </w:r>
      <w:r w:rsidRPr="00B93493">
        <w:noBreakHyphen/>
        <w:t>R SM.1046-2 also presents some options to administrations on simplification of calculation procedures implying the decrease in calculation accuracy, or on their somewhat complication for increasing calculation accuracy.</w:t>
      </w:r>
    </w:p>
    <w:p w14:paraId="13CE9334" w14:textId="77777777" w:rsidR="00CF04BC" w:rsidRPr="00B93493" w:rsidRDefault="00CF04BC" w:rsidP="0002647B">
      <w:r w:rsidRPr="00B93493">
        <w:t>For certain new radio systems for which the service area or occupied frequency band calculations are very complicated and when they have not been definitively fixed (spread-spectrum systems, satellite mobile communications using LEO, MEO, etc.), calculations can be postponed and fixed license fee regimes may continue to be used.</w:t>
      </w:r>
    </w:p>
    <w:p w14:paraId="76F1FF5D" w14:textId="77777777" w:rsidR="00CF04BC" w:rsidRPr="0002647B" w:rsidRDefault="00CF04BC" w:rsidP="0002647B">
      <w:pPr>
        <w:pStyle w:val="Heading3"/>
      </w:pPr>
      <w:bookmarkStart w:id="1724" w:name="_Toc289868993"/>
      <w:bookmarkStart w:id="1725" w:name="_Toc518394223"/>
      <w:bookmarkStart w:id="1726" w:name="_Toc392515896"/>
      <w:bookmarkStart w:id="1727" w:name="_Toc462234064"/>
      <w:bookmarkStart w:id="1728" w:name="_Toc289932301"/>
      <w:bookmarkStart w:id="1729" w:name="_Toc289868833"/>
      <w:bookmarkStart w:id="1730" w:name="_Toc291852910"/>
      <w:bookmarkStart w:id="1731" w:name="_Toc289933347"/>
      <w:bookmarkStart w:id="1732" w:name="_Toc182391542"/>
      <w:bookmarkStart w:id="1733" w:name="_Toc182391953"/>
      <w:r w:rsidRPr="0002647B">
        <w:t>4.6.4</w:t>
      </w:r>
      <w:r w:rsidRPr="0002647B">
        <w:tab/>
        <w:t>Expenditures and income of a state concerning spectrum management</w:t>
      </w:r>
      <w:bookmarkEnd w:id="1724"/>
      <w:bookmarkEnd w:id="1725"/>
      <w:bookmarkEnd w:id="1726"/>
      <w:bookmarkEnd w:id="1727"/>
      <w:bookmarkEnd w:id="1728"/>
      <w:bookmarkEnd w:id="1729"/>
      <w:bookmarkEnd w:id="1730"/>
      <w:bookmarkEnd w:id="1731"/>
      <w:bookmarkEnd w:id="1732"/>
      <w:bookmarkEnd w:id="1733"/>
    </w:p>
    <w:p w14:paraId="3CDE8BF2" w14:textId="77777777" w:rsidR="00CF04BC" w:rsidRPr="00B93493" w:rsidRDefault="00CF04BC" w:rsidP="0002647B">
      <w:r w:rsidRPr="00B93493">
        <w:t>This section offers the framework on which the State or administration’s costs for spectrum management may be considered.</w:t>
      </w:r>
    </w:p>
    <w:p w14:paraId="40AB91D0" w14:textId="77777777" w:rsidR="00CF04BC" w:rsidRPr="00B93493" w:rsidRDefault="00CF04BC" w:rsidP="0002647B">
      <w:r w:rsidRPr="00B93493">
        <w:t xml:space="preserve">The total amount of the annual payments for spectral resource </w:t>
      </w:r>
      <w:r w:rsidRPr="00B93493">
        <w:rPr>
          <w:i/>
        </w:rPr>
        <w:t>C</w:t>
      </w:r>
      <w:r w:rsidRPr="00B93493">
        <w:rPr>
          <w:i/>
          <w:vertAlign w:val="subscript"/>
        </w:rPr>
        <w:t>an</w:t>
      </w:r>
      <w:r w:rsidRPr="00B93493">
        <w:t>, to be collected from all users, can be presented as:</w:t>
      </w:r>
    </w:p>
    <w:p w14:paraId="1105BCAB" w14:textId="77777777" w:rsidR="00CF04BC" w:rsidRPr="00B93493" w:rsidRDefault="00CF04BC" w:rsidP="00CF04BC">
      <w:pPr>
        <w:pStyle w:val="Blanc"/>
      </w:pPr>
    </w:p>
    <w:p w14:paraId="2423B960" w14:textId="2EFECA13" w:rsidR="00CF04BC" w:rsidRPr="00B93493" w:rsidRDefault="00CF04BC" w:rsidP="00CF04BC">
      <w:pPr>
        <w:pStyle w:val="Equation"/>
      </w:pPr>
      <w:r w:rsidRPr="00B93493">
        <w:tab/>
      </w:r>
      <w:r w:rsidRPr="00B93493">
        <w:tab/>
      </w:r>
      <w:r w:rsidRPr="00B93493">
        <w:rPr>
          <w:i/>
          <w:iCs/>
        </w:rPr>
        <w:t>C</w:t>
      </w:r>
      <w:r w:rsidRPr="00B93493">
        <w:rPr>
          <w:i/>
          <w:iCs/>
          <w:vertAlign w:val="subscript"/>
        </w:rPr>
        <w:t>an</w:t>
      </w:r>
      <w:r w:rsidRPr="00B93493">
        <w:t xml:space="preserve"> </w:t>
      </w:r>
      <w:r w:rsidR="0002647B">
        <w:t>=</w:t>
      </w:r>
      <w:r w:rsidRPr="00B93493">
        <w:t xml:space="preserve"> </w:t>
      </w:r>
      <w:r w:rsidRPr="00B93493">
        <w:rPr>
          <w:i/>
          <w:iCs/>
        </w:rPr>
        <w:t>C</w:t>
      </w:r>
      <w:r w:rsidRPr="00B93493">
        <w:rPr>
          <w:vertAlign w:val="subscript"/>
        </w:rPr>
        <w:t>1</w:t>
      </w:r>
      <w:r w:rsidRPr="00B93493">
        <w:t xml:space="preserve"> </w:t>
      </w:r>
      <w:r w:rsidR="0002647B">
        <w:t>+</w:t>
      </w:r>
      <w:r w:rsidRPr="00B93493">
        <w:t xml:space="preserve"> </w:t>
      </w:r>
      <w:r w:rsidRPr="00B93493">
        <w:rPr>
          <w:i/>
          <w:iCs/>
        </w:rPr>
        <w:t>C</w:t>
      </w:r>
      <w:r w:rsidRPr="00B93493">
        <w:rPr>
          <w:vertAlign w:val="subscript"/>
        </w:rPr>
        <w:t>2</w:t>
      </w:r>
      <w:r w:rsidRPr="00B93493">
        <w:t xml:space="preserve"> </w:t>
      </w:r>
      <w:r w:rsidR="0002647B">
        <w:t>−</w:t>
      </w:r>
      <w:r w:rsidRPr="00B93493">
        <w:t xml:space="preserve"> </w:t>
      </w:r>
      <w:r w:rsidRPr="00B93493">
        <w:rPr>
          <w:i/>
          <w:iCs/>
        </w:rPr>
        <w:t>I</w:t>
      </w:r>
      <w:r w:rsidRPr="00B93493">
        <w:rPr>
          <w:i/>
          <w:iCs/>
          <w:vertAlign w:val="subscript"/>
        </w:rPr>
        <w:t>an</w:t>
      </w:r>
      <w:r w:rsidRPr="00B93493">
        <w:t>     (units of a national currency)</w:t>
      </w:r>
      <w:r w:rsidRPr="00B93493">
        <w:tab/>
        <w:t>(17)</w:t>
      </w:r>
    </w:p>
    <w:p w14:paraId="098B55C5" w14:textId="77777777" w:rsidR="00CF04BC" w:rsidRPr="00B93493" w:rsidRDefault="00CF04BC" w:rsidP="00CF04BC">
      <w:r w:rsidRPr="00B93493">
        <w:t>where:</w:t>
      </w:r>
    </w:p>
    <w:p w14:paraId="41661B64" w14:textId="77777777" w:rsidR="00CF04BC" w:rsidRPr="00B93493" w:rsidRDefault="00CF04BC" w:rsidP="00CF04BC">
      <w:pPr>
        <w:pStyle w:val="Equationlegend"/>
        <w:rPr>
          <w:iCs/>
        </w:rPr>
      </w:pPr>
      <w:r w:rsidRPr="00B93493">
        <w:rPr>
          <w:iCs/>
        </w:rPr>
        <w:tab/>
      </w:r>
      <w:r w:rsidRPr="00B93493">
        <w:rPr>
          <w:i/>
        </w:rPr>
        <w:t>C</w:t>
      </w:r>
      <w:r w:rsidRPr="00B93493">
        <w:rPr>
          <w:vertAlign w:val="subscript"/>
        </w:rPr>
        <w:t>1</w:t>
      </w:r>
      <w:r w:rsidRPr="00B93493">
        <w:rPr>
          <w:rFonts w:ascii="Tms Rmn" w:hAnsi="Tms Rmn"/>
          <w:iCs/>
          <w:sz w:val="12"/>
          <w:vertAlign w:val="subscript"/>
        </w:rPr>
        <w:t> </w:t>
      </w:r>
      <w:r w:rsidRPr="00B93493">
        <w:rPr>
          <w:iCs/>
        </w:rPr>
        <w:t>:</w:t>
      </w:r>
      <w:r w:rsidRPr="00B93493">
        <w:rPr>
          <w:iCs/>
        </w:rPr>
        <w:tab/>
        <w:t>share of the sum that is necessary for covering expenditures of the State on all national and international spectrum management activities</w:t>
      </w:r>
    </w:p>
    <w:p w14:paraId="0535A758" w14:textId="77777777" w:rsidR="00CF04BC" w:rsidRPr="00B93493" w:rsidRDefault="00CF04BC" w:rsidP="00CF04BC">
      <w:pPr>
        <w:pStyle w:val="Equationlegend"/>
        <w:rPr>
          <w:iCs/>
        </w:rPr>
      </w:pPr>
      <w:r w:rsidRPr="00B93493">
        <w:rPr>
          <w:iCs/>
        </w:rPr>
        <w:tab/>
      </w:r>
      <w:r w:rsidRPr="00B93493">
        <w:rPr>
          <w:i/>
        </w:rPr>
        <w:t>C</w:t>
      </w:r>
      <w:r w:rsidRPr="00B93493">
        <w:rPr>
          <w:vertAlign w:val="subscript"/>
        </w:rPr>
        <w:t>2</w:t>
      </w:r>
      <w:r w:rsidRPr="00B93493">
        <w:rPr>
          <w:rFonts w:ascii="Tms Rmn" w:hAnsi="Tms Rmn"/>
          <w:iCs/>
          <w:sz w:val="12"/>
          <w:vertAlign w:val="subscript"/>
        </w:rPr>
        <w:t> </w:t>
      </w:r>
      <w:r w:rsidRPr="00B93493">
        <w:rPr>
          <w:iCs/>
        </w:rPr>
        <w:t>:</w:t>
      </w:r>
      <w:r w:rsidRPr="00B93493">
        <w:rPr>
          <w:iCs/>
        </w:rPr>
        <w:tab/>
        <w:t>net income of the State, if applied</w:t>
      </w:r>
    </w:p>
    <w:p w14:paraId="7661908A" w14:textId="77777777" w:rsidR="00CF04BC" w:rsidRPr="00B93493" w:rsidRDefault="00CF04BC" w:rsidP="00CF04BC">
      <w:pPr>
        <w:pStyle w:val="Equationlegend"/>
      </w:pPr>
      <w:r w:rsidRPr="00B93493">
        <w:rPr>
          <w:iCs/>
        </w:rPr>
        <w:tab/>
      </w:r>
      <w:r w:rsidRPr="00B93493">
        <w:rPr>
          <w:i/>
        </w:rPr>
        <w:t>I</w:t>
      </w:r>
      <w:r w:rsidRPr="00B93493">
        <w:rPr>
          <w:i/>
          <w:iCs/>
          <w:vertAlign w:val="subscript"/>
        </w:rPr>
        <w:t>an</w:t>
      </w:r>
      <w:r w:rsidRPr="00B93493">
        <w:rPr>
          <w:rFonts w:ascii="Tms Rmn" w:hAnsi="Tms Rmn"/>
          <w:iCs/>
          <w:sz w:val="12"/>
          <w:vertAlign w:val="subscript"/>
        </w:rPr>
        <w:t> </w:t>
      </w:r>
      <w:r w:rsidRPr="00B93493">
        <w:rPr>
          <w:iCs/>
        </w:rPr>
        <w:t>:</w:t>
      </w:r>
      <w:r w:rsidRPr="00B93493">
        <w:rPr>
          <w:iCs/>
        </w:rPr>
        <w:tab/>
        <w:t>total</w:t>
      </w:r>
      <w:r w:rsidRPr="00B93493">
        <w:t xml:space="preserve"> amount of annual radio communication inspection charges, if applied.</w:t>
      </w:r>
    </w:p>
    <w:p w14:paraId="17F2F978" w14:textId="77777777" w:rsidR="00CF04BC" w:rsidRPr="00B93493" w:rsidRDefault="00CF04BC" w:rsidP="00CF04BC">
      <w:r w:rsidRPr="00B93493">
        <w:t>The last term is applied if an administration uses separate additional tariffs for inspection and examination activities (examination of frequency assignment application forms, inspection of radio stations after installations before entering to operation, systematic inspection of radio installations on conformity to license terms, etc.). This value can be assumed for each current year based on previous year data.</w:t>
      </w:r>
    </w:p>
    <w:p w14:paraId="5F592378" w14:textId="77777777" w:rsidR="00CF04BC" w:rsidRPr="00B93493" w:rsidRDefault="00CF04BC" w:rsidP="00CF04BC">
      <w:r w:rsidRPr="00B93493">
        <w:t xml:space="preserve">It is possible to subdivide the terms </w:t>
      </w:r>
      <w:r w:rsidRPr="00B93493">
        <w:rPr>
          <w:i/>
        </w:rPr>
        <w:t>C</w:t>
      </w:r>
      <w:r w:rsidRPr="00B93493">
        <w:rPr>
          <w:vertAlign w:val="subscript"/>
        </w:rPr>
        <w:t>1</w:t>
      </w:r>
      <w:r w:rsidRPr="00B93493">
        <w:t xml:space="preserve"> and </w:t>
      </w:r>
      <w:r w:rsidRPr="00B93493">
        <w:rPr>
          <w:i/>
        </w:rPr>
        <w:t>C</w:t>
      </w:r>
      <w:r w:rsidRPr="00B93493">
        <w:rPr>
          <w:vertAlign w:val="subscript"/>
        </w:rPr>
        <w:t>2</w:t>
      </w:r>
      <w:r w:rsidRPr="00B93493">
        <w:t xml:space="preserve"> into additional components:</w:t>
      </w:r>
    </w:p>
    <w:p w14:paraId="79B2993E" w14:textId="77777777" w:rsidR="00CF04BC" w:rsidRPr="00B93493" w:rsidRDefault="00CF04BC" w:rsidP="00CF04BC">
      <w:pPr>
        <w:pStyle w:val="Blanc"/>
      </w:pPr>
    </w:p>
    <w:p w14:paraId="53ADD9E1" w14:textId="49039F8E" w:rsidR="00CF04BC" w:rsidRPr="00B93493" w:rsidRDefault="00CF04BC" w:rsidP="00CF04BC">
      <w:pPr>
        <w:pStyle w:val="Equation"/>
      </w:pPr>
      <w:r w:rsidRPr="00B93493">
        <w:tab/>
      </w:r>
      <w:r w:rsidRPr="00B93493">
        <w:tab/>
      </w:r>
      <w:r w:rsidRPr="00B93493">
        <w:rPr>
          <w:i/>
          <w:iCs/>
        </w:rPr>
        <w:t>C</w:t>
      </w:r>
      <w:r w:rsidRPr="00B93493">
        <w:rPr>
          <w:vertAlign w:val="subscript"/>
        </w:rPr>
        <w:t>1</w:t>
      </w:r>
      <w:r w:rsidRPr="00B93493">
        <w:t xml:space="preserve"> </w:t>
      </w:r>
      <w:r w:rsidR="0002647B">
        <w:t>=</w:t>
      </w:r>
      <w:r w:rsidRPr="00B93493">
        <w:t xml:space="preserve"> </w:t>
      </w:r>
      <w:r w:rsidRPr="00B93493">
        <w:rPr>
          <w:i/>
          <w:iCs/>
        </w:rPr>
        <w:t>C</w:t>
      </w:r>
      <w:r w:rsidRPr="00B93493">
        <w:rPr>
          <w:vertAlign w:val="subscript"/>
        </w:rPr>
        <w:t>11</w:t>
      </w:r>
      <w:r w:rsidRPr="00B93493">
        <w:t xml:space="preserve"> </w:t>
      </w:r>
      <w:r w:rsidR="0002647B">
        <w:t>+</w:t>
      </w:r>
      <w:r w:rsidRPr="00B93493">
        <w:t xml:space="preserve"> </w:t>
      </w:r>
      <w:r w:rsidRPr="00B93493">
        <w:rPr>
          <w:i/>
          <w:iCs/>
        </w:rPr>
        <w:t>C</w:t>
      </w:r>
      <w:r w:rsidRPr="00B93493">
        <w:rPr>
          <w:vertAlign w:val="subscript"/>
        </w:rPr>
        <w:t>12</w:t>
      </w:r>
      <w:r w:rsidRPr="00B93493">
        <w:t xml:space="preserve"> </w:t>
      </w:r>
      <w:r w:rsidR="0002647B">
        <w:t>+</w:t>
      </w:r>
      <w:r w:rsidRPr="00B93493">
        <w:t xml:space="preserve"> </w:t>
      </w:r>
      <w:r w:rsidRPr="00B93493">
        <w:rPr>
          <w:i/>
          <w:iCs/>
        </w:rPr>
        <w:t>C</w:t>
      </w:r>
      <w:r w:rsidRPr="00B93493">
        <w:rPr>
          <w:vertAlign w:val="subscript"/>
        </w:rPr>
        <w:t>13</w:t>
      </w:r>
      <w:r w:rsidRPr="00B93493">
        <w:t xml:space="preserve"> </w:t>
      </w:r>
      <w:r w:rsidR="0002647B">
        <w:t>+</w:t>
      </w:r>
      <w:r w:rsidRPr="00B93493">
        <w:t xml:space="preserve"> </w:t>
      </w:r>
      <w:r w:rsidRPr="00B93493">
        <w:rPr>
          <w:i/>
          <w:iCs/>
        </w:rPr>
        <w:t>C</w:t>
      </w:r>
      <w:r w:rsidRPr="00B93493">
        <w:rPr>
          <w:vertAlign w:val="subscript"/>
        </w:rPr>
        <w:t>14</w:t>
      </w:r>
      <w:r w:rsidRPr="00B93493">
        <w:tab/>
        <w:t>(18)</w:t>
      </w:r>
    </w:p>
    <w:p w14:paraId="4F8C7E67" w14:textId="77777777" w:rsidR="00CF04BC" w:rsidRPr="00B93493" w:rsidRDefault="00CF04BC" w:rsidP="00CF04BC">
      <w:r w:rsidRPr="00B93493">
        <w:t>where:</w:t>
      </w:r>
    </w:p>
    <w:p w14:paraId="5BDA244F" w14:textId="4ECC615D" w:rsidR="00CF04BC" w:rsidRPr="00B93493" w:rsidRDefault="00CF04BC" w:rsidP="00CF04BC">
      <w:pPr>
        <w:pStyle w:val="Equationlegend"/>
      </w:pPr>
      <w:r w:rsidRPr="00B93493">
        <w:rPr>
          <w:i/>
        </w:rPr>
        <w:tab/>
        <w:t>C</w:t>
      </w:r>
      <w:r w:rsidRPr="00B93493">
        <w:rPr>
          <w:vertAlign w:val="subscript"/>
        </w:rPr>
        <w:t>11</w:t>
      </w:r>
      <w:r w:rsidR="0002647B">
        <w:rPr>
          <w:vertAlign w:val="subscript"/>
        </w:rPr>
        <w:t xml:space="preserve"> </w:t>
      </w:r>
      <w:r w:rsidRPr="00B93493">
        <w:t>:</w:t>
      </w:r>
      <w:r w:rsidRPr="00B93493">
        <w:tab/>
        <w:t>funds necessary for the purchase and efficient operations using spectrum management system facilities and equipment, including radio monitoring station equipment, direction finders, computers and software for monitoring stations and for a national Spectrum Management Database, equipment for inspection purposes, materials, amortization of buildings, constructions, transport vehicles, etc.</w:t>
      </w:r>
    </w:p>
    <w:p w14:paraId="5AAFE44E" w14:textId="6769287E" w:rsidR="00CF04BC" w:rsidRPr="00B93493" w:rsidRDefault="00CF04BC" w:rsidP="00CF04BC">
      <w:pPr>
        <w:pStyle w:val="Equationlegend"/>
      </w:pPr>
      <w:r w:rsidRPr="00B93493">
        <w:rPr>
          <w:i/>
        </w:rPr>
        <w:tab/>
        <w:t>C</w:t>
      </w:r>
      <w:r w:rsidRPr="00B93493">
        <w:rPr>
          <w:vertAlign w:val="subscript"/>
        </w:rPr>
        <w:t>12</w:t>
      </w:r>
      <w:r w:rsidR="0002647B">
        <w:rPr>
          <w:vertAlign w:val="subscript"/>
        </w:rPr>
        <w:t xml:space="preserve"> </w:t>
      </w:r>
      <w:r w:rsidRPr="00B93493">
        <w:t>:</w:t>
      </w:r>
      <w:r w:rsidRPr="00B93493">
        <w:tab/>
        <w:t>funds necessary for carrying out supporting scientific research purchase of the scientific and operational literature, international standards and recommendations, carrying out electromagnetic compatibility analysis for supporting frequency assignment process, etc.</w:t>
      </w:r>
    </w:p>
    <w:p w14:paraId="28D67CF9" w14:textId="474B55C6" w:rsidR="00CF04BC" w:rsidRPr="00B93493" w:rsidRDefault="00CF04BC" w:rsidP="00CF04BC">
      <w:pPr>
        <w:pStyle w:val="Equationlegend"/>
      </w:pPr>
      <w:r w:rsidRPr="00B93493">
        <w:rPr>
          <w:i/>
        </w:rPr>
        <w:tab/>
        <w:t>C</w:t>
      </w:r>
      <w:r w:rsidRPr="00B93493">
        <w:rPr>
          <w:vertAlign w:val="subscript"/>
        </w:rPr>
        <w:t>13</w:t>
      </w:r>
      <w:r w:rsidR="0002647B">
        <w:rPr>
          <w:vertAlign w:val="subscript"/>
        </w:rPr>
        <w:t xml:space="preserve"> </w:t>
      </w:r>
      <w:r w:rsidRPr="00B93493">
        <w:t>:</w:t>
      </w:r>
      <w:r w:rsidRPr="00B93493">
        <w:tab/>
        <w:t>funds necessary to provide efficient activities of a national telecommunication administration within ITU-R and to fulfil bilateral and multilateral frequency coordination obligations relating to terrestrial and satellite radio services etc.</w:t>
      </w:r>
    </w:p>
    <w:p w14:paraId="478520DE" w14:textId="17F29D27" w:rsidR="00CF04BC" w:rsidRPr="00B93493" w:rsidRDefault="00CF04BC" w:rsidP="00CF04BC">
      <w:pPr>
        <w:pStyle w:val="Equationlegend"/>
      </w:pPr>
      <w:r w:rsidRPr="00B93493">
        <w:rPr>
          <w:i/>
        </w:rPr>
        <w:tab/>
        <w:t>C</w:t>
      </w:r>
      <w:r w:rsidRPr="00B93493">
        <w:rPr>
          <w:vertAlign w:val="subscript"/>
        </w:rPr>
        <w:t>14</w:t>
      </w:r>
      <w:r w:rsidR="0002647B">
        <w:rPr>
          <w:vertAlign w:val="subscript"/>
        </w:rPr>
        <w:t xml:space="preserve"> </w:t>
      </w:r>
      <w:r w:rsidRPr="00B93493">
        <w:t>:</w:t>
      </w:r>
      <w:r w:rsidRPr="00B93493">
        <w:tab/>
        <w:t>spectrum management staff salaries.</w:t>
      </w:r>
    </w:p>
    <w:p w14:paraId="594AB844" w14:textId="77777777" w:rsidR="00CF04BC" w:rsidRPr="00B93493" w:rsidRDefault="00CF04BC" w:rsidP="00CF04BC">
      <w:r w:rsidRPr="00B93493">
        <w:t xml:space="preserve">Taxes are not included in the amounts </w:t>
      </w:r>
      <w:r w:rsidRPr="00B93493">
        <w:rPr>
          <w:i/>
        </w:rPr>
        <w:t>C</w:t>
      </w:r>
      <w:r w:rsidRPr="00B93493">
        <w:rPr>
          <w:vertAlign w:val="subscript"/>
        </w:rPr>
        <w:t>11</w:t>
      </w:r>
      <w:r w:rsidRPr="00B93493">
        <w:rPr>
          <w:i/>
        </w:rPr>
        <w:t xml:space="preserve"> – C</w:t>
      </w:r>
      <w:r w:rsidRPr="00B93493">
        <w:rPr>
          <w:vertAlign w:val="subscript"/>
        </w:rPr>
        <w:t>14</w:t>
      </w:r>
      <w:r w:rsidRPr="00B93493">
        <w:t>.</w:t>
      </w:r>
    </w:p>
    <w:p w14:paraId="228BFDD1" w14:textId="77777777" w:rsidR="00CF04BC" w:rsidRPr="00B93493" w:rsidRDefault="00CF04BC" w:rsidP="00CF04BC">
      <w:r w:rsidRPr="00B93493">
        <w:t xml:space="preserve">Coefficient </w:t>
      </w:r>
      <w:r w:rsidRPr="00B93493">
        <w:rPr>
          <w:i/>
        </w:rPr>
        <w:t>C</w:t>
      </w:r>
      <w:r w:rsidRPr="00B93493">
        <w:rPr>
          <w:vertAlign w:val="subscript"/>
        </w:rPr>
        <w:t>2</w:t>
      </w:r>
      <w:r w:rsidRPr="00B93493">
        <w:t xml:space="preserve"> can be presented as the following components:</w:t>
      </w:r>
    </w:p>
    <w:p w14:paraId="6F951117" w14:textId="77777777" w:rsidR="00CF04BC" w:rsidRPr="00B93493" w:rsidRDefault="00CF04BC" w:rsidP="00CF04BC">
      <w:pPr>
        <w:pStyle w:val="Blanc"/>
      </w:pPr>
    </w:p>
    <w:p w14:paraId="44BD9B36" w14:textId="77777777" w:rsidR="00CF04BC" w:rsidRPr="00B93493" w:rsidRDefault="00CF04BC" w:rsidP="00CF04BC">
      <w:pPr>
        <w:pStyle w:val="Equation"/>
      </w:pPr>
      <w:r w:rsidRPr="00B93493">
        <w:tab/>
      </w:r>
      <w:r w:rsidRPr="00B93493">
        <w:tab/>
      </w:r>
      <w:r w:rsidRPr="00B93493">
        <w:rPr>
          <w:i/>
          <w:iCs/>
        </w:rPr>
        <w:t>C</w:t>
      </w:r>
      <w:r w:rsidRPr="00B93493">
        <w:rPr>
          <w:vertAlign w:val="subscript"/>
        </w:rPr>
        <w:t>2</w:t>
      </w:r>
      <w:r w:rsidRPr="00B93493">
        <w:t xml:space="preserve"> </w:t>
      </w:r>
      <w:r w:rsidRPr="00B93493">
        <w:rPr>
          <w:rFonts w:ascii="Symbol" w:hAnsi="Symbol"/>
        </w:rPr>
        <w:t></w:t>
      </w:r>
      <w:r w:rsidRPr="00B93493">
        <w:t xml:space="preserve"> </w:t>
      </w:r>
      <w:r w:rsidRPr="00B93493">
        <w:rPr>
          <w:i/>
          <w:iCs/>
        </w:rPr>
        <w:t>C</w:t>
      </w:r>
      <w:r w:rsidRPr="00B93493">
        <w:rPr>
          <w:vertAlign w:val="subscript"/>
        </w:rPr>
        <w:t>21</w:t>
      </w:r>
      <w:r w:rsidRPr="00B93493">
        <w:t xml:space="preserve"> </w:t>
      </w:r>
      <w:r w:rsidRPr="00B93493">
        <w:rPr>
          <w:rFonts w:ascii="Symbol" w:hAnsi="Symbol"/>
        </w:rPr>
        <w:t></w:t>
      </w:r>
      <w:r w:rsidRPr="00B93493">
        <w:t xml:space="preserve"> </w:t>
      </w:r>
      <w:r w:rsidRPr="00B93493">
        <w:rPr>
          <w:i/>
          <w:iCs/>
        </w:rPr>
        <w:t>C</w:t>
      </w:r>
      <w:r w:rsidRPr="00B93493">
        <w:rPr>
          <w:vertAlign w:val="subscript"/>
        </w:rPr>
        <w:t>22</w:t>
      </w:r>
      <w:r w:rsidRPr="00B93493">
        <w:tab/>
        <w:t>(19)</w:t>
      </w:r>
    </w:p>
    <w:p w14:paraId="38F84A33" w14:textId="77777777" w:rsidR="00CF04BC" w:rsidRPr="00B93493" w:rsidRDefault="00CF04BC" w:rsidP="00CF04BC">
      <w:pPr>
        <w:keepNext/>
        <w:rPr>
          <w:rFonts w:eastAsia="SimSun"/>
          <w:lang w:eastAsia="zh-CN"/>
        </w:rPr>
      </w:pPr>
      <w:r w:rsidRPr="00B93493">
        <w:rPr>
          <w:rFonts w:eastAsia="SimSun"/>
          <w:lang w:eastAsia="zh-CN"/>
        </w:rPr>
        <w:t>where:</w:t>
      </w:r>
    </w:p>
    <w:p w14:paraId="2843495D" w14:textId="4C50A5B2" w:rsidR="00CF04BC" w:rsidRPr="00B93493" w:rsidRDefault="00CF04BC" w:rsidP="00CF04BC">
      <w:pPr>
        <w:pStyle w:val="Equationlegend"/>
      </w:pPr>
      <w:r w:rsidRPr="00B93493">
        <w:rPr>
          <w:i/>
        </w:rPr>
        <w:tab/>
        <w:t>C</w:t>
      </w:r>
      <w:r w:rsidRPr="00B93493">
        <w:rPr>
          <w:vertAlign w:val="subscript"/>
        </w:rPr>
        <w:t>21</w:t>
      </w:r>
      <w:r w:rsidR="0002647B">
        <w:rPr>
          <w:vertAlign w:val="subscript"/>
        </w:rPr>
        <w:t xml:space="preserve"> </w:t>
      </w:r>
      <w:r w:rsidRPr="00B93493">
        <w:t>:</w:t>
      </w:r>
      <w:r w:rsidRPr="00B93493">
        <w:tab/>
        <w:t>taxes on the incomes of a national spectrum management body and taxes included in the cost of the equipment, software, materials etc., which are bought by this body from the market</w:t>
      </w:r>
    </w:p>
    <w:p w14:paraId="38624F86" w14:textId="6F128555" w:rsidR="00CF04BC" w:rsidRPr="00B93493" w:rsidRDefault="00CF04BC" w:rsidP="00CF04BC">
      <w:pPr>
        <w:pStyle w:val="Equationlegend"/>
      </w:pPr>
      <w:r w:rsidRPr="00B93493">
        <w:rPr>
          <w:i/>
        </w:rPr>
        <w:tab/>
        <w:t>C</w:t>
      </w:r>
      <w:r w:rsidRPr="00B93493">
        <w:rPr>
          <w:vertAlign w:val="subscript"/>
        </w:rPr>
        <w:t>22</w:t>
      </w:r>
      <w:r w:rsidR="0002647B">
        <w:rPr>
          <w:vertAlign w:val="subscript"/>
        </w:rPr>
        <w:t xml:space="preserve"> </w:t>
      </w:r>
      <w:r w:rsidRPr="00B93493">
        <w:t>:</w:t>
      </w:r>
      <w:r w:rsidRPr="00B93493">
        <w:tab/>
        <w:t>additional payment for spectrum use coming directly to a State budget.</w:t>
      </w:r>
    </w:p>
    <w:p w14:paraId="2E91A03F" w14:textId="77777777" w:rsidR="00CF04BC" w:rsidRPr="00B93493" w:rsidRDefault="00CF04BC" w:rsidP="0002647B">
      <w:r w:rsidRPr="00B93493">
        <w:t xml:space="preserve">To encourage faster development of radio communication services to support economic development of a country some countries do not apply such additional charges. Equations (17) and (19) do not take into account any indirect income of the State from the used spectral resource in the form of taxes from the incomes of the telecommunication operators whose activity is connected with spectral resource use (for example, taxes from the incomes of the cellular communication operators). This component of the income of the State usually is collected and repeatedly exceeds reasonable values of </w:t>
      </w:r>
      <w:r w:rsidRPr="00B93493">
        <w:rPr>
          <w:i/>
        </w:rPr>
        <w:t>C</w:t>
      </w:r>
      <w:r w:rsidRPr="00B93493">
        <w:rPr>
          <w:vertAlign w:val="subscript"/>
        </w:rPr>
        <w:t>22</w:t>
      </w:r>
      <w:r w:rsidRPr="00B93493">
        <w:t>, if those would be collected. At the same time these taxes are also</w:t>
      </w:r>
      <w:r w:rsidRPr="00B93493">
        <w:rPr>
          <w:b/>
        </w:rPr>
        <w:t xml:space="preserve"> </w:t>
      </w:r>
      <w:r w:rsidRPr="00B93493">
        <w:t>the State income from used spectral resource although an indirect one.</w:t>
      </w:r>
    </w:p>
    <w:p w14:paraId="23BD5F30" w14:textId="77777777" w:rsidR="00CF04BC" w:rsidRPr="00B93493" w:rsidRDefault="00CF04BC" w:rsidP="0002647B">
      <w:r w:rsidRPr="00B93493">
        <w:t xml:space="preserve">In essence </w:t>
      </w:r>
      <w:r w:rsidRPr="00B93493">
        <w:rPr>
          <w:i/>
        </w:rPr>
        <w:t>C</w:t>
      </w:r>
      <w:r w:rsidRPr="00B93493">
        <w:rPr>
          <w:vertAlign w:val="subscript"/>
        </w:rPr>
        <w:t>22</w:t>
      </w:r>
      <w:r w:rsidRPr="00B93493">
        <w:t xml:space="preserve"> is some kind of advanced payment to the State for a spectrum and many telecommunication operators, especially in the developing countries, will not be immediately be able to make such large payments and furthermore this could be an obstacle to development.</w:t>
      </w:r>
    </w:p>
    <w:p w14:paraId="32F98729" w14:textId="77777777" w:rsidR="00CF04BC" w:rsidRPr="00B93493" w:rsidRDefault="00CF04BC" w:rsidP="0002647B">
      <w:r w:rsidRPr="00B93493">
        <w:t xml:space="preserve">A good measure of the provision of an economic incentive is to reduce to a minimum the </w:t>
      </w:r>
      <w:r w:rsidRPr="00B93493">
        <w:rPr>
          <w:i/>
        </w:rPr>
        <w:t>C</w:t>
      </w:r>
      <w:r w:rsidRPr="00B93493">
        <w:rPr>
          <w:vertAlign w:val="subscript"/>
        </w:rPr>
        <w:t>22</w:t>
      </w:r>
      <w:r w:rsidRPr="00B93493">
        <w:rPr>
          <w:position w:val="-4"/>
        </w:rPr>
        <w:t xml:space="preserve"> </w:t>
      </w:r>
      <w:r w:rsidRPr="00B93493">
        <w:t xml:space="preserve">component, so that a telecommunication operator begins to provide service as quickly as possible. The loss of this </w:t>
      </w:r>
      <w:r w:rsidRPr="00B93493">
        <w:rPr>
          <w:i/>
        </w:rPr>
        <w:t>C</w:t>
      </w:r>
      <w:r w:rsidRPr="00B93493">
        <w:rPr>
          <w:vertAlign w:val="subscript"/>
        </w:rPr>
        <w:t>22</w:t>
      </w:r>
      <w:r w:rsidRPr="00B93493">
        <w:t xml:space="preserve"> component can be easily compensated by a State from taxes from the telecommunication operator’s activity.</w:t>
      </w:r>
    </w:p>
    <w:p w14:paraId="29C2F7C1" w14:textId="77777777" w:rsidR="00CF04BC" w:rsidRPr="00B93493" w:rsidRDefault="00CF04BC" w:rsidP="0002647B">
      <w:r w:rsidRPr="00B93493">
        <w:t>Thus, for the purposes of rapid development of telecommunications and information services in a country and the creation of economic incentives to the telecommunication operators, it is essential to hold spectrum payments</w:t>
      </w:r>
      <w:r w:rsidRPr="00B93493">
        <w:rPr>
          <w:b/>
        </w:rPr>
        <w:t xml:space="preserve"> </w:t>
      </w:r>
      <w:r w:rsidRPr="00B93493">
        <w:t>to the minimum</w:t>
      </w:r>
      <w:r w:rsidRPr="00B93493">
        <w:rPr>
          <w:b/>
        </w:rPr>
        <w:t xml:space="preserve"> </w:t>
      </w:r>
      <w:r w:rsidRPr="00B93493">
        <w:t>necessary values to cover the costs of a national spectrum management. Administrations can gain further fees from the license for applications to which the spectrum is used and furthermore the taxes on operator revenues will compensate for the revenue foregone. This will be the case particularly where spectrum fees and licensing are treated separately.</w:t>
      </w:r>
    </w:p>
    <w:p w14:paraId="37A76202" w14:textId="77777777" w:rsidR="00CF04BC" w:rsidRPr="0002647B" w:rsidRDefault="00CF04BC" w:rsidP="0002647B">
      <w:pPr>
        <w:pStyle w:val="Heading3"/>
      </w:pPr>
      <w:bookmarkStart w:id="1734" w:name="_Toc518394224"/>
      <w:bookmarkStart w:id="1735" w:name="_Toc289868994"/>
      <w:bookmarkStart w:id="1736" w:name="_Toc462234065"/>
      <w:bookmarkStart w:id="1737" w:name="_Toc289933348"/>
      <w:bookmarkStart w:id="1738" w:name="_Toc291852911"/>
      <w:bookmarkStart w:id="1739" w:name="_Toc392515897"/>
      <w:bookmarkStart w:id="1740" w:name="_Toc289868834"/>
      <w:bookmarkStart w:id="1741" w:name="_Toc289932302"/>
      <w:bookmarkStart w:id="1742" w:name="_Toc182391543"/>
      <w:bookmarkStart w:id="1743" w:name="_Toc182391954"/>
      <w:r w:rsidRPr="0002647B">
        <w:t>4.6.5</w:t>
      </w:r>
      <w:r w:rsidRPr="0002647B">
        <w:tab/>
        <w:t>Determination of the used spectral resource value</w:t>
      </w:r>
      <w:bookmarkEnd w:id="1734"/>
      <w:bookmarkEnd w:id="1735"/>
      <w:bookmarkEnd w:id="1736"/>
      <w:bookmarkEnd w:id="1737"/>
      <w:bookmarkEnd w:id="1738"/>
      <w:bookmarkEnd w:id="1739"/>
      <w:bookmarkEnd w:id="1740"/>
      <w:bookmarkEnd w:id="1741"/>
      <w:bookmarkEnd w:id="1742"/>
      <w:bookmarkEnd w:id="1743"/>
    </w:p>
    <w:p w14:paraId="2B67B7BA" w14:textId="3F3653C7" w:rsidR="00CF04BC" w:rsidRPr="00B93493" w:rsidRDefault="00CF04BC" w:rsidP="0002647B">
      <w:r w:rsidRPr="00B93493">
        <w:t>Proceeding from equations (17)</w:t>
      </w:r>
      <w:r w:rsidR="008D295D">
        <w:t xml:space="preserve"> to </w:t>
      </w:r>
      <w:r w:rsidRPr="00B93493">
        <w:t xml:space="preserve">(19) it is possible to determine </w:t>
      </w:r>
      <w:r w:rsidRPr="00B93493">
        <w:rPr>
          <w:i/>
        </w:rPr>
        <w:t>C</w:t>
      </w:r>
      <w:r w:rsidRPr="00B93493">
        <w:rPr>
          <w:i/>
          <w:vertAlign w:val="subscript"/>
        </w:rPr>
        <w:t>an</w:t>
      </w:r>
      <w:r w:rsidRPr="00B93493">
        <w:t xml:space="preserve"> representing the cumulative annual expenditures and income payment for all spectral resources, used in the country. The second step is to determine the spectral resource value used by each user and then by all users. These are calculated on the basis of data regarding each frequency assignment contained in a national Spectrum Management Database.</w:t>
      </w:r>
    </w:p>
    <w:p w14:paraId="45001B9C" w14:textId="77777777" w:rsidR="00CF04BC" w:rsidRPr="00B93493" w:rsidRDefault="00CF04BC" w:rsidP="0002647B">
      <w:r w:rsidRPr="00B93493">
        <w:t>The method proposed is as follows.</w:t>
      </w:r>
    </w:p>
    <w:p w14:paraId="302FFCA0" w14:textId="77777777" w:rsidR="00CF04BC" w:rsidRPr="00B93493" w:rsidRDefault="00CF04BC" w:rsidP="0002647B">
      <w:r w:rsidRPr="00B93493">
        <w:t xml:space="preserve">For any </w:t>
      </w:r>
      <w:r w:rsidRPr="00E91654">
        <w:rPr>
          <w:i/>
        </w:rPr>
        <w:t>i</w:t>
      </w:r>
      <w:r w:rsidRPr="00E91654">
        <w:t>-th</w:t>
      </w:r>
      <w:r w:rsidRPr="00B93493">
        <w:t xml:space="preserve"> frequency assignment (from their total amount </w:t>
      </w:r>
      <w:r w:rsidRPr="00B93493">
        <w:rPr>
          <w:i/>
        </w:rPr>
        <w:t>n</w:t>
      </w:r>
      <w:r w:rsidRPr="00B93493">
        <w:t xml:space="preserve"> incorporated in the national database) the three-dimensional value of the spectral resource, denoted as </w:t>
      </w:r>
      <w:r w:rsidRPr="00B93493">
        <w:rPr>
          <w:i/>
        </w:rPr>
        <w:t>W</w:t>
      </w:r>
      <w:r w:rsidRPr="00B93493">
        <w:rPr>
          <w:i/>
          <w:vertAlign w:val="subscript"/>
        </w:rPr>
        <w:t>i</w:t>
      </w:r>
      <w:r w:rsidRPr="00B93493">
        <w:t>, is to be determined as follows:</w:t>
      </w:r>
    </w:p>
    <w:p w14:paraId="3BFB4E82" w14:textId="77777777" w:rsidR="00CF04BC" w:rsidRPr="00B93493" w:rsidRDefault="00CF04BC" w:rsidP="00CF04BC">
      <w:pPr>
        <w:pStyle w:val="Blanc"/>
      </w:pPr>
    </w:p>
    <w:p w14:paraId="32FF9689" w14:textId="77777777" w:rsidR="00CF04BC" w:rsidRPr="00596592" w:rsidRDefault="00CF04BC" w:rsidP="00CF04BC">
      <w:pPr>
        <w:pStyle w:val="Equation"/>
        <w:rPr>
          <w:lang w:val="it-IT"/>
        </w:rPr>
      </w:pPr>
      <w:r w:rsidRPr="00B93493">
        <w:tab/>
      </w:r>
      <w:r w:rsidRPr="00B93493">
        <w:tab/>
      </w:r>
      <w:r w:rsidRPr="00596592">
        <w:rPr>
          <w:i/>
          <w:iCs/>
          <w:lang w:val="it-IT"/>
        </w:rPr>
        <w:t>W</w:t>
      </w:r>
      <w:r w:rsidRPr="00596592">
        <w:rPr>
          <w:i/>
          <w:iCs/>
          <w:vertAlign w:val="subscript"/>
          <w:lang w:val="it-IT"/>
        </w:rPr>
        <w:t>i</w:t>
      </w:r>
      <w:r w:rsidRPr="00596592">
        <w:rPr>
          <w:lang w:val="it-IT"/>
        </w:rPr>
        <w:t xml:space="preserve"> </w:t>
      </w:r>
      <w:r w:rsidRPr="00B93493">
        <w:rPr>
          <w:rFonts w:ascii="Symbol" w:hAnsi="Symbol"/>
        </w:rPr>
        <w:t></w:t>
      </w:r>
      <w:r w:rsidRPr="00596592">
        <w:rPr>
          <w:lang w:val="it-IT"/>
        </w:rPr>
        <w:t xml:space="preserve"> </w:t>
      </w:r>
      <w:r w:rsidRPr="00B93493">
        <w:sym w:font="Symbol" w:char="F061"/>
      </w:r>
      <w:r w:rsidRPr="00596592">
        <w:rPr>
          <w:i/>
          <w:iCs/>
          <w:vertAlign w:val="subscript"/>
          <w:lang w:val="it-IT"/>
        </w:rPr>
        <w:t>i</w:t>
      </w:r>
      <w:r w:rsidRPr="00596592">
        <w:rPr>
          <w:lang w:val="it-IT"/>
        </w:rPr>
        <w:t xml:space="preserve"> </w:t>
      </w:r>
      <w:r w:rsidRPr="00B93493">
        <w:rPr>
          <w:rFonts w:ascii="Symbol" w:hAnsi="Symbol"/>
        </w:rPr>
        <w:fldChar w:fldCharType="begin"/>
      </w:r>
      <w:r w:rsidRPr="00596592">
        <w:rPr>
          <w:rFonts w:ascii="Symbol" w:hAnsi="Symbol"/>
          <w:lang w:val="it-IT"/>
        </w:rPr>
        <w:instrText>SYMBOL 215 \f "Symbol" \s 14</w:instrText>
      </w:r>
      <w:r w:rsidRPr="00B93493">
        <w:rPr>
          <w:rFonts w:ascii="Symbol" w:hAnsi="Symbol"/>
        </w:rPr>
        <w:fldChar w:fldCharType="separate"/>
      </w:r>
      <w:r w:rsidRPr="00596592">
        <w:rPr>
          <w:rFonts w:ascii="Symbol" w:hAnsi="Symbol"/>
          <w:lang w:val="it-IT"/>
        </w:rPr>
        <w:t>×</w:t>
      </w:r>
      <w:r w:rsidRPr="00B93493">
        <w:rPr>
          <w:rFonts w:ascii="Symbol" w:hAnsi="Symbol"/>
        </w:rPr>
        <w:fldChar w:fldCharType="end"/>
      </w:r>
      <w:r w:rsidRPr="00596592">
        <w:rPr>
          <w:lang w:val="it-IT"/>
        </w:rPr>
        <w:t xml:space="preserve"> </w:t>
      </w:r>
      <w:r w:rsidRPr="00B93493">
        <w:sym w:font="Symbol" w:char="F062"/>
      </w:r>
      <w:r w:rsidRPr="00596592">
        <w:rPr>
          <w:i/>
          <w:iCs/>
          <w:vertAlign w:val="subscript"/>
          <w:lang w:val="it-IT"/>
        </w:rPr>
        <w:t>i</w:t>
      </w:r>
      <w:r w:rsidRPr="00596592">
        <w:rPr>
          <w:lang w:val="it-IT"/>
        </w:rPr>
        <w:t xml:space="preserve"> </w:t>
      </w:r>
      <w:r w:rsidRPr="00B93493">
        <w:fldChar w:fldCharType="begin"/>
      </w:r>
      <w:r w:rsidRPr="00596592">
        <w:rPr>
          <w:lang w:val="it-IT"/>
        </w:rPr>
        <w:instrText>SYMBOL 215 \f "Symbol" \s 14</w:instrText>
      </w:r>
      <w:r w:rsidRPr="00B93493">
        <w:fldChar w:fldCharType="separate"/>
      </w:r>
      <w:r w:rsidRPr="00596592">
        <w:rPr>
          <w:lang w:val="it-IT"/>
        </w:rPr>
        <w:t>×</w:t>
      </w:r>
      <w:r w:rsidRPr="00B93493">
        <w:fldChar w:fldCharType="end"/>
      </w:r>
      <w:r w:rsidRPr="00596592">
        <w:rPr>
          <w:lang w:val="it-IT"/>
        </w:rPr>
        <w:t xml:space="preserve"> (</w:t>
      </w:r>
      <w:r w:rsidRPr="00596592">
        <w:rPr>
          <w:i/>
          <w:iCs/>
          <w:lang w:val="it-IT"/>
        </w:rPr>
        <w:t>F</w:t>
      </w:r>
      <w:r w:rsidRPr="00596592">
        <w:rPr>
          <w:i/>
          <w:iCs/>
          <w:vertAlign w:val="subscript"/>
          <w:lang w:val="it-IT"/>
        </w:rPr>
        <w:t>i</w:t>
      </w:r>
      <w:r w:rsidRPr="00596592">
        <w:rPr>
          <w:lang w:val="it-IT"/>
        </w:rPr>
        <w:t xml:space="preserve"> </w:t>
      </w:r>
      <w:r w:rsidRPr="00B93493">
        <w:rPr>
          <w:rFonts w:ascii="Symbol" w:hAnsi="Symbol"/>
        </w:rPr>
        <w:fldChar w:fldCharType="begin"/>
      </w:r>
      <w:r w:rsidRPr="00596592">
        <w:rPr>
          <w:rFonts w:ascii="Symbol" w:hAnsi="Symbol"/>
          <w:lang w:val="it-IT"/>
        </w:rPr>
        <w:instrText>SYMBOL 215 \f "Symbol" \s 14</w:instrText>
      </w:r>
      <w:r w:rsidRPr="00B93493">
        <w:rPr>
          <w:rFonts w:ascii="Symbol" w:hAnsi="Symbol"/>
        </w:rPr>
        <w:fldChar w:fldCharType="separate"/>
      </w:r>
      <w:r w:rsidRPr="00596592">
        <w:rPr>
          <w:rFonts w:ascii="Symbol" w:hAnsi="Symbol"/>
          <w:lang w:val="it-IT"/>
        </w:rPr>
        <w:t>×</w:t>
      </w:r>
      <w:r w:rsidRPr="00B93493">
        <w:rPr>
          <w:rFonts w:ascii="Symbol" w:hAnsi="Symbol"/>
        </w:rPr>
        <w:fldChar w:fldCharType="end"/>
      </w:r>
      <w:r w:rsidRPr="00596592">
        <w:rPr>
          <w:lang w:val="it-IT"/>
        </w:rPr>
        <w:t xml:space="preserve"> </w:t>
      </w:r>
      <w:r w:rsidRPr="00596592">
        <w:rPr>
          <w:i/>
          <w:iCs/>
          <w:lang w:val="it-IT"/>
        </w:rPr>
        <w:t>S</w:t>
      </w:r>
      <w:r w:rsidRPr="00596592">
        <w:rPr>
          <w:i/>
          <w:iCs/>
          <w:vertAlign w:val="subscript"/>
          <w:lang w:val="it-IT"/>
        </w:rPr>
        <w:t>i</w:t>
      </w:r>
      <w:r w:rsidRPr="00596592">
        <w:rPr>
          <w:lang w:val="it-IT"/>
        </w:rPr>
        <w:t xml:space="preserve"> </w:t>
      </w:r>
      <w:r w:rsidRPr="00B93493">
        <w:rPr>
          <w:rFonts w:ascii="Symbol" w:hAnsi="Symbol"/>
        </w:rPr>
        <w:fldChar w:fldCharType="begin"/>
      </w:r>
      <w:r w:rsidRPr="00596592">
        <w:rPr>
          <w:rFonts w:ascii="Symbol" w:hAnsi="Symbol"/>
          <w:lang w:val="it-IT"/>
        </w:rPr>
        <w:instrText>SYMBOL 215 \f "Symbol" \s 14</w:instrText>
      </w:r>
      <w:r w:rsidRPr="00B93493">
        <w:rPr>
          <w:rFonts w:ascii="Symbol" w:hAnsi="Symbol"/>
        </w:rPr>
        <w:fldChar w:fldCharType="separate"/>
      </w:r>
      <w:r w:rsidRPr="00596592">
        <w:rPr>
          <w:rFonts w:ascii="Symbol" w:hAnsi="Symbol"/>
          <w:lang w:val="it-IT"/>
        </w:rPr>
        <w:t>×</w:t>
      </w:r>
      <w:r w:rsidRPr="00B93493">
        <w:rPr>
          <w:rFonts w:ascii="Symbol" w:hAnsi="Symbol"/>
        </w:rPr>
        <w:fldChar w:fldCharType="end"/>
      </w:r>
      <w:r w:rsidRPr="00596592">
        <w:rPr>
          <w:lang w:val="it-IT"/>
        </w:rPr>
        <w:t xml:space="preserve"> </w:t>
      </w:r>
      <w:r w:rsidRPr="00596592">
        <w:rPr>
          <w:i/>
          <w:iCs/>
          <w:lang w:val="it-IT"/>
        </w:rPr>
        <w:t>T</w:t>
      </w:r>
      <w:r w:rsidRPr="00596592">
        <w:rPr>
          <w:i/>
          <w:iCs/>
          <w:vertAlign w:val="subscript"/>
          <w:lang w:val="it-IT"/>
        </w:rPr>
        <w:t>i</w:t>
      </w:r>
      <w:r w:rsidRPr="00596592">
        <w:rPr>
          <w:lang w:val="it-IT"/>
        </w:rPr>
        <w:t>)</w:t>
      </w:r>
      <w:r w:rsidRPr="00596592">
        <w:rPr>
          <w:lang w:val="it-IT"/>
        </w:rPr>
        <w:tab/>
        <w:t>(20)</w:t>
      </w:r>
    </w:p>
    <w:p w14:paraId="123EE049" w14:textId="77777777" w:rsidR="00CF04BC" w:rsidRPr="00B93493" w:rsidRDefault="00CF04BC" w:rsidP="0002647B">
      <w:r w:rsidRPr="00B93493">
        <w:t xml:space="preserve">where for </w:t>
      </w:r>
      <w:r w:rsidRPr="00B93493">
        <w:rPr>
          <w:i/>
        </w:rPr>
        <w:t>i</w:t>
      </w:r>
      <w:r w:rsidRPr="00B93493">
        <w:t>-th frequency assignment:</w:t>
      </w:r>
    </w:p>
    <w:p w14:paraId="112F142F" w14:textId="77777777" w:rsidR="00CF04BC" w:rsidRPr="00B93493" w:rsidRDefault="00CF04BC" w:rsidP="0002647B">
      <w:pPr>
        <w:pStyle w:val="Equationlegend"/>
      </w:pPr>
      <w:r w:rsidRPr="00B93493">
        <w:rPr>
          <w:i/>
        </w:rPr>
        <w:tab/>
      </w:r>
      <w:r w:rsidRPr="00B93493">
        <w:rPr>
          <w:i/>
          <w:iCs/>
        </w:rPr>
        <w:t>F</w:t>
      </w:r>
      <w:r w:rsidRPr="00B93493">
        <w:rPr>
          <w:i/>
          <w:iCs/>
          <w:vertAlign w:val="subscript"/>
        </w:rPr>
        <w:t>i</w:t>
      </w:r>
      <w:r w:rsidRPr="00B93493">
        <w:rPr>
          <w:rFonts w:ascii="Tms Rmn" w:hAnsi="Tms Rmn"/>
          <w:sz w:val="12"/>
        </w:rPr>
        <w:t> </w:t>
      </w:r>
      <w:r w:rsidRPr="00B93493">
        <w:t>:</w:t>
      </w:r>
      <w:r w:rsidRPr="00B93493">
        <w:tab/>
        <w:t>frequency resource</w:t>
      </w:r>
    </w:p>
    <w:p w14:paraId="56260360" w14:textId="77777777" w:rsidR="00CF04BC" w:rsidRPr="00B93493" w:rsidRDefault="00CF04BC" w:rsidP="0002647B">
      <w:pPr>
        <w:pStyle w:val="Equationlegend"/>
      </w:pPr>
      <w:r w:rsidRPr="00B93493">
        <w:rPr>
          <w:i/>
        </w:rPr>
        <w:tab/>
      </w:r>
      <w:r w:rsidRPr="00B93493">
        <w:rPr>
          <w:i/>
          <w:iCs/>
        </w:rPr>
        <w:t>S</w:t>
      </w:r>
      <w:r w:rsidRPr="00B93493">
        <w:rPr>
          <w:i/>
          <w:iCs/>
          <w:vertAlign w:val="subscript"/>
        </w:rPr>
        <w:t>i</w:t>
      </w:r>
      <w:r w:rsidRPr="00B93493">
        <w:rPr>
          <w:rFonts w:ascii="Tms Rmn" w:hAnsi="Tms Rmn"/>
          <w:sz w:val="12"/>
        </w:rPr>
        <w:t> </w:t>
      </w:r>
      <w:r w:rsidRPr="00B93493">
        <w:t>:</w:t>
      </w:r>
      <w:r w:rsidRPr="00B93493">
        <w:tab/>
        <w:t>territorial resource</w:t>
      </w:r>
    </w:p>
    <w:p w14:paraId="0B5C4B7A" w14:textId="77777777" w:rsidR="00CF04BC" w:rsidRPr="00B93493" w:rsidRDefault="00CF04BC" w:rsidP="0002647B">
      <w:pPr>
        <w:pStyle w:val="Equationlegend"/>
      </w:pPr>
      <w:r w:rsidRPr="00B93493">
        <w:rPr>
          <w:i/>
        </w:rPr>
        <w:tab/>
      </w:r>
      <w:r w:rsidRPr="00B93493">
        <w:rPr>
          <w:i/>
          <w:iCs/>
        </w:rPr>
        <w:t>T</w:t>
      </w:r>
      <w:r w:rsidRPr="00B93493">
        <w:rPr>
          <w:i/>
          <w:iCs/>
          <w:vertAlign w:val="subscript"/>
        </w:rPr>
        <w:t>i</w:t>
      </w:r>
      <w:r w:rsidRPr="00B93493">
        <w:rPr>
          <w:rFonts w:ascii="Tms Rmn" w:hAnsi="Tms Rmn"/>
          <w:sz w:val="12"/>
        </w:rPr>
        <w:t> </w:t>
      </w:r>
      <w:r w:rsidRPr="00B93493">
        <w:t>:</w:t>
      </w:r>
      <w:r w:rsidRPr="00B93493">
        <w:tab/>
        <w:t>time resource</w:t>
      </w:r>
    </w:p>
    <w:p w14:paraId="6EC83360" w14:textId="77777777" w:rsidR="00CF04BC" w:rsidRPr="00B93493" w:rsidRDefault="00CF04BC" w:rsidP="00CF04BC">
      <w:pPr>
        <w:pStyle w:val="Equationlegend"/>
      </w:pPr>
      <w:r w:rsidRPr="00B93493">
        <w:rPr>
          <w:i/>
        </w:rPr>
        <w:tab/>
      </w:r>
      <w:r w:rsidRPr="00B93493">
        <w:rPr>
          <w:iCs/>
        </w:rPr>
        <w:sym w:font="Symbol" w:char="F061"/>
      </w:r>
      <w:r w:rsidRPr="00B93493">
        <w:rPr>
          <w:i/>
          <w:iCs/>
          <w:vertAlign w:val="subscript"/>
        </w:rPr>
        <w:t>i</w:t>
      </w:r>
      <w:r w:rsidRPr="00B93493">
        <w:rPr>
          <w:rFonts w:ascii="Tms Rmn" w:hAnsi="Tms Rmn"/>
          <w:sz w:val="12"/>
        </w:rPr>
        <w:t> </w:t>
      </w:r>
      <w:r w:rsidRPr="00B93493">
        <w:t>:</w:t>
      </w:r>
      <w:r w:rsidRPr="00B93493">
        <w:tab/>
        <w:t>aggregate coefficient which takes into account a number of weighting factors, such as commercial, social and operational ones as it is given below</w:t>
      </w:r>
    </w:p>
    <w:p w14:paraId="1167E296" w14:textId="77777777" w:rsidR="00CF04BC" w:rsidRPr="00B93493" w:rsidRDefault="00CF04BC" w:rsidP="00CF04BC">
      <w:pPr>
        <w:pStyle w:val="Equationlegend"/>
      </w:pPr>
      <w:r w:rsidRPr="00B93493">
        <w:rPr>
          <w:i/>
        </w:rPr>
        <w:tab/>
      </w:r>
      <w:r w:rsidRPr="00B93493">
        <w:rPr>
          <w:iCs/>
        </w:rPr>
        <w:sym w:font="Symbol" w:char="F062"/>
      </w:r>
      <w:r w:rsidRPr="00B93493">
        <w:rPr>
          <w:i/>
          <w:iCs/>
          <w:vertAlign w:val="subscript"/>
        </w:rPr>
        <w:t>i</w:t>
      </w:r>
      <w:r w:rsidRPr="00B93493">
        <w:rPr>
          <w:rFonts w:ascii="Tms Rmn" w:hAnsi="Tms Rmn"/>
          <w:sz w:val="12"/>
        </w:rPr>
        <w:t> </w:t>
      </w:r>
      <w:r w:rsidRPr="00B93493">
        <w:t>:</w:t>
      </w:r>
      <w:r w:rsidRPr="00B93493">
        <w:tab/>
        <w:t>weighting coefficient which determines exclusiveness of the frequency assignment as it is given below.</w:t>
      </w:r>
    </w:p>
    <w:p w14:paraId="596C5FF2" w14:textId="77777777" w:rsidR="00CF04BC" w:rsidRPr="00B93493" w:rsidRDefault="00CF04BC" w:rsidP="00CF04BC">
      <w:pPr>
        <w:rPr>
          <w:rFonts w:eastAsia="SimSun"/>
          <w:lang w:eastAsia="zh-CN"/>
        </w:rPr>
      </w:pPr>
      <w:r w:rsidRPr="00B93493">
        <w:rPr>
          <w:rFonts w:eastAsia="SimSun"/>
          <w:lang w:eastAsia="zh-CN"/>
        </w:rPr>
        <w:t>Let us consider items of equation (20) in their reverse order.</w:t>
      </w:r>
    </w:p>
    <w:p w14:paraId="2DA99D62" w14:textId="77777777" w:rsidR="00CF04BC" w:rsidRPr="0002647B" w:rsidRDefault="00CF04BC" w:rsidP="0002647B">
      <w:pPr>
        <w:pStyle w:val="Heading3"/>
      </w:pPr>
      <w:bookmarkStart w:id="1744" w:name="_Toc289868995"/>
      <w:bookmarkStart w:id="1745" w:name="_Toc289933349"/>
      <w:bookmarkStart w:id="1746" w:name="_Toc291852912"/>
      <w:bookmarkStart w:id="1747" w:name="_Toc392515898"/>
      <w:bookmarkStart w:id="1748" w:name="_Toc462234066"/>
      <w:bookmarkStart w:id="1749" w:name="_Toc518394225"/>
      <w:bookmarkStart w:id="1750" w:name="_Toc289868835"/>
      <w:bookmarkStart w:id="1751" w:name="_Toc289932303"/>
      <w:bookmarkStart w:id="1752" w:name="_Toc182391544"/>
      <w:bookmarkStart w:id="1753" w:name="_Toc182391955"/>
      <w:r w:rsidRPr="0002647B">
        <w:t>4.6.6</w:t>
      </w:r>
      <w:r w:rsidRPr="0002647B">
        <w:tab/>
        <w:t>Determination of a time resource used by an emission</w:t>
      </w:r>
      <w:bookmarkEnd w:id="1744"/>
      <w:bookmarkEnd w:id="1745"/>
      <w:bookmarkEnd w:id="1746"/>
      <w:bookmarkEnd w:id="1747"/>
      <w:bookmarkEnd w:id="1748"/>
      <w:bookmarkEnd w:id="1749"/>
      <w:bookmarkEnd w:id="1750"/>
      <w:bookmarkEnd w:id="1751"/>
      <w:bookmarkEnd w:id="1752"/>
      <w:bookmarkEnd w:id="1753"/>
    </w:p>
    <w:p w14:paraId="5F07839A" w14:textId="77777777" w:rsidR="00CF04BC" w:rsidRPr="00B93493" w:rsidRDefault="00CF04BC" w:rsidP="0002647B">
      <w:r w:rsidRPr="00B93493">
        <w:t xml:space="preserve">A time resource </w:t>
      </w:r>
      <w:r w:rsidRPr="00B93493">
        <w:rPr>
          <w:i/>
        </w:rPr>
        <w:t>T</w:t>
      </w:r>
      <w:r w:rsidRPr="00B93493">
        <w:rPr>
          <w:i/>
          <w:szCs w:val="24"/>
          <w:vertAlign w:val="subscript"/>
        </w:rPr>
        <w:t>i</w:t>
      </w:r>
      <w:r w:rsidRPr="00B93493">
        <w:t xml:space="preserve"> used by </w:t>
      </w:r>
      <w:r w:rsidRPr="00B93493">
        <w:rPr>
          <w:i/>
        </w:rPr>
        <w:t>i</w:t>
      </w:r>
      <w:r w:rsidRPr="00B93493">
        <w:t>-th emission is determined as:</w:t>
      </w:r>
    </w:p>
    <w:p w14:paraId="3E50A454" w14:textId="77777777" w:rsidR="00CF04BC" w:rsidRPr="00B93493" w:rsidRDefault="00CF04BC" w:rsidP="00CF04BC">
      <w:pPr>
        <w:pStyle w:val="Blanc"/>
      </w:pPr>
    </w:p>
    <w:p w14:paraId="36BD0E3F" w14:textId="6FBFB765" w:rsidR="00CF04BC" w:rsidRPr="00B93493" w:rsidRDefault="00CF04BC" w:rsidP="00CF04BC">
      <w:pPr>
        <w:pStyle w:val="Equation"/>
        <w:keepNext/>
        <w:keepLines/>
      </w:pPr>
      <w:r w:rsidRPr="00B93493">
        <w:tab/>
      </w:r>
      <w:r w:rsidRPr="00B93493">
        <w:tab/>
      </w:r>
      <w:r w:rsidRPr="00B93493">
        <w:rPr>
          <w:i/>
          <w:iCs/>
        </w:rPr>
        <w:t>T</w:t>
      </w:r>
      <w:r w:rsidRPr="00B93493">
        <w:rPr>
          <w:i/>
          <w:iCs/>
          <w:vertAlign w:val="subscript"/>
        </w:rPr>
        <w:t>i</w:t>
      </w:r>
      <w:r w:rsidRPr="00B93493">
        <w:rPr>
          <w:position w:val="-5"/>
          <w:vertAlign w:val="subscript"/>
        </w:rPr>
        <w:t> </w:t>
      </w:r>
      <w:r w:rsidRPr="00B93493">
        <w:rPr>
          <w:position w:val="-5"/>
        </w:rPr>
        <w:t xml:space="preserve"> </w:t>
      </w:r>
      <w:r w:rsidR="0002647B">
        <w:t>≤</w:t>
      </w:r>
      <w:r w:rsidRPr="00B93493">
        <w:t xml:space="preserve"> 1 (year)</w:t>
      </w:r>
      <w:r w:rsidRPr="00B93493">
        <w:tab/>
        <w:t>(21)</w:t>
      </w:r>
    </w:p>
    <w:p w14:paraId="0DD857AA" w14:textId="77777777" w:rsidR="00CF04BC" w:rsidRPr="00B93493" w:rsidRDefault="00CF04BC" w:rsidP="00CF04BC">
      <w:pPr>
        <w:pStyle w:val="Blanc"/>
      </w:pPr>
    </w:p>
    <w:p w14:paraId="3FA7C0E4" w14:textId="77777777" w:rsidR="00CF04BC" w:rsidRPr="00B93493" w:rsidRDefault="00CF04BC" w:rsidP="0002647B">
      <w:r w:rsidRPr="00B93493">
        <w:t>and for each frequency assignment represents a fraction of time related to one year, determined in that or another way, during which the radio transmitter operates in accordance with terms set out in the relevant license. It can be a fraction of a day, which may be the case with broadcasting or PMR service, or a fraction of a year for seasonal operations such as expeditions, agricultural activities, etc.</w:t>
      </w:r>
    </w:p>
    <w:p w14:paraId="219FC425" w14:textId="77777777" w:rsidR="00CF04BC" w:rsidRPr="00B93493" w:rsidRDefault="00CF04BC" w:rsidP="0002647B">
      <w:r w:rsidRPr="00B93493">
        <w:t>For example, if particular TV transmitter in accordance with terms of its license is operating only 16 h per a day throughout the whole year, th</w:t>
      </w:r>
      <w:r>
        <w:rPr>
          <w:rFonts w:hint="eastAsia"/>
          <w:lang w:eastAsia="zh-CN"/>
        </w:rPr>
        <w:t>e</w:t>
      </w:r>
      <w:r w:rsidRPr="00B93493">
        <w:t xml:space="preserve">n: </w:t>
      </w:r>
      <w:r w:rsidRPr="00B93493">
        <w:rPr>
          <w:i/>
        </w:rPr>
        <w:t>T</w:t>
      </w:r>
      <w:r w:rsidRPr="00B93493">
        <w:rPr>
          <w:i/>
          <w:vertAlign w:val="subscript"/>
        </w:rPr>
        <w:t>i</w:t>
      </w:r>
      <w:r w:rsidRPr="00B93493">
        <w:rPr>
          <w:i/>
          <w:position w:val="-5"/>
          <w:vertAlign w:val="subscript"/>
        </w:rPr>
        <w:t xml:space="preserve"> </w:t>
      </w:r>
      <w:r w:rsidRPr="00B93493">
        <w:rPr>
          <w:rFonts w:ascii="Symbol" w:hAnsi="Symbol"/>
        </w:rPr>
        <w:t></w:t>
      </w:r>
      <w:r w:rsidRPr="00B93493">
        <w:t xml:space="preserve"> 16/24 </w:t>
      </w:r>
      <w:r w:rsidRPr="00B93493">
        <w:rPr>
          <w:rFonts w:ascii="Symbol" w:hAnsi="Symbol"/>
        </w:rPr>
        <w:t></w:t>
      </w:r>
      <w:r w:rsidRPr="00B93493">
        <w:t xml:space="preserve"> 0.67 year. If another transmitter (for example an HF one used for geological expedition), in accordance with terms of its license can operate totally only 3 months per year, then: </w:t>
      </w:r>
      <w:r w:rsidRPr="00B93493">
        <w:rPr>
          <w:i/>
        </w:rPr>
        <w:t>T</w:t>
      </w:r>
      <w:r w:rsidRPr="00B93493">
        <w:rPr>
          <w:i/>
          <w:iCs/>
          <w:vertAlign w:val="subscript"/>
        </w:rPr>
        <w:t>i</w:t>
      </w:r>
      <w:r w:rsidRPr="00B93493">
        <w:rPr>
          <w:i/>
          <w:position w:val="-5"/>
          <w:vertAlign w:val="subscript"/>
        </w:rPr>
        <w:t xml:space="preserve"> </w:t>
      </w:r>
      <w:r w:rsidRPr="00B93493">
        <w:rPr>
          <w:rFonts w:ascii="Symbol" w:hAnsi="Symbol"/>
        </w:rPr>
        <w:t></w:t>
      </w:r>
      <w:r w:rsidRPr="00B93493">
        <w:t xml:space="preserve"> 3/12 </w:t>
      </w:r>
      <w:r w:rsidRPr="00B93493">
        <w:rPr>
          <w:rFonts w:ascii="Symbol" w:hAnsi="Symbol"/>
        </w:rPr>
        <w:t></w:t>
      </w:r>
      <w:r w:rsidRPr="00B93493">
        <w:t xml:space="preserve"> 0.35 year.</w:t>
      </w:r>
    </w:p>
    <w:p w14:paraId="093486B4" w14:textId="0A0DEB94" w:rsidR="00CF04BC" w:rsidRPr="00B93493" w:rsidRDefault="00CF04BC" w:rsidP="0002647B">
      <w:r w:rsidRPr="00B93493">
        <w:t xml:space="preserve">It is obvious that for a transmitter which operates permanently, for example a microwave (RRL) one (short intervals of maintenance breaks usually do not taken into account if it is not especially stated in the license), </w:t>
      </w:r>
      <w:r w:rsidRPr="00B93493">
        <w:rPr>
          <w:i/>
        </w:rPr>
        <w:t>T</w:t>
      </w:r>
      <w:r w:rsidRPr="00B93493">
        <w:rPr>
          <w:i/>
          <w:iCs/>
          <w:vertAlign w:val="subscript"/>
        </w:rPr>
        <w:t>i</w:t>
      </w:r>
      <w:r w:rsidRPr="00B93493">
        <w:t xml:space="preserve"> </w:t>
      </w:r>
      <w:r w:rsidR="0002647B">
        <w:t>=</w:t>
      </w:r>
      <w:r w:rsidRPr="00B93493">
        <w:rPr>
          <w:sz w:val="16"/>
          <w:szCs w:val="16"/>
        </w:rPr>
        <w:t> </w:t>
      </w:r>
      <w:r w:rsidRPr="00B93493">
        <w:t>1 year. The last situation is usually typical for the majority of frequency assignments presented in any national Spectrum Management Database. Such a regime is the most commonly requested and licensed.</w:t>
      </w:r>
    </w:p>
    <w:p w14:paraId="3F2050E7" w14:textId="77777777" w:rsidR="00CF04BC" w:rsidRPr="0002647B" w:rsidRDefault="00CF04BC" w:rsidP="0002647B">
      <w:pPr>
        <w:pStyle w:val="Heading3"/>
      </w:pPr>
      <w:bookmarkStart w:id="1754" w:name="_Toc392515899"/>
      <w:bookmarkStart w:id="1755" w:name="_Toc462234067"/>
      <w:bookmarkStart w:id="1756" w:name="_Toc289868836"/>
      <w:bookmarkStart w:id="1757" w:name="_Toc289933350"/>
      <w:bookmarkStart w:id="1758" w:name="_Toc291852913"/>
      <w:bookmarkStart w:id="1759" w:name="_Toc518394226"/>
      <w:bookmarkStart w:id="1760" w:name="_Toc289868996"/>
      <w:bookmarkStart w:id="1761" w:name="_Toc289932304"/>
      <w:bookmarkStart w:id="1762" w:name="_Toc182391545"/>
      <w:bookmarkStart w:id="1763" w:name="_Toc182391956"/>
      <w:r w:rsidRPr="0002647B">
        <w:t>4.6.7</w:t>
      </w:r>
      <w:r w:rsidRPr="0002647B">
        <w:tab/>
        <w:t>Determination of a territorial resource used by an emission</w:t>
      </w:r>
      <w:bookmarkEnd w:id="1754"/>
      <w:bookmarkEnd w:id="1755"/>
      <w:bookmarkEnd w:id="1756"/>
      <w:bookmarkEnd w:id="1757"/>
      <w:bookmarkEnd w:id="1758"/>
      <w:bookmarkEnd w:id="1759"/>
      <w:bookmarkEnd w:id="1760"/>
      <w:bookmarkEnd w:id="1761"/>
      <w:bookmarkEnd w:id="1762"/>
      <w:bookmarkEnd w:id="1763"/>
    </w:p>
    <w:p w14:paraId="55CC7985" w14:textId="6232E758" w:rsidR="00CF04BC" w:rsidRPr="00B93493" w:rsidRDefault="00CF04BC" w:rsidP="00CF04BC">
      <w:r w:rsidRPr="00B93493">
        <w:t xml:space="preserve">A territorial resource </w:t>
      </w:r>
      <w:r w:rsidRPr="00B93493">
        <w:rPr>
          <w:i/>
        </w:rPr>
        <w:t>S</w:t>
      </w:r>
      <w:r w:rsidRPr="00B93493">
        <w:rPr>
          <w:i/>
          <w:szCs w:val="24"/>
          <w:vertAlign w:val="subscript"/>
        </w:rPr>
        <w:t>i</w:t>
      </w:r>
      <w:r w:rsidRPr="00B93493">
        <w:t xml:space="preserve"> used by </w:t>
      </w:r>
      <w:r w:rsidRPr="00B93493">
        <w:rPr>
          <w:i/>
        </w:rPr>
        <w:t>i</w:t>
      </w:r>
      <w:r w:rsidRPr="00B93493">
        <w:t>-th emission is determined as:</w:t>
      </w:r>
    </w:p>
    <w:p w14:paraId="205EC7B9" w14:textId="77777777" w:rsidR="00CF04BC" w:rsidRPr="00B93493" w:rsidRDefault="00CF04BC" w:rsidP="00CF04BC">
      <w:pPr>
        <w:pStyle w:val="Blanc"/>
      </w:pPr>
    </w:p>
    <w:p w14:paraId="6F20C6F7" w14:textId="77777777" w:rsidR="00CF04BC" w:rsidRPr="00596592" w:rsidRDefault="00CF04BC" w:rsidP="00CF04BC">
      <w:pPr>
        <w:pStyle w:val="Equation"/>
        <w:rPr>
          <w:lang w:val="it-IT"/>
        </w:rPr>
      </w:pPr>
      <w:r w:rsidRPr="00B93493">
        <w:tab/>
      </w:r>
      <w:r w:rsidRPr="00B93493">
        <w:tab/>
      </w:r>
      <w:r w:rsidRPr="00596592">
        <w:rPr>
          <w:i/>
          <w:iCs/>
          <w:lang w:val="it-IT"/>
        </w:rPr>
        <w:t>S</w:t>
      </w:r>
      <w:r w:rsidRPr="00596592">
        <w:rPr>
          <w:i/>
          <w:iCs/>
          <w:vertAlign w:val="subscript"/>
          <w:lang w:val="it-IT"/>
        </w:rPr>
        <w:t>i</w:t>
      </w:r>
      <w:r w:rsidRPr="00596592">
        <w:rPr>
          <w:position w:val="-5"/>
          <w:lang w:val="it-IT"/>
        </w:rPr>
        <w:t xml:space="preserve"> </w:t>
      </w:r>
      <w:r w:rsidRPr="00B93493">
        <w:rPr>
          <w:rFonts w:ascii="Symbol" w:hAnsi="Symbol"/>
        </w:rPr>
        <w:t></w:t>
      </w:r>
      <w:r w:rsidRPr="00596592">
        <w:rPr>
          <w:lang w:val="it-IT"/>
        </w:rPr>
        <w:t xml:space="preserve"> </w:t>
      </w:r>
      <w:r w:rsidRPr="00596592">
        <w:rPr>
          <w:i/>
          <w:iCs/>
          <w:lang w:val="it-IT"/>
        </w:rPr>
        <w:t>b</w:t>
      </w:r>
      <w:r w:rsidRPr="00596592">
        <w:rPr>
          <w:i/>
          <w:iCs/>
          <w:vertAlign w:val="subscript"/>
          <w:lang w:val="it-IT"/>
        </w:rPr>
        <w:t>ij</w:t>
      </w:r>
      <w:r w:rsidRPr="00596592">
        <w:rPr>
          <w:lang w:val="it-IT"/>
        </w:rPr>
        <w:t xml:space="preserve"> </w:t>
      </w:r>
      <w:r w:rsidRPr="00B93493">
        <w:fldChar w:fldCharType="begin"/>
      </w:r>
      <w:r w:rsidRPr="00596592">
        <w:rPr>
          <w:lang w:val="it-IT"/>
        </w:rPr>
        <w:instrText>SYMBOL 215 \f "Symbol" \s 14</w:instrText>
      </w:r>
      <w:r w:rsidRPr="00B93493">
        <w:fldChar w:fldCharType="separate"/>
      </w:r>
      <w:r w:rsidRPr="00596592">
        <w:rPr>
          <w:lang w:val="it-IT"/>
        </w:rPr>
        <w:t>×</w:t>
      </w:r>
      <w:r w:rsidRPr="00B93493">
        <w:fldChar w:fldCharType="end"/>
      </w:r>
      <w:r w:rsidRPr="00596592">
        <w:rPr>
          <w:lang w:val="it-IT"/>
        </w:rPr>
        <w:t xml:space="preserve"> </w:t>
      </w:r>
      <w:r w:rsidRPr="00596592">
        <w:rPr>
          <w:i/>
          <w:iCs/>
          <w:lang w:val="it-IT"/>
        </w:rPr>
        <w:t>s</w:t>
      </w:r>
      <w:r w:rsidRPr="00596592">
        <w:rPr>
          <w:i/>
          <w:iCs/>
          <w:vertAlign w:val="subscript"/>
          <w:lang w:val="it-IT"/>
        </w:rPr>
        <w:t>i</w:t>
      </w:r>
      <w:r w:rsidRPr="00596592">
        <w:rPr>
          <w:lang w:val="it-IT"/>
        </w:rPr>
        <w:t xml:space="preserve">    (km</w:t>
      </w:r>
      <w:r w:rsidRPr="00596592">
        <w:rPr>
          <w:vertAlign w:val="superscript"/>
          <w:lang w:val="it-IT"/>
        </w:rPr>
        <w:t>2</w:t>
      </w:r>
      <w:r w:rsidRPr="00596592">
        <w:rPr>
          <w:lang w:val="it-IT"/>
        </w:rPr>
        <w:t xml:space="preserve">)           1 </w:t>
      </w:r>
      <w:r w:rsidRPr="00B93493">
        <w:rPr>
          <w:rFonts w:ascii="Symbol" w:hAnsi="Symbol"/>
        </w:rPr>
        <w:t></w:t>
      </w:r>
      <w:r w:rsidRPr="00596592">
        <w:rPr>
          <w:lang w:val="it-IT"/>
        </w:rPr>
        <w:t xml:space="preserve"> </w:t>
      </w:r>
      <w:r w:rsidRPr="00596592">
        <w:rPr>
          <w:i/>
          <w:iCs/>
          <w:lang w:val="it-IT"/>
        </w:rPr>
        <w:t>j</w:t>
      </w:r>
      <w:r w:rsidRPr="00596592">
        <w:rPr>
          <w:lang w:val="it-IT"/>
        </w:rPr>
        <w:t xml:space="preserve"> </w:t>
      </w:r>
      <w:r w:rsidRPr="00B93493">
        <w:rPr>
          <w:rFonts w:ascii="Symbol" w:hAnsi="Symbol"/>
        </w:rPr>
        <w:t></w:t>
      </w:r>
      <w:r w:rsidRPr="00596592">
        <w:rPr>
          <w:lang w:val="it-IT"/>
        </w:rPr>
        <w:t xml:space="preserve"> </w:t>
      </w:r>
      <w:r w:rsidRPr="00596592">
        <w:rPr>
          <w:i/>
          <w:iCs/>
          <w:lang w:val="it-IT"/>
        </w:rPr>
        <w:t>m</w:t>
      </w:r>
      <w:r w:rsidRPr="00596592">
        <w:rPr>
          <w:lang w:val="it-IT"/>
        </w:rPr>
        <w:tab/>
        <w:t>(22)</w:t>
      </w:r>
    </w:p>
    <w:p w14:paraId="577DEBDD" w14:textId="77777777" w:rsidR="00CF04BC" w:rsidRPr="00B93493" w:rsidRDefault="00CF04BC" w:rsidP="00CF04BC">
      <w:r w:rsidRPr="00B93493">
        <w:t>where:</w:t>
      </w:r>
    </w:p>
    <w:p w14:paraId="14CE5A20" w14:textId="77777777" w:rsidR="00CF04BC" w:rsidRPr="00B93493" w:rsidRDefault="00CF04BC" w:rsidP="00CF04BC">
      <w:pPr>
        <w:pStyle w:val="Equationlegend"/>
      </w:pPr>
      <w:r w:rsidRPr="00B93493">
        <w:rPr>
          <w:i/>
        </w:rPr>
        <w:tab/>
        <w:t>S</w:t>
      </w:r>
      <w:r w:rsidRPr="00B93493">
        <w:rPr>
          <w:i/>
          <w:iCs/>
          <w:vertAlign w:val="subscript"/>
        </w:rPr>
        <w:t>i</w:t>
      </w:r>
      <w:r w:rsidRPr="00B93493">
        <w:rPr>
          <w:rFonts w:ascii="Tms Rmn" w:hAnsi="Tms Rmn"/>
          <w:iCs/>
          <w:sz w:val="12"/>
        </w:rPr>
        <w:t> </w:t>
      </w:r>
      <w:r w:rsidRPr="00B93493">
        <w:rPr>
          <w:iCs/>
        </w:rPr>
        <w:t>:</w:t>
      </w:r>
      <w:r w:rsidRPr="00B93493">
        <w:rPr>
          <w:iCs/>
        </w:rPr>
        <w:tab/>
      </w:r>
      <w:r w:rsidRPr="00B93493">
        <w:t>the territory actually occupied (covered) by the emission in accordance with certain criteria (km</w:t>
      </w:r>
      <w:r w:rsidRPr="00B93493">
        <w:rPr>
          <w:vertAlign w:val="superscript"/>
        </w:rPr>
        <w:t>2</w:t>
      </w:r>
      <w:r w:rsidRPr="00B93493">
        <w:t>)</w:t>
      </w:r>
    </w:p>
    <w:p w14:paraId="4B643320" w14:textId="77777777" w:rsidR="00CF04BC" w:rsidRPr="00B93493" w:rsidRDefault="00CF04BC" w:rsidP="00CF04BC">
      <w:pPr>
        <w:pStyle w:val="Equationlegend"/>
      </w:pPr>
      <w:r w:rsidRPr="00B93493">
        <w:rPr>
          <w:i/>
        </w:rPr>
        <w:tab/>
        <w:t>b</w:t>
      </w:r>
      <w:r w:rsidRPr="00B93493">
        <w:rPr>
          <w:i/>
          <w:iCs/>
          <w:vertAlign w:val="subscript"/>
        </w:rPr>
        <w:t>ij</w:t>
      </w:r>
      <w:r w:rsidRPr="00B93493">
        <w:rPr>
          <w:rFonts w:ascii="Tms Rmn" w:hAnsi="Tms Rmn"/>
          <w:iCs/>
          <w:sz w:val="12"/>
        </w:rPr>
        <w:t> </w:t>
      </w:r>
      <w:r w:rsidRPr="00B93493">
        <w:rPr>
          <w:iCs/>
        </w:rPr>
        <w:t>:</w:t>
      </w:r>
      <w:r w:rsidRPr="00B93493">
        <w:tab/>
        <w:t xml:space="preserve">weighting coefficient which depends on the </w:t>
      </w:r>
      <w:r w:rsidRPr="00B93493">
        <w:rPr>
          <w:i/>
        </w:rPr>
        <w:t>j</w:t>
      </w:r>
      <w:r w:rsidRPr="00B93493">
        <w:t>-th category of the territory actually occupied by the emission</w:t>
      </w:r>
    </w:p>
    <w:p w14:paraId="5E0A20A0" w14:textId="77777777" w:rsidR="00CF04BC" w:rsidRPr="00B93493" w:rsidRDefault="00CF04BC" w:rsidP="00CF04BC">
      <w:pPr>
        <w:pStyle w:val="Equationlegend"/>
      </w:pPr>
      <w:r w:rsidRPr="00B93493">
        <w:rPr>
          <w:iCs/>
        </w:rPr>
        <w:tab/>
      </w:r>
      <w:r w:rsidRPr="00B93493">
        <w:rPr>
          <w:i/>
        </w:rPr>
        <w:t>m</w:t>
      </w:r>
      <w:r w:rsidRPr="00B93493">
        <w:rPr>
          <w:rFonts w:ascii="Tms Rmn" w:hAnsi="Tms Rmn"/>
          <w:iCs/>
          <w:sz w:val="12"/>
        </w:rPr>
        <w:t> </w:t>
      </w:r>
      <w:r w:rsidRPr="00B93493">
        <w:rPr>
          <w:iCs/>
        </w:rPr>
        <w:t>:</w:t>
      </w:r>
      <w:r w:rsidRPr="00B93493">
        <w:rPr>
          <w:iCs/>
        </w:rPr>
        <w:tab/>
        <w:t>number</w:t>
      </w:r>
      <w:r w:rsidRPr="00B93493">
        <w:t xml:space="preserve"> of categories.</w:t>
      </w:r>
    </w:p>
    <w:p w14:paraId="45927756" w14:textId="77777777" w:rsidR="00CF04BC" w:rsidRPr="00B93493" w:rsidRDefault="00CF04BC" w:rsidP="0002647B">
      <w:r w:rsidRPr="00B93493">
        <w:t xml:space="preserve">The number of categories </w:t>
      </w:r>
      <w:r w:rsidRPr="00B93493">
        <w:rPr>
          <w:i/>
        </w:rPr>
        <w:t>m</w:t>
      </w:r>
      <w:r w:rsidRPr="00B93493">
        <w:t xml:space="preserve"> and the relevant values of the weighting coefficients </w:t>
      </w:r>
      <w:r w:rsidRPr="00B93493">
        <w:rPr>
          <w:i/>
        </w:rPr>
        <w:t>b</w:t>
      </w:r>
      <w:r w:rsidRPr="00B93493">
        <w:rPr>
          <w:i/>
          <w:position w:val="-5"/>
          <w:vertAlign w:val="subscript"/>
        </w:rPr>
        <w:t>j</w:t>
      </w:r>
      <w:r w:rsidRPr="00B93493">
        <w:t xml:space="preserve"> should be set out by a national telecommunications administration. These categories can take into account density of population and/or level of economic (industrial and/or agricultural) development of various regions of a country. It represents a measure of attractiveness for radio communication and broadcasting operators. Categories may also distinguish urban and rural areas, inland and coastal areas, mainland and island areas. Additionally</w:t>
      </w:r>
      <w:r>
        <w:rPr>
          <w:rFonts w:hint="eastAsia"/>
          <w:lang w:eastAsia="zh-CN"/>
        </w:rPr>
        <w:t>,</w:t>
      </w:r>
      <w:r w:rsidRPr="00B93493">
        <w:t xml:space="preserve"> settlement type and number of permanent or transitory inhabitants could also be included.</w:t>
      </w:r>
    </w:p>
    <w:p w14:paraId="1EF8F696" w14:textId="77777777" w:rsidR="00CF04BC" w:rsidRPr="00B93493" w:rsidRDefault="00CF04BC" w:rsidP="0002647B">
      <w:pPr>
        <w:rPr>
          <w:caps/>
          <w:sz w:val="20"/>
        </w:rPr>
      </w:pPr>
      <w:r w:rsidRPr="00B93493">
        <w:t xml:space="preserve">Illustrative examples are presented in Table </w:t>
      </w:r>
      <w:r>
        <w:rPr>
          <w:rFonts w:hint="eastAsia"/>
          <w:lang w:eastAsia="zh-CN"/>
        </w:rPr>
        <w:t>2</w:t>
      </w:r>
      <w:r w:rsidRPr="00B93493">
        <w:t>.</w:t>
      </w:r>
    </w:p>
    <w:p w14:paraId="501891E3" w14:textId="77777777" w:rsidR="00CF04BC" w:rsidRPr="0002647B" w:rsidRDefault="00CF04BC" w:rsidP="0002647B">
      <w:pPr>
        <w:pStyle w:val="TableNo"/>
      </w:pPr>
      <w:r w:rsidRPr="0002647B">
        <w:t xml:space="preserve">TABLE </w:t>
      </w:r>
      <w:r w:rsidRPr="0002647B">
        <w:rPr>
          <w:rFonts w:hint="eastAsia"/>
        </w:rPr>
        <w:t>2</w:t>
      </w:r>
    </w:p>
    <w:p w14:paraId="59A1908C" w14:textId="77777777" w:rsidR="00CF04BC" w:rsidRPr="0002647B" w:rsidRDefault="00CF04BC" w:rsidP="0002647B">
      <w:pPr>
        <w:pStyle w:val="Tabletitle"/>
      </w:pPr>
      <w:r w:rsidRPr="0002647B">
        <w:t>Example of weighting coefficients taking into account a density of population</w:t>
      </w:r>
      <w:r w:rsidRPr="0002647B">
        <w:br/>
        <w:t>(a level of economical development) in various regions of a country</w:t>
      </w:r>
    </w:p>
    <w:tbl>
      <w:tblPr>
        <w:tblW w:w="9639" w:type="dxa"/>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1205"/>
        <w:gridCol w:w="7229"/>
        <w:gridCol w:w="1205"/>
      </w:tblGrid>
      <w:tr w:rsidR="00CF04BC" w:rsidRPr="00B93493" w14:paraId="7CFE4F34" w14:textId="77777777" w:rsidTr="0002647B">
        <w:trPr>
          <w:cantSplit/>
          <w:jc w:val="center"/>
        </w:trPr>
        <w:tc>
          <w:tcPr>
            <w:tcW w:w="1134" w:type="dxa"/>
          </w:tcPr>
          <w:p w14:paraId="263337F5" w14:textId="77777777" w:rsidR="00CF04BC" w:rsidRPr="00B93493" w:rsidRDefault="00CF04BC" w:rsidP="002E7F54">
            <w:pPr>
              <w:pStyle w:val="Tablehead"/>
              <w:rPr>
                <w:szCs w:val="22"/>
              </w:rPr>
            </w:pPr>
          </w:p>
        </w:tc>
        <w:tc>
          <w:tcPr>
            <w:tcW w:w="6804" w:type="dxa"/>
          </w:tcPr>
          <w:p w14:paraId="15F67777" w14:textId="77777777" w:rsidR="00CF04BC" w:rsidRPr="00B93493" w:rsidRDefault="00CF04BC" w:rsidP="002E7F54">
            <w:pPr>
              <w:pStyle w:val="Tablehead"/>
              <w:rPr>
                <w:szCs w:val="22"/>
              </w:rPr>
            </w:pPr>
            <w:r w:rsidRPr="00B93493">
              <w:rPr>
                <w:szCs w:val="22"/>
              </w:rPr>
              <w:t>Designation</w:t>
            </w:r>
          </w:p>
        </w:tc>
        <w:tc>
          <w:tcPr>
            <w:tcW w:w="1134" w:type="dxa"/>
          </w:tcPr>
          <w:p w14:paraId="2B51D252" w14:textId="77777777" w:rsidR="00CF04BC" w:rsidRPr="00B93493" w:rsidRDefault="00CF04BC" w:rsidP="002E7F54">
            <w:pPr>
              <w:pStyle w:val="Tablehead"/>
              <w:rPr>
                <w:i/>
                <w:iCs/>
                <w:szCs w:val="22"/>
              </w:rPr>
            </w:pPr>
            <w:r w:rsidRPr="00B93493">
              <w:rPr>
                <w:i/>
                <w:iCs/>
                <w:szCs w:val="22"/>
              </w:rPr>
              <w:t>b</w:t>
            </w:r>
            <w:r w:rsidRPr="00B93493">
              <w:rPr>
                <w:i/>
                <w:iCs/>
                <w:szCs w:val="22"/>
                <w:vertAlign w:val="subscript"/>
              </w:rPr>
              <w:t>j</w:t>
            </w:r>
          </w:p>
        </w:tc>
      </w:tr>
      <w:tr w:rsidR="00CF04BC" w:rsidRPr="00B93493" w14:paraId="23B20654" w14:textId="77777777" w:rsidTr="0002647B">
        <w:trPr>
          <w:cantSplit/>
          <w:jc w:val="center"/>
        </w:trPr>
        <w:tc>
          <w:tcPr>
            <w:tcW w:w="1134" w:type="dxa"/>
            <w:vAlign w:val="center"/>
          </w:tcPr>
          <w:p w14:paraId="43317FAB" w14:textId="77777777" w:rsidR="00CF04BC" w:rsidRPr="00B93493" w:rsidRDefault="00CF04BC" w:rsidP="0002647B">
            <w:pPr>
              <w:pStyle w:val="Tabletext"/>
              <w:jc w:val="center"/>
              <w:rPr>
                <w:szCs w:val="22"/>
              </w:rPr>
            </w:pPr>
            <w:r w:rsidRPr="00B93493">
              <w:rPr>
                <w:szCs w:val="22"/>
              </w:rPr>
              <w:t>1</w:t>
            </w:r>
          </w:p>
        </w:tc>
        <w:tc>
          <w:tcPr>
            <w:tcW w:w="6804" w:type="dxa"/>
          </w:tcPr>
          <w:p w14:paraId="5CFB8DAC" w14:textId="77777777" w:rsidR="00CF04BC" w:rsidRPr="00B93493" w:rsidRDefault="00CF04BC" w:rsidP="0002647B">
            <w:pPr>
              <w:pStyle w:val="Tabletext"/>
              <w:jc w:val="left"/>
              <w:rPr>
                <w:szCs w:val="22"/>
              </w:rPr>
            </w:pPr>
            <w:r w:rsidRPr="00B93493">
              <w:rPr>
                <w:szCs w:val="22"/>
              </w:rPr>
              <w:t>The less populated and/or the less economically developed regions (deserts, high mountains, deep jungles etc.) which are usually the less attractive for radiocommunication and broadcasting operators</w:t>
            </w:r>
          </w:p>
        </w:tc>
        <w:tc>
          <w:tcPr>
            <w:tcW w:w="1134" w:type="dxa"/>
            <w:vAlign w:val="center"/>
          </w:tcPr>
          <w:p w14:paraId="3976F56C" w14:textId="77777777" w:rsidR="00CF04BC" w:rsidRPr="00B93493" w:rsidRDefault="00CF04BC" w:rsidP="0002647B">
            <w:pPr>
              <w:pStyle w:val="Tabletext"/>
              <w:jc w:val="center"/>
              <w:rPr>
                <w:szCs w:val="22"/>
              </w:rPr>
            </w:pPr>
            <w:r w:rsidRPr="00B93493">
              <w:rPr>
                <w:szCs w:val="22"/>
              </w:rPr>
              <w:t>0.1</w:t>
            </w:r>
          </w:p>
        </w:tc>
      </w:tr>
      <w:tr w:rsidR="00CF04BC" w:rsidRPr="00B93493" w14:paraId="2F34FCA2" w14:textId="77777777" w:rsidTr="0002647B">
        <w:trPr>
          <w:cantSplit/>
          <w:jc w:val="center"/>
        </w:trPr>
        <w:tc>
          <w:tcPr>
            <w:tcW w:w="1134" w:type="dxa"/>
            <w:vAlign w:val="center"/>
          </w:tcPr>
          <w:p w14:paraId="7FA99309" w14:textId="77777777" w:rsidR="00CF04BC" w:rsidRPr="00B93493" w:rsidRDefault="00CF04BC" w:rsidP="0002647B">
            <w:pPr>
              <w:pStyle w:val="Tabletext"/>
              <w:jc w:val="center"/>
              <w:rPr>
                <w:szCs w:val="22"/>
              </w:rPr>
            </w:pPr>
            <w:r w:rsidRPr="00B93493">
              <w:rPr>
                <w:szCs w:val="22"/>
              </w:rPr>
              <w:t xml:space="preserve">2 – </w:t>
            </w:r>
            <w:r w:rsidRPr="00B93493">
              <w:rPr>
                <w:i/>
                <w:szCs w:val="22"/>
              </w:rPr>
              <w:t>j </w:t>
            </w:r>
            <w:r w:rsidRPr="00B93493">
              <w:rPr>
                <w:szCs w:val="22"/>
              </w:rPr>
              <w:t>– ...</w:t>
            </w:r>
          </w:p>
        </w:tc>
        <w:tc>
          <w:tcPr>
            <w:tcW w:w="6804" w:type="dxa"/>
          </w:tcPr>
          <w:p w14:paraId="277ACE43" w14:textId="77777777" w:rsidR="00CF04BC" w:rsidRPr="00B93493" w:rsidRDefault="00CF04BC" w:rsidP="0002647B">
            <w:pPr>
              <w:pStyle w:val="Tabletext"/>
              <w:jc w:val="left"/>
              <w:rPr>
                <w:szCs w:val="22"/>
              </w:rPr>
            </w:pPr>
            <w:r w:rsidRPr="00B93493">
              <w:rPr>
                <w:szCs w:val="22"/>
              </w:rPr>
              <w:t>Regions with several intermediate and increasing gradations of density of population and/or indicators of economical development</w:t>
            </w:r>
          </w:p>
        </w:tc>
        <w:tc>
          <w:tcPr>
            <w:tcW w:w="1134" w:type="dxa"/>
            <w:vAlign w:val="center"/>
          </w:tcPr>
          <w:p w14:paraId="2D479BE9" w14:textId="77777777" w:rsidR="00CF04BC" w:rsidRPr="00B93493" w:rsidRDefault="00CF04BC" w:rsidP="0002647B">
            <w:pPr>
              <w:pStyle w:val="Tabletext"/>
              <w:jc w:val="center"/>
              <w:rPr>
                <w:szCs w:val="22"/>
              </w:rPr>
            </w:pPr>
            <w:r w:rsidRPr="00B93493">
              <w:rPr>
                <w:szCs w:val="22"/>
              </w:rPr>
              <w:t>0.2-0.9</w:t>
            </w:r>
          </w:p>
        </w:tc>
      </w:tr>
      <w:tr w:rsidR="00CF04BC" w:rsidRPr="00B93493" w14:paraId="6D5F8363" w14:textId="77777777" w:rsidTr="0002647B">
        <w:trPr>
          <w:cantSplit/>
          <w:jc w:val="center"/>
        </w:trPr>
        <w:tc>
          <w:tcPr>
            <w:tcW w:w="1134" w:type="dxa"/>
            <w:vAlign w:val="center"/>
          </w:tcPr>
          <w:p w14:paraId="1ECC952A" w14:textId="77777777" w:rsidR="00CF04BC" w:rsidRPr="00B93493" w:rsidRDefault="00CF04BC" w:rsidP="0002647B">
            <w:pPr>
              <w:pStyle w:val="Tabletext"/>
              <w:jc w:val="center"/>
              <w:rPr>
                <w:i/>
                <w:szCs w:val="22"/>
              </w:rPr>
            </w:pPr>
            <w:r w:rsidRPr="00B93493">
              <w:rPr>
                <w:i/>
                <w:szCs w:val="22"/>
              </w:rPr>
              <w:t>...</w:t>
            </w:r>
          </w:p>
        </w:tc>
        <w:tc>
          <w:tcPr>
            <w:tcW w:w="6804" w:type="dxa"/>
          </w:tcPr>
          <w:p w14:paraId="29833C95" w14:textId="77777777" w:rsidR="00CF04BC" w:rsidRPr="00B93493" w:rsidRDefault="00CF04BC" w:rsidP="0002647B">
            <w:pPr>
              <w:pStyle w:val="Tabletext"/>
              <w:jc w:val="left"/>
              <w:rPr>
                <w:szCs w:val="22"/>
              </w:rPr>
            </w:pPr>
            <w:r w:rsidRPr="00B93493">
              <w:rPr>
                <w:szCs w:val="22"/>
              </w:rPr>
              <w:t>The most populated and/or the most economically developed regions (capital region, main industry and/or agricultural areas etc.) which are the most attractive for radiocommunication and broadcasting operators</w:t>
            </w:r>
          </w:p>
        </w:tc>
        <w:tc>
          <w:tcPr>
            <w:tcW w:w="1134" w:type="dxa"/>
            <w:vAlign w:val="center"/>
          </w:tcPr>
          <w:p w14:paraId="2AB7EF2E" w14:textId="77777777" w:rsidR="00CF04BC" w:rsidRPr="00B93493" w:rsidRDefault="00CF04BC" w:rsidP="0002647B">
            <w:pPr>
              <w:pStyle w:val="Tabletext"/>
              <w:jc w:val="center"/>
              <w:rPr>
                <w:szCs w:val="22"/>
              </w:rPr>
            </w:pPr>
            <w:r w:rsidRPr="00B93493">
              <w:rPr>
                <w:szCs w:val="22"/>
              </w:rPr>
              <w:t>1</w:t>
            </w:r>
          </w:p>
        </w:tc>
      </w:tr>
    </w:tbl>
    <w:p w14:paraId="04405857" w14:textId="77777777" w:rsidR="00CF04BC" w:rsidRPr="0002647B" w:rsidRDefault="00CF04BC" w:rsidP="0002647B">
      <w:pPr>
        <w:pStyle w:val="Tablefin"/>
      </w:pP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4A0" w:firstRow="1" w:lastRow="0" w:firstColumn="1" w:lastColumn="0" w:noHBand="0" w:noVBand="1"/>
      </w:tblPr>
      <w:tblGrid>
        <w:gridCol w:w="1205"/>
        <w:gridCol w:w="7229"/>
        <w:gridCol w:w="1205"/>
      </w:tblGrid>
      <w:tr w:rsidR="00CF04BC" w:rsidRPr="00B93493" w14:paraId="46A3E4E7" w14:textId="77777777" w:rsidTr="0002647B">
        <w:trPr>
          <w:cantSplit/>
          <w:jc w:val="center"/>
        </w:trPr>
        <w:tc>
          <w:tcPr>
            <w:tcW w:w="9072" w:type="dxa"/>
            <w:gridSpan w:val="3"/>
            <w:tcBorders>
              <w:bottom w:val="single" w:sz="6" w:space="0" w:color="auto"/>
            </w:tcBorders>
          </w:tcPr>
          <w:p w14:paraId="3389C052" w14:textId="77777777" w:rsidR="00CF04BC" w:rsidRPr="00B93493" w:rsidRDefault="00CF04BC" w:rsidP="002E7F54">
            <w:pPr>
              <w:pStyle w:val="Tablehead"/>
              <w:rPr>
                <w:szCs w:val="22"/>
              </w:rPr>
            </w:pPr>
            <w:r w:rsidRPr="00B93493">
              <w:rPr>
                <w:szCs w:val="22"/>
              </w:rPr>
              <w:t>Cities and settlements of an urban type</w:t>
            </w:r>
          </w:p>
        </w:tc>
      </w:tr>
      <w:tr w:rsidR="00CF04BC" w:rsidRPr="00B93493" w14:paraId="0A05396A" w14:textId="77777777" w:rsidTr="0002647B">
        <w:trPr>
          <w:cantSplit/>
          <w:jc w:val="center"/>
        </w:trPr>
        <w:tc>
          <w:tcPr>
            <w:tcW w:w="1134" w:type="dxa"/>
            <w:tcBorders>
              <w:top w:val="single" w:sz="6" w:space="0" w:color="auto"/>
              <w:right w:val="single" w:sz="6" w:space="0" w:color="auto"/>
            </w:tcBorders>
          </w:tcPr>
          <w:p w14:paraId="189146F7" w14:textId="77777777" w:rsidR="00CF04BC" w:rsidRPr="00B93493" w:rsidRDefault="00CF04BC" w:rsidP="0002647B">
            <w:pPr>
              <w:pStyle w:val="Tabletext"/>
              <w:jc w:val="center"/>
              <w:rPr>
                <w:szCs w:val="22"/>
              </w:rPr>
            </w:pPr>
            <w:r w:rsidRPr="00B93493">
              <w:rPr>
                <w:szCs w:val="22"/>
              </w:rPr>
              <w:t>…</w:t>
            </w:r>
          </w:p>
        </w:tc>
        <w:tc>
          <w:tcPr>
            <w:tcW w:w="6804" w:type="dxa"/>
            <w:tcBorders>
              <w:top w:val="single" w:sz="6" w:space="0" w:color="auto"/>
              <w:left w:val="single" w:sz="6" w:space="0" w:color="auto"/>
              <w:right w:val="single" w:sz="6" w:space="0" w:color="auto"/>
            </w:tcBorders>
          </w:tcPr>
          <w:p w14:paraId="185C2B6E" w14:textId="77777777" w:rsidR="00CF04BC" w:rsidRPr="00B93493" w:rsidRDefault="00CF04BC" w:rsidP="0002647B">
            <w:pPr>
              <w:pStyle w:val="Tabletext"/>
              <w:jc w:val="left"/>
              <w:rPr>
                <w:szCs w:val="22"/>
              </w:rPr>
            </w:pPr>
            <w:r w:rsidRPr="00B93493">
              <w:rPr>
                <w:szCs w:val="22"/>
              </w:rPr>
              <w:t>With a population of 10</w:t>
            </w:r>
            <w:r w:rsidRPr="00B93493">
              <w:rPr>
                <w:rFonts w:ascii="Tms Rmn" w:hAnsi="Tms Rmn"/>
                <w:szCs w:val="22"/>
              </w:rPr>
              <w:t> </w:t>
            </w:r>
            <w:r w:rsidRPr="00B93493">
              <w:rPr>
                <w:szCs w:val="22"/>
              </w:rPr>
              <w:t>000 to 50</w:t>
            </w:r>
            <w:r w:rsidRPr="00B93493">
              <w:rPr>
                <w:rFonts w:ascii="Tms Rmn" w:hAnsi="Tms Rmn"/>
                <w:szCs w:val="22"/>
              </w:rPr>
              <w:t> </w:t>
            </w:r>
            <w:r w:rsidRPr="00B93493">
              <w:rPr>
                <w:szCs w:val="22"/>
              </w:rPr>
              <w:t>000 inhabitants</w:t>
            </w:r>
          </w:p>
        </w:tc>
        <w:tc>
          <w:tcPr>
            <w:tcW w:w="1134" w:type="dxa"/>
            <w:tcBorders>
              <w:top w:val="single" w:sz="6" w:space="0" w:color="auto"/>
              <w:left w:val="single" w:sz="6" w:space="0" w:color="auto"/>
            </w:tcBorders>
          </w:tcPr>
          <w:p w14:paraId="22FAC932" w14:textId="77777777" w:rsidR="00CF04BC" w:rsidRPr="00B93493" w:rsidRDefault="00CF04BC" w:rsidP="0002647B">
            <w:pPr>
              <w:pStyle w:val="Tabletext"/>
              <w:jc w:val="center"/>
              <w:rPr>
                <w:caps/>
                <w:szCs w:val="22"/>
              </w:rPr>
            </w:pPr>
            <w:r w:rsidRPr="00B93493">
              <w:rPr>
                <w:caps/>
                <w:szCs w:val="22"/>
              </w:rPr>
              <w:t>1.2</w:t>
            </w:r>
          </w:p>
        </w:tc>
      </w:tr>
      <w:tr w:rsidR="00CF04BC" w:rsidRPr="00B93493" w14:paraId="63510750" w14:textId="77777777" w:rsidTr="0002647B">
        <w:trPr>
          <w:cantSplit/>
          <w:jc w:val="center"/>
        </w:trPr>
        <w:tc>
          <w:tcPr>
            <w:tcW w:w="1134" w:type="dxa"/>
            <w:tcBorders>
              <w:top w:val="single" w:sz="6" w:space="0" w:color="auto"/>
              <w:right w:val="single" w:sz="6" w:space="0" w:color="auto"/>
            </w:tcBorders>
          </w:tcPr>
          <w:p w14:paraId="05785E78" w14:textId="77777777" w:rsidR="00CF04BC" w:rsidRPr="00B93493" w:rsidRDefault="00CF04BC" w:rsidP="0002647B">
            <w:pPr>
              <w:pStyle w:val="Tabletext"/>
              <w:jc w:val="center"/>
              <w:rPr>
                <w:szCs w:val="22"/>
              </w:rPr>
            </w:pPr>
            <w:r w:rsidRPr="00B93493">
              <w:rPr>
                <w:szCs w:val="22"/>
              </w:rPr>
              <w:t>…</w:t>
            </w:r>
          </w:p>
        </w:tc>
        <w:tc>
          <w:tcPr>
            <w:tcW w:w="6804" w:type="dxa"/>
            <w:tcBorders>
              <w:top w:val="single" w:sz="6" w:space="0" w:color="auto"/>
              <w:left w:val="single" w:sz="6" w:space="0" w:color="auto"/>
              <w:right w:val="single" w:sz="6" w:space="0" w:color="auto"/>
            </w:tcBorders>
          </w:tcPr>
          <w:p w14:paraId="75CCD597" w14:textId="77777777" w:rsidR="00CF04BC" w:rsidRPr="00B93493" w:rsidRDefault="00CF04BC" w:rsidP="0002647B">
            <w:pPr>
              <w:pStyle w:val="Tabletext"/>
              <w:jc w:val="left"/>
              <w:rPr>
                <w:szCs w:val="22"/>
              </w:rPr>
            </w:pPr>
            <w:r w:rsidRPr="00B93493">
              <w:rPr>
                <w:szCs w:val="22"/>
              </w:rPr>
              <w:t>With a population of 50</w:t>
            </w:r>
            <w:r w:rsidRPr="00B93493">
              <w:rPr>
                <w:rFonts w:ascii="Tms Rmn" w:hAnsi="Tms Rmn"/>
                <w:szCs w:val="22"/>
              </w:rPr>
              <w:t> </w:t>
            </w:r>
            <w:r w:rsidRPr="00B93493">
              <w:rPr>
                <w:szCs w:val="22"/>
              </w:rPr>
              <w:t>000 to 100</w:t>
            </w:r>
            <w:r w:rsidRPr="00B93493">
              <w:rPr>
                <w:rFonts w:ascii="Tms Rmn" w:hAnsi="Tms Rmn"/>
                <w:szCs w:val="22"/>
              </w:rPr>
              <w:t> </w:t>
            </w:r>
            <w:r w:rsidRPr="00B93493">
              <w:rPr>
                <w:szCs w:val="22"/>
              </w:rPr>
              <w:t>000 inhabitants</w:t>
            </w:r>
          </w:p>
        </w:tc>
        <w:tc>
          <w:tcPr>
            <w:tcW w:w="1134" w:type="dxa"/>
            <w:tcBorders>
              <w:top w:val="single" w:sz="6" w:space="0" w:color="auto"/>
              <w:left w:val="single" w:sz="6" w:space="0" w:color="auto"/>
            </w:tcBorders>
          </w:tcPr>
          <w:p w14:paraId="4E2B044E" w14:textId="77777777" w:rsidR="00CF04BC" w:rsidRPr="00B93493" w:rsidRDefault="00CF04BC" w:rsidP="0002647B">
            <w:pPr>
              <w:pStyle w:val="Tabletext"/>
              <w:jc w:val="center"/>
              <w:rPr>
                <w:szCs w:val="22"/>
              </w:rPr>
            </w:pPr>
            <w:r w:rsidRPr="00B93493">
              <w:rPr>
                <w:szCs w:val="22"/>
              </w:rPr>
              <w:t>1</w:t>
            </w:r>
            <w:r w:rsidRPr="00B93493">
              <w:rPr>
                <w:caps/>
                <w:szCs w:val="22"/>
              </w:rPr>
              <w:t>.</w:t>
            </w:r>
            <w:r w:rsidRPr="00B93493">
              <w:rPr>
                <w:szCs w:val="22"/>
              </w:rPr>
              <w:t>5</w:t>
            </w:r>
          </w:p>
        </w:tc>
      </w:tr>
      <w:tr w:rsidR="00CF04BC" w:rsidRPr="00B93493" w14:paraId="087E8F75" w14:textId="77777777" w:rsidTr="0002647B">
        <w:trPr>
          <w:cantSplit/>
          <w:jc w:val="center"/>
        </w:trPr>
        <w:tc>
          <w:tcPr>
            <w:tcW w:w="1134" w:type="dxa"/>
            <w:tcBorders>
              <w:top w:val="single" w:sz="6" w:space="0" w:color="auto"/>
              <w:right w:val="single" w:sz="6" w:space="0" w:color="auto"/>
            </w:tcBorders>
          </w:tcPr>
          <w:p w14:paraId="3692863E" w14:textId="77777777" w:rsidR="00CF04BC" w:rsidRPr="00B93493" w:rsidRDefault="00CF04BC" w:rsidP="0002647B">
            <w:pPr>
              <w:pStyle w:val="Tabletext"/>
              <w:jc w:val="center"/>
              <w:rPr>
                <w:szCs w:val="22"/>
              </w:rPr>
            </w:pPr>
            <w:r w:rsidRPr="00B93493">
              <w:rPr>
                <w:i/>
                <w:szCs w:val="22"/>
              </w:rPr>
              <w:t>m </w:t>
            </w:r>
            <w:r w:rsidRPr="00B93493">
              <w:rPr>
                <w:szCs w:val="22"/>
              </w:rPr>
              <w:t>– 2</w:t>
            </w:r>
          </w:p>
        </w:tc>
        <w:tc>
          <w:tcPr>
            <w:tcW w:w="6804" w:type="dxa"/>
            <w:tcBorders>
              <w:top w:val="single" w:sz="6" w:space="0" w:color="auto"/>
              <w:left w:val="single" w:sz="6" w:space="0" w:color="auto"/>
              <w:right w:val="single" w:sz="6" w:space="0" w:color="auto"/>
            </w:tcBorders>
          </w:tcPr>
          <w:p w14:paraId="2E34CDDE" w14:textId="77777777" w:rsidR="00CF04BC" w:rsidRPr="00B93493" w:rsidRDefault="00CF04BC" w:rsidP="0002647B">
            <w:pPr>
              <w:pStyle w:val="Tabletext"/>
              <w:jc w:val="left"/>
              <w:rPr>
                <w:szCs w:val="22"/>
              </w:rPr>
            </w:pPr>
            <w:r w:rsidRPr="00B93493">
              <w:rPr>
                <w:szCs w:val="22"/>
              </w:rPr>
              <w:t>With a population of 100</w:t>
            </w:r>
            <w:r w:rsidRPr="00B93493">
              <w:rPr>
                <w:rFonts w:ascii="Tms Rmn" w:hAnsi="Tms Rmn"/>
                <w:szCs w:val="22"/>
              </w:rPr>
              <w:t> </w:t>
            </w:r>
            <w:r w:rsidRPr="00B93493">
              <w:rPr>
                <w:szCs w:val="22"/>
              </w:rPr>
              <w:t>000 to 500</w:t>
            </w:r>
            <w:r w:rsidRPr="00B93493">
              <w:rPr>
                <w:rFonts w:ascii="Tms Rmn" w:hAnsi="Tms Rmn"/>
                <w:szCs w:val="22"/>
              </w:rPr>
              <w:t> </w:t>
            </w:r>
            <w:r w:rsidRPr="00B93493">
              <w:rPr>
                <w:szCs w:val="22"/>
              </w:rPr>
              <w:t>000 inhabitants</w:t>
            </w:r>
          </w:p>
        </w:tc>
        <w:tc>
          <w:tcPr>
            <w:tcW w:w="1134" w:type="dxa"/>
            <w:tcBorders>
              <w:top w:val="single" w:sz="6" w:space="0" w:color="auto"/>
              <w:left w:val="single" w:sz="6" w:space="0" w:color="auto"/>
            </w:tcBorders>
          </w:tcPr>
          <w:p w14:paraId="3ACA9338" w14:textId="77777777" w:rsidR="00CF04BC" w:rsidRPr="00B93493" w:rsidRDefault="00CF04BC" w:rsidP="0002647B">
            <w:pPr>
              <w:pStyle w:val="Tabletext"/>
              <w:jc w:val="center"/>
              <w:rPr>
                <w:szCs w:val="22"/>
              </w:rPr>
            </w:pPr>
            <w:r w:rsidRPr="00B93493">
              <w:rPr>
                <w:szCs w:val="22"/>
              </w:rPr>
              <w:t>2</w:t>
            </w:r>
            <w:r w:rsidRPr="00B93493">
              <w:rPr>
                <w:caps/>
                <w:szCs w:val="22"/>
              </w:rPr>
              <w:t>.</w:t>
            </w:r>
            <w:r w:rsidRPr="00B93493">
              <w:rPr>
                <w:szCs w:val="22"/>
              </w:rPr>
              <w:t>0</w:t>
            </w:r>
          </w:p>
        </w:tc>
      </w:tr>
      <w:tr w:rsidR="00CF04BC" w:rsidRPr="00B93493" w14:paraId="275DF9EF" w14:textId="77777777" w:rsidTr="0002647B">
        <w:trPr>
          <w:cantSplit/>
          <w:jc w:val="center"/>
        </w:trPr>
        <w:tc>
          <w:tcPr>
            <w:tcW w:w="1134" w:type="dxa"/>
            <w:tcBorders>
              <w:top w:val="single" w:sz="6" w:space="0" w:color="auto"/>
              <w:right w:val="single" w:sz="6" w:space="0" w:color="auto"/>
            </w:tcBorders>
          </w:tcPr>
          <w:p w14:paraId="7A52333F" w14:textId="77777777" w:rsidR="00CF04BC" w:rsidRPr="00B93493" w:rsidRDefault="00CF04BC" w:rsidP="0002647B">
            <w:pPr>
              <w:pStyle w:val="Tabletext"/>
              <w:jc w:val="center"/>
              <w:rPr>
                <w:szCs w:val="22"/>
              </w:rPr>
            </w:pPr>
            <w:r w:rsidRPr="00B93493">
              <w:rPr>
                <w:i/>
                <w:szCs w:val="22"/>
              </w:rPr>
              <w:t>m </w:t>
            </w:r>
            <w:r w:rsidRPr="00B93493">
              <w:rPr>
                <w:szCs w:val="22"/>
              </w:rPr>
              <w:t>– 1</w:t>
            </w:r>
          </w:p>
        </w:tc>
        <w:tc>
          <w:tcPr>
            <w:tcW w:w="6804" w:type="dxa"/>
            <w:tcBorders>
              <w:top w:val="single" w:sz="6" w:space="0" w:color="auto"/>
              <w:left w:val="single" w:sz="6" w:space="0" w:color="auto"/>
              <w:right w:val="single" w:sz="6" w:space="0" w:color="auto"/>
            </w:tcBorders>
          </w:tcPr>
          <w:p w14:paraId="3E84FD7C" w14:textId="77777777" w:rsidR="00CF04BC" w:rsidRPr="00B93493" w:rsidRDefault="00CF04BC" w:rsidP="0002647B">
            <w:pPr>
              <w:pStyle w:val="Tabletext"/>
              <w:jc w:val="left"/>
              <w:rPr>
                <w:szCs w:val="22"/>
              </w:rPr>
            </w:pPr>
            <w:r w:rsidRPr="00B93493">
              <w:rPr>
                <w:szCs w:val="22"/>
              </w:rPr>
              <w:t>With a population of  500</w:t>
            </w:r>
            <w:r w:rsidRPr="00B93493">
              <w:rPr>
                <w:rFonts w:ascii="Tms Rmn" w:hAnsi="Tms Rmn"/>
                <w:szCs w:val="22"/>
              </w:rPr>
              <w:t> </w:t>
            </w:r>
            <w:r w:rsidRPr="00B93493">
              <w:rPr>
                <w:szCs w:val="22"/>
              </w:rPr>
              <w:t>000  to 1</w:t>
            </w:r>
            <w:r w:rsidRPr="00B93493">
              <w:rPr>
                <w:rFonts w:ascii="Tms Rmn" w:hAnsi="Tms Rmn"/>
                <w:szCs w:val="22"/>
              </w:rPr>
              <w:t> </w:t>
            </w:r>
            <w:r w:rsidRPr="00B93493">
              <w:rPr>
                <w:szCs w:val="22"/>
              </w:rPr>
              <w:t>000</w:t>
            </w:r>
            <w:r w:rsidRPr="00B93493">
              <w:rPr>
                <w:rFonts w:ascii="Tms Rmn" w:hAnsi="Tms Rmn"/>
                <w:szCs w:val="22"/>
              </w:rPr>
              <w:t> </w:t>
            </w:r>
            <w:r w:rsidRPr="00B93493">
              <w:rPr>
                <w:szCs w:val="22"/>
              </w:rPr>
              <w:t>000 inhabitants</w:t>
            </w:r>
          </w:p>
        </w:tc>
        <w:tc>
          <w:tcPr>
            <w:tcW w:w="1134" w:type="dxa"/>
            <w:tcBorders>
              <w:top w:val="single" w:sz="6" w:space="0" w:color="auto"/>
              <w:left w:val="single" w:sz="6" w:space="0" w:color="auto"/>
            </w:tcBorders>
          </w:tcPr>
          <w:p w14:paraId="0EFD52CB" w14:textId="77777777" w:rsidR="00CF04BC" w:rsidRPr="00B93493" w:rsidRDefault="00CF04BC" w:rsidP="0002647B">
            <w:pPr>
              <w:pStyle w:val="Tabletext"/>
              <w:jc w:val="center"/>
              <w:rPr>
                <w:szCs w:val="22"/>
              </w:rPr>
            </w:pPr>
            <w:r w:rsidRPr="00B93493">
              <w:rPr>
                <w:szCs w:val="22"/>
              </w:rPr>
              <w:t>3</w:t>
            </w:r>
            <w:r w:rsidRPr="00B93493">
              <w:rPr>
                <w:caps/>
                <w:szCs w:val="22"/>
              </w:rPr>
              <w:t>.</w:t>
            </w:r>
            <w:r w:rsidRPr="00B93493">
              <w:rPr>
                <w:szCs w:val="22"/>
              </w:rPr>
              <w:t>0</w:t>
            </w:r>
          </w:p>
        </w:tc>
      </w:tr>
      <w:tr w:rsidR="00CF04BC" w:rsidRPr="00B93493" w14:paraId="6E914084" w14:textId="77777777" w:rsidTr="0002647B">
        <w:trPr>
          <w:cantSplit/>
          <w:jc w:val="center"/>
        </w:trPr>
        <w:tc>
          <w:tcPr>
            <w:tcW w:w="1134" w:type="dxa"/>
            <w:tcBorders>
              <w:top w:val="single" w:sz="6" w:space="0" w:color="auto"/>
              <w:right w:val="single" w:sz="6" w:space="0" w:color="auto"/>
            </w:tcBorders>
          </w:tcPr>
          <w:p w14:paraId="5B4A048A" w14:textId="77777777" w:rsidR="00CF04BC" w:rsidRPr="00B93493" w:rsidRDefault="00CF04BC" w:rsidP="0002647B">
            <w:pPr>
              <w:pStyle w:val="Tabletext"/>
              <w:jc w:val="center"/>
              <w:rPr>
                <w:szCs w:val="22"/>
              </w:rPr>
            </w:pPr>
            <w:r w:rsidRPr="00B93493">
              <w:rPr>
                <w:i/>
                <w:szCs w:val="22"/>
              </w:rPr>
              <w:t>m</w:t>
            </w:r>
          </w:p>
        </w:tc>
        <w:tc>
          <w:tcPr>
            <w:tcW w:w="6804" w:type="dxa"/>
            <w:tcBorders>
              <w:top w:val="single" w:sz="6" w:space="0" w:color="auto"/>
              <w:left w:val="single" w:sz="6" w:space="0" w:color="auto"/>
              <w:right w:val="single" w:sz="6" w:space="0" w:color="auto"/>
            </w:tcBorders>
          </w:tcPr>
          <w:p w14:paraId="419CFD3F" w14:textId="77777777" w:rsidR="00CF04BC" w:rsidRPr="00B93493" w:rsidRDefault="00CF04BC" w:rsidP="0002647B">
            <w:pPr>
              <w:pStyle w:val="Tabletext"/>
              <w:jc w:val="left"/>
              <w:rPr>
                <w:szCs w:val="22"/>
              </w:rPr>
            </w:pPr>
            <w:r w:rsidRPr="00B93493">
              <w:rPr>
                <w:szCs w:val="22"/>
              </w:rPr>
              <w:t>With a population over 1</w:t>
            </w:r>
            <w:r w:rsidRPr="00B93493">
              <w:rPr>
                <w:rFonts w:ascii="Tms Rmn" w:hAnsi="Tms Rmn"/>
                <w:szCs w:val="22"/>
              </w:rPr>
              <w:t> </w:t>
            </w:r>
            <w:r w:rsidRPr="00B93493">
              <w:rPr>
                <w:szCs w:val="22"/>
              </w:rPr>
              <w:t>000</w:t>
            </w:r>
            <w:r w:rsidRPr="00B93493">
              <w:rPr>
                <w:rFonts w:ascii="Tms Rmn" w:hAnsi="Tms Rmn"/>
                <w:szCs w:val="22"/>
              </w:rPr>
              <w:t> </w:t>
            </w:r>
            <w:r w:rsidRPr="00B93493">
              <w:rPr>
                <w:szCs w:val="22"/>
              </w:rPr>
              <w:t>000 inhabitants</w:t>
            </w:r>
          </w:p>
        </w:tc>
        <w:tc>
          <w:tcPr>
            <w:tcW w:w="1134" w:type="dxa"/>
            <w:tcBorders>
              <w:top w:val="single" w:sz="6" w:space="0" w:color="auto"/>
              <w:left w:val="single" w:sz="6" w:space="0" w:color="auto"/>
            </w:tcBorders>
          </w:tcPr>
          <w:p w14:paraId="3EAC2EEE" w14:textId="77777777" w:rsidR="00CF04BC" w:rsidRPr="00B93493" w:rsidRDefault="00CF04BC" w:rsidP="0002647B">
            <w:pPr>
              <w:pStyle w:val="Tabletext"/>
              <w:jc w:val="center"/>
              <w:rPr>
                <w:szCs w:val="22"/>
              </w:rPr>
            </w:pPr>
            <w:r w:rsidRPr="00B93493">
              <w:rPr>
                <w:szCs w:val="22"/>
              </w:rPr>
              <w:t>4</w:t>
            </w:r>
            <w:r w:rsidRPr="00B93493">
              <w:rPr>
                <w:caps/>
                <w:szCs w:val="22"/>
              </w:rPr>
              <w:t>.</w:t>
            </w:r>
            <w:r w:rsidRPr="00B93493">
              <w:rPr>
                <w:szCs w:val="22"/>
              </w:rPr>
              <w:t>0</w:t>
            </w:r>
          </w:p>
        </w:tc>
      </w:tr>
    </w:tbl>
    <w:p w14:paraId="556502E9" w14:textId="77777777" w:rsidR="00CF04BC" w:rsidRPr="00B93493" w:rsidRDefault="00CF04BC" w:rsidP="00CF04BC">
      <w:pPr>
        <w:pStyle w:val="Tablefin"/>
      </w:pPr>
    </w:p>
    <w:p w14:paraId="1F2D8155" w14:textId="77777777" w:rsidR="00CF04BC" w:rsidRPr="00B93493" w:rsidRDefault="00CF04BC" w:rsidP="00CF04BC">
      <w:r w:rsidRPr="00B93493">
        <w:t xml:space="preserve">The territory actually occupied by the emission </w:t>
      </w:r>
      <w:r w:rsidRPr="00B93493">
        <w:rPr>
          <w:i/>
        </w:rPr>
        <w:t>s</w:t>
      </w:r>
      <w:r w:rsidRPr="00B93493">
        <w:rPr>
          <w:i/>
          <w:vertAlign w:val="subscript"/>
        </w:rPr>
        <w:t>i</w:t>
      </w:r>
      <w:r w:rsidRPr="00B93493">
        <w:rPr>
          <w:i/>
        </w:rPr>
        <w:t xml:space="preserve"> </w:t>
      </w:r>
      <w:r w:rsidRPr="00B93493">
        <w:t xml:space="preserve">is calculated individually for each </w:t>
      </w:r>
      <w:r w:rsidRPr="00B93493">
        <w:rPr>
          <w:i/>
        </w:rPr>
        <w:t>i</w:t>
      </w:r>
      <w:r w:rsidRPr="00B93493">
        <w:t xml:space="preserve">-th emission based on the relevant service area concept (and its equivalent for point-to-point communications) by criterion of nominal usable field strength </w:t>
      </w:r>
      <w:r w:rsidRPr="00B93493">
        <w:rPr>
          <w:i/>
        </w:rPr>
        <w:t>E</w:t>
      </w:r>
      <w:r w:rsidRPr="00B93493">
        <w:rPr>
          <w:i/>
          <w:iCs/>
          <w:vertAlign w:val="subscript"/>
        </w:rPr>
        <w:t>n</w:t>
      </w:r>
      <w:r w:rsidRPr="00B93493">
        <w:t xml:space="preserve"> at its border. If the territory actually occupied by the </w:t>
      </w:r>
      <w:r w:rsidRPr="00B93493">
        <w:rPr>
          <w:i/>
        </w:rPr>
        <w:t>i</w:t>
      </w:r>
      <w:r w:rsidRPr="00B93493">
        <w:noBreakHyphen/>
        <w:t xml:space="preserve">th emission includes </w:t>
      </w:r>
      <w:r w:rsidRPr="00B93493">
        <w:rPr>
          <w:i/>
        </w:rPr>
        <w:t xml:space="preserve">K </w:t>
      </w:r>
      <w:r w:rsidRPr="00B93493">
        <w:t xml:space="preserve">regions belonging to different categories above, related territorial resource </w:t>
      </w:r>
      <w:r w:rsidRPr="00B93493">
        <w:sym w:font="Symbol" w:char="F053"/>
      </w:r>
      <w:r w:rsidRPr="00B93493">
        <w:rPr>
          <w:i/>
        </w:rPr>
        <w:t>S</w:t>
      </w:r>
      <w:r w:rsidRPr="00B93493">
        <w:rPr>
          <w:i/>
          <w:iCs/>
          <w:vertAlign w:val="subscript"/>
        </w:rPr>
        <w:t>i</w:t>
      </w:r>
      <w:r w:rsidRPr="00B93493">
        <w:rPr>
          <w:position w:val="-5"/>
        </w:rPr>
        <w:t xml:space="preserve"> </w:t>
      </w:r>
      <w:r w:rsidRPr="00B93493">
        <w:t>can be determined as:</w:t>
      </w:r>
    </w:p>
    <w:p w14:paraId="2FC767CE" w14:textId="77777777" w:rsidR="00CF04BC" w:rsidRPr="00B93493" w:rsidRDefault="00CF04BC" w:rsidP="00CF04BC">
      <w:pPr>
        <w:pStyle w:val="Equation"/>
      </w:pPr>
      <w:r w:rsidRPr="00B93493">
        <w:tab/>
      </w:r>
      <w:r w:rsidRPr="00B93493">
        <w:tab/>
      </w:r>
      <w:r w:rsidRPr="00B93493">
        <w:rPr>
          <w:position w:val="-32"/>
        </w:rPr>
        <w:object w:dxaOrig="1851" w:dyaOrig="720" w14:anchorId="269A1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38.6pt" o:ole="">
            <v:imagedata r:id="rId25" o:title=""/>
          </v:shape>
          <o:OLEObject Type="Embed" ProgID="Equation.3" ShapeID="_x0000_i1025" DrawAspect="Content" ObjectID="_1812968307" r:id="rId26"/>
        </w:object>
      </w:r>
      <w:r w:rsidRPr="00B93493">
        <w:tab/>
        <w:t>(23)</w:t>
      </w:r>
    </w:p>
    <w:p w14:paraId="0FE62015" w14:textId="77777777" w:rsidR="00CF04BC" w:rsidRPr="00B93493" w:rsidRDefault="00CF04BC" w:rsidP="00CF04BC">
      <w:r w:rsidRPr="00B93493">
        <w:t>where:</w:t>
      </w:r>
    </w:p>
    <w:p w14:paraId="0A697BBB" w14:textId="77777777" w:rsidR="00CF04BC" w:rsidRPr="00B93493" w:rsidRDefault="00CF04BC" w:rsidP="00CF04BC">
      <w:pPr>
        <w:pStyle w:val="Equationlegend"/>
      </w:pPr>
      <w:r w:rsidRPr="00B93493">
        <w:rPr>
          <w:i/>
        </w:rPr>
        <w:tab/>
        <w:t>b</w:t>
      </w:r>
      <w:r w:rsidRPr="00B93493">
        <w:rPr>
          <w:i/>
          <w:iCs/>
          <w:vertAlign w:val="subscript"/>
        </w:rPr>
        <w:t>ik</w:t>
      </w:r>
      <w:r w:rsidRPr="00B93493">
        <w:rPr>
          <w:rFonts w:ascii="Tms Rmn" w:hAnsi="Tms Rmn"/>
          <w:sz w:val="12"/>
        </w:rPr>
        <w:t> </w:t>
      </w:r>
      <w:r w:rsidRPr="00B93493">
        <w:rPr>
          <w:iCs/>
        </w:rPr>
        <w:t>:</w:t>
      </w:r>
      <w:r w:rsidRPr="00B93493">
        <w:rPr>
          <w:iCs/>
        </w:rPr>
        <w:tab/>
        <w:t>relevant</w:t>
      </w:r>
      <w:r w:rsidRPr="00B93493">
        <w:t xml:space="preserve"> weighting coefficient for </w:t>
      </w:r>
      <w:r w:rsidRPr="00E91654">
        <w:rPr>
          <w:i/>
        </w:rPr>
        <w:t>q</w:t>
      </w:r>
      <w:r w:rsidRPr="00E91654">
        <w:t>-th</w:t>
      </w:r>
      <w:r w:rsidRPr="00B93493">
        <w:t xml:space="preserve"> area category</w:t>
      </w:r>
    </w:p>
    <w:p w14:paraId="0BBC6DF5" w14:textId="77777777" w:rsidR="00CF04BC" w:rsidRPr="00B93493" w:rsidRDefault="00CF04BC" w:rsidP="00CF04BC">
      <w:pPr>
        <w:pStyle w:val="Equationlegend"/>
      </w:pPr>
      <w:r w:rsidRPr="00B93493">
        <w:rPr>
          <w:i/>
        </w:rPr>
        <w:tab/>
        <w:t>s</w:t>
      </w:r>
      <w:r w:rsidRPr="00B93493">
        <w:rPr>
          <w:i/>
          <w:iCs/>
          <w:vertAlign w:val="subscript"/>
        </w:rPr>
        <w:t>ik</w:t>
      </w:r>
      <w:r w:rsidRPr="00B93493">
        <w:rPr>
          <w:rFonts w:ascii="Tms Rmn" w:hAnsi="Tms Rmn"/>
          <w:sz w:val="12"/>
        </w:rPr>
        <w:t> </w:t>
      </w:r>
      <w:r w:rsidRPr="00B93493">
        <w:t>:</w:t>
      </w:r>
      <w:r w:rsidRPr="00B93493">
        <w:tab/>
        <w:t xml:space="preserve">relevant proportion of the whole occupied region </w:t>
      </w:r>
      <w:r w:rsidRPr="00B93493">
        <w:rPr>
          <w:i/>
        </w:rPr>
        <w:t>s</w:t>
      </w:r>
      <w:r w:rsidRPr="00B93493">
        <w:rPr>
          <w:i/>
          <w:vertAlign w:val="subscript"/>
        </w:rPr>
        <w:t>i</w:t>
      </w:r>
      <w:r w:rsidRPr="00B93493">
        <w:t>.</w:t>
      </w:r>
    </w:p>
    <w:p w14:paraId="56D30C3F" w14:textId="77777777" w:rsidR="00CF04BC" w:rsidRPr="00B93493" w:rsidRDefault="00CF04BC" w:rsidP="00CF04BC">
      <w:r w:rsidRPr="00B93493">
        <w:t>i.e.:</w:t>
      </w:r>
    </w:p>
    <w:p w14:paraId="7989A839" w14:textId="77777777" w:rsidR="00CF04BC" w:rsidRPr="00B93493" w:rsidRDefault="00CF04BC" w:rsidP="00CF04BC">
      <w:pPr>
        <w:pStyle w:val="Equation"/>
        <w:tabs>
          <w:tab w:val="left" w:pos="6237"/>
        </w:tabs>
      </w:pPr>
      <w:r w:rsidRPr="00B93493">
        <w:tab/>
      </w:r>
      <w:r w:rsidRPr="00B93493">
        <w:tab/>
      </w:r>
      <w:r w:rsidRPr="00B93493">
        <w:rPr>
          <w:position w:val="-32"/>
        </w:rPr>
        <w:object w:dxaOrig="1337" w:dyaOrig="720" w14:anchorId="7FAE11D9">
          <v:shape id="_x0000_i1026" type="#_x0000_t75" style="width:67.4pt;height:38.6pt" o:ole="">
            <v:imagedata r:id="rId27" o:title=""/>
          </v:shape>
          <o:OLEObject Type="Embed" ProgID="Equation.3" ShapeID="_x0000_i1026" DrawAspect="Content" ObjectID="_1812968308" r:id="rId28"/>
        </w:object>
      </w:r>
      <w:r w:rsidRPr="00B93493">
        <w:t xml:space="preserve">     1 </w:t>
      </w:r>
      <w:r w:rsidRPr="00B93493">
        <w:rPr>
          <w:rFonts w:ascii="Symbol" w:hAnsi="Symbol"/>
        </w:rPr>
        <w:sym w:font="Symbol" w:char="F0A3"/>
      </w:r>
      <w:r w:rsidRPr="00B93493">
        <w:t xml:space="preserve"> </w:t>
      </w:r>
      <w:r w:rsidRPr="00B93493">
        <w:rPr>
          <w:i/>
        </w:rPr>
        <w:t>k</w:t>
      </w:r>
      <w:r w:rsidRPr="00B93493">
        <w:t xml:space="preserve"> </w:t>
      </w:r>
      <w:r w:rsidRPr="00B93493">
        <w:rPr>
          <w:rFonts w:ascii="Symbol" w:hAnsi="Symbol"/>
        </w:rPr>
        <w:t></w:t>
      </w:r>
      <w:r w:rsidRPr="00B93493">
        <w:t xml:space="preserve"> 3 (usually)</w:t>
      </w:r>
    </w:p>
    <w:p w14:paraId="31077CA8" w14:textId="77777777" w:rsidR="00CF04BC" w:rsidRPr="00B93493" w:rsidRDefault="00CF04BC" w:rsidP="0074785C">
      <w:r w:rsidRPr="00B93493">
        <w:t xml:space="preserve">Examples for the calculation of proportional values </w:t>
      </w:r>
      <w:r w:rsidRPr="00B93493">
        <w:rPr>
          <w:i/>
        </w:rPr>
        <w:t>s</w:t>
      </w:r>
      <w:r w:rsidRPr="00B93493">
        <w:rPr>
          <w:i/>
          <w:iCs/>
          <w:vertAlign w:val="subscript"/>
        </w:rPr>
        <w:t>ik</w:t>
      </w:r>
      <w:r w:rsidRPr="00B93493">
        <w:t xml:space="preserve"> for different cases are also presented. If an administration has a digital administrative terrain database interrelated with relevant frequency assignment software, calculations of </w:t>
      </w:r>
      <w:r w:rsidRPr="00B93493">
        <w:sym w:font="Symbol" w:char="F053"/>
      </w:r>
      <w:r w:rsidRPr="00B93493">
        <w:rPr>
          <w:i/>
        </w:rPr>
        <w:t>S</w:t>
      </w:r>
      <w:r w:rsidRPr="00B93493">
        <w:rPr>
          <w:i/>
          <w:iCs/>
          <w:vertAlign w:val="subscript"/>
        </w:rPr>
        <w:t>i</w:t>
      </w:r>
      <w:r w:rsidRPr="00B93493">
        <w:t xml:space="preserve"> can be made automatically using software.</w:t>
      </w:r>
    </w:p>
    <w:p w14:paraId="07460CE1" w14:textId="77777777" w:rsidR="00CF04BC" w:rsidRPr="0074785C" w:rsidRDefault="00CF04BC" w:rsidP="0074785C">
      <w:pPr>
        <w:pStyle w:val="Heading3"/>
      </w:pPr>
      <w:bookmarkStart w:id="1764" w:name="_Toc518394227"/>
      <w:bookmarkStart w:id="1765" w:name="_Toc462234068"/>
      <w:bookmarkStart w:id="1766" w:name="_Toc289868997"/>
      <w:bookmarkStart w:id="1767" w:name="_Toc289868837"/>
      <w:bookmarkStart w:id="1768" w:name="_Toc289933351"/>
      <w:bookmarkStart w:id="1769" w:name="_Toc392515900"/>
      <w:bookmarkStart w:id="1770" w:name="_Toc291852914"/>
      <w:bookmarkStart w:id="1771" w:name="_Toc289932305"/>
      <w:bookmarkStart w:id="1772" w:name="_Toc182391546"/>
      <w:bookmarkStart w:id="1773" w:name="_Toc182391957"/>
      <w:r w:rsidRPr="0074785C">
        <w:t>4.6.8</w:t>
      </w:r>
      <w:r w:rsidRPr="0074785C">
        <w:tab/>
        <w:t>Determination of a frequency resource used by an emission</w:t>
      </w:r>
      <w:bookmarkEnd w:id="1764"/>
      <w:bookmarkEnd w:id="1765"/>
      <w:bookmarkEnd w:id="1766"/>
      <w:bookmarkEnd w:id="1767"/>
      <w:bookmarkEnd w:id="1768"/>
      <w:bookmarkEnd w:id="1769"/>
      <w:bookmarkEnd w:id="1770"/>
      <w:bookmarkEnd w:id="1771"/>
      <w:bookmarkEnd w:id="1772"/>
      <w:bookmarkEnd w:id="1773"/>
    </w:p>
    <w:p w14:paraId="2568D108" w14:textId="77777777" w:rsidR="00CF04BC" w:rsidRPr="00B93493" w:rsidRDefault="00CF04BC" w:rsidP="00CF04BC">
      <w:r w:rsidRPr="00B93493">
        <w:t xml:space="preserve">A frequency resource </w:t>
      </w:r>
      <w:r w:rsidRPr="00B93493">
        <w:rPr>
          <w:i/>
        </w:rPr>
        <w:t>F</w:t>
      </w:r>
      <w:r w:rsidRPr="00B93493">
        <w:rPr>
          <w:i/>
          <w:iCs/>
          <w:vertAlign w:val="subscript"/>
        </w:rPr>
        <w:t>i</w:t>
      </w:r>
      <w:r w:rsidRPr="00B93493">
        <w:t xml:space="preserve"> used by </w:t>
      </w:r>
      <w:r w:rsidRPr="00B93493">
        <w:rPr>
          <w:i/>
        </w:rPr>
        <w:t>i</w:t>
      </w:r>
      <w:r w:rsidRPr="00B93493">
        <w:t>-th emission is determined as:</w:t>
      </w:r>
    </w:p>
    <w:p w14:paraId="4127E9B6" w14:textId="77777777" w:rsidR="00CF04BC" w:rsidRPr="00B93493" w:rsidRDefault="00CF04BC" w:rsidP="00CF04BC">
      <w:pPr>
        <w:pStyle w:val="Blanc"/>
      </w:pPr>
    </w:p>
    <w:p w14:paraId="333DC1BC" w14:textId="7DA23169" w:rsidR="00CF04BC" w:rsidRPr="00B93493" w:rsidRDefault="005B1526" w:rsidP="00CF04BC">
      <w:pPr>
        <w:pStyle w:val="Equation"/>
      </w:pPr>
      <w:r>
        <w:tab/>
      </w:r>
      <w:r w:rsidR="00CF04BC" w:rsidRPr="00B93493">
        <w:tab/>
      </w:r>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=χ</m:t>
        </m:r>
        <m:sSub>
          <m:sSubPr>
            <m:ctrlPr>
              <w:rPr>
                <w:rFonts w:ascii="Cambria Math" w:hAnsi="Cambria Math"/>
                <w:i/>
              </w:rPr>
            </m:ctrlPr>
          </m:sSubPr>
          <m:e>
            <m:r>
              <w:rPr>
                <w:rFonts w:ascii="Cambria Math" w:hAnsi="Cambria Math"/>
              </w:rPr>
              <m:t>B</m:t>
            </m:r>
          </m:e>
          <m:sub>
            <m:r>
              <w:rPr>
                <w:rFonts w:ascii="Cambria Math" w:hAnsi="Cambria Math"/>
              </w:rPr>
              <m:t>ni</m:t>
            </m:r>
          </m:sub>
        </m:sSub>
      </m:oMath>
      <w:r>
        <w:t xml:space="preserve">           MHz</w:t>
      </w:r>
      <w:r w:rsidR="00CF04BC" w:rsidRPr="00B93493">
        <w:tab/>
        <w:t>(24)</w:t>
      </w:r>
    </w:p>
    <w:p w14:paraId="633E223C" w14:textId="77777777" w:rsidR="00CF04BC" w:rsidRPr="00B93493" w:rsidRDefault="00CF04BC" w:rsidP="0074785C">
      <w:pPr>
        <w:keepNext/>
        <w:keepLines/>
      </w:pPr>
      <w:r w:rsidRPr="00B93493">
        <w:t>where:</w:t>
      </w:r>
    </w:p>
    <w:p w14:paraId="61B448F0" w14:textId="77777777" w:rsidR="00CF04BC" w:rsidRPr="00B93493" w:rsidRDefault="00CF04BC" w:rsidP="0074785C">
      <w:pPr>
        <w:pStyle w:val="Equationlegend"/>
        <w:keepNext/>
        <w:keepLines/>
      </w:pPr>
      <w:r w:rsidRPr="00B93493">
        <w:rPr>
          <w:i/>
        </w:rPr>
        <w:tab/>
        <w:t>B</w:t>
      </w:r>
      <w:r w:rsidRPr="00B93493">
        <w:rPr>
          <w:i/>
          <w:iCs/>
          <w:vertAlign w:val="subscript"/>
        </w:rPr>
        <w:t>ni</w:t>
      </w:r>
      <w:r w:rsidRPr="00B93493">
        <w:t xml:space="preserve"> :</w:t>
      </w:r>
      <w:r w:rsidRPr="00B93493">
        <w:rPr>
          <w:iCs/>
        </w:rPr>
        <w:tab/>
      </w:r>
      <w:r w:rsidRPr="00B93493">
        <w:t xml:space="preserve">necessary bandwidth of the emission (MHz), calculated in accordance with Recommendation </w:t>
      </w:r>
      <w:r w:rsidRPr="0009267B">
        <w:t>ITU-R SM.1138-2</w:t>
      </w:r>
      <w:r w:rsidRPr="00B93493">
        <w:t xml:space="preserve">, taking into account that an occupied bandwidth of an emission should be equal to its necessary bandwidth (Recommendation </w:t>
      </w:r>
      <w:r w:rsidRPr="0009267B">
        <w:t>ITU</w:t>
      </w:r>
      <w:r w:rsidRPr="0009267B">
        <w:noBreakHyphen/>
        <w:t>R SM.328</w:t>
      </w:r>
      <w:r w:rsidRPr="0009267B">
        <w:noBreakHyphen/>
        <w:t>11</w:t>
      </w:r>
      <w:r w:rsidRPr="00B93493">
        <w:t>)</w:t>
      </w:r>
    </w:p>
    <w:p w14:paraId="5C5F03AA" w14:textId="77777777" w:rsidR="00CF04BC" w:rsidRPr="00B93493" w:rsidRDefault="00CF04BC" w:rsidP="00CF04BC">
      <w:pPr>
        <w:pStyle w:val="Equationlegend"/>
      </w:pPr>
      <w:r w:rsidRPr="00B93493">
        <w:rPr>
          <w:i/>
        </w:rPr>
        <w:tab/>
      </w:r>
      <w:r w:rsidRPr="00B93493">
        <w:rPr>
          <w:iCs/>
        </w:rPr>
        <w:sym w:font="Symbol" w:char="F063"/>
      </w:r>
      <w:r w:rsidRPr="00B93493">
        <w:rPr>
          <w:iCs/>
        </w:rPr>
        <w:t xml:space="preserve"> :</w:t>
      </w:r>
      <w:r w:rsidRPr="00B93493">
        <w:rPr>
          <w:iCs/>
        </w:rPr>
        <w:tab/>
      </w:r>
      <w:r w:rsidRPr="00B93493">
        <w:t xml:space="preserve">adjustment </w:t>
      </w:r>
      <w:r w:rsidRPr="00B93493">
        <w:rPr>
          <w:position w:val="-10"/>
        </w:rPr>
        <w:object w:dxaOrig="1029" w:dyaOrig="309" w14:anchorId="2F066427">
          <v:shape id="_x0000_i1027" type="#_x0000_t75" style="width:51.85pt;height:14.4pt" o:ole="">
            <v:imagedata r:id="rId29" o:title=""/>
          </v:shape>
          <o:OLEObject Type="Embed" ProgID="Equation.3" ShapeID="_x0000_i1027" DrawAspect="Content" ObjectID="_1812968309" r:id="rId30"/>
        </w:object>
      </w:r>
      <w:r w:rsidRPr="00B93493">
        <w:t>can be used in some cases, for example, to decrease somewhat a very great difference in fees between sound and TV broadcasting, under the same powers of transmitters, due to significant difference in the necessary bandwidths. It also can be used in cases of radar applications (see example of calculations below), etc.</w:t>
      </w:r>
    </w:p>
    <w:p w14:paraId="441C80DA" w14:textId="77777777" w:rsidR="00CF04BC" w:rsidRPr="0074785C" w:rsidRDefault="00CF04BC" w:rsidP="0074785C">
      <w:pPr>
        <w:pStyle w:val="Heading3"/>
      </w:pPr>
      <w:bookmarkStart w:id="1774" w:name="_Toc291852915"/>
      <w:bookmarkStart w:id="1775" w:name="_Toc289932306"/>
      <w:bookmarkStart w:id="1776" w:name="_Toc392515901"/>
      <w:bookmarkStart w:id="1777" w:name="_Toc289868838"/>
      <w:bookmarkStart w:id="1778" w:name="_Toc289868998"/>
      <w:bookmarkStart w:id="1779" w:name="_Toc518394228"/>
      <w:bookmarkStart w:id="1780" w:name="_Toc289933352"/>
      <w:bookmarkStart w:id="1781" w:name="_Toc462234069"/>
      <w:bookmarkStart w:id="1782" w:name="_Toc182391547"/>
      <w:bookmarkStart w:id="1783" w:name="_Toc182391958"/>
      <w:r w:rsidRPr="0074785C">
        <w:t>4.6.9</w:t>
      </w:r>
      <w:r w:rsidRPr="0074785C">
        <w:tab/>
        <w:t>Determination of weighting coefficients</w:t>
      </w:r>
      <w:bookmarkEnd w:id="1774"/>
      <w:bookmarkEnd w:id="1775"/>
      <w:bookmarkEnd w:id="1776"/>
      <w:bookmarkEnd w:id="1777"/>
      <w:bookmarkEnd w:id="1778"/>
      <w:bookmarkEnd w:id="1779"/>
      <w:bookmarkEnd w:id="1780"/>
      <w:bookmarkEnd w:id="1781"/>
      <w:bookmarkEnd w:id="1782"/>
      <w:bookmarkEnd w:id="1783"/>
    </w:p>
    <w:p w14:paraId="1487FAD9" w14:textId="77777777" w:rsidR="00CF04BC" w:rsidRPr="00B93493" w:rsidRDefault="00CF04BC" w:rsidP="00CF04BC">
      <w:r w:rsidRPr="00B93493">
        <w:t xml:space="preserve">General weighing coefficient </w:t>
      </w:r>
      <w:r w:rsidRPr="00B93493">
        <w:sym w:font="Symbol" w:char="F061"/>
      </w:r>
      <w:r w:rsidRPr="00B93493">
        <w:rPr>
          <w:i/>
          <w:iCs/>
          <w:vertAlign w:val="subscript"/>
        </w:rPr>
        <w:t>i</w:t>
      </w:r>
      <w:r w:rsidRPr="00B93493">
        <w:rPr>
          <w:position w:val="-4"/>
        </w:rPr>
        <w:t xml:space="preserve"> </w:t>
      </w:r>
      <w:r w:rsidRPr="00B93493">
        <w:t>in equation (20) can be presented as a product of the following fractional coefficients:</w:t>
      </w:r>
    </w:p>
    <w:p w14:paraId="3FAF0D88" w14:textId="1E165924" w:rsidR="00CF04BC" w:rsidRPr="0074785C" w:rsidRDefault="00CF04BC" w:rsidP="00CF04BC">
      <w:pPr>
        <w:pStyle w:val="Equation"/>
      </w:pPr>
      <w:r w:rsidRPr="0074785C">
        <w:tab/>
      </w:r>
      <w:r w:rsidRPr="0074785C">
        <w:tab/>
      </w:r>
      <w:r w:rsidRPr="0074785C">
        <w:sym w:font="Symbol" w:char="F061"/>
      </w:r>
      <w:r w:rsidRPr="0074785C">
        <w:rPr>
          <w:i/>
          <w:iCs/>
          <w:vertAlign w:val="subscript"/>
        </w:rPr>
        <w:t>i</w:t>
      </w:r>
      <w:r w:rsidRPr="0074785C">
        <w:t xml:space="preserve"> </w:t>
      </w:r>
      <w:r w:rsidR="0074785C" w:rsidRPr="0074785C">
        <w:t>=</w:t>
      </w:r>
      <w:r w:rsidRPr="0074785C">
        <w:t xml:space="preserve"> </w:t>
      </w:r>
      <w:r w:rsidRPr="0074785C">
        <w:sym w:font="Symbol" w:char="F061"/>
      </w:r>
      <w:r w:rsidR="0074785C" w:rsidRPr="0074785C">
        <w:rPr>
          <w:vertAlign w:val="subscript"/>
        </w:rPr>
        <w:t>1</w:t>
      </w:r>
      <w:r w:rsidRPr="0074785C">
        <w:t xml:space="preserve"> </w:t>
      </w:r>
      <w:r w:rsidRPr="0074785C">
        <w:fldChar w:fldCharType="begin"/>
      </w:r>
      <w:r w:rsidRPr="0074785C">
        <w:instrText>SYMBOL 215 \f "Symbol" \s 14</w:instrText>
      </w:r>
      <w:r w:rsidRPr="0074785C">
        <w:fldChar w:fldCharType="separate"/>
      </w:r>
      <w:r w:rsidRPr="0074785C">
        <w:t>×</w:t>
      </w:r>
      <w:r w:rsidRPr="0074785C">
        <w:fldChar w:fldCharType="end"/>
      </w:r>
      <w:r w:rsidRPr="0074785C">
        <w:t xml:space="preserve"> </w:t>
      </w:r>
      <w:r w:rsidRPr="0074785C">
        <w:sym w:font="Symbol" w:char="F061"/>
      </w:r>
      <w:r w:rsidRPr="0074785C">
        <w:rPr>
          <w:vertAlign w:val="subscript"/>
        </w:rPr>
        <w:t>2</w:t>
      </w:r>
      <w:r w:rsidRPr="0074785C">
        <w:t xml:space="preserve"> </w:t>
      </w:r>
      <w:r w:rsidRPr="0074785C">
        <w:fldChar w:fldCharType="begin"/>
      </w:r>
      <w:r w:rsidRPr="0074785C">
        <w:instrText>SYMBOL 215 \f "Symbol" \s 14</w:instrText>
      </w:r>
      <w:r w:rsidRPr="0074785C">
        <w:fldChar w:fldCharType="separate"/>
      </w:r>
      <w:r w:rsidRPr="0074785C">
        <w:t>×</w:t>
      </w:r>
      <w:r w:rsidRPr="0074785C">
        <w:fldChar w:fldCharType="end"/>
      </w:r>
      <w:r w:rsidRPr="0074785C">
        <w:t xml:space="preserve"> </w:t>
      </w:r>
      <w:r w:rsidRPr="0074785C">
        <w:sym w:font="Symbol" w:char="F061"/>
      </w:r>
      <w:r w:rsidRPr="0074785C">
        <w:rPr>
          <w:vertAlign w:val="subscript"/>
        </w:rPr>
        <w:t>3</w:t>
      </w:r>
      <w:r w:rsidRPr="0074785C">
        <w:t xml:space="preserve"> </w:t>
      </w:r>
      <w:r w:rsidRPr="0074785C">
        <w:fldChar w:fldCharType="begin"/>
      </w:r>
      <w:r w:rsidRPr="0074785C">
        <w:instrText>SYMBOL 215 \f "Symbol" \s 14</w:instrText>
      </w:r>
      <w:r w:rsidRPr="0074785C">
        <w:fldChar w:fldCharType="separate"/>
      </w:r>
      <w:r w:rsidRPr="0074785C">
        <w:t>×</w:t>
      </w:r>
      <w:r w:rsidRPr="0074785C">
        <w:fldChar w:fldCharType="end"/>
      </w:r>
      <w:r w:rsidRPr="0074785C">
        <w:t xml:space="preserve"> </w:t>
      </w:r>
      <w:r w:rsidRPr="0074785C">
        <w:sym w:font="Symbol" w:char="F061"/>
      </w:r>
      <w:r w:rsidRPr="0074785C">
        <w:rPr>
          <w:vertAlign w:val="subscript"/>
        </w:rPr>
        <w:t>4</w:t>
      </w:r>
      <w:r w:rsidRPr="0074785C">
        <w:t xml:space="preserve"> </w:t>
      </w:r>
      <w:r w:rsidRPr="0074785C">
        <w:fldChar w:fldCharType="begin"/>
      </w:r>
      <w:r w:rsidRPr="0074785C">
        <w:instrText>SYMBOL 215 \f "Symbol" \s 14</w:instrText>
      </w:r>
      <w:r w:rsidRPr="0074785C">
        <w:fldChar w:fldCharType="separate"/>
      </w:r>
      <w:r w:rsidRPr="0074785C">
        <w:t>×</w:t>
      </w:r>
      <w:r w:rsidRPr="0074785C">
        <w:fldChar w:fldCharType="end"/>
      </w:r>
      <w:r w:rsidRPr="0074785C">
        <w:t xml:space="preserve"> </w:t>
      </w:r>
      <w:r w:rsidRPr="0074785C">
        <w:sym w:font="Symbol" w:char="F061"/>
      </w:r>
      <w:r w:rsidRPr="0074785C">
        <w:rPr>
          <w:vertAlign w:val="subscript"/>
        </w:rPr>
        <w:t>5</w:t>
      </w:r>
      <w:r w:rsidRPr="0074785C">
        <w:tab/>
        <w:t>(25)</w:t>
      </w:r>
    </w:p>
    <w:p w14:paraId="39A6E4D0" w14:textId="77777777" w:rsidR="00CF04BC" w:rsidRPr="00B93493" w:rsidRDefault="00CF04BC" w:rsidP="00CF04BC">
      <w:r w:rsidRPr="00B93493">
        <w:t>where:</w:t>
      </w:r>
    </w:p>
    <w:p w14:paraId="52A4C133" w14:textId="6565C788" w:rsidR="00CF04BC" w:rsidRPr="00B93493" w:rsidRDefault="00CF04BC" w:rsidP="00CF04BC">
      <w:pPr>
        <w:pStyle w:val="Equationlegend"/>
      </w:pPr>
      <w:r w:rsidRPr="00B93493">
        <w:tab/>
      </w:r>
      <w:r w:rsidRPr="00B93493">
        <w:sym w:font="Symbol" w:char="F061"/>
      </w:r>
      <w:r w:rsidRPr="00B93493">
        <w:rPr>
          <w:vertAlign w:val="subscript"/>
        </w:rPr>
        <w:t>1</w:t>
      </w:r>
      <w:r w:rsidR="0074785C">
        <w:rPr>
          <w:vertAlign w:val="subscript"/>
        </w:rPr>
        <w:t xml:space="preserve"> </w:t>
      </w:r>
      <w:r w:rsidRPr="00B93493">
        <w:t>:</w:t>
      </w:r>
      <w:r w:rsidRPr="00B93493">
        <w:tab/>
        <w:t>takes into account commercial value of the spectrum range used</w:t>
      </w:r>
    </w:p>
    <w:p w14:paraId="15949FDD" w14:textId="72560C38" w:rsidR="00CF04BC" w:rsidRPr="00B93493" w:rsidRDefault="00CF04BC" w:rsidP="00CF04BC">
      <w:pPr>
        <w:pStyle w:val="Equationlegend"/>
      </w:pPr>
      <w:r w:rsidRPr="00B93493">
        <w:tab/>
      </w:r>
      <w:r w:rsidRPr="00B93493">
        <w:sym w:font="Symbol" w:char="F061"/>
      </w:r>
      <w:r w:rsidRPr="00B93493">
        <w:rPr>
          <w:vertAlign w:val="subscript"/>
        </w:rPr>
        <w:t>2</w:t>
      </w:r>
      <w:r w:rsidR="0074785C">
        <w:rPr>
          <w:vertAlign w:val="subscript"/>
        </w:rPr>
        <w:t xml:space="preserve"> </w:t>
      </w:r>
      <w:r w:rsidRPr="00B93493">
        <w:t>:</w:t>
      </w:r>
      <w:r w:rsidRPr="00B93493">
        <w:tab/>
        <w:t>taking into account social factor</w:t>
      </w:r>
    </w:p>
    <w:p w14:paraId="01C5AF11" w14:textId="45255220" w:rsidR="00CF04BC" w:rsidRPr="00B93493" w:rsidRDefault="00CF04BC" w:rsidP="00CF04BC">
      <w:pPr>
        <w:pStyle w:val="Equationlegend"/>
      </w:pPr>
      <w:r w:rsidRPr="00B93493">
        <w:tab/>
      </w:r>
      <w:r w:rsidRPr="00B93493">
        <w:sym w:font="Symbol" w:char="F061"/>
      </w:r>
      <w:r w:rsidRPr="00B93493">
        <w:rPr>
          <w:vertAlign w:val="subscript"/>
        </w:rPr>
        <w:t>3</w:t>
      </w:r>
      <w:r w:rsidR="0074785C">
        <w:rPr>
          <w:vertAlign w:val="subscript"/>
        </w:rPr>
        <w:t xml:space="preserve"> </w:t>
      </w:r>
      <w:r w:rsidRPr="00B93493">
        <w:t>:</w:t>
      </w:r>
      <w:r w:rsidRPr="00B93493">
        <w:tab/>
        <w:t>takes into account features of transmitter location</w:t>
      </w:r>
    </w:p>
    <w:p w14:paraId="17D9C11F" w14:textId="19ADF7E9" w:rsidR="00CF04BC" w:rsidRPr="00B93493" w:rsidRDefault="00CF04BC" w:rsidP="00CF04BC">
      <w:pPr>
        <w:pStyle w:val="Equationlegend"/>
      </w:pPr>
      <w:r w:rsidRPr="00B93493">
        <w:tab/>
      </w:r>
      <w:r w:rsidRPr="00B93493">
        <w:sym w:font="Symbol" w:char="F061"/>
      </w:r>
      <w:r w:rsidRPr="00B93493">
        <w:rPr>
          <w:vertAlign w:val="subscript"/>
        </w:rPr>
        <w:t>4</w:t>
      </w:r>
      <w:r w:rsidR="0074785C">
        <w:rPr>
          <w:vertAlign w:val="subscript"/>
        </w:rPr>
        <w:t xml:space="preserve"> </w:t>
      </w:r>
      <w:r w:rsidRPr="00B93493">
        <w:t>:</w:t>
      </w:r>
      <w:r w:rsidRPr="00B93493">
        <w:tab/>
        <w:t>takes into account the complexity of spectrum management functions</w:t>
      </w:r>
    </w:p>
    <w:p w14:paraId="17D2809B" w14:textId="2947BE24" w:rsidR="00CF04BC" w:rsidRPr="00B93493" w:rsidRDefault="00CF04BC" w:rsidP="00CF04BC">
      <w:pPr>
        <w:pStyle w:val="Equationlegend"/>
      </w:pPr>
      <w:r w:rsidRPr="00B93493">
        <w:tab/>
      </w:r>
      <w:r w:rsidRPr="00B93493">
        <w:sym w:font="Symbol" w:char="F061"/>
      </w:r>
      <w:r w:rsidRPr="00B93493">
        <w:rPr>
          <w:vertAlign w:val="subscript"/>
        </w:rPr>
        <w:t>5</w:t>
      </w:r>
      <w:r w:rsidR="0074785C">
        <w:rPr>
          <w:vertAlign w:val="subscript"/>
        </w:rPr>
        <w:t xml:space="preserve"> </w:t>
      </w:r>
      <w:r w:rsidRPr="00B93493">
        <w:t>:</w:t>
      </w:r>
      <w:r w:rsidRPr="00B93493">
        <w:tab/>
        <w:t>other coefficient (coefficients) which can be introduced by an administration reflecting its specific needs.</w:t>
      </w:r>
    </w:p>
    <w:p w14:paraId="019C8996" w14:textId="77777777" w:rsidR="00CF04BC" w:rsidRPr="00B93493" w:rsidRDefault="00CF04BC" w:rsidP="00CF04BC">
      <w:r w:rsidRPr="00B93493">
        <w:t xml:space="preserve">Illustrative examples of these coefficient values are presented in Table </w:t>
      </w:r>
      <w:r>
        <w:rPr>
          <w:rFonts w:hint="eastAsia"/>
          <w:lang w:eastAsia="zh-CN"/>
        </w:rPr>
        <w:t>3</w:t>
      </w:r>
      <w:r w:rsidRPr="00B93493">
        <w:t>.</w:t>
      </w:r>
    </w:p>
    <w:p w14:paraId="3CB69A21" w14:textId="77777777" w:rsidR="00CF04BC" w:rsidRPr="00B93493" w:rsidRDefault="00CF04BC" w:rsidP="00CF04BC">
      <w:pPr>
        <w:pStyle w:val="TableNo"/>
        <w:rPr>
          <w:szCs w:val="24"/>
          <w:lang w:eastAsia="zh-CN"/>
        </w:rPr>
      </w:pPr>
      <w:r w:rsidRPr="00B93493">
        <w:rPr>
          <w:szCs w:val="24"/>
        </w:rPr>
        <w:t xml:space="preserve">TABLE </w:t>
      </w:r>
      <w:r>
        <w:rPr>
          <w:rFonts w:hint="eastAsia"/>
          <w:szCs w:val="24"/>
          <w:lang w:eastAsia="zh-CN"/>
        </w:rPr>
        <w:t>3</w:t>
      </w:r>
    </w:p>
    <w:p w14:paraId="4443AF4B" w14:textId="77777777" w:rsidR="00CF04BC" w:rsidRPr="00B93493" w:rsidRDefault="00CF04BC" w:rsidP="00CF04BC">
      <w:pPr>
        <w:pStyle w:val="Tabletitle"/>
        <w:rPr>
          <w:szCs w:val="24"/>
        </w:rPr>
      </w:pPr>
      <w:r w:rsidRPr="00B93493">
        <w:rPr>
          <w:szCs w:val="24"/>
        </w:rPr>
        <w:t>Table of service depended coefficients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850"/>
        <w:gridCol w:w="851"/>
        <w:gridCol w:w="1000"/>
        <w:gridCol w:w="847"/>
      </w:tblGrid>
      <w:tr w:rsidR="00CF04BC" w:rsidRPr="00B93493" w14:paraId="2D6943EE" w14:textId="77777777" w:rsidTr="0074785C">
        <w:trPr>
          <w:jc w:val="center"/>
        </w:trPr>
        <w:tc>
          <w:tcPr>
            <w:tcW w:w="5240" w:type="dxa"/>
            <w:vMerge w:val="restart"/>
            <w:vAlign w:val="center"/>
          </w:tcPr>
          <w:p w14:paraId="73A898C6" w14:textId="77777777" w:rsidR="00CF04BC" w:rsidRPr="00B93493" w:rsidRDefault="00CF04BC" w:rsidP="002E7F54">
            <w:pPr>
              <w:pStyle w:val="Tablehead"/>
              <w:rPr>
                <w:szCs w:val="22"/>
              </w:rPr>
            </w:pPr>
            <w:r w:rsidRPr="00B93493">
              <w:rPr>
                <w:szCs w:val="22"/>
              </w:rPr>
              <w:t>Service\</w:t>
            </w:r>
            <w:r w:rsidRPr="00B93493">
              <w:rPr>
                <w:szCs w:val="22"/>
              </w:rPr>
              <w:sym w:font="Symbol" w:char="F061"/>
            </w:r>
            <w:r w:rsidRPr="00B93493">
              <w:rPr>
                <w:szCs w:val="22"/>
                <w:vertAlign w:val="subscript"/>
              </w:rPr>
              <w:t>I</w:t>
            </w:r>
          </w:p>
        </w:tc>
        <w:tc>
          <w:tcPr>
            <w:tcW w:w="851" w:type="dxa"/>
            <w:vMerge w:val="restart"/>
            <w:vAlign w:val="center"/>
          </w:tcPr>
          <w:p w14:paraId="25F9DD8A" w14:textId="77777777" w:rsidR="00CF04BC" w:rsidRPr="00B93493" w:rsidRDefault="00CF04BC" w:rsidP="002E7F54">
            <w:pPr>
              <w:pStyle w:val="Tablehead"/>
              <w:rPr>
                <w:szCs w:val="22"/>
              </w:rPr>
            </w:pPr>
            <w:r w:rsidRPr="00B93493">
              <w:rPr>
                <w:szCs w:val="22"/>
              </w:rPr>
              <w:sym w:font="Symbol" w:char="F061"/>
            </w:r>
            <w:r w:rsidRPr="00B93493">
              <w:rPr>
                <w:szCs w:val="22"/>
                <w:vertAlign w:val="subscript"/>
              </w:rPr>
              <w:t>1</w:t>
            </w:r>
          </w:p>
        </w:tc>
        <w:tc>
          <w:tcPr>
            <w:tcW w:w="850" w:type="dxa"/>
            <w:vMerge w:val="restart"/>
            <w:vAlign w:val="center"/>
          </w:tcPr>
          <w:p w14:paraId="7DB4C97A" w14:textId="77777777" w:rsidR="00CF04BC" w:rsidRPr="00B93493" w:rsidRDefault="00CF04BC" w:rsidP="002E7F54">
            <w:pPr>
              <w:pStyle w:val="Tablehead"/>
              <w:rPr>
                <w:szCs w:val="22"/>
              </w:rPr>
            </w:pPr>
            <w:r w:rsidRPr="00B93493">
              <w:rPr>
                <w:szCs w:val="22"/>
              </w:rPr>
              <w:sym w:font="Symbol" w:char="F061"/>
            </w:r>
            <w:r w:rsidRPr="00B93493">
              <w:rPr>
                <w:szCs w:val="22"/>
                <w:vertAlign w:val="subscript"/>
              </w:rPr>
              <w:t>2</w:t>
            </w:r>
          </w:p>
        </w:tc>
        <w:tc>
          <w:tcPr>
            <w:tcW w:w="1851" w:type="dxa"/>
            <w:gridSpan w:val="2"/>
            <w:vAlign w:val="center"/>
          </w:tcPr>
          <w:p w14:paraId="1BA23F10" w14:textId="77777777" w:rsidR="00CF04BC" w:rsidRPr="00B93493" w:rsidRDefault="00CF04BC" w:rsidP="002E7F54">
            <w:pPr>
              <w:pStyle w:val="Tablehead"/>
              <w:rPr>
                <w:szCs w:val="22"/>
              </w:rPr>
            </w:pPr>
            <w:r w:rsidRPr="00B93493">
              <w:rPr>
                <w:szCs w:val="22"/>
              </w:rPr>
              <w:sym w:font="Symbol" w:char="F061"/>
            </w:r>
            <w:r w:rsidRPr="00B93493">
              <w:rPr>
                <w:szCs w:val="22"/>
                <w:vertAlign w:val="subscript"/>
              </w:rPr>
              <w:t>3</w:t>
            </w:r>
          </w:p>
        </w:tc>
        <w:tc>
          <w:tcPr>
            <w:tcW w:w="847" w:type="dxa"/>
            <w:vMerge w:val="restart"/>
            <w:vAlign w:val="center"/>
          </w:tcPr>
          <w:p w14:paraId="3A5A1876" w14:textId="77777777" w:rsidR="00CF04BC" w:rsidRPr="00B93493" w:rsidRDefault="00CF04BC" w:rsidP="002E7F54">
            <w:pPr>
              <w:pStyle w:val="Tablehead"/>
              <w:rPr>
                <w:szCs w:val="22"/>
              </w:rPr>
            </w:pPr>
            <w:r w:rsidRPr="00B93493">
              <w:rPr>
                <w:szCs w:val="22"/>
              </w:rPr>
              <w:sym w:font="Symbol" w:char="F061"/>
            </w:r>
            <w:r w:rsidRPr="00B93493">
              <w:rPr>
                <w:szCs w:val="22"/>
                <w:vertAlign w:val="subscript"/>
              </w:rPr>
              <w:t>4</w:t>
            </w:r>
          </w:p>
        </w:tc>
      </w:tr>
      <w:tr w:rsidR="00CF04BC" w:rsidRPr="00B93493" w14:paraId="01AC62F3" w14:textId="77777777" w:rsidTr="0074785C">
        <w:trPr>
          <w:jc w:val="center"/>
        </w:trPr>
        <w:tc>
          <w:tcPr>
            <w:tcW w:w="5240" w:type="dxa"/>
            <w:vMerge/>
            <w:vAlign w:val="center"/>
          </w:tcPr>
          <w:p w14:paraId="3A5FCBDE" w14:textId="77777777" w:rsidR="00CF04BC" w:rsidRPr="00B93493" w:rsidRDefault="00CF04BC" w:rsidP="002E7F54">
            <w:pPr>
              <w:pStyle w:val="Tablehead"/>
              <w:rPr>
                <w:szCs w:val="22"/>
              </w:rPr>
            </w:pPr>
          </w:p>
        </w:tc>
        <w:tc>
          <w:tcPr>
            <w:tcW w:w="851" w:type="dxa"/>
            <w:vMerge/>
            <w:vAlign w:val="center"/>
          </w:tcPr>
          <w:p w14:paraId="081CC54A" w14:textId="77777777" w:rsidR="00CF04BC" w:rsidRPr="00B93493" w:rsidRDefault="00CF04BC" w:rsidP="002E7F54">
            <w:pPr>
              <w:pStyle w:val="Tablehead"/>
              <w:rPr>
                <w:szCs w:val="22"/>
              </w:rPr>
            </w:pPr>
          </w:p>
        </w:tc>
        <w:tc>
          <w:tcPr>
            <w:tcW w:w="850" w:type="dxa"/>
            <w:vMerge/>
            <w:vAlign w:val="center"/>
          </w:tcPr>
          <w:p w14:paraId="52C95FDA" w14:textId="77777777" w:rsidR="00CF04BC" w:rsidRPr="00B93493" w:rsidRDefault="00CF04BC" w:rsidP="002E7F54">
            <w:pPr>
              <w:pStyle w:val="Tablehead"/>
              <w:rPr>
                <w:szCs w:val="22"/>
              </w:rPr>
            </w:pPr>
          </w:p>
        </w:tc>
        <w:tc>
          <w:tcPr>
            <w:tcW w:w="851" w:type="dxa"/>
          </w:tcPr>
          <w:p w14:paraId="126F2256" w14:textId="77777777" w:rsidR="00CF04BC" w:rsidRPr="00B93493" w:rsidRDefault="00CF04BC" w:rsidP="002E7F54">
            <w:pPr>
              <w:pStyle w:val="Tablehead"/>
              <w:rPr>
                <w:szCs w:val="22"/>
              </w:rPr>
            </w:pPr>
            <w:r w:rsidRPr="00B93493">
              <w:rPr>
                <w:szCs w:val="22"/>
              </w:rPr>
              <w:t>City</w:t>
            </w:r>
          </w:p>
        </w:tc>
        <w:tc>
          <w:tcPr>
            <w:tcW w:w="1000" w:type="dxa"/>
          </w:tcPr>
          <w:p w14:paraId="4C85058C" w14:textId="77777777" w:rsidR="00CF04BC" w:rsidRPr="00B93493" w:rsidRDefault="00CF04BC" w:rsidP="002E7F54">
            <w:pPr>
              <w:pStyle w:val="Tablehead"/>
              <w:rPr>
                <w:szCs w:val="22"/>
              </w:rPr>
            </w:pPr>
            <w:r w:rsidRPr="00B93493">
              <w:rPr>
                <w:szCs w:val="22"/>
              </w:rPr>
              <w:t>Village</w:t>
            </w:r>
          </w:p>
        </w:tc>
        <w:tc>
          <w:tcPr>
            <w:tcW w:w="847" w:type="dxa"/>
            <w:vMerge/>
            <w:vAlign w:val="center"/>
          </w:tcPr>
          <w:p w14:paraId="2632B091" w14:textId="77777777" w:rsidR="00CF04BC" w:rsidRPr="00B93493" w:rsidRDefault="00CF04BC" w:rsidP="002E7F54">
            <w:pPr>
              <w:pStyle w:val="Tablehead"/>
              <w:rPr>
                <w:szCs w:val="22"/>
              </w:rPr>
            </w:pPr>
          </w:p>
        </w:tc>
      </w:tr>
      <w:tr w:rsidR="00CF04BC" w:rsidRPr="00B93493" w14:paraId="3ABBC12B" w14:textId="77777777" w:rsidTr="0074785C">
        <w:trPr>
          <w:cantSplit/>
          <w:jc w:val="center"/>
        </w:trPr>
        <w:tc>
          <w:tcPr>
            <w:tcW w:w="5240" w:type="dxa"/>
          </w:tcPr>
          <w:p w14:paraId="4D5CC790" w14:textId="77777777" w:rsidR="00CF04BC" w:rsidRPr="00B93493" w:rsidRDefault="00CF04BC" w:rsidP="0074785C">
            <w:pPr>
              <w:pStyle w:val="Tabletext"/>
              <w:jc w:val="left"/>
            </w:pPr>
            <w:r w:rsidRPr="00B93493">
              <w:t>Radio relay line in a range above 1 GHz</w:t>
            </w:r>
          </w:p>
        </w:tc>
        <w:tc>
          <w:tcPr>
            <w:tcW w:w="851" w:type="dxa"/>
          </w:tcPr>
          <w:p w14:paraId="7B60BD7F" w14:textId="77777777" w:rsidR="00CF04BC" w:rsidRPr="00B93493" w:rsidRDefault="00CF04BC" w:rsidP="0074785C">
            <w:pPr>
              <w:pStyle w:val="Tabletext"/>
              <w:jc w:val="center"/>
            </w:pPr>
            <w:r w:rsidRPr="00B93493">
              <w:t>0.1</w:t>
            </w:r>
          </w:p>
        </w:tc>
        <w:tc>
          <w:tcPr>
            <w:tcW w:w="850" w:type="dxa"/>
          </w:tcPr>
          <w:p w14:paraId="4952AE57" w14:textId="77777777" w:rsidR="00CF04BC" w:rsidRPr="00B93493" w:rsidRDefault="00CF04BC" w:rsidP="0074785C">
            <w:pPr>
              <w:pStyle w:val="Tabletext"/>
              <w:jc w:val="center"/>
            </w:pPr>
            <w:r w:rsidRPr="00B93493">
              <w:t>0.1</w:t>
            </w:r>
          </w:p>
        </w:tc>
        <w:tc>
          <w:tcPr>
            <w:tcW w:w="851" w:type="dxa"/>
          </w:tcPr>
          <w:p w14:paraId="03F72D87" w14:textId="77777777" w:rsidR="00CF04BC" w:rsidRPr="00B93493" w:rsidRDefault="00CF04BC" w:rsidP="0074785C">
            <w:pPr>
              <w:pStyle w:val="Tabletext"/>
              <w:jc w:val="center"/>
            </w:pPr>
            <w:r w:rsidRPr="00B93493">
              <w:t>1</w:t>
            </w:r>
          </w:p>
        </w:tc>
        <w:tc>
          <w:tcPr>
            <w:tcW w:w="1000" w:type="dxa"/>
          </w:tcPr>
          <w:p w14:paraId="3C9A596D" w14:textId="77777777" w:rsidR="00CF04BC" w:rsidRPr="00B93493" w:rsidRDefault="00CF04BC" w:rsidP="0074785C">
            <w:pPr>
              <w:pStyle w:val="Tabletext"/>
              <w:jc w:val="center"/>
            </w:pPr>
            <w:r w:rsidRPr="00B93493">
              <w:t>0.1</w:t>
            </w:r>
          </w:p>
        </w:tc>
        <w:tc>
          <w:tcPr>
            <w:tcW w:w="847" w:type="dxa"/>
          </w:tcPr>
          <w:p w14:paraId="08658C15" w14:textId="77777777" w:rsidR="00CF04BC" w:rsidRPr="00B93493" w:rsidRDefault="00CF04BC" w:rsidP="0074785C">
            <w:pPr>
              <w:pStyle w:val="Tabletext"/>
              <w:jc w:val="center"/>
            </w:pPr>
            <w:r w:rsidRPr="00B93493">
              <w:t>0.2</w:t>
            </w:r>
          </w:p>
        </w:tc>
      </w:tr>
      <w:tr w:rsidR="00CF04BC" w:rsidRPr="00B93493" w14:paraId="2D97FE1D" w14:textId="77777777" w:rsidTr="0074785C">
        <w:trPr>
          <w:cantSplit/>
          <w:jc w:val="center"/>
        </w:trPr>
        <w:tc>
          <w:tcPr>
            <w:tcW w:w="5240" w:type="dxa"/>
          </w:tcPr>
          <w:p w14:paraId="4FEE69A9" w14:textId="77777777" w:rsidR="00CF04BC" w:rsidRPr="00B93493" w:rsidRDefault="00CF04BC" w:rsidP="0074785C">
            <w:pPr>
              <w:pStyle w:val="Tabletext"/>
              <w:jc w:val="left"/>
            </w:pPr>
            <w:r w:rsidRPr="00B93493">
              <w:t>Radio relay line in a range below 1 GHz</w:t>
            </w:r>
          </w:p>
        </w:tc>
        <w:tc>
          <w:tcPr>
            <w:tcW w:w="851" w:type="dxa"/>
          </w:tcPr>
          <w:p w14:paraId="08584679" w14:textId="77777777" w:rsidR="00CF04BC" w:rsidRPr="00B93493" w:rsidRDefault="00CF04BC" w:rsidP="0074785C">
            <w:pPr>
              <w:pStyle w:val="Tabletext"/>
              <w:jc w:val="center"/>
            </w:pPr>
            <w:r w:rsidRPr="00B93493">
              <w:t>0.4</w:t>
            </w:r>
          </w:p>
        </w:tc>
        <w:tc>
          <w:tcPr>
            <w:tcW w:w="850" w:type="dxa"/>
          </w:tcPr>
          <w:p w14:paraId="3D944DC6" w14:textId="77777777" w:rsidR="00CF04BC" w:rsidRPr="00B93493" w:rsidRDefault="00CF04BC" w:rsidP="0074785C">
            <w:pPr>
              <w:pStyle w:val="Tabletext"/>
              <w:jc w:val="center"/>
            </w:pPr>
            <w:r w:rsidRPr="00B93493">
              <w:t>0.2</w:t>
            </w:r>
          </w:p>
        </w:tc>
        <w:tc>
          <w:tcPr>
            <w:tcW w:w="851" w:type="dxa"/>
          </w:tcPr>
          <w:p w14:paraId="7D787925" w14:textId="77777777" w:rsidR="00CF04BC" w:rsidRPr="00B93493" w:rsidRDefault="00CF04BC" w:rsidP="0074785C">
            <w:pPr>
              <w:pStyle w:val="Tabletext"/>
              <w:jc w:val="center"/>
            </w:pPr>
            <w:r w:rsidRPr="00B93493">
              <w:t>1</w:t>
            </w:r>
          </w:p>
        </w:tc>
        <w:tc>
          <w:tcPr>
            <w:tcW w:w="1000" w:type="dxa"/>
          </w:tcPr>
          <w:p w14:paraId="11CC86F1" w14:textId="77777777" w:rsidR="00CF04BC" w:rsidRPr="00B93493" w:rsidRDefault="00CF04BC" w:rsidP="0074785C">
            <w:pPr>
              <w:pStyle w:val="Tabletext"/>
              <w:jc w:val="center"/>
            </w:pPr>
            <w:r w:rsidRPr="00B93493">
              <w:t>0.1</w:t>
            </w:r>
          </w:p>
        </w:tc>
        <w:tc>
          <w:tcPr>
            <w:tcW w:w="847" w:type="dxa"/>
          </w:tcPr>
          <w:p w14:paraId="6E6180D3" w14:textId="77777777" w:rsidR="00CF04BC" w:rsidRPr="00B93493" w:rsidRDefault="00CF04BC" w:rsidP="0074785C">
            <w:pPr>
              <w:pStyle w:val="Tabletext"/>
              <w:jc w:val="center"/>
            </w:pPr>
            <w:r w:rsidRPr="00B93493">
              <w:t>0.2</w:t>
            </w:r>
          </w:p>
        </w:tc>
      </w:tr>
      <w:tr w:rsidR="00CF04BC" w:rsidRPr="00B93493" w14:paraId="632FCBE5" w14:textId="77777777" w:rsidTr="0074785C">
        <w:trPr>
          <w:cantSplit/>
          <w:jc w:val="center"/>
        </w:trPr>
        <w:tc>
          <w:tcPr>
            <w:tcW w:w="5240" w:type="dxa"/>
          </w:tcPr>
          <w:p w14:paraId="3AFC61E5" w14:textId="77777777" w:rsidR="00CF04BC" w:rsidRPr="00B93493" w:rsidRDefault="00CF04BC" w:rsidP="0074785C">
            <w:pPr>
              <w:pStyle w:val="Tabletext"/>
              <w:jc w:val="left"/>
            </w:pPr>
            <w:r w:rsidRPr="00B93493">
              <w:t>Television in metre range (MW TV)</w:t>
            </w:r>
          </w:p>
        </w:tc>
        <w:tc>
          <w:tcPr>
            <w:tcW w:w="851" w:type="dxa"/>
          </w:tcPr>
          <w:p w14:paraId="7F447357" w14:textId="77777777" w:rsidR="00CF04BC" w:rsidRPr="00B93493" w:rsidRDefault="00CF04BC" w:rsidP="0074785C">
            <w:pPr>
              <w:pStyle w:val="Tabletext"/>
              <w:jc w:val="center"/>
            </w:pPr>
            <w:r w:rsidRPr="00B93493">
              <w:t>1</w:t>
            </w:r>
          </w:p>
        </w:tc>
        <w:tc>
          <w:tcPr>
            <w:tcW w:w="850" w:type="dxa"/>
          </w:tcPr>
          <w:p w14:paraId="0009D90E" w14:textId="77777777" w:rsidR="00CF04BC" w:rsidRPr="00B93493" w:rsidRDefault="00CF04BC" w:rsidP="0074785C">
            <w:pPr>
              <w:pStyle w:val="Tabletext"/>
              <w:jc w:val="center"/>
            </w:pPr>
            <w:r w:rsidRPr="00B93493">
              <w:t>0.1</w:t>
            </w:r>
          </w:p>
        </w:tc>
        <w:tc>
          <w:tcPr>
            <w:tcW w:w="851" w:type="dxa"/>
          </w:tcPr>
          <w:p w14:paraId="14D898B9" w14:textId="77777777" w:rsidR="00CF04BC" w:rsidRPr="00B93493" w:rsidRDefault="00CF04BC" w:rsidP="0074785C">
            <w:pPr>
              <w:pStyle w:val="Tabletext"/>
              <w:jc w:val="center"/>
            </w:pPr>
            <w:r w:rsidRPr="00B93493">
              <w:t>1</w:t>
            </w:r>
          </w:p>
        </w:tc>
        <w:tc>
          <w:tcPr>
            <w:tcW w:w="1000" w:type="dxa"/>
          </w:tcPr>
          <w:p w14:paraId="5467B23F" w14:textId="77777777" w:rsidR="00CF04BC" w:rsidRPr="00B93493" w:rsidRDefault="00CF04BC" w:rsidP="0074785C">
            <w:pPr>
              <w:pStyle w:val="Tabletext"/>
              <w:jc w:val="center"/>
            </w:pPr>
            <w:r w:rsidRPr="00B93493">
              <w:t>0.1</w:t>
            </w:r>
          </w:p>
        </w:tc>
        <w:tc>
          <w:tcPr>
            <w:tcW w:w="847" w:type="dxa"/>
          </w:tcPr>
          <w:p w14:paraId="292DF57F" w14:textId="77777777" w:rsidR="00CF04BC" w:rsidRPr="00B93493" w:rsidRDefault="00CF04BC" w:rsidP="0074785C">
            <w:pPr>
              <w:pStyle w:val="Tabletext"/>
              <w:jc w:val="center"/>
            </w:pPr>
            <w:r w:rsidRPr="00B93493">
              <w:t>1</w:t>
            </w:r>
          </w:p>
        </w:tc>
      </w:tr>
      <w:tr w:rsidR="00CF04BC" w:rsidRPr="00B93493" w14:paraId="7C0CE599" w14:textId="77777777" w:rsidTr="0074785C">
        <w:trPr>
          <w:cantSplit/>
          <w:jc w:val="center"/>
        </w:trPr>
        <w:tc>
          <w:tcPr>
            <w:tcW w:w="5240" w:type="dxa"/>
          </w:tcPr>
          <w:p w14:paraId="3BAE0A53" w14:textId="77777777" w:rsidR="00CF04BC" w:rsidRPr="00B93493" w:rsidRDefault="00CF04BC" w:rsidP="0074785C">
            <w:pPr>
              <w:pStyle w:val="Tabletext"/>
              <w:jc w:val="left"/>
            </w:pPr>
            <w:r w:rsidRPr="00B93493">
              <w:t>Television in decimetre range (DMW TV)</w:t>
            </w:r>
          </w:p>
        </w:tc>
        <w:tc>
          <w:tcPr>
            <w:tcW w:w="851" w:type="dxa"/>
          </w:tcPr>
          <w:p w14:paraId="1ECEEED7" w14:textId="77777777" w:rsidR="00CF04BC" w:rsidRPr="00B93493" w:rsidRDefault="00CF04BC" w:rsidP="0074785C">
            <w:pPr>
              <w:pStyle w:val="Tabletext"/>
              <w:jc w:val="center"/>
            </w:pPr>
            <w:r w:rsidRPr="00B93493">
              <w:t>1</w:t>
            </w:r>
          </w:p>
        </w:tc>
        <w:tc>
          <w:tcPr>
            <w:tcW w:w="850" w:type="dxa"/>
          </w:tcPr>
          <w:p w14:paraId="03AD7C09" w14:textId="77777777" w:rsidR="00CF04BC" w:rsidRPr="00B93493" w:rsidRDefault="00CF04BC" w:rsidP="0074785C">
            <w:pPr>
              <w:pStyle w:val="Tabletext"/>
              <w:jc w:val="center"/>
            </w:pPr>
            <w:r w:rsidRPr="00B93493">
              <w:t>0.2</w:t>
            </w:r>
          </w:p>
        </w:tc>
        <w:tc>
          <w:tcPr>
            <w:tcW w:w="851" w:type="dxa"/>
          </w:tcPr>
          <w:p w14:paraId="317C1526" w14:textId="77777777" w:rsidR="00CF04BC" w:rsidRPr="00B93493" w:rsidRDefault="00CF04BC" w:rsidP="0074785C">
            <w:pPr>
              <w:pStyle w:val="Tabletext"/>
              <w:jc w:val="center"/>
            </w:pPr>
            <w:r w:rsidRPr="00B93493">
              <w:t>1</w:t>
            </w:r>
          </w:p>
        </w:tc>
        <w:tc>
          <w:tcPr>
            <w:tcW w:w="1000" w:type="dxa"/>
          </w:tcPr>
          <w:p w14:paraId="00442F45" w14:textId="77777777" w:rsidR="00CF04BC" w:rsidRPr="00B93493" w:rsidRDefault="00CF04BC" w:rsidP="0074785C">
            <w:pPr>
              <w:pStyle w:val="Tabletext"/>
              <w:jc w:val="center"/>
            </w:pPr>
            <w:r w:rsidRPr="00B93493">
              <w:t>0.1</w:t>
            </w:r>
          </w:p>
        </w:tc>
        <w:tc>
          <w:tcPr>
            <w:tcW w:w="847" w:type="dxa"/>
          </w:tcPr>
          <w:p w14:paraId="52D62316" w14:textId="77777777" w:rsidR="00CF04BC" w:rsidRPr="00B93493" w:rsidRDefault="00CF04BC" w:rsidP="0074785C">
            <w:pPr>
              <w:pStyle w:val="Tabletext"/>
              <w:jc w:val="center"/>
            </w:pPr>
            <w:r w:rsidRPr="00B93493">
              <w:t>1</w:t>
            </w:r>
          </w:p>
        </w:tc>
      </w:tr>
      <w:tr w:rsidR="00CF04BC" w:rsidRPr="00B93493" w14:paraId="6CC46E71" w14:textId="77777777" w:rsidTr="0074785C">
        <w:trPr>
          <w:cantSplit/>
          <w:jc w:val="center"/>
        </w:trPr>
        <w:tc>
          <w:tcPr>
            <w:tcW w:w="5240" w:type="dxa"/>
          </w:tcPr>
          <w:p w14:paraId="15D1084F" w14:textId="77777777" w:rsidR="00CF04BC" w:rsidRPr="00B93493" w:rsidRDefault="00CF04BC" w:rsidP="0074785C">
            <w:pPr>
              <w:pStyle w:val="Tabletext"/>
              <w:jc w:val="left"/>
            </w:pPr>
            <w:r w:rsidRPr="00B93493">
              <w:t>VHF sound broadcasting</w:t>
            </w:r>
          </w:p>
        </w:tc>
        <w:tc>
          <w:tcPr>
            <w:tcW w:w="851" w:type="dxa"/>
          </w:tcPr>
          <w:p w14:paraId="0F387D91" w14:textId="77777777" w:rsidR="00CF04BC" w:rsidRPr="00B93493" w:rsidRDefault="00CF04BC" w:rsidP="0074785C">
            <w:pPr>
              <w:pStyle w:val="Tabletext"/>
              <w:jc w:val="center"/>
            </w:pPr>
            <w:r w:rsidRPr="00B93493">
              <w:t>2.4</w:t>
            </w:r>
          </w:p>
        </w:tc>
        <w:tc>
          <w:tcPr>
            <w:tcW w:w="850" w:type="dxa"/>
          </w:tcPr>
          <w:p w14:paraId="0535E65E" w14:textId="77777777" w:rsidR="00CF04BC" w:rsidRPr="00B93493" w:rsidRDefault="00CF04BC" w:rsidP="0074785C">
            <w:pPr>
              <w:pStyle w:val="Tabletext"/>
              <w:jc w:val="center"/>
            </w:pPr>
            <w:r w:rsidRPr="00B93493">
              <w:t>1</w:t>
            </w:r>
          </w:p>
        </w:tc>
        <w:tc>
          <w:tcPr>
            <w:tcW w:w="851" w:type="dxa"/>
          </w:tcPr>
          <w:p w14:paraId="7FD34A95" w14:textId="77777777" w:rsidR="00CF04BC" w:rsidRPr="00B93493" w:rsidRDefault="00CF04BC" w:rsidP="0074785C">
            <w:pPr>
              <w:pStyle w:val="Tabletext"/>
              <w:jc w:val="center"/>
            </w:pPr>
            <w:r w:rsidRPr="00B93493">
              <w:t>1</w:t>
            </w:r>
          </w:p>
        </w:tc>
        <w:tc>
          <w:tcPr>
            <w:tcW w:w="1000" w:type="dxa"/>
          </w:tcPr>
          <w:p w14:paraId="67E13D4C" w14:textId="77777777" w:rsidR="00CF04BC" w:rsidRPr="00B93493" w:rsidRDefault="00CF04BC" w:rsidP="0074785C">
            <w:pPr>
              <w:pStyle w:val="Tabletext"/>
              <w:jc w:val="center"/>
            </w:pPr>
            <w:r w:rsidRPr="00B93493">
              <w:t>0.1</w:t>
            </w:r>
          </w:p>
        </w:tc>
        <w:tc>
          <w:tcPr>
            <w:tcW w:w="847" w:type="dxa"/>
          </w:tcPr>
          <w:p w14:paraId="46F98086" w14:textId="77777777" w:rsidR="00CF04BC" w:rsidRPr="00B93493" w:rsidRDefault="00CF04BC" w:rsidP="0074785C">
            <w:pPr>
              <w:pStyle w:val="Tabletext"/>
              <w:jc w:val="center"/>
            </w:pPr>
            <w:r w:rsidRPr="00B93493">
              <w:t>1</w:t>
            </w:r>
          </w:p>
        </w:tc>
      </w:tr>
      <w:tr w:rsidR="00CF04BC" w:rsidRPr="00B93493" w14:paraId="70FEDF5F" w14:textId="77777777" w:rsidTr="0074785C">
        <w:trPr>
          <w:cantSplit/>
          <w:jc w:val="center"/>
        </w:trPr>
        <w:tc>
          <w:tcPr>
            <w:tcW w:w="5240" w:type="dxa"/>
          </w:tcPr>
          <w:p w14:paraId="46CDD61E" w14:textId="77777777" w:rsidR="00CF04BC" w:rsidRPr="00B93493" w:rsidRDefault="00CF04BC" w:rsidP="0074785C">
            <w:pPr>
              <w:pStyle w:val="Tabletext"/>
              <w:jc w:val="left"/>
            </w:pPr>
            <w:r w:rsidRPr="00B93493">
              <w:t>LF – HF broadcasting</w:t>
            </w:r>
          </w:p>
        </w:tc>
        <w:tc>
          <w:tcPr>
            <w:tcW w:w="851" w:type="dxa"/>
          </w:tcPr>
          <w:p w14:paraId="619C1A7B" w14:textId="77777777" w:rsidR="00CF04BC" w:rsidRPr="00B93493" w:rsidRDefault="00CF04BC" w:rsidP="0074785C">
            <w:pPr>
              <w:pStyle w:val="Tabletext"/>
              <w:jc w:val="center"/>
            </w:pPr>
            <w:r w:rsidRPr="00B93493">
              <w:t>1</w:t>
            </w:r>
          </w:p>
        </w:tc>
        <w:tc>
          <w:tcPr>
            <w:tcW w:w="850" w:type="dxa"/>
          </w:tcPr>
          <w:p w14:paraId="3CB0DBDE" w14:textId="77777777" w:rsidR="00CF04BC" w:rsidRPr="00B93493" w:rsidRDefault="00CF04BC" w:rsidP="0074785C">
            <w:pPr>
              <w:pStyle w:val="Tabletext"/>
              <w:jc w:val="center"/>
            </w:pPr>
            <w:r w:rsidRPr="00B93493">
              <w:t>1</w:t>
            </w:r>
          </w:p>
        </w:tc>
        <w:tc>
          <w:tcPr>
            <w:tcW w:w="851" w:type="dxa"/>
          </w:tcPr>
          <w:p w14:paraId="67EF9ECD" w14:textId="77777777" w:rsidR="00CF04BC" w:rsidRPr="00B93493" w:rsidRDefault="00CF04BC" w:rsidP="0074785C">
            <w:pPr>
              <w:pStyle w:val="Tabletext"/>
              <w:jc w:val="center"/>
            </w:pPr>
            <w:r w:rsidRPr="00B93493">
              <w:t>1</w:t>
            </w:r>
          </w:p>
        </w:tc>
        <w:tc>
          <w:tcPr>
            <w:tcW w:w="1000" w:type="dxa"/>
          </w:tcPr>
          <w:p w14:paraId="6EABFF6D" w14:textId="77777777" w:rsidR="00CF04BC" w:rsidRPr="00B93493" w:rsidRDefault="00CF04BC" w:rsidP="0074785C">
            <w:pPr>
              <w:pStyle w:val="Tabletext"/>
              <w:jc w:val="center"/>
            </w:pPr>
            <w:r w:rsidRPr="00B93493">
              <w:t>0.1</w:t>
            </w:r>
          </w:p>
        </w:tc>
        <w:tc>
          <w:tcPr>
            <w:tcW w:w="847" w:type="dxa"/>
          </w:tcPr>
          <w:p w14:paraId="5772FA73" w14:textId="77777777" w:rsidR="00CF04BC" w:rsidRPr="00B93493" w:rsidRDefault="00CF04BC" w:rsidP="0074785C">
            <w:pPr>
              <w:pStyle w:val="Tabletext"/>
              <w:jc w:val="center"/>
            </w:pPr>
            <w:r w:rsidRPr="00B93493">
              <w:t>0.8</w:t>
            </w:r>
          </w:p>
        </w:tc>
      </w:tr>
      <w:tr w:rsidR="00CF04BC" w:rsidRPr="00B93493" w14:paraId="2B377932" w14:textId="77777777" w:rsidTr="0074785C">
        <w:trPr>
          <w:cantSplit/>
          <w:jc w:val="center"/>
        </w:trPr>
        <w:tc>
          <w:tcPr>
            <w:tcW w:w="5240" w:type="dxa"/>
          </w:tcPr>
          <w:p w14:paraId="7CCC384B" w14:textId="77777777" w:rsidR="00CF04BC" w:rsidRPr="00B93493" w:rsidRDefault="00CF04BC" w:rsidP="0074785C">
            <w:pPr>
              <w:pStyle w:val="Tabletext"/>
              <w:jc w:val="left"/>
            </w:pPr>
            <w:r w:rsidRPr="00B93493">
              <w:t>HF radiocommunications</w:t>
            </w:r>
          </w:p>
        </w:tc>
        <w:tc>
          <w:tcPr>
            <w:tcW w:w="851" w:type="dxa"/>
          </w:tcPr>
          <w:p w14:paraId="41988DF5" w14:textId="77777777" w:rsidR="00CF04BC" w:rsidRPr="00B93493" w:rsidRDefault="00CF04BC" w:rsidP="0074785C">
            <w:pPr>
              <w:pStyle w:val="Tabletext"/>
              <w:jc w:val="center"/>
            </w:pPr>
            <w:r w:rsidRPr="00B93493">
              <w:t>2.6</w:t>
            </w:r>
          </w:p>
        </w:tc>
        <w:tc>
          <w:tcPr>
            <w:tcW w:w="850" w:type="dxa"/>
          </w:tcPr>
          <w:p w14:paraId="148ABB76" w14:textId="77777777" w:rsidR="00CF04BC" w:rsidRPr="00B93493" w:rsidRDefault="00CF04BC" w:rsidP="0074785C">
            <w:pPr>
              <w:pStyle w:val="Tabletext"/>
              <w:jc w:val="center"/>
            </w:pPr>
            <w:r w:rsidRPr="00B93493">
              <w:t>1.2</w:t>
            </w:r>
          </w:p>
        </w:tc>
        <w:tc>
          <w:tcPr>
            <w:tcW w:w="851" w:type="dxa"/>
          </w:tcPr>
          <w:p w14:paraId="29464DF9" w14:textId="77777777" w:rsidR="00CF04BC" w:rsidRPr="00B93493" w:rsidRDefault="00CF04BC" w:rsidP="0074785C">
            <w:pPr>
              <w:pStyle w:val="Tabletext"/>
              <w:jc w:val="center"/>
            </w:pPr>
            <w:r w:rsidRPr="00B93493">
              <w:t>1</w:t>
            </w:r>
          </w:p>
        </w:tc>
        <w:tc>
          <w:tcPr>
            <w:tcW w:w="1000" w:type="dxa"/>
          </w:tcPr>
          <w:p w14:paraId="092A1477" w14:textId="77777777" w:rsidR="00CF04BC" w:rsidRPr="00B93493" w:rsidRDefault="00CF04BC" w:rsidP="0074785C">
            <w:pPr>
              <w:pStyle w:val="Tabletext"/>
              <w:jc w:val="center"/>
            </w:pPr>
            <w:r w:rsidRPr="00B93493">
              <w:t>0.1</w:t>
            </w:r>
          </w:p>
        </w:tc>
        <w:tc>
          <w:tcPr>
            <w:tcW w:w="847" w:type="dxa"/>
          </w:tcPr>
          <w:p w14:paraId="2E5FC5E4" w14:textId="77777777" w:rsidR="00CF04BC" w:rsidRPr="00B93493" w:rsidRDefault="00CF04BC" w:rsidP="0074785C">
            <w:pPr>
              <w:pStyle w:val="Tabletext"/>
              <w:jc w:val="center"/>
            </w:pPr>
            <w:r w:rsidRPr="00B93493">
              <w:t>0.8</w:t>
            </w:r>
          </w:p>
        </w:tc>
      </w:tr>
      <w:tr w:rsidR="00CF04BC" w:rsidRPr="00B93493" w14:paraId="59EAA1A8" w14:textId="77777777" w:rsidTr="0074785C">
        <w:trPr>
          <w:cantSplit/>
          <w:jc w:val="center"/>
        </w:trPr>
        <w:tc>
          <w:tcPr>
            <w:tcW w:w="5240" w:type="dxa"/>
          </w:tcPr>
          <w:p w14:paraId="0A3143F1" w14:textId="77777777" w:rsidR="00CF04BC" w:rsidRPr="00B93493" w:rsidRDefault="00CF04BC" w:rsidP="0074785C">
            <w:pPr>
              <w:pStyle w:val="Tabletext"/>
              <w:jc w:val="left"/>
            </w:pPr>
            <w:r w:rsidRPr="00B93493">
              <w:t>Trunking</w:t>
            </w:r>
          </w:p>
        </w:tc>
        <w:tc>
          <w:tcPr>
            <w:tcW w:w="851" w:type="dxa"/>
          </w:tcPr>
          <w:p w14:paraId="1F0820B0" w14:textId="77777777" w:rsidR="00CF04BC" w:rsidRPr="00B93493" w:rsidRDefault="00CF04BC" w:rsidP="0074785C">
            <w:pPr>
              <w:pStyle w:val="Tabletext"/>
              <w:jc w:val="center"/>
            </w:pPr>
            <w:r w:rsidRPr="00B93493">
              <w:t>2.4</w:t>
            </w:r>
          </w:p>
        </w:tc>
        <w:tc>
          <w:tcPr>
            <w:tcW w:w="850" w:type="dxa"/>
          </w:tcPr>
          <w:p w14:paraId="15DAB2E4" w14:textId="77777777" w:rsidR="00CF04BC" w:rsidRPr="00B93493" w:rsidRDefault="00CF04BC" w:rsidP="0074785C">
            <w:pPr>
              <w:pStyle w:val="Tabletext"/>
              <w:jc w:val="center"/>
            </w:pPr>
            <w:r w:rsidRPr="00B93493">
              <w:t>1.2</w:t>
            </w:r>
          </w:p>
        </w:tc>
        <w:tc>
          <w:tcPr>
            <w:tcW w:w="851" w:type="dxa"/>
          </w:tcPr>
          <w:p w14:paraId="020D9C17" w14:textId="77777777" w:rsidR="00CF04BC" w:rsidRPr="00B93493" w:rsidRDefault="00CF04BC" w:rsidP="0074785C">
            <w:pPr>
              <w:pStyle w:val="Tabletext"/>
              <w:jc w:val="center"/>
            </w:pPr>
            <w:r w:rsidRPr="00B93493">
              <w:t>1</w:t>
            </w:r>
          </w:p>
        </w:tc>
        <w:tc>
          <w:tcPr>
            <w:tcW w:w="1000" w:type="dxa"/>
          </w:tcPr>
          <w:p w14:paraId="5F29C7DD" w14:textId="77777777" w:rsidR="00CF04BC" w:rsidRPr="00B93493" w:rsidRDefault="00CF04BC" w:rsidP="0074785C">
            <w:pPr>
              <w:pStyle w:val="Tabletext"/>
              <w:jc w:val="center"/>
            </w:pPr>
            <w:r w:rsidRPr="00B93493">
              <w:t>0.1</w:t>
            </w:r>
          </w:p>
        </w:tc>
        <w:tc>
          <w:tcPr>
            <w:tcW w:w="847" w:type="dxa"/>
          </w:tcPr>
          <w:p w14:paraId="60E55B40" w14:textId="77777777" w:rsidR="00CF04BC" w:rsidRPr="00B93493" w:rsidRDefault="00CF04BC" w:rsidP="0074785C">
            <w:pPr>
              <w:pStyle w:val="Tabletext"/>
              <w:jc w:val="center"/>
            </w:pPr>
            <w:r w:rsidRPr="00B93493">
              <w:t>1</w:t>
            </w:r>
          </w:p>
        </w:tc>
      </w:tr>
      <w:tr w:rsidR="00CF04BC" w:rsidRPr="00B93493" w14:paraId="2DA265EB" w14:textId="77777777" w:rsidTr="0074785C">
        <w:trPr>
          <w:cantSplit/>
          <w:jc w:val="center"/>
        </w:trPr>
        <w:tc>
          <w:tcPr>
            <w:tcW w:w="5240" w:type="dxa"/>
          </w:tcPr>
          <w:p w14:paraId="19488A18" w14:textId="77777777" w:rsidR="00CF04BC" w:rsidRPr="00B93493" w:rsidRDefault="00CF04BC" w:rsidP="0074785C">
            <w:pPr>
              <w:pStyle w:val="Tabletext"/>
              <w:jc w:val="left"/>
            </w:pPr>
            <w:r w:rsidRPr="00B93493">
              <w:t xml:space="preserve">Cellular </w:t>
            </w:r>
          </w:p>
        </w:tc>
        <w:tc>
          <w:tcPr>
            <w:tcW w:w="851" w:type="dxa"/>
          </w:tcPr>
          <w:p w14:paraId="0EE668F4" w14:textId="77777777" w:rsidR="00CF04BC" w:rsidRPr="00B93493" w:rsidRDefault="00CF04BC" w:rsidP="0074785C">
            <w:pPr>
              <w:pStyle w:val="Tabletext"/>
              <w:jc w:val="center"/>
            </w:pPr>
            <w:r w:rsidRPr="00B93493">
              <w:t>3</w:t>
            </w:r>
          </w:p>
        </w:tc>
        <w:tc>
          <w:tcPr>
            <w:tcW w:w="850" w:type="dxa"/>
          </w:tcPr>
          <w:p w14:paraId="38550EE4" w14:textId="77777777" w:rsidR="00CF04BC" w:rsidRPr="00B93493" w:rsidRDefault="00CF04BC" w:rsidP="0074785C">
            <w:pPr>
              <w:pStyle w:val="Tabletext"/>
              <w:jc w:val="center"/>
            </w:pPr>
            <w:r w:rsidRPr="00B93493">
              <w:t>1.2</w:t>
            </w:r>
          </w:p>
        </w:tc>
        <w:tc>
          <w:tcPr>
            <w:tcW w:w="851" w:type="dxa"/>
          </w:tcPr>
          <w:p w14:paraId="322907C9" w14:textId="77777777" w:rsidR="00CF04BC" w:rsidRPr="00B93493" w:rsidRDefault="00CF04BC" w:rsidP="0074785C">
            <w:pPr>
              <w:pStyle w:val="Tabletext"/>
              <w:jc w:val="center"/>
            </w:pPr>
            <w:r w:rsidRPr="00B93493">
              <w:t>1</w:t>
            </w:r>
          </w:p>
        </w:tc>
        <w:tc>
          <w:tcPr>
            <w:tcW w:w="1000" w:type="dxa"/>
          </w:tcPr>
          <w:p w14:paraId="6B1C8461" w14:textId="77777777" w:rsidR="00CF04BC" w:rsidRPr="00B93493" w:rsidRDefault="00CF04BC" w:rsidP="0074785C">
            <w:pPr>
              <w:pStyle w:val="Tabletext"/>
              <w:jc w:val="center"/>
            </w:pPr>
            <w:r w:rsidRPr="00B93493">
              <w:t>0.1</w:t>
            </w:r>
          </w:p>
        </w:tc>
        <w:tc>
          <w:tcPr>
            <w:tcW w:w="847" w:type="dxa"/>
          </w:tcPr>
          <w:p w14:paraId="400F7FB0" w14:textId="77777777" w:rsidR="00CF04BC" w:rsidRPr="00B93493" w:rsidRDefault="00CF04BC" w:rsidP="0074785C">
            <w:pPr>
              <w:pStyle w:val="Tabletext"/>
              <w:jc w:val="center"/>
            </w:pPr>
            <w:r w:rsidRPr="00B93493">
              <w:t>1</w:t>
            </w:r>
          </w:p>
        </w:tc>
      </w:tr>
      <w:tr w:rsidR="00CF04BC" w:rsidRPr="00B93493" w14:paraId="29221C52" w14:textId="77777777" w:rsidTr="0074785C">
        <w:trPr>
          <w:cantSplit/>
          <w:jc w:val="center"/>
        </w:trPr>
        <w:tc>
          <w:tcPr>
            <w:tcW w:w="5240" w:type="dxa"/>
          </w:tcPr>
          <w:p w14:paraId="4A2CC030" w14:textId="77777777" w:rsidR="00CF04BC" w:rsidRPr="00B93493" w:rsidRDefault="00CF04BC" w:rsidP="0074785C">
            <w:pPr>
              <w:pStyle w:val="Tabletext"/>
              <w:jc w:val="left"/>
            </w:pPr>
            <w:r w:rsidRPr="00B93493">
              <w:t>Paging</w:t>
            </w:r>
          </w:p>
        </w:tc>
        <w:tc>
          <w:tcPr>
            <w:tcW w:w="851" w:type="dxa"/>
          </w:tcPr>
          <w:p w14:paraId="31D5C6C8" w14:textId="77777777" w:rsidR="00CF04BC" w:rsidRPr="00B93493" w:rsidRDefault="00CF04BC" w:rsidP="0074785C">
            <w:pPr>
              <w:pStyle w:val="Tabletext"/>
              <w:jc w:val="center"/>
            </w:pPr>
            <w:r w:rsidRPr="00B93493">
              <w:t>3.5</w:t>
            </w:r>
          </w:p>
        </w:tc>
        <w:tc>
          <w:tcPr>
            <w:tcW w:w="850" w:type="dxa"/>
          </w:tcPr>
          <w:p w14:paraId="7137BC39" w14:textId="77777777" w:rsidR="00CF04BC" w:rsidRPr="00B93493" w:rsidRDefault="00CF04BC" w:rsidP="0074785C">
            <w:pPr>
              <w:pStyle w:val="Tabletext"/>
              <w:jc w:val="center"/>
            </w:pPr>
            <w:r w:rsidRPr="00B93493">
              <w:t>1.2</w:t>
            </w:r>
          </w:p>
        </w:tc>
        <w:tc>
          <w:tcPr>
            <w:tcW w:w="851" w:type="dxa"/>
          </w:tcPr>
          <w:p w14:paraId="023CC12F" w14:textId="77777777" w:rsidR="00CF04BC" w:rsidRPr="00B93493" w:rsidRDefault="00CF04BC" w:rsidP="0074785C">
            <w:pPr>
              <w:pStyle w:val="Tabletext"/>
              <w:jc w:val="center"/>
            </w:pPr>
            <w:r w:rsidRPr="00B93493">
              <w:t>1</w:t>
            </w:r>
          </w:p>
        </w:tc>
        <w:tc>
          <w:tcPr>
            <w:tcW w:w="1000" w:type="dxa"/>
          </w:tcPr>
          <w:p w14:paraId="6FCBDFE5" w14:textId="77777777" w:rsidR="00CF04BC" w:rsidRPr="00B93493" w:rsidRDefault="00CF04BC" w:rsidP="0074785C">
            <w:pPr>
              <w:pStyle w:val="Tabletext"/>
              <w:jc w:val="center"/>
            </w:pPr>
            <w:r w:rsidRPr="00B93493">
              <w:t>0.1</w:t>
            </w:r>
          </w:p>
        </w:tc>
        <w:tc>
          <w:tcPr>
            <w:tcW w:w="847" w:type="dxa"/>
          </w:tcPr>
          <w:p w14:paraId="7B593A65" w14:textId="77777777" w:rsidR="00CF04BC" w:rsidRPr="00B93493" w:rsidRDefault="00CF04BC" w:rsidP="0074785C">
            <w:pPr>
              <w:pStyle w:val="Tabletext"/>
              <w:jc w:val="center"/>
            </w:pPr>
            <w:r w:rsidRPr="00B93493">
              <w:t>1</w:t>
            </w:r>
          </w:p>
        </w:tc>
      </w:tr>
      <w:tr w:rsidR="00CF04BC" w:rsidRPr="00B93493" w14:paraId="369060B8" w14:textId="77777777" w:rsidTr="0074785C">
        <w:trPr>
          <w:cantSplit/>
          <w:jc w:val="center"/>
        </w:trPr>
        <w:tc>
          <w:tcPr>
            <w:tcW w:w="5240" w:type="dxa"/>
          </w:tcPr>
          <w:p w14:paraId="1CA5315C" w14:textId="77777777" w:rsidR="00CF04BC" w:rsidRPr="00B93493" w:rsidRDefault="00CF04BC" w:rsidP="0074785C">
            <w:pPr>
              <w:pStyle w:val="Tabletext"/>
              <w:jc w:val="left"/>
            </w:pPr>
            <w:r w:rsidRPr="00B93493">
              <w:t>PMR communications</w:t>
            </w:r>
          </w:p>
        </w:tc>
        <w:tc>
          <w:tcPr>
            <w:tcW w:w="851" w:type="dxa"/>
          </w:tcPr>
          <w:p w14:paraId="08635969" w14:textId="77777777" w:rsidR="00CF04BC" w:rsidRPr="00B93493" w:rsidRDefault="00CF04BC" w:rsidP="0074785C">
            <w:pPr>
              <w:pStyle w:val="Tabletext"/>
              <w:jc w:val="center"/>
            </w:pPr>
            <w:r w:rsidRPr="00B93493">
              <w:t>2</w:t>
            </w:r>
          </w:p>
        </w:tc>
        <w:tc>
          <w:tcPr>
            <w:tcW w:w="850" w:type="dxa"/>
          </w:tcPr>
          <w:p w14:paraId="6669D374" w14:textId="77777777" w:rsidR="00CF04BC" w:rsidRPr="00B93493" w:rsidRDefault="00CF04BC" w:rsidP="0074785C">
            <w:pPr>
              <w:pStyle w:val="Tabletext"/>
              <w:jc w:val="center"/>
            </w:pPr>
            <w:r w:rsidRPr="00B93493">
              <w:t>1.2</w:t>
            </w:r>
          </w:p>
        </w:tc>
        <w:tc>
          <w:tcPr>
            <w:tcW w:w="851" w:type="dxa"/>
          </w:tcPr>
          <w:p w14:paraId="04E1FFD5" w14:textId="77777777" w:rsidR="00CF04BC" w:rsidRPr="00B93493" w:rsidRDefault="00CF04BC" w:rsidP="0074785C">
            <w:pPr>
              <w:pStyle w:val="Tabletext"/>
              <w:jc w:val="center"/>
            </w:pPr>
            <w:r w:rsidRPr="00B93493">
              <w:t>1</w:t>
            </w:r>
          </w:p>
        </w:tc>
        <w:tc>
          <w:tcPr>
            <w:tcW w:w="1000" w:type="dxa"/>
          </w:tcPr>
          <w:p w14:paraId="6D203710" w14:textId="77777777" w:rsidR="00CF04BC" w:rsidRPr="00B93493" w:rsidRDefault="00CF04BC" w:rsidP="0074785C">
            <w:pPr>
              <w:pStyle w:val="Tabletext"/>
              <w:jc w:val="center"/>
            </w:pPr>
            <w:r w:rsidRPr="00B93493">
              <w:t>0.1</w:t>
            </w:r>
          </w:p>
        </w:tc>
        <w:tc>
          <w:tcPr>
            <w:tcW w:w="847" w:type="dxa"/>
          </w:tcPr>
          <w:p w14:paraId="07ED52DB" w14:textId="77777777" w:rsidR="00CF04BC" w:rsidRPr="00B93493" w:rsidRDefault="00CF04BC" w:rsidP="0074785C">
            <w:pPr>
              <w:pStyle w:val="Tabletext"/>
              <w:jc w:val="center"/>
            </w:pPr>
            <w:r w:rsidRPr="00B93493">
              <w:t>1</w:t>
            </w:r>
          </w:p>
        </w:tc>
      </w:tr>
      <w:tr w:rsidR="00CF04BC" w:rsidRPr="00B93493" w14:paraId="041DDA00" w14:textId="77777777" w:rsidTr="0074785C">
        <w:trPr>
          <w:cantSplit/>
          <w:jc w:val="center"/>
        </w:trPr>
        <w:tc>
          <w:tcPr>
            <w:tcW w:w="5240" w:type="dxa"/>
          </w:tcPr>
          <w:p w14:paraId="5BDB3F6B" w14:textId="77777777" w:rsidR="00CF04BC" w:rsidRPr="00B93493" w:rsidRDefault="00CF04BC" w:rsidP="0074785C">
            <w:pPr>
              <w:pStyle w:val="Tabletext"/>
              <w:jc w:val="left"/>
            </w:pPr>
            <w:r w:rsidRPr="00B93493">
              <w:t>Radiocommunications in CB range</w:t>
            </w:r>
          </w:p>
        </w:tc>
        <w:tc>
          <w:tcPr>
            <w:tcW w:w="851" w:type="dxa"/>
          </w:tcPr>
          <w:p w14:paraId="051CDE24" w14:textId="77777777" w:rsidR="00CF04BC" w:rsidRPr="00B93493" w:rsidRDefault="00CF04BC" w:rsidP="0074785C">
            <w:pPr>
              <w:pStyle w:val="Tabletext"/>
              <w:jc w:val="center"/>
            </w:pPr>
            <w:r w:rsidRPr="00B93493">
              <w:t>0.1</w:t>
            </w:r>
          </w:p>
        </w:tc>
        <w:tc>
          <w:tcPr>
            <w:tcW w:w="850" w:type="dxa"/>
          </w:tcPr>
          <w:p w14:paraId="3F82BEA1" w14:textId="77777777" w:rsidR="00CF04BC" w:rsidRPr="00B93493" w:rsidRDefault="00CF04BC" w:rsidP="0074785C">
            <w:pPr>
              <w:pStyle w:val="Tabletext"/>
              <w:jc w:val="center"/>
            </w:pPr>
            <w:r w:rsidRPr="00B93493">
              <w:t>0.2</w:t>
            </w:r>
          </w:p>
        </w:tc>
        <w:tc>
          <w:tcPr>
            <w:tcW w:w="851" w:type="dxa"/>
          </w:tcPr>
          <w:p w14:paraId="15D7FF22" w14:textId="77777777" w:rsidR="00CF04BC" w:rsidRPr="00B93493" w:rsidRDefault="00CF04BC" w:rsidP="0074785C">
            <w:pPr>
              <w:pStyle w:val="Tabletext"/>
              <w:jc w:val="center"/>
            </w:pPr>
            <w:r w:rsidRPr="00B93493">
              <w:t>1</w:t>
            </w:r>
          </w:p>
        </w:tc>
        <w:tc>
          <w:tcPr>
            <w:tcW w:w="1000" w:type="dxa"/>
          </w:tcPr>
          <w:p w14:paraId="1A636A42" w14:textId="77777777" w:rsidR="00CF04BC" w:rsidRPr="00B93493" w:rsidRDefault="00CF04BC" w:rsidP="0074785C">
            <w:pPr>
              <w:pStyle w:val="Tabletext"/>
              <w:jc w:val="center"/>
            </w:pPr>
            <w:r w:rsidRPr="00B93493">
              <w:t>0.1</w:t>
            </w:r>
          </w:p>
        </w:tc>
        <w:tc>
          <w:tcPr>
            <w:tcW w:w="847" w:type="dxa"/>
          </w:tcPr>
          <w:p w14:paraId="72F03493" w14:textId="77777777" w:rsidR="00CF04BC" w:rsidRPr="00B93493" w:rsidRDefault="00CF04BC" w:rsidP="0074785C">
            <w:pPr>
              <w:pStyle w:val="Tabletext"/>
              <w:jc w:val="center"/>
            </w:pPr>
            <w:r w:rsidRPr="00B93493">
              <w:t>0.2</w:t>
            </w:r>
          </w:p>
        </w:tc>
      </w:tr>
      <w:tr w:rsidR="00CF04BC" w:rsidRPr="00B93493" w14:paraId="25359931" w14:textId="77777777" w:rsidTr="0074785C">
        <w:trPr>
          <w:cantSplit/>
          <w:jc w:val="center"/>
        </w:trPr>
        <w:tc>
          <w:tcPr>
            <w:tcW w:w="5240" w:type="dxa"/>
          </w:tcPr>
          <w:p w14:paraId="0840E960" w14:textId="77777777" w:rsidR="00CF04BC" w:rsidRPr="00B93493" w:rsidRDefault="00CF04BC" w:rsidP="0074785C">
            <w:pPr>
              <w:pStyle w:val="Tabletext"/>
              <w:jc w:val="left"/>
            </w:pPr>
            <w:r w:rsidRPr="00B93493">
              <w:t>Radiolocation</w:t>
            </w:r>
          </w:p>
        </w:tc>
        <w:tc>
          <w:tcPr>
            <w:tcW w:w="851" w:type="dxa"/>
          </w:tcPr>
          <w:p w14:paraId="3D45C445" w14:textId="77777777" w:rsidR="00CF04BC" w:rsidRPr="00B93493" w:rsidRDefault="00CF04BC" w:rsidP="0074785C">
            <w:pPr>
              <w:pStyle w:val="Tabletext"/>
              <w:jc w:val="center"/>
            </w:pPr>
            <w:r w:rsidRPr="00B93493">
              <w:t>0.1</w:t>
            </w:r>
          </w:p>
        </w:tc>
        <w:tc>
          <w:tcPr>
            <w:tcW w:w="850" w:type="dxa"/>
          </w:tcPr>
          <w:p w14:paraId="38874DFA" w14:textId="77777777" w:rsidR="00CF04BC" w:rsidRPr="00B93493" w:rsidRDefault="00CF04BC" w:rsidP="0074785C">
            <w:pPr>
              <w:pStyle w:val="Tabletext"/>
              <w:jc w:val="center"/>
            </w:pPr>
            <w:r w:rsidRPr="00B93493">
              <w:t>0.02</w:t>
            </w:r>
          </w:p>
        </w:tc>
        <w:tc>
          <w:tcPr>
            <w:tcW w:w="851" w:type="dxa"/>
          </w:tcPr>
          <w:p w14:paraId="39C75187" w14:textId="77777777" w:rsidR="00CF04BC" w:rsidRPr="00B93493" w:rsidRDefault="00CF04BC" w:rsidP="0074785C">
            <w:pPr>
              <w:pStyle w:val="Tabletext"/>
              <w:jc w:val="center"/>
            </w:pPr>
            <w:r w:rsidRPr="00B93493">
              <w:t>1</w:t>
            </w:r>
          </w:p>
        </w:tc>
        <w:tc>
          <w:tcPr>
            <w:tcW w:w="1000" w:type="dxa"/>
          </w:tcPr>
          <w:p w14:paraId="2E8F7C7D" w14:textId="77777777" w:rsidR="00CF04BC" w:rsidRPr="00B93493" w:rsidRDefault="00CF04BC" w:rsidP="0074785C">
            <w:pPr>
              <w:pStyle w:val="Tabletext"/>
              <w:jc w:val="center"/>
            </w:pPr>
            <w:r w:rsidRPr="00B93493">
              <w:t>0.1</w:t>
            </w:r>
          </w:p>
        </w:tc>
        <w:tc>
          <w:tcPr>
            <w:tcW w:w="847" w:type="dxa"/>
          </w:tcPr>
          <w:p w14:paraId="51A79616" w14:textId="77777777" w:rsidR="00CF04BC" w:rsidRPr="00B93493" w:rsidRDefault="00CF04BC" w:rsidP="0074785C">
            <w:pPr>
              <w:pStyle w:val="Tabletext"/>
              <w:jc w:val="center"/>
            </w:pPr>
            <w:r w:rsidRPr="00B93493">
              <w:t>0.2</w:t>
            </w:r>
          </w:p>
        </w:tc>
      </w:tr>
    </w:tbl>
    <w:p w14:paraId="6858381B" w14:textId="7FF2A8CD" w:rsidR="0074785C" w:rsidRPr="00B93493" w:rsidRDefault="0074785C" w:rsidP="0074785C">
      <w:pPr>
        <w:pStyle w:val="TableNo"/>
        <w:rPr>
          <w:szCs w:val="24"/>
          <w:lang w:eastAsia="zh-CN"/>
        </w:rPr>
      </w:pPr>
      <w:r w:rsidRPr="00B93493">
        <w:rPr>
          <w:szCs w:val="24"/>
        </w:rPr>
        <w:t xml:space="preserve">TABLE </w:t>
      </w:r>
      <w:r>
        <w:rPr>
          <w:rFonts w:hint="eastAsia"/>
          <w:szCs w:val="24"/>
          <w:lang w:eastAsia="zh-CN"/>
        </w:rPr>
        <w:t>3</w:t>
      </w:r>
      <w:r>
        <w:rPr>
          <w:szCs w:val="24"/>
          <w:lang w:eastAsia="zh-CN"/>
        </w:rPr>
        <w:t xml:space="preserve"> (</w:t>
      </w:r>
      <w:r w:rsidRPr="0074785C">
        <w:rPr>
          <w:i/>
          <w:iCs/>
          <w:szCs w:val="24"/>
          <w:lang w:eastAsia="zh-CN"/>
        </w:rPr>
        <w:t>end</w:t>
      </w:r>
      <w:r>
        <w:rPr>
          <w:szCs w:val="24"/>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850"/>
        <w:gridCol w:w="851"/>
        <w:gridCol w:w="1000"/>
        <w:gridCol w:w="847"/>
      </w:tblGrid>
      <w:tr w:rsidR="0074785C" w:rsidRPr="00B93493" w14:paraId="373EF808" w14:textId="77777777" w:rsidTr="002E7F54">
        <w:trPr>
          <w:jc w:val="center"/>
        </w:trPr>
        <w:tc>
          <w:tcPr>
            <w:tcW w:w="5240" w:type="dxa"/>
            <w:vMerge w:val="restart"/>
            <w:vAlign w:val="center"/>
          </w:tcPr>
          <w:p w14:paraId="297A7121" w14:textId="77777777" w:rsidR="0074785C" w:rsidRPr="00B93493" w:rsidRDefault="0074785C" w:rsidP="002E7F54">
            <w:pPr>
              <w:pStyle w:val="Tablehead"/>
              <w:rPr>
                <w:szCs w:val="22"/>
              </w:rPr>
            </w:pPr>
            <w:r w:rsidRPr="00B93493">
              <w:rPr>
                <w:szCs w:val="22"/>
              </w:rPr>
              <w:t>Service\</w:t>
            </w:r>
            <w:r w:rsidRPr="00B93493">
              <w:rPr>
                <w:szCs w:val="22"/>
              </w:rPr>
              <w:sym w:font="Symbol" w:char="F061"/>
            </w:r>
            <w:r w:rsidRPr="00B93493">
              <w:rPr>
                <w:szCs w:val="22"/>
                <w:vertAlign w:val="subscript"/>
              </w:rPr>
              <w:t>I</w:t>
            </w:r>
          </w:p>
        </w:tc>
        <w:tc>
          <w:tcPr>
            <w:tcW w:w="851" w:type="dxa"/>
            <w:vMerge w:val="restart"/>
            <w:vAlign w:val="center"/>
          </w:tcPr>
          <w:p w14:paraId="5952C2F2" w14:textId="77777777" w:rsidR="0074785C" w:rsidRPr="00B93493" w:rsidRDefault="0074785C" w:rsidP="002E7F54">
            <w:pPr>
              <w:pStyle w:val="Tablehead"/>
              <w:rPr>
                <w:szCs w:val="22"/>
              </w:rPr>
            </w:pPr>
            <w:r w:rsidRPr="00B93493">
              <w:rPr>
                <w:szCs w:val="22"/>
              </w:rPr>
              <w:sym w:font="Symbol" w:char="F061"/>
            </w:r>
            <w:r w:rsidRPr="00B93493">
              <w:rPr>
                <w:szCs w:val="22"/>
                <w:vertAlign w:val="subscript"/>
              </w:rPr>
              <w:t>1</w:t>
            </w:r>
          </w:p>
        </w:tc>
        <w:tc>
          <w:tcPr>
            <w:tcW w:w="850" w:type="dxa"/>
            <w:vMerge w:val="restart"/>
            <w:vAlign w:val="center"/>
          </w:tcPr>
          <w:p w14:paraId="570DB473" w14:textId="77777777" w:rsidR="0074785C" w:rsidRPr="00B93493" w:rsidRDefault="0074785C" w:rsidP="002E7F54">
            <w:pPr>
              <w:pStyle w:val="Tablehead"/>
              <w:rPr>
                <w:szCs w:val="22"/>
              </w:rPr>
            </w:pPr>
            <w:r w:rsidRPr="00B93493">
              <w:rPr>
                <w:szCs w:val="22"/>
              </w:rPr>
              <w:sym w:font="Symbol" w:char="F061"/>
            </w:r>
            <w:r w:rsidRPr="00B93493">
              <w:rPr>
                <w:szCs w:val="22"/>
                <w:vertAlign w:val="subscript"/>
              </w:rPr>
              <w:t>2</w:t>
            </w:r>
          </w:p>
        </w:tc>
        <w:tc>
          <w:tcPr>
            <w:tcW w:w="1851" w:type="dxa"/>
            <w:gridSpan w:val="2"/>
            <w:vAlign w:val="center"/>
          </w:tcPr>
          <w:p w14:paraId="43D08741" w14:textId="77777777" w:rsidR="0074785C" w:rsidRPr="00B93493" w:rsidRDefault="0074785C" w:rsidP="002E7F54">
            <w:pPr>
              <w:pStyle w:val="Tablehead"/>
              <w:rPr>
                <w:szCs w:val="22"/>
              </w:rPr>
            </w:pPr>
            <w:r w:rsidRPr="00B93493">
              <w:rPr>
                <w:szCs w:val="22"/>
              </w:rPr>
              <w:sym w:font="Symbol" w:char="F061"/>
            </w:r>
            <w:r w:rsidRPr="00B93493">
              <w:rPr>
                <w:szCs w:val="22"/>
                <w:vertAlign w:val="subscript"/>
              </w:rPr>
              <w:t>3</w:t>
            </w:r>
          </w:p>
        </w:tc>
        <w:tc>
          <w:tcPr>
            <w:tcW w:w="847" w:type="dxa"/>
            <w:vMerge w:val="restart"/>
            <w:vAlign w:val="center"/>
          </w:tcPr>
          <w:p w14:paraId="31E19C89" w14:textId="77777777" w:rsidR="0074785C" w:rsidRPr="00B93493" w:rsidRDefault="0074785C" w:rsidP="002E7F54">
            <w:pPr>
              <w:pStyle w:val="Tablehead"/>
              <w:rPr>
                <w:szCs w:val="22"/>
              </w:rPr>
            </w:pPr>
            <w:r w:rsidRPr="00B93493">
              <w:rPr>
                <w:szCs w:val="22"/>
              </w:rPr>
              <w:sym w:font="Symbol" w:char="F061"/>
            </w:r>
            <w:r w:rsidRPr="00B93493">
              <w:rPr>
                <w:szCs w:val="22"/>
                <w:vertAlign w:val="subscript"/>
              </w:rPr>
              <w:t>4</w:t>
            </w:r>
          </w:p>
        </w:tc>
      </w:tr>
      <w:tr w:rsidR="0074785C" w:rsidRPr="00B93493" w14:paraId="1DF34F3E" w14:textId="77777777" w:rsidTr="002E7F54">
        <w:trPr>
          <w:jc w:val="center"/>
        </w:trPr>
        <w:tc>
          <w:tcPr>
            <w:tcW w:w="5240" w:type="dxa"/>
            <w:vMerge/>
            <w:vAlign w:val="center"/>
          </w:tcPr>
          <w:p w14:paraId="05BE1098" w14:textId="77777777" w:rsidR="0074785C" w:rsidRPr="00B93493" w:rsidRDefault="0074785C" w:rsidP="002E7F54">
            <w:pPr>
              <w:pStyle w:val="Tablehead"/>
              <w:rPr>
                <w:szCs w:val="22"/>
              </w:rPr>
            </w:pPr>
          </w:p>
        </w:tc>
        <w:tc>
          <w:tcPr>
            <w:tcW w:w="851" w:type="dxa"/>
            <w:vMerge/>
            <w:vAlign w:val="center"/>
          </w:tcPr>
          <w:p w14:paraId="678F47D8" w14:textId="77777777" w:rsidR="0074785C" w:rsidRPr="00B93493" w:rsidRDefault="0074785C" w:rsidP="002E7F54">
            <w:pPr>
              <w:pStyle w:val="Tablehead"/>
              <w:rPr>
                <w:szCs w:val="22"/>
              </w:rPr>
            </w:pPr>
          </w:p>
        </w:tc>
        <w:tc>
          <w:tcPr>
            <w:tcW w:w="850" w:type="dxa"/>
            <w:vMerge/>
            <w:vAlign w:val="center"/>
          </w:tcPr>
          <w:p w14:paraId="7EC4253F" w14:textId="77777777" w:rsidR="0074785C" w:rsidRPr="00B93493" w:rsidRDefault="0074785C" w:rsidP="002E7F54">
            <w:pPr>
              <w:pStyle w:val="Tablehead"/>
              <w:rPr>
                <w:szCs w:val="22"/>
              </w:rPr>
            </w:pPr>
          </w:p>
        </w:tc>
        <w:tc>
          <w:tcPr>
            <w:tcW w:w="851" w:type="dxa"/>
          </w:tcPr>
          <w:p w14:paraId="45D5E4C9" w14:textId="77777777" w:rsidR="0074785C" w:rsidRPr="00B93493" w:rsidRDefault="0074785C" w:rsidP="002E7F54">
            <w:pPr>
              <w:pStyle w:val="Tablehead"/>
              <w:rPr>
                <w:szCs w:val="22"/>
              </w:rPr>
            </w:pPr>
            <w:r w:rsidRPr="00B93493">
              <w:rPr>
                <w:szCs w:val="22"/>
              </w:rPr>
              <w:t>City</w:t>
            </w:r>
          </w:p>
        </w:tc>
        <w:tc>
          <w:tcPr>
            <w:tcW w:w="1000" w:type="dxa"/>
          </w:tcPr>
          <w:p w14:paraId="39B6D972" w14:textId="77777777" w:rsidR="0074785C" w:rsidRPr="00B93493" w:rsidRDefault="0074785C" w:rsidP="002E7F54">
            <w:pPr>
              <w:pStyle w:val="Tablehead"/>
              <w:rPr>
                <w:szCs w:val="22"/>
              </w:rPr>
            </w:pPr>
            <w:r w:rsidRPr="00B93493">
              <w:rPr>
                <w:szCs w:val="22"/>
              </w:rPr>
              <w:t>Village</w:t>
            </w:r>
          </w:p>
        </w:tc>
        <w:tc>
          <w:tcPr>
            <w:tcW w:w="847" w:type="dxa"/>
            <w:vMerge/>
            <w:vAlign w:val="center"/>
          </w:tcPr>
          <w:p w14:paraId="36C0CFDE" w14:textId="77777777" w:rsidR="0074785C" w:rsidRPr="00B93493" w:rsidRDefault="0074785C" w:rsidP="002E7F54">
            <w:pPr>
              <w:pStyle w:val="Tablehead"/>
              <w:rPr>
                <w:szCs w:val="22"/>
              </w:rPr>
            </w:pPr>
          </w:p>
        </w:tc>
      </w:tr>
      <w:tr w:rsidR="00CF04BC" w:rsidRPr="00B93493" w14:paraId="59B36DDF" w14:textId="77777777" w:rsidTr="002E7F54">
        <w:trPr>
          <w:cantSplit/>
          <w:jc w:val="center"/>
        </w:trPr>
        <w:tc>
          <w:tcPr>
            <w:tcW w:w="5240" w:type="dxa"/>
          </w:tcPr>
          <w:p w14:paraId="1442C66B" w14:textId="5F4F19DB" w:rsidR="00CF04BC" w:rsidRPr="0074785C" w:rsidRDefault="00CF04BC" w:rsidP="0074785C">
            <w:pPr>
              <w:pStyle w:val="Tabletext"/>
              <w:jc w:val="left"/>
            </w:pPr>
            <w:r w:rsidRPr="0074785C">
              <w:t>Aeronautical radiocommunication and navigation</w:t>
            </w:r>
          </w:p>
        </w:tc>
        <w:tc>
          <w:tcPr>
            <w:tcW w:w="851" w:type="dxa"/>
          </w:tcPr>
          <w:p w14:paraId="60C2B3A3" w14:textId="77777777" w:rsidR="00CF04BC" w:rsidRPr="0074785C" w:rsidRDefault="00CF04BC" w:rsidP="002E7F54">
            <w:pPr>
              <w:pStyle w:val="Tabletext"/>
              <w:jc w:val="center"/>
            </w:pPr>
            <w:r w:rsidRPr="0074785C">
              <w:t>0.1</w:t>
            </w:r>
          </w:p>
        </w:tc>
        <w:tc>
          <w:tcPr>
            <w:tcW w:w="850" w:type="dxa"/>
          </w:tcPr>
          <w:p w14:paraId="287259F8" w14:textId="77777777" w:rsidR="00CF04BC" w:rsidRPr="0074785C" w:rsidRDefault="00CF04BC" w:rsidP="002E7F54">
            <w:pPr>
              <w:pStyle w:val="Tabletext"/>
              <w:jc w:val="center"/>
            </w:pPr>
            <w:r w:rsidRPr="0074785C">
              <w:t>0.2</w:t>
            </w:r>
          </w:p>
        </w:tc>
        <w:tc>
          <w:tcPr>
            <w:tcW w:w="851" w:type="dxa"/>
          </w:tcPr>
          <w:p w14:paraId="45F24C32" w14:textId="77777777" w:rsidR="00CF04BC" w:rsidRPr="0074785C" w:rsidRDefault="00CF04BC" w:rsidP="002E7F54">
            <w:pPr>
              <w:pStyle w:val="Tabletext"/>
              <w:jc w:val="center"/>
            </w:pPr>
            <w:r w:rsidRPr="0074785C">
              <w:t>1</w:t>
            </w:r>
          </w:p>
        </w:tc>
        <w:tc>
          <w:tcPr>
            <w:tcW w:w="1000" w:type="dxa"/>
          </w:tcPr>
          <w:p w14:paraId="7B61F07A" w14:textId="77777777" w:rsidR="00CF04BC" w:rsidRPr="0074785C" w:rsidRDefault="00CF04BC" w:rsidP="002E7F54">
            <w:pPr>
              <w:pStyle w:val="Tabletext"/>
              <w:jc w:val="center"/>
            </w:pPr>
            <w:r w:rsidRPr="0074785C">
              <w:t>0.1</w:t>
            </w:r>
          </w:p>
        </w:tc>
        <w:tc>
          <w:tcPr>
            <w:tcW w:w="847" w:type="dxa"/>
          </w:tcPr>
          <w:p w14:paraId="7753821C" w14:textId="77777777" w:rsidR="00CF04BC" w:rsidRPr="0074785C" w:rsidRDefault="00CF04BC" w:rsidP="002E7F54">
            <w:pPr>
              <w:pStyle w:val="Tabletext"/>
              <w:jc w:val="center"/>
            </w:pPr>
            <w:r w:rsidRPr="0074785C">
              <w:t>0.8</w:t>
            </w:r>
          </w:p>
        </w:tc>
      </w:tr>
      <w:tr w:rsidR="00CF04BC" w:rsidRPr="00B93493" w14:paraId="7C67F3E5" w14:textId="77777777" w:rsidTr="002E7F54">
        <w:trPr>
          <w:cantSplit/>
          <w:jc w:val="center"/>
        </w:trPr>
        <w:tc>
          <w:tcPr>
            <w:tcW w:w="5240" w:type="dxa"/>
          </w:tcPr>
          <w:p w14:paraId="538AEE09" w14:textId="77777777" w:rsidR="00CF04BC" w:rsidRPr="0074785C" w:rsidRDefault="00CF04BC" w:rsidP="0074785C">
            <w:pPr>
              <w:pStyle w:val="Tabletext"/>
              <w:jc w:val="left"/>
            </w:pPr>
            <w:r w:rsidRPr="0074785C">
              <w:t xml:space="preserve">Maritime radiocommunication </w:t>
            </w:r>
          </w:p>
        </w:tc>
        <w:tc>
          <w:tcPr>
            <w:tcW w:w="851" w:type="dxa"/>
          </w:tcPr>
          <w:p w14:paraId="13DAA9F0" w14:textId="77777777" w:rsidR="00CF04BC" w:rsidRPr="0074785C" w:rsidRDefault="00CF04BC" w:rsidP="002E7F54">
            <w:pPr>
              <w:pStyle w:val="Tabletext"/>
              <w:jc w:val="center"/>
            </w:pPr>
            <w:r w:rsidRPr="0074785C">
              <w:t>1</w:t>
            </w:r>
          </w:p>
        </w:tc>
        <w:tc>
          <w:tcPr>
            <w:tcW w:w="850" w:type="dxa"/>
          </w:tcPr>
          <w:p w14:paraId="46B6076C" w14:textId="77777777" w:rsidR="00CF04BC" w:rsidRPr="0074785C" w:rsidRDefault="00CF04BC" w:rsidP="002E7F54">
            <w:pPr>
              <w:pStyle w:val="Tabletext"/>
              <w:jc w:val="center"/>
            </w:pPr>
            <w:r w:rsidRPr="0074785C">
              <w:t>0.2</w:t>
            </w:r>
          </w:p>
        </w:tc>
        <w:tc>
          <w:tcPr>
            <w:tcW w:w="851" w:type="dxa"/>
          </w:tcPr>
          <w:p w14:paraId="50478CA8" w14:textId="77777777" w:rsidR="00CF04BC" w:rsidRPr="0074785C" w:rsidRDefault="00CF04BC" w:rsidP="002E7F54">
            <w:pPr>
              <w:pStyle w:val="Tabletext"/>
              <w:jc w:val="center"/>
            </w:pPr>
            <w:r w:rsidRPr="0074785C">
              <w:t>1</w:t>
            </w:r>
          </w:p>
        </w:tc>
        <w:tc>
          <w:tcPr>
            <w:tcW w:w="1000" w:type="dxa"/>
          </w:tcPr>
          <w:p w14:paraId="63EBDB60" w14:textId="77777777" w:rsidR="00CF04BC" w:rsidRPr="0074785C" w:rsidRDefault="00CF04BC" w:rsidP="002E7F54">
            <w:pPr>
              <w:pStyle w:val="Tabletext"/>
              <w:jc w:val="center"/>
            </w:pPr>
            <w:r w:rsidRPr="0074785C">
              <w:t>0.1</w:t>
            </w:r>
          </w:p>
        </w:tc>
        <w:tc>
          <w:tcPr>
            <w:tcW w:w="847" w:type="dxa"/>
          </w:tcPr>
          <w:p w14:paraId="6A4BE39D" w14:textId="77777777" w:rsidR="00CF04BC" w:rsidRPr="0074785C" w:rsidRDefault="00CF04BC" w:rsidP="002E7F54">
            <w:pPr>
              <w:pStyle w:val="Tabletext"/>
              <w:jc w:val="center"/>
            </w:pPr>
            <w:r w:rsidRPr="0074785C">
              <w:t>1</w:t>
            </w:r>
          </w:p>
        </w:tc>
      </w:tr>
      <w:tr w:rsidR="00CF04BC" w:rsidRPr="00B93493" w14:paraId="12F9A406" w14:textId="77777777" w:rsidTr="002E7F54">
        <w:trPr>
          <w:cantSplit/>
          <w:jc w:val="center"/>
        </w:trPr>
        <w:tc>
          <w:tcPr>
            <w:tcW w:w="5240" w:type="dxa"/>
          </w:tcPr>
          <w:p w14:paraId="3B048DAE" w14:textId="77777777" w:rsidR="00CF04BC" w:rsidRPr="0074785C" w:rsidRDefault="00CF04BC" w:rsidP="0074785C">
            <w:pPr>
              <w:pStyle w:val="Tabletext"/>
              <w:jc w:val="left"/>
            </w:pPr>
            <w:r w:rsidRPr="0074785C">
              <w:t>Earth station for FSS</w:t>
            </w:r>
          </w:p>
        </w:tc>
        <w:tc>
          <w:tcPr>
            <w:tcW w:w="851" w:type="dxa"/>
          </w:tcPr>
          <w:p w14:paraId="38BC1EDC" w14:textId="77777777" w:rsidR="00CF04BC" w:rsidRPr="0074785C" w:rsidRDefault="00CF04BC" w:rsidP="002E7F54">
            <w:pPr>
              <w:pStyle w:val="Tabletext"/>
              <w:jc w:val="center"/>
            </w:pPr>
            <w:r w:rsidRPr="0074785C">
              <w:t>4</w:t>
            </w:r>
          </w:p>
        </w:tc>
        <w:tc>
          <w:tcPr>
            <w:tcW w:w="850" w:type="dxa"/>
          </w:tcPr>
          <w:p w14:paraId="23F89ED0" w14:textId="77777777" w:rsidR="00CF04BC" w:rsidRPr="0074785C" w:rsidRDefault="00CF04BC" w:rsidP="002E7F54">
            <w:pPr>
              <w:pStyle w:val="Tabletext"/>
              <w:jc w:val="center"/>
            </w:pPr>
            <w:r w:rsidRPr="0074785C">
              <w:t>0.2</w:t>
            </w:r>
          </w:p>
        </w:tc>
        <w:tc>
          <w:tcPr>
            <w:tcW w:w="851" w:type="dxa"/>
          </w:tcPr>
          <w:p w14:paraId="13F15095" w14:textId="77777777" w:rsidR="00CF04BC" w:rsidRPr="0074785C" w:rsidRDefault="00CF04BC" w:rsidP="002E7F54">
            <w:pPr>
              <w:pStyle w:val="Tabletext"/>
              <w:jc w:val="center"/>
            </w:pPr>
            <w:r w:rsidRPr="0074785C">
              <w:t>1</w:t>
            </w:r>
          </w:p>
        </w:tc>
        <w:tc>
          <w:tcPr>
            <w:tcW w:w="1000" w:type="dxa"/>
          </w:tcPr>
          <w:p w14:paraId="2BAD0E64" w14:textId="77777777" w:rsidR="00CF04BC" w:rsidRPr="0074785C" w:rsidRDefault="00CF04BC" w:rsidP="002E7F54">
            <w:pPr>
              <w:pStyle w:val="Tabletext"/>
              <w:jc w:val="center"/>
            </w:pPr>
            <w:r w:rsidRPr="0074785C">
              <w:t>0.1</w:t>
            </w:r>
          </w:p>
        </w:tc>
        <w:tc>
          <w:tcPr>
            <w:tcW w:w="847" w:type="dxa"/>
          </w:tcPr>
          <w:p w14:paraId="290DD6E4" w14:textId="77777777" w:rsidR="00CF04BC" w:rsidRPr="0074785C" w:rsidRDefault="00CF04BC" w:rsidP="002E7F54">
            <w:pPr>
              <w:pStyle w:val="Tabletext"/>
              <w:jc w:val="center"/>
            </w:pPr>
            <w:r w:rsidRPr="0074785C">
              <w:t>0.2</w:t>
            </w:r>
          </w:p>
        </w:tc>
      </w:tr>
      <w:tr w:rsidR="00CF04BC" w:rsidRPr="00B93493" w14:paraId="47F4A4E2" w14:textId="77777777" w:rsidTr="002E7F54">
        <w:trPr>
          <w:cantSplit/>
          <w:jc w:val="center"/>
        </w:trPr>
        <w:tc>
          <w:tcPr>
            <w:tcW w:w="5240" w:type="dxa"/>
          </w:tcPr>
          <w:p w14:paraId="0E1640B1" w14:textId="77777777" w:rsidR="00CF04BC" w:rsidRPr="0074785C" w:rsidRDefault="00CF04BC" w:rsidP="0074785C">
            <w:pPr>
              <w:pStyle w:val="Tabletext"/>
              <w:jc w:val="left"/>
            </w:pPr>
            <w:r w:rsidRPr="0074785C">
              <w:t>Earth stations for other satellite services including feeder links</w:t>
            </w:r>
          </w:p>
        </w:tc>
        <w:tc>
          <w:tcPr>
            <w:tcW w:w="851" w:type="dxa"/>
          </w:tcPr>
          <w:p w14:paraId="06BC76DC" w14:textId="77777777" w:rsidR="00CF04BC" w:rsidRPr="0074785C" w:rsidRDefault="00CF04BC" w:rsidP="002E7F54">
            <w:pPr>
              <w:pStyle w:val="Tabletext"/>
              <w:jc w:val="center"/>
            </w:pPr>
            <w:r w:rsidRPr="0074785C">
              <w:t>1.4</w:t>
            </w:r>
          </w:p>
        </w:tc>
        <w:tc>
          <w:tcPr>
            <w:tcW w:w="850" w:type="dxa"/>
          </w:tcPr>
          <w:p w14:paraId="07287E03" w14:textId="77777777" w:rsidR="00CF04BC" w:rsidRPr="0074785C" w:rsidRDefault="00CF04BC" w:rsidP="002E7F54">
            <w:pPr>
              <w:pStyle w:val="Tabletext"/>
              <w:jc w:val="center"/>
            </w:pPr>
            <w:r w:rsidRPr="0074785C">
              <w:t>0.1</w:t>
            </w:r>
          </w:p>
        </w:tc>
        <w:tc>
          <w:tcPr>
            <w:tcW w:w="851" w:type="dxa"/>
          </w:tcPr>
          <w:p w14:paraId="3776F363" w14:textId="77777777" w:rsidR="00CF04BC" w:rsidRPr="0074785C" w:rsidRDefault="00CF04BC" w:rsidP="002E7F54">
            <w:pPr>
              <w:pStyle w:val="Tabletext"/>
              <w:jc w:val="center"/>
            </w:pPr>
            <w:r w:rsidRPr="0074785C">
              <w:t>1</w:t>
            </w:r>
          </w:p>
        </w:tc>
        <w:tc>
          <w:tcPr>
            <w:tcW w:w="1000" w:type="dxa"/>
          </w:tcPr>
          <w:p w14:paraId="6963DC94" w14:textId="77777777" w:rsidR="00CF04BC" w:rsidRPr="0074785C" w:rsidRDefault="00CF04BC" w:rsidP="002E7F54">
            <w:pPr>
              <w:pStyle w:val="Tabletext"/>
              <w:jc w:val="center"/>
            </w:pPr>
            <w:r w:rsidRPr="0074785C">
              <w:t>0.1</w:t>
            </w:r>
          </w:p>
        </w:tc>
        <w:tc>
          <w:tcPr>
            <w:tcW w:w="847" w:type="dxa"/>
          </w:tcPr>
          <w:p w14:paraId="3711FBC6" w14:textId="77777777" w:rsidR="00CF04BC" w:rsidRPr="0074785C" w:rsidRDefault="00CF04BC" w:rsidP="002E7F54">
            <w:pPr>
              <w:pStyle w:val="Tabletext"/>
              <w:jc w:val="center"/>
            </w:pPr>
            <w:r w:rsidRPr="0074785C">
              <w:t>0.2</w:t>
            </w:r>
          </w:p>
        </w:tc>
      </w:tr>
    </w:tbl>
    <w:p w14:paraId="0F6656A9" w14:textId="77777777" w:rsidR="00CF04BC" w:rsidRPr="00B93493" w:rsidRDefault="00CF04BC" w:rsidP="00CF04BC">
      <w:pPr>
        <w:pStyle w:val="Tablefin"/>
      </w:pPr>
    </w:p>
    <w:p w14:paraId="64173BBA" w14:textId="77777777" w:rsidR="00CF04BC" w:rsidRPr="00B93493" w:rsidRDefault="00CF04BC" w:rsidP="00CF04BC">
      <w:r w:rsidRPr="00B93493">
        <w:t xml:space="preserve">Coefficient </w:t>
      </w:r>
      <w:r w:rsidRPr="00B93493">
        <w:sym w:font="Symbol" w:char="F061"/>
      </w:r>
      <w:r w:rsidRPr="00B93493">
        <w:rPr>
          <w:vertAlign w:val="subscript"/>
        </w:rPr>
        <w:t>1</w:t>
      </w:r>
      <w:r w:rsidRPr="00B93493">
        <w:t xml:space="preserve"> is basically determined by two factors:</w:t>
      </w:r>
    </w:p>
    <w:p w14:paraId="6A5B4076" w14:textId="4E678CEB" w:rsidR="00CF04BC" w:rsidRPr="0074785C" w:rsidRDefault="0074785C" w:rsidP="0074785C">
      <w:pPr>
        <w:pStyle w:val="enumlev1"/>
      </w:pPr>
      <w:r>
        <w:t>–</w:t>
      </w:r>
      <w:r w:rsidR="00CF04BC" w:rsidRPr="0074785C">
        <w:tab/>
        <w:t>The commercial value of radio services. This factor is linked to the willingness of users and operators to pay for the right to provide services or use the services operated over a specific frequency.</w:t>
      </w:r>
    </w:p>
    <w:p w14:paraId="49C4CC4D" w14:textId="6B29C8E5" w:rsidR="00CF04BC" w:rsidRPr="0074785C" w:rsidRDefault="0074785C" w:rsidP="0074785C">
      <w:pPr>
        <w:pStyle w:val="enumlev1"/>
      </w:pPr>
      <w:r>
        <w:t>–</w:t>
      </w:r>
      <w:r w:rsidR="00CF04BC" w:rsidRPr="0074785C">
        <w:tab/>
        <w:t>The necessity of using less congested (usually – higher) frequency bands. Some radio services may be moved to higher frequencies as experience is gained or technology changes, thereby decreasing the loading of lower frequency bands. This is the economic lever which should encourage the usage of higher bands.</w:t>
      </w:r>
    </w:p>
    <w:p w14:paraId="1DDE9338" w14:textId="77777777" w:rsidR="00CF04BC" w:rsidRPr="00B93493" w:rsidRDefault="00CF04BC" w:rsidP="0074785C">
      <w:r w:rsidRPr="00B93493">
        <w:t xml:space="preserve">Coefficient </w:t>
      </w:r>
      <w:r w:rsidRPr="00B93493">
        <w:sym w:font="Symbol" w:char="F061"/>
      </w:r>
      <w:r w:rsidRPr="00B93493">
        <w:rPr>
          <w:vertAlign w:val="subscript"/>
        </w:rPr>
        <w:t>2</w:t>
      </w:r>
      <w:r w:rsidRPr="00B93493">
        <w:t xml:space="preserve"> takes into account a social factor. For those radio services, whose existence is vital for all groups of the population, including the most needy, this coefficient has a low value reflecting a truly social value or obligation on behalf of the administration.</w:t>
      </w:r>
    </w:p>
    <w:p w14:paraId="7EC29EBC" w14:textId="77777777" w:rsidR="00CF04BC" w:rsidRPr="00B93493" w:rsidRDefault="00CF04BC" w:rsidP="0074785C">
      <w:r w:rsidRPr="00B93493">
        <w:t xml:space="preserve">For example, for stations above 1 GHz, through which long-distance communications are provided, as well as for television broadcasting, the coefficient </w:t>
      </w:r>
      <w:r w:rsidRPr="00B93493">
        <w:sym w:font="Symbol" w:char="F061"/>
      </w:r>
      <w:r w:rsidRPr="00B93493">
        <w:rPr>
          <w:vertAlign w:val="subscript"/>
        </w:rPr>
        <w:t>2</w:t>
      </w:r>
      <w:r w:rsidRPr="00B93493">
        <w:rPr>
          <w:position w:val="-4"/>
        </w:rPr>
        <w:t xml:space="preserve"> </w:t>
      </w:r>
      <w:r w:rsidRPr="00B93493">
        <w:t xml:space="preserve">has a low value and for cellular communication, coefficient </w:t>
      </w:r>
      <w:r w:rsidRPr="00B93493">
        <w:sym w:font="Symbol" w:char="F061"/>
      </w:r>
      <w:r w:rsidRPr="00B93493">
        <w:rPr>
          <w:vertAlign w:val="subscript"/>
        </w:rPr>
        <w:t>2</w:t>
      </w:r>
      <w:r w:rsidRPr="00B93493">
        <w:t xml:space="preserve"> has a higher value.</w:t>
      </w:r>
    </w:p>
    <w:p w14:paraId="0B5098DF" w14:textId="77777777" w:rsidR="00CF04BC" w:rsidRPr="00B93493" w:rsidRDefault="00CF04BC" w:rsidP="0074785C">
      <w:r w:rsidRPr="00B93493">
        <w:t xml:space="preserve">Coefficient </w:t>
      </w:r>
      <w:r w:rsidRPr="00B93493">
        <w:sym w:font="Symbol" w:char="F061"/>
      </w:r>
      <w:r w:rsidRPr="00B93493">
        <w:rPr>
          <w:vertAlign w:val="subscript"/>
        </w:rPr>
        <w:t>3</w:t>
      </w:r>
      <w:r w:rsidRPr="00B93493">
        <w:t xml:space="preserve"> takes into account features of site location in urban and village conditions. In village conditions, where the density of the population is low and the level of the incomes is also low, the commercial value of communication services will also be low, at the same time technological costs for providing these services will also be high. Therefore</w:t>
      </w:r>
      <w:r>
        <w:rPr>
          <w:rFonts w:hint="eastAsia"/>
          <w:lang w:eastAsia="zh-CN"/>
        </w:rPr>
        <w:t>,</w:t>
      </w:r>
      <w:r w:rsidRPr="00B93493">
        <w:t xml:space="preserve"> with the purpose of support of the telecommunication operators and services as well as for encouraging development of radio communication services this can be a lower coefficient </w:t>
      </w:r>
      <w:r w:rsidRPr="00B93493">
        <w:sym w:font="Symbol" w:char="F061"/>
      </w:r>
      <w:r w:rsidRPr="00B93493">
        <w:rPr>
          <w:vertAlign w:val="subscript"/>
        </w:rPr>
        <w:t>3</w:t>
      </w:r>
      <w:r w:rsidRPr="00B93493">
        <w:t>, while in urban districts it may be considerably higher.</w:t>
      </w:r>
    </w:p>
    <w:p w14:paraId="2E055F2E" w14:textId="77777777" w:rsidR="00CF04BC" w:rsidRPr="00B93493" w:rsidRDefault="00CF04BC" w:rsidP="0074785C">
      <w:r w:rsidRPr="00B93493">
        <w:t xml:space="preserve">Coefficient </w:t>
      </w:r>
      <w:r w:rsidRPr="00B93493">
        <w:sym w:font="Symbol" w:char="F061"/>
      </w:r>
      <w:r w:rsidRPr="00B93493">
        <w:rPr>
          <w:vertAlign w:val="subscript"/>
        </w:rPr>
        <w:t>4</w:t>
      </w:r>
      <w:r w:rsidRPr="00B93493">
        <w:t xml:space="preserve"> is determined by the complexity of spectrum management functions performed. This coefficient is usually the highest for mobile services. It is here that it is required to carry out the function of radio determination of mobile objects. Likewise for television broadcasting, it is required to determine with a high degree of accuracy a number of relevant parameters.</w:t>
      </w:r>
    </w:p>
    <w:p w14:paraId="1F213C15" w14:textId="2C451EDA" w:rsidR="00CF04BC" w:rsidRPr="00B93493" w:rsidRDefault="00CF04BC" w:rsidP="0074785C">
      <w:r w:rsidRPr="00B93493">
        <w:t xml:space="preserve">Another weighting coefficient in equation (20) is </w:t>
      </w:r>
      <w:r w:rsidRPr="00B93493">
        <w:sym w:font="Symbol" w:char="F062"/>
      </w:r>
      <w:r w:rsidRPr="00B93493">
        <w:rPr>
          <w:i/>
          <w:iCs/>
          <w:vertAlign w:val="subscript"/>
        </w:rPr>
        <w:t>i</w:t>
      </w:r>
      <w:r w:rsidRPr="00B93493">
        <w:t xml:space="preserve">. This coefficient determines exclusiveness of the frequency assignment. If the given site of the spectrum is used on an exclusive basis, then </w:t>
      </w:r>
      <w:r w:rsidRPr="00B93493">
        <w:sym w:font="Symbol" w:char="F062"/>
      </w:r>
      <w:r w:rsidRPr="00B93493">
        <w:rPr>
          <w:i/>
          <w:iCs/>
          <w:vertAlign w:val="subscript"/>
        </w:rPr>
        <w:t>i</w:t>
      </w:r>
      <w:r w:rsidRPr="00B93493">
        <w:t> </w:t>
      </w:r>
      <w:r w:rsidR="0074785C">
        <w:t>=</w:t>
      </w:r>
      <w:r w:rsidRPr="00B93493">
        <w:t xml:space="preserve"> 1. With sharing </w:t>
      </w:r>
      <w:r w:rsidRPr="00B93493">
        <w:sym w:font="Symbol" w:char="F062"/>
      </w:r>
      <w:r w:rsidRPr="00B93493">
        <w:rPr>
          <w:i/>
          <w:iCs/>
          <w:vertAlign w:val="subscript"/>
        </w:rPr>
        <w:t>i</w:t>
      </w:r>
      <w:r w:rsidRPr="00B93493">
        <w:t xml:space="preserve"> varies within the limits from 0 up to 1 depending on conditions of sharing. Sharing may be on the basis of territorial separation that can result in reducing actual service area etc.</w:t>
      </w:r>
    </w:p>
    <w:p w14:paraId="590AB956" w14:textId="77777777" w:rsidR="00CF04BC" w:rsidRPr="0074785C" w:rsidRDefault="00CF04BC" w:rsidP="0074785C">
      <w:pPr>
        <w:pStyle w:val="Heading3"/>
        <w:rPr>
          <w:rFonts w:eastAsia="SimSun"/>
        </w:rPr>
      </w:pPr>
      <w:bookmarkStart w:id="1784" w:name="_Toc291852916"/>
      <w:bookmarkStart w:id="1785" w:name="_Toc462234070"/>
      <w:bookmarkStart w:id="1786" w:name="_Toc289868839"/>
      <w:bookmarkStart w:id="1787" w:name="_Toc392515902"/>
      <w:bookmarkStart w:id="1788" w:name="_Toc289868999"/>
      <w:bookmarkStart w:id="1789" w:name="_Toc518394229"/>
      <w:bookmarkStart w:id="1790" w:name="_Toc289933353"/>
      <w:bookmarkStart w:id="1791" w:name="_Toc289932307"/>
      <w:bookmarkStart w:id="1792" w:name="_Toc182391548"/>
      <w:bookmarkStart w:id="1793" w:name="_Toc182391959"/>
      <w:r w:rsidRPr="0074785C">
        <w:rPr>
          <w:rFonts w:eastAsia="SimSun"/>
        </w:rPr>
        <w:t>4.6.10</w:t>
      </w:r>
      <w:r w:rsidRPr="0074785C">
        <w:rPr>
          <w:rFonts w:eastAsia="SimSun"/>
        </w:rPr>
        <w:tab/>
        <w:t>Determination of the whole value of the used spectral resource</w:t>
      </w:r>
      <w:bookmarkEnd w:id="1784"/>
      <w:bookmarkEnd w:id="1785"/>
      <w:bookmarkEnd w:id="1786"/>
      <w:bookmarkEnd w:id="1787"/>
      <w:bookmarkEnd w:id="1788"/>
      <w:bookmarkEnd w:id="1789"/>
      <w:bookmarkEnd w:id="1790"/>
      <w:bookmarkEnd w:id="1791"/>
      <w:bookmarkEnd w:id="1792"/>
      <w:bookmarkEnd w:id="1793"/>
    </w:p>
    <w:p w14:paraId="0B74EB91" w14:textId="77777777" w:rsidR="00CF04BC" w:rsidRPr="00B93493" w:rsidRDefault="00CF04BC" w:rsidP="0074785C">
      <w:r w:rsidRPr="00B93493">
        <w:t xml:space="preserve">Thus, with the help of weighting coefficients </w:t>
      </w:r>
      <w:r w:rsidRPr="00B93493">
        <w:rPr>
          <w:i/>
          <w:iCs/>
        </w:rPr>
        <w:t>b</w:t>
      </w:r>
      <w:r w:rsidRPr="00B93493">
        <w:rPr>
          <w:i/>
          <w:iCs/>
          <w:vertAlign w:val="subscript"/>
        </w:rPr>
        <w:t>j</w:t>
      </w:r>
      <w:r w:rsidRPr="00B93493">
        <w:t xml:space="preserve">, </w:t>
      </w:r>
      <w:r w:rsidRPr="00B93493">
        <w:sym w:font="Symbol" w:char="F061"/>
      </w:r>
      <w:r w:rsidRPr="00B93493">
        <w:rPr>
          <w:i/>
          <w:iCs/>
          <w:vertAlign w:val="subscript"/>
        </w:rPr>
        <w:t>i</w:t>
      </w:r>
      <w:r w:rsidRPr="00B93493">
        <w:t xml:space="preserve"> and </w:t>
      </w:r>
      <w:r w:rsidRPr="00B93493">
        <w:sym w:font="Symbol" w:char="F062"/>
      </w:r>
      <w:r w:rsidRPr="00B93493">
        <w:rPr>
          <w:i/>
          <w:iCs/>
          <w:vertAlign w:val="subscript"/>
        </w:rPr>
        <w:t>i</w:t>
      </w:r>
      <w:r w:rsidRPr="00B93493">
        <w:t xml:space="preserve">, in accordance with equation (20), it is possible to determine (in view of the various factors) spectral resource </w:t>
      </w:r>
      <w:r w:rsidRPr="00B93493">
        <w:rPr>
          <w:i/>
        </w:rPr>
        <w:t>W</w:t>
      </w:r>
      <w:r w:rsidRPr="00B93493">
        <w:rPr>
          <w:i/>
          <w:vertAlign w:val="subscript"/>
        </w:rPr>
        <w:t>i</w:t>
      </w:r>
      <w:r w:rsidRPr="00B93493">
        <w:t xml:space="preserve"> actually used for each frequency assignment. Then it is possible to determine the whole value of spectral resource </w:t>
      </w:r>
      <w:r w:rsidRPr="00B93493">
        <w:rPr>
          <w:i/>
        </w:rPr>
        <w:t>W</w:t>
      </w:r>
      <w:r w:rsidRPr="00B93493">
        <w:t xml:space="preserve"> used in the country, according to the equation:</w:t>
      </w:r>
    </w:p>
    <w:p w14:paraId="1F7DCC8E" w14:textId="77777777" w:rsidR="00CF04BC" w:rsidRPr="00B93493" w:rsidRDefault="00CF04BC" w:rsidP="00CF04BC">
      <w:pPr>
        <w:pStyle w:val="Equation"/>
      </w:pPr>
      <w:r w:rsidRPr="00B93493">
        <w:rPr>
          <w:i/>
        </w:rPr>
        <w:tab/>
      </w:r>
      <w:r w:rsidRPr="00B93493">
        <w:rPr>
          <w:i/>
        </w:rPr>
        <w:tab/>
      </w:r>
      <w:r w:rsidRPr="00B93493">
        <w:rPr>
          <w:i/>
          <w:position w:val="-36"/>
        </w:rPr>
        <w:object w:dxaOrig="1099" w:dyaOrig="782" w14:anchorId="233CEA5C">
          <v:shape id="_x0000_i1028" type="#_x0000_t75" style="width:55.3pt;height:38.6pt" o:ole="">
            <v:imagedata r:id="rId31" o:title=""/>
          </v:shape>
          <o:OLEObject Type="Embed" ProgID="Equation.3" ShapeID="_x0000_i1028" DrawAspect="Content" ObjectID="_1812968310" r:id="rId32"/>
        </w:object>
      </w:r>
      <w:r w:rsidRPr="00B93493">
        <w:rPr>
          <w:i/>
          <w:position w:val="-30"/>
        </w:rPr>
        <w:t> </w:t>
      </w:r>
      <w:r w:rsidRPr="00B93493">
        <w:t xml:space="preserve">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r w:rsidRPr="00B93493">
        <w:tab/>
        <w:t>(26)</w:t>
      </w:r>
    </w:p>
    <w:p w14:paraId="381D23E0" w14:textId="77777777" w:rsidR="00CF04BC" w:rsidRPr="00B93493" w:rsidRDefault="00CF04BC" w:rsidP="00CF04BC">
      <w:pPr>
        <w:rPr>
          <w:rFonts w:eastAsia="SimSun"/>
          <w:lang w:eastAsia="zh-CN"/>
        </w:rPr>
      </w:pPr>
      <w:r w:rsidRPr="00B93493">
        <w:rPr>
          <w:rFonts w:eastAsia="SimSun"/>
          <w:lang w:eastAsia="zh-CN"/>
        </w:rPr>
        <w:t>where:</w:t>
      </w:r>
    </w:p>
    <w:p w14:paraId="50F61C5E" w14:textId="77777777" w:rsidR="00CF04BC" w:rsidRPr="00B93493" w:rsidRDefault="00CF04BC" w:rsidP="00CF04BC">
      <w:pPr>
        <w:pStyle w:val="Equationlegend"/>
      </w:pPr>
      <w:r w:rsidRPr="00B93493">
        <w:rPr>
          <w:i/>
        </w:rPr>
        <w:tab/>
        <w:t>W</w:t>
      </w:r>
      <w:r w:rsidRPr="00B93493">
        <w:rPr>
          <w:i/>
          <w:vertAlign w:val="subscript"/>
        </w:rPr>
        <w:t xml:space="preserve">i </w:t>
      </w:r>
      <w:r w:rsidRPr="00B93493">
        <w:t>:</w:t>
      </w:r>
      <w:r w:rsidRPr="00B93493">
        <w:tab/>
        <w:t xml:space="preserve">spectral resource used by </w:t>
      </w:r>
      <w:r w:rsidRPr="00B93493">
        <w:rPr>
          <w:i/>
        </w:rPr>
        <w:t>i</w:t>
      </w:r>
      <w:r w:rsidRPr="00B93493">
        <w:t>-th frequency assignment</w:t>
      </w:r>
    </w:p>
    <w:p w14:paraId="0CAB33BE" w14:textId="77777777" w:rsidR="00CF04BC" w:rsidRPr="00B93493" w:rsidRDefault="00CF04BC" w:rsidP="00CF04BC">
      <w:pPr>
        <w:pStyle w:val="Equationlegend"/>
      </w:pPr>
      <w:r w:rsidRPr="00B93493">
        <w:rPr>
          <w:i/>
          <w:iCs/>
        </w:rPr>
        <w:tab/>
        <w:t xml:space="preserve">n </w:t>
      </w:r>
      <w:r w:rsidRPr="00B93493">
        <w:t>:</w:t>
      </w:r>
      <w:r w:rsidRPr="00B93493">
        <w:tab/>
        <w:t>overall number of frequency assignments registered in the national Spectrum Management Database.</w:t>
      </w:r>
    </w:p>
    <w:p w14:paraId="1EECC197" w14:textId="77777777" w:rsidR="00CF04BC" w:rsidRPr="0074785C" w:rsidRDefault="00CF04BC" w:rsidP="0074785C">
      <w:pPr>
        <w:pStyle w:val="Heading3"/>
        <w:rPr>
          <w:rFonts w:eastAsia="SimSun"/>
        </w:rPr>
      </w:pPr>
      <w:bookmarkStart w:id="1794" w:name="_Toc289868840"/>
      <w:bookmarkStart w:id="1795" w:name="_Toc289869000"/>
      <w:bookmarkStart w:id="1796" w:name="_Toc291852917"/>
      <w:bookmarkStart w:id="1797" w:name="_Toc392515903"/>
      <w:bookmarkStart w:id="1798" w:name="_Toc518394230"/>
      <w:bookmarkStart w:id="1799" w:name="_Toc462234071"/>
      <w:bookmarkStart w:id="1800" w:name="_Toc289932308"/>
      <w:bookmarkStart w:id="1801" w:name="_Toc289933354"/>
      <w:bookmarkStart w:id="1802" w:name="_Toc182391549"/>
      <w:bookmarkStart w:id="1803" w:name="_Toc182391960"/>
      <w:r w:rsidRPr="0074785C">
        <w:rPr>
          <w:rFonts w:eastAsia="SimSun"/>
        </w:rPr>
        <w:t>4.6.11</w:t>
      </w:r>
      <w:r w:rsidRPr="0074785C">
        <w:rPr>
          <w:rFonts w:eastAsia="SimSun"/>
        </w:rPr>
        <w:tab/>
        <w:t>Price for the qualified unit of the used spectral resource</w:t>
      </w:r>
      <w:bookmarkEnd w:id="1794"/>
      <w:bookmarkEnd w:id="1795"/>
      <w:bookmarkEnd w:id="1796"/>
      <w:bookmarkEnd w:id="1797"/>
      <w:bookmarkEnd w:id="1798"/>
      <w:bookmarkEnd w:id="1799"/>
      <w:bookmarkEnd w:id="1800"/>
      <w:bookmarkEnd w:id="1801"/>
      <w:bookmarkEnd w:id="1802"/>
      <w:bookmarkEnd w:id="1803"/>
    </w:p>
    <w:p w14:paraId="7BCB6EDB" w14:textId="7963B2C5" w:rsidR="00CF04BC" w:rsidRPr="00B93493" w:rsidRDefault="00CF04BC" w:rsidP="0074785C">
      <w:r w:rsidRPr="00B93493">
        <w:t>On the basis of the equations (17)-(19) the total amount of annual payment can be determined which should be received from all users of all or part of the spectral resource. This could be done for all users combined or for individual services such as mobile cellular or broadcasting. On the basis of the equations (20)</w:t>
      </w:r>
      <w:r w:rsidR="008D295D">
        <w:t xml:space="preserve"> to </w:t>
      </w:r>
      <w:r w:rsidRPr="00B93493">
        <w:t>(26) the whole value of the annually used spectral resource in the country can be determined.</w:t>
      </w:r>
    </w:p>
    <w:p w14:paraId="4668BFD2" w14:textId="77777777" w:rsidR="00CF04BC" w:rsidRPr="00B93493" w:rsidRDefault="00CF04BC" w:rsidP="0074785C">
      <w:r w:rsidRPr="00B93493">
        <w:t xml:space="preserve">Then it is possible to determine the price of </w:t>
      </w:r>
      <w:r w:rsidRPr="00B93493">
        <w:sym w:font="Symbol" w:char="F044"/>
      </w:r>
      <w:r w:rsidRPr="00B93493">
        <w:rPr>
          <w:rFonts w:ascii="Tms Rmn" w:hAnsi="Tms Rmn"/>
          <w:sz w:val="6"/>
        </w:rPr>
        <w:t> </w:t>
      </w:r>
      <w:r w:rsidRPr="00B93493">
        <w:rPr>
          <w:i/>
          <w:iCs/>
        </w:rPr>
        <w:t>C</w:t>
      </w:r>
      <w:r w:rsidRPr="00B93493">
        <w:rPr>
          <w:i/>
          <w:iCs/>
          <w:vertAlign w:val="subscript"/>
        </w:rPr>
        <w:t>an</w:t>
      </w:r>
      <w:r w:rsidRPr="00B93493">
        <w:t xml:space="preserve"> for a qualified unit of the spectral resource:</w:t>
      </w:r>
    </w:p>
    <w:p w14:paraId="3B93A34C" w14:textId="77777777" w:rsidR="00CF04BC" w:rsidRPr="00B93493" w:rsidRDefault="00CF04BC" w:rsidP="00CF04BC">
      <w:pPr>
        <w:pStyle w:val="Blanc"/>
      </w:pPr>
    </w:p>
    <w:p w14:paraId="29EC6371" w14:textId="7D474B45" w:rsidR="00CF04BC" w:rsidRPr="00B93493" w:rsidRDefault="00CF04BC" w:rsidP="00CF04BC">
      <w:pPr>
        <w:pStyle w:val="Equation"/>
      </w:pPr>
      <w:r w:rsidRPr="00B93493">
        <w:tab/>
      </w:r>
      <w:r w:rsidRPr="00B93493">
        <w:rPr>
          <w:rFonts w:ascii="Symbol" w:hAnsi="Symbol"/>
        </w:rPr>
        <w:tab/>
      </w:r>
      <w:r w:rsidR="005B1526" w:rsidRPr="00B93493">
        <w:rPr>
          <w:position w:val="-12"/>
        </w:rPr>
        <w:object w:dxaOrig="1781" w:dyaOrig="391" w14:anchorId="72F79C1E">
          <v:shape id="_x0000_i1029" type="#_x0000_t75" style="width:1in;height:15.55pt" o:ole="">
            <v:imagedata r:id="rId33" o:title=""/>
          </v:shape>
          <o:OLEObject Type="Embed" ProgID="Equation.3" ShapeID="_x0000_i1029" DrawAspect="Content" ObjectID="_1812968311" r:id="rId34"/>
        </w:object>
      </w:r>
      <w:r w:rsidRPr="00B93493">
        <w:t xml:space="preserve">        units of a national currency/(MHz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r w:rsidRPr="00B93493">
        <w:tab/>
        <w:t>(27)</w:t>
      </w:r>
    </w:p>
    <w:p w14:paraId="6CAFAECE" w14:textId="77777777" w:rsidR="00CF04BC" w:rsidRPr="00B93493" w:rsidRDefault="00CF04BC" w:rsidP="00CF04BC">
      <w:r w:rsidRPr="00B93493">
        <w:t>where:</w:t>
      </w:r>
    </w:p>
    <w:p w14:paraId="2AD1FCFD" w14:textId="134CAFB0" w:rsidR="00CF04BC" w:rsidRPr="00B93493" w:rsidRDefault="00CF04BC" w:rsidP="00CF04BC">
      <w:pPr>
        <w:pStyle w:val="Equationlegend"/>
      </w:pPr>
      <w:r w:rsidRPr="00B93493">
        <w:rPr>
          <w:i/>
        </w:rPr>
        <w:tab/>
        <w:t>L</w:t>
      </w:r>
      <w:r w:rsidR="0074785C">
        <w:rPr>
          <w:i/>
        </w:rPr>
        <w:t xml:space="preserve"> </w:t>
      </w:r>
      <w:r w:rsidRPr="00B93493">
        <w:t>:</w:t>
      </w:r>
      <w:r w:rsidRPr="00B93493">
        <w:tab/>
        <w:t>adjustment factor which takes into account possible changes in prices/costs in the country for the next fiscal year.</w:t>
      </w:r>
    </w:p>
    <w:p w14:paraId="54E33BF8" w14:textId="77777777" w:rsidR="00CF04BC" w:rsidRPr="0074785C" w:rsidRDefault="00CF04BC" w:rsidP="0074785C">
      <w:pPr>
        <w:pStyle w:val="Heading3"/>
        <w:rPr>
          <w:rFonts w:eastAsia="SimSun"/>
        </w:rPr>
      </w:pPr>
      <w:bookmarkStart w:id="1804" w:name="_Toc289933355"/>
      <w:bookmarkStart w:id="1805" w:name="_Toc289869001"/>
      <w:bookmarkStart w:id="1806" w:name="_Toc462234072"/>
      <w:bookmarkStart w:id="1807" w:name="_Toc291852918"/>
      <w:bookmarkStart w:id="1808" w:name="_Toc518394231"/>
      <w:bookmarkStart w:id="1809" w:name="_Toc289868841"/>
      <w:bookmarkStart w:id="1810" w:name="_Toc392515904"/>
      <w:bookmarkStart w:id="1811" w:name="_Toc289932309"/>
      <w:bookmarkStart w:id="1812" w:name="_Toc182391550"/>
      <w:bookmarkStart w:id="1813" w:name="_Toc182391961"/>
      <w:r w:rsidRPr="0074785C">
        <w:rPr>
          <w:rFonts w:eastAsia="SimSun"/>
        </w:rPr>
        <w:t>4.6.12</w:t>
      </w:r>
      <w:r w:rsidRPr="0074785C">
        <w:rPr>
          <w:rFonts w:eastAsia="SimSun"/>
        </w:rPr>
        <w:tab/>
        <w:t>Annual fees for particular frequency assignment</w:t>
      </w:r>
      <w:bookmarkEnd w:id="1804"/>
      <w:bookmarkEnd w:id="1805"/>
      <w:bookmarkEnd w:id="1806"/>
      <w:bookmarkEnd w:id="1807"/>
      <w:bookmarkEnd w:id="1808"/>
      <w:bookmarkEnd w:id="1809"/>
      <w:bookmarkEnd w:id="1810"/>
      <w:bookmarkEnd w:id="1811"/>
      <w:bookmarkEnd w:id="1812"/>
      <w:bookmarkEnd w:id="1813"/>
    </w:p>
    <w:p w14:paraId="2C806C91" w14:textId="77777777" w:rsidR="00CF04BC" w:rsidRPr="00B93493" w:rsidRDefault="00CF04BC" w:rsidP="0074785C">
      <w:r w:rsidRPr="00B93493">
        <w:t xml:space="preserve">According to equation (27) the price </w:t>
      </w:r>
      <w:r w:rsidRPr="00B93493">
        <w:sym w:font="Symbol" w:char="F044"/>
      </w:r>
      <w:r w:rsidRPr="00B93493">
        <w:rPr>
          <w:rFonts w:ascii="Tms Rmn" w:hAnsi="Tms Rmn"/>
          <w:sz w:val="6"/>
        </w:rPr>
        <w:t> </w:t>
      </w:r>
      <w:r w:rsidRPr="00B93493">
        <w:rPr>
          <w:i/>
          <w:iCs/>
        </w:rPr>
        <w:t>C</w:t>
      </w:r>
      <w:r w:rsidRPr="00B93493">
        <w:rPr>
          <w:i/>
          <w:iCs/>
          <w:vertAlign w:val="subscript"/>
        </w:rPr>
        <w:t>an</w:t>
      </w:r>
      <w:r w:rsidRPr="00B93493">
        <w:t xml:space="preserve"> for the qualified unit of the spectral resource is determined. Equation (20) gives the value of the spectral resource </w:t>
      </w:r>
      <w:r w:rsidRPr="00B93493">
        <w:rPr>
          <w:i/>
        </w:rPr>
        <w:t>W</w:t>
      </w:r>
      <w:r w:rsidRPr="00B93493">
        <w:rPr>
          <w:i/>
          <w:vertAlign w:val="subscript"/>
        </w:rPr>
        <w:t>i</w:t>
      </w:r>
      <w:r w:rsidRPr="00B93493">
        <w:t xml:space="preserve"> used for a particular </w:t>
      </w:r>
      <w:r w:rsidRPr="00B93493">
        <w:rPr>
          <w:i/>
        </w:rPr>
        <w:t>i</w:t>
      </w:r>
      <w:r w:rsidRPr="00B93493">
        <w:t xml:space="preserve">-th frequency assignment. Based on this, the amount of the annual payment </w:t>
      </w:r>
      <w:r w:rsidRPr="00B93493">
        <w:rPr>
          <w:i/>
        </w:rPr>
        <w:t>C</w:t>
      </w:r>
      <w:r w:rsidRPr="00B93493">
        <w:rPr>
          <w:i/>
          <w:vertAlign w:val="subscript"/>
        </w:rPr>
        <w:t>i</w:t>
      </w:r>
      <w:r w:rsidRPr="00B93493">
        <w:t xml:space="preserve"> from the specific user of the spectrum for this frequency assignment will be determined as:</w:t>
      </w:r>
    </w:p>
    <w:p w14:paraId="55D1B77D" w14:textId="77777777" w:rsidR="00CF04BC" w:rsidRPr="00B93493" w:rsidRDefault="00CF04BC" w:rsidP="00CF04BC">
      <w:pPr>
        <w:pStyle w:val="Blanc"/>
      </w:pPr>
    </w:p>
    <w:p w14:paraId="697914D1" w14:textId="77777777" w:rsidR="00CF04BC" w:rsidRPr="00B93493" w:rsidRDefault="00CF04BC" w:rsidP="00CF04BC">
      <w:pPr>
        <w:pStyle w:val="Equation"/>
      </w:pPr>
      <w:r w:rsidRPr="00B93493">
        <w:tab/>
      </w:r>
      <w:r w:rsidRPr="00B93493">
        <w:tab/>
      </w:r>
      <w:r w:rsidRPr="00B93493">
        <w:rPr>
          <w:i/>
          <w:iCs/>
        </w:rPr>
        <w:t>C</w:t>
      </w:r>
      <w:r w:rsidRPr="00B93493">
        <w:rPr>
          <w:i/>
          <w:iCs/>
          <w:vertAlign w:val="subscript"/>
        </w:rPr>
        <w:t>i</w:t>
      </w:r>
      <w:r w:rsidRPr="00B93493">
        <w:t xml:space="preserve"> </w:t>
      </w:r>
      <w:r w:rsidRPr="00B93493">
        <w:rPr>
          <w:rFonts w:ascii="Symbol" w:hAnsi="Symbol"/>
        </w:rPr>
        <w:t></w:t>
      </w:r>
      <w:r w:rsidRPr="00B93493">
        <w:t xml:space="preserve"> </w:t>
      </w:r>
      <w:r w:rsidRPr="00B93493">
        <w:sym w:font="Symbol" w:char="F044"/>
      </w:r>
      <w:r w:rsidRPr="00B93493">
        <w:rPr>
          <w:rFonts w:ascii="Tms Rmn" w:hAnsi="Tms Rmn"/>
          <w:sz w:val="6"/>
        </w:rPr>
        <w:t> </w:t>
      </w:r>
      <w:r w:rsidRPr="00B93493">
        <w:rPr>
          <w:i/>
          <w:iCs/>
        </w:rPr>
        <w:t>C</w:t>
      </w:r>
      <w:r w:rsidRPr="00B93493">
        <w:rPr>
          <w:i/>
          <w:iCs/>
          <w:vertAlign w:val="subscript"/>
        </w:rPr>
        <w:t>an</w:t>
      </w:r>
      <w:r w:rsidRPr="00B93493">
        <w:t xml:space="preserve"> </w:t>
      </w:r>
      <w:r w:rsidRPr="00B93493">
        <w:fldChar w:fldCharType="begin"/>
      </w:r>
      <w:r w:rsidRPr="00B93493">
        <w:instrText>SYMBOL 215 \f "Symbol" \s 14</w:instrText>
      </w:r>
      <w:r w:rsidRPr="00B93493">
        <w:fldChar w:fldCharType="separate"/>
      </w:r>
      <w:r w:rsidRPr="00B93493">
        <w:t>×</w:t>
      </w:r>
      <w:r w:rsidRPr="00B93493">
        <w:fldChar w:fldCharType="end"/>
      </w:r>
      <w:r w:rsidRPr="00B93493">
        <w:t xml:space="preserve"> </w:t>
      </w:r>
      <w:r w:rsidRPr="00B93493">
        <w:rPr>
          <w:i/>
          <w:iCs/>
        </w:rPr>
        <w:t>W</w:t>
      </w:r>
      <w:r w:rsidRPr="00B93493">
        <w:rPr>
          <w:i/>
          <w:iCs/>
          <w:vertAlign w:val="subscript"/>
        </w:rPr>
        <w:t>i</w:t>
      </w:r>
      <w:r w:rsidRPr="00B93493">
        <w:tab/>
        <w:t>(28)</w:t>
      </w:r>
    </w:p>
    <w:p w14:paraId="65209108" w14:textId="77777777" w:rsidR="00CF04BC" w:rsidRPr="00B93493" w:rsidRDefault="00CF04BC" w:rsidP="00CF04BC">
      <w:r w:rsidRPr="00B93493">
        <w:t>If the particular radiocommunication operator has several frequency assignments, the payment for each assignment is determined as above and then they are summated in relation to all operator’s frequency assignments.</w:t>
      </w:r>
    </w:p>
    <w:p w14:paraId="2D68CA75" w14:textId="77777777" w:rsidR="00CF04BC" w:rsidRPr="0074785C" w:rsidRDefault="00CF04BC" w:rsidP="0074785C">
      <w:pPr>
        <w:pStyle w:val="Heading2"/>
      </w:pPr>
      <w:bookmarkStart w:id="1814" w:name="_Toc289932310"/>
      <w:bookmarkStart w:id="1815" w:name="_Toc291852919"/>
      <w:bookmarkStart w:id="1816" w:name="_Toc462234073"/>
      <w:bookmarkStart w:id="1817" w:name="_Toc289869002"/>
      <w:bookmarkStart w:id="1818" w:name="_Toc289868842"/>
      <w:bookmarkStart w:id="1819" w:name="_Toc392515905"/>
      <w:bookmarkStart w:id="1820" w:name="_Toc289933356"/>
      <w:bookmarkStart w:id="1821" w:name="_Toc518394232"/>
      <w:bookmarkStart w:id="1822" w:name="_Toc182391551"/>
      <w:bookmarkStart w:id="1823" w:name="_Toc182391962"/>
      <w:bookmarkStart w:id="1824" w:name="_Toc201822288"/>
      <w:r w:rsidRPr="0074785C">
        <w:t>4.7</w:t>
      </w:r>
      <w:r w:rsidRPr="0074785C">
        <w:tab/>
        <w:t>Procedures and examples of used spectral resource calculations in application to different radio services</w:t>
      </w:r>
      <w:bookmarkEnd w:id="1814"/>
      <w:bookmarkEnd w:id="1815"/>
      <w:bookmarkEnd w:id="1816"/>
      <w:bookmarkEnd w:id="1817"/>
      <w:bookmarkEnd w:id="1818"/>
      <w:bookmarkEnd w:id="1819"/>
      <w:bookmarkEnd w:id="1820"/>
      <w:bookmarkEnd w:id="1821"/>
      <w:bookmarkEnd w:id="1822"/>
      <w:bookmarkEnd w:id="1823"/>
      <w:bookmarkEnd w:id="1824"/>
    </w:p>
    <w:p w14:paraId="282BA938" w14:textId="77777777" w:rsidR="00CF04BC" w:rsidRPr="00B93493" w:rsidRDefault="00CF04BC" w:rsidP="0074785C">
      <w:r w:rsidRPr="00B93493">
        <w:t xml:space="preserve">The formulas used to calculate the spectrum fees usually reflect certain characteristics which are directly related to the service. For instance, there are some basic parameters like the type of service, bandwidth and frequency band. In addition, it would be suitable to include other parameters, for example a distance factor would be useful to promote an appropriate use of the bands according to propagation considerations. Another convenient parameter to include would be a congestion factor which reflects the opportunity cost of the resource. </w:t>
      </w:r>
    </w:p>
    <w:p w14:paraId="2E07A475" w14:textId="77777777" w:rsidR="00CF04BC" w:rsidRPr="00B93493" w:rsidRDefault="00CF04BC" w:rsidP="0074785C">
      <w:r w:rsidRPr="00B93493">
        <w:t>Moreover, for the purposes of fee calculations it is much more important to provide universal procedures to guarantee equal conditions for all users belonging to one group (by radio service or its particular application) rather than to have a high accuracy of technical parameter calculations.</w:t>
      </w:r>
    </w:p>
    <w:p w14:paraId="763CF18B" w14:textId="77777777" w:rsidR="00CF04BC" w:rsidRPr="00B93493" w:rsidRDefault="00CF04BC" w:rsidP="0074785C">
      <w:r w:rsidRPr="00240583">
        <w:t>However, depending on the availability of automated spectrum management systems (see Recommendation ITU-R SM.1370), the administ</w:t>
      </w:r>
      <w:r w:rsidRPr="00B93493">
        <w:t>rations, in their objective of promoting the efficient use of spectrum, may include factors within the formulas for calculating spectrum fees that drive to such efficiency and reflect their opportunity cost. For instance, with the objective to reduce congestion of some services or frequency bands, the administrations might include a factor in the spectrum fees formulas to reduce the users’ demand. This can promote a better use of other locations of frequency bands which are less congested. Another option could be to take into account the distance of the links. Similarly, this type of parameter in the formulas is aims through the price to promote the proper use of a particular band.</w:t>
      </w:r>
    </w:p>
    <w:p w14:paraId="1B0B67EC" w14:textId="77777777" w:rsidR="00CF04BC" w:rsidRPr="00B93493" w:rsidRDefault="00CF04BC" w:rsidP="0074785C">
      <w:r w:rsidRPr="00B93493">
        <w:t>Despite these potential inclusions in the spectrum fees formulas for purposes of the given license fees calculation model, considerably simplified calculation methods are proposed. The main orientation is given on using pre-calculated graphs and tables rather than complicated formulas. For the most difficult cases (HF broadcasting, satellite communications etc.) particular calculations of service areas, fixed radio link lengths etc. can be replaced by values taken directly from relevant license application forms or received from operators by special requests.</w:t>
      </w:r>
    </w:p>
    <w:p w14:paraId="1F9E771E" w14:textId="77777777" w:rsidR="00CF04BC" w:rsidRPr="00B93493" w:rsidRDefault="00CF04BC" w:rsidP="0074785C">
      <w:r w:rsidRPr="00B93493">
        <w:t>Another common approach is to make estimation of service or occupied areas only within the national borders of a country. For maritime services national maritime economical border concept may be used (usually 200 miles, i.e. 360 km).</w:t>
      </w:r>
    </w:p>
    <w:p w14:paraId="1D4C7E16" w14:textId="77777777" w:rsidR="00CF04BC" w:rsidRPr="00B93493" w:rsidRDefault="00CF04BC" w:rsidP="0074785C">
      <w:r w:rsidRPr="00B93493">
        <w:t>For cellular mobile radiocommunications systems. which may contain numerous base stations including micro- and pico-cell ones for nearby and indoor operations, it may be too time consuming to make calculations based on the determination of service areas of individual base stations. Therefore</w:t>
      </w:r>
      <w:r>
        <w:rPr>
          <w:rFonts w:hint="eastAsia"/>
          <w:lang w:eastAsia="zh-CN"/>
        </w:rPr>
        <w:t>,</w:t>
      </w:r>
      <w:r w:rsidRPr="00B93493">
        <w:t xml:space="preserve"> for this case the overall service area of the relevant cellular network and overall frequency bands assigned for base-mobile and mobile-based communications can be used for calculation of a spectral resource, used by the whole network.</w:t>
      </w:r>
    </w:p>
    <w:p w14:paraId="1A8DD0B6" w14:textId="77777777" w:rsidR="00CF04BC" w:rsidRPr="00B93493" w:rsidRDefault="00CF04BC" w:rsidP="0074785C">
      <w:r w:rsidRPr="00B93493">
        <w:t>Occupied areas of earth stations of satellite communication systems are proposed to be determined on the basis of coordination distances agreed during the process of coordination and notification of frequency and orbital assignments in the ITU-R. If they are not available, a universal coordination distance of 350 km for VSATs and 750 km for other stations is proposed to be used. In some cases</w:t>
      </w:r>
      <w:r>
        <w:rPr>
          <w:rFonts w:hint="eastAsia"/>
          <w:lang w:eastAsia="zh-CN"/>
        </w:rPr>
        <w:t>,</w:t>
      </w:r>
      <w:r w:rsidRPr="00B93493">
        <w:t xml:space="preserve"> the values as agreed between the administration and operator can also be used.</w:t>
      </w:r>
    </w:p>
    <w:p w14:paraId="4D8C8ADE" w14:textId="77777777" w:rsidR="00CF04BC" w:rsidRPr="00B93493" w:rsidRDefault="00CF04BC" w:rsidP="0074785C">
      <w:r w:rsidRPr="00B93493">
        <w:t>It is indicated above that the model is also applicable to receivers for which users especially demand protection from interference. To calculate the relevant fees, in accordance with the principle of reciprocity of a receiver and transmitter, the receiver is substituted by a transmitter of typical power (or a power agreed with user) and antenna, which effective height, gain and direction correspond to the receiving one. For this set of parameters</w:t>
      </w:r>
      <w:r>
        <w:rPr>
          <w:rFonts w:hint="eastAsia"/>
          <w:lang w:eastAsia="zh-CN"/>
        </w:rPr>
        <w:t>,</w:t>
      </w:r>
      <w:r w:rsidRPr="00B93493">
        <w:t xml:space="preserve"> the relevant spectral resource and then radio license fees are calculated in accordance with procedures presented below for related radio services and their applications.</w:t>
      </w:r>
    </w:p>
    <w:p w14:paraId="23B83BB2" w14:textId="77777777" w:rsidR="00CF04BC" w:rsidRPr="00B93493" w:rsidRDefault="00CF04BC" w:rsidP="0074785C">
      <w:r w:rsidRPr="00B93493">
        <w:t>It is necessary to mention that an administration, depending on particular conditions and abilities, may decide on simplification of some of the proposed calculation procedures. Particularly it concerns eliminating of service/occupied area subdivisions to different zones belonging to different license fees categories and the only one category, corresponding to the largest service/occupied area, can be used. It also concerns eliminating of the effective antenna height determinations, etc.</w:t>
      </w:r>
    </w:p>
    <w:p w14:paraId="6DD6D55B" w14:textId="77777777" w:rsidR="00CF04BC" w:rsidRPr="0074785C" w:rsidRDefault="00CF04BC" w:rsidP="0074785C">
      <w:pPr>
        <w:pStyle w:val="Heading3"/>
      </w:pPr>
      <w:bookmarkStart w:id="1825" w:name="_Toc291852920"/>
      <w:bookmarkStart w:id="1826" w:name="_Toc462234074"/>
      <w:bookmarkStart w:id="1827" w:name="_Toc392515906"/>
      <w:bookmarkStart w:id="1828" w:name="_Toc289933357"/>
      <w:bookmarkStart w:id="1829" w:name="_Toc289869003"/>
      <w:bookmarkStart w:id="1830" w:name="_Toc289868843"/>
      <w:bookmarkStart w:id="1831" w:name="_Toc518394233"/>
      <w:bookmarkStart w:id="1832" w:name="_Toc289932311"/>
      <w:bookmarkStart w:id="1833" w:name="_Toc182391552"/>
      <w:bookmarkStart w:id="1834" w:name="_Toc182391963"/>
      <w:r w:rsidRPr="0074785C">
        <w:t>4.7.1</w:t>
      </w:r>
      <w:r w:rsidRPr="0074785C">
        <w:tab/>
        <w:t>VHF/UHF sound and TV radio broadcasting calculation procedures</w:t>
      </w:r>
      <w:bookmarkEnd w:id="1825"/>
      <w:bookmarkEnd w:id="1826"/>
      <w:bookmarkEnd w:id="1827"/>
      <w:bookmarkEnd w:id="1828"/>
      <w:bookmarkEnd w:id="1829"/>
      <w:bookmarkEnd w:id="1830"/>
      <w:bookmarkEnd w:id="1831"/>
      <w:bookmarkEnd w:id="1832"/>
      <w:bookmarkEnd w:id="1833"/>
      <w:bookmarkEnd w:id="1834"/>
    </w:p>
    <w:p w14:paraId="65C3FF04" w14:textId="77777777" w:rsidR="00CF04BC" w:rsidRPr="0018312D" w:rsidRDefault="00CF04BC" w:rsidP="0018312D">
      <w:pPr>
        <w:pStyle w:val="Headingb"/>
      </w:pPr>
      <w:bookmarkStart w:id="1835" w:name="_Toc462234075"/>
      <w:bookmarkStart w:id="1836" w:name="_Toc454284906"/>
      <w:r w:rsidRPr="0018312D">
        <w:t>a)</w:t>
      </w:r>
      <w:r w:rsidRPr="0018312D">
        <w:tab/>
        <w:t>Service area radius calculation</w:t>
      </w:r>
      <w:bookmarkEnd w:id="1835"/>
      <w:bookmarkEnd w:id="1836"/>
    </w:p>
    <w:p w14:paraId="2B1B1924" w14:textId="77777777" w:rsidR="00CF04BC" w:rsidRPr="00B93493" w:rsidRDefault="00CF04BC" w:rsidP="0018312D">
      <w:r w:rsidRPr="00B93493">
        <w:t xml:space="preserve">In the absence of digital terrain map facilities and computerized propagation and frequency planning models, which can provide exact automatic calculations, it is proposed to use the following simplified method of service area determination. The procedure is mainly based on provisions of Recommendation </w:t>
      </w:r>
      <w:r w:rsidRPr="0009267B">
        <w:t>ITU-R P.1546-4</w:t>
      </w:r>
      <w:r w:rsidRPr="00B93493">
        <w:t>, which presents propagation curves and procedures of their use for determining distances at which field strengths take specific values adopted as minimal usable by Recommendation ITU-R BT.417-5.</w:t>
      </w:r>
    </w:p>
    <w:p w14:paraId="49A04801" w14:textId="116D8113" w:rsidR="00CF04BC" w:rsidRPr="00B93493" w:rsidRDefault="00CF04BC" w:rsidP="0018312D">
      <w:r w:rsidRPr="00B93493">
        <w:t xml:space="preserve">The propagation curves presented in Recommendation </w:t>
      </w:r>
      <w:r w:rsidRPr="0009267B">
        <w:t xml:space="preserve">ITU-R P.1546-4 </w:t>
      </w:r>
      <w:r w:rsidRPr="00B93493">
        <w:t>represent field-strength values in VHF and UHF bands in dB(</w:t>
      </w:r>
      <w:r w:rsidRPr="00B93493">
        <w:sym w:font="Symbol" w:char="F06D"/>
      </w:r>
      <w:r w:rsidRPr="00B93493">
        <w:t>V/m) as a function of various parameters and refer to land paths. The propagation curves relate to transmitter power of 1 kW radiated from a half-wave dipole and represent the field-strength values exceeded at 50% of the locations for 50% of time. These field-strength values are usually used for service areas determination. They also correspond to different transmitting antenna heights and a receiving antenna height of 10 m. For different values of effective height, a linear interpolation between the two curves corresponding to effective heights immediately above and below the true value can be used.</w:t>
      </w:r>
      <w:r w:rsidR="008D1559">
        <w:t xml:space="preserve"> </w:t>
      </w:r>
    </w:p>
    <w:p w14:paraId="24F7249C" w14:textId="0B3F2BFA" w:rsidR="00CF04BC" w:rsidRPr="00B93493" w:rsidRDefault="00CF04BC" w:rsidP="0018312D">
      <w:r w:rsidRPr="00B93493">
        <w:t xml:space="preserve">The effective height of the transmitting antenna, </w:t>
      </w:r>
      <w:r w:rsidRPr="00B93493">
        <w:rPr>
          <w:i/>
          <w:iCs/>
        </w:rPr>
        <w:t>h</w:t>
      </w:r>
      <w:r w:rsidRPr="00B93493">
        <w:rPr>
          <w:i/>
          <w:iCs/>
          <w:vertAlign w:val="subscript"/>
        </w:rPr>
        <w:t>ef</w:t>
      </w:r>
      <w:r w:rsidRPr="00B93493">
        <w:t xml:space="preserve">, is determined as its height over the average level of the ground between distances of 3 km and 15 km from the transmitter in the direction of the receiver. Procedures of </w:t>
      </w:r>
      <w:r w:rsidRPr="00B93493">
        <w:rPr>
          <w:i/>
          <w:iCs/>
        </w:rPr>
        <w:t>h</w:t>
      </w:r>
      <w:r w:rsidRPr="00B93493">
        <w:rPr>
          <w:i/>
          <w:iCs/>
          <w:vertAlign w:val="subscript"/>
        </w:rPr>
        <w:t>ef</w:t>
      </w:r>
      <w:r w:rsidRPr="00B93493">
        <w:t xml:space="preserve"> calculations, to be used under service area radius calculations, are presented in b).</w:t>
      </w:r>
    </w:p>
    <w:p w14:paraId="38442AC5" w14:textId="77777777" w:rsidR="00CF04BC" w:rsidRPr="00B93493" w:rsidRDefault="00CF04BC" w:rsidP="0018312D">
      <w:r w:rsidRPr="00B93493">
        <w:t xml:space="preserve">Service areas are determined by values of minimal usable field strengths, </w:t>
      </w:r>
      <w:r w:rsidRPr="00B93493">
        <w:rPr>
          <w:i/>
          <w:iCs/>
        </w:rPr>
        <w:t>E</w:t>
      </w:r>
      <w:r w:rsidRPr="00B93493">
        <w:rPr>
          <w:i/>
          <w:iCs/>
          <w:vertAlign w:val="subscript"/>
        </w:rPr>
        <w:t>mu</w:t>
      </w:r>
      <w:r w:rsidRPr="00B93493">
        <w:t xml:space="preserve">, at their borders, which are usually utilized for frequency planning purposes. These are presented in Table </w:t>
      </w:r>
      <w:r>
        <w:rPr>
          <w:rFonts w:hint="eastAsia"/>
          <w:lang w:eastAsia="zh-CN"/>
        </w:rPr>
        <w:t>4</w:t>
      </w:r>
      <w:r w:rsidRPr="00B93493">
        <w:t>.</w:t>
      </w:r>
    </w:p>
    <w:p w14:paraId="2A29A6F4" w14:textId="11BE9985" w:rsidR="00CF04BC" w:rsidRPr="00B93493" w:rsidRDefault="00CF04BC" w:rsidP="0018312D">
      <w:r w:rsidRPr="00B93493">
        <w:t xml:space="preserve">Values of service area radius </w:t>
      </w:r>
      <w:r w:rsidRPr="00B93493">
        <w:rPr>
          <w:i/>
          <w:iCs/>
        </w:rPr>
        <w:t>R</w:t>
      </w:r>
      <w:r w:rsidRPr="00B93493">
        <w:t xml:space="preserve"> taken from curves at </w:t>
      </w:r>
      <w:r w:rsidRPr="00E91654">
        <w:t>Figs 2 and 3</w:t>
      </w:r>
      <w:r w:rsidRPr="00B93493">
        <w:t xml:space="preserve"> under different values of effective radiated power (e.r.p.) </w:t>
      </w:r>
      <w:r w:rsidRPr="00B93493">
        <w:rPr>
          <w:i/>
          <w:iCs/>
        </w:rPr>
        <w:t>P</w:t>
      </w:r>
      <w:r w:rsidRPr="00B93493">
        <w:rPr>
          <w:i/>
          <w:iCs/>
          <w:vertAlign w:val="subscript"/>
        </w:rPr>
        <w:t>ef</w:t>
      </w:r>
      <w:r w:rsidRPr="00B93493">
        <w:t xml:space="preserve">, and effective height of the transmitting antenna </w:t>
      </w:r>
      <w:r w:rsidRPr="00B93493">
        <w:rPr>
          <w:i/>
          <w:iCs/>
        </w:rPr>
        <w:t>h</w:t>
      </w:r>
      <w:r w:rsidRPr="00B93493">
        <w:rPr>
          <w:i/>
          <w:iCs/>
          <w:vertAlign w:val="subscript"/>
        </w:rPr>
        <w:t>ef</w:t>
      </w:r>
      <w:r w:rsidRPr="00B93493">
        <w:t xml:space="preserve">, for minimal usable field strength values, </w:t>
      </w:r>
      <w:r w:rsidRPr="00B93493">
        <w:rPr>
          <w:i/>
          <w:iCs/>
        </w:rPr>
        <w:t>E</w:t>
      </w:r>
      <w:r w:rsidRPr="00B93493">
        <w:rPr>
          <w:i/>
          <w:iCs/>
          <w:vertAlign w:val="subscript"/>
        </w:rPr>
        <w:t>mu</w:t>
      </w:r>
      <w:r w:rsidRPr="00B93493">
        <w:t>, indicated in Table</w:t>
      </w:r>
      <w:r w:rsidR="0018312D">
        <w:t> </w:t>
      </w:r>
      <w:r>
        <w:rPr>
          <w:rFonts w:hint="eastAsia"/>
          <w:lang w:eastAsia="zh-CN"/>
        </w:rPr>
        <w:t>4</w:t>
      </w:r>
      <w:r w:rsidRPr="00B93493">
        <w:t xml:space="preserve">, are presented in Tables </w:t>
      </w:r>
      <w:r>
        <w:rPr>
          <w:rFonts w:hint="eastAsia"/>
          <w:lang w:eastAsia="zh-CN"/>
        </w:rPr>
        <w:t>5</w:t>
      </w:r>
      <w:r>
        <w:rPr>
          <w:lang w:eastAsia="zh-CN"/>
        </w:rPr>
        <w:t xml:space="preserve"> </w:t>
      </w:r>
      <w:r w:rsidRPr="00B93493">
        <w:t xml:space="preserve">to </w:t>
      </w:r>
      <w:r>
        <w:rPr>
          <w:rFonts w:hint="eastAsia"/>
          <w:lang w:eastAsia="zh-CN"/>
        </w:rPr>
        <w:t>10</w:t>
      </w:r>
      <w:r w:rsidRPr="00B93493">
        <w:t xml:space="preserve">. Interpolation and extrapolation of field strength as a function of frequency is made in accordance with Annex 5 to Recommendation </w:t>
      </w:r>
      <w:r w:rsidRPr="00D572F5">
        <w:t>ITU-R P.1546</w:t>
      </w:r>
      <w:r w:rsidR="0018312D">
        <w:t>-</w:t>
      </w:r>
      <w:r w:rsidRPr="00D572F5">
        <w:t>4.</w:t>
      </w:r>
      <w:r w:rsidRPr="00B93493">
        <w:t xml:space="preserve"> Particular frequencies,</w:t>
      </w:r>
      <w:r w:rsidRPr="00B93493">
        <w:rPr>
          <w:i/>
          <w:iCs/>
        </w:rPr>
        <w:t xml:space="preserve"> f</w:t>
      </w:r>
      <w:r w:rsidRPr="00B93493">
        <w:rPr>
          <w:i/>
          <w:iCs/>
          <w:vertAlign w:val="subscript"/>
        </w:rPr>
        <w:t>c</w:t>
      </w:r>
      <w:r w:rsidRPr="00B93493">
        <w:t>, for re-calculation are shown in table headings. Calculations are made for effective antenna heights typical for broadcasting.</w:t>
      </w:r>
    </w:p>
    <w:p w14:paraId="1AF69AE3" w14:textId="77777777" w:rsidR="00CF04BC" w:rsidRPr="00B93493" w:rsidRDefault="00CF04BC" w:rsidP="00CF04BC">
      <w:pPr>
        <w:pStyle w:val="TableNo"/>
        <w:rPr>
          <w:lang w:eastAsia="zh-CN"/>
        </w:rPr>
      </w:pPr>
      <w:r w:rsidRPr="00B93493">
        <w:t xml:space="preserve">TABLE </w:t>
      </w:r>
      <w:r>
        <w:rPr>
          <w:rFonts w:hint="eastAsia"/>
          <w:lang w:eastAsia="zh-CN"/>
        </w:rPr>
        <w:t>4</w:t>
      </w:r>
    </w:p>
    <w:p w14:paraId="01A0AB71" w14:textId="77777777" w:rsidR="00CF04BC" w:rsidRPr="00B93493" w:rsidRDefault="00CF04BC" w:rsidP="00CF04BC">
      <w:pPr>
        <w:pStyle w:val="Tabletitle"/>
      </w:pPr>
      <w:r w:rsidRPr="00B93493">
        <w:t xml:space="preserve">Minimal usable field strengths </w:t>
      </w:r>
      <w:r w:rsidRPr="00B93493">
        <w:rPr>
          <w:bCs/>
          <w:i/>
          <w:iCs/>
        </w:rPr>
        <w:t>E</w:t>
      </w:r>
      <w:r w:rsidRPr="00B93493">
        <w:rPr>
          <w:bCs/>
          <w:i/>
          <w:iCs/>
          <w:vertAlign w:val="subscript"/>
        </w:rPr>
        <w:t>mu</w:t>
      </w:r>
      <w:r w:rsidRPr="00B93493">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311"/>
        <w:gridCol w:w="1417"/>
        <w:gridCol w:w="1529"/>
        <w:gridCol w:w="1486"/>
        <w:gridCol w:w="1078"/>
        <w:gridCol w:w="1118"/>
      </w:tblGrid>
      <w:tr w:rsidR="00CF04BC" w:rsidRPr="00B93493" w14:paraId="52F59FD6" w14:textId="77777777" w:rsidTr="002E7F54">
        <w:trPr>
          <w:jc w:val="center"/>
        </w:trPr>
        <w:tc>
          <w:tcPr>
            <w:tcW w:w="882" w:type="pct"/>
            <w:vAlign w:val="center"/>
          </w:tcPr>
          <w:p w14:paraId="0BDDD1A4" w14:textId="77777777" w:rsidR="00CF04BC" w:rsidRPr="00B93493" w:rsidRDefault="00CF04BC" w:rsidP="002E7F54">
            <w:pPr>
              <w:pStyle w:val="Tablehead"/>
            </w:pPr>
            <w:r w:rsidRPr="00B93493">
              <w:t>Frequency band</w:t>
            </w:r>
          </w:p>
        </w:tc>
        <w:tc>
          <w:tcPr>
            <w:tcW w:w="680" w:type="pct"/>
            <w:vAlign w:val="center"/>
          </w:tcPr>
          <w:p w14:paraId="57C02DE9" w14:textId="77777777" w:rsidR="00CF04BC" w:rsidRPr="00B93493" w:rsidRDefault="00CF04BC" w:rsidP="002E7F54">
            <w:pPr>
              <w:pStyle w:val="Tablehead"/>
            </w:pPr>
            <w:r w:rsidRPr="00B93493">
              <w:t>Below 76 MHz (TV)</w:t>
            </w:r>
          </w:p>
        </w:tc>
        <w:tc>
          <w:tcPr>
            <w:tcW w:w="735" w:type="pct"/>
            <w:vAlign w:val="center"/>
          </w:tcPr>
          <w:p w14:paraId="02AE24DE" w14:textId="77777777" w:rsidR="00CF04BC" w:rsidRPr="00B93493" w:rsidRDefault="00CF04BC" w:rsidP="002E7F54">
            <w:pPr>
              <w:pStyle w:val="Tablehead"/>
            </w:pPr>
            <w:r w:rsidRPr="00B93493">
              <w:t>76-108 MHz (TV)</w:t>
            </w:r>
          </w:p>
        </w:tc>
        <w:tc>
          <w:tcPr>
            <w:tcW w:w="793" w:type="pct"/>
            <w:vAlign w:val="center"/>
          </w:tcPr>
          <w:p w14:paraId="6DC912F1" w14:textId="77777777" w:rsidR="00CF04BC" w:rsidRPr="00B93493" w:rsidRDefault="00CF04BC" w:rsidP="002E7F54">
            <w:pPr>
              <w:pStyle w:val="Tablehead"/>
            </w:pPr>
            <w:r w:rsidRPr="00B93493">
              <w:t>108-230 MHz (TV)</w:t>
            </w:r>
          </w:p>
        </w:tc>
        <w:tc>
          <w:tcPr>
            <w:tcW w:w="771" w:type="pct"/>
            <w:vAlign w:val="center"/>
          </w:tcPr>
          <w:p w14:paraId="55E88D88" w14:textId="77777777" w:rsidR="00CF04BC" w:rsidRPr="00B93493" w:rsidRDefault="00CF04BC" w:rsidP="002E7F54">
            <w:pPr>
              <w:pStyle w:val="Tablehead"/>
            </w:pPr>
            <w:r w:rsidRPr="00B93493">
              <w:t>230-582 MHz (TV)</w:t>
            </w:r>
          </w:p>
        </w:tc>
        <w:tc>
          <w:tcPr>
            <w:tcW w:w="559" w:type="pct"/>
            <w:vAlign w:val="center"/>
          </w:tcPr>
          <w:p w14:paraId="558A6D0D" w14:textId="77777777" w:rsidR="00CF04BC" w:rsidRPr="00B93493" w:rsidRDefault="00CF04BC" w:rsidP="002E7F54">
            <w:pPr>
              <w:pStyle w:val="Tablehead"/>
            </w:pPr>
            <w:r w:rsidRPr="00B93493">
              <w:t>Above 528 MHz (TV)</w:t>
            </w:r>
          </w:p>
        </w:tc>
        <w:tc>
          <w:tcPr>
            <w:tcW w:w="580" w:type="pct"/>
            <w:vAlign w:val="center"/>
          </w:tcPr>
          <w:p w14:paraId="3A8672F9" w14:textId="77777777" w:rsidR="00CF04BC" w:rsidRPr="00B93493" w:rsidRDefault="00CF04BC" w:rsidP="002E7F54">
            <w:pPr>
              <w:pStyle w:val="Tablehead"/>
            </w:pPr>
            <w:r w:rsidRPr="00B93493">
              <w:t>Below 108 MHz (Sound)</w:t>
            </w:r>
          </w:p>
        </w:tc>
      </w:tr>
      <w:tr w:rsidR="00CF04BC" w:rsidRPr="00B93493" w14:paraId="39EB653D" w14:textId="77777777" w:rsidTr="002E7F54">
        <w:trPr>
          <w:jc w:val="center"/>
        </w:trPr>
        <w:tc>
          <w:tcPr>
            <w:tcW w:w="882" w:type="pct"/>
          </w:tcPr>
          <w:p w14:paraId="3401A55E" w14:textId="77777777" w:rsidR="00CF04BC" w:rsidRPr="00B93493" w:rsidRDefault="00CF04BC" w:rsidP="002E7F54">
            <w:pPr>
              <w:pStyle w:val="Tabletext"/>
              <w:jc w:val="center"/>
              <w:rPr>
                <w:szCs w:val="22"/>
              </w:rPr>
            </w:pPr>
            <w:r w:rsidRPr="00B93493">
              <w:rPr>
                <w:i/>
                <w:iCs/>
                <w:szCs w:val="22"/>
              </w:rPr>
              <w:t>E</w:t>
            </w:r>
            <w:r w:rsidRPr="00B93493">
              <w:rPr>
                <w:i/>
                <w:iCs/>
                <w:szCs w:val="22"/>
                <w:vertAlign w:val="subscript"/>
              </w:rPr>
              <w:t>mu</w:t>
            </w:r>
            <w:r w:rsidRPr="00B93493">
              <w:rPr>
                <w:szCs w:val="22"/>
                <w:vertAlign w:val="subscript"/>
              </w:rPr>
              <w:t xml:space="preserve"> </w:t>
            </w:r>
            <w:r w:rsidRPr="00B93493">
              <w:rPr>
                <w:szCs w:val="22"/>
              </w:rPr>
              <w:t>(dB(</w:t>
            </w:r>
            <w:r w:rsidRPr="00B93493">
              <w:rPr>
                <w:szCs w:val="22"/>
              </w:rPr>
              <w:sym w:font="Symbol" w:char="F06D"/>
            </w:r>
            <w:r w:rsidRPr="00B93493">
              <w:rPr>
                <w:szCs w:val="22"/>
              </w:rPr>
              <w:t>V/m))</w:t>
            </w:r>
          </w:p>
        </w:tc>
        <w:tc>
          <w:tcPr>
            <w:tcW w:w="680" w:type="pct"/>
          </w:tcPr>
          <w:p w14:paraId="3E31CBB5" w14:textId="77777777" w:rsidR="00CF04BC" w:rsidRPr="00B93493" w:rsidRDefault="00CF04BC" w:rsidP="002E7F54">
            <w:pPr>
              <w:pStyle w:val="Tabletext"/>
              <w:jc w:val="center"/>
              <w:rPr>
                <w:szCs w:val="22"/>
              </w:rPr>
            </w:pPr>
            <w:r w:rsidRPr="00B93493">
              <w:rPr>
                <w:szCs w:val="22"/>
              </w:rPr>
              <w:t>48</w:t>
            </w:r>
          </w:p>
        </w:tc>
        <w:tc>
          <w:tcPr>
            <w:tcW w:w="735" w:type="pct"/>
          </w:tcPr>
          <w:p w14:paraId="1760C050" w14:textId="77777777" w:rsidR="00CF04BC" w:rsidRPr="00B93493" w:rsidRDefault="00CF04BC" w:rsidP="002E7F54">
            <w:pPr>
              <w:pStyle w:val="Tabletext"/>
              <w:jc w:val="center"/>
              <w:rPr>
                <w:szCs w:val="22"/>
              </w:rPr>
            </w:pPr>
            <w:r w:rsidRPr="00B93493">
              <w:rPr>
                <w:szCs w:val="22"/>
              </w:rPr>
              <w:t>52</w:t>
            </w:r>
          </w:p>
        </w:tc>
        <w:tc>
          <w:tcPr>
            <w:tcW w:w="793" w:type="pct"/>
          </w:tcPr>
          <w:p w14:paraId="75BE8391" w14:textId="77777777" w:rsidR="00CF04BC" w:rsidRPr="00B93493" w:rsidRDefault="00CF04BC" w:rsidP="002E7F54">
            <w:pPr>
              <w:pStyle w:val="Tabletext"/>
              <w:jc w:val="center"/>
              <w:rPr>
                <w:szCs w:val="22"/>
              </w:rPr>
            </w:pPr>
            <w:r w:rsidRPr="00B93493">
              <w:rPr>
                <w:szCs w:val="22"/>
              </w:rPr>
              <w:t>55</w:t>
            </w:r>
          </w:p>
        </w:tc>
        <w:tc>
          <w:tcPr>
            <w:tcW w:w="771" w:type="pct"/>
          </w:tcPr>
          <w:p w14:paraId="28CA4EF5" w14:textId="77777777" w:rsidR="00CF04BC" w:rsidRPr="00B93493" w:rsidRDefault="00CF04BC" w:rsidP="002E7F54">
            <w:pPr>
              <w:pStyle w:val="Tabletext"/>
              <w:jc w:val="center"/>
              <w:rPr>
                <w:szCs w:val="22"/>
              </w:rPr>
            </w:pPr>
            <w:r w:rsidRPr="00B93493">
              <w:rPr>
                <w:szCs w:val="22"/>
              </w:rPr>
              <w:t>65</w:t>
            </w:r>
          </w:p>
        </w:tc>
        <w:tc>
          <w:tcPr>
            <w:tcW w:w="559" w:type="pct"/>
          </w:tcPr>
          <w:p w14:paraId="7443DB73" w14:textId="77777777" w:rsidR="00CF04BC" w:rsidRPr="00B93493" w:rsidRDefault="00CF04BC" w:rsidP="002E7F54">
            <w:pPr>
              <w:pStyle w:val="Tabletext"/>
              <w:jc w:val="center"/>
              <w:rPr>
                <w:szCs w:val="22"/>
              </w:rPr>
            </w:pPr>
            <w:r w:rsidRPr="00B93493">
              <w:rPr>
                <w:szCs w:val="22"/>
              </w:rPr>
              <w:t>70</w:t>
            </w:r>
          </w:p>
        </w:tc>
        <w:tc>
          <w:tcPr>
            <w:tcW w:w="580" w:type="pct"/>
          </w:tcPr>
          <w:p w14:paraId="6A46D1CC" w14:textId="77777777" w:rsidR="00CF04BC" w:rsidRPr="00B93493" w:rsidRDefault="00CF04BC" w:rsidP="002E7F54">
            <w:pPr>
              <w:pStyle w:val="Tabletext"/>
              <w:jc w:val="center"/>
              <w:rPr>
                <w:szCs w:val="22"/>
              </w:rPr>
            </w:pPr>
            <w:r w:rsidRPr="00B93493">
              <w:rPr>
                <w:szCs w:val="22"/>
              </w:rPr>
              <w:t>54</w:t>
            </w:r>
          </w:p>
        </w:tc>
      </w:tr>
    </w:tbl>
    <w:p w14:paraId="16979EBE" w14:textId="77777777" w:rsidR="00CF04BC" w:rsidRPr="00B93493" w:rsidRDefault="00CF04BC" w:rsidP="00CF04BC">
      <w:pPr>
        <w:pStyle w:val="Tablefin"/>
      </w:pPr>
    </w:p>
    <w:p w14:paraId="51B1A0BC" w14:textId="77777777" w:rsidR="00CF04BC" w:rsidRPr="00B93493" w:rsidRDefault="00CF04BC" w:rsidP="00CF04BC">
      <w:r w:rsidRPr="00B93493">
        <w:t>e.r.p. is given as:</w:t>
      </w:r>
    </w:p>
    <w:p w14:paraId="2670319A" w14:textId="77777777" w:rsidR="00CF04BC" w:rsidRPr="00B93493" w:rsidRDefault="00CF04BC" w:rsidP="00CF04BC">
      <w:pPr>
        <w:pStyle w:val="Blanc"/>
      </w:pPr>
    </w:p>
    <w:p w14:paraId="392BAA9A" w14:textId="77777777" w:rsidR="00CF04BC" w:rsidRPr="00B93493" w:rsidRDefault="00CF04BC" w:rsidP="00CF04BC">
      <w:pPr>
        <w:pStyle w:val="Equation"/>
      </w:pPr>
      <w:r w:rsidRPr="00B93493">
        <w:tab/>
      </w:r>
      <w:r w:rsidRPr="00B93493">
        <w:tab/>
      </w:r>
      <w:r w:rsidRPr="00B93493">
        <w:rPr>
          <w:i/>
          <w:iCs/>
        </w:rPr>
        <w:t>P</w:t>
      </w:r>
      <w:r w:rsidRPr="00B93493">
        <w:rPr>
          <w:i/>
          <w:iCs/>
          <w:vertAlign w:val="subscript"/>
        </w:rPr>
        <w:t>ef</w:t>
      </w:r>
      <w:r w:rsidRPr="00B93493">
        <w:t xml:space="preserve"> </w:t>
      </w:r>
      <w:r w:rsidRPr="00B93493">
        <w:rPr>
          <w:rFonts w:ascii="Symbol" w:hAnsi="Symbol"/>
        </w:rPr>
        <w:t></w:t>
      </w:r>
      <w:r w:rsidRPr="00B93493">
        <w:t xml:space="preserve"> </w:t>
      </w:r>
      <w:r w:rsidRPr="00B93493">
        <w:rPr>
          <w:i/>
          <w:iCs/>
        </w:rPr>
        <w:t>P</w:t>
      </w:r>
      <w:r w:rsidRPr="00B93493">
        <w:t xml:space="preserve"> </w:t>
      </w:r>
      <w:r w:rsidRPr="00B93493">
        <w:rPr>
          <w:rFonts w:ascii="Symbol" w:hAnsi="Symbol"/>
        </w:rPr>
        <w:t></w:t>
      </w:r>
      <w:r w:rsidRPr="00B93493">
        <w:t xml:space="preserve"> </w:t>
      </w:r>
      <w:r w:rsidRPr="00B93493">
        <w:rPr>
          <w:i/>
          <w:iCs/>
        </w:rPr>
        <w:t>G</w:t>
      </w:r>
      <w:r w:rsidRPr="00B93493">
        <w:rPr>
          <w:i/>
          <w:iCs/>
          <w:vertAlign w:val="subscript"/>
        </w:rPr>
        <w:t>t</w:t>
      </w:r>
      <w:r w:rsidRPr="00B93493">
        <w:t xml:space="preserve"> </w:t>
      </w:r>
      <w:r w:rsidRPr="00B93493">
        <w:rPr>
          <w:rFonts w:ascii="Symbol" w:hAnsi="Symbol"/>
        </w:rPr>
        <w:t></w:t>
      </w:r>
      <w:r w:rsidRPr="00B93493">
        <w:t xml:space="preserve"> </w:t>
      </w:r>
      <w:r w:rsidRPr="00B93493">
        <w:sym w:font="Symbol" w:char="F068"/>
      </w:r>
      <w:r w:rsidRPr="00B93493">
        <w:t>                dBW</w:t>
      </w:r>
      <w:r w:rsidRPr="00B93493">
        <w:tab/>
        <w:t>(29)</w:t>
      </w:r>
    </w:p>
    <w:p w14:paraId="5B3C9EA0" w14:textId="77777777" w:rsidR="00CF04BC" w:rsidRPr="00B93493" w:rsidRDefault="00CF04BC" w:rsidP="00CF04BC">
      <w:pPr>
        <w:keepNext/>
      </w:pPr>
      <w:r w:rsidRPr="00B93493">
        <w:t>where:</w:t>
      </w:r>
    </w:p>
    <w:p w14:paraId="3F9E414F" w14:textId="77777777" w:rsidR="00CF04BC" w:rsidRPr="00B93493" w:rsidRDefault="00CF04BC" w:rsidP="00CF04BC">
      <w:pPr>
        <w:pStyle w:val="Equationlegend"/>
      </w:pPr>
      <w:r w:rsidRPr="00B93493">
        <w:rPr>
          <w:i/>
          <w:iCs/>
        </w:rPr>
        <w:tab/>
        <w:t>P</w:t>
      </w:r>
      <w:r w:rsidRPr="00B93493">
        <w:rPr>
          <w:rFonts w:ascii="Tms Rmn" w:hAnsi="Tms Rmn"/>
          <w:sz w:val="12"/>
        </w:rPr>
        <w:t> </w:t>
      </w:r>
      <w:r w:rsidRPr="00B93493">
        <w:rPr>
          <w:i/>
          <w:iCs/>
        </w:rPr>
        <w:t>:</w:t>
      </w:r>
      <w:r w:rsidRPr="00B93493">
        <w:rPr>
          <w:i/>
          <w:iCs/>
        </w:rPr>
        <w:tab/>
      </w:r>
      <w:r w:rsidRPr="00B93493">
        <w:t>transmitter</w:t>
      </w:r>
      <w:r w:rsidRPr="00B93493">
        <w:rPr>
          <w:i/>
          <w:iCs/>
        </w:rPr>
        <w:t xml:space="preserve"> </w:t>
      </w:r>
      <w:r w:rsidRPr="00B93493">
        <w:t>power (dBW)</w:t>
      </w:r>
    </w:p>
    <w:p w14:paraId="353C3DBB" w14:textId="77777777" w:rsidR="00CF04BC" w:rsidRPr="00B93493" w:rsidRDefault="00CF04BC" w:rsidP="00CF04BC">
      <w:pPr>
        <w:pStyle w:val="Equationlegend"/>
      </w:pPr>
      <w:r w:rsidRPr="00B93493">
        <w:rPr>
          <w:i/>
          <w:iCs/>
        </w:rPr>
        <w:tab/>
        <w:t>G</w:t>
      </w:r>
      <w:r w:rsidRPr="00B93493">
        <w:rPr>
          <w:i/>
          <w:iCs/>
          <w:vertAlign w:val="subscript"/>
        </w:rPr>
        <w:t>t</w:t>
      </w:r>
      <w:r w:rsidRPr="00B93493">
        <w:rPr>
          <w:rFonts w:ascii="Tms Rmn" w:hAnsi="Tms Rmn"/>
          <w:sz w:val="12"/>
        </w:rPr>
        <w:t> </w:t>
      </w:r>
      <w:r w:rsidRPr="00B93493">
        <w:t>:</w:t>
      </w:r>
      <w:r w:rsidRPr="00B93493">
        <w:tab/>
        <w:t>antenna gain relative to a half-wave dipole (dB)</w:t>
      </w:r>
    </w:p>
    <w:p w14:paraId="6318F417" w14:textId="77777777" w:rsidR="00CF04BC" w:rsidRPr="00B93493" w:rsidRDefault="00CF04BC" w:rsidP="00CF04BC">
      <w:pPr>
        <w:pStyle w:val="Equationlegend"/>
      </w:pPr>
      <w:r w:rsidRPr="00B93493">
        <w:rPr>
          <w:i/>
          <w:iCs/>
        </w:rPr>
        <w:tab/>
      </w:r>
      <w:r w:rsidRPr="00B93493">
        <w:sym w:font="Symbol" w:char="F068"/>
      </w:r>
      <w:r w:rsidRPr="00B93493">
        <w:t xml:space="preserve"> </w:t>
      </w:r>
      <w:r w:rsidRPr="00B93493">
        <w:rPr>
          <w:rFonts w:ascii="Symbol" w:hAnsi="Symbol"/>
        </w:rPr>
        <w:t></w:t>
      </w:r>
      <w:r w:rsidRPr="00B93493">
        <w:rPr>
          <w:i/>
          <w:iCs/>
        </w:rPr>
        <w:tab/>
      </w:r>
      <w:r w:rsidRPr="00B93493">
        <w:t>feeder losses (dB).</w:t>
      </w:r>
    </w:p>
    <w:p w14:paraId="4F59094B" w14:textId="41D65ECE" w:rsidR="00CF04BC" w:rsidRPr="00B93493" w:rsidRDefault="00CF04BC" w:rsidP="0018312D">
      <w:pPr>
        <w:rPr>
          <w:i/>
          <w:iCs/>
        </w:rPr>
      </w:pPr>
      <w:r w:rsidRPr="00B93493">
        <w:t>For purposes of the given licence fees calculation model</w:t>
      </w:r>
      <w:r>
        <w:rPr>
          <w:rFonts w:hint="eastAsia"/>
          <w:lang w:eastAsia="zh-CN"/>
        </w:rPr>
        <w:t>,</w:t>
      </w:r>
      <w:r w:rsidRPr="00B93493">
        <w:t xml:space="preserve"> it is proposed to accept </w:t>
      </w:r>
      <w:r w:rsidRPr="00B93493">
        <w:sym w:font="Symbol" w:char="F068"/>
      </w:r>
      <w:r w:rsidRPr="00B93493">
        <w:t> </w:t>
      </w:r>
      <w:r w:rsidR="0018312D">
        <w:t>=</w:t>
      </w:r>
      <w:r w:rsidRPr="00B93493">
        <w:t> 0</w:t>
      </w:r>
      <w:r w:rsidRPr="00B93493">
        <w:rPr>
          <w:i/>
          <w:iCs/>
        </w:rPr>
        <w:t xml:space="preserve"> </w:t>
      </w:r>
      <w:r w:rsidRPr="00B93493">
        <w:t>for all cases</w:t>
      </w:r>
      <w:r w:rsidRPr="00B93493">
        <w:rPr>
          <w:i/>
          <w:iCs/>
        </w:rPr>
        <w:t>.</w:t>
      </w:r>
    </w:p>
    <w:p w14:paraId="25C67483" w14:textId="77777777" w:rsidR="00CF04BC" w:rsidRPr="00B93493" w:rsidRDefault="00CF04BC" w:rsidP="0018312D">
      <w:r w:rsidRPr="00B93493">
        <w:t xml:space="preserve">It is necessary to note, that under high power and low height antenna conditions and especially for lower frequencies, calculated service area radius exceeds the distance to radio horizon. As far as the quality of the service beyond the radio horizon is significantly decreases it means that excessive transmitter powers are used non-effectively. Relevant distances to radio horizon, when they are less than radiuses of service areas, are indicated by second figures in cells of Tables </w:t>
      </w:r>
      <w:r>
        <w:rPr>
          <w:rFonts w:hint="eastAsia"/>
          <w:lang w:eastAsia="zh-CN"/>
        </w:rPr>
        <w:t>5</w:t>
      </w:r>
      <w:r w:rsidRPr="00B93493">
        <w:t xml:space="preserve"> to </w:t>
      </w:r>
      <w:r>
        <w:rPr>
          <w:rFonts w:hint="eastAsia"/>
          <w:lang w:eastAsia="zh-CN"/>
        </w:rPr>
        <w:t>7</w:t>
      </w:r>
      <w:r w:rsidRPr="00B93493">
        <w:t>.</w:t>
      </w:r>
    </w:p>
    <w:p w14:paraId="49709F81" w14:textId="77777777" w:rsidR="00CF04BC" w:rsidRPr="00B93493" w:rsidRDefault="00CF04BC" w:rsidP="0018312D">
      <w:r w:rsidRPr="00B93493">
        <w:t>It can be mentioned that data of Figs 2 and 3 without any re-scaling correspond to data of Tables </w:t>
      </w:r>
      <w:r>
        <w:rPr>
          <w:rFonts w:hint="eastAsia"/>
          <w:lang w:eastAsia="zh-CN"/>
        </w:rPr>
        <w:t>6</w:t>
      </w:r>
      <w:r w:rsidRPr="00B93493">
        <w:t xml:space="preserve"> and </w:t>
      </w:r>
      <w:r>
        <w:rPr>
          <w:rFonts w:hint="eastAsia"/>
          <w:lang w:eastAsia="zh-CN"/>
        </w:rPr>
        <w:t>7</w:t>
      </w:r>
      <w:r w:rsidRPr="00B93493">
        <w:t xml:space="preserve"> for rows belong to 30 dBW (as far as 1 kW equals 30 dBW). For example, distances which correspond to points indicated at curves of these figures and can be read along the abscise axis, are highlighted in related rows of Tables </w:t>
      </w:r>
      <w:r>
        <w:rPr>
          <w:rFonts w:hint="eastAsia"/>
          <w:lang w:eastAsia="zh-CN"/>
        </w:rPr>
        <w:t>6</w:t>
      </w:r>
      <w:r w:rsidRPr="00B93493">
        <w:t xml:space="preserve"> to </w:t>
      </w:r>
      <w:r>
        <w:rPr>
          <w:rFonts w:hint="eastAsia"/>
          <w:lang w:eastAsia="zh-CN"/>
        </w:rPr>
        <w:t>9</w:t>
      </w:r>
      <w:r w:rsidRPr="00B93493">
        <w:t>.</w:t>
      </w:r>
    </w:p>
    <w:p w14:paraId="00A3F082" w14:textId="77777777" w:rsidR="00CF04BC" w:rsidRPr="0018312D" w:rsidRDefault="00CF04BC" w:rsidP="0018312D">
      <w:pPr>
        <w:pStyle w:val="FigureNo"/>
      </w:pPr>
      <w:r w:rsidRPr="0018312D">
        <w:t>FIGURE 2</w:t>
      </w:r>
    </w:p>
    <w:p w14:paraId="2C4E5A22" w14:textId="77777777" w:rsidR="00CF04BC" w:rsidRPr="0018312D" w:rsidRDefault="00CF04BC" w:rsidP="0018312D">
      <w:pPr>
        <w:pStyle w:val="Figuretitle"/>
      </w:pPr>
      <w:r w:rsidRPr="0018312D">
        <w:t>Propagation curves for 30-300 MHz frequency band</w:t>
      </w:r>
    </w:p>
    <w:p w14:paraId="54E498F4" w14:textId="195B1638" w:rsidR="00CF04BC" w:rsidRPr="00B93493" w:rsidRDefault="001379B9" w:rsidP="00CF04BC">
      <w:pPr>
        <w:pStyle w:val="Figure"/>
      </w:pPr>
      <w:r w:rsidRPr="00B93493">
        <w:object w:dxaOrig="9173" w:dyaOrig="12860" w14:anchorId="202D1CCB">
          <v:shape id="_x0000_i1030" type="#_x0000_t75" alt="Figure 2 illustrates propagation curves for 30-300 MHz frequency band" style="width:459.65pt;height:641.65pt" o:ole="">
            <v:imagedata r:id="rId35" o:title=""/>
          </v:shape>
          <o:OLEObject Type="Embed" ProgID="CorelDRAW.Graphic.14" ShapeID="_x0000_i1030" DrawAspect="Content" ObjectID="_1812968312" r:id="rId36"/>
        </w:object>
      </w:r>
    </w:p>
    <w:p w14:paraId="60CC9C5F" w14:textId="77777777" w:rsidR="00CF04BC" w:rsidRPr="0018312D" w:rsidRDefault="00CF04BC" w:rsidP="0018312D">
      <w:pPr>
        <w:pStyle w:val="FigureNo"/>
      </w:pPr>
      <w:r w:rsidRPr="0018312D">
        <w:t>Figure 3</w:t>
      </w:r>
    </w:p>
    <w:p w14:paraId="2497D4DC" w14:textId="77777777" w:rsidR="00CF04BC" w:rsidRPr="0018312D" w:rsidRDefault="00CF04BC" w:rsidP="0018312D">
      <w:pPr>
        <w:pStyle w:val="Figuretitle"/>
      </w:pPr>
      <w:r w:rsidRPr="0018312D">
        <w:t>Propagation curves for 300-1 000 MHz frequency band</w:t>
      </w:r>
    </w:p>
    <w:p w14:paraId="6FCDC86C" w14:textId="5BB10416" w:rsidR="00CF04BC" w:rsidRPr="00B93493" w:rsidRDefault="005B1526" w:rsidP="0018312D">
      <w:pPr>
        <w:pStyle w:val="Figure"/>
      </w:pPr>
      <w:r>
        <w:rPr>
          <w:noProof/>
        </w:rPr>
        <w:drawing>
          <wp:inline distT="0" distB="0" distL="0" distR="0" wp14:anchorId="70BBF893" wp14:editId="14098369">
            <wp:extent cx="6114415" cy="8587105"/>
            <wp:effectExtent l="0" t="0" r="635" b="4445"/>
            <wp:docPr id="1322234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4415" cy="8587105"/>
                    </a:xfrm>
                    <a:prstGeom prst="rect">
                      <a:avLst/>
                    </a:prstGeom>
                    <a:noFill/>
                    <a:ln>
                      <a:noFill/>
                    </a:ln>
                  </pic:spPr>
                </pic:pic>
              </a:graphicData>
            </a:graphic>
          </wp:inline>
        </w:drawing>
      </w:r>
    </w:p>
    <w:p w14:paraId="448EC288" w14:textId="77777777" w:rsidR="00CF04BC" w:rsidRPr="00B93493" w:rsidRDefault="00CF04BC" w:rsidP="00CF04BC">
      <w:pPr>
        <w:pStyle w:val="TableNo"/>
        <w:rPr>
          <w:lang w:eastAsia="zh-CN"/>
        </w:rPr>
      </w:pPr>
      <w:r w:rsidRPr="00B93493">
        <w:t xml:space="preserve">TABLE </w:t>
      </w:r>
      <w:r>
        <w:rPr>
          <w:rFonts w:hint="eastAsia"/>
          <w:lang w:eastAsia="zh-CN"/>
        </w:rPr>
        <w:t>5</w:t>
      </w:r>
    </w:p>
    <w:p w14:paraId="33C9B971" w14:textId="77777777" w:rsidR="00CF04BC" w:rsidRPr="00B93493" w:rsidRDefault="00CF04BC" w:rsidP="00CF04BC">
      <w:pPr>
        <w:pStyle w:val="Tabletitle"/>
      </w:pPr>
      <w:r w:rsidRPr="00B93493">
        <w:t>Radius of service area (km) for TV below 76 MHz,</w:t>
      </w:r>
      <w:r w:rsidRPr="00B93493">
        <w:br/>
      </w:r>
      <w:r w:rsidRPr="00B93493">
        <w:rPr>
          <w:i/>
          <w:iCs/>
        </w:rPr>
        <w:t>E</w:t>
      </w:r>
      <w:r w:rsidRPr="00B93493">
        <w:rPr>
          <w:i/>
          <w:iCs/>
          <w:vertAlign w:val="subscript"/>
        </w:rPr>
        <w:t>mu</w:t>
      </w:r>
      <w:r w:rsidRPr="00B93493">
        <w:t xml:space="preserve"> = 48 dB(</w:t>
      </w:r>
      <w:r w:rsidRPr="00B93493">
        <w:sym w:font="Symbol" w:char="F06D"/>
      </w:r>
      <w:r w:rsidRPr="00B93493">
        <w:t xml:space="preserve">V/m), </w:t>
      </w:r>
      <w:r w:rsidRPr="00B93493">
        <w:rPr>
          <w:i/>
          <w:iCs/>
        </w:rPr>
        <w:t>f</w:t>
      </w:r>
      <w:r w:rsidRPr="00B93493">
        <w:rPr>
          <w:i/>
          <w:iCs/>
          <w:vertAlign w:val="subscript"/>
        </w:rPr>
        <w:t>c</w:t>
      </w:r>
      <w:r w:rsidRPr="00B93493">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03"/>
        <w:gridCol w:w="759"/>
        <w:gridCol w:w="759"/>
        <w:gridCol w:w="759"/>
        <w:gridCol w:w="759"/>
        <w:gridCol w:w="759"/>
        <w:gridCol w:w="759"/>
        <w:gridCol w:w="759"/>
        <w:gridCol w:w="759"/>
        <w:gridCol w:w="759"/>
        <w:gridCol w:w="871"/>
      </w:tblGrid>
      <w:tr w:rsidR="00CF04BC" w:rsidRPr="00B93493" w14:paraId="6084DDAE" w14:textId="77777777" w:rsidTr="002E7F54">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5CDBFC51" w14:textId="77777777" w:rsidR="00CF04BC" w:rsidRPr="00B93493" w:rsidRDefault="00CF04BC" w:rsidP="002E7F54">
            <w:pPr>
              <w:pStyle w:val="Tablehead"/>
              <w:ind w:right="-397"/>
              <w:rPr>
                <w:sz w:val="18"/>
                <w:szCs w:val="18"/>
              </w:rPr>
            </w:pPr>
            <w:r w:rsidRPr="00B93493">
              <w:rPr>
                <w:i/>
                <w:iCs/>
                <w:sz w:val="18"/>
                <w:szCs w:val="18"/>
              </w:rPr>
              <w:t>h</w:t>
            </w:r>
            <w:r w:rsidRPr="00B93493">
              <w:rPr>
                <w:i/>
                <w:iCs/>
                <w:sz w:val="18"/>
                <w:szCs w:val="18"/>
                <w:vertAlign w:val="subscript"/>
              </w:rPr>
              <w:t xml:space="preserve">ef </w:t>
            </w:r>
            <w:r w:rsidRPr="00B93493">
              <w:rPr>
                <w:sz w:val="18"/>
                <w:szCs w:val="18"/>
              </w:rPr>
              <w:t>(m)</w:t>
            </w:r>
          </w:p>
          <w:p w14:paraId="7E6B8836" w14:textId="77777777" w:rsidR="00CF04BC" w:rsidRPr="00B93493" w:rsidRDefault="00CF04BC" w:rsidP="002E7F54">
            <w:pPr>
              <w:pStyle w:val="Tablehead"/>
              <w:ind w:left="-113"/>
              <w:jc w:val="left"/>
              <w:rPr>
                <w:sz w:val="18"/>
                <w:szCs w:val="18"/>
              </w:rPr>
            </w:pPr>
            <w:r w:rsidRPr="00B93493">
              <w:rPr>
                <w:i/>
                <w:iCs/>
                <w:sz w:val="18"/>
                <w:szCs w:val="18"/>
              </w:rPr>
              <w:t>P</w:t>
            </w:r>
            <w:r w:rsidRPr="00B93493">
              <w:rPr>
                <w:i/>
                <w:iCs/>
                <w:sz w:val="18"/>
                <w:szCs w:val="18"/>
                <w:vertAlign w:val="subscript"/>
              </w:rPr>
              <w:t>ef</w:t>
            </w:r>
            <w:r w:rsidRPr="00B93493">
              <w:rPr>
                <w:rFonts w:ascii="Tms Rmn" w:hAnsi="Tms Rmn"/>
                <w:sz w:val="18"/>
                <w:szCs w:val="18"/>
                <w:vertAlign w:val="subscript"/>
              </w:rPr>
              <w:t> </w:t>
            </w:r>
            <w:r w:rsidRPr="00B93493">
              <w:rPr>
                <w:sz w:val="18"/>
                <w:szCs w:val="18"/>
              </w:rPr>
              <w:t>(dBW)</w:t>
            </w:r>
          </w:p>
        </w:tc>
        <w:tc>
          <w:tcPr>
            <w:tcW w:w="709" w:type="dxa"/>
            <w:tcBorders>
              <w:top w:val="single" w:sz="4" w:space="0" w:color="auto"/>
              <w:left w:val="single" w:sz="4" w:space="0" w:color="auto"/>
              <w:bottom w:val="single" w:sz="4" w:space="0" w:color="auto"/>
              <w:right w:val="single" w:sz="4" w:space="0" w:color="auto"/>
            </w:tcBorders>
          </w:tcPr>
          <w:p w14:paraId="7E55892F" w14:textId="77777777" w:rsidR="00CF04BC" w:rsidRPr="00B93493" w:rsidRDefault="00CF04BC" w:rsidP="002E7F54">
            <w:pPr>
              <w:pStyle w:val="Tablehead"/>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327CBCCC" w14:textId="77777777" w:rsidR="00CF04BC" w:rsidRPr="00B93493" w:rsidRDefault="00CF04BC" w:rsidP="002E7F54">
            <w:pPr>
              <w:pStyle w:val="Tablehead"/>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7663A729" w14:textId="77777777" w:rsidR="00CF04BC" w:rsidRPr="00B93493" w:rsidRDefault="00CF04BC" w:rsidP="002E7F54">
            <w:pPr>
              <w:pStyle w:val="Tablehead"/>
              <w:rPr>
                <w:sz w:val="18"/>
                <w:szCs w:val="18"/>
              </w:rPr>
            </w:pPr>
            <w:r w:rsidRPr="00B93493">
              <w:rPr>
                <w:sz w:val="18"/>
                <w:szCs w:val="18"/>
              </w:rPr>
              <w:t>75</w:t>
            </w:r>
          </w:p>
        </w:tc>
        <w:tc>
          <w:tcPr>
            <w:tcW w:w="765" w:type="dxa"/>
            <w:tcBorders>
              <w:top w:val="single" w:sz="4" w:space="0" w:color="auto"/>
              <w:left w:val="single" w:sz="4" w:space="0" w:color="auto"/>
              <w:bottom w:val="single" w:sz="4" w:space="0" w:color="auto"/>
              <w:right w:val="single" w:sz="4" w:space="0" w:color="auto"/>
            </w:tcBorders>
          </w:tcPr>
          <w:p w14:paraId="6810D3EB" w14:textId="77777777" w:rsidR="00CF04BC" w:rsidRPr="00B93493" w:rsidRDefault="00CF04BC" w:rsidP="002E7F54">
            <w:pPr>
              <w:pStyle w:val="Tablehead"/>
              <w:rPr>
                <w:sz w:val="18"/>
                <w:szCs w:val="18"/>
              </w:rPr>
            </w:pPr>
            <w:r w:rsidRPr="00B93493">
              <w:rPr>
                <w:sz w:val="18"/>
                <w:szCs w:val="18"/>
              </w:rPr>
              <w:t>100</w:t>
            </w:r>
          </w:p>
        </w:tc>
        <w:tc>
          <w:tcPr>
            <w:tcW w:w="765" w:type="dxa"/>
            <w:tcBorders>
              <w:top w:val="single" w:sz="4" w:space="0" w:color="auto"/>
              <w:left w:val="single" w:sz="4" w:space="0" w:color="auto"/>
              <w:bottom w:val="single" w:sz="4" w:space="0" w:color="auto"/>
              <w:right w:val="single" w:sz="4" w:space="0" w:color="auto"/>
            </w:tcBorders>
          </w:tcPr>
          <w:p w14:paraId="689EBA4E" w14:textId="77777777" w:rsidR="00CF04BC" w:rsidRPr="00B93493" w:rsidRDefault="00CF04BC" w:rsidP="002E7F54">
            <w:pPr>
              <w:pStyle w:val="Tablehead"/>
              <w:rPr>
                <w:sz w:val="18"/>
                <w:szCs w:val="18"/>
              </w:rPr>
            </w:pPr>
            <w:r w:rsidRPr="00B93493">
              <w:rPr>
                <w:sz w:val="18"/>
                <w:szCs w:val="18"/>
              </w:rPr>
              <w:t>150</w:t>
            </w:r>
          </w:p>
        </w:tc>
        <w:tc>
          <w:tcPr>
            <w:tcW w:w="765" w:type="dxa"/>
            <w:tcBorders>
              <w:top w:val="single" w:sz="4" w:space="0" w:color="auto"/>
              <w:left w:val="single" w:sz="4" w:space="0" w:color="auto"/>
              <w:bottom w:val="single" w:sz="4" w:space="0" w:color="auto"/>
              <w:right w:val="single" w:sz="4" w:space="0" w:color="auto"/>
            </w:tcBorders>
          </w:tcPr>
          <w:p w14:paraId="2C5E3DAB" w14:textId="77777777" w:rsidR="00CF04BC" w:rsidRPr="00B93493" w:rsidRDefault="00CF04BC" w:rsidP="002E7F54">
            <w:pPr>
              <w:pStyle w:val="Tablehead"/>
              <w:rPr>
                <w:sz w:val="18"/>
                <w:szCs w:val="18"/>
              </w:rPr>
            </w:pPr>
            <w:r w:rsidRPr="00B93493">
              <w:rPr>
                <w:sz w:val="18"/>
                <w:szCs w:val="18"/>
              </w:rPr>
              <w:t>200</w:t>
            </w:r>
          </w:p>
        </w:tc>
        <w:tc>
          <w:tcPr>
            <w:tcW w:w="765" w:type="dxa"/>
            <w:tcBorders>
              <w:top w:val="single" w:sz="4" w:space="0" w:color="auto"/>
              <w:left w:val="single" w:sz="4" w:space="0" w:color="auto"/>
              <w:bottom w:val="single" w:sz="4" w:space="0" w:color="auto"/>
              <w:right w:val="single" w:sz="4" w:space="0" w:color="auto"/>
            </w:tcBorders>
          </w:tcPr>
          <w:p w14:paraId="3670A236" w14:textId="77777777" w:rsidR="00CF04BC" w:rsidRPr="00B93493" w:rsidRDefault="00CF04BC" w:rsidP="002E7F54">
            <w:pPr>
              <w:pStyle w:val="Tablehead"/>
              <w:rPr>
                <w:sz w:val="18"/>
                <w:szCs w:val="18"/>
              </w:rPr>
            </w:pPr>
            <w:r w:rsidRPr="00B93493">
              <w:rPr>
                <w:sz w:val="18"/>
                <w:szCs w:val="18"/>
              </w:rPr>
              <w:t>250</w:t>
            </w:r>
          </w:p>
        </w:tc>
        <w:tc>
          <w:tcPr>
            <w:tcW w:w="765" w:type="dxa"/>
            <w:tcBorders>
              <w:top w:val="single" w:sz="4" w:space="0" w:color="auto"/>
              <w:left w:val="single" w:sz="4" w:space="0" w:color="auto"/>
              <w:bottom w:val="single" w:sz="4" w:space="0" w:color="auto"/>
              <w:right w:val="single" w:sz="4" w:space="0" w:color="auto"/>
            </w:tcBorders>
          </w:tcPr>
          <w:p w14:paraId="1A0BCA56" w14:textId="77777777" w:rsidR="00CF04BC" w:rsidRPr="00B93493" w:rsidRDefault="00CF04BC" w:rsidP="002E7F54">
            <w:pPr>
              <w:pStyle w:val="Tablehead"/>
              <w:rPr>
                <w:sz w:val="18"/>
                <w:szCs w:val="18"/>
              </w:rPr>
            </w:pPr>
            <w:r w:rsidRPr="00B93493">
              <w:rPr>
                <w:sz w:val="18"/>
                <w:szCs w:val="18"/>
              </w:rPr>
              <w:t>300</w:t>
            </w:r>
          </w:p>
        </w:tc>
        <w:tc>
          <w:tcPr>
            <w:tcW w:w="765" w:type="dxa"/>
            <w:tcBorders>
              <w:top w:val="single" w:sz="4" w:space="0" w:color="auto"/>
              <w:left w:val="single" w:sz="4" w:space="0" w:color="auto"/>
              <w:bottom w:val="single" w:sz="4" w:space="0" w:color="auto"/>
              <w:right w:val="single" w:sz="4" w:space="0" w:color="auto"/>
            </w:tcBorders>
          </w:tcPr>
          <w:p w14:paraId="515DFB1D" w14:textId="77777777" w:rsidR="00CF04BC" w:rsidRPr="00B93493" w:rsidRDefault="00CF04BC" w:rsidP="002E7F54">
            <w:pPr>
              <w:pStyle w:val="Tablehead"/>
              <w:rPr>
                <w:sz w:val="18"/>
                <w:szCs w:val="18"/>
              </w:rPr>
            </w:pPr>
            <w:r w:rsidRPr="00B93493">
              <w:rPr>
                <w:sz w:val="18"/>
                <w:szCs w:val="18"/>
              </w:rPr>
              <w:t>350</w:t>
            </w:r>
          </w:p>
        </w:tc>
        <w:tc>
          <w:tcPr>
            <w:tcW w:w="765" w:type="dxa"/>
            <w:tcBorders>
              <w:top w:val="single" w:sz="4" w:space="0" w:color="auto"/>
              <w:left w:val="single" w:sz="4" w:space="0" w:color="auto"/>
              <w:bottom w:val="single" w:sz="4" w:space="0" w:color="auto"/>
              <w:right w:val="single" w:sz="4" w:space="0" w:color="auto"/>
            </w:tcBorders>
          </w:tcPr>
          <w:p w14:paraId="1D777861" w14:textId="77777777" w:rsidR="00CF04BC" w:rsidRPr="00B93493" w:rsidRDefault="00CF04BC" w:rsidP="002E7F54">
            <w:pPr>
              <w:pStyle w:val="Tablehead"/>
              <w:rPr>
                <w:sz w:val="18"/>
                <w:szCs w:val="18"/>
              </w:rPr>
            </w:pPr>
            <w:r w:rsidRPr="00B93493">
              <w:rPr>
                <w:sz w:val="18"/>
                <w:szCs w:val="18"/>
              </w:rPr>
              <w:t>400</w:t>
            </w:r>
          </w:p>
        </w:tc>
        <w:tc>
          <w:tcPr>
            <w:tcW w:w="879" w:type="dxa"/>
            <w:tcBorders>
              <w:top w:val="single" w:sz="4" w:space="0" w:color="auto"/>
              <w:left w:val="single" w:sz="4" w:space="0" w:color="auto"/>
              <w:bottom w:val="single" w:sz="4" w:space="0" w:color="auto"/>
              <w:right w:val="single" w:sz="4" w:space="0" w:color="auto"/>
            </w:tcBorders>
          </w:tcPr>
          <w:p w14:paraId="0B51E9D9" w14:textId="77777777" w:rsidR="00CF04BC" w:rsidRPr="00B93493" w:rsidRDefault="00CF04BC" w:rsidP="002E7F54">
            <w:pPr>
              <w:pStyle w:val="Tablehead"/>
              <w:rPr>
                <w:sz w:val="18"/>
                <w:szCs w:val="18"/>
              </w:rPr>
            </w:pPr>
            <w:r w:rsidRPr="00B93493">
              <w:rPr>
                <w:sz w:val="18"/>
                <w:szCs w:val="18"/>
              </w:rPr>
              <w:t>500</w:t>
            </w:r>
          </w:p>
        </w:tc>
      </w:tr>
      <w:tr w:rsidR="00CF04BC" w:rsidRPr="00B93493" w14:paraId="36D07C28"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643950B9" w14:textId="77777777" w:rsidR="00CF04BC" w:rsidRPr="0018312D" w:rsidRDefault="00CF04BC" w:rsidP="0018312D">
            <w:pPr>
              <w:pStyle w:val="Tabletext"/>
              <w:jc w:val="center"/>
              <w:rPr>
                <w:sz w:val="18"/>
                <w:szCs w:val="18"/>
              </w:rPr>
            </w:pPr>
            <w:r w:rsidRPr="0018312D">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14:paraId="05DAB45C" w14:textId="77777777" w:rsidR="00CF04BC" w:rsidRPr="0018312D" w:rsidRDefault="00CF04BC" w:rsidP="0018312D">
            <w:pPr>
              <w:pStyle w:val="Tabletext"/>
              <w:jc w:val="center"/>
              <w:rPr>
                <w:sz w:val="18"/>
                <w:szCs w:val="18"/>
              </w:rPr>
            </w:pPr>
            <w:r w:rsidRPr="0018312D">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3245D728" w14:textId="77777777" w:rsidR="00CF04BC" w:rsidRPr="0018312D" w:rsidRDefault="00CF04BC" w:rsidP="0018312D">
            <w:pPr>
              <w:pStyle w:val="Tabletext"/>
              <w:jc w:val="center"/>
              <w:rPr>
                <w:sz w:val="18"/>
                <w:szCs w:val="18"/>
              </w:rPr>
            </w:pPr>
            <w:r w:rsidRPr="0018312D">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3C5BFA0A" w14:textId="77777777" w:rsidR="00CF04BC" w:rsidRPr="0018312D" w:rsidRDefault="00CF04BC" w:rsidP="0018312D">
            <w:pPr>
              <w:pStyle w:val="Tabletext"/>
              <w:jc w:val="center"/>
              <w:rPr>
                <w:sz w:val="18"/>
                <w:szCs w:val="18"/>
              </w:rPr>
            </w:pPr>
            <w:r w:rsidRPr="0018312D">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2F9429AD" w14:textId="77777777" w:rsidR="00CF04BC" w:rsidRPr="0018312D" w:rsidRDefault="00CF04BC" w:rsidP="0018312D">
            <w:pPr>
              <w:pStyle w:val="Tabletext"/>
              <w:jc w:val="center"/>
              <w:rPr>
                <w:sz w:val="18"/>
                <w:szCs w:val="18"/>
              </w:rPr>
            </w:pPr>
            <w:r w:rsidRPr="0018312D">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620F95BB" w14:textId="77777777" w:rsidR="00CF04BC" w:rsidRPr="0018312D" w:rsidRDefault="00CF04BC" w:rsidP="0018312D">
            <w:pPr>
              <w:pStyle w:val="Tabletext"/>
              <w:jc w:val="center"/>
              <w:rPr>
                <w:sz w:val="18"/>
                <w:szCs w:val="18"/>
              </w:rPr>
            </w:pPr>
            <w:r w:rsidRPr="0018312D">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0AF01681" w14:textId="77777777" w:rsidR="00CF04BC" w:rsidRPr="0018312D" w:rsidRDefault="00CF04BC" w:rsidP="0018312D">
            <w:pPr>
              <w:pStyle w:val="Tabletext"/>
              <w:jc w:val="center"/>
              <w:rPr>
                <w:sz w:val="18"/>
                <w:szCs w:val="18"/>
              </w:rPr>
            </w:pPr>
            <w:r w:rsidRPr="0018312D">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379C1819" w14:textId="77777777" w:rsidR="00CF04BC" w:rsidRPr="0018312D" w:rsidRDefault="00CF04BC" w:rsidP="0018312D">
            <w:pPr>
              <w:pStyle w:val="Tabletext"/>
              <w:jc w:val="center"/>
              <w:rPr>
                <w:sz w:val="18"/>
                <w:szCs w:val="18"/>
              </w:rPr>
            </w:pPr>
            <w:r w:rsidRPr="0018312D">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7A554AA0" w14:textId="77777777" w:rsidR="00CF04BC" w:rsidRPr="0018312D" w:rsidRDefault="00CF04BC" w:rsidP="0018312D">
            <w:pPr>
              <w:pStyle w:val="Tabletext"/>
              <w:jc w:val="center"/>
              <w:rPr>
                <w:sz w:val="18"/>
                <w:szCs w:val="18"/>
              </w:rPr>
            </w:pPr>
            <w:r w:rsidRPr="0018312D">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14:paraId="351CCA45" w14:textId="77777777" w:rsidR="00CF04BC" w:rsidRPr="0018312D" w:rsidRDefault="00CF04BC" w:rsidP="0018312D">
            <w:pPr>
              <w:pStyle w:val="Tabletext"/>
              <w:jc w:val="center"/>
              <w:rPr>
                <w:sz w:val="18"/>
                <w:szCs w:val="18"/>
              </w:rPr>
            </w:pPr>
            <w:r w:rsidRPr="0018312D">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2C889382" w14:textId="77777777" w:rsidR="00CF04BC" w:rsidRPr="0018312D" w:rsidRDefault="00CF04BC" w:rsidP="0018312D">
            <w:pPr>
              <w:pStyle w:val="Tabletext"/>
              <w:jc w:val="center"/>
              <w:rPr>
                <w:sz w:val="18"/>
                <w:szCs w:val="18"/>
              </w:rPr>
            </w:pPr>
            <w:r w:rsidRPr="0018312D">
              <w:rPr>
                <w:sz w:val="18"/>
                <w:szCs w:val="18"/>
              </w:rPr>
              <w:t>33</w:t>
            </w:r>
          </w:p>
        </w:tc>
        <w:tc>
          <w:tcPr>
            <w:tcW w:w="879" w:type="dxa"/>
            <w:tcBorders>
              <w:top w:val="single" w:sz="4" w:space="0" w:color="auto"/>
              <w:left w:val="single" w:sz="4" w:space="0" w:color="auto"/>
              <w:bottom w:val="single" w:sz="4" w:space="0" w:color="auto"/>
              <w:right w:val="single" w:sz="4" w:space="0" w:color="auto"/>
            </w:tcBorders>
          </w:tcPr>
          <w:p w14:paraId="0E8F9EEC" w14:textId="77777777" w:rsidR="00CF04BC" w:rsidRPr="0018312D" w:rsidRDefault="00CF04BC" w:rsidP="0018312D">
            <w:pPr>
              <w:pStyle w:val="Tabletext"/>
              <w:jc w:val="center"/>
              <w:rPr>
                <w:sz w:val="18"/>
                <w:szCs w:val="18"/>
              </w:rPr>
            </w:pPr>
            <w:r w:rsidRPr="0018312D">
              <w:rPr>
                <w:sz w:val="18"/>
                <w:szCs w:val="18"/>
              </w:rPr>
              <w:t>37</w:t>
            </w:r>
          </w:p>
        </w:tc>
      </w:tr>
      <w:tr w:rsidR="00CF04BC" w:rsidRPr="00B93493" w14:paraId="201533D1"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7737DBC0" w14:textId="77777777" w:rsidR="00CF04BC" w:rsidRPr="0018312D" w:rsidRDefault="00CF04BC" w:rsidP="0018312D">
            <w:pPr>
              <w:pStyle w:val="Tabletext"/>
              <w:jc w:val="center"/>
              <w:rPr>
                <w:sz w:val="18"/>
                <w:szCs w:val="18"/>
              </w:rPr>
            </w:pPr>
            <w:r w:rsidRPr="0018312D">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14:paraId="34F6510F" w14:textId="77777777" w:rsidR="00CF04BC" w:rsidRPr="0018312D" w:rsidRDefault="00CF04BC" w:rsidP="0018312D">
            <w:pPr>
              <w:pStyle w:val="Tabletext"/>
              <w:jc w:val="center"/>
              <w:rPr>
                <w:sz w:val="18"/>
                <w:szCs w:val="18"/>
              </w:rPr>
            </w:pPr>
            <w:r w:rsidRPr="0018312D">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68906D1C" w14:textId="77777777" w:rsidR="00CF04BC" w:rsidRPr="0018312D" w:rsidRDefault="00CF04BC" w:rsidP="0018312D">
            <w:pPr>
              <w:pStyle w:val="Tabletext"/>
              <w:jc w:val="center"/>
              <w:rPr>
                <w:sz w:val="18"/>
                <w:szCs w:val="18"/>
              </w:rPr>
            </w:pPr>
            <w:r w:rsidRPr="0018312D">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07B6C203" w14:textId="77777777" w:rsidR="00CF04BC" w:rsidRPr="0018312D" w:rsidRDefault="00CF04BC" w:rsidP="0018312D">
            <w:pPr>
              <w:pStyle w:val="Tabletext"/>
              <w:jc w:val="center"/>
              <w:rPr>
                <w:sz w:val="18"/>
                <w:szCs w:val="18"/>
              </w:rPr>
            </w:pPr>
            <w:r w:rsidRPr="0018312D">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093DA3B7" w14:textId="77777777" w:rsidR="00CF04BC" w:rsidRPr="0018312D" w:rsidRDefault="00CF04BC" w:rsidP="0018312D">
            <w:pPr>
              <w:pStyle w:val="Tabletext"/>
              <w:jc w:val="center"/>
              <w:rPr>
                <w:sz w:val="18"/>
                <w:szCs w:val="18"/>
              </w:rPr>
            </w:pPr>
            <w:r w:rsidRPr="0018312D">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1CBE66EB" w14:textId="77777777" w:rsidR="00CF04BC" w:rsidRPr="0018312D" w:rsidRDefault="00CF04BC" w:rsidP="0018312D">
            <w:pPr>
              <w:pStyle w:val="Tabletext"/>
              <w:jc w:val="center"/>
              <w:rPr>
                <w:sz w:val="18"/>
                <w:szCs w:val="18"/>
              </w:rPr>
            </w:pPr>
            <w:r w:rsidRPr="0018312D">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4F7F0B21" w14:textId="77777777" w:rsidR="00CF04BC" w:rsidRPr="0018312D" w:rsidRDefault="00CF04BC" w:rsidP="0018312D">
            <w:pPr>
              <w:pStyle w:val="Tabletext"/>
              <w:jc w:val="center"/>
              <w:rPr>
                <w:sz w:val="18"/>
                <w:szCs w:val="18"/>
              </w:rPr>
            </w:pPr>
            <w:r w:rsidRPr="0018312D">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14:paraId="57DACEF2" w14:textId="77777777" w:rsidR="00CF04BC" w:rsidRPr="0018312D" w:rsidRDefault="00CF04BC" w:rsidP="0018312D">
            <w:pPr>
              <w:pStyle w:val="Tabletext"/>
              <w:jc w:val="center"/>
              <w:rPr>
                <w:sz w:val="18"/>
                <w:szCs w:val="18"/>
              </w:rPr>
            </w:pPr>
            <w:r w:rsidRPr="0018312D">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00421194" w14:textId="77777777" w:rsidR="00CF04BC" w:rsidRPr="0018312D" w:rsidRDefault="00CF04BC" w:rsidP="0018312D">
            <w:pPr>
              <w:pStyle w:val="Tabletext"/>
              <w:jc w:val="center"/>
              <w:rPr>
                <w:sz w:val="18"/>
                <w:szCs w:val="18"/>
              </w:rPr>
            </w:pPr>
            <w:r w:rsidRPr="0018312D">
              <w:rPr>
                <w:sz w:val="18"/>
                <w:szCs w:val="18"/>
              </w:rPr>
              <w:t>36</w:t>
            </w:r>
          </w:p>
        </w:tc>
        <w:tc>
          <w:tcPr>
            <w:tcW w:w="765" w:type="dxa"/>
            <w:tcBorders>
              <w:top w:val="single" w:sz="4" w:space="0" w:color="auto"/>
              <w:left w:val="single" w:sz="4" w:space="0" w:color="auto"/>
              <w:bottom w:val="single" w:sz="4" w:space="0" w:color="auto"/>
              <w:right w:val="single" w:sz="4" w:space="0" w:color="auto"/>
            </w:tcBorders>
          </w:tcPr>
          <w:p w14:paraId="01A91151" w14:textId="77777777" w:rsidR="00CF04BC" w:rsidRPr="0018312D" w:rsidRDefault="00CF04BC" w:rsidP="0018312D">
            <w:pPr>
              <w:pStyle w:val="Tabletext"/>
              <w:jc w:val="center"/>
              <w:rPr>
                <w:sz w:val="18"/>
                <w:szCs w:val="18"/>
              </w:rPr>
            </w:pPr>
            <w:r w:rsidRPr="0018312D">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4E0A0CE5" w14:textId="77777777" w:rsidR="00CF04BC" w:rsidRPr="0018312D" w:rsidRDefault="00CF04BC" w:rsidP="0018312D">
            <w:pPr>
              <w:pStyle w:val="Tabletext"/>
              <w:jc w:val="center"/>
              <w:rPr>
                <w:sz w:val="18"/>
                <w:szCs w:val="18"/>
              </w:rPr>
            </w:pPr>
            <w:r w:rsidRPr="0018312D">
              <w:rPr>
                <w:sz w:val="18"/>
                <w:szCs w:val="18"/>
              </w:rPr>
              <w:t>42</w:t>
            </w:r>
          </w:p>
        </w:tc>
        <w:tc>
          <w:tcPr>
            <w:tcW w:w="879" w:type="dxa"/>
            <w:tcBorders>
              <w:top w:val="single" w:sz="4" w:space="0" w:color="auto"/>
              <w:left w:val="single" w:sz="4" w:space="0" w:color="auto"/>
              <w:bottom w:val="single" w:sz="4" w:space="0" w:color="auto"/>
              <w:right w:val="single" w:sz="4" w:space="0" w:color="auto"/>
            </w:tcBorders>
          </w:tcPr>
          <w:p w14:paraId="729D8571" w14:textId="77777777" w:rsidR="00CF04BC" w:rsidRPr="0018312D" w:rsidRDefault="00CF04BC" w:rsidP="0018312D">
            <w:pPr>
              <w:pStyle w:val="Tabletext"/>
              <w:jc w:val="center"/>
              <w:rPr>
                <w:sz w:val="18"/>
                <w:szCs w:val="18"/>
              </w:rPr>
            </w:pPr>
            <w:r w:rsidRPr="0018312D">
              <w:rPr>
                <w:sz w:val="18"/>
                <w:szCs w:val="18"/>
              </w:rPr>
              <w:t>47</w:t>
            </w:r>
          </w:p>
        </w:tc>
      </w:tr>
      <w:tr w:rsidR="00CF04BC" w:rsidRPr="00B93493" w14:paraId="4D5CAFBB"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6871A4D3" w14:textId="77777777" w:rsidR="00CF04BC" w:rsidRPr="0018312D" w:rsidRDefault="00CF04BC" w:rsidP="0018312D">
            <w:pPr>
              <w:pStyle w:val="Tabletext"/>
              <w:jc w:val="center"/>
              <w:rPr>
                <w:sz w:val="18"/>
                <w:szCs w:val="18"/>
              </w:rPr>
            </w:pPr>
            <w:r w:rsidRPr="0018312D">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6ACD32ED" w14:textId="77777777" w:rsidR="00CF04BC" w:rsidRPr="0018312D" w:rsidRDefault="00CF04BC" w:rsidP="0018312D">
            <w:pPr>
              <w:pStyle w:val="Tabletext"/>
              <w:jc w:val="center"/>
              <w:rPr>
                <w:sz w:val="18"/>
                <w:szCs w:val="18"/>
              </w:rPr>
            </w:pPr>
            <w:r w:rsidRPr="0018312D">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5D27AD1A" w14:textId="77777777" w:rsidR="00CF04BC" w:rsidRPr="0018312D" w:rsidRDefault="00CF04BC" w:rsidP="0018312D">
            <w:pPr>
              <w:pStyle w:val="Tabletext"/>
              <w:jc w:val="center"/>
              <w:rPr>
                <w:sz w:val="18"/>
                <w:szCs w:val="18"/>
              </w:rPr>
            </w:pPr>
            <w:r w:rsidRPr="0018312D">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562893CA" w14:textId="77777777" w:rsidR="00CF04BC" w:rsidRPr="0018312D" w:rsidRDefault="00CF04BC" w:rsidP="0018312D">
            <w:pPr>
              <w:pStyle w:val="Tabletext"/>
              <w:jc w:val="center"/>
              <w:rPr>
                <w:sz w:val="18"/>
                <w:szCs w:val="18"/>
              </w:rPr>
            </w:pPr>
            <w:r w:rsidRPr="0018312D">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6DBA81F3" w14:textId="77777777" w:rsidR="00CF04BC" w:rsidRPr="0018312D" w:rsidRDefault="00CF04BC" w:rsidP="0018312D">
            <w:pPr>
              <w:pStyle w:val="Tabletext"/>
              <w:jc w:val="center"/>
              <w:rPr>
                <w:sz w:val="18"/>
                <w:szCs w:val="18"/>
              </w:rPr>
            </w:pPr>
            <w:r w:rsidRPr="0018312D">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271831C1" w14:textId="77777777" w:rsidR="00CF04BC" w:rsidRPr="0018312D" w:rsidRDefault="00CF04BC" w:rsidP="0018312D">
            <w:pPr>
              <w:pStyle w:val="Tabletext"/>
              <w:jc w:val="center"/>
              <w:rPr>
                <w:sz w:val="18"/>
                <w:szCs w:val="18"/>
              </w:rPr>
            </w:pPr>
            <w:r w:rsidRPr="0018312D">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663970EF" w14:textId="77777777" w:rsidR="00CF04BC" w:rsidRPr="0018312D" w:rsidRDefault="00CF04BC" w:rsidP="0018312D">
            <w:pPr>
              <w:pStyle w:val="Tabletext"/>
              <w:jc w:val="center"/>
              <w:rPr>
                <w:sz w:val="18"/>
                <w:szCs w:val="18"/>
              </w:rPr>
            </w:pPr>
            <w:r w:rsidRPr="0018312D">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44AE6707" w14:textId="77777777" w:rsidR="00CF04BC" w:rsidRPr="0018312D" w:rsidRDefault="00CF04BC" w:rsidP="0018312D">
            <w:pPr>
              <w:pStyle w:val="Tabletext"/>
              <w:jc w:val="center"/>
              <w:rPr>
                <w:sz w:val="18"/>
                <w:szCs w:val="18"/>
              </w:rPr>
            </w:pPr>
            <w:r w:rsidRPr="0018312D">
              <w:rPr>
                <w:sz w:val="18"/>
                <w:szCs w:val="18"/>
              </w:rPr>
              <w:t>42</w:t>
            </w:r>
          </w:p>
        </w:tc>
        <w:tc>
          <w:tcPr>
            <w:tcW w:w="765" w:type="dxa"/>
            <w:tcBorders>
              <w:top w:val="single" w:sz="4" w:space="0" w:color="auto"/>
              <w:left w:val="single" w:sz="4" w:space="0" w:color="auto"/>
              <w:bottom w:val="single" w:sz="4" w:space="0" w:color="auto"/>
              <w:right w:val="single" w:sz="4" w:space="0" w:color="auto"/>
            </w:tcBorders>
          </w:tcPr>
          <w:p w14:paraId="71B34817" w14:textId="77777777" w:rsidR="00CF04BC" w:rsidRPr="0018312D" w:rsidRDefault="00CF04BC" w:rsidP="0018312D">
            <w:pPr>
              <w:pStyle w:val="Tabletext"/>
              <w:jc w:val="center"/>
              <w:rPr>
                <w:sz w:val="18"/>
                <w:szCs w:val="18"/>
              </w:rPr>
            </w:pPr>
            <w:r w:rsidRPr="0018312D">
              <w:rPr>
                <w:sz w:val="18"/>
                <w:szCs w:val="18"/>
              </w:rPr>
              <w:t>45</w:t>
            </w:r>
          </w:p>
        </w:tc>
        <w:tc>
          <w:tcPr>
            <w:tcW w:w="765" w:type="dxa"/>
            <w:tcBorders>
              <w:top w:val="single" w:sz="4" w:space="0" w:color="auto"/>
              <w:left w:val="single" w:sz="4" w:space="0" w:color="auto"/>
              <w:bottom w:val="single" w:sz="4" w:space="0" w:color="auto"/>
              <w:right w:val="single" w:sz="4" w:space="0" w:color="auto"/>
            </w:tcBorders>
          </w:tcPr>
          <w:p w14:paraId="05E17E50" w14:textId="77777777" w:rsidR="00CF04BC" w:rsidRPr="0018312D" w:rsidRDefault="00CF04BC" w:rsidP="0018312D">
            <w:pPr>
              <w:pStyle w:val="Tabletext"/>
              <w:jc w:val="center"/>
              <w:rPr>
                <w:sz w:val="18"/>
                <w:szCs w:val="18"/>
              </w:rPr>
            </w:pPr>
            <w:r w:rsidRPr="0018312D">
              <w:rPr>
                <w:sz w:val="18"/>
                <w:szCs w:val="18"/>
              </w:rPr>
              <w:t>49</w:t>
            </w:r>
          </w:p>
        </w:tc>
        <w:tc>
          <w:tcPr>
            <w:tcW w:w="765" w:type="dxa"/>
            <w:tcBorders>
              <w:top w:val="single" w:sz="4" w:space="0" w:color="auto"/>
              <w:left w:val="single" w:sz="4" w:space="0" w:color="auto"/>
              <w:bottom w:val="single" w:sz="4" w:space="0" w:color="auto"/>
              <w:right w:val="single" w:sz="4" w:space="0" w:color="auto"/>
            </w:tcBorders>
          </w:tcPr>
          <w:p w14:paraId="36B78287" w14:textId="77777777" w:rsidR="00CF04BC" w:rsidRPr="0018312D" w:rsidRDefault="00CF04BC" w:rsidP="0018312D">
            <w:pPr>
              <w:pStyle w:val="Tabletext"/>
              <w:jc w:val="center"/>
              <w:rPr>
                <w:sz w:val="18"/>
                <w:szCs w:val="18"/>
              </w:rPr>
            </w:pPr>
            <w:r w:rsidRPr="0018312D">
              <w:rPr>
                <w:sz w:val="18"/>
                <w:szCs w:val="18"/>
              </w:rPr>
              <w:t>53</w:t>
            </w:r>
          </w:p>
        </w:tc>
        <w:tc>
          <w:tcPr>
            <w:tcW w:w="879" w:type="dxa"/>
            <w:tcBorders>
              <w:top w:val="single" w:sz="4" w:space="0" w:color="auto"/>
              <w:left w:val="single" w:sz="4" w:space="0" w:color="auto"/>
              <w:bottom w:val="single" w:sz="4" w:space="0" w:color="auto"/>
              <w:right w:val="single" w:sz="4" w:space="0" w:color="auto"/>
            </w:tcBorders>
          </w:tcPr>
          <w:p w14:paraId="3917491D" w14:textId="77777777" w:rsidR="00CF04BC" w:rsidRPr="0018312D" w:rsidRDefault="00CF04BC" w:rsidP="0018312D">
            <w:pPr>
              <w:pStyle w:val="Tabletext"/>
              <w:jc w:val="center"/>
              <w:rPr>
                <w:sz w:val="18"/>
                <w:szCs w:val="18"/>
              </w:rPr>
            </w:pPr>
            <w:r w:rsidRPr="0018312D">
              <w:rPr>
                <w:sz w:val="18"/>
                <w:szCs w:val="18"/>
              </w:rPr>
              <w:t>58</w:t>
            </w:r>
          </w:p>
        </w:tc>
      </w:tr>
      <w:tr w:rsidR="00CF04BC" w:rsidRPr="00B93493" w14:paraId="465674A4"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77CE7CBC" w14:textId="77777777" w:rsidR="00CF04BC" w:rsidRPr="0018312D" w:rsidRDefault="00CF04BC" w:rsidP="0018312D">
            <w:pPr>
              <w:pStyle w:val="Tabletext"/>
              <w:jc w:val="center"/>
              <w:rPr>
                <w:sz w:val="18"/>
                <w:szCs w:val="18"/>
              </w:rPr>
            </w:pPr>
            <w:r w:rsidRPr="0018312D">
              <w:rPr>
                <w:sz w:val="18"/>
                <w:szCs w:val="18"/>
              </w:rPr>
              <w:t>30.0</w:t>
            </w:r>
          </w:p>
        </w:tc>
        <w:tc>
          <w:tcPr>
            <w:tcW w:w="709" w:type="dxa"/>
            <w:tcBorders>
              <w:top w:val="single" w:sz="4" w:space="0" w:color="auto"/>
              <w:left w:val="single" w:sz="4" w:space="0" w:color="auto"/>
              <w:bottom w:val="single" w:sz="4" w:space="0" w:color="auto"/>
              <w:right w:val="single" w:sz="4" w:space="0" w:color="auto"/>
            </w:tcBorders>
          </w:tcPr>
          <w:p w14:paraId="47943667" w14:textId="77777777" w:rsidR="00CF04BC" w:rsidRPr="0018312D" w:rsidRDefault="00CF04BC" w:rsidP="0018312D">
            <w:pPr>
              <w:pStyle w:val="Tabletext"/>
              <w:jc w:val="center"/>
              <w:rPr>
                <w:sz w:val="18"/>
                <w:szCs w:val="18"/>
              </w:rPr>
            </w:pPr>
            <w:r w:rsidRPr="0018312D">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1BF7DBDF" w14:textId="77777777" w:rsidR="00CF04BC" w:rsidRPr="0018312D" w:rsidRDefault="00CF04BC" w:rsidP="0018312D">
            <w:pPr>
              <w:pStyle w:val="Tabletext"/>
              <w:jc w:val="center"/>
              <w:rPr>
                <w:sz w:val="18"/>
                <w:szCs w:val="18"/>
              </w:rPr>
            </w:pPr>
            <w:r w:rsidRPr="0018312D">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0EBAB44F" w14:textId="77777777" w:rsidR="00CF04BC" w:rsidRPr="0018312D" w:rsidRDefault="00CF04BC" w:rsidP="0018312D">
            <w:pPr>
              <w:pStyle w:val="Tabletext"/>
              <w:jc w:val="center"/>
              <w:rPr>
                <w:sz w:val="18"/>
                <w:szCs w:val="18"/>
              </w:rPr>
            </w:pPr>
            <w:r w:rsidRPr="0018312D">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2BA3FA51" w14:textId="77777777" w:rsidR="00CF04BC" w:rsidRPr="0018312D" w:rsidRDefault="00CF04BC" w:rsidP="0018312D">
            <w:pPr>
              <w:pStyle w:val="Tabletext"/>
              <w:jc w:val="center"/>
              <w:rPr>
                <w:sz w:val="18"/>
                <w:szCs w:val="18"/>
              </w:rPr>
            </w:pPr>
            <w:r w:rsidRPr="0018312D">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4CC6B111" w14:textId="77777777" w:rsidR="00CF04BC" w:rsidRPr="0018312D" w:rsidRDefault="00CF04BC" w:rsidP="0018312D">
            <w:pPr>
              <w:pStyle w:val="Tabletext"/>
              <w:jc w:val="center"/>
              <w:rPr>
                <w:sz w:val="18"/>
                <w:szCs w:val="18"/>
              </w:rPr>
            </w:pPr>
            <w:r w:rsidRPr="0018312D">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7D83C97D" w14:textId="77777777" w:rsidR="00CF04BC" w:rsidRPr="0018312D" w:rsidRDefault="00CF04BC" w:rsidP="0018312D">
            <w:pPr>
              <w:pStyle w:val="Tabletext"/>
              <w:jc w:val="center"/>
              <w:rPr>
                <w:sz w:val="18"/>
                <w:szCs w:val="18"/>
              </w:rPr>
            </w:pPr>
            <w:r w:rsidRPr="0018312D">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43D5CB54" w14:textId="77777777" w:rsidR="00CF04BC" w:rsidRPr="0018312D" w:rsidRDefault="00CF04BC" w:rsidP="0018312D">
            <w:pPr>
              <w:pStyle w:val="Tabletext"/>
              <w:jc w:val="center"/>
              <w:rPr>
                <w:sz w:val="18"/>
                <w:szCs w:val="18"/>
              </w:rPr>
            </w:pPr>
            <w:r w:rsidRPr="0018312D">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7BE6265C" w14:textId="77777777" w:rsidR="00CF04BC" w:rsidRPr="0018312D" w:rsidRDefault="00CF04BC" w:rsidP="0018312D">
            <w:pPr>
              <w:pStyle w:val="Tabletext"/>
              <w:jc w:val="center"/>
              <w:rPr>
                <w:sz w:val="18"/>
                <w:szCs w:val="18"/>
              </w:rPr>
            </w:pPr>
            <w:r w:rsidRPr="0018312D">
              <w:rPr>
                <w:sz w:val="18"/>
                <w:szCs w:val="18"/>
              </w:rPr>
              <w:t>56</w:t>
            </w:r>
          </w:p>
        </w:tc>
        <w:tc>
          <w:tcPr>
            <w:tcW w:w="765" w:type="dxa"/>
            <w:tcBorders>
              <w:top w:val="single" w:sz="4" w:space="0" w:color="auto"/>
              <w:left w:val="single" w:sz="4" w:space="0" w:color="auto"/>
              <w:bottom w:val="single" w:sz="4" w:space="0" w:color="auto"/>
              <w:right w:val="single" w:sz="4" w:space="0" w:color="auto"/>
            </w:tcBorders>
          </w:tcPr>
          <w:p w14:paraId="475A9740" w14:textId="77777777" w:rsidR="00CF04BC" w:rsidRPr="0018312D" w:rsidRDefault="00CF04BC" w:rsidP="0018312D">
            <w:pPr>
              <w:pStyle w:val="Tabletext"/>
              <w:jc w:val="center"/>
              <w:rPr>
                <w:sz w:val="18"/>
                <w:szCs w:val="18"/>
              </w:rPr>
            </w:pPr>
            <w:r w:rsidRPr="0018312D">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79694797" w14:textId="77777777" w:rsidR="00CF04BC" w:rsidRPr="0018312D" w:rsidRDefault="00CF04BC" w:rsidP="0018312D">
            <w:pPr>
              <w:pStyle w:val="Tabletext"/>
              <w:jc w:val="center"/>
              <w:rPr>
                <w:sz w:val="18"/>
                <w:szCs w:val="18"/>
              </w:rPr>
            </w:pPr>
            <w:r w:rsidRPr="0018312D">
              <w:rPr>
                <w:sz w:val="18"/>
                <w:szCs w:val="18"/>
              </w:rPr>
              <w:t>64</w:t>
            </w:r>
          </w:p>
        </w:tc>
        <w:tc>
          <w:tcPr>
            <w:tcW w:w="879" w:type="dxa"/>
            <w:tcBorders>
              <w:top w:val="single" w:sz="4" w:space="0" w:color="auto"/>
              <w:left w:val="single" w:sz="4" w:space="0" w:color="auto"/>
              <w:bottom w:val="single" w:sz="4" w:space="0" w:color="auto"/>
              <w:right w:val="single" w:sz="4" w:space="0" w:color="auto"/>
            </w:tcBorders>
          </w:tcPr>
          <w:p w14:paraId="56EC67C9" w14:textId="77777777" w:rsidR="00CF04BC" w:rsidRPr="0018312D" w:rsidRDefault="00CF04BC" w:rsidP="0018312D">
            <w:pPr>
              <w:pStyle w:val="Tabletext"/>
              <w:jc w:val="center"/>
              <w:rPr>
                <w:sz w:val="18"/>
                <w:szCs w:val="18"/>
              </w:rPr>
            </w:pPr>
            <w:r w:rsidRPr="0018312D">
              <w:rPr>
                <w:sz w:val="18"/>
                <w:szCs w:val="18"/>
              </w:rPr>
              <w:t>70</w:t>
            </w:r>
          </w:p>
        </w:tc>
      </w:tr>
      <w:tr w:rsidR="00CF04BC" w:rsidRPr="00B93493" w14:paraId="35E3954F"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7DC5A39F" w14:textId="77777777" w:rsidR="00CF04BC" w:rsidRPr="0018312D" w:rsidRDefault="00CF04BC" w:rsidP="0018312D">
            <w:pPr>
              <w:pStyle w:val="Tabletext"/>
              <w:jc w:val="center"/>
              <w:rPr>
                <w:sz w:val="18"/>
                <w:szCs w:val="18"/>
              </w:rPr>
            </w:pPr>
            <w:r w:rsidRPr="0018312D">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14:paraId="2223081E" w14:textId="77777777" w:rsidR="00CF04BC" w:rsidRPr="0018312D" w:rsidRDefault="00CF04BC" w:rsidP="0018312D">
            <w:pPr>
              <w:pStyle w:val="Tabletext"/>
              <w:jc w:val="center"/>
              <w:rPr>
                <w:sz w:val="18"/>
                <w:szCs w:val="18"/>
              </w:rPr>
            </w:pPr>
            <w:r w:rsidRPr="0018312D">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34FB3C65" w14:textId="77777777" w:rsidR="00CF04BC" w:rsidRPr="0018312D" w:rsidRDefault="00CF04BC" w:rsidP="0018312D">
            <w:pPr>
              <w:pStyle w:val="Tabletext"/>
              <w:jc w:val="center"/>
              <w:rPr>
                <w:sz w:val="18"/>
                <w:szCs w:val="18"/>
              </w:rPr>
            </w:pPr>
            <w:r w:rsidRPr="0018312D">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2548ABD6" w14:textId="77777777" w:rsidR="00CF04BC" w:rsidRPr="0018312D" w:rsidRDefault="00CF04BC" w:rsidP="0018312D">
            <w:pPr>
              <w:pStyle w:val="Tabletext"/>
              <w:jc w:val="center"/>
              <w:rPr>
                <w:sz w:val="18"/>
                <w:szCs w:val="18"/>
              </w:rPr>
            </w:pPr>
            <w:r w:rsidRPr="0018312D">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6FF4EC9B" w14:textId="77777777" w:rsidR="00CF04BC" w:rsidRPr="0018312D" w:rsidRDefault="00CF04BC" w:rsidP="0018312D">
            <w:pPr>
              <w:pStyle w:val="Tabletext"/>
              <w:jc w:val="center"/>
              <w:rPr>
                <w:sz w:val="18"/>
                <w:szCs w:val="18"/>
              </w:rPr>
            </w:pPr>
            <w:r w:rsidRPr="0018312D">
              <w:rPr>
                <w:sz w:val="18"/>
                <w:szCs w:val="18"/>
              </w:rPr>
              <w:t>43</w:t>
            </w:r>
          </w:p>
        </w:tc>
        <w:tc>
          <w:tcPr>
            <w:tcW w:w="765" w:type="dxa"/>
            <w:tcBorders>
              <w:top w:val="single" w:sz="4" w:space="0" w:color="auto"/>
              <w:left w:val="single" w:sz="4" w:space="0" w:color="auto"/>
              <w:bottom w:val="single" w:sz="4" w:space="0" w:color="auto"/>
              <w:right w:val="single" w:sz="4" w:space="0" w:color="auto"/>
            </w:tcBorders>
          </w:tcPr>
          <w:p w14:paraId="2225FB89" w14:textId="77777777" w:rsidR="00CF04BC" w:rsidRPr="0018312D" w:rsidRDefault="00CF04BC" w:rsidP="0018312D">
            <w:pPr>
              <w:pStyle w:val="Tabletext"/>
              <w:jc w:val="center"/>
              <w:rPr>
                <w:sz w:val="18"/>
                <w:szCs w:val="18"/>
              </w:rPr>
            </w:pPr>
            <w:r w:rsidRPr="0018312D">
              <w:rPr>
                <w:sz w:val="18"/>
                <w:szCs w:val="18"/>
              </w:rPr>
              <w:t>51</w:t>
            </w:r>
          </w:p>
        </w:tc>
        <w:tc>
          <w:tcPr>
            <w:tcW w:w="765" w:type="dxa"/>
            <w:tcBorders>
              <w:top w:val="single" w:sz="4" w:space="0" w:color="auto"/>
              <w:left w:val="single" w:sz="4" w:space="0" w:color="auto"/>
              <w:bottom w:val="single" w:sz="4" w:space="0" w:color="auto"/>
              <w:right w:val="single" w:sz="4" w:space="0" w:color="auto"/>
            </w:tcBorders>
          </w:tcPr>
          <w:p w14:paraId="262F68C0" w14:textId="77777777" w:rsidR="00CF04BC" w:rsidRPr="0018312D" w:rsidRDefault="00CF04BC" w:rsidP="0018312D">
            <w:pPr>
              <w:pStyle w:val="Tabletext"/>
              <w:jc w:val="center"/>
              <w:rPr>
                <w:sz w:val="18"/>
                <w:szCs w:val="18"/>
              </w:rPr>
            </w:pPr>
            <w:r w:rsidRPr="0018312D">
              <w:rPr>
                <w:sz w:val="18"/>
                <w:szCs w:val="18"/>
              </w:rPr>
              <w:t>58</w:t>
            </w:r>
          </w:p>
        </w:tc>
        <w:tc>
          <w:tcPr>
            <w:tcW w:w="765" w:type="dxa"/>
            <w:tcBorders>
              <w:top w:val="single" w:sz="4" w:space="0" w:color="auto"/>
              <w:left w:val="single" w:sz="4" w:space="0" w:color="auto"/>
              <w:bottom w:val="single" w:sz="4" w:space="0" w:color="auto"/>
              <w:right w:val="single" w:sz="4" w:space="0" w:color="auto"/>
            </w:tcBorders>
          </w:tcPr>
          <w:p w14:paraId="03D24726" w14:textId="77777777" w:rsidR="00CF04BC" w:rsidRPr="0018312D" w:rsidRDefault="00CF04BC" w:rsidP="0018312D">
            <w:pPr>
              <w:pStyle w:val="Tabletext"/>
              <w:jc w:val="center"/>
              <w:rPr>
                <w:sz w:val="18"/>
                <w:szCs w:val="18"/>
              </w:rPr>
            </w:pPr>
            <w:r w:rsidRPr="0018312D">
              <w:rPr>
                <w:sz w:val="18"/>
                <w:szCs w:val="18"/>
              </w:rPr>
              <w:t>63</w:t>
            </w:r>
          </w:p>
        </w:tc>
        <w:tc>
          <w:tcPr>
            <w:tcW w:w="765" w:type="dxa"/>
            <w:tcBorders>
              <w:top w:val="single" w:sz="4" w:space="0" w:color="auto"/>
              <w:left w:val="single" w:sz="4" w:space="0" w:color="auto"/>
              <w:bottom w:val="single" w:sz="4" w:space="0" w:color="auto"/>
              <w:right w:val="single" w:sz="4" w:space="0" w:color="auto"/>
            </w:tcBorders>
          </w:tcPr>
          <w:p w14:paraId="35003587" w14:textId="77777777" w:rsidR="00CF04BC" w:rsidRPr="0018312D" w:rsidRDefault="00CF04BC" w:rsidP="0018312D">
            <w:pPr>
              <w:pStyle w:val="Tabletext"/>
              <w:jc w:val="center"/>
              <w:rPr>
                <w:sz w:val="18"/>
                <w:szCs w:val="18"/>
              </w:rPr>
            </w:pPr>
            <w:r w:rsidRPr="0018312D">
              <w:rPr>
                <w:sz w:val="18"/>
                <w:szCs w:val="18"/>
              </w:rPr>
              <w:t>68</w:t>
            </w:r>
          </w:p>
        </w:tc>
        <w:tc>
          <w:tcPr>
            <w:tcW w:w="765" w:type="dxa"/>
            <w:tcBorders>
              <w:top w:val="single" w:sz="4" w:space="0" w:color="auto"/>
              <w:left w:val="single" w:sz="4" w:space="0" w:color="auto"/>
              <w:bottom w:val="single" w:sz="4" w:space="0" w:color="auto"/>
              <w:right w:val="single" w:sz="4" w:space="0" w:color="auto"/>
            </w:tcBorders>
          </w:tcPr>
          <w:p w14:paraId="641242C6" w14:textId="77777777" w:rsidR="00CF04BC" w:rsidRPr="0018312D" w:rsidRDefault="00CF04BC" w:rsidP="0018312D">
            <w:pPr>
              <w:pStyle w:val="Tabletext"/>
              <w:jc w:val="center"/>
              <w:rPr>
                <w:sz w:val="18"/>
                <w:szCs w:val="18"/>
              </w:rPr>
            </w:pPr>
            <w:r w:rsidRPr="0018312D">
              <w:rPr>
                <w:sz w:val="18"/>
                <w:szCs w:val="18"/>
              </w:rPr>
              <w:t>72</w:t>
            </w:r>
          </w:p>
        </w:tc>
        <w:tc>
          <w:tcPr>
            <w:tcW w:w="765" w:type="dxa"/>
            <w:tcBorders>
              <w:top w:val="single" w:sz="4" w:space="0" w:color="auto"/>
              <w:left w:val="single" w:sz="4" w:space="0" w:color="auto"/>
              <w:bottom w:val="single" w:sz="4" w:space="0" w:color="auto"/>
              <w:right w:val="single" w:sz="4" w:space="0" w:color="auto"/>
            </w:tcBorders>
          </w:tcPr>
          <w:p w14:paraId="2B9891C1" w14:textId="77777777" w:rsidR="00CF04BC" w:rsidRPr="0018312D" w:rsidRDefault="00CF04BC" w:rsidP="0018312D">
            <w:pPr>
              <w:pStyle w:val="Tabletext"/>
              <w:jc w:val="center"/>
              <w:rPr>
                <w:sz w:val="18"/>
                <w:szCs w:val="18"/>
              </w:rPr>
            </w:pPr>
            <w:r w:rsidRPr="0018312D">
              <w:rPr>
                <w:sz w:val="18"/>
                <w:szCs w:val="18"/>
              </w:rPr>
              <w:t>76</w:t>
            </w:r>
          </w:p>
        </w:tc>
        <w:tc>
          <w:tcPr>
            <w:tcW w:w="879" w:type="dxa"/>
            <w:tcBorders>
              <w:top w:val="single" w:sz="4" w:space="0" w:color="auto"/>
              <w:left w:val="single" w:sz="4" w:space="0" w:color="auto"/>
              <w:bottom w:val="single" w:sz="4" w:space="0" w:color="auto"/>
              <w:right w:val="single" w:sz="4" w:space="0" w:color="auto"/>
            </w:tcBorders>
          </w:tcPr>
          <w:p w14:paraId="171C5B34" w14:textId="77777777" w:rsidR="00CF04BC" w:rsidRPr="0018312D" w:rsidRDefault="00CF04BC" w:rsidP="0018312D">
            <w:pPr>
              <w:pStyle w:val="Tabletext"/>
              <w:jc w:val="center"/>
              <w:rPr>
                <w:sz w:val="18"/>
                <w:szCs w:val="18"/>
              </w:rPr>
            </w:pPr>
            <w:r w:rsidRPr="0018312D">
              <w:rPr>
                <w:sz w:val="18"/>
                <w:szCs w:val="18"/>
              </w:rPr>
              <w:t>82</w:t>
            </w:r>
          </w:p>
        </w:tc>
      </w:tr>
      <w:tr w:rsidR="00CF04BC" w:rsidRPr="00B93493" w14:paraId="6A342E66"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76E3D31C" w14:textId="77777777" w:rsidR="00CF04BC" w:rsidRPr="0018312D" w:rsidRDefault="00CF04BC" w:rsidP="0018312D">
            <w:pPr>
              <w:pStyle w:val="Tabletext"/>
              <w:jc w:val="center"/>
              <w:rPr>
                <w:sz w:val="18"/>
                <w:szCs w:val="18"/>
              </w:rPr>
            </w:pPr>
            <w:r w:rsidRPr="0018312D">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14:paraId="1D26CA17" w14:textId="77777777" w:rsidR="00CF04BC" w:rsidRPr="0018312D" w:rsidRDefault="00CF04BC" w:rsidP="0018312D">
            <w:pPr>
              <w:pStyle w:val="Tabletext"/>
              <w:jc w:val="center"/>
              <w:rPr>
                <w:sz w:val="18"/>
                <w:szCs w:val="18"/>
              </w:rPr>
            </w:pPr>
            <w:r w:rsidRPr="0018312D">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7423A400" w14:textId="77777777" w:rsidR="00CF04BC" w:rsidRPr="0018312D" w:rsidRDefault="00CF04BC" w:rsidP="0018312D">
            <w:pPr>
              <w:pStyle w:val="Tabletext"/>
              <w:jc w:val="center"/>
              <w:rPr>
                <w:sz w:val="18"/>
                <w:szCs w:val="18"/>
              </w:rPr>
            </w:pPr>
            <w:r w:rsidRPr="0018312D">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1657976D" w14:textId="77777777" w:rsidR="00CF04BC" w:rsidRPr="0018312D" w:rsidRDefault="00CF04BC" w:rsidP="0018312D">
            <w:pPr>
              <w:pStyle w:val="Tabletext"/>
              <w:jc w:val="center"/>
              <w:rPr>
                <w:sz w:val="18"/>
                <w:szCs w:val="18"/>
              </w:rPr>
            </w:pPr>
            <w:r w:rsidRPr="0018312D">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14:paraId="3958FB27" w14:textId="77777777" w:rsidR="00CF04BC" w:rsidRPr="0018312D" w:rsidRDefault="00CF04BC" w:rsidP="0018312D">
            <w:pPr>
              <w:pStyle w:val="Tabletext"/>
              <w:jc w:val="center"/>
              <w:rPr>
                <w:sz w:val="18"/>
                <w:szCs w:val="18"/>
              </w:rPr>
            </w:pPr>
            <w:r w:rsidRPr="0018312D">
              <w:rPr>
                <w:sz w:val="18"/>
                <w:szCs w:val="18"/>
              </w:rPr>
              <w:t>54</w:t>
            </w:r>
          </w:p>
        </w:tc>
        <w:tc>
          <w:tcPr>
            <w:tcW w:w="765" w:type="dxa"/>
            <w:tcBorders>
              <w:top w:val="single" w:sz="4" w:space="0" w:color="auto"/>
              <w:left w:val="single" w:sz="4" w:space="0" w:color="auto"/>
              <w:bottom w:val="single" w:sz="4" w:space="0" w:color="auto"/>
              <w:right w:val="single" w:sz="4" w:space="0" w:color="auto"/>
            </w:tcBorders>
          </w:tcPr>
          <w:p w14:paraId="25A7D6BE" w14:textId="77777777" w:rsidR="00CF04BC" w:rsidRPr="0018312D" w:rsidRDefault="00CF04BC" w:rsidP="0018312D">
            <w:pPr>
              <w:pStyle w:val="Tabletext"/>
              <w:jc w:val="center"/>
              <w:rPr>
                <w:sz w:val="18"/>
                <w:szCs w:val="18"/>
              </w:rPr>
            </w:pPr>
            <w:r w:rsidRPr="0018312D">
              <w:rPr>
                <w:sz w:val="18"/>
                <w:szCs w:val="18"/>
              </w:rPr>
              <w:t>63</w:t>
            </w:r>
          </w:p>
        </w:tc>
        <w:tc>
          <w:tcPr>
            <w:tcW w:w="765" w:type="dxa"/>
            <w:tcBorders>
              <w:top w:val="single" w:sz="4" w:space="0" w:color="auto"/>
              <w:left w:val="single" w:sz="4" w:space="0" w:color="auto"/>
              <w:bottom w:val="single" w:sz="4" w:space="0" w:color="auto"/>
              <w:right w:val="single" w:sz="4" w:space="0" w:color="auto"/>
            </w:tcBorders>
          </w:tcPr>
          <w:p w14:paraId="32E60D1E" w14:textId="77777777" w:rsidR="00CF04BC" w:rsidRPr="0018312D" w:rsidRDefault="00CF04BC" w:rsidP="0018312D">
            <w:pPr>
              <w:pStyle w:val="Tabletext"/>
              <w:jc w:val="center"/>
              <w:rPr>
                <w:sz w:val="18"/>
                <w:szCs w:val="18"/>
              </w:rPr>
            </w:pPr>
            <w:r w:rsidRPr="0018312D">
              <w:rPr>
                <w:sz w:val="18"/>
                <w:szCs w:val="18"/>
              </w:rPr>
              <w:t>70</w:t>
            </w:r>
          </w:p>
        </w:tc>
        <w:tc>
          <w:tcPr>
            <w:tcW w:w="765" w:type="dxa"/>
            <w:tcBorders>
              <w:top w:val="single" w:sz="4" w:space="0" w:color="auto"/>
              <w:left w:val="single" w:sz="4" w:space="0" w:color="auto"/>
              <w:bottom w:val="single" w:sz="4" w:space="0" w:color="auto"/>
              <w:right w:val="single" w:sz="4" w:space="0" w:color="auto"/>
            </w:tcBorders>
          </w:tcPr>
          <w:p w14:paraId="3E92066C" w14:textId="77777777" w:rsidR="00CF04BC" w:rsidRPr="0018312D" w:rsidRDefault="00CF04BC" w:rsidP="0018312D">
            <w:pPr>
              <w:pStyle w:val="Tabletext"/>
              <w:jc w:val="center"/>
              <w:rPr>
                <w:sz w:val="18"/>
                <w:szCs w:val="18"/>
              </w:rPr>
            </w:pPr>
            <w:r w:rsidRPr="0018312D">
              <w:rPr>
                <w:sz w:val="18"/>
                <w:szCs w:val="18"/>
              </w:rPr>
              <w:t>75</w:t>
            </w:r>
          </w:p>
        </w:tc>
        <w:tc>
          <w:tcPr>
            <w:tcW w:w="765" w:type="dxa"/>
            <w:tcBorders>
              <w:top w:val="single" w:sz="4" w:space="0" w:color="auto"/>
              <w:left w:val="single" w:sz="4" w:space="0" w:color="auto"/>
              <w:bottom w:val="single" w:sz="4" w:space="0" w:color="auto"/>
              <w:right w:val="single" w:sz="4" w:space="0" w:color="auto"/>
            </w:tcBorders>
          </w:tcPr>
          <w:p w14:paraId="030D44DD" w14:textId="77777777" w:rsidR="00CF04BC" w:rsidRPr="0018312D" w:rsidRDefault="00CF04BC" w:rsidP="0018312D">
            <w:pPr>
              <w:pStyle w:val="Tabletext"/>
              <w:jc w:val="center"/>
              <w:rPr>
                <w:sz w:val="18"/>
                <w:szCs w:val="18"/>
              </w:rPr>
            </w:pPr>
            <w:r w:rsidRPr="0018312D">
              <w:rPr>
                <w:sz w:val="18"/>
                <w:szCs w:val="18"/>
              </w:rPr>
              <w:t>79</w:t>
            </w:r>
          </w:p>
        </w:tc>
        <w:tc>
          <w:tcPr>
            <w:tcW w:w="765" w:type="dxa"/>
            <w:tcBorders>
              <w:top w:val="single" w:sz="4" w:space="0" w:color="auto"/>
              <w:left w:val="single" w:sz="4" w:space="0" w:color="auto"/>
              <w:bottom w:val="single" w:sz="4" w:space="0" w:color="auto"/>
              <w:right w:val="single" w:sz="4" w:space="0" w:color="auto"/>
            </w:tcBorders>
          </w:tcPr>
          <w:p w14:paraId="2F178DC8" w14:textId="77777777" w:rsidR="00CF04BC" w:rsidRPr="0018312D" w:rsidRDefault="00CF04BC" w:rsidP="0018312D">
            <w:pPr>
              <w:pStyle w:val="Tabletext"/>
              <w:jc w:val="center"/>
              <w:rPr>
                <w:sz w:val="18"/>
                <w:szCs w:val="18"/>
              </w:rPr>
            </w:pPr>
            <w:r w:rsidRPr="0018312D">
              <w:rPr>
                <w:sz w:val="18"/>
                <w:szCs w:val="18"/>
              </w:rPr>
              <w:t>84</w:t>
            </w:r>
          </w:p>
        </w:tc>
        <w:tc>
          <w:tcPr>
            <w:tcW w:w="765" w:type="dxa"/>
            <w:tcBorders>
              <w:top w:val="single" w:sz="4" w:space="0" w:color="auto"/>
              <w:left w:val="single" w:sz="4" w:space="0" w:color="auto"/>
              <w:bottom w:val="single" w:sz="4" w:space="0" w:color="auto"/>
              <w:right w:val="single" w:sz="4" w:space="0" w:color="auto"/>
            </w:tcBorders>
          </w:tcPr>
          <w:p w14:paraId="35A6EDAD" w14:textId="77777777" w:rsidR="00CF04BC" w:rsidRPr="0018312D" w:rsidRDefault="00CF04BC" w:rsidP="0018312D">
            <w:pPr>
              <w:pStyle w:val="Tabletext"/>
              <w:jc w:val="center"/>
              <w:rPr>
                <w:sz w:val="18"/>
                <w:szCs w:val="18"/>
              </w:rPr>
            </w:pPr>
            <w:r w:rsidRPr="0018312D">
              <w:rPr>
                <w:sz w:val="18"/>
                <w:szCs w:val="18"/>
              </w:rPr>
              <w:t>88</w:t>
            </w:r>
          </w:p>
        </w:tc>
        <w:tc>
          <w:tcPr>
            <w:tcW w:w="879" w:type="dxa"/>
            <w:tcBorders>
              <w:top w:val="single" w:sz="4" w:space="0" w:color="auto"/>
              <w:left w:val="single" w:sz="4" w:space="0" w:color="auto"/>
              <w:bottom w:val="single" w:sz="4" w:space="0" w:color="auto"/>
              <w:right w:val="single" w:sz="4" w:space="0" w:color="auto"/>
            </w:tcBorders>
          </w:tcPr>
          <w:p w14:paraId="5FF8E348" w14:textId="77777777" w:rsidR="00CF04BC" w:rsidRPr="0018312D" w:rsidRDefault="00CF04BC" w:rsidP="0018312D">
            <w:pPr>
              <w:pStyle w:val="Tabletext"/>
              <w:jc w:val="center"/>
              <w:rPr>
                <w:sz w:val="18"/>
                <w:szCs w:val="18"/>
              </w:rPr>
            </w:pPr>
            <w:r w:rsidRPr="0018312D">
              <w:rPr>
                <w:sz w:val="18"/>
                <w:szCs w:val="18"/>
              </w:rPr>
              <w:t>95</w:t>
            </w:r>
          </w:p>
        </w:tc>
      </w:tr>
      <w:tr w:rsidR="00CF04BC" w:rsidRPr="00B93493" w14:paraId="43E70ABA"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6EE4F8D0" w14:textId="77777777" w:rsidR="00CF04BC" w:rsidRPr="0018312D" w:rsidRDefault="00CF04BC" w:rsidP="0018312D">
            <w:pPr>
              <w:pStyle w:val="Tabletext"/>
              <w:jc w:val="center"/>
              <w:rPr>
                <w:sz w:val="18"/>
                <w:szCs w:val="18"/>
              </w:rPr>
            </w:pPr>
            <w:r w:rsidRPr="0018312D">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14:paraId="612A23C5" w14:textId="77777777" w:rsidR="00CF04BC" w:rsidRPr="0018312D" w:rsidRDefault="00CF04BC" w:rsidP="0018312D">
            <w:pPr>
              <w:pStyle w:val="Tabletext"/>
              <w:jc w:val="center"/>
              <w:rPr>
                <w:sz w:val="18"/>
                <w:szCs w:val="18"/>
              </w:rPr>
            </w:pPr>
            <w:r w:rsidRPr="0018312D">
              <w:rPr>
                <w:sz w:val="18"/>
                <w:szCs w:val="18"/>
              </w:rPr>
              <w:t>38/36</w:t>
            </w:r>
          </w:p>
        </w:tc>
        <w:tc>
          <w:tcPr>
            <w:tcW w:w="765" w:type="dxa"/>
            <w:tcBorders>
              <w:top w:val="single" w:sz="4" w:space="0" w:color="auto"/>
              <w:left w:val="single" w:sz="4" w:space="0" w:color="auto"/>
              <w:bottom w:val="single" w:sz="4" w:space="0" w:color="auto"/>
              <w:right w:val="single" w:sz="4" w:space="0" w:color="auto"/>
            </w:tcBorders>
          </w:tcPr>
          <w:p w14:paraId="28AB1F19" w14:textId="77777777" w:rsidR="00CF04BC" w:rsidRPr="0018312D" w:rsidRDefault="00CF04BC" w:rsidP="0018312D">
            <w:pPr>
              <w:pStyle w:val="Tabletext"/>
              <w:jc w:val="center"/>
              <w:rPr>
                <w:sz w:val="18"/>
                <w:szCs w:val="18"/>
              </w:rPr>
            </w:pPr>
            <w:r w:rsidRPr="0018312D">
              <w:rPr>
                <w:sz w:val="18"/>
                <w:szCs w:val="18"/>
              </w:rPr>
              <w:t>47/42</w:t>
            </w:r>
          </w:p>
        </w:tc>
        <w:tc>
          <w:tcPr>
            <w:tcW w:w="765" w:type="dxa"/>
            <w:tcBorders>
              <w:top w:val="single" w:sz="4" w:space="0" w:color="auto"/>
              <w:left w:val="single" w:sz="4" w:space="0" w:color="auto"/>
              <w:bottom w:val="single" w:sz="4" w:space="0" w:color="auto"/>
              <w:right w:val="single" w:sz="4" w:space="0" w:color="auto"/>
            </w:tcBorders>
          </w:tcPr>
          <w:p w14:paraId="47D4D673" w14:textId="77777777" w:rsidR="00CF04BC" w:rsidRPr="0018312D" w:rsidRDefault="00CF04BC" w:rsidP="0018312D">
            <w:pPr>
              <w:pStyle w:val="Tabletext"/>
              <w:jc w:val="center"/>
              <w:rPr>
                <w:sz w:val="18"/>
                <w:szCs w:val="18"/>
              </w:rPr>
            </w:pPr>
            <w:r w:rsidRPr="0018312D">
              <w:rPr>
                <w:sz w:val="18"/>
                <w:szCs w:val="18"/>
              </w:rPr>
              <w:t>55/49</w:t>
            </w:r>
          </w:p>
        </w:tc>
        <w:tc>
          <w:tcPr>
            <w:tcW w:w="765" w:type="dxa"/>
            <w:tcBorders>
              <w:top w:val="single" w:sz="4" w:space="0" w:color="auto"/>
              <w:left w:val="single" w:sz="4" w:space="0" w:color="auto"/>
              <w:bottom w:val="single" w:sz="4" w:space="0" w:color="auto"/>
              <w:right w:val="single" w:sz="4" w:space="0" w:color="auto"/>
            </w:tcBorders>
          </w:tcPr>
          <w:p w14:paraId="4B33E7D9" w14:textId="77777777" w:rsidR="00CF04BC" w:rsidRPr="0018312D" w:rsidRDefault="00CF04BC" w:rsidP="0018312D">
            <w:pPr>
              <w:pStyle w:val="Tabletext"/>
              <w:jc w:val="center"/>
              <w:rPr>
                <w:sz w:val="18"/>
                <w:szCs w:val="18"/>
              </w:rPr>
            </w:pPr>
            <w:r w:rsidRPr="0018312D">
              <w:rPr>
                <w:sz w:val="18"/>
                <w:szCs w:val="18"/>
              </w:rPr>
              <w:t>61/54</w:t>
            </w:r>
          </w:p>
        </w:tc>
        <w:tc>
          <w:tcPr>
            <w:tcW w:w="765" w:type="dxa"/>
            <w:tcBorders>
              <w:top w:val="single" w:sz="4" w:space="0" w:color="auto"/>
              <w:left w:val="single" w:sz="4" w:space="0" w:color="auto"/>
              <w:bottom w:val="single" w:sz="4" w:space="0" w:color="auto"/>
              <w:right w:val="single" w:sz="4" w:space="0" w:color="auto"/>
            </w:tcBorders>
          </w:tcPr>
          <w:p w14:paraId="21524328" w14:textId="77777777" w:rsidR="00CF04BC" w:rsidRPr="0018312D" w:rsidRDefault="00CF04BC" w:rsidP="0018312D">
            <w:pPr>
              <w:pStyle w:val="Tabletext"/>
              <w:jc w:val="center"/>
              <w:rPr>
                <w:sz w:val="18"/>
                <w:szCs w:val="18"/>
              </w:rPr>
            </w:pPr>
            <w:r w:rsidRPr="0018312D">
              <w:rPr>
                <w:sz w:val="18"/>
                <w:szCs w:val="18"/>
              </w:rPr>
              <w:t>70/63</w:t>
            </w:r>
          </w:p>
        </w:tc>
        <w:tc>
          <w:tcPr>
            <w:tcW w:w="765" w:type="dxa"/>
            <w:tcBorders>
              <w:top w:val="single" w:sz="4" w:space="0" w:color="auto"/>
              <w:left w:val="single" w:sz="4" w:space="0" w:color="auto"/>
              <w:bottom w:val="single" w:sz="4" w:space="0" w:color="auto"/>
              <w:right w:val="single" w:sz="4" w:space="0" w:color="auto"/>
            </w:tcBorders>
          </w:tcPr>
          <w:p w14:paraId="6BE70868" w14:textId="77777777" w:rsidR="00CF04BC" w:rsidRPr="0018312D" w:rsidRDefault="00CF04BC" w:rsidP="0018312D">
            <w:pPr>
              <w:pStyle w:val="Tabletext"/>
              <w:jc w:val="center"/>
              <w:rPr>
                <w:sz w:val="18"/>
                <w:szCs w:val="18"/>
              </w:rPr>
            </w:pPr>
            <w:r w:rsidRPr="0018312D">
              <w:rPr>
                <w:sz w:val="18"/>
                <w:szCs w:val="18"/>
              </w:rPr>
              <w:t>77/71</w:t>
            </w:r>
          </w:p>
        </w:tc>
        <w:tc>
          <w:tcPr>
            <w:tcW w:w="765" w:type="dxa"/>
            <w:tcBorders>
              <w:top w:val="single" w:sz="4" w:space="0" w:color="auto"/>
              <w:left w:val="single" w:sz="4" w:space="0" w:color="auto"/>
              <w:bottom w:val="single" w:sz="4" w:space="0" w:color="auto"/>
              <w:right w:val="single" w:sz="4" w:space="0" w:color="auto"/>
            </w:tcBorders>
          </w:tcPr>
          <w:p w14:paraId="193A6470" w14:textId="77777777" w:rsidR="00CF04BC" w:rsidRPr="0018312D" w:rsidRDefault="00CF04BC" w:rsidP="0018312D">
            <w:pPr>
              <w:pStyle w:val="Tabletext"/>
              <w:jc w:val="center"/>
              <w:rPr>
                <w:sz w:val="18"/>
                <w:szCs w:val="18"/>
              </w:rPr>
            </w:pPr>
            <w:r w:rsidRPr="0018312D">
              <w:rPr>
                <w:sz w:val="18"/>
                <w:szCs w:val="18"/>
              </w:rPr>
              <w:t>83/78</w:t>
            </w:r>
          </w:p>
        </w:tc>
        <w:tc>
          <w:tcPr>
            <w:tcW w:w="765" w:type="dxa"/>
            <w:tcBorders>
              <w:top w:val="single" w:sz="4" w:space="0" w:color="auto"/>
              <w:left w:val="single" w:sz="4" w:space="0" w:color="auto"/>
              <w:bottom w:val="single" w:sz="4" w:space="0" w:color="auto"/>
              <w:right w:val="single" w:sz="4" w:space="0" w:color="auto"/>
            </w:tcBorders>
          </w:tcPr>
          <w:p w14:paraId="702BCA77" w14:textId="77777777" w:rsidR="00CF04BC" w:rsidRPr="0018312D" w:rsidRDefault="00CF04BC" w:rsidP="0018312D">
            <w:pPr>
              <w:pStyle w:val="Tabletext"/>
              <w:jc w:val="center"/>
              <w:rPr>
                <w:sz w:val="18"/>
                <w:szCs w:val="18"/>
              </w:rPr>
            </w:pPr>
            <w:r w:rsidRPr="0018312D">
              <w:rPr>
                <w:sz w:val="18"/>
                <w:szCs w:val="18"/>
              </w:rPr>
              <w:t>87/84</w:t>
            </w:r>
          </w:p>
        </w:tc>
        <w:tc>
          <w:tcPr>
            <w:tcW w:w="765" w:type="dxa"/>
            <w:tcBorders>
              <w:top w:val="single" w:sz="4" w:space="0" w:color="auto"/>
              <w:left w:val="single" w:sz="4" w:space="0" w:color="auto"/>
              <w:bottom w:val="single" w:sz="4" w:space="0" w:color="auto"/>
              <w:right w:val="single" w:sz="4" w:space="0" w:color="auto"/>
            </w:tcBorders>
          </w:tcPr>
          <w:p w14:paraId="5B0336C2" w14:textId="77777777" w:rsidR="00CF04BC" w:rsidRPr="0018312D" w:rsidRDefault="00CF04BC" w:rsidP="0018312D">
            <w:pPr>
              <w:pStyle w:val="Tabletext"/>
              <w:jc w:val="center"/>
              <w:rPr>
                <w:sz w:val="18"/>
                <w:szCs w:val="18"/>
              </w:rPr>
            </w:pPr>
            <w:r w:rsidRPr="0018312D">
              <w:rPr>
                <w:sz w:val="18"/>
                <w:szCs w:val="18"/>
              </w:rPr>
              <w:t>92/90</w:t>
            </w:r>
          </w:p>
        </w:tc>
        <w:tc>
          <w:tcPr>
            <w:tcW w:w="765" w:type="dxa"/>
            <w:tcBorders>
              <w:top w:val="single" w:sz="4" w:space="0" w:color="auto"/>
              <w:left w:val="single" w:sz="4" w:space="0" w:color="auto"/>
              <w:bottom w:val="single" w:sz="4" w:space="0" w:color="auto"/>
              <w:right w:val="single" w:sz="4" w:space="0" w:color="auto"/>
            </w:tcBorders>
          </w:tcPr>
          <w:p w14:paraId="25589050" w14:textId="77777777" w:rsidR="00CF04BC" w:rsidRPr="0018312D" w:rsidRDefault="00CF04BC" w:rsidP="0018312D">
            <w:pPr>
              <w:pStyle w:val="Tabletext"/>
              <w:jc w:val="center"/>
              <w:rPr>
                <w:sz w:val="18"/>
                <w:szCs w:val="18"/>
              </w:rPr>
            </w:pPr>
            <w:r w:rsidRPr="0018312D">
              <w:rPr>
                <w:sz w:val="18"/>
                <w:szCs w:val="18"/>
              </w:rPr>
              <w:t>96/95</w:t>
            </w:r>
          </w:p>
        </w:tc>
        <w:tc>
          <w:tcPr>
            <w:tcW w:w="879" w:type="dxa"/>
            <w:tcBorders>
              <w:top w:val="single" w:sz="4" w:space="0" w:color="auto"/>
              <w:left w:val="single" w:sz="4" w:space="0" w:color="auto"/>
              <w:bottom w:val="single" w:sz="4" w:space="0" w:color="auto"/>
              <w:right w:val="single" w:sz="4" w:space="0" w:color="auto"/>
            </w:tcBorders>
          </w:tcPr>
          <w:p w14:paraId="51A50CC0" w14:textId="77777777" w:rsidR="00CF04BC" w:rsidRPr="0018312D" w:rsidRDefault="00CF04BC" w:rsidP="0018312D">
            <w:pPr>
              <w:pStyle w:val="Tabletext"/>
              <w:jc w:val="center"/>
              <w:rPr>
                <w:sz w:val="18"/>
                <w:szCs w:val="18"/>
              </w:rPr>
            </w:pPr>
            <w:r w:rsidRPr="0018312D">
              <w:rPr>
                <w:sz w:val="18"/>
                <w:szCs w:val="18"/>
              </w:rPr>
              <w:t>103</w:t>
            </w:r>
          </w:p>
        </w:tc>
      </w:tr>
      <w:tr w:rsidR="00CF04BC" w:rsidRPr="00B93493" w14:paraId="4328F4DA"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11934768" w14:textId="77777777" w:rsidR="00CF04BC" w:rsidRPr="0018312D" w:rsidRDefault="00CF04BC" w:rsidP="0018312D">
            <w:pPr>
              <w:pStyle w:val="Tabletext"/>
              <w:jc w:val="center"/>
              <w:rPr>
                <w:sz w:val="18"/>
                <w:szCs w:val="18"/>
              </w:rPr>
            </w:pPr>
            <w:r w:rsidRPr="0018312D">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14:paraId="5A271F58" w14:textId="77777777" w:rsidR="00CF04BC" w:rsidRPr="0018312D" w:rsidRDefault="00CF04BC" w:rsidP="0018312D">
            <w:pPr>
              <w:pStyle w:val="Tabletext"/>
              <w:jc w:val="center"/>
              <w:rPr>
                <w:sz w:val="18"/>
                <w:szCs w:val="18"/>
              </w:rPr>
            </w:pPr>
            <w:r w:rsidRPr="0018312D">
              <w:rPr>
                <w:sz w:val="18"/>
                <w:szCs w:val="18"/>
              </w:rPr>
              <w:t>44/36</w:t>
            </w:r>
          </w:p>
        </w:tc>
        <w:tc>
          <w:tcPr>
            <w:tcW w:w="765" w:type="dxa"/>
            <w:tcBorders>
              <w:top w:val="single" w:sz="4" w:space="0" w:color="auto"/>
              <w:left w:val="single" w:sz="4" w:space="0" w:color="auto"/>
              <w:bottom w:val="single" w:sz="4" w:space="0" w:color="auto"/>
              <w:right w:val="single" w:sz="4" w:space="0" w:color="auto"/>
            </w:tcBorders>
          </w:tcPr>
          <w:p w14:paraId="29EA6683" w14:textId="77777777" w:rsidR="00CF04BC" w:rsidRPr="0018312D" w:rsidRDefault="00CF04BC" w:rsidP="0018312D">
            <w:pPr>
              <w:pStyle w:val="Tabletext"/>
              <w:jc w:val="center"/>
              <w:rPr>
                <w:sz w:val="18"/>
                <w:szCs w:val="18"/>
              </w:rPr>
            </w:pPr>
            <w:r w:rsidRPr="0018312D">
              <w:rPr>
                <w:sz w:val="18"/>
                <w:szCs w:val="18"/>
              </w:rPr>
              <w:t>54/42</w:t>
            </w:r>
          </w:p>
        </w:tc>
        <w:tc>
          <w:tcPr>
            <w:tcW w:w="765" w:type="dxa"/>
            <w:tcBorders>
              <w:top w:val="single" w:sz="4" w:space="0" w:color="auto"/>
              <w:left w:val="single" w:sz="4" w:space="0" w:color="auto"/>
              <w:bottom w:val="single" w:sz="4" w:space="0" w:color="auto"/>
              <w:right w:val="single" w:sz="4" w:space="0" w:color="auto"/>
            </w:tcBorders>
          </w:tcPr>
          <w:p w14:paraId="206B6684" w14:textId="77777777" w:rsidR="00CF04BC" w:rsidRPr="0018312D" w:rsidRDefault="00CF04BC" w:rsidP="0018312D">
            <w:pPr>
              <w:pStyle w:val="Tabletext"/>
              <w:jc w:val="center"/>
              <w:rPr>
                <w:sz w:val="18"/>
                <w:szCs w:val="18"/>
              </w:rPr>
            </w:pPr>
            <w:r w:rsidRPr="0018312D">
              <w:rPr>
                <w:sz w:val="18"/>
                <w:szCs w:val="18"/>
              </w:rPr>
              <w:t>63/49</w:t>
            </w:r>
          </w:p>
        </w:tc>
        <w:tc>
          <w:tcPr>
            <w:tcW w:w="765" w:type="dxa"/>
            <w:tcBorders>
              <w:top w:val="single" w:sz="4" w:space="0" w:color="auto"/>
              <w:left w:val="single" w:sz="4" w:space="0" w:color="auto"/>
              <w:bottom w:val="single" w:sz="4" w:space="0" w:color="auto"/>
              <w:right w:val="single" w:sz="4" w:space="0" w:color="auto"/>
            </w:tcBorders>
          </w:tcPr>
          <w:p w14:paraId="53488EE6" w14:textId="77777777" w:rsidR="00CF04BC" w:rsidRPr="0018312D" w:rsidRDefault="00CF04BC" w:rsidP="0018312D">
            <w:pPr>
              <w:pStyle w:val="Tabletext"/>
              <w:jc w:val="center"/>
              <w:rPr>
                <w:sz w:val="18"/>
                <w:szCs w:val="18"/>
              </w:rPr>
            </w:pPr>
            <w:r w:rsidRPr="0018312D">
              <w:rPr>
                <w:sz w:val="18"/>
                <w:szCs w:val="18"/>
              </w:rPr>
              <w:t>69/54</w:t>
            </w:r>
          </w:p>
        </w:tc>
        <w:tc>
          <w:tcPr>
            <w:tcW w:w="765" w:type="dxa"/>
            <w:tcBorders>
              <w:top w:val="single" w:sz="4" w:space="0" w:color="auto"/>
              <w:left w:val="single" w:sz="4" w:space="0" w:color="auto"/>
              <w:bottom w:val="single" w:sz="4" w:space="0" w:color="auto"/>
              <w:right w:val="single" w:sz="4" w:space="0" w:color="auto"/>
            </w:tcBorders>
          </w:tcPr>
          <w:p w14:paraId="219EE932" w14:textId="77777777" w:rsidR="00CF04BC" w:rsidRPr="0018312D" w:rsidRDefault="00CF04BC" w:rsidP="0018312D">
            <w:pPr>
              <w:pStyle w:val="Tabletext"/>
              <w:jc w:val="center"/>
              <w:rPr>
                <w:sz w:val="18"/>
                <w:szCs w:val="18"/>
              </w:rPr>
            </w:pPr>
            <w:r w:rsidRPr="0018312D">
              <w:rPr>
                <w:sz w:val="18"/>
                <w:szCs w:val="18"/>
              </w:rPr>
              <w:t>78/63</w:t>
            </w:r>
          </w:p>
        </w:tc>
        <w:tc>
          <w:tcPr>
            <w:tcW w:w="765" w:type="dxa"/>
            <w:tcBorders>
              <w:top w:val="single" w:sz="4" w:space="0" w:color="auto"/>
              <w:left w:val="single" w:sz="4" w:space="0" w:color="auto"/>
              <w:bottom w:val="single" w:sz="4" w:space="0" w:color="auto"/>
              <w:right w:val="single" w:sz="4" w:space="0" w:color="auto"/>
            </w:tcBorders>
          </w:tcPr>
          <w:p w14:paraId="6864DC42" w14:textId="77777777" w:rsidR="00CF04BC" w:rsidRPr="0018312D" w:rsidRDefault="00CF04BC" w:rsidP="0018312D">
            <w:pPr>
              <w:pStyle w:val="Tabletext"/>
              <w:jc w:val="center"/>
              <w:rPr>
                <w:sz w:val="18"/>
                <w:szCs w:val="18"/>
              </w:rPr>
            </w:pPr>
            <w:r w:rsidRPr="0018312D">
              <w:rPr>
                <w:sz w:val="18"/>
                <w:szCs w:val="18"/>
              </w:rPr>
              <w:t>85/71</w:t>
            </w:r>
          </w:p>
        </w:tc>
        <w:tc>
          <w:tcPr>
            <w:tcW w:w="765" w:type="dxa"/>
            <w:tcBorders>
              <w:top w:val="single" w:sz="4" w:space="0" w:color="auto"/>
              <w:left w:val="single" w:sz="4" w:space="0" w:color="auto"/>
              <w:bottom w:val="single" w:sz="4" w:space="0" w:color="auto"/>
              <w:right w:val="single" w:sz="4" w:space="0" w:color="auto"/>
            </w:tcBorders>
          </w:tcPr>
          <w:p w14:paraId="0062B98E" w14:textId="77777777" w:rsidR="00CF04BC" w:rsidRPr="0018312D" w:rsidRDefault="00CF04BC" w:rsidP="0018312D">
            <w:pPr>
              <w:pStyle w:val="Tabletext"/>
              <w:jc w:val="center"/>
              <w:rPr>
                <w:sz w:val="18"/>
                <w:szCs w:val="18"/>
              </w:rPr>
            </w:pPr>
            <w:r w:rsidRPr="0018312D">
              <w:rPr>
                <w:sz w:val="18"/>
                <w:szCs w:val="18"/>
              </w:rPr>
              <w:t>91/78</w:t>
            </w:r>
          </w:p>
        </w:tc>
        <w:tc>
          <w:tcPr>
            <w:tcW w:w="765" w:type="dxa"/>
            <w:tcBorders>
              <w:top w:val="single" w:sz="4" w:space="0" w:color="auto"/>
              <w:left w:val="single" w:sz="4" w:space="0" w:color="auto"/>
              <w:bottom w:val="single" w:sz="4" w:space="0" w:color="auto"/>
              <w:right w:val="single" w:sz="4" w:space="0" w:color="auto"/>
            </w:tcBorders>
          </w:tcPr>
          <w:p w14:paraId="66752D70" w14:textId="77777777" w:rsidR="00CF04BC" w:rsidRPr="0018312D" w:rsidRDefault="00CF04BC" w:rsidP="0018312D">
            <w:pPr>
              <w:pStyle w:val="Tabletext"/>
              <w:jc w:val="center"/>
              <w:rPr>
                <w:sz w:val="18"/>
                <w:szCs w:val="18"/>
              </w:rPr>
            </w:pPr>
            <w:r w:rsidRPr="0018312D">
              <w:rPr>
                <w:sz w:val="18"/>
                <w:szCs w:val="18"/>
              </w:rPr>
              <w:t>95/84</w:t>
            </w:r>
          </w:p>
        </w:tc>
        <w:tc>
          <w:tcPr>
            <w:tcW w:w="765" w:type="dxa"/>
            <w:tcBorders>
              <w:top w:val="single" w:sz="4" w:space="0" w:color="auto"/>
              <w:left w:val="single" w:sz="4" w:space="0" w:color="auto"/>
              <w:bottom w:val="single" w:sz="4" w:space="0" w:color="auto"/>
              <w:right w:val="single" w:sz="4" w:space="0" w:color="auto"/>
            </w:tcBorders>
          </w:tcPr>
          <w:p w14:paraId="385D0C03" w14:textId="77777777" w:rsidR="00CF04BC" w:rsidRPr="0018312D" w:rsidRDefault="00CF04BC" w:rsidP="0018312D">
            <w:pPr>
              <w:pStyle w:val="Tabletext"/>
              <w:jc w:val="center"/>
              <w:rPr>
                <w:sz w:val="18"/>
                <w:szCs w:val="18"/>
              </w:rPr>
            </w:pPr>
            <w:r w:rsidRPr="0018312D">
              <w:rPr>
                <w:sz w:val="18"/>
                <w:szCs w:val="18"/>
              </w:rPr>
              <w:t>100/90</w:t>
            </w:r>
          </w:p>
        </w:tc>
        <w:tc>
          <w:tcPr>
            <w:tcW w:w="765" w:type="dxa"/>
            <w:tcBorders>
              <w:top w:val="single" w:sz="4" w:space="0" w:color="auto"/>
              <w:left w:val="single" w:sz="4" w:space="0" w:color="auto"/>
              <w:bottom w:val="single" w:sz="4" w:space="0" w:color="auto"/>
              <w:right w:val="single" w:sz="4" w:space="0" w:color="auto"/>
            </w:tcBorders>
          </w:tcPr>
          <w:p w14:paraId="64A2ADA6" w14:textId="77777777" w:rsidR="00CF04BC" w:rsidRPr="0018312D" w:rsidRDefault="00CF04BC" w:rsidP="0018312D">
            <w:pPr>
              <w:pStyle w:val="Tabletext"/>
              <w:jc w:val="center"/>
              <w:rPr>
                <w:sz w:val="18"/>
                <w:szCs w:val="18"/>
              </w:rPr>
            </w:pPr>
            <w:r w:rsidRPr="0018312D">
              <w:rPr>
                <w:sz w:val="18"/>
                <w:szCs w:val="18"/>
              </w:rPr>
              <w:t>104/95</w:t>
            </w:r>
          </w:p>
        </w:tc>
        <w:tc>
          <w:tcPr>
            <w:tcW w:w="879" w:type="dxa"/>
            <w:tcBorders>
              <w:top w:val="single" w:sz="4" w:space="0" w:color="auto"/>
              <w:left w:val="single" w:sz="4" w:space="0" w:color="auto"/>
              <w:bottom w:val="single" w:sz="4" w:space="0" w:color="auto"/>
              <w:right w:val="single" w:sz="4" w:space="0" w:color="auto"/>
            </w:tcBorders>
          </w:tcPr>
          <w:p w14:paraId="4FEC9BFC" w14:textId="77777777" w:rsidR="00CF04BC" w:rsidRPr="0018312D" w:rsidRDefault="00CF04BC" w:rsidP="0018312D">
            <w:pPr>
              <w:pStyle w:val="Tabletext"/>
              <w:jc w:val="center"/>
              <w:rPr>
                <w:sz w:val="18"/>
                <w:szCs w:val="18"/>
              </w:rPr>
            </w:pPr>
            <w:r w:rsidRPr="0018312D">
              <w:rPr>
                <w:sz w:val="18"/>
                <w:szCs w:val="18"/>
              </w:rPr>
              <w:t>112/105</w:t>
            </w:r>
          </w:p>
        </w:tc>
      </w:tr>
      <w:tr w:rsidR="00CF04BC" w:rsidRPr="00B93493" w14:paraId="72F698EC"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15463507" w14:textId="77777777" w:rsidR="00CF04BC" w:rsidRPr="0018312D" w:rsidRDefault="00CF04BC" w:rsidP="0018312D">
            <w:pPr>
              <w:pStyle w:val="Tabletext"/>
              <w:jc w:val="center"/>
              <w:rPr>
                <w:sz w:val="18"/>
                <w:szCs w:val="18"/>
              </w:rPr>
            </w:pPr>
            <w:r w:rsidRPr="0018312D">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14:paraId="416CFB40" w14:textId="77777777" w:rsidR="00CF04BC" w:rsidRPr="0018312D" w:rsidRDefault="00CF04BC" w:rsidP="0018312D">
            <w:pPr>
              <w:pStyle w:val="Tabletext"/>
              <w:jc w:val="center"/>
              <w:rPr>
                <w:sz w:val="18"/>
                <w:szCs w:val="18"/>
              </w:rPr>
            </w:pPr>
            <w:r w:rsidRPr="0018312D">
              <w:rPr>
                <w:sz w:val="18"/>
                <w:szCs w:val="18"/>
              </w:rPr>
              <w:t>54/36</w:t>
            </w:r>
          </w:p>
        </w:tc>
        <w:tc>
          <w:tcPr>
            <w:tcW w:w="765" w:type="dxa"/>
            <w:tcBorders>
              <w:top w:val="single" w:sz="4" w:space="0" w:color="auto"/>
              <w:left w:val="single" w:sz="4" w:space="0" w:color="auto"/>
              <w:bottom w:val="single" w:sz="4" w:space="0" w:color="auto"/>
              <w:right w:val="single" w:sz="4" w:space="0" w:color="auto"/>
            </w:tcBorders>
          </w:tcPr>
          <w:p w14:paraId="0CEF9873" w14:textId="77777777" w:rsidR="00CF04BC" w:rsidRPr="0018312D" w:rsidRDefault="00CF04BC" w:rsidP="0018312D">
            <w:pPr>
              <w:pStyle w:val="Tabletext"/>
              <w:jc w:val="center"/>
              <w:rPr>
                <w:sz w:val="18"/>
                <w:szCs w:val="18"/>
              </w:rPr>
            </w:pPr>
            <w:r w:rsidRPr="0018312D">
              <w:rPr>
                <w:sz w:val="18"/>
                <w:szCs w:val="18"/>
              </w:rPr>
              <w:t>65/42</w:t>
            </w:r>
          </w:p>
        </w:tc>
        <w:tc>
          <w:tcPr>
            <w:tcW w:w="765" w:type="dxa"/>
            <w:tcBorders>
              <w:top w:val="single" w:sz="4" w:space="0" w:color="auto"/>
              <w:left w:val="single" w:sz="4" w:space="0" w:color="auto"/>
              <w:bottom w:val="single" w:sz="4" w:space="0" w:color="auto"/>
              <w:right w:val="single" w:sz="4" w:space="0" w:color="auto"/>
            </w:tcBorders>
          </w:tcPr>
          <w:p w14:paraId="5EB83138" w14:textId="77777777" w:rsidR="00CF04BC" w:rsidRPr="0018312D" w:rsidRDefault="00CF04BC" w:rsidP="0018312D">
            <w:pPr>
              <w:pStyle w:val="Tabletext"/>
              <w:jc w:val="center"/>
              <w:rPr>
                <w:sz w:val="18"/>
                <w:szCs w:val="18"/>
              </w:rPr>
            </w:pPr>
            <w:r w:rsidRPr="0018312D">
              <w:rPr>
                <w:sz w:val="18"/>
                <w:szCs w:val="18"/>
              </w:rPr>
              <w:t>73/49</w:t>
            </w:r>
          </w:p>
        </w:tc>
        <w:tc>
          <w:tcPr>
            <w:tcW w:w="765" w:type="dxa"/>
            <w:tcBorders>
              <w:top w:val="single" w:sz="4" w:space="0" w:color="auto"/>
              <w:left w:val="single" w:sz="4" w:space="0" w:color="auto"/>
              <w:bottom w:val="single" w:sz="4" w:space="0" w:color="auto"/>
              <w:right w:val="single" w:sz="4" w:space="0" w:color="auto"/>
            </w:tcBorders>
          </w:tcPr>
          <w:p w14:paraId="5B450915" w14:textId="77777777" w:rsidR="00CF04BC" w:rsidRPr="0018312D" w:rsidRDefault="00CF04BC" w:rsidP="0018312D">
            <w:pPr>
              <w:pStyle w:val="Tabletext"/>
              <w:jc w:val="center"/>
              <w:rPr>
                <w:sz w:val="18"/>
                <w:szCs w:val="18"/>
              </w:rPr>
            </w:pPr>
            <w:r w:rsidRPr="0018312D">
              <w:rPr>
                <w:sz w:val="18"/>
                <w:szCs w:val="18"/>
              </w:rPr>
              <w:t>80/54</w:t>
            </w:r>
          </w:p>
        </w:tc>
        <w:tc>
          <w:tcPr>
            <w:tcW w:w="765" w:type="dxa"/>
            <w:tcBorders>
              <w:top w:val="single" w:sz="4" w:space="0" w:color="auto"/>
              <w:left w:val="single" w:sz="4" w:space="0" w:color="auto"/>
              <w:bottom w:val="single" w:sz="4" w:space="0" w:color="auto"/>
              <w:right w:val="single" w:sz="4" w:space="0" w:color="auto"/>
            </w:tcBorders>
          </w:tcPr>
          <w:p w14:paraId="027A5F5F" w14:textId="77777777" w:rsidR="00CF04BC" w:rsidRPr="0018312D" w:rsidRDefault="00CF04BC" w:rsidP="0018312D">
            <w:pPr>
              <w:pStyle w:val="Tabletext"/>
              <w:jc w:val="center"/>
              <w:rPr>
                <w:sz w:val="18"/>
                <w:szCs w:val="18"/>
              </w:rPr>
            </w:pPr>
            <w:r w:rsidRPr="0018312D">
              <w:rPr>
                <w:sz w:val="18"/>
                <w:szCs w:val="18"/>
              </w:rPr>
              <w:t>89/63</w:t>
            </w:r>
          </w:p>
        </w:tc>
        <w:tc>
          <w:tcPr>
            <w:tcW w:w="765" w:type="dxa"/>
            <w:tcBorders>
              <w:top w:val="single" w:sz="4" w:space="0" w:color="auto"/>
              <w:left w:val="single" w:sz="4" w:space="0" w:color="auto"/>
              <w:bottom w:val="single" w:sz="4" w:space="0" w:color="auto"/>
              <w:right w:val="single" w:sz="4" w:space="0" w:color="auto"/>
            </w:tcBorders>
          </w:tcPr>
          <w:p w14:paraId="2BA972D7" w14:textId="77777777" w:rsidR="00CF04BC" w:rsidRPr="0018312D" w:rsidRDefault="00CF04BC" w:rsidP="0018312D">
            <w:pPr>
              <w:pStyle w:val="Tabletext"/>
              <w:jc w:val="center"/>
              <w:rPr>
                <w:sz w:val="18"/>
                <w:szCs w:val="18"/>
              </w:rPr>
            </w:pPr>
            <w:r w:rsidRPr="0018312D">
              <w:rPr>
                <w:sz w:val="18"/>
                <w:szCs w:val="18"/>
              </w:rPr>
              <w:t>97/71</w:t>
            </w:r>
          </w:p>
        </w:tc>
        <w:tc>
          <w:tcPr>
            <w:tcW w:w="765" w:type="dxa"/>
            <w:tcBorders>
              <w:top w:val="single" w:sz="4" w:space="0" w:color="auto"/>
              <w:left w:val="single" w:sz="4" w:space="0" w:color="auto"/>
              <w:bottom w:val="single" w:sz="4" w:space="0" w:color="auto"/>
              <w:right w:val="single" w:sz="4" w:space="0" w:color="auto"/>
            </w:tcBorders>
          </w:tcPr>
          <w:p w14:paraId="1EA765D8" w14:textId="77777777" w:rsidR="00CF04BC" w:rsidRPr="0018312D" w:rsidRDefault="00CF04BC" w:rsidP="0018312D">
            <w:pPr>
              <w:pStyle w:val="Tabletext"/>
              <w:jc w:val="center"/>
              <w:rPr>
                <w:sz w:val="18"/>
                <w:szCs w:val="18"/>
              </w:rPr>
            </w:pPr>
            <w:r w:rsidRPr="0018312D">
              <w:rPr>
                <w:sz w:val="18"/>
                <w:szCs w:val="18"/>
              </w:rPr>
              <w:t>102/78</w:t>
            </w:r>
          </w:p>
        </w:tc>
        <w:tc>
          <w:tcPr>
            <w:tcW w:w="765" w:type="dxa"/>
            <w:tcBorders>
              <w:top w:val="single" w:sz="4" w:space="0" w:color="auto"/>
              <w:left w:val="single" w:sz="4" w:space="0" w:color="auto"/>
              <w:bottom w:val="single" w:sz="4" w:space="0" w:color="auto"/>
              <w:right w:val="single" w:sz="4" w:space="0" w:color="auto"/>
            </w:tcBorders>
          </w:tcPr>
          <w:p w14:paraId="16FAE1BE" w14:textId="77777777" w:rsidR="00CF04BC" w:rsidRPr="0018312D" w:rsidRDefault="00CF04BC" w:rsidP="0018312D">
            <w:pPr>
              <w:pStyle w:val="Tabletext"/>
              <w:jc w:val="center"/>
              <w:rPr>
                <w:sz w:val="18"/>
                <w:szCs w:val="18"/>
              </w:rPr>
            </w:pPr>
            <w:r w:rsidRPr="0018312D">
              <w:rPr>
                <w:sz w:val="18"/>
                <w:szCs w:val="18"/>
              </w:rPr>
              <w:t>107/84</w:t>
            </w:r>
          </w:p>
        </w:tc>
        <w:tc>
          <w:tcPr>
            <w:tcW w:w="765" w:type="dxa"/>
            <w:tcBorders>
              <w:top w:val="single" w:sz="4" w:space="0" w:color="auto"/>
              <w:left w:val="single" w:sz="4" w:space="0" w:color="auto"/>
              <w:bottom w:val="single" w:sz="4" w:space="0" w:color="auto"/>
              <w:right w:val="single" w:sz="4" w:space="0" w:color="auto"/>
            </w:tcBorders>
          </w:tcPr>
          <w:p w14:paraId="31B2FA6F" w14:textId="77777777" w:rsidR="00CF04BC" w:rsidRPr="0018312D" w:rsidRDefault="00CF04BC" w:rsidP="0018312D">
            <w:pPr>
              <w:pStyle w:val="Tabletext"/>
              <w:jc w:val="center"/>
              <w:rPr>
                <w:sz w:val="18"/>
                <w:szCs w:val="18"/>
              </w:rPr>
            </w:pPr>
            <w:r w:rsidRPr="0018312D">
              <w:rPr>
                <w:sz w:val="18"/>
                <w:szCs w:val="18"/>
              </w:rPr>
              <w:t>112/90</w:t>
            </w:r>
          </w:p>
        </w:tc>
        <w:tc>
          <w:tcPr>
            <w:tcW w:w="765" w:type="dxa"/>
            <w:tcBorders>
              <w:top w:val="single" w:sz="4" w:space="0" w:color="auto"/>
              <w:left w:val="single" w:sz="4" w:space="0" w:color="auto"/>
              <w:bottom w:val="single" w:sz="4" w:space="0" w:color="auto"/>
              <w:right w:val="single" w:sz="4" w:space="0" w:color="auto"/>
            </w:tcBorders>
          </w:tcPr>
          <w:p w14:paraId="3A3E47F2" w14:textId="77777777" w:rsidR="00CF04BC" w:rsidRPr="0018312D" w:rsidRDefault="00CF04BC" w:rsidP="0018312D">
            <w:pPr>
              <w:pStyle w:val="Tabletext"/>
              <w:jc w:val="center"/>
              <w:rPr>
                <w:sz w:val="18"/>
                <w:szCs w:val="18"/>
              </w:rPr>
            </w:pPr>
            <w:r w:rsidRPr="0018312D">
              <w:rPr>
                <w:sz w:val="18"/>
                <w:szCs w:val="18"/>
              </w:rPr>
              <w:t>117/95</w:t>
            </w:r>
          </w:p>
        </w:tc>
        <w:tc>
          <w:tcPr>
            <w:tcW w:w="879" w:type="dxa"/>
            <w:tcBorders>
              <w:top w:val="single" w:sz="4" w:space="0" w:color="auto"/>
              <w:left w:val="single" w:sz="4" w:space="0" w:color="auto"/>
              <w:bottom w:val="single" w:sz="4" w:space="0" w:color="auto"/>
              <w:right w:val="single" w:sz="4" w:space="0" w:color="auto"/>
            </w:tcBorders>
          </w:tcPr>
          <w:p w14:paraId="025ADDAB" w14:textId="77777777" w:rsidR="00CF04BC" w:rsidRPr="0018312D" w:rsidRDefault="00CF04BC" w:rsidP="0018312D">
            <w:pPr>
              <w:pStyle w:val="Tabletext"/>
              <w:jc w:val="center"/>
              <w:rPr>
                <w:sz w:val="18"/>
                <w:szCs w:val="18"/>
              </w:rPr>
            </w:pPr>
            <w:r w:rsidRPr="0018312D">
              <w:rPr>
                <w:sz w:val="18"/>
                <w:szCs w:val="18"/>
              </w:rPr>
              <w:t>124/105</w:t>
            </w:r>
          </w:p>
        </w:tc>
      </w:tr>
      <w:tr w:rsidR="00CF04BC" w:rsidRPr="00B93493" w14:paraId="27E460BA"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79559197" w14:textId="77777777" w:rsidR="00CF04BC" w:rsidRPr="0018312D" w:rsidRDefault="00CF04BC" w:rsidP="0018312D">
            <w:pPr>
              <w:pStyle w:val="Tabletext"/>
              <w:jc w:val="center"/>
              <w:rPr>
                <w:sz w:val="18"/>
                <w:szCs w:val="18"/>
              </w:rPr>
            </w:pPr>
            <w:r w:rsidRPr="0018312D">
              <w:rPr>
                <w:sz w:val="18"/>
                <w:szCs w:val="18"/>
              </w:rPr>
              <w:t>55.0</w:t>
            </w:r>
          </w:p>
        </w:tc>
        <w:tc>
          <w:tcPr>
            <w:tcW w:w="709" w:type="dxa"/>
            <w:tcBorders>
              <w:top w:val="single" w:sz="4" w:space="0" w:color="auto"/>
              <w:left w:val="single" w:sz="4" w:space="0" w:color="auto"/>
              <w:bottom w:val="single" w:sz="4" w:space="0" w:color="auto"/>
              <w:right w:val="single" w:sz="4" w:space="0" w:color="auto"/>
            </w:tcBorders>
          </w:tcPr>
          <w:p w14:paraId="62BF485D" w14:textId="77777777" w:rsidR="00CF04BC" w:rsidRPr="0018312D" w:rsidRDefault="00CF04BC" w:rsidP="0018312D">
            <w:pPr>
              <w:pStyle w:val="Tabletext"/>
              <w:jc w:val="center"/>
              <w:rPr>
                <w:sz w:val="18"/>
                <w:szCs w:val="18"/>
              </w:rPr>
            </w:pPr>
            <w:r w:rsidRPr="0018312D">
              <w:rPr>
                <w:sz w:val="18"/>
                <w:szCs w:val="18"/>
              </w:rPr>
              <w:t>69/36</w:t>
            </w:r>
          </w:p>
        </w:tc>
        <w:tc>
          <w:tcPr>
            <w:tcW w:w="765" w:type="dxa"/>
            <w:tcBorders>
              <w:top w:val="single" w:sz="4" w:space="0" w:color="auto"/>
              <w:left w:val="single" w:sz="4" w:space="0" w:color="auto"/>
              <w:bottom w:val="single" w:sz="4" w:space="0" w:color="auto"/>
              <w:right w:val="single" w:sz="4" w:space="0" w:color="auto"/>
            </w:tcBorders>
          </w:tcPr>
          <w:p w14:paraId="5F47F106" w14:textId="77777777" w:rsidR="00CF04BC" w:rsidRPr="0018312D" w:rsidRDefault="00CF04BC" w:rsidP="0018312D">
            <w:pPr>
              <w:pStyle w:val="Tabletext"/>
              <w:jc w:val="center"/>
              <w:rPr>
                <w:sz w:val="18"/>
                <w:szCs w:val="18"/>
              </w:rPr>
            </w:pPr>
            <w:r w:rsidRPr="0018312D">
              <w:rPr>
                <w:sz w:val="18"/>
                <w:szCs w:val="18"/>
              </w:rPr>
              <w:t>80/42</w:t>
            </w:r>
          </w:p>
        </w:tc>
        <w:tc>
          <w:tcPr>
            <w:tcW w:w="765" w:type="dxa"/>
            <w:tcBorders>
              <w:top w:val="single" w:sz="4" w:space="0" w:color="auto"/>
              <w:left w:val="single" w:sz="4" w:space="0" w:color="auto"/>
              <w:bottom w:val="single" w:sz="4" w:space="0" w:color="auto"/>
              <w:right w:val="single" w:sz="4" w:space="0" w:color="auto"/>
            </w:tcBorders>
          </w:tcPr>
          <w:p w14:paraId="65F659D4" w14:textId="77777777" w:rsidR="00CF04BC" w:rsidRPr="0018312D" w:rsidRDefault="00CF04BC" w:rsidP="0018312D">
            <w:pPr>
              <w:pStyle w:val="Tabletext"/>
              <w:jc w:val="center"/>
              <w:rPr>
                <w:sz w:val="18"/>
                <w:szCs w:val="18"/>
              </w:rPr>
            </w:pPr>
            <w:r w:rsidRPr="0018312D">
              <w:rPr>
                <w:sz w:val="18"/>
                <w:szCs w:val="18"/>
              </w:rPr>
              <w:t>89/49</w:t>
            </w:r>
          </w:p>
        </w:tc>
        <w:tc>
          <w:tcPr>
            <w:tcW w:w="765" w:type="dxa"/>
            <w:tcBorders>
              <w:top w:val="single" w:sz="4" w:space="0" w:color="auto"/>
              <w:left w:val="single" w:sz="4" w:space="0" w:color="auto"/>
              <w:bottom w:val="single" w:sz="4" w:space="0" w:color="auto"/>
              <w:right w:val="single" w:sz="4" w:space="0" w:color="auto"/>
            </w:tcBorders>
          </w:tcPr>
          <w:p w14:paraId="36E11460" w14:textId="77777777" w:rsidR="00CF04BC" w:rsidRPr="0018312D" w:rsidRDefault="00CF04BC" w:rsidP="0018312D">
            <w:pPr>
              <w:pStyle w:val="Tabletext"/>
              <w:jc w:val="center"/>
              <w:rPr>
                <w:sz w:val="18"/>
                <w:szCs w:val="18"/>
              </w:rPr>
            </w:pPr>
            <w:r w:rsidRPr="0018312D">
              <w:rPr>
                <w:sz w:val="18"/>
                <w:szCs w:val="18"/>
              </w:rPr>
              <w:t>96/54</w:t>
            </w:r>
          </w:p>
        </w:tc>
        <w:tc>
          <w:tcPr>
            <w:tcW w:w="765" w:type="dxa"/>
            <w:tcBorders>
              <w:top w:val="single" w:sz="4" w:space="0" w:color="auto"/>
              <w:left w:val="single" w:sz="4" w:space="0" w:color="auto"/>
              <w:bottom w:val="single" w:sz="4" w:space="0" w:color="auto"/>
              <w:right w:val="single" w:sz="4" w:space="0" w:color="auto"/>
            </w:tcBorders>
          </w:tcPr>
          <w:p w14:paraId="73D7721A" w14:textId="77777777" w:rsidR="00CF04BC" w:rsidRPr="0018312D" w:rsidRDefault="00CF04BC" w:rsidP="0018312D">
            <w:pPr>
              <w:pStyle w:val="Tabletext"/>
              <w:jc w:val="center"/>
              <w:rPr>
                <w:sz w:val="18"/>
                <w:szCs w:val="18"/>
              </w:rPr>
            </w:pPr>
            <w:r w:rsidRPr="0018312D">
              <w:rPr>
                <w:sz w:val="18"/>
                <w:szCs w:val="18"/>
              </w:rPr>
              <w:t>105/63</w:t>
            </w:r>
          </w:p>
        </w:tc>
        <w:tc>
          <w:tcPr>
            <w:tcW w:w="765" w:type="dxa"/>
            <w:tcBorders>
              <w:top w:val="single" w:sz="4" w:space="0" w:color="auto"/>
              <w:left w:val="single" w:sz="4" w:space="0" w:color="auto"/>
              <w:bottom w:val="single" w:sz="4" w:space="0" w:color="auto"/>
              <w:right w:val="single" w:sz="4" w:space="0" w:color="auto"/>
            </w:tcBorders>
          </w:tcPr>
          <w:p w14:paraId="2B41375F" w14:textId="77777777" w:rsidR="00CF04BC" w:rsidRPr="0018312D" w:rsidRDefault="00CF04BC" w:rsidP="0018312D">
            <w:pPr>
              <w:pStyle w:val="Tabletext"/>
              <w:jc w:val="center"/>
              <w:rPr>
                <w:sz w:val="18"/>
                <w:szCs w:val="18"/>
              </w:rPr>
            </w:pPr>
            <w:r w:rsidRPr="0018312D">
              <w:rPr>
                <w:sz w:val="18"/>
                <w:szCs w:val="18"/>
              </w:rPr>
              <w:t>113/71</w:t>
            </w:r>
          </w:p>
        </w:tc>
        <w:tc>
          <w:tcPr>
            <w:tcW w:w="765" w:type="dxa"/>
            <w:tcBorders>
              <w:top w:val="single" w:sz="4" w:space="0" w:color="auto"/>
              <w:left w:val="single" w:sz="4" w:space="0" w:color="auto"/>
              <w:bottom w:val="single" w:sz="4" w:space="0" w:color="auto"/>
              <w:right w:val="single" w:sz="4" w:space="0" w:color="auto"/>
            </w:tcBorders>
          </w:tcPr>
          <w:p w14:paraId="7FF60EF3" w14:textId="77777777" w:rsidR="00CF04BC" w:rsidRPr="0018312D" w:rsidRDefault="00CF04BC" w:rsidP="0018312D">
            <w:pPr>
              <w:pStyle w:val="Tabletext"/>
              <w:jc w:val="center"/>
              <w:rPr>
                <w:sz w:val="18"/>
                <w:szCs w:val="18"/>
              </w:rPr>
            </w:pPr>
            <w:r w:rsidRPr="0018312D">
              <w:rPr>
                <w:sz w:val="18"/>
                <w:szCs w:val="18"/>
              </w:rPr>
              <w:t>119/78</w:t>
            </w:r>
          </w:p>
        </w:tc>
        <w:tc>
          <w:tcPr>
            <w:tcW w:w="765" w:type="dxa"/>
            <w:tcBorders>
              <w:top w:val="single" w:sz="4" w:space="0" w:color="auto"/>
              <w:left w:val="single" w:sz="4" w:space="0" w:color="auto"/>
              <w:bottom w:val="single" w:sz="4" w:space="0" w:color="auto"/>
              <w:right w:val="single" w:sz="4" w:space="0" w:color="auto"/>
            </w:tcBorders>
          </w:tcPr>
          <w:p w14:paraId="1DA87F82" w14:textId="77777777" w:rsidR="00CF04BC" w:rsidRPr="0018312D" w:rsidRDefault="00CF04BC" w:rsidP="0018312D">
            <w:pPr>
              <w:pStyle w:val="Tabletext"/>
              <w:jc w:val="center"/>
              <w:rPr>
                <w:sz w:val="18"/>
                <w:szCs w:val="18"/>
              </w:rPr>
            </w:pPr>
            <w:r w:rsidRPr="0018312D">
              <w:rPr>
                <w:sz w:val="18"/>
                <w:szCs w:val="18"/>
              </w:rPr>
              <w:t>124/84</w:t>
            </w:r>
          </w:p>
        </w:tc>
        <w:tc>
          <w:tcPr>
            <w:tcW w:w="765" w:type="dxa"/>
            <w:tcBorders>
              <w:top w:val="single" w:sz="4" w:space="0" w:color="auto"/>
              <w:left w:val="single" w:sz="4" w:space="0" w:color="auto"/>
              <w:bottom w:val="single" w:sz="4" w:space="0" w:color="auto"/>
              <w:right w:val="single" w:sz="4" w:space="0" w:color="auto"/>
            </w:tcBorders>
          </w:tcPr>
          <w:p w14:paraId="6430622F" w14:textId="77777777" w:rsidR="00CF04BC" w:rsidRPr="0018312D" w:rsidRDefault="00CF04BC" w:rsidP="0018312D">
            <w:pPr>
              <w:pStyle w:val="Tabletext"/>
              <w:jc w:val="center"/>
              <w:rPr>
                <w:sz w:val="18"/>
                <w:szCs w:val="18"/>
              </w:rPr>
            </w:pPr>
            <w:r w:rsidRPr="0018312D">
              <w:rPr>
                <w:sz w:val="18"/>
                <w:szCs w:val="18"/>
              </w:rPr>
              <w:t>130/90</w:t>
            </w:r>
          </w:p>
        </w:tc>
        <w:tc>
          <w:tcPr>
            <w:tcW w:w="765" w:type="dxa"/>
            <w:tcBorders>
              <w:top w:val="single" w:sz="4" w:space="0" w:color="auto"/>
              <w:left w:val="single" w:sz="4" w:space="0" w:color="auto"/>
              <w:bottom w:val="single" w:sz="4" w:space="0" w:color="auto"/>
              <w:right w:val="single" w:sz="4" w:space="0" w:color="auto"/>
            </w:tcBorders>
          </w:tcPr>
          <w:p w14:paraId="2F339B9D" w14:textId="77777777" w:rsidR="00CF04BC" w:rsidRPr="0018312D" w:rsidRDefault="00CF04BC" w:rsidP="0018312D">
            <w:pPr>
              <w:pStyle w:val="Tabletext"/>
              <w:jc w:val="center"/>
              <w:rPr>
                <w:sz w:val="18"/>
                <w:szCs w:val="18"/>
              </w:rPr>
            </w:pPr>
            <w:r w:rsidRPr="0018312D">
              <w:rPr>
                <w:sz w:val="18"/>
                <w:szCs w:val="18"/>
              </w:rPr>
              <w:t>135/95</w:t>
            </w:r>
          </w:p>
        </w:tc>
        <w:tc>
          <w:tcPr>
            <w:tcW w:w="879" w:type="dxa"/>
            <w:tcBorders>
              <w:top w:val="single" w:sz="4" w:space="0" w:color="auto"/>
              <w:left w:val="single" w:sz="4" w:space="0" w:color="auto"/>
              <w:bottom w:val="single" w:sz="4" w:space="0" w:color="auto"/>
              <w:right w:val="single" w:sz="4" w:space="0" w:color="auto"/>
            </w:tcBorders>
          </w:tcPr>
          <w:p w14:paraId="69E59725" w14:textId="77777777" w:rsidR="00CF04BC" w:rsidRPr="0018312D" w:rsidRDefault="00CF04BC" w:rsidP="0018312D">
            <w:pPr>
              <w:pStyle w:val="Tabletext"/>
              <w:jc w:val="center"/>
              <w:rPr>
                <w:sz w:val="18"/>
                <w:szCs w:val="18"/>
              </w:rPr>
            </w:pPr>
            <w:r w:rsidRPr="0018312D">
              <w:rPr>
                <w:sz w:val="18"/>
                <w:szCs w:val="18"/>
              </w:rPr>
              <w:t>143/105</w:t>
            </w:r>
          </w:p>
        </w:tc>
      </w:tr>
      <w:tr w:rsidR="00CF04BC" w:rsidRPr="00B93493" w14:paraId="7CD5B26C" w14:textId="77777777" w:rsidTr="0018312D">
        <w:trPr>
          <w:jc w:val="center"/>
        </w:trPr>
        <w:tc>
          <w:tcPr>
            <w:tcW w:w="1247" w:type="dxa"/>
            <w:tcBorders>
              <w:top w:val="single" w:sz="4" w:space="0" w:color="auto"/>
              <w:left w:val="single" w:sz="4" w:space="0" w:color="auto"/>
              <w:bottom w:val="single" w:sz="4" w:space="0" w:color="auto"/>
              <w:right w:val="single" w:sz="4" w:space="0" w:color="auto"/>
            </w:tcBorders>
          </w:tcPr>
          <w:p w14:paraId="7F5F83D4" w14:textId="77777777" w:rsidR="00CF04BC" w:rsidRPr="0018312D" w:rsidRDefault="00CF04BC" w:rsidP="0018312D">
            <w:pPr>
              <w:pStyle w:val="Tabletext"/>
              <w:jc w:val="center"/>
              <w:rPr>
                <w:sz w:val="18"/>
                <w:szCs w:val="18"/>
              </w:rPr>
            </w:pPr>
            <w:r w:rsidRPr="0018312D">
              <w:rPr>
                <w:sz w:val="18"/>
                <w:szCs w:val="18"/>
              </w:rPr>
              <w:t>60.0</w:t>
            </w:r>
          </w:p>
        </w:tc>
        <w:tc>
          <w:tcPr>
            <w:tcW w:w="709" w:type="dxa"/>
            <w:tcBorders>
              <w:top w:val="single" w:sz="4" w:space="0" w:color="auto"/>
              <w:left w:val="single" w:sz="4" w:space="0" w:color="auto"/>
              <w:bottom w:val="single" w:sz="4" w:space="0" w:color="auto"/>
              <w:right w:val="single" w:sz="4" w:space="0" w:color="auto"/>
            </w:tcBorders>
          </w:tcPr>
          <w:p w14:paraId="0E514811" w14:textId="77777777" w:rsidR="00CF04BC" w:rsidRPr="0018312D" w:rsidRDefault="00CF04BC" w:rsidP="0018312D">
            <w:pPr>
              <w:pStyle w:val="Tabletext"/>
              <w:jc w:val="center"/>
              <w:rPr>
                <w:sz w:val="18"/>
                <w:szCs w:val="18"/>
              </w:rPr>
            </w:pPr>
            <w:r w:rsidRPr="0018312D">
              <w:rPr>
                <w:sz w:val="18"/>
                <w:szCs w:val="18"/>
              </w:rPr>
              <w:t>88/36</w:t>
            </w:r>
          </w:p>
        </w:tc>
        <w:tc>
          <w:tcPr>
            <w:tcW w:w="765" w:type="dxa"/>
            <w:tcBorders>
              <w:top w:val="single" w:sz="4" w:space="0" w:color="auto"/>
              <w:left w:val="single" w:sz="4" w:space="0" w:color="auto"/>
              <w:bottom w:val="single" w:sz="4" w:space="0" w:color="auto"/>
              <w:right w:val="single" w:sz="4" w:space="0" w:color="auto"/>
            </w:tcBorders>
          </w:tcPr>
          <w:p w14:paraId="5F4664F4" w14:textId="77777777" w:rsidR="00CF04BC" w:rsidRPr="0018312D" w:rsidRDefault="00CF04BC" w:rsidP="0018312D">
            <w:pPr>
              <w:pStyle w:val="Tabletext"/>
              <w:jc w:val="center"/>
              <w:rPr>
                <w:sz w:val="18"/>
                <w:szCs w:val="18"/>
              </w:rPr>
            </w:pPr>
            <w:r w:rsidRPr="0018312D">
              <w:rPr>
                <w:sz w:val="18"/>
                <w:szCs w:val="18"/>
              </w:rPr>
              <w:t>100/42</w:t>
            </w:r>
          </w:p>
        </w:tc>
        <w:tc>
          <w:tcPr>
            <w:tcW w:w="765" w:type="dxa"/>
            <w:tcBorders>
              <w:top w:val="single" w:sz="4" w:space="0" w:color="auto"/>
              <w:left w:val="single" w:sz="4" w:space="0" w:color="auto"/>
              <w:bottom w:val="single" w:sz="4" w:space="0" w:color="auto"/>
              <w:right w:val="single" w:sz="4" w:space="0" w:color="auto"/>
            </w:tcBorders>
          </w:tcPr>
          <w:p w14:paraId="2A9BC7FF" w14:textId="77777777" w:rsidR="00CF04BC" w:rsidRPr="0018312D" w:rsidRDefault="00CF04BC" w:rsidP="0018312D">
            <w:pPr>
              <w:pStyle w:val="Tabletext"/>
              <w:jc w:val="center"/>
              <w:rPr>
                <w:sz w:val="18"/>
                <w:szCs w:val="18"/>
              </w:rPr>
            </w:pPr>
            <w:r w:rsidRPr="0018312D">
              <w:rPr>
                <w:sz w:val="18"/>
                <w:szCs w:val="18"/>
              </w:rPr>
              <w:t>108/49</w:t>
            </w:r>
          </w:p>
        </w:tc>
        <w:tc>
          <w:tcPr>
            <w:tcW w:w="765" w:type="dxa"/>
            <w:tcBorders>
              <w:top w:val="single" w:sz="4" w:space="0" w:color="auto"/>
              <w:left w:val="single" w:sz="4" w:space="0" w:color="auto"/>
              <w:bottom w:val="single" w:sz="4" w:space="0" w:color="auto"/>
              <w:right w:val="single" w:sz="4" w:space="0" w:color="auto"/>
            </w:tcBorders>
          </w:tcPr>
          <w:p w14:paraId="355455EF" w14:textId="77777777" w:rsidR="00CF04BC" w:rsidRPr="0018312D" w:rsidRDefault="00CF04BC" w:rsidP="0018312D">
            <w:pPr>
              <w:pStyle w:val="Tabletext"/>
              <w:jc w:val="center"/>
              <w:rPr>
                <w:sz w:val="18"/>
                <w:szCs w:val="18"/>
              </w:rPr>
            </w:pPr>
            <w:r w:rsidRPr="0018312D">
              <w:rPr>
                <w:sz w:val="18"/>
                <w:szCs w:val="18"/>
              </w:rPr>
              <w:t>115/54</w:t>
            </w:r>
          </w:p>
        </w:tc>
        <w:tc>
          <w:tcPr>
            <w:tcW w:w="765" w:type="dxa"/>
            <w:tcBorders>
              <w:top w:val="single" w:sz="4" w:space="0" w:color="auto"/>
              <w:left w:val="single" w:sz="4" w:space="0" w:color="auto"/>
              <w:bottom w:val="single" w:sz="4" w:space="0" w:color="auto"/>
              <w:right w:val="single" w:sz="4" w:space="0" w:color="auto"/>
            </w:tcBorders>
          </w:tcPr>
          <w:p w14:paraId="7F71728F" w14:textId="77777777" w:rsidR="00CF04BC" w:rsidRPr="0018312D" w:rsidRDefault="00CF04BC" w:rsidP="0018312D">
            <w:pPr>
              <w:pStyle w:val="Tabletext"/>
              <w:jc w:val="center"/>
              <w:rPr>
                <w:sz w:val="18"/>
                <w:szCs w:val="18"/>
              </w:rPr>
            </w:pPr>
            <w:r w:rsidRPr="0018312D">
              <w:rPr>
                <w:sz w:val="18"/>
                <w:szCs w:val="18"/>
              </w:rPr>
              <w:t>125/63</w:t>
            </w:r>
          </w:p>
        </w:tc>
        <w:tc>
          <w:tcPr>
            <w:tcW w:w="765" w:type="dxa"/>
            <w:tcBorders>
              <w:top w:val="single" w:sz="4" w:space="0" w:color="auto"/>
              <w:left w:val="single" w:sz="4" w:space="0" w:color="auto"/>
              <w:bottom w:val="single" w:sz="4" w:space="0" w:color="auto"/>
              <w:right w:val="single" w:sz="4" w:space="0" w:color="auto"/>
            </w:tcBorders>
          </w:tcPr>
          <w:p w14:paraId="3E44D5C1" w14:textId="77777777" w:rsidR="00CF04BC" w:rsidRPr="0018312D" w:rsidRDefault="00CF04BC" w:rsidP="0018312D">
            <w:pPr>
              <w:pStyle w:val="Tabletext"/>
              <w:jc w:val="center"/>
              <w:rPr>
                <w:sz w:val="18"/>
                <w:szCs w:val="18"/>
              </w:rPr>
            </w:pPr>
            <w:r w:rsidRPr="0018312D">
              <w:rPr>
                <w:sz w:val="18"/>
                <w:szCs w:val="18"/>
              </w:rPr>
              <w:t>134/71</w:t>
            </w:r>
          </w:p>
        </w:tc>
        <w:tc>
          <w:tcPr>
            <w:tcW w:w="765" w:type="dxa"/>
            <w:tcBorders>
              <w:top w:val="single" w:sz="4" w:space="0" w:color="auto"/>
              <w:left w:val="single" w:sz="4" w:space="0" w:color="auto"/>
              <w:bottom w:val="single" w:sz="4" w:space="0" w:color="auto"/>
              <w:right w:val="single" w:sz="4" w:space="0" w:color="auto"/>
            </w:tcBorders>
          </w:tcPr>
          <w:p w14:paraId="71C9260D" w14:textId="77777777" w:rsidR="00CF04BC" w:rsidRPr="0018312D" w:rsidRDefault="00CF04BC" w:rsidP="0018312D">
            <w:pPr>
              <w:pStyle w:val="Tabletext"/>
              <w:jc w:val="center"/>
              <w:rPr>
                <w:sz w:val="18"/>
                <w:szCs w:val="18"/>
              </w:rPr>
            </w:pPr>
            <w:r w:rsidRPr="0018312D">
              <w:rPr>
                <w:sz w:val="18"/>
                <w:szCs w:val="18"/>
              </w:rPr>
              <w:t>140/78</w:t>
            </w:r>
          </w:p>
        </w:tc>
        <w:tc>
          <w:tcPr>
            <w:tcW w:w="765" w:type="dxa"/>
            <w:tcBorders>
              <w:top w:val="single" w:sz="4" w:space="0" w:color="auto"/>
              <w:left w:val="single" w:sz="4" w:space="0" w:color="auto"/>
              <w:bottom w:val="single" w:sz="4" w:space="0" w:color="auto"/>
              <w:right w:val="single" w:sz="4" w:space="0" w:color="auto"/>
            </w:tcBorders>
          </w:tcPr>
          <w:p w14:paraId="4CC5B1DD" w14:textId="77777777" w:rsidR="00CF04BC" w:rsidRPr="0018312D" w:rsidRDefault="00CF04BC" w:rsidP="0018312D">
            <w:pPr>
              <w:pStyle w:val="Tabletext"/>
              <w:jc w:val="center"/>
              <w:rPr>
                <w:sz w:val="18"/>
                <w:szCs w:val="18"/>
              </w:rPr>
            </w:pPr>
            <w:r w:rsidRPr="0018312D">
              <w:rPr>
                <w:sz w:val="18"/>
                <w:szCs w:val="18"/>
              </w:rPr>
              <w:t>145/84</w:t>
            </w:r>
          </w:p>
        </w:tc>
        <w:tc>
          <w:tcPr>
            <w:tcW w:w="765" w:type="dxa"/>
            <w:tcBorders>
              <w:top w:val="single" w:sz="4" w:space="0" w:color="auto"/>
              <w:left w:val="single" w:sz="4" w:space="0" w:color="auto"/>
              <w:bottom w:val="single" w:sz="4" w:space="0" w:color="auto"/>
              <w:right w:val="single" w:sz="4" w:space="0" w:color="auto"/>
            </w:tcBorders>
          </w:tcPr>
          <w:p w14:paraId="57454FEA" w14:textId="77777777" w:rsidR="00CF04BC" w:rsidRPr="0018312D" w:rsidRDefault="00CF04BC" w:rsidP="0018312D">
            <w:pPr>
              <w:pStyle w:val="Tabletext"/>
              <w:jc w:val="center"/>
              <w:rPr>
                <w:sz w:val="18"/>
                <w:szCs w:val="18"/>
              </w:rPr>
            </w:pPr>
            <w:r w:rsidRPr="0018312D">
              <w:rPr>
                <w:sz w:val="18"/>
                <w:szCs w:val="18"/>
              </w:rPr>
              <w:t>152/90</w:t>
            </w:r>
          </w:p>
        </w:tc>
        <w:tc>
          <w:tcPr>
            <w:tcW w:w="765" w:type="dxa"/>
            <w:tcBorders>
              <w:top w:val="single" w:sz="4" w:space="0" w:color="auto"/>
              <w:left w:val="single" w:sz="4" w:space="0" w:color="auto"/>
              <w:bottom w:val="single" w:sz="4" w:space="0" w:color="auto"/>
              <w:right w:val="single" w:sz="4" w:space="0" w:color="auto"/>
            </w:tcBorders>
          </w:tcPr>
          <w:p w14:paraId="19179BAD" w14:textId="77777777" w:rsidR="00CF04BC" w:rsidRPr="0018312D" w:rsidRDefault="00CF04BC" w:rsidP="0018312D">
            <w:pPr>
              <w:pStyle w:val="Tabletext"/>
              <w:jc w:val="center"/>
              <w:rPr>
                <w:sz w:val="18"/>
                <w:szCs w:val="18"/>
              </w:rPr>
            </w:pPr>
            <w:r w:rsidRPr="0018312D">
              <w:rPr>
                <w:sz w:val="18"/>
                <w:szCs w:val="18"/>
              </w:rPr>
              <w:t>157/95</w:t>
            </w:r>
          </w:p>
        </w:tc>
        <w:tc>
          <w:tcPr>
            <w:tcW w:w="879" w:type="dxa"/>
            <w:tcBorders>
              <w:top w:val="single" w:sz="4" w:space="0" w:color="auto"/>
              <w:left w:val="single" w:sz="4" w:space="0" w:color="auto"/>
              <w:bottom w:val="single" w:sz="4" w:space="0" w:color="auto"/>
              <w:right w:val="single" w:sz="4" w:space="0" w:color="auto"/>
            </w:tcBorders>
          </w:tcPr>
          <w:p w14:paraId="39BC0341" w14:textId="77777777" w:rsidR="00CF04BC" w:rsidRPr="0018312D" w:rsidRDefault="00CF04BC" w:rsidP="0018312D">
            <w:pPr>
              <w:pStyle w:val="Tabletext"/>
              <w:jc w:val="center"/>
              <w:rPr>
                <w:sz w:val="18"/>
                <w:szCs w:val="18"/>
              </w:rPr>
            </w:pPr>
            <w:r w:rsidRPr="0018312D">
              <w:rPr>
                <w:sz w:val="18"/>
                <w:szCs w:val="18"/>
              </w:rPr>
              <w:t>166/105</w:t>
            </w:r>
          </w:p>
        </w:tc>
      </w:tr>
    </w:tbl>
    <w:p w14:paraId="2D2AC2F6" w14:textId="77777777" w:rsidR="00CF04BC" w:rsidRPr="00B93493" w:rsidRDefault="00CF04BC" w:rsidP="00CF04BC">
      <w:pPr>
        <w:pStyle w:val="Tablefin"/>
      </w:pPr>
    </w:p>
    <w:p w14:paraId="5C86163B" w14:textId="77777777" w:rsidR="00CF04BC" w:rsidRPr="00B93493" w:rsidRDefault="00CF04BC" w:rsidP="00CF04BC">
      <w:pPr>
        <w:pStyle w:val="TableNo"/>
        <w:rPr>
          <w:lang w:eastAsia="zh-CN"/>
        </w:rPr>
      </w:pPr>
      <w:r w:rsidRPr="00B93493">
        <w:t xml:space="preserve">TABLE </w:t>
      </w:r>
      <w:r>
        <w:rPr>
          <w:rFonts w:hint="eastAsia"/>
          <w:lang w:eastAsia="zh-CN"/>
        </w:rPr>
        <w:t>6</w:t>
      </w:r>
    </w:p>
    <w:p w14:paraId="1F0FBE7C" w14:textId="2AA6FDC2" w:rsidR="00CF04BC" w:rsidRPr="00B93493" w:rsidRDefault="00CF04BC" w:rsidP="00CF04BC">
      <w:pPr>
        <w:pStyle w:val="Tabletitle"/>
      </w:pPr>
      <w:r w:rsidRPr="00B93493">
        <w:t>Radius of service area (km) for TV in 76-108 MHz,</w:t>
      </w:r>
      <w:r w:rsidRPr="00B93493">
        <w:br/>
      </w:r>
      <w:r w:rsidRPr="00B93493">
        <w:rPr>
          <w:i/>
          <w:iCs/>
        </w:rPr>
        <w:t>E</w:t>
      </w:r>
      <w:r w:rsidRPr="00B93493">
        <w:rPr>
          <w:i/>
          <w:iCs/>
          <w:vertAlign w:val="subscript"/>
        </w:rPr>
        <w:t>mu</w:t>
      </w:r>
      <w:r w:rsidRPr="00B93493">
        <w:t xml:space="preserve"> </w:t>
      </w:r>
      <w:r w:rsidRPr="00B93493">
        <w:rPr>
          <w:rFonts w:ascii="Symbol" w:hAnsi="Symbol"/>
        </w:rPr>
        <w:t></w:t>
      </w:r>
      <w:r w:rsidRPr="00B93493">
        <w:t xml:space="preserve"> 52 dB(</w:t>
      </w:r>
      <w:r w:rsidR="0018312D">
        <w:t>μ</w:t>
      </w:r>
      <w:r w:rsidRPr="00B93493">
        <w:t xml:space="preserve">V/m), </w:t>
      </w:r>
      <w:r w:rsidRPr="00B93493">
        <w:rPr>
          <w:i/>
          <w:iCs/>
        </w:rPr>
        <w:t>f</w:t>
      </w:r>
      <w:r w:rsidRPr="00B93493">
        <w:rPr>
          <w:i/>
          <w:iCs/>
          <w:vertAlign w:val="subscript"/>
        </w:rPr>
        <w:t>c</w:t>
      </w:r>
      <w:r w:rsidRPr="00B93493">
        <w:t xml:space="preserve"> </w:t>
      </w:r>
      <w:r w:rsidRPr="00B93493">
        <w:rPr>
          <w:rFonts w:ascii="Symbol" w:hAnsi="Symbol"/>
        </w:rPr>
        <w:t></w:t>
      </w:r>
      <w:r w:rsidRPr="00B93493">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03"/>
        <w:gridCol w:w="759"/>
        <w:gridCol w:w="759"/>
        <w:gridCol w:w="759"/>
        <w:gridCol w:w="759"/>
        <w:gridCol w:w="759"/>
        <w:gridCol w:w="759"/>
        <w:gridCol w:w="759"/>
        <w:gridCol w:w="759"/>
        <w:gridCol w:w="759"/>
        <w:gridCol w:w="871"/>
      </w:tblGrid>
      <w:tr w:rsidR="00CF04BC" w:rsidRPr="00B93493" w14:paraId="5BA87427" w14:textId="77777777" w:rsidTr="002E7F54">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3A0B67D9" w14:textId="77777777" w:rsidR="00CF04BC" w:rsidRPr="00B93493" w:rsidRDefault="00CF04BC" w:rsidP="002E7F54">
            <w:pPr>
              <w:pStyle w:val="Tablehead"/>
              <w:ind w:right="-397"/>
              <w:rPr>
                <w:sz w:val="18"/>
                <w:szCs w:val="18"/>
              </w:rPr>
            </w:pPr>
            <w:r w:rsidRPr="00B93493">
              <w:rPr>
                <w:i/>
                <w:iCs/>
                <w:sz w:val="18"/>
                <w:szCs w:val="18"/>
              </w:rPr>
              <w:t>h</w:t>
            </w:r>
            <w:r w:rsidRPr="00B93493">
              <w:rPr>
                <w:i/>
                <w:iCs/>
                <w:sz w:val="18"/>
                <w:szCs w:val="18"/>
                <w:vertAlign w:val="subscript"/>
              </w:rPr>
              <w:t>ef</w:t>
            </w:r>
            <w:r w:rsidRPr="00B93493">
              <w:rPr>
                <w:sz w:val="18"/>
                <w:szCs w:val="18"/>
              </w:rPr>
              <w:t xml:space="preserve"> (m)</w:t>
            </w:r>
          </w:p>
          <w:p w14:paraId="629BD0A3" w14:textId="77777777" w:rsidR="00CF04BC" w:rsidRPr="00B93493" w:rsidRDefault="00CF04BC" w:rsidP="002E7F54">
            <w:pPr>
              <w:pStyle w:val="Tablehead"/>
              <w:ind w:left="-113" w:right="-340"/>
              <w:jc w:val="left"/>
              <w:rPr>
                <w:sz w:val="18"/>
                <w:szCs w:val="18"/>
              </w:rPr>
            </w:pPr>
            <w:r w:rsidRPr="00B93493">
              <w:rPr>
                <w:i/>
                <w:iCs/>
                <w:sz w:val="18"/>
                <w:szCs w:val="18"/>
              </w:rPr>
              <w:t>P</w:t>
            </w:r>
            <w:r w:rsidRPr="00B93493">
              <w:rPr>
                <w:i/>
                <w:iCs/>
                <w:sz w:val="18"/>
                <w:szCs w:val="18"/>
                <w:vertAlign w:val="subscript"/>
              </w:rPr>
              <w:t>ef</w:t>
            </w:r>
            <w:r w:rsidRPr="00B93493">
              <w:rPr>
                <w:rFonts w:ascii="Tms Rmn" w:hAnsi="Tms Rmn"/>
                <w:sz w:val="18"/>
                <w:szCs w:val="18"/>
                <w:vertAlign w:val="subscript"/>
              </w:rPr>
              <w:t> </w:t>
            </w:r>
            <w:r w:rsidRPr="00B93493">
              <w:rPr>
                <w:sz w:val="18"/>
                <w:szCs w:val="18"/>
              </w:rPr>
              <w:t>(dBW)</w:t>
            </w:r>
          </w:p>
        </w:tc>
        <w:tc>
          <w:tcPr>
            <w:tcW w:w="709" w:type="dxa"/>
            <w:tcBorders>
              <w:top w:val="single" w:sz="4" w:space="0" w:color="auto"/>
              <w:left w:val="single" w:sz="4" w:space="0" w:color="auto"/>
              <w:bottom w:val="single" w:sz="4" w:space="0" w:color="auto"/>
              <w:right w:val="single" w:sz="4" w:space="0" w:color="auto"/>
            </w:tcBorders>
          </w:tcPr>
          <w:p w14:paraId="0E9FF122" w14:textId="77777777" w:rsidR="00CF04BC" w:rsidRPr="00B93493" w:rsidRDefault="00CF04BC" w:rsidP="002E7F54">
            <w:pPr>
              <w:pStyle w:val="Tablehead"/>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28F258C1" w14:textId="77777777" w:rsidR="00CF04BC" w:rsidRPr="00B93493" w:rsidRDefault="00CF04BC" w:rsidP="002E7F54">
            <w:pPr>
              <w:pStyle w:val="Tablehead"/>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7443AED0" w14:textId="77777777" w:rsidR="00CF04BC" w:rsidRPr="00B93493" w:rsidRDefault="00CF04BC" w:rsidP="002E7F54">
            <w:pPr>
              <w:pStyle w:val="Tablehead"/>
              <w:rPr>
                <w:sz w:val="18"/>
                <w:szCs w:val="18"/>
              </w:rPr>
            </w:pPr>
            <w:r w:rsidRPr="00B93493">
              <w:rPr>
                <w:sz w:val="18"/>
                <w:szCs w:val="18"/>
              </w:rPr>
              <w:t>75</w:t>
            </w:r>
          </w:p>
        </w:tc>
        <w:tc>
          <w:tcPr>
            <w:tcW w:w="765" w:type="dxa"/>
            <w:tcBorders>
              <w:top w:val="single" w:sz="4" w:space="0" w:color="auto"/>
              <w:left w:val="single" w:sz="4" w:space="0" w:color="auto"/>
              <w:bottom w:val="single" w:sz="4" w:space="0" w:color="auto"/>
              <w:right w:val="single" w:sz="4" w:space="0" w:color="auto"/>
            </w:tcBorders>
          </w:tcPr>
          <w:p w14:paraId="6396656F" w14:textId="77777777" w:rsidR="00CF04BC" w:rsidRPr="00B93493" w:rsidRDefault="00CF04BC" w:rsidP="002E7F54">
            <w:pPr>
              <w:pStyle w:val="Tablehead"/>
              <w:rPr>
                <w:sz w:val="18"/>
                <w:szCs w:val="18"/>
              </w:rPr>
            </w:pPr>
            <w:r w:rsidRPr="00B93493">
              <w:rPr>
                <w:sz w:val="18"/>
                <w:szCs w:val="18"/>
              </w:rPr>
              <w:t>100</w:t>
            </w:r>
          </w:p>
        </w:tc>
        <w:tc>
          <w:tcPr>
            <w:tcW w:w="765" w:type="dxa"/>
            <w:tcBorders>
              <w:top w:val="single" w:sz="4" w:space="0" w:color="auto"/>
              <w:left w:val="single" w:sz="4" w:space="0" w:color="auto"/>
              <w:bottom w:val="single" w:sz="4" w:space="0" w:color="auto"/>
              <w:right w:val="single" w:sz="4" w:space="0" w:color="auto"/>
            </w:tcBorders>
          </w:tcPr>
          <w:p w14:paraId="1BBE478A" w14:textId="77777777" w:rsidR="00CF04BC" w:rsidRPr="00B93493" w:rsidRDefault="00CF04BC" w:rsidP="002E7F54">
            <w:pPr>
              <w:pStyle w:val="Tablehead"/>
              <w:rPr>
                <w:sz w:val="18"/>
                <w:szCs w:val="18"/>
              </w:rPr>
            </w:pPr>
            <w:r w:rsidRPr="00B93493">
              <w:rPr>
                <w:sz w:val="18"/>
                <w:szCs w:val="18"/>
              </w:rPr>
              <w:t>150</w:t>
            </w:r>
          </w:p>
        </w:tc>
        <w:tc>
          <w:tcPr>
            <w:tcW w:w="765" w:type="dxa"/>
            <w:tcBorders>
              <w:top w:val="single" w:sz="4" w:space="0" w:color="auto"/>
              <w:left w:val="single" w:sz="4" w:space="0" w:color="auto"/>
              <w:bottom w:val="single" w:sz="4" w:space="0" w:color="auto"/>
              <w:right w:val="single" w:sz="4" w:space="0" w:color="auto"/>
            </w:tcBorders>
          </w:tcPr>
          <w:p w14:paraId="6DCB4868" w14:textId="77777777" w:rsidR="00CF04BC" w:rsidRPr="00B93493" w:rsidRDefault="00CF04BC" w:rsidP="002E7F54">
            <w:pPr>
              <w:pStyle w:val="Tablehead"/>
              <w:rPr>
                <w:sz w:val="18"/>
                <w:szCs w:val="18"/>
              </w:rPr>
            </w:pPr>
            <w:r w:rsidRPr="00B93493">
              <w:rPr>
                <w:sz w:val="18"/>
                <w:szCs w:val="18"/>
              </w:rPr>
              <w:t>200</w:t>
            </w:r>
          </w:p>
        </w:tc>
        <w:tc>
          <w:tcPr>
            <w:tcW w:w="765" w:type="dxa"/>
            <w:tcBorders>
              <w:top w:val="single" w:sz="4" w:space="0" w:color="auto"/>
              <w:left w:val="single" w:sz="4" w:space="0" w:color="auto"/>
              <w:bottom w:val="single" w:sz="4" w:space="0" w:color="auto"/>
              <w:right w:val="single" w:sz="4" w:space="0" w:color="auto"/>
            </w:tcBorders>
          </w:tcPr>
          <w:p w14:paraId="2AA59E5E" w14:textId="77777777" w:rsidR="00CF04BC" w:rsidRPr="00B93493" w:rsidRDefault="00CF04BC" w:rsidP="002E7F54">
            <w:pPr>
              <w:pStyle w:val="Tablehead"/>
              <w:rPr>
                <w:sz w:val="18"/>
                <w:szCs w:val="18"/>
              </w:rPr>
            </w:pPr>
            <w:r w:rsidRPr="00B93493">
              <w:rPr>
                <w:sz w:val="18"/>
                <w:szCs w:val="18"/>
              </w:rPr>
              <w:t>250</w:t>
            </w:r>
          </w:p>
        </w:tc>
        <w:tc>
          <w:tcPr>
            <w:tcW w:w="765" w:type="dxa"/>
            <w:tcBorders>
              <w:top w:val="single" w:sz="4" w:space="0" w:color="auto"/>
              <w:left w:val="single" w:sz="4" w:space="0" w:color="auto"/>
              <w:bottom w:val="single" w:sz="4" w:space="0" w:color="auto"/>
              <w:right w:val="single" w:sz="4" w:space="0" w:color="auto"/>
            </w:tcBorders>
          </w:tcPr>
          <w:p w14:paraId="2EB934DF" w14:textId="77777777" w:rsidR="00CF04BC" w:rsidRPr="00B93493" w:rsidRDefault="00CF04BC" w:rsidP="002E7F54">
            <w:pPr>
              <w:pStyle w:val="Tablehead"/>
              <w:rPr>
                <w:sz w:val="18"/>
                <w:szCs w:val="18"/>
              </w:rPr>
            </w:pPr>
            <w:r w:rsidRPr="00B93493">
              <w:rPr>
                <w:sz w:val="18"/>
                <w:szCs w:val="18"/>
              </w:rPr>
              <w:t>300</w:t>
            </w:r>
          </w:p>
        </w:tc>
        <w:tc>
          <w:tcPr>
            <w:tcW w:w="765" w:type="dxa"/>
            <w:tcBorders>
              <w:top w:val="single" w:sz="4" w:space="0" w:color="auto"/>
              <w:left w:val="single" w:sz="4" w:space="0" w:color="auto"/>
              <w:bottom w:val="single" w:sz="4" w:space="0" w:color="auto"/>
              <w:right w:val="single" w:sz="4" w:space="0" w:color="auto"/>
            </w:tcBorders>
          </w:tcPr>
          <w:p w14:paraId="122E15BF" w14:textId="77777777" w:rsidR="00CF04BC" w:rsidRPr="00B93493" w:rsidRDefault="00CF04BC" w:rsidP="002E7F54">
            <w:pPr>
              <w:pStyle w:val="Tablehead"/>
              <w:rPr>
                <w:sz w:val="18"/>
                <w:szCs w:val="18"/>
              </w:rPr>
            </w:pPr>
            <w:r w:rsidRPr="00B93493">
              <w:rPr>
                <w:sz w:val="18"/>
                <w:szCs w:val="18"/>
              </w:rPr>
              <w:t>350</w:t>
            </w:r>
          </w:p>
        </w:tc>
        <w:tc>
          <w:tcPr>
            <w:tcW w:w="765" w:type="dxa"/>
            <w:tcBorders>
              <w:top w:val="single" w:sz="4" w:space="0" w:color="auto"/>
              <w:left w:val="single" w:sz="4" w:space="0" w:color="auto"/>
              <w:bottom w:val="single" w:sz="4" w:space="0" w:color="auto"/>
              <w:right w:val="single" w:sz="4" w:space="0" w:color="auto"/>
            </w:tcBorders>
          </w:tcPr>
          <w:p w14:paraId="0D0505D9" w14:textId="77777777" w:rsidR="00CF04BC" w:rsidRPr="00B93493" w:rsidRDefault="00CF04BC" w:rsidP="002E7F54">
            <w:pPr>
              <w:pStyle w:val="Tablehead"/>
              <w:rPr>
                <w:sz w:val="18"/>
                <w:szCs w:val="18"/>
              </w:rPr>
            </w:pPr>
            <w:r w:rsidRPr="00B93493">
              <w:rPr>
                <w:sz w:val="18"/>
                <w:szCs w:val="18"/>
              </w:rPr>
              <w:t>400</w:t>
            </w:r>
          </w:p>
        </w:tc>
        <w:tc>
          <w:tcPr>
            <w:tcW w:w="879" w:type="dxa"/>
            <w:tcBorders>
              <w:top w:val="single" w:sz="4" w:space="0" w:color="auto"/>
              <w:left w:val="single" w:sz="4" w:space="0" w:color="auto"/>
              <w:bottom w:val="single" w:sz="4" w:space="0" w:color="auto"/>
              <w:right w:val="single" w:sz="4" w:space="0" w:color="auto"/>
            </w:tcBorders>
          </w:tcPr>
          <w:p w14:paraId="14BE17EC" w14:textId="77777777" w:rsidR="00CF04BC" w:rsidRPr="00B93493" w:rsidRDefault="00CF04BC" w:rsidP="002E7F54">
            <w:pPr>
              <w:pStyle w:val="Tablehead"/>
              <w:rPr>
                <w:sz w:val="18"/>
                <w:szCs w:val="18"/>
              </w:rPr>
            </w:pPr>
            <w:r w:rsidRPr="00B93493">
              <w:rPr>
                <w:sz w:val="18"/>
                <w:szCs w:val="18"/>
              </w:rPr>
              <w:t>500</w:t>
            </w:r>
          </w:p>
        </w:tc>
      </w:tr>
      <w:tr w:rsidR="00CF04BC" w:rsidRPr="00B93493" w14:paraId="48237A8C"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687CD794" w14:textId="77777777" w:rsidR="00CF04BC" w:rsidRPr="00B93493" w:rsidRDefault="00CF04BC" w:rsidP="002E7F54">
            <w:pPr>
              <w:pStyle w:val="Tabletext"/>
              <w:jc w:val="center"/>
              <w:rPr>
                <w:sz w:val="18"/>
                <w:szCs w:val="18"/>
              </w:rPr>
            </w:pPr>
            <w:r w:rsidRPr="00B93493">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14:paraId="186739AF" w14:textId="77777777" w:rsidR="00CF04BC" w:rsidRPr="00B93493" w:rsidRDefault="00CF04BC" w:rsidP="002E7F54">
            <w:pPr>
              <w:pStyle w:val="Tabletext"/>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4B1CBE26"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28B78DE6" w14:textId="77777777" w:rsidR="00CF04BC" w:rsidRPr="00B93493" w:rsidRDefault="00CF04BC" w:rsidP="002E7F54">
            <w:pPr>
              <w:pStyle w:val="Tabletext"/>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24CB7F15" w14:textId="77777777" w:rsidR="00CF04BC" w:rsidRPr="00B93493" w:rsidRDefault="00CF04BC" w:rsidP="002E7F54">
            <w:pPr>
              <w:pStyle w:val="Tabletext"/>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2DD709E5" w14:textId="77777777" w:rsidR="00CF04BC" w:rsidRPr="00B93493" w:rsidRDefault="00CF04BC" w:rsidP="002E7F54">
            <w:pPr>
              <w:pStyle w:val="Tabletext"/>
              <w:jc w:val="center"/>
              <w:rPr>
                <w:sz w:val="18"/>
                <w:szCs w:val="18"/>
              </w:rPr>
            </w:pPr>
            <w:r w:rsidRPr="00B93493">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2DA351B0" w14:textId="77777777" w:rsidR="00CF04BC" w:rsidRPr="00B93493" w:rsidRDefault="00CF04BC" w:rsidP="002E7F54">
            <w:pPr>
              <w:pStyle w:val="Tabletext"/>
              <w:jc w:val="center"/>
              <w:rPr>
                <w:sz w:val="18"/>
                <w:szCs w:val="18"/>
              </w:rPr>
            </w:pPr>
            <w:r w:rsidRPr="00B93493">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6D8188F4" w14:textId="77777777" w:rsidR="00CF04BC" w:rsidRPr="00B93493" w:rsidRDefault="00CF04BC" w:rsidP="002E7F54">
            <w:pPr>
              <w:pStyle w:val="Tabletext"/>
              <w:jc w:val="center"/>
              <w:rPr>
                <w:sz w:val="18"/>
                <w:szCs w:val="18"/>
              </w:rPr>
            </w:pPr>
            <w:r w:rsidRPr="00B93493">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1D6FE570" w14:textId="77777777" w:rsidR="00CF04BC" w:rsidRPr="00B93493" w:rsidRDefault="00CF04BC" w:rsidP="002E7F54">
            <w:pPr>
              <w:pStyle w:val="Tabletext"/>
              <w:jc w:val="center"/>
              <w:rPr>
                <w:sz w:val="18"/>
                <w:szCs w:val="18"/>
              </w:rPr>
            </w:pPr>
            <w:r w:rsidRPr="00B93493">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68C1C9A2" w14:textId="77777777" w:rsidR="00CF04BC" w:rsidRPr="00B93493" w:rsidRDefault="00CF04BC" w:rsidP="002E7F54">
            <w:pPr>
              <w:pStyle w:val="Tabletext"/>
              <w:jc w:val="center"/>
              <w:rPr>
                <w:sz w:val="18"/>
                <w:szCs w:val="18"/>
              </w:rPr>
            </w:pPr>
            <w:r w:rsidRPr="00B93493">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6D6144C9" w14:textId="77777777" w:rsidR="00CF04BC" w:rsidRPr="00B93493" w:rsidRDefault="00CF04BC" w:rsidP="002E7F54">
            <w:pPr>
              <w:pStyle w:val="Tabletext"/>
              <w:jc w:val="center"/>
              <w:rPr>
                <w:sz w:val="18"/>
                <w:szCs w:val="18"/>
              </w:rPr>
            </w:pPr>
            <w:r w:rsidRPr="00B93493">
              <w:rPr>
                <w:sz w:val="18"/>
                <w:szCs w:val="18"/>
              </w:rPr>
              <w:t>26</w:t>
            </w:r>
          </w:p>
        </w:tc>
        <w:tc>
          <w:tcPr>
            <w:tcW w:w="879" w:type="dxa"/>
            <w:tcBorders>
              <w:top w:val="single" w:sz="4" w:space="0" w:color="auto"/>
              <w:left w:val="single" w:sz="4" w:space="0" w:color="auto"/>
              <w:bottom w:val="single" w:sz="4" w:space="0" w:color="auto"/>
              <w:right w:val="single" w:sz="4" w:space="0" w:color="auto"/>
            </w:tcBorders>
          </w:tcPr>
          <w:p w14:paraId="4798B34D" w14:textId="77777777" w:rsidR="00CF04BC" w:rsidRPr="00B93493" w:rsidRDefault="00CF04BC" w:rsidP="002E7F54">
            <w:pPr>
              <w:pStyle w:val="Tabletext"/>
              <w:jc w:val="center"/>
              <w:rPr>
                <w:sz w:val="18"/>
                <w:szCs w:val="18"/>
              </w:rPr>
            </w:pPr>
            <w:r w:rsidRPr="00B93493">
              <w:rPr>
                <w:sz w:val="18"/>
                <w:szCs w:val="18"/>
              </w:rPr>
              <w:t>30</w:t>
            </w:r>
          </w:p>
        </w:tc>
      </w:tr>
      <w:tr w:rsidR="00CF04BC" w:rsidRPr="00B93493" w14:paraId="116867B6"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14212414" w14:textId="77777777" w:rsidR="00CF04BC" w:rsidRPr="00B93493" w:rsidRDefault="00CF04BC" w:rsidP="002E7F54">
            <w:pPr>
              <w:pStyle w:val="Tabletext"/>
              <w:jc w:val="center"/>
              <w:rPr>
                <w:sz w:val="18"/>
                <w:szCs w:val="18"/>
              </w:rPr>
            </w:pPr>
            <w:r w:rsidRPr="00B93493">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14:paraId="5671D739"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685A9C3E" w14:textId="77777777" w:rsidR="00CF04BC" w:rsidRPr="00B93493" w:rsidRDefault="00CF04BC" w:rsidP="002E7F54">
            <w:pPr>
              <w:pStyle w:val="Tabletext"/>
              <w:jc w:val="center"/>
              <w:rPr>
                <w:sz w:val="18"/>
                <w:szCs w:val="18"/>
              </w:rPr>
            </w:pPr>
            <w:r w:rsidRPr="00B93493">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7728DDFF" w14:textId="77777777" w:rsidR="00CF04BC" w:rsidRPr="00B93493" w:rsidRDefault="00CF04BC" w:rsidP="002E7F54">
            <w:pPr>
              <w:pStyle w:val="Tabletext"/>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75D979EB" w14:textId="77777777" w:rsidR="00CF04BC" w:rsidRPr="00B93493" w:rsidRDefault="00CF04BC" w:rsidP="002E7F54">
            <w:pPr>
              <w:pStyle w:val="Tabletext"/>
              <w:jc w:val="center"/>
              <w:rPr>
                <w:sz w:val="18"/>
                <w:szCs w:val="18"/>
              </w:rPr>
            </w:pPr>
            <w:r w:rsidRPr="00B93493">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332716FF" w14:textId="77777777" w:rsidR="00CF04BC" w:rsidRPr="00B93493" w:rsidRDefault="00CF04BC" w:rsidP="002E7F54">
            <w:pPr>
              <w:pStyle w:val="Tabletext"/>
              <w:jc w:val="center"/>
              <w:rPr>
                <w:sz w:val="18"/>
                <w:szCs w:val="18"/>
              </w:rPr>
            </w:pPr>
            <w:r w:rsidRPr="00B93493">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7DA9FA64" w14:textId="77777777" w:rsidR="00CF04BC" w:rsidRPr="00B93493" w:rsidRDefault="00CF04BC" w:rsidP="002E7F54">
            <w:pPr>
              <w:pStyle w:val="Tabletext"/>
              <w:jc w:val="center"/>
              <w:rPr>
                <w:sz w:val="18"/>
                <w:szCs w:val="18"/>
              </w:rPr>
            </w:pPr>
            <w:r w:rsidRPr="00B93493">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7CF7D2A6"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4A59221D" w14:textId="77777777" w:rsidR="00CF04BC" w:rsidRPr="00B93493" w:rsidRDefault="00CF04BC" w:rsidP="002E7F54">
            <w:pPr>
              <w:pStyle w:val="Tabletext"/>
              <w:jc w:val="center"/>
              <w:rPr>
                <w:sz w:val="18"/>
                <w:szCs w:val="18"/>
              </w:rPr>
            </w:pPr>
            <w:r w:rsidRPr="00B93493">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14:paraId="587E9D75" w14:textId="77777777" w:rsidR="00CF04BC" w:rsidRPr="00B93493" w:rsidRDefault="00CF04BC" w:rsidP="002E7F54">
            <w:pPr>
              <w:pStyle w:val="Tabletext"/>
              <w:jc w:val="center"/>
              <w:rPr>
                <w:sz w:val="18"/>
                <w:szCs w:val="18"/>
              </w:rPr>
            </w:pPr>
            <w:r w:rsidRPr="00B93493">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0C6B7310" w14:textId="77777777" w:rsidR="00CF04BC" w:rsidRPr="00B93493" w:rsidRDefault="00CF04BC" w:rsidP="002E7F54">
            <w:pPr>
              <w:pStyle w:val="Tabletext"/>
              <w:jc w:val="center"/>
              <w:rPr>
                <w:sz w:val="18"/>
                <w:szCs w:val="18"/>
              </w:rPr>
            </w:pPr>
            <w:r w:rsidRPr="00B93493">
              <w:rPr>
                <w:sz w:val="18"/>
                <w:szCs w:val="18"/>
              </w:rPr>
              <w:t>34</w:t>
            </w:r>
          </w:p>
        </w:tc>
        <w:tc>
          <w:tcPr>
            <w:tcW w:w="879" w:type="dxa"/>
            <w:tcBorders>
              <w:top w:val="single" w:sz="4" w:space="0" w:color="auto"/>
              <w:left w:val="single" w:sz="4" w:space="0" w:color="auto"/>
              <w:bottom w:val="single" w:sz="4" w:space="0" w:color="auto"/>
              <w:right w:val="single" w:sz="4" w:space="0" w:color="auto"/>
            </w:tcBorders>
          </w:tcPr>
          <w:p w14:paraId="1129F353" w14:textId="77777777" w:rsidR="00CF04BC" w:rsidRPr="00B93493" w:rsidRDefault="00CF04BC" w:rsidP="002E7F54">
            <w:pPr>
              <w:pStyle w:val="Tabletext"/>
              <w:jc w:val="center"/>
              <w:rPr>
                <w:sz w:val="18"/>
                <w:szCs w:val="18"/>
              </w:rPr>
            </w:pPr>
            <w:r w:rsidRPr="00B93493">
              <w:rPr>
                <w:sz w:val="18"/>
                <w:szCs w:val="18"/>
              </w:rPr>
              <w:t>39</w:t>
            </w:r>
          </w:p>
        </w:tc>
      </w:tr>
      <w:tr w:rsidR="00CF04BC" w:rsidRPr="00B93493" w14:paraId="1E70E325"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6D5F5934" w14:textId="77777777" w:rsidR="00CF04BC" w:rsidRPr="00B93493" w:rsidRDefault="00CF04BC" w:rsidP="002E7F54">
            <w:pPr>
              <w:pStyle w:val="Tabletext"/>
              <w:jc w:val="center"/>
              <w:rPr>
                <w:sz w:val="18"/>
                <w:szCs w:val="18"/>
              </w:rPr>
            </w:pPr>
            <w:r w:rsidRPr="00B93493">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7DEE008B" w14:textId="77777777" w:rsidR="00CF04BC" w:rsidRPr="00B93493" w:rsidRDefault="00CF04BC" w:rsidP="002E7F54">
            <w:pPr>
              <w:pStyle w:val="Tabletext"/>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2E97E0FD" w14:textId="77777777" w:rsidR="00CF04BC" w:rsidRPr="00B93493" w:rsidRDefault="00CF04BC" w:rsidP="002E7F54">
            <w:pPr>
              <w:pStyle w:val="Tabletext"/>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139F1391"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58BE6A5B"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1C03063E" w14:textId="77777777" w:rsidR="00CF04BC" w:rsidRPr="00B93493" w:rsidRDefault="00CF04BC" w:rsidP="002E7F54">
            <w:pPr>
              <w:pStyle w:val="Tabletext"/>
              <w:jc w:val="center"/>
              <w:rPr>
                <w:sz w:val="18"/>
                <w:szCs w:val="18"/>
              </w:rPr>
            </w:pPr>
            <w:r w:rsidRPr="00B93493">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3B13428E" w14:textId="77777777" w:rsidR="00CF04BC" w:rsidRPr="00B93493" w:rsidRDefault="00CF04BC" w:rsidP="002E7F54">
            <w:pPr>
              <w:pStyle w:val="Tabletext"/>
              <w:jc w:val="center"/>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6CED06BE" w14:textId="77777777" w:rsidR="00CF04BC" w:rsidRPr="00B93493" w:rsidRDefault="00CF04BC" w:rsidP="002E7F54">
            <w:pPr>
              <w:pStyle w:val="Tabletext"/>
              <w:jc w:val="center"/>
              <w:rPr>
                <w:sz w:val="18"/>
                <w:szCs w:val="18"/>
              </w:rPr>
            </w:pPr>
            <w:r w:rsidRPr="00B93493">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5C2899F6" w14:textId="77777777" w:rsidR="00CF04BC" w:rsidRPr="00B93493" w:rsidRDefault="00CF04BC" w:rsidP="002E7F54">
            <w:pPr>
              <w:pStyle w:val="Tabletext"/>
              <w:jc w:val="center"/>
              <w:rPr>
                <w:sz w:val="18"/>
                <w:szCs w:val="18"/>
              </w:rPr>
            </w:pPr>
            <w:r w:rsidRPr="00B93493">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1CA764C9" w14:textId="77777777" w:rsidR="00CF04BC" w:rsidRPr="00B93493" w:rsidRDefault="00CF04BC" w:rsidP="002E7F54">
            <w:pPr>
              <w:pStyle w:val="Tabletext"/>
              <w:jc w:val="center"/>
              <w:rPr>
                <w:sz w:val="18"/>
                <w:szCs w:val="18"/>
              </w:rPr>
            </w:pPr>
            <w:r w:rsidRPr="00B93493">
              <w:rPr>
                <w:sz w:val="18"/>
                <w:szCs w:val="18"/>
              </w:rPr>
              <w:t>40</w:t>
            </w:r>
          </w:p>
        </w:tc>
        <w:tc>
          <w:tcPr>
            <w:tcW w:w="765" w:type="dxa"/>
            <w:tcBorders>
              <w:top w:val="single" w:sz="4" w:space="0" w:color="auto"/>
              <w:left w:val="single" w:sz="4" w:space="0" w:color="auto"/>
              <w:bottom w:val="single" w:sz="4" w:space="0" w:color="auto"/>
              <w:right w:val="single" w:sz="4" w:space="0" w:color="auto"/>
            </w:tcBorders>
          </w:tcPr>
          <w:p w14:paraId="5CD23481" w14:textId="77777777" w:rsidR="00CF04BC" w:rsidRPr="00B93493" w:rsidRDefault="00CF04BC" w:rsidP="002E7F54">
            <w:pPr>
              <w:pStyle w:val="Tabletext"/>
              <w:jc w:val="center"/>
              <w:rPr>
                <w:sz w:val="18"/>
                <w:szCs w:val="18"/>
              </w:rPr>
            </w:pPr>
            <w:r w:rsidRPr="00B93493">
              <w:rPr>
                <w:sz w:val="18"/>
                <w:szCs w:val="18"/>
              </w:rPr>
              <w:t>43</w:t>
            </w:r>
          </w:p>
        </w:tc>
        <w:tc>
          <w:tcPr>
            <w:tcW w:w="879" w:type="dxa"/>
            <w:tcBorders>
              <w:top w:val="single" w:sz="4" w:space="0" w:color="auto"/>
              <w:left w:val="single" w:sz="4" w:space="0" w:color="auto"/>
              <w:bottom w:val="single" w:sz="4" w:space="0" w:color="auto"/>
              <w:right w:val="single" w:sz="4" w:space="0" w:color="auto"/>
            </w:tcBorders>
          </w:tcPr>
          <w:p w14:paraId="07352FA1" w14:textId="77777777" w:rsidR="00CF04BC" w:rsidRPr="00B93493" w:rsidRDefault="00CF04BC" w:rsidP="002E7F54">
            <w:pPr>
              <w:pStyle w:val="Tabletext"/>
              <w:jc w:val="center"/>
              <w:rPr>
                <w:sz w:val="18"/>
                <w:szCs w:val="18"/>
              </w:rPr>
            </w:pPr>
            <w:r w:rsidRPr="00B93493">
              <w:rPr>
                <w:sz w:val="18"/>
                <w:szCs w:val="18"/>
              </w:rPr>
              <w:t>48</w:t>
            </w:r>
          </w:p>
        </w:tc>
      </w:tr>
      <w:tr w:rsidR="00CF04BC" w:rsidRPr="00B93493" w14:paraId="59CD846B"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6BC6C9FF" w14:textId="77777777" w:rsidR="00CF04BC" w:rsidRPr="0018312D" w:rsidRDefault="00CF04BC" w:rsidP="002E7F54">
            <w:pPr>
              <w:pStyle w:val="Tabletext"/>
              <w:jc w:val="center"/>
              <w:rPr>
                <w:b/>
                <w:bCs/>
                <w:sz w:val="18"/>
                <w:szCs w:val="18"/>
              </w:rPr>
            </w:pPr>
            <w:r w:rsidRPr="0018312D">
              <w:rPr>
                <w:b/>
                <w:bCs/>
                <w:sz w:val="18"/>
                <w:szCs w:val="18"/>
              </w:rPr>
              <w:t>30.0</w:t>
            </w:r>
          </w:p>
        </w:tc>
        <w:tc>
          <w:tcPr>
            <w:tcW w:w="709" w:type="dxa"/>
            <w:tcBorders>
              <w:top w:val="single" w:sz="4" w:space="0" w:color="auto"/>
              <w:left w:val="single" w:sz="4" w:space="0" w:color="auto"/>
              <w:bottom w:val="single" w:sz="4" w:space="0" w:color="auto"/>
              <w:right w:val="single" w:sz="4" w:space="0" w:color="auto"/>
            </w:tcBorders>
          </w:tcPr>
          <w:p w14:paraId="44402762" w14:textId="77777777" w:rsidR="00CF04BC" w:rsidRPr="00B93493" w:rsidRDefault="00CF04BC" w:rsidP="002E7F54">
            <w:pPr>
              <w:pStyle w:val="Tabletext"/>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6C33BC3B" w14:textId="77777777" w:rsidR="00CF04BC" w:rsidRPr="00B93493" w:rsidRDefault="00CF04BC" w:rsidP="002E7F54">
            <w:pPr>
              <w:pStyle w:val="Tabletext"/>
              <w:jc w:val="center"/>
              <w:rPr>
                <w:sz w:val="18"/>
                <w:szCs w:val="18"/>
              </w:rPr>
            </w:pPr>
            <w:r w:rsidRPr="00B93493">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17C91747" w14:textId="77777777" w:rsidR="00CF04BC" w:rsidRPr="0018312D" w:rsidRDefault="00CF04BC" w:rsidP="002E7F54">
            <w:pPr>
              <w:pStyle w:val="Tabletext"/>
              <w:jc w:val="center"/>
              <w:rPr>
                <w:b/>
                <w:bCs/>
                <w:sz w:val="18"/>
                <w:szCs w:val="18"/>
              </w:rPr>
            </w:pPr>
            <w:r w:rsidRPr="0018312D">
              <w:rPr>
                <w:b/>
                <w:bCs/>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188EAB61" w14:textId="77777777" w:rsidR="00CF04BC" w:rsidRPr="00B93493" w:rsidRDefault="00CF04BC" w:rsidP="002E7F54">
            <w:pPr>
              <w:pStyle w:val="Tabletext"/>
              <w:jc w:val="center"/>
              <w:rPr>
                <w:sz w:val="18"/>
                <w:szCs w:val="18"/>
              </w:rPr>
            </w:pPr>
            <w:r w:rsidRPr="00B93493">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14:paraId="34515EA3" w14:textId="77777777" w:rsidR="00CF04BC" w:rsidRPr="0018312D" w:rsidRDefault="00CF04BC" w:rsidP="002E7F54">
            <w:pPr>
              <w:pStyle w:val="Tabletext"/>
              <w:jc w:val="center"/>
              <w:rPr>
                <w:b/>
                <w:bCs/>
                <w:sz w:val="18"/>
                <w:szCs w:val="18"/>
              </w:rPr>
            </w:pPr>
            <w:r w:rsidRPr="0018312D">
              <w:rPr>
                <w:b/>
                <w:bCs/>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30A8681C" w14:textId="77777777" w:rsidR="00CF04BC" w:rsidRPr="00B93493" w:rsidRDefault="00CF04BC" w:rsidP="002E7F54">
            <w:pPr>
              <w:pStyle w:val="Tabletext"/>
              <w:jc w:val="center"/>
              <w:rPr>
                <w:sz w:val="18"/>
                <w:szCs w:val="18"/>
              </w:rPr>
            </w:pPr>
            <w:r w:rsidRPr="00B93493">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47AECC4B" w14:textId="77777777" w:rsidR="00CF04BC" w:rsidRPr="00B93493" w:rsidRDefault="00CF04BC" w:rsidP="002E7F54">
            <w:pPr>
              <w:pStyle w:val="Tabletext"/>
              <w:jc w:val="center"/>
              <w:rPr>
                <w:sz w:val="18"/>
                <w:szCs w:val="18"/>
              </w:rPr>
            </w:pPr>
            <w:r w:rsidRPr="00B93493">
              <w:rPr>
                <w:sz w:val="18"/>
                <w:szCs w:val="18"/>
              </w:rPr>
              <w:t>42</w:t>
            </w:r>
          </w:p>
        </w:tc>
        <w:tc>
          <w:tcPr>
            <w:tcW w:w="765" w:type="dxa"/>
            <w:tcBorders>
              <w:top w:val="single" w:sz="4" w:space="0" w:color="auto"/>
              <w:left w:val="single" w:sz="4" w:space="0" w:color="auto"/>
              <w:bottom w:val="single" w:sz="4" w:space="0" w:color="auto"/>
              <w:right w:val="single" w:sz="4" w:space="0" w:color="auto"/>
            </w:tcBorders>
          </w:tcPr>
          <w:p w14:paraId="17E03616" w14:textId="77777777" w:rsidR="00CF04BC" w:rsidRPr="0018312D" w:rsidRDefault="00CF04BC" w:rsidP="002E7F54">
            <w:pPr>
              <w:pStyle w:val="Tabletext"/>
              <w:jc w:val="center"/>
              <w:rPr>
                <w:b/>
                <w:bCs/>
                <w:sz w:val="18"/>
                <w:szCs w:val="18"/>
              </w:rPr>
            </w:pPr>
            <w:r w:rsidRPr="0018312D">
              <w:rPr>
                <w:b/>
                <w:bCs/>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0F879F7F" w14:textId="77777777" w:rsidR="00CF04BC" w:rsidRPr="00B93493" w:rsidRDefault="00CF04BC" w:rsidP="002E7F54">
            <w:pPr>
              <w:pStyle w:val="Tabletext"/>
              <w:jc w:val="center"/>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60FE72C6" w14:textId="77777777" w:rsidR="00CF04BC" w:rsidRPr="00B93493" w:rsidRDefault="00CF04BC" w:rsidP="002E7F54">
            <w:pPr>
              <w:pStyle w:val="Tabletext"/>
              <w:jc w:val="center"/>
              <w:rPr>
                <w:sz w:val="18"/>
                <w:szCs w:val="18"/>
              </w:rPr>
            </w:pPr>
            <w:r w:rsidRPr="00B93493">
              <w:rPr>
                <w:sz w:val="18"/>
                <w:szCs w:val="18"/>
              </w:rPr>
              <w:t>53</w:t>
            </w:r>
          </w:p>
        </w:tc>
        <w:tc>
          <w:tcPr>
            <w:tcW w:w="879" w:type="dxa"/>
            <w:tcBorders>
              <w:top w:val="single" w:sz="4" w:space="0" w:color="auto"/>
              <w:left w:val="single" w:sz="4" w:space="0" w:color="auto"/>
              <w:bottom w:val="single" w:sz="4" w:space="0" w:color="auto"/>
              <w:right w:val="single" w:sz="4" w:space="0" w:color="auto"/>
            </w:tcBorders>
          </w:tcPr>
          <w:p w14:paraId="1C85F325" w14:textId="77777777" w:rsidR="00CF04BC" w:rsidRPr="00B93493" w:rsidRDefault="00CF04BC" w:rsidP="002E7F54">
            <w:pPr>
              <w:pStyle w:val="Tabletext"/>
              <w:jc w:val="center"/>
              <w:rPr>
                <w:sz w:val="18"/>
                <w:szCs w:val="18"/>
              </w:rPr>
            </w:pPr>
            <w:r w:rsidRPr="00B93493">
              <w:rPr>
                <w:sz w:val="18"/>
                <w:szCs w:val="18"/>
              </w:rPr>
              <w:t>59</w:t>
            </w:r>
          </w:p>
        </w:tc>
      </w:tr>
      <w:tr w:rsidR="00CF04BC" w:rsidRPr="00B93493" w14:paraId="06C6E610"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3C5DDCA1" w14:textId="77777777" w:rsidR="00CF04BC" w:rsidRPr="00B93493" w:rsidRDefault="00CF04BC" w:rsidP="002E7F54">
            <w:pPr>
              <w:pStyle w:val="Tabletext"/>
              <w:jc w:val="center"/>
              <w:rPr>
                <w:sz w:val="18"/>
                <w:szCs w:val="18"/>
              </w:rPr>
            </w:pPr>
            <w:r w:rsidRPr="00B93493">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14:paraId="77E5EB92" w14:textId="77777777" w:rsidR="00CF04BC" w:rsidRPr="00B93493" w:rsidRDefault="00CF04BC" w:rsidP="002E7F54">
            <w:pPr>
              <w:pStyle w:val="Tabletext"/>
              <w:jc w:val="center"/>
              <w:rPr>
                <w:sz w:val="18"/>
                <w:szCs w:val="18"/>
              </w:rPr>
            </w:pPr>
            <w:r w:rsidRPr="00B93493">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4A8B2D22" w14:textId="77777777" w:rsidR="00CF04BC" w:rsidRPr="00B93493" w:rsidRDefault="00CF04BC" w:rsidP="002E7F54">
            <w:pPr>
              <w:pStyle w:val="Tabletext"/>
              <w:jc w:val="center"/>
              <w:rPr>
                <w:sz w:val="18"/>
                <w:szCs w:val="18"/>
              </w:rPr>
            </w:pPr>
            <w:r w:rsidRPr="00B93493">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584F5D2C"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77B6496E" w14:textId="77777777" w:rsidR="00CF04BC" w:rsidRPr="00B93493" w:rsidRDefault="00CF04BC" w:rsidP="002E7F54">
            <w:pPr>
              <w:pStyle w:val="Tabletext"/>
              <w:jc w:val="center"/>
              <w:rPr>
                <w:sz w:val="18"/>
                <w:szCs w:val="18"/>
              </w:rPr>
            </w:pPr>
            <w:r w:rsidRPr="00B93493">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272C091C" w14:textId="77777777" w:rsidR="00CF04BC" w:rsidRPr="00B93493" w:rsidRDefault="00CF04BC" w:rsidP="002E7F54">
            <w:pPr>
              <w:pStyle w:val="Tabletext"/>
              <w:jc w:val="center"/>
              <w:rPr>
                <w:sz w:val="18"/>
                <w:szCs w:val="18"/>
              </w:rPr>
            </w:pPr>
            <w:r w:rsidRPr="00B93493">
              <w:rPr>
                <w:sz w:val="18"/>
                <w:szCs w:val="18"/>
              </w:rPr>
              <w:t>42</w:t>
            </w:r>
          </w:p>
        </w:tc>
        <w:tc>
          <w:tcPr>
            <w:tcW w:w="765" w:type="dxa"/>
            <w:tcBorders>
              <w:top w:val="single" w:sz="4" w:space="0" w:color="auto"/>
              <w:left w:val="single" w:sz="4" w:space="0" w:color="auto"/>
              <w:bottom w:val="single" w:sz="4" w:space="0" w:color="auto"/>
              <w:right w:val="single" w:sz="4" w:space="0" w:color="auto"/>
            </w:tcBorders>
          </w:tcPr>
          <w:p w14:paraId="5F662C4B" w14:textId="77777777" w:rsidR="00CF04BC" w:rsidRPr="00B93493" w:rsidRDefault="00CF04BC" w:rsidP="002E7F54">
            <w:pPr>
              <w:pStyle w:val="Tabletext"/>
              <w:jc w:val="center"/>
              <w:rPr>
                <w:sz w:val="18"/>
                <w:szCs w:val="18"/>
              </w:rPr>
            </w:pPr>
            <w:r w:rsidRPr="00B93493">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6DBE3121" w14:textId="77777777" w:rsidR="00CF04BC" w:rsidRPr="00B93493" w:rsidRDefault="00CF04BC" w:rsidP="002E7F54">
            <w:pPr>
              <w:pStyle w:val="Tabletext"/>
              <w:jc w:val="center"/>
              <w:rPr>
                <w:sz w:val="18"/>
                <w:szCs w:val="18"/>
              </w:rPr>
            </w:pPr>
            <w:r w:rsidRPr="00B93493">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346FB0CE" w14:textId="77777777" w:rsidR="00CF04BC" w:rsidRPr="00B93493" w:rsidRDefault="00CF04BC" w:rsidP="002E7F54">
            <w:pPr>
              <w:pStyle w:val="Tabletext"/>
              <w:jc w:val="center"/>
              <w:rPr>
                <w:sz w:val="18"/>
                <w:szCs w:val="18"/>
              </w:rPr>
            </w:pPr>
            <w:r w:rsidRPr="00B93493">
              <w:rPr>
                <w:sz w:val="18"/>
                <w:szCs w:val="18"/>
              </w:rPr>
              <w:t>56</w:t>
            </w:r>
          </w:p>
        </w:tc>
        <w:tc>
          <w:tcPr>
            <w:tcW w:w="765" w:type="dxa"/>
            <w:tcBorders>
              <w:top w:val="single" w:sz="4" w:space="0" w:color="auto"/>
              <w:left w:val="single" w:sz="4" w:space="0" w:color="auto"/>
              <w:bottom w:val="single" w:sz="4" w:space="0" w:color="auto"/>
              <w:right w:val="single" w:sz="4" w:space="0" w:color="auto"/>
            </w:tcBorders>
          </w:tcPr>
          <w:p w14:paraId="3BDEA561" w14:textId="77777777" w:rsidR="00CF04BC" w:rsidRPr="00B93493" w:rsidRDefault="00CF04BC" w:rsidP="002E7F54">
            <w:pPr>
              <w:pStyle w:val="Tabletext"/>
              <w:jc w:val="center"/>
              <w:rPr>
                <w:sz w:val="18"/>
                <w:szCs w:val="18"/>
              </w:rPr>
            </w:pPr>
            <w:r w:rsidRPr="00B93493">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677B4C35" w14:textId="77777777" w:rsidR="00CF04BC" w:rsidRPr="00B93493" w:rsidRDefault="00CF04BC" w:rsidP="002E7F54">
            <w:pPr>
              <w:pStyle w:val="Tabletext"/>
              <w:jc w:val="center"/>
              <w:rPr>
                <w:sz w:val="18"/>
                <w:szCs w:val="18"/>
              </w:rPr>
            </w:pPr>
            <w:r w:rsidRPr="00B93493">
              <w:rPr>
                <w:sz w:val="18"/>
                <w:szCs w:val="18"/>
              </w:rPr>
              <w:t>64</w:t>
            </w:r>
          </w:p>
        </w:tc>
        <w:tc>
          <w:tcPr>
            <w:tcW w:w="879" w:type="dxa"/>
            <w:tcBorders>
              <w:top w:val="single" w:sz="4" w:space="0" w:color="auto"/>
              <w:left w:val="single" w:sz="4" w:space="0" w:color="auto"/>
              <w:bottom w:val="single" w:sz="4" w:space="0" w:color="auto"/>
              <w:right w:val="single" w:sz="4" w:space="0" w:color="auto"/>
            </w:tcBorders>
          </w:tcPr>
          <w:p w14:paraId="00278285" w14:textId="77777777" w:rsidR="00CF04BC" w:rsidRPr="00B93493" w:rsidRDefault="00CF04BC" w:rsidP="002E7F54">
            <w:pPr>
              <w:pStyle w:val="Tabletext"/>
              <w:jc w:val="center"/>
              <w:rPr>
                <w:sz w:val="18"/>
                <w:szCs w:val="18"/>
              </w:rPr>
            </w:pPr>
            <w:r w:rsidRPr="00B93493">
              <w:rPr>
                <w:sz w:val="18"/>
                <w:szCs w:val="18"/>
              </w:rPr>
              <w:t>70</w:t>
            </w:r>
          </w:p>
        </w:tc>
      </w:tr>
      <w:tr w:rsidR="00CF04BC" w:rsidRPr="00B93493" w14:paraId="12AB5EF4"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17749AB4" w14:textId="77777777" w:rsidR="00CF04BC" w:rsidRPr="00B93493" w:rsidRDefault="00CF04BC" w:rsidP="002E7F54">
            <w:pPr>
              <w:pStyle w:val="Tabletext"/>
              <w:jc w:val="center"/>
              <w:rPr>
                <w:sz w:val="18"/>
                <w:szCs w:val="18"/>
              </w:rPr>
            </w:pPr>
            <w:r w:rsidRPr="00B93493">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14:paraId="6F5FB7A8" w14:textId="77777777" w:rsidR="00CF04BC" w:rsidRPr="00B93493" w:rsidRDefault="00CF04BC" w:rsidP="002E7F54">
            <w:pPr>
              <w:pStyle w:val="Tabletext"/>
              <w:jc w:val="center"/>
              <w:rPr>
                <w:sz w:val="18"/>
                <w:szCs w:val="18"/>
              </w:rPr>
            </w:pPr>
            <w:r w:rsidRPr="00B93493">
              <w:rPr>
                <w:sz w:val="18"/>
                <w:szCs w:val="18"/>
              </w:rPr>
              <w:t>26.3</w:t>
            </w:r>
          </w:p>
        </w:tc>
        <w:tc>
          <w:tcPr>
            <w:tcW w:w="765" w:type="dxa"/>
            <w:tcBorders>
              <w:top w:val="single" w:sz="4" w:space="0" w:color="auto"/>
              <w:left w:val="single" w:sz="4" w:space="0" w:color="auto"/>
              <w:bottom w:val="single" w:sz="4" w:space="0" w:color="auto"/>
              <w:right w:val="single" w:sz="4" w:space="0" w:color="auto"/>
            </w:tcBorders>
          </w:tcPr>
          <w:p w14:paraId="4615958A" w14:textId="77777777" w:rsidR="00CF04BC" w:rsidRPr="00B93493" w:rsidRDefault="00CF04BC" w:rsidP="002E7F54">
            <w:pPr>
              <w:pStyle w:val="Tabletext"/>
              <w:jc w:val="center"/>
              <w:rPr>
                <w:sz w:val="18"/>
                <w:szCs w:val="18"/>
              </w:rPr>
            </w:pPr>
            <w:r w:rsidRPr="00B93493">
              <w:rPr>
                <w:sz w:val="18"/>
                <w:szCs w:val="18"/>
              </w:rPr>
              <w:t>32.8</w:t>
            </w:r>
          </w:p>
        </w:tc>
        <w:tc>
          <w:tcPr>
            <w:tcW w:w="765" w:type="dxa"/>
            <w:tcBorders>
              <w:top w:val="single" w:sz="4" w:space="0" w:color="auto"/>
              <w:left w:val="single" w:sz="4" w:space="0" w:color="auto"/>
              <w:bottom w:val="single" w:sz="4" w:space="0" w:color="auto"/>
              <w:right w:val="single" w:sz="4" w:space="0" w:color="auto"/>
            </w:tcBorders>
          </w:tcPr>
          <w:p w14:paraId="4516A7C6" w14:textId="77777777" w:rsidR="00CF04BC" w:rsidRPr="00B93493" w:rsidRDefault="00CF04BC" w:rsidP="002E7F54">
            <w:pPr>
              <w:pStyle w:val="Tabletext"/>
              <w:jc w:val="center"/>
              <w:rPr>
                <w:sz w:val="18"/>
                <w:szCs w:val="18"/>
              </w:rPr>
            </w:pPr>
            <w:r w:rsidRPr="00B93493">
              <w:rPr>
                <w:sz w:val="18"/>
                <w:szCs w:val="18"/>
              </w:rPr>
              <w:t>38.7</w:t>
            </w:r>
          </w:p>
        </w:tc>
        <w:tc>
          <w:tcPr>
            <w:tcW w:w="765" w:type="dxa"/>
            <w:tcBorders>
              <w:top w:val="single" w:sz="4" w:space="0" w:color="auto"/>
              <w:left w:val="single" w:sz="4" w:space="0" w:color="auto"/>
              <w:bottom w:val="single" w:sz="4" w:space="0" w:color="auto"/>
              <w:right w:val="single" w:sz="4" w:space="0" w:color="auto"/>
            </w:tcBorders>
          </w:tcPr>
          <w:p w14:paraId="112F2C34" w14:textId="77777777" w:rsidR="00CF04BC" w:rsidRPr="00B93493" w:rsidRDefault="00CF04BC" w:rsidP="002E7F54">
            <w:pPr>
              <w:pStyle w:val="Tabletext"/>
              <w:jc w:val="center"/>
              <w:rPr>
                <w:sz w:val="18"/>
                <w:szCs w:val="18"/>
              </w:rPr>
            </w:pPr>
            <w:r w:rsidRPr="00B93493">
              <w:rPr>
                <w:sz w:val="18"/>
                <w:szCs w:val="18"/>
              </w:rPr>
              <w:t>43.8</w:t>
            </w:r>
          </w:p>
        </w:tc>
        <w:tc>
          <w:tcPr>
            <w:tcW w:w="765" w:type="dxa"/>
            <w:tcBorders>
              <w:top w:val="single" w:sz="4" w:space="0" w:color="auto"/>
              <w:left w:val="single" w:sz="4" w:space="0" w:color="auto"/>
              <w:bottom w:val="single" w:sz="4" w:space="0" w:color="auto"/>
              <w:right w:val="single" w:sz="4" w:space="0" w:color="auto"/>
            </w:tcBorders>
          </w:tcPr>
          <w:p w14:paraId="59BF6F20" w14:textId="77777777" w:rsidR="00CF04BC" w:rsidRPr="00B93493" w:rsidRDefault="00CF04BC" w:rsidP="002E7F54">
            <w:pPr>
              <w:pStyle w:val="Tabletext"/>
              <w:jc w:val="center"/>
              <w:rPr>
                <w:sz w:val="18"/>
                <w:szCs w:val="18"/>
              </w:rPr>
            </w:pPr>
            <w:r w:rsidRPr="00B93493">
              <w:rPr>
                <w:sz w:val="18"/>
                <w:szCs w:val="18"/>
              </w:rPr>
              <w:t>51.4</w:t>
            </w:r>
          </w:p>
        </w:tc>
        <w:tc>
          <w:tcPr>
            <w:tcW w:w="765" w:type="dxa"/>
            <w:tcBorders>
              <w:top w:val="single" w:sz="4" w:space="0" w:color="auto"/>
              <w:left w:val="single" w:sz="4" w:space="0" w:color="auto"/>
              <w:bottom w:val="single" w:sz="4" w:space="0" w:color="auto"/>
              <w:right w:val="single" w:sz="4" w:space="0" w:color="auto"/>
            </w:tcBorders>
          </w:tcPr>
          <w:p w14:paraId="20170D39" w14:textId="77777777" w:rsidR="00CF04BC" w:rsidRPr="00B93493" w:rsidRDefault="00CF04BC" w:rsidP="002E7F54">
            <w:pPr>
              <w:pStyle w:val="Tabletext"/>
              <w:jc w:val="center"/>
              <w:rPr>
                <w:sz w:val="18"/>
                <w:szCs w:val="18"/>
              </w:rPr>
            </w:pPr>
            <w:r w:rsidRPr="00B93493">
              <w:rPr>
                <w:sz w:val="18"/>
                <w:szCs w:val="18"/>
              </w:rPr>
              <w:t>57.8</w:t>
            </w:r>
          </w:p>
        </w:tc>
        <w:tc>
          <w:tcPr>
            <w:tcW w:w="765" w:type="dxa"/>
            <w:tcBorders>
              <w:top w:val="single" w:sz="4" w:space="0" w:color="auto"/>
              <w:left w:val="single" w:sz="4" w:space="0" w:color="auto"/>
              <w:bottom w:val="single" w:sz="4" w:space="0" w:color="auto"/>
              <w:right w:val="single" w:sz="4" w:space="0" w:color="auto"/>
            </w:tcBorders>
          </w:tcPr>
          <w:p w14:paraId="2F62FB15" w14:textId="77777777" w:rsidR="00CF04BC" w:rsidRPr="00B93493" w:rsidRDefault="00CF04BC" w:rsidP="002E7F54">
            <w:pPr>
              <w:pStyle w:val="Tabletext"/>
              <w:jc w:val="center"/>
              <w:rPr>
                <w:sz w:val="18"/>
                <w:szCs w:val="18"/>
              </w:rPr>
            </w:pPr>
            <w:r w:rsidRPr="00B93493">
              <w:rPr>
                <w:sz w:val="18"/>
                <w:szCs w:val="18"/>
              </w:rPr>
              <w:t>62.9</w:t>
            </w:r>
          </w:p>
        </w:tc>
        <w:tc>
          <w:tcPr>
            <w:tcW w:w="765" w:type="dxa"/>
            <w:tcBorders>
              <w:top w:val="single" w:sz="4" w:space="0" w:color="auto"/>
              <w:left w:val="single" w:sz="4" w:space="0" w:color="auto"/>
              <w:bottom w:val="single" w:sz="4" w:space="0" w:color="auto"/>
              <w:right w:val="single" w:sz="4" w:space="0" w:color="auto"/>
            </w:tcBorders>
          </w:tcPr>
          <w:p w14:paraId="03471106" w14:textId="77777777" w:rsidR="00CF04BC" w:rsidRPr="00B93493" w:rsidRDefault="00CF04BC" w:rsidP="002E7F54">
            <w:pPr>
              <w:pStyle w:val="Tabletext"/>
              <w:jc w:val="center"/>
              <w:rPr>
                <w:sz w:val="18"/>
                <w:szCs w:val="18"/>
              </w:rPr>
            </w:pPr>
            <w:r w:rsidRPr="00B93493">
              <w:rPr>
                <w:sz w:val="18"/>
                <w:szCs w:val="18"/>
              </w:rPr>
              <w:t>67.0</w:t>
            </w:r>
          </w:p>
        </w:tc>
        <w:tc>
          <w:tcPr>
            <w:tcW w:w="765" w:type="dxa"/>
            <w:tcBorders>
              <w:top w:val="single" w:sz="4" w:space="0" w:color="auto"/>
              <w:left w:val="single" w:sz="4" w:space="0" w:color="auto"/>
              <w:bottom w:val="single" w:sz="4" w:space="0" w:color="auto"/>
              <w:right w:val="single" w:sz="4" w:space="0" w:color="auto"/>
            </w:tcBorders>
          </w:tcPr>
          <w:p w14:paraId="5864D617" w14:textId="77777777" w:rsidR="00CF04BC" w:rsidRPr="00B93493" w:rsidRDefault="00CF04BC" w:rsidP="002E7F54">
            <w:pPr>
              <w:pStyle w:val="Tabletext"/>
              <w:jc w:val="center"/>
              <w:rPr>
                <w:sz w:val="18"/>
                <w:szCs w:val="18"/>
              </w:rPr>
            </w:pPr>
            <w:r w:rsidRPr="00B93493">
              <w:rPr>
                <w:sz w:val="18"/>
                <w:szCs w:val="18"/>
              </w:rPr>
              <w:t>71.4</w:t>
            </w:r>
          </w:p>
        </w:tc>
        <w:tc>
          <w:tcPr>
            <w:tcW w:w="765" w:type="dxa"/>
            <w:tcBorders>
              <w:top w:val="single" w:sz="4" w:space="0" w:color="auto"/>
              <w:left w:val="single" w:sz="4" w:space="0" w:color="auto"/>
              <w:bottom w:val="single" w:sz="4" w:space="0" w:color="auto"/>
              <w:right w:val="single" w:sz="4" w:space="0" w:color="auto"/>
            </w:tcBorders>
          </w:tcPr>
          <w:p w14:paraId="2F761211" w14:textId="77777777" w:rsidR="00CF04BC" w:rsidRPr="00B93493" w:rsidRDefault="00CF04BC" w:rsidP="002E7F54">
            <w:pPr>
              <w:pStyle w:val="Tabletext"/>
              <w:jc w:val="center"/>
              <w:rPr>
                <w:sz w:val="18"/>
                <w:szCs w:val="18"/>
              </w:rPr>
            </w:pPr>
            <w:r w:rsidRPr="00B93493">
              <w:rPr>
                <w:sz w:val="18"/>
                <w:szCs w:val="18"/>
              </w:rPr>
              <w:t>75.2</w:t>
            </w:r>
          </w:p>
        </w:tc>
        <w:tc>
          <w:tcPr>
            <w:tcW w:w="879" w:type="dxa"/>
            <w:tcBorders>
              <w:top w:val="single" w:sz="4" w:space="0" w:color="auto"/>
              <w:left w:val="single" w:sz="4" w:space="0" w:color="auto"/>
              <w:bottom w:val="single" w:sz="4" w:space="0" w:color="auto"/>
              <w:right w:val="single" w:sz="4" w:space="0" w:color="auto"/>
            </w:tcBorders>
          </w:tcPr>
          <w:p w14:paraId="5F9FDB42" w14:textId="77777777" w:rsidR="00CF04BC" w:rsidRPr="00B93493" w:rsidRDefault="00CF04BC" w:rsidP="002E7F54">
            <w:pPr>
              <w:pStyle w:val="Tabletext"/>
              <w:jc w:val="center"/>
              <w:rPr>
                <w:sz w:val="18"/>
                <w:szCs w:val="18"/>
              </w:rPr>
            </w:pPr>
            <w:r w:rsidRPr="00B93493">
              <w:rPr>
                <w:sz w:val="18"/>
                <w:szCs w:val="18"/>
              </w:rPr>
              <w:t>81.7</w:t>
            </w:r>
          </w:p>
        </w:tc>
      </w:tr>
      <w:tr w:rsidR="00CF04BC" w:rsidRPr="00B93493" w14:paraId="701350F4"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5366604D" w14:textId="77777777" w:rsidR="00CF04BC" w:rsidRPr="00B93493" w:rsidRDefault="00CF04BC" w:rsidP="002E7F54">
            <w:pPr>
              <w:pStyle w:val="Tabletext"/>
              <w:jc w:val="center"/>
              <w:rPr>
                <w:sz w:val="18"/>
                <w:szCs w:val="18"/>
              </w:rPr>
            </w:pPr>
            <w:r w:rsidRPr="00B93493">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14:paraId="19894384" w14:textId="77777777" w:rsidR="00CF04BC" w:rsidRPr="00B93493" w:rsidRDefault="00CF04BC" w:rsidP="002E7F54">
            <w:pPr>
              <w:pStyle w:val="Tabletext"/>
              <w:jc w:val="center"/>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41EFD4C0" w14:textId="77777777" w:rsidR="00CF04BC" w:rsidRPr="00B93493" w:rsidRDefault="00CF04BC" w:rsidP="002E7F54">
            <w:pPr>
              <w:pStyle w:val="Tabletext"/>
              <w:jc w:val="center"/>
              <w:rPr>
                <w:sz w:val="18"/>
                <w:szCs w:val="18"/>
              </w:rPr>
            </w:pPr>
            <w:r w:rsidRPr="00B93493">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28C1B3A0" w14:textId="77777777" w:rsidR="00CF04BC" w:rsidRPr="00B93493" w:rsidRDefault="00CF04BC" w:rsidP="002E7F54">
            <w:pPr>
              <w:pStyle w:val="Tabletext"/>
              <w:jc w:val="center"/>
              <w:rPr>
                <w:sz w:val="18"/>
                <w:szCs w:val="18"/>
              </w:rPr>
            </w:pPr>
            <w:r w:rsidRPr="00B93493">
              <w:rPr>
                <w:sz w:val="18"/>
                <w:szCs w:val="18"/>
              </w:rPr>
              <w:t>44</w:t>
            </w:r>
          </w:p>
        </w:tc>
        <w:tc>
          <w:tcPr>
            <w:tcW w:w="765" w:type="dxa"/>
            <w:tcBorders>
              <w:top w:val="single" w:sz="4" w:space="0" w:color="auto"/>
              <w:left w:val="single" w:sz="4" w:space="0" w:color="auto"/>
              <w:bottom w:val="single" w:sz="4" w:space="0" w:color="auto"/>
              <w:right w:val="single" w:sz="4" w:space="0" w:color="auto"/>
            </w:tcBorders>
          </w:tcPr>
          <w:p w14:paraId="2A14CDDA" w14:textId="77777777" w:rsidR="00CF04BC" w:rsidRPr="00B93493" w:rsidRDefault="00CF04BC" w:rsidP="002E7F54">
            <w:pPr>
              <w:pStyle w:val="Tabletext"/>
              <w:jc w:val="center"/>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7B29FE08" w14:textId="77777777" w:rsidR="00CF04BC" w:rsidRPr="00B93493" w:rsidRDefault="00CF04BC" w:rsidP="002E7F54">
            <w:pPr>
              <w:pStyle w:val="Tabletext"/>
              <w:jc w:val="center"/>
              <w:rPr>
                <w:sz w:val="18"/>
                <w:szCs w:val="18"/>
              </w:rPr>
            </w:pPr>
            <w:r w:rsidRPr="00B93493">
              <w:rPr>
                <w:sz w:val="18"/>
                <w:szCs w:val="18"/>
              </w:rPr>
              <w:t>58</w:t>
            </w:r>
          </w:p>
        </w:tc>
        <w:tc>
          <w:tcPr>
            <w:tcW w:w="765" w:type="dxa"/>
            <w:tcBorders>
              <w:top w:val="single" w:sz="4" w:space="0" w:color="auto"/>
              <w:left w:val="single" w:sz="4" w:space="0" w:color="auto"/>
              <w:bottom w:val="single" w:sz="4" w:space="0" w:color="auto"/>
              <w:right w:val="single" w:sz="4" w:space="0" w:color="auto"/>
            </w:tcBorders>
          </w:tcPr>
          <w:p w14:paraId="150370F2" w14:textId="77777777" w:rsidR="00CF04BC" w:rsidRPr="00B93493" w:rsidRDefault="00CF04BC" w:rsidP="002E7F54">
            <w:pPr>
              <w:pStyle w:val="Tabletext"/>
              <w:jc w:val="center"/>
              <w:rPr>
                <w:sz w:val="18"/>
                <w:szCs w:val="18"/>
              </w:rPr>
            </w:pPr>
            <w:r w:rsidRPr="00B93493">
              <w:rPr>
                <w:sz w:val="18"/>
                <w:szCs w:val="18"/>
              </w:rPr>
              <w:t>65</w:t>
            </w:r>
          </w:p>
        </w:tc>
        <w:tc>
          <w:tcPr>
            <w:tcW w:w="765" w:type="dxa"/>
            <w:tcBorders>
              <w:top w:val="single" w:sz="4" w:space="0" w:color="auto"/>
              <w:left w:val="single" w:sz="4" w:space="0" w:color="auto"/>
              <w:bottom w:val="single" w:sz="4" w:space="0" w:color="auto"/>
              <w:right w:val="single" w:sz="4" w:space="0" w:color="auto"/>
            </w:tcBorders>
          </w:tcPr>
          <w:p w14:paraId="4010A717" w14:textId="77777777" w:rsidR="00CF04BC" w:rsidRPr="00B93493" w:rsidRDefault="00CF04BC" w:rsidP="002E7F54">
            <w:pPr>
              <w:pStyle w:val="Tabletext"/>
              <w:jc w:val="center"/>
              <w:rPr>
                <w:sz w:val="18"/>
                <w:szCs w:val="18"/>
              </w:rPr>
            </w:pPr>
            <w:r w:rsidRPr="00B93493">
              <w:rPr>
                <w:sz w:val="18"/>
                <w:szCs w:val="18"/>
              </w:rPr>
              <w:t>70</w:t>
            </w:r>
          </w:p>
        </w:tc>
        <w:tc>
          <w:tcPr>
            <w:tcW w:w="765" w:type="dxa"/>
            <w:tcBorders>
              <w:top w:val="single" w:sz="4" w:space="0" w:color="auto"/>
              <w:left w:val="single" w:sz="4" w:space="0" w:color="auto"/>
              <w:bottom w:val="single" w:sz="4" w:space="0" w:color="auto"/>
              <w:right w:val="single" w:sz="4" w:space="0" w:color="auto"/>
            </w:tcBorders>
          </w:tcPr>
          <w:p w14:paraId="59E6F984" w14:textId="77777777" w:rsidR="00CF04BC" w:rsidRPr="00B93493" w:rsidRDefault="00CF04BC" w:rsidP="002E7F54">
            <w:pPr>
              <w:pStyle w:val="Tabletext"/>
              <w:jc w:val="center"/>
              <w:rPr>
                <w:sz w:val="18"/>
                <w:szCs w:val="18"/>
              </w:rPr>
            </w:pPr>
            <w:r w:rsidRPr="00B93493">
              <w:rPr>
                <w:sz w:val="18"/>
                <w:szCs w:val="18"/>
              </w:rPr>
              <w:t>74</w:t>
            </w:r>
          </w:p>
        </w:tc>
        <w:tc>
          <w:tcPr>
            <w:tcW w:w="765" w:type="dxa"/>
            <w:tcBorders>
              <w:top w:val="single" w:sz="4" w:space="0" w:color="auto"/>
              <w:left w:val="single" w:sz="4" w:space="0" w:color="auto"/>
              <w:bottom w:val="single" w:sz="4" w:space="0" w:color="auto"/>
              <w:right w:val="single" w:sz="4" w:space="0" w:color="auto"/>
            </w:tcBorders>
          </w:tcPr>
          <w:p w14:paraId="0CFF26D5" w14:textId="77777777" w:rsidR="00CF04BC" w:rsidRPr="00B93493" w:rsidRDefault="00CF04BC" w:rsidP="002E7F54">
            <w:pPr>
              <w:pStyle w:val="Tabletext"/>
              <w:jc w:val="center"/>
              <w:rPr>
                <w:sz w:val="18"/>
                <w:szCs w:val="18"/>
              </w:rPr>
            </w:pPr>
            <w:r w:rsidRPr="00B93493">
              <w:rPr>
                <w:sz w:val="18"/>
                <w:szCs w:val="18"/>
              </w:rPr>
              <w:t>78</w:t>
            </w:r>
          </w:p>
        </w:tc>
        <w:tc>
          <w:tcPr>
            <w:tcW w:w="765" w:type="dxa"/>
            <w:tcBorders>
              <w:top w:val="single" w:sz="4" w:space="0" w:color="auto"/>
              <w:left w:val="single" w:sz="4" w:space="0" w:color="auto"/>
              <w:bottom w:val="single" w:sz="4" w:space="0" w:color="auto"/>
              <w:right w:val="single" w:sz="4" w:space="0" w:color="auto"/>
            </w:tcBorders>
          </w:tcPr>
          <w:p w14:paraId="33815FBE" w14:textId="77777777" w:rsidR="00CF04BC" w:rsidRPr="00B93493" w:rsidRDefault="00CF04BC" w:rsidP="002E7F54">
            <w:pPr>
              <w:pStyle w:val="Tabletext"/>
              <w:jc w:val="center"/>
              <w:rPr>
                <w:sz w:val="18"/>
                <w:szCs w:val="18"/>
              </w:rPr>
            </w:pPr>
            <w:r w:rsidRPr="00B93493">
              <w:rPr>
                <w:sz w:val="18"/>
                <w:szCs w:val="18"/>
              </w:rPr>
              <w:t>82</w:t>
            </w:r>
          </w:p>
        </w:tc>
        <w:tc>
          <w:tcPr>
            <w:tcW w:w="879" w:type="dxa"/>
            <w:tcBorders>
              <w:top w:val="single" w:sz="4" w:space="0" w:color="auto"/>
              <w:left w:val="single" w:sz="4" w:space="0" w:color="auto"/>
              <w:bottom w:val="single" w:sz="4" w:space="0" w:color="auto"/>
              <w:right w:val="single" w:sz="4" w:space="0" w:color="auto"/>
            </w:tcBorders>
          </w:tcPr>
          <w:p w14:paraId="0542D5DE" w14:textId="77777777" w:rsidR="00CF04BC" w:rsidRPr="00B93493" w:rsidRDefault="00CF04BC" w:rsidP="002E7F54">
            <w:pPr>
              <w:pStyle w:val="Tabletext"/>
              <w:jc w:val="center"/>
              <w:rPr>
                <w:sz w:val="18"/>
                <w:szCs w:val="18"/>
              </w:rPr>
            </w:pPr>
            <w:r w:rsidRPr="00B93493">
              <w:rPr>
                <w:sz w:val="18"/>
                <w:szCs w:val="18"/>
              </w:rPr>
              <w:t>89</w:t>
            </w:r>
          </w:p>
        </w:tc>
      </w:tr>
      <w:tr w:rsidR="00CF04BC" w:rsidRPr="00B93493" w14:paraId="508E2026"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3015A065" w14:textId="77777777" w:rsidR="00CF04BC" w:rsidRPr="00B93493" w:rsidRDefault="00CF04BC" w:rsidP="002E7F54">
            <w:pPr>
              <w:pStyle w:val="Tabletext"/>
              <w:jc w:val="center"/>
              <w:rPr>
                <w:sz w:val="18"/>
                <w:szCs w:val="18"/>
              </w:rPr>
            </w:pPr>
            <w:r w:rsidRPr="00B93493">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14:paraId="48B710FE" w14:textId="77777777" w:rsidR="00CF04BC" w:rsidRPr="00B93493" w:rsidRDefault="00CF04BC" w:rsidP="002E7F54">
            <w:pPr>
              <w:pStyle w:val="Tabletext"/>
              <w:jc w:val="center"/>
              <w:rPr>
                <w:sz w:val="18"/>
                <w:szCs w:val="18"/>
              </w:rPr>
            </w:pPr>
            <w:r w:rsidRPr="00B93493">
              <w:rPr>
                <w:sz w:val="18"/>
                <w:szCs w:val="18"/>
              </w:rPr>
              <w:t>37/36</w:t>
            </w:r>
          </w:p>
        </w:tc>
        <w:tc>
          <w:tcPr>
            <w:tcW w:w="765" w:type="dxa"/>
            <w:tcBorders>
              <w:top w:val="single" w:sz="4" w:space="0" w:color="auto"/>
              <w:left w:val="single" w:sz="4" w:space="0" w:color="auto"/>
              <w:bottom w:val="single" w:sz="4" w:space="0" w:color="auto"/>
              <w:right w:val="single" w:sz="4" w:space="0" w:color="auto"/>
            </w:tcBorders>
          </w:tcPr>
          <w:p w14:paraId="3213B2FF" w14:textId="77777777" w:rsidR="00CF04BC" w:rsidRPr="00B93493" w:rsidRDefault="00CF04BC" w:rsidP="002E7F54">
            <w:pPr>
              <w:pStyle w:val="Tabletext"/>
              <w:jc w:val="center"/>
              <w:rPr>
                <w:sz w:val="18"/>
                <w:szCs w:val="18"/>
              </w:rPr>
            </w:pPr>
            <w:r w:rsidRPr="00B93493">
              <w:rPr>
                <w:sz w:val="18"/>
                <w:szCs w:val="18"/>
              </w:rPr>
              <w:t>43/42</w:t>
            </w:r>
          </w:p>
        </w:tc>
        <w:tc>
          <w:tcPr>
            <w:tcW w:w="765" w:type="dxa"/>
            <w:tcBorders>
              <w:top w:val="single" w:sz="4" w:space="0" w:color="auto"/>
              <w:left w:val="single" w:sz="4" w:space="0" w:color="auto"/>
              <w:bottom w:val="single" w:sz="4" w:space="0" w:color="auto"/>
              <w:right w:val="single" w:sz="4" w:space="0" w:color="auto"/>
            </w:tcBorders>
          </w:tcPr>
          <w:p w14:paraId="38C6A87E" w14:textId="77777777" w:rsidR="00CF04BC" w:rsidRPr="00B93493" w:rsidRDefault="00CF04BC" w:rsidP="002E7F54">
            <w:pPr>
              <w:pStyle w:val="Tabletext"/>
              <w:jc w:val="center"/>
              <w:rPr>
                <w:sz w:val="18"/>
                <w:szCs w:val="18"/>
              </w:rPr>
            </w:pPr>
            <w:r w:rsidRPr="00B93493">
              <w:rPr>
                <w:sz w:val="18"/>
                <w:szCs w:val="18"/>
              </w:rPr>
              <w:t>51/49</w:t>
            </w:r>
          </w:p>
        </w:tc>
        <w:tc>
          <w:tcPr>
            <w:tcW w:w="765" w:type="dxa"/>
            <w:tcBorders>
              <w:top w:val="single" w:sz="4" w:space="0" w:color="auto"/>
              <w:left w:val="single" w:sz="4" w:space="0" w:color="auto"/>
              <w:bottom w:val="single" w:sz="4" w:space="0" w:color="auto"/>
              <w:right w:val="single" w:sz="4" w:space="0" w:color="auto"/>
            </w:tcBorders>
          </w:tcPr>
          <w:p w14:paraId="383ACB08" w14:textId="77777777" w:rsidR="00CF04BC" w:rsidRPr="00B93493" w:rsidRDefault="00CF04BC" w:rsidP="002E7F54">
            <w:pPr>
              <w:pStyle w:val="Tabletext"/>
              <w:jc w:val="center"/>
              <w:rPr>
                <w:sz w:val="18"/>
                <w:szCs w:val="18"/>
              </w:rPr>
            </w:pPr>
            <w:r w:rsidRPr="00B93493">
              <w:rPr>
                <w:sz w:val="18"/>
                <w:szCs w:val="18"/>
              </w:rPr>
              <w:t>56/54</w:t>
            </w:r>
          </w:p>
        </w:tc>
        <w:tc>
          <w:tcPr>
            <w:tcW w:w="765" w:type="dxa"/>
            <w:tcBorders>
              <w:top w:val="single" w:sz="4" w:space="0" w:color="auto"/>
              <w:left w:val="single" w:sz="4" w:space="0" w:color="auto"/>
              <w:bottom w:val="single" w:sz="4" w:space="0" w:color="auto"/>
              <w:right w:val="single" w:sz="4" w:space="0" w:color="auto"/>
            </w:tcBorders>
          </w:tcPr>
          <w:p w14:paraId="428BC2E7" w14:textId="77777777" w:rsidR="00CF04BC" w:rsidRPr="00B93493" w:rsidRDefault="00CF04BC" w:rsidP="002E7F54">
            <w:pPr>
              <w:pStyle w:val="Tabletext"/>
              <w:jc w:val="center"/>
              <w:rPr>
                <w:sz w:val="18"/>
                <w:szCs w:val="18"/>
              </w:rPr>
            </w:pPr>
            <w:r w:rsidRPr="00B93493">
              <w:rPr>
                <w:sz w:val="18"/>
                <w:szCs w:val="18"/>
              </w:rPr>
              <w:t>65/63</w:t>
            </w:r>
          </w:p>
        </w:tc>
        <w:tc>
          <w:tcPr>
            <w:tcW w:w="765" w:type="dxa"/>
            <w:tcBorders>
              <w:top w:val="single" w:sz="4" w:space="0" w:color="auto"/>
              <w:left w:val="single" w:sz="4" w:space="0" w:color="auto"/>
              <w:bottom w:val="single" w:sz="4" w:space="0" w:color="auto"/>
              <w:right w:val="single" w:sz="4" w:space="0" w:color="auto"/>
            </w:tcBorders>
          </w:tcPr>
          <w:p w14:paraId="06C0FF53" w14:textId="77777777" w:rsidR="00CF04BC" w:rsidRPr="00B93493" w:rsidRDefault="00CF04BC" w:rsidP="002E7F54">
            <w:pPr>
              <w:pStyle w:val="Tabletext"/>
              <w:jc w:val="center"/>
              <w:rPr>
                <w:sz w:val="18"/>
                <w:szCs w:val="18"/>
              </w:rPr>
            </w:pPr>
            <w:r w:rsidRPr="00B93493">
              <w:rPr>
                <w:sz w:val="18"/>
                <w:szCs w:val="18"/>
              </w:rPr>
              <w:t>72/71</w:t>
            </w:r>
          </w:p>
        </w:tc>
        <w:tc>
          <w:tcPr>
            <w:tcW w:w="765" w:type="dxa"/>
            <w:tcBorders>
              <w:top w:val="single" w:sz="4" w:space="0" w:color="auto"/>
              <w:left w:val="single" w:sz="4" w:space="0" w:color="auto"/>
              <w:bottom w:val="single" w:sz="4" w:space="0" w:color="auto"/>
              <w:right w:val="single" w:sz="4" w:space="0" w:color="auto"/>
            </w:tcBorders>
          </w:tcPr>
          <w:p w14:paraId="350FB9BE" w14:textId="77777777" w:rsidR="00CF04BC" w:rsidRPr="00B93493" w:rsidRDefault="00CF04BC" w:rsidP="002E7F54">
            <w:pPr>
              <w:pStyle w:val="Tabletext"/>
              <w:jc w:val="center"/>
              <w:rPr>
                <w:sz w:val="18"/>
                <w:szCs w:val="18"/>
              </w:rPr>
            </w:pPr>
            <w:r w:rsidRPr="00B93493">
              <w:rPr>
                <w:sz w:val="18"/>
                <w:szCs w:val="18"/>
              </w:rPr>
              <w:t>77</w:t>
            </w:r>
          </w:p>
        </w:tc>
        <w:tc>
          <w:tcPr>
            <w:tcW w:w="765" w:type="dxa"/>
            <w:tcBorders>
              <w:top w:val="single" w:sz="4" w:space="0" w:color="auto"/>
              <w:left w:val="single" w:sz="4" w:space="0" w:color="auto"/>
              <w:bottom w:val="single" w:sz="4" w:space="0" w:color="auto"/>
              <w:right w:val="single" w:sz="4" w:space="0" w:color="auto"/>
            </w:tcBorders>
          </w:tcPr>
          <w:p w14:paraId="37557668" w14:textId="77777777" w:rsidR="00CF04BC" w:rsidRPr="00B93493" w:rsidRDefault="00CF04BC" w:rsidP="002E7F54">
            <w:pPr>
              <w:pStyle w:val="Tabletext"/>
              <w:jc w:val="center"/>
              <w:rPr>
                <w:sz w:val="18"/>
                <w:szCs w:val="18"/>
              </w:rPr>
            </w:pPr>
            <w:r w:rsidRPr="00B93493">
              <w:rPr>
                <w:sz w:val="18"/>
                <w:szCs w:val="18"/>
              </w:rPr>
              <w:t>81</w:t>
            </w:r>
          </w:p>
        </w:tc>
        <w:tc>
          <w:tcPr>
            <w:tcW w:w="765" w:type="dxa"/>
            <w:tcBorders>
              <w:top w:val="single" w:sz="4" w:space="0" w:color="auto"/>
              <w:left w:val="single" w:sz="4" w:space="0" w:color="auto"/>
              <w:bottom w:val="single" w:sz="4" w:space="0" w:color="auto"/>
              <w:right w:val="single" w:sz="4" w:space="0" w:color="auto"/>
            </w:tcBorders>
          </w:tcPr>
          <w:p w14:paraId="64AC3917" w14:textId="77777777" w:rsidR="00CF04BC" w:rsidRPr="00B93493" w:rsidRDefault="00CF04BC" w:rsidP="002E7F54">
            <w:pPr>
              <w:pStyle w:val="Tabletext"/>
              <w:jc w:val="center"/>
              <w:rPr>
                <w:sz w:val="18"/>
                <w:szCs w:val="18"/>
              </w:rPr>
            </w:pPr>
            <w:r w:rsidRPr="00B93493">
              <w:rPr>
                <w:sz w:val="18"/>
                <w:szCs w:val="18"/>
              </w:rPr>
              <w:t>86</w:t>
            </w:r>
          </w:p>
        </w:tc>
        <w:tc>
          <w:tcPr>
            <w:tcW w:w="765" w:type="dxa"/>
            <w:tcBorders>
              <w:top w:val="single" w:sz="4" w:space="0" w:color="auto"/>
              <w:left w:val="single" w:sz="4" w:space="0" w:color="auto"/>
              <w:bottom w:val="single" w:sz="4" w:space="0" w:color="auto"/>
              <w:right w:val="single" w:sz="4" w:space="0" w:color="auto"/>
            </w:tcBorders>
          </w:tcPr>
          <w:p w14:paraId="3E1701DF" w14:textId="77777777" w:rsidR="00CF04BC" w:rsidRPr="00B93493" w:rsidRDefault="00CF04BC" w:rsidP="002E7F54">
            <w:pPr>
              <w:pStyle w:val="Tabletext"/>
              <w:jc w:val="center"/>
              <w:rPr>
                <w:sz w:val="18"/>
                <w:szCs w:val="18"/>
              </w:rPr>
            </w:pPr>
            <w:r w:rsidRPr="00B93493">
              <w:rPr>
                <w:sz w:val="18"/>
                <w:szCs w:val="18"/>
              </w:rPr>
              <w:t>90</w:t>
            </w:r>
          </w:p>
        </w:tc>
        <w:tc>
          <w:tcPr>
            <w:tcW w:w="879" w:type="dxa"/>
            <w:tcBorders>
              <w:top w:val="single" w:sz="4" w:space="0" w:color="auto"/>
              <w:left w:val="single" w:sz="4" w:space="0" w:color="auto"/>
              <w:bottom w:val="single" w:sz="4" w:space="0" w:color="auto"/>
              <w:right w:val="single" w:sz="4" w:space="0" w:color="auto"/>
            </w:tcBorders>
          </w:tcPr>
          <w:p w14:paraId="13AF8BAD" w14:textId="77777777" w:rsidR="00CF04BC" w:rsidRPr="00B93493" w:rsidRDefault="00CF04BC" w:rsidP="002E7F54">
            <w:pPr>
              <w:pStyle w:val="Tabletext"/>
              <w:jc w:val="center"/>
              <w:rPr>
                <w:sz w:val="18"/>
                <w:szCs w:val="18"/>
              </w:rPr>
            </w:pPr>
            <w:r w:rsidRPr="00B93493">
              <w:rPr>
                <w:sz w:val="18"/>
                <w:szCs w:val="18"/>
              </w:rPr>
              <w:t>97</w:t>
            </w:r>
          </w:p>
        </w:tc>
      </w:tr>
      <w:tr w:rsidR="00CF04BC" w:rsidRPr="00B93493" w14:paraId="009F2F2B"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77742366" w14:textId="77777777" w:rsidR="00CF04BC" w:rsidRPr="00B93493" w:rsidRDefault="00CF04BC" w:rsidP="002E7F54">
            <w:pPr>
              <w:pStyle w:val="Tabletext"/>
              <w:jc w:val="center"/>
              <w:rPr>
                <w:sz w:val="18"/>
                <w:szCs w:val="18"/>
              </w:rPr>
            </w:pPr>
            <w:r w:rsidRPr="00B93493">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14:paraId="3D7EF8D7" w14:textId="77777777" w:rsidR="00CF04BC" w:rsidRPr="00B93493" w:rsidRDefault="00CF04BC" w:rsidP="002E7F54">
            <w:pPr>
              <w:pStyle w:val="Tabletext"/>
              <w:jc w:val="center"/>
              <w:rPr>
                <w:sz w:val="18"/>
                <w:szCs w:val="18"/>
              </w:rPr>
            </w:pPr>
            <w:r w:rsidRPr="00B93493">
              <w:rPr>
                <w:sz w:val="18"/>
                <w:szCs w:val="18"/>
              </w:rPr>
              <w:t>43/36</w:t>
            </w:r>
          </w:p>
        </w:tc>
        <w:tc>
          <w:tcPr>
            <w:tcW w:w="765" w:type="dxa"/>
            <w:tcBorders>
              <w:top w:val="single" w:sz="4" w:space="0" w:color="auto"/>
              <w:left w:val="single" w:sz="4" w:space="0" w:color="auto"/>
              <w:bottom w:val="single" w:sz="4" w:space="0" w:color="auto"/>
              <w:right w:val="single" w:sz="4" w:space="0" w:color="auto"/>
            </w:tcBorders>
          </w:tcPr>
          <w:p w14:paraId="4B1D2274" w14:textId="77777777" w:rsidR="00CF04BC" w:rsidRPr="00B93493" w:rsidRDefault="00CF04BC" w:rsidP="002E7F54">
            <w:pPr>
              <w:pStyle w:val="Tabletext"/>
              <w:jc w:val="center"/>
              <w:rPr>
                <w:sz w:val="18"/>
                <w:szCs w:val="18"/>
              </w:rPr>
            </w:pPr>
            <w:r w:rsidRPr="00B93493">
              <w:rPr>
                <w:sz w:val="18"/>
                <w:szCs w:val="18"/>
              </w:rPr>
              <w:t>52/42</w:t>
            </w:r>
          </w:p>
        </w:tc>
        <w:tc>
          <w:tcPr>
            <w:tcW w:w="765" w:type="dxa"/>
            <w:tcBorders>
              <w:top w:val="single" w:sz="4" w:space="0" w:color="auto"/>
              <w:left w:val="single" w:sz="4" w:space="0" w:color="auto"/>
              <w:bottom w:val="single" w:sz="4" w:space="0" w:color="auto"/>
              <w:right w:val="single" w:sz="4" w:space="0" w:color="auto"/>
            </w:tcBorders>
          </w:tcPr>
          <w:p w14:paraId="37BF8785" w14:textId="77777777" w:rsidR="00CF04BC" w:rsidRPr="00B93493" w:rsidRDefault="00CF04BC" w:rsidP="002E7F54">
            <w:pPr>
              <w:pStyle w:val="Tabletext"/>
              <w:jc w:val="center"/>
              <w:rPr>
                <w:sz w:val="18"/>
                <w:szCs w:val="18"/>
              </w:rPr>
            </w:pPr>
            <w:r w:rsidRPr="00B93493">
              <w:rPr>
                <w:sz w:val="18"/>
                <w:szCs w:val="18"/>
              </w:rPr>
              <w:t>60/49</w:t>
            </w:r>
          </w:p>
        </w:tc>
        <w:tc>
          <w:tcPr>
            <w:tcW w:w="765" w:type="dxa"/>
            <w:tcBorders>
              <w:top w:val="single" w:sz="4" w:space="0" w:color="auto"/>
              <w:left w:val="single" w:sz="4" w:space="0" w:color="auto"/>
              <w:bottom w:val="single" w:sz="4" w:space="0" w:color="auto"/>
              <w:right w:val="single" w:sz="4" w:space="0" w:color="auto"/>
            </w:tcBorders>
          </w:tcPr>
          <w:p w14:paraId="49BEC8D1" w14:textId="77777777" w:rsidR="00CF04BC" w:rsidRPr="00B93493" w:rsidRDefault="00CF04BC" w:rsidP="002E7F54">
            <w:pPr>
              <w:pStyle w:val="Tabletext"/>
              <w:jc w:val="center"/>
              <w:rPr>
                <w:sz w:val="18"/>
                <w:szCs w:val="18"/>
              </w:rPr>
            </w:pPr>
            <w:r w:rsidRPr="00B93493">
              <w:rPr>
                <w:sz w:val="18"/>
                <w:szCs w:val="18"/>
              </w:rPr>
              <w:t>66/54</w:t>
            </w:r>
          </w:p>
        </w:tc>
        <w:tc>
          <w:tcPr>
            <w:tcW w:w="765" w:type="dxa"/>
            <w:tcBorders>
              <w:top w:val="single" w:sz="4" w:space="0" w:color="auto"/>
              <w:left w:val="single" w:sz="4" w:space="0" w:color="auto"/>
              <w:bottom w:val="single" w:sz="4" w:space="0" w:color="auto"/>
              <w:right w:val="single" w:sz="4" w:space="0" w:color="auto"/>
            </w:tcBorders>
          </w:tcPr>
          <w:p w14:paraId="372AC90D" w14:textId="77777777" w:rsidR="00CF04BC" w:rsidRPr="00B93493" w:rsidRDefault="00CF04BC" w:rsidP="002E7F54">
            <w:pPr>
              <w:pStyle w:val="Tabletext"/>
              <w:jc w:val="center"/>
              <w:rPr>
                <w:sz w:val="18"/>
                <w:szCs w:val="18"/>
              </w:rPr>
            </w:pPr>
            <w:r w:rsidRPr="00B93493">
              <w:rPr>
                <w:sz w:val="18"/>
                <w:szCs w:val="18"/>
              </w:rPr>
              <w:t>75/63</w:t>
            </w:r>
          </w:p>
        </w:tc>
        <w:tc>
          <w:tcPr>
            <w:tcW w:w="765" w:type="dxa"/>
            <w:tcBorders>
              <w:top w:val="single" w:sz="4" w:space="0" w:color="auto"/>
              <w:left w:val="single" w:sz="4" w:space="0" w:color="auto"/>
              <w:bottom w:val="single" w:sz="4" w:space="0" w:color="auto"/>
              <w:right w:val="single" w:sz="4" w:space="0" w:color="auto"/>
            </w:tcBorders>
          </w:tcPr>
          <w:p w14:paraId="7F6FCA5D" w14:textId="77777777" w:rsidR="00CF04BC" w:rsidRPr="00B93493" w:rsidRDefault="00CF04BC" w:rsidP="002E7F54">
            <w:pPr>
              <w:pStyle w:val="Tabletext"/>
              <w:jc w:val="center"/>
              <w:rPr>
                <w:sz w:val="18"/>
                <w:szCs w:val="18"/>
              </w:rPr>
            </w:pPr>
            <w:r w:rsidRPr="00B93493">
              <w:rPr>
                <w:sz w:val="18"/>
                <w:szCs w:val="18"/>
              </w:rPr>
              <w:t>82/71</w:t>
            </w:r>
          </w:p>
        </w:tc>
        <w:tc>
          <w:tcPr>
            <w:tcW w:w="765" w:type="dxa"/>
            <w:tcBorders>
              <w:top w:val="single" w:sz="4" w:space="0" w:color="auto"/>
              <w:left w:val="single" w:sz="4" w:space="0" w:color="auto"/>
              <w:bottom w:val="single" w:sz="4" w:space="0" w:color="auto"/>
              <w:right w:val="single" w:sz="4" w:space="0" w:color="auto"/>
            </w:tcBorders>
          </w:tcPr>
          <w:p w14:paraId="7EB35F65" w14:textId="77777777" w:rsidR="00CF04BC" w:rsidRPr="00B93493" w:rsidRDefault="00CF04BC" w:rsidP="002E7F54">
            <w:pPr>
              <w:pStyle w:val="Tabletext"/>
              <w:jc w:val="center"/>
              <w:rPr>
                <w:sz w:val="18"/>
                <w:szCs w:val="18"/>
              </w:rPr>
            </w:pPr>
            <w:r w:rsidRPr="00B93493">
              <w:rPr>
                <w:sz w:val="18"/>
                <w:szCs w:val="18"/>
              </w:rPr>
              <w:t>87/78</w:t>
            </w:r>
          </w:p>
        </w:tc>
        <w:tc>
          <w:tcPr>
            <w:tcW w:w="765" w:type="dxa"/>
            <w:tcBorders>
              <w:top w:val="single" w:sz="4" w:space="0" w:color="auto"/>
              <w:left w:val="single" w:sz="4" w:space="0" w:color="auto"/>
              <w:bottom w:val="single" w:sz="4" w:space="0" w:color="auto"/>
              <w:right w:val="single" w:sz="4" w:space="0" w:color="auto"/>
            </w:tcBorders>
          </w:tcPr>
          <w:p w14:paraId="425FB195" w14:textId="77777777" w:rsidR="00CF04BC" w:rsidRPr="00B93493" w:rsidRDefault="00CF04BC" w:rsidP="002E7F54">
            <w:pPr>
              <w:pStyle w:val="Tabletext"/>
              <w:jc w:val="center"/>
              <w:rPr>
                <w:sz w:val="18"/>
                <w:szCs w:val="18"/>
              </w:rPr>
            </w:pPr>
            <w:r w:rsidRPr="00B93493">
              <w:rPr>
                <w:sz w:val="18"/>
                <w:szCs w:val="18"/>
              </w:rPr>
              <w:t>91/84</w:t>
            </w:r>
          </w:p>
        </w:tc>
        <w:tc>
          <w:tcPr>
            <w:tcW w:w="765" w:type="dxa"/>
            <w:tcBorders>
              <w:top w:val="single" w:sz="4" w:space="0" w:color="auto"/>
              <w:left w:val="single" w:sz="4" w:space="0" w:color="auto"/>
              <w:bottom w:val="single" w:sz="4" w:space="0" w:color="auto"/>
              <w:right w:val="single" w:sz="4" w:space="0" w:color="auto"/>
            </w:tcBorders>
          </w:tcPr>
          <w:p w14:paraId="6C2C7FC3" w14:textId="77777777" w:rsidR="00CF04BC" w:rsidRPr="00B93493" w:rsidRDefault="00CF04BC" w:rsidP="002E7F54">
            <w:pPr>
              <w:pStyle w:val="Tabletext"/>
              <w:jc w:val="center"/>
              <w:rPr>
                <w:sz w:val="18"/>
                <w:szCs w:val="18"/>
              </w:rPr>
            </w:pPr>
            <w:r w:rsidRPr="00B93493">
              <w:rPr>
                <w:sz w:val="18"/>
                <w:szCs w:val="18"/>
              </w:rPr>
              <w:t>96/90</w:t>
            </w:r>
          </w:p>
        </w:tc>
        <w:tc>
          <w:tcPr>
            <w:tcW w:w="765" w:type="dxa"/>
            <w:tcBorders>
              <w:top w:val="single" w:sz="4" w:space="0" w:color="auto"/>
              <w:left w:val="single" w:sz="4" w:space="0" w:color="auto"/>
              <w:bottom w:val="single" w:sz="4" w:space="0" w:color="auto"/>
              <w:right w:val="single" w:sz="4" w:space="0" w:color="auto"/>
            </w:tcBorders>
          </w:tcPr>
          <w:p w14:paraId="022E457E" w14:textId="77777777" w:rsidR="00CF04BC" w:rsidRPr="00B93493" w:rsidRDefault="00CF04BC" w:rsidP="002E7F54">
            <w:pPr>
              <w:pStyle w:val="Tabletext"/>
              <w:jc w:val="center"/>
              <w:rPr>
                <w:sz w:val="18"/>
                <w:szCs w:val="18"/>
              </w:rPr>
            </w:pPr>
            <w:r w:rsidRPr="00B93493">
              <w:rPr>
                <w:sz w:val="18"/>
                <w:szCs w:val="18"/>
              </w:rPr>
              <w:t>101/95</w:t>
            </w:r>
          </w:p>
        </w:tc>
        <w:tc>
          <w:tcPr>
            <w:tcW w:w="879" w:type="dxa"/>
            <w:tcBorders>
              <w:top w:val="single" w:sz="4" w:space="0" w:color="auto"/>
              <w:left w:val="single" w:sz="4" w:space="0" w:color="auto"/>
              <w:bottom w:val="single" w:sz="4" w:space="0" w:color="auto"/>
              <w:right w:val="single" w:sz="4" w:space="0" w:color="auto"/>
            </w:tcBorders>
          </w:tcPr>
          <w:p w14:paraId="442CAABF" w14:textId="77777777" w:rsidR="00CF04BC" w:rsidRPr="00B93493" w:rsidRDefault="00CF04BC" w:rsidP="002E7F54">
            <w:pPr>
              <w:pStyle w:val="Tabletext"/>
              <w:jc w:val="center"/>
              <w:rPr>
                <w:sz w:val="18"/>
                <w:szCs w:val="18"/>
              </w:rPr>
            </w:pPr>
            <w:r w:rsidRPr="00B93493">
              <w:rPr>
                <w:sz w:val="18"/>
                <w:szCs w:val="18"/>
              </w:rPr>
              <w:t>108/105</w:t>
            </w:r>
          </w:p>
        </w:tc>
      </w:tr>
      <w:tr w:rsidR="00CF04BC" w:rsidRPr="00B93493" w14:paraId="08D43A34"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75E13D90" w14:textId="77777777" w:rsidR="00CF04BC" w:rsidRPr="00B93493" w:rsidRDefault="00CF04BC" w:rsidP="002E7F54">
            <w:pPr>
              <w:pStyle w:val="Tabletext"/>
              <w:jc w:val="center"/>
              <w:rPr>
                <w:sz w:val="18"/>
                <w:szCs w:val="18"/>
              </w:rPr>
            </w:pPr>
            <w:r w:rsidRPr="00B93493">
              <w:rPr>
                <w:sz w:val="18"/>
                <w:szCs w:val="18"/>
              </w:rPr>
              <w:t>55.0</w:t>
            </w:r>
          </w:p>
        </w:tc>
        <w:tc>
          <w:tcPr>
            <w:tcW w:w="709" w:type="dxa"/>
            <w:tcBorders>
              <w:top w:val="single" w:sz="4" w:space="0" w:color="auto"/>
              <w:left w:val="single" w:sz="4" w:space="0" w:color="auto"/>
              <w:bottom w:val="single" w:sz="4" w:space="0" w:color="auto"/>
              <w:right w:val="single" w:sz="4" w:space="0" w:color="auto"/>
            </w:tcBorders>
          </w:tcPr>
          <w:p w14:paraId="5D03BF50" w14:textId="77777777" w:rsidR="00CF04BC" w:rsidRPr="00B93493" w:rsidRDefault="00CF04BC" w:rsidP="002E7F54">
            <w:pPr>
              <w:pStyle w:val="Tabletext"/>
              <w:jc w:val="center"/>
              <w:rPr>
                <w:sz w:val="18"/>
                <w:szCs w:val="18"/>
              </w:rPr>
            </w:pPr>
            <w:r w:rsidRPr="00B93493">
              <w:rPr>
                <w:sz w:val="18"/>
                <w:szCs w:val="18"/>
              </w:rPr>
              <w:t>54/36</w:t>
            </w:r>
          </w:p>
        </w:tc>
        <w:tc>
          <w:tcPr>
            <w:tcW w:w="765" w:type="dxa"/>
            <w:tcBorders>
              <w:top w:val="single" w:sz="4" w:space="0" w:color="auto"/>
              <w:left w:val="single" w:sz="4" w:space="0" w:color="auto"/>
              <w:bottom w:val="single" w:sz="4" w:space="0" w:color="auto"/>
              <w:right w:val="single" w:sz="4" w:space="0" w:color="auto"/>
            </w:tcBorders>
          </w:tcPr>
          <w:p w14:paraId="73CF4B22" w14:textId="77777777" w:rsidR="00CF04BC" w:rsidRPr="00B93493" w:rsidRDefault="00CF04BC" w:rsidP="002E7F54">
            <w:pPr>
              <w:pStyle w:val="Tabletext"/>
              <w:jc w:val="center"/>
              <w:rPr>
                <w:sz w:val="18"/>
                <w:szCs w:val="18"/>
              </w:rPr>
            </w:pPr>
            <w:r w:rsidRPr="00B93493">
              <w:rPr>
                <w:sz w:val="18"/>
                <w:szCs w:val="18"/>
              </w:rPr>
              <w:t>65/42</w:t>
            </w:r>
          </w:p>
        </w:tc>
        <w:tc>
          <w:tcPr>
            <w:tcW w:w="765" w:type="dxa"/>
            <w:tcBorders>
              <w:top w:val="single" w:sz="4" w:space="0" w:color="auto"/>
              <w:left w:val="single" w:sz="4" w:space="0" w:color="auto"/>
              <w:bottom w:val="single" w:sz="4" w:space="0" w:color="auto"/>
              <w:right w:val="single" w:sz="4" w:space="0" w:color="auto"/>
            </w:tcBorders>
          </w:tcPr>
          <w:p w14:paraId="728246D8" w14:textId="77777777" w:rsidR="00CF04BC" w:rsidRPr="00B93493" w:rsidRDefault="00CF04BC" w:rsidP="002E7F54">
            <w:pPr>
              <w:pStyle w:val="Tabletext"/>
              <w:jc w:val="center"/>
              <w:rPr>
                <w:sz w:val="18"/>
                <w:szCs w:val="18"/>
              </w:rPr>
            </w:pPr>
            <w:r w:rsidRPr="00B93493">
              <w:rPr>
                <w:sz w:val="18"/>
                <w:szCs w:val="18"/>
              </w:rPr>
              <w:t>73/49</w:t>
            </w:r>
          </w:p>
        </w:tc>
        <w:tc>
          <w:tcPr>
            <w:tcW w:w="765" w:type="dxa"/>
            <w:tcBorders>
              <w:top w:val="single" w:sz="4" w:space="0" w:color="auto"/>
              <w:left w:val="single" w:sz="4" w:space="0" w:color="auto"/>
              <w:bottom w:val="single" w:sz="4" w:space="0" w:color="auto"/>
              <w:right w:val="single" w:sz="4" w:space="0" w:color="auto"/>
            </w:tcBorders>
          </w:tcPr>
          <w:p w14:paraId="0AE4B11A" w14:textId="77777777" w:rsidR="00CF04BC" w:rsidRPr="00B93493" w:rsidRDefault="00CF04BC" w:rsidP="002E7F54">
            <w:pPr>
              <w:pStyle w:val="Tabletext"/>
              <w:jc w:val="center"/>
              <w:rPr>
                <w:sz w:val="18"/>
                <w:szCs w:val="18"/>
              </w:rPr>
            </w:pPr>
            <w:r w:rsidRPr="00B93493">
              <w:rPr>
                <w:sz w:val="18"/>
                <w:szCs w:val="18"/>
              </w:rPr>
              <w:t>80/54</w:t>
            </w:r>
          </w:p>
        </w:tc>
        <w:tc>
          <w:tcPr>
            <w:tcW w:w="765" w:type="dxa"/>
            <w:tcBorders>
              <w:top w:val="single" w:sz="4" w:space="0" w:color="auto"/>
              <w:left w:val="single" w:sz="4" w:space="0" w:color="auto"/>
              <w:bottom w:val="single" w:sz="4" w:space="0" w:color="auto"/>
              <w:right w:val="single" w:sz="4" w:space="0" w:color="auto"/>
            </w:tcBorders>
          </w:tcPr>
          <w:p w14:paraId="026AE3D4" w14:textId="77777777" w:rsidR="00CF04BC" w:rsidRPr="00B93493" w:rsidRDefault="00CF04BC" w:rsidP="002E7F54">
            <w:pPr>
              <w:pStyle w:val="Tabletext"/>
              <w:jc w:val="center"/>
              <w:rPr>
                <w:sz w:val="18"/>
                <w:szCs w:val="18"/>
              </w:rPr>
            </w:pPr>
            <w:r w:rsidRPr="00B93493">
              <w:rPr>
                <w:sz w:val="18"/>
                <w:szCs w:val="18"/>
              </w:rPr>
              <w:t>88/63</w:t>
            </w:r>
          </w:p>
        </w:tc>
        <w:tc>
          <w:tcPr>
            <w:tcW w:w="765" w:type="dxa"/>
            <w:tcBorders>
              <w:top w:val="single" w:sz="4" w:space="0" w:color="auto"/>
              <w:left w:val="single" w:sz="4" w:space="0" w:color="auto"/>
              <w:bottom w:val="single" w:sz="4" w:space="0" w:color="auto"/>
              <w:right w:val="single" w:sz="4" w:space="0" w:color="auto"/>
            </w:tcBorders>
          </w:tcPr>
          <w:p w14:paraId="59B2E407" w14:textId="77777777" w:rsidR="00CF04BC" w:rsidRPr="00B93493" w:rsidRDefault="00CF04BC" w:rsidP="002E7F54">
            <w:pPr>
              <w:pStyle w:val="Tabletext"/>
              <w:jc w:val="center"/>
              <w:rPr>
                <w:sz w:val="18"/>
                <w:szCs w:val="18"/>
              </w:rPr>
            </w:pPr>
            <w:r w:rsidRPr="00B93493">
              <w:rPr>
                <w:sz w:val="18"/>
                <w:szCs w:val="18"/>
              </w:rPr>
              <w:t>96/71</w:t>
            </w:r>
          </w:p>
        </w:tc>
        <w:tc>
          <w:tcPr>
            <w:tcW w:w="765" w:type="dxa"/>
            <w:tcBorders>
              <w:top w:val="single" w:sz="4" w:space="0" w:color="auto"/>
              <w:left w:val="single" w:sz="4" w:space="0" w:color="auto"/>
              <w:bottom w:val="single" w:sz="4" w:space="0" w:color="auto"/>
              <w:right w:val="single" w:sz="4" w:space="0" w:color="auto"/>
            </w:tcBorders>
          </w:tcPr>
          <w:p w14:paraId="3EE2BA3C" w14:textId="77777777" w:rsidR="00CF04BC" w:rsidRPr="00B93493" w:rsidRDefault="00CF04BC" w:rsidP="002E7F54">
            <w:pPr>
              <w:pStyle w:val="Tabletext"/>
              <w:jc w:val="center"/>
              <w:rPr>
                <w:sz w:val="18"/>
                <w:szCs w:val="18"/>
              </w:rPr>
            </w:pPr>
            <w:r w:rsidRPr="00B93493">
              <w:rPr>
                <w:sz w:val="18"/>
                <w:szCs w:val="18"/>
              </w:rPr>
              <w:t>101/78</w:t>
            </w:r>
          </w:p>
        </w:tc>
        <w:tc>
          <w:tcPr>
            <w:tcW w:w="765" w:type="dxa"/>
            <w:tcBorders>
              <w:top w:val="single" w:sz="4" w:space="0" w:color="auto"/>
              <w:left w:val="single" w:sz="4" w:space="0" w:color="auto"/>
              <w:bottom w:val="single" w:sz="4" w:space="0" w:color="auto"/>
              <w:right w:val="single" w:sz="4" w:space="0" w:color="auto"/>
            </w:tcBorders>
          </w:tcPr>
          <w:p w14:paraId="1B0F6A8A" w14:textId="77777777" w:rsidR="00CF04BC" w:rsidRPr="00B93493" w:rsidRDefault="00CF04BC" w:rsidP="002E7F54">
            <w:pPr>
              <w:pStyle w:val="Tabletext"/>
              <w:jc w:val="center"/>
              <w:rPr>
                <w:sz w:val="18"/>
                <w:szCs w:val="18"/>
              </w:rPr>
            </w:pPr>
            <w:r w:rsidRPr="00B93493">
              <w:rPr>
                <w:sz w:val="18"/>
                <w:szCs w:val="18"/>
              </w:rPr>
              <w:t>106/84</w:t>
            </w:r>
          </w:p>
        </w:tc>
        <w:tc>
          <w:tcPr>
            <w:tcW w:w="765" w:type="dxa"/>
            <w:tcBorders>
              <w:top w:val="single" w:sz="4" w:space="0" w:color="auto"/>
              <w:left w:val="single" w:sz="4" w:space="0" w:color="auto"/>
              <w:bottom w:val="single" w:sz="4" w:space="0" w:color="auto"/>
              <w:right w:val="single" w:sz="4" w:space="0" w:color="auto"/>
            </w:tcBorders>
          </w:tcPr>
          <w:p w14:paraId="3976E256" w14:textId="77777777" w:rsidR="00CF04BC" w:rsidRPr="00B93493" w:rsidRDefault="00CF04BC" w:rsidP="002E7F54">
            <w:pPr>
              <w:pStyle w:val="Tabletext"/>
              <w:jc w:val="center"/>
              <w:rPr>
                <w:sz w:val="18"/>
                <w:szCs w:val="18"/>
              </w:rPr>
            </w:pPr>
            <w:r w:rsidRPr="00B93493">
              <w:rPr>
                <w:sz w:val="18"/>
                <w:szCs w:val="18"/>
              </w:rPr>
              <w:t>111/90</w:t>
            </w:r>
          </w:p>
        </w:tc>
        <w:tc>
          <w:tcPr>
            <w:tcW w:w="765" w:type="dxa"/>
            <w:tcBorders>
              <w:top w:val="single" w:sz="4" w:space="0" w:color="auto"/>
              <w:left w:val="single" w:sz="4" w:space="0" w:color="auto"/>
              <w:bottom w:val="single" w:sz="4" w:space="0" w:color="auto"/>
              <w:right w:val="single" w:sz="4" w:space="0" w:color="auto"/>
            </w:tcBorders>
          </w:tcPr>
          <w:p w14:paraId="20D5CB8B" w14:textId="77777777" w:rsidR="00CF04BC" w:rsidRPr="00B93493" w:rsidRDefault="00CF04BC" w:rsidP="002E7F54">
            <w:pPr>
              <w:pStyle w:val="Tabletext"/>
              <w:jc w:val="center"/>
              <w:rPr>
                <w:sz w:val="18"/>
                <w:szCs w:val="18"/>
              </w:rPr>
            </w:pPr>
            <w:r w:rsidRPr="00B93493">
              <w:rPr>
                <w:sz w:val="18"/>
                <w:szCs w:val="18"/>
              </w:rPr>
              <w:t>116/95</w:t>
            </w:r>
          </w:p>
        </w:tc>
        <w:tc>
          <w:tcPr>
            <w:tcW w:w="879" w:type="dxa"/>
            <w:tcBorders>
              <w:top w:val="single" w:sz="4" w:space="0" w:color="auto"/>
              <w:left w:val="single" w:sz="4" w:space="0" w:color="auto"/>
              <w:bottom w:val="single" w:sz="4" w:space="0" w:color="auto"/>
              <w:right w:val="single" w:sz="4" w:space="0" w:color="auto"/>
            </w:tcBorders>
          </w:tcPr>
          <w:p w14:paraId="44EE6638" w14:textId="77777777" w:rsidR="00CF04BC" w:rsidRPr="00B93493" w:rsidRDefault="00CF04BC" w:rsidP="002E7F54">
            <w:pPr>
              <w:pStyle w:val="Tabletext"/>
              <w:jc w:val="center"/>
              <w:rPr>
                <w:sz w:val="18"/>
                <w:szCs w:val="18"/>
              </w:rPr>
            </w:pPr>
            <w:r w:rsidRPr="00B93493">
              <w:rPr>
                <w:sz w:val="18"/>
                <w:szCs w:val="18"/>
              </w:rPr>
              <w:t>123/105</w:t>
            </w:r>
          </w:p>
        </w:tc>
      </w:tr>
      <w:tr w:rsidR="00CF04BC" w:rsidRPr="00B93493" w14:paraId="1F94AB1E"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50C997C9" w14:textId="77777777" w:rsidR="00CF04BC" w:rsidRPr="00B93493" w:rsidRDefault="00CF04BC" w:rsidP="002E7F54">
            <w:pPr>
              <w:pStyle w:val="Tabletext"/>
              <w:jc w:val="center"/>
              <w:rPr>
                <w:sz w:val="18"/>
                <w:szCs w:val="18"/>
              </w:rPr>
            </w:pPr>
            <w:r w:rsidRPr="00B93493">
              <w:rPr>
                <w:sz w:val="18"/>
                <w:szCs w:val="18"/>
              </w:rPr>
              <w:t>60.0</w:t>
            </w:r>
          </w:p>
        </w:tc>
        <w:tc>
          <w:tcPr>
            <w:tcW w:w="709" w:type="dxa"/>
            <w:tcBorders>
              <w:top w:val="single" w:sz="4" w:space="0" w:color="auto"/>
              <w:left w:val="single" w:sz="4" w:space="0" w:color="auto"/>
              <w:bottom w:val="single" w:sz="4" w:space="0" w:color="auto"/>
              <w:right w:val="single" w:sz="4" w:space="0" w:color="auto"/>
            </w:tcBorders>
          </w:tcPr>
          <w:p w14:paraId="60D0CB04" w14:textId="77777777" w:rsidR="00CF04BC" w:rsidRPr="00B93493" w:rsidRDefault="00CF04BC" w:rsidP="002E7F54">
            <w:pPr>
              <w:pStyle w:val="Tabletext"/>
              <w:jc w:val="center"/>
              <w:rPr>
                <w:sz w:val="18"/>
                <w:szCs w:val="18"/>
              </w:rPr>
            </w:pPr>
            <w:r w:rsidRPr="00B93493">
              <w:rPr>
                <w:sz w:val="18"/>
                <w:szCs w:val="18"/>
              </w:rPr>
              <w:t>69/36</w:t>
            </w:r>
          </w:p>
        </w:tc>
        <w:tc>
          <w:tcPr>
            <w:tcW w:w="765" w:type="dxa"/>
            <w:tcBorders>
              <w:top w:val="single" w:sz="4" w:space="0" w:color="auto"/>
              <w:left w:val="single" w:sz="4" w:space="0" w:color="auto"/>
              <w:bottom w:val="single" w:sz="4" w:space="0" w:color="auto"/>
              <w:right w:val="single" w:sz="4" w:space="0" w:color="auto"/>
            </w:tcBorders>
          </w:tcPr>
          <w:p w14:paraId="45093FDB" w14:textId="77777777" w:rsidR="00CF04BC" w:rsidRPr="00B93493" w:rsidRDefault="00CF04BC" w:rsidP="002E7F54">
            <w:pPr>
              <w:pStyle w:val="Tabletext"/>
              <w:jc w:val="center"/>
              <w:rPr>
                <w:sz w:val="18"/>
                <w:szCs w:val="18"/>
              </w:rPr>
            </w:pPr>
            <w:r w:rsidRPr="00B93493">
              <w:rPr>
                <w:sz w:val="18"/>
                <w:szCs w:val="18"/>
              </w:rPr>
              <w:t>80/42</w:t>
            </w:r>
          </w:p>
        </w:tc>
        <w:tc>
          <w:tcPr>
            <w:tcW w:w="765" w:type="dxa"/>
            <w:tcBorders>
              <w:top w:val="single" w:sz="4" w:space="0" w:color="auto"/>
              <w:left w:val="single" w:sz="4" w:space="0" w:color="auto"/>
              <w:bottom w:val="single" w:sz="4" w:space="0" w:color="auto"/>
              <w:right w:val="single" w:sz="4" w:space="0" w:color="auto"/>
            </w:tcBorders>
          </w:tcPr>
          <w:p w14:paraId="0EE38183" w14:textId="77777777" w:rsidR="00CF04BC" w:rsidRPr="00B93493" w:rsidRDefault="00CF04BC" w:rsidP="002E7F54">
            <w:pPr>
              <w:pStyle w:val="Tabletext"/>
              <w:jc w:val="center"/>
              <w:rPr>
                <w:sz w:val="18"/>
                <w:szCs w:val="18"/>
              </w:rPr>
            </w:pPr>
            <w:r w:rsidRPr="00B93493">
              <w:rPr>
                <w:sz w:val="18"/>
                <w:szCs w:val="18"/>
              </w:rPr>
              <w:t>89/49</w:t>
            </w:r>
          </w:p>
        </w:tc>
        <w:tc>
          <w:tcPr>
            <w:tcW w:w="765" w:type="dxa"/>
            <w:tcBorders>
              <w:top w:val="single" w:sz="4" w:space="0" w:color="auto"/>
              <w:left w:val="single" w:sz="4" w:space="0" w:color="auto"/>
              <w:bottom w:val="single" w:sz="4" w:space="0" w:color="auto"/>
              <w:right w:val="single" w:sz="4" w:space="0" w:color="auto"/>
            </w:tcBorders>
          </w:tcPr>
          <w:p w14:paraId="48EC46F8" w14:textId="77777777" w:rsidR="00CF04BC" w:rsidRPr="00B93493" w:rsidRDefault="00CF04BC" w:rsidP="002E7F54">
            <w:pPr>
              <w:pStyle w:val="Tabletext"/>
              <w:jc w:val="center"/>
              <w:rPr>
                <w:sz w:val="18"/>
                <w:szCs w:val="18"/>
              </w:rPr>
            </w:pPr>
            <w:r w:rsidRPr="00B93493">
              <w:rPr>
                <w:sz w:val="18"/>
                <w:szCs w:val="18"/>
              </w:rPr>
              <w:t>95/54</w:t>
            </w:r>
          </w:p>
        </w:tc>
        <w:tc>
          <w:tcPr>
            <w:tcW w:w="765" w:type="dxa"/>
            <w:tcBorders>
              <w:top w:val="single" w:sz="4" w:space="0" w:color="auto"/>
              <w:left w:val="single" w:sz="4" w:space="0" w:color="auto"/>
              <w:bottom w:val="single" w:sz="4" w:space="0" w:color="auto"/>
              <w:right w:val="single" w:sz="4" w:space="0" w:color="auto"/>
            </w:tcBorders>
          </w:tcPr>
          <w:p w14:paraId="2B6B83C4" w14:textId="77777777" w:rsidR="00CF04BC" w:rsidRPr="00B93493" w:rsidRDefault="00CF04BC" w:rsidP="002E7F54">
            <w:pPr>
              <w:pStyle w:val="Tabletext"/>
              <w:jc w:val="center"/>
              <w:rPr>
                <w:sz w:val="18"/>
                <w:szCs w:val="18"/>
              </w:rPr>
            </w:pPr>
            <w:r w:rsidRPr="00B93493">
              <w:rPr>
                <w:sz w:val="18"/>
                <w:szCs w:val="18"/>
              </w:rPr>
              <w:t>104/63</w:t>
            </w:r>
          </w:p>
        </w:tc>
        <w:tc>
          <w:tcPr>
            <w:tcW w:w="765" w:type="dxa"/>
            <w:tcBorders>
              <w:top w:val="single" w:sz="4" w:space="0" w:color="auto"/>
              <w:left w:val="single" w:sz="4" w:space="0" w:color="auto"/>
              <w:bottom w:val="single" w:sz="4" w:space="0" w:color="auto"/>
              <w:right w:val="single" w:sz="4" w:space="0" w:color="auto"/>
            </w:tcBorders>
          </w:tcPr>
          <w:p w14:paraId="56AAD0B7" w14:textId="77777777" w:rsidR="00CF04BC" w:rsidRPr="00B93493" w:rsidRDefault="00CF04BC" w:rsidP="002E7F54">
            <w:pPr>
              <w:pStyle w:val="Tabletext"/>
              <w:jc w:val="center"/>
              <w:rPr>
                <w:sz w:val="18"/>
                <w:szCs w:val="18"/>
              </w:rPr>
            </w:pPr>
            <w:r w:rsidRPr="00B93493">
              <w:rPr>
                <w:sz w:val="18"/>
                <w:szCs w:val="18"/>
              </w:rPr>
              <w:t>112/71</w:t>
            </w:r>
          </w:p>
        </w:tc>
        <w:tc>
          <w:tcPr>
            <w:tcW w:w="765" w:type="dxa"/>
            <w:tcBorders>
              <w:top w:val="single" w:sz="4" w:space="0" w:color="auto"/>
              <w:left w:val="single" w:sz="4" w:space="0" w:color="auto"/>
              <w:bottom w:val="single" w:sz="4" w:space="0" w:color="auto"/>
              <w:right w:val="single" w:sz="4" w:space="0" w:color="auto"/>
            </w:tcBorders>
          </w:tcPr>
          <w:p w14:paraId="7215E680" w14:textId="77777777" w:rsidR="00CF04BC" w:rsidRPr="00B93493" w:rsidRDefault="00CF04BC" w:rsidP="002E7F54">
            <w:pPr>
              <w:pStyle w:val="Tabletext"/>
              <w:jc w:val="center"/>
              <w:rPr>
                <w:sz w:val="18"/>
                <w:szCs w:val="18"/>
              </w:rPr>
            </w:pPr>
            <w:r w:rsidRPr="00B93493">
              <w:rPr>
                <w:sz w:val="18"/>
                <w:szCs w:val="18"/>
              </w:rPr>
              <w:t>118/78</w:t>
            </w:r>
          </w:p>
        </w:tc>
        <w:tc>
          <w:tcPr>
            <w:tcW w:w="765" w:type="dxa"/>
            <w:tcBorders>
              <w:top w:val="single" w:sz="4" w:space="0" w:color="auto"/>
              <w:left w:val="single" w:sz="4" w:space="0" w:color="auto"/>
              <w:bottom w:val="single" w:sz="4" w:space="0" w:color="auto"/>
              <w:right w:val="single" w:sz="4" w:space="0" w:color="auto"/>
            </w:tcBorders>
          </w:tcPr>
          <w:p w14:paraId="4D38BD87" w14:textId="77777777" w:rsidR="00CF04BC" w:rsidRPr="00B93493" w:rsidRDefault="00CF04BC" w:rsidP="002E7F54">
            <w:pPr>
              <w:pStyle w:val="Tabletext"/>
              <w:jc w:val="center"/>
              <w:rPr>
                <w:sz w:val="18"/>
                <w:szCs w:val="18"/>
              </w:rPr>
            </w:pPr>
            <w:r w:rsidRPr="00B93493">
              <w:rPr>
                <w:sz w:val="18"/>
                <w:szCs w:val="18"/>
              </w:rPr>
              <w:t>123/84</w:t>
            </w:r>
          </w:p>
        </w:tc>
        <w:tc>
          <w:tcPr>
            <w:tcW w:w="765" w:type="dxa"/>
            <w:tcBorders>
              <w:top w:val="single" w:sz="4" w:space="0" w:color="auto"/>
              <w:left w:val="single" w:sz="4" w:space="0" w:color="auto"/>
              <w:bottom w:val="single" w:sz="4" w:space="0" w:color="auto"/>
              <w:right w:val="single" w:sz="4" w:space="0" w:color="auto"/>
            </w:tcBorders>
          </w:tcPr>
          <w:p w14:paraId="14CBB5CB" w14:textId="77777777" w:rsidR="00CF04BC" w:rsidRPr="00B93493" w:rsidRDefault="00CF04BC" w:rsidP="002E7F54">
            <w:pPr>
              <w:pStyle w:val="Tabletext"/>
              <w:jc w:val="center"/>
              <w:rPr>
                <w:sz w:val="18"/>
                <w:szCs w:val="18"/>
              </w:rPr>
            </w:pPr>
            <w:r w:rsidRPr="00B93493">
              <w:rPr>
                <w:sz w:val="18"/>
                <w:szCs w:val="18"/>
              </w:rPr>
              <w:t>129/90</w:t>
            </w:r>
          </w:p>
        </w:tc>
        <w:tc>
          <w:tcPr>
            <w:tcW w:w="765" w:type="dxa"/>
            <w:tcBorders>
              <w:top w:val="single" w:sz="4" w:space="0" w:color="auto"/>
              <w:left w:val="single" w:sz="4" w:space="0" w:color="auto"/>
              <w:bottom w:val="single" w:sz="4" w:space="0" w:color="auto"/>
              <w:right w:val="single" w:sz="4" w:space="0" w:color="auto"/>
            </w:tcBorders>
          </w:tcPr>
          <w:p w14:paraId="6609E6BD" w14:textId="77777777" w:rsidR="00CF04BC" w:rsidRPr="00B93493" w:rsidRDefault="00CF04BC" w:rsidP="002E7F54">
            <w:pPr>
              <w:pStyle w:val="Tabletext"/>
              <w:jc w:val="center"/>
              <w:rPr>
                <w:sz w:val="18"/>
                <w:szCs w:val="18"/>
              </w:rPr>
            </w:pPr>
            <w:r w:rsidRPr="00B93493">
              <w:rPr>
                <w:sz w:val="18"/>
                <w:szCs w:val="18"/>
              </w:rPr>
              <w:t>133/95</w:t>
            </w:r>
          </w:p>
        </w:tc>
        <w:tc>
          <w:tcPr>
            <w:tcW w:w="879" w:type="dxa"/>
            <w:tcBorders>
              <w:top w:val="single" w:sz="4" w:space="0" w:color="auto"/>
              <w:left w:val="single" w:sz="4" w:space="0" w:color="auto"/>
              <w:bottom w:val="single" w:sz="4" w:space="0" w:color="auto"/>
              <w:right w:val="single" w:sz="4" w:space="0" w:color="auto"/>
            </w:tcBorders>
          </w:tcPr>
          <w:p w14:paraId="24E5D121" w14:textId="77777777" w:rsidR="00CF04BC" w:rsidRPr="00B93493" w:rsidRDefault="00CF04BC" w:rsidP="002E7F54">
            <w:pPr>
              <w:pStyle w:val="Tabletext"/>
              <w:jc w:val="center"/>
              <w:rPr>
                <w:sz w:val="18"/>
                <w:szCs w:val="18"/>
              </w:rPr>
            </w:pPr>
            <w:r w:rsidRPr="00B93493">
              <w:rPr>
                <w:sz w:val="18"/>
                <w:szCs w:val="18"/>
              </w:rPr>
              <w:t>141/105</w:t>
            </w:r>
          </w:p>
        </w:tc>
      </w:tr>
    </w:tbl>
    <w:p w14:paraId="2575665B" w14:textId="77777777" w:rsidR="00CF04BC" w:rsidRPr="00B93493" w:rsidRDefault="00CF04BC" w:rsidP="00CF04BC">
      <w:pPr>
        <w:pStyle w:val="Tablefin"/>
      </w:pPr>
    </w:p>
    <w:p w14:paraId="0FA922A3" w14:textId="77777777" w:rsidR="00CF04BC" w:rsidRPr="0018312D" w:rsidRDefault="00CF04BC" w:rsidP="00F63AE2">
      <w:pPr>
        <w:pStyle w:val="TableNo"/>
        <w:keepLines/>
      </w:pPr>
      <w:r w:rsidRPr="0018312D">
        <w:t xml:space="preserve">TABLE </w:t>
      </w:r>
      <w:r w:rsidRPr="0018312D">
        <w:rPr>
          <w:rFonts w:hint="eastAsia"/>
        </w:rPr>
        <w:t>7</w:t>
      </w:r>
    </w:p>
    <w:p w14:paraId="66A28B3F" w14:textId="030407A1" w:rsidR="00CF04BC" w:rsidRPr="0018312D" w:rsidRDefault="00CF04BC" w:rsidP="00F63AE2">
      <w:pPr>
        <w:pStyle w:val="Tabletitle"/>
        <w:keepLines/>
      </w:pPr>
      <w:r w:rsidRPr="0018312D">
        <w:t>Radius of service area (km) for TV in 108-230 MHz,</w:t>
      </w:r>
      <w:r w:rsidRPr="0018312D">
        <w:br/>
      </w:r>
      <w:r w:rsidRPr="0018312D">
        <w:rPr>
          <w:i/>
          <w:iCs/>
        </w:rPr>
        <w:t>E</w:t>
      </w:r>
      <w:r w:rsidRPr="0018312D">
        <w:rPr>
          <w:i/>
          <w:iCs/>
          <w:vertAlign w:val="subscript"/>
        </w:rPr>
        <w:t>mu</w:t>
      </w:r>
      <w:r w:rsidRPr="0018312D">
        <w:t xml:space="preserve"> </w:t>
      </w:r>
      <w:r w:rsidR="0018312D">
        <w:t>=</w:t>
      </w:r>
      <w:r w:rsidRPr="0018312D">
        <w:t xml:space="preserve"> 55 dB(</w:t>
      </w:r>
      <w:r w:rsidR="0018312D">
        <w:t>μ</w:t>
      </w:r>
      <w:r w:rsidRPr="0018312D">
        <w:t xml:space="preserve">V/m), </w:t>
      </w:r>
      <w:r w:rsidRPr="0018312D">
        <w:rPr>
          <w:i/>
          <w:iCs/>
        </w:rPr>
        <w:t>f</w:t>
      </w:r>
      <w:r w:rsidRPr="0018312D">
        <w:rPr>
          <w:i/>
          <w:iCs/>
          <w:vertAlign w:val="subscript"/>
        </w:rPr>
        <w:t>c</w:t>
      </w:r>
      <w:r w:rsidRPr="0018312D">
        <w:t xml:space="preserve"> </w:t>
      </w:r>
      <w:r w:rsidR="0018312D">
        <w:t>=</w:t>
      </w:r>
      <w:r w:rsidRPr="0018312D">
        <w:t xml:space="preserve"> 150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704"/>
        <w:gridCol w:w="760"/>
        <w:gridCol w:w="760"/>
        <w:gridCol w:w="759"/>
        <w:gridCol w:w="759"/>
        <w:gridCol w:w="759"/>
        <w:gridCol w:w="759"/>
        <w:gridCol w:w="759"/>
        <w:gridCol w:w="759"/>
        <w:gridCol w:w="759"/>
        <w:gridCol w:w="871"/>
      </w:tblGrid>
      <w:tr w:rsidR="00CF04BC" w:rsidRPr="00B93493" w14:paraId="3D1BF699" w14:textId="77777777" w:rsidTr="00F63AE2">
        <w:trPr>
          <w:jc w:val="center"/>
        </w:trPr>
        <w:tc>
          <w:tcPr>
            <w:tcW w:w="1236" w:type="dxa"/>
            <w:tcBorders>
              <w:top w:val="single" w:sz="4" w:space="0" w:color="auto"/>
              <w:left w:val="single" w:sz="4" w:space="0" w:color="auto"/>
              <w:bottom w:val="single" w:sz="4" w:space="0" w:color="auto"/>
              <w:right w:val="single" w:sz="4" w:space="0" w:color="auto"/>
              <w:tl2br w:val="single" w:sz="4" w:space="0" w:color="auto"/>
            </w:tcBorders>
            <w:vAlign w:val="center"/>
          </w:tcPr>
          <w:p w14:paraId="04C4ED65" w14:textId="77777777" w:rsidR="00CF04BC" w:rsidRPr="00B93493" w:rsidRDefault="00CF04BC" w:rsidP="00F63AE2">
            <w:pPr>
              <w:pStyle w:val="Tablehead"/>
              <w:keepLines/>
              <w:ind w:right="-284"/>
              <w:rPr>
                <w:sz w:val="18"/>
                <w:szCs w:val="18"/>
              </w:rPr>
            </w:pPr>
            <w:r w:rsidRPr="00B93493">
              <w:rPr>
                <w:i/>
                <w:iCs/>
                <w:sz w:val="18"/>
                <w:szCs w:val="18"/>
              </w:rPr>
              <w:t>h</w:t>
            </w:r>
            <w:r w:rsidRPr="00B93493">
              <w:rPr>
                <w:i/>
                <w:iCs/>
                <w:sz w:val="18"/>
                <w:szCs w:val="18"/>
                <w:vertAlign w:val="subscript"/>
              </w:rPr>
              <w:t>ef</w:t>
            </w:r>
            <w:r w:rsidRPr="00B93493">
              <w:rPr>
                <w:sz w:val="18"/>
                <w:szCs w:val="18"/>
              </w:rPr>
              <w:t xml:space="preserve"> (m)</w:t>
            </w:r>
          </w:p>
          <w:p w14:paraId="11D3F8B0" w14:textId="77777777" w:rsidR="00CF04BC" w:rsidRPr="00B93493" w:rsidRDefault="00CF04BC" w:rsidP="00F63AE2">
            <w:pPr>
              <w:pStyle w:val="Tablehead"/>
              <w:keepLines/>
              <w:ind w:left="-113" w:right="-113"/>
              <w:jc w:val="left"/>
              <w:rPr>
                <w:sz w:val="18"/>
                <w:szCs w:val="18"/>
              </w:rPr>
            </w:pPr>
            <w:r w:rsidRPr="00B93493">
              <w:rPr>
                <w:i/>
                <w:iCs/>
                <w:sz w:val="18"/>
                <w:szCs w:val="18"/>
              </w:rPr>
              <w:t>P</w:t>
            </w:r>
            <w:r w:rsidRPr="00B93493">
              <w:rPr>
                <w:i/>
                <w:iCs/>
                <w:sz w:val="18"/>
                <w:szCs w:val="18"/>
                <w:vertAlign w:val="subscript"/>
              </w:rPr>
              <w:t>ef</w:t>
            </w:r>
            <w:r w:rsidRPr="00B93493">
              <w:rPr>
                <w:rFonts w:ascii="Tms Rmn" w:hAnsi="Tms Rmn"/>
                <w:sz w:val="18"/>
                <w:szCs w:val="18"/>
                <w:vertAlign w:val="subscript"/>
              </w:rPr>
              <w:t> </w:t>
            </w:r>
            <w:r w:rsidRPr="00B93493">
              <w:rPr>
                <w:sz w:val="18"/>
                <w:szCs w:val="18"/>
              </w:rPr>
              <w:t>(dBW)</w:t>
            </w:r>
          </w:p>
        </w:tc>
        <w:tc>
          <w:tcPr>
            <w:tcW w:w="704" w:type="dxa"/>
            <w:tcBorders>
              <w:top w:val="single" w:sz="4" w:space="0" w:color="auto"/>
              <w:left w:val="single" w:sz="4" w:space="0" w:color="auto"/>
              <w:bottom w:val="single" w:sz="4" w:space="0" w:color="auto"/>
              <w:right w:val="single" w:sz="4" w:space="0" w:color="auto"/>
            </w:tcBorders>
          </w:tcPr>
          <w:p w14:paraId="0BF825DF" w14:textId="77777777" w:rsidR="00CF04BC" w:rsidRPr="00B93493" w:rsidRDefault="00CF04BC" w:rsidP="00F63AE2">
            <w:pPr>
              <w:pStyle w:val="Tablehead"/>
              <w:keepLines/>
              <w:rPr>
                <w:sz w:val="18"/>
                <w:szCs w:val="18"/>
              </w:rPr>
            </w:pPr>
            <w:r w:rsidRPr="00B93493">
              <w:rPr>
                <w:sz w:val="18"/>
                <w:szCs w:val="18"/>
              </w:rPr>
              <w:t>30</w:t>
            </w:r>
          </w:p>
        </w:tc>
        <w:tc>
          <w:tcPr>
            <w:tcW w:w="760" w:type="dxa"/>
            <w:tcBorders>
              <w:top w:val="single" w:sz="4" w:space="0" w:color="auto"/>
              <w:left w:val="single" w:sz="4" w:space="0" w:color="auto"/>
              <w:bottom w:val="single" w:sz="4" w:space="0" w:color="auto"/>
              <w:right w:val="single" w:sz="4" w:space="0" w:color="auto"/>
            </w:tcBorders>
          </w:tcPr>
          <w:p w14:paraId="49D19CC0" w14:textId="77777777" w:rsidR="00CF04BC" w:rsidRPr="00B93493" w:rsidRDefault="00CF04BC" w:rsidP="00F63AE2">
            <w:pPr>
              <w:pStyle w:val="Tablehead"/>
              <w:keepLines/>
              <w:rPr>
                <w:sz w:val="18"/>
                <w:szCs w:val="18"/>
              </w:rPr>
            </w:pPr>
            <w:r w:rsidRPr="00B93493">
              <w:rPr>
                <w:sz w:val="18"/>
                <w:szCs w:val="18"/>
              </w:rPr>
              <w:t>50</w:t>
            </w:r>
          </w:p>
        </w:tc>
        <w:tc>
          <w:tcPr>
            <w:tcW w:w="760" w:type="dxa"/>
            <w:tcBorders>
              <w:top w:val="single" w:sz="4" w:space="0" w:color="auto"/>
              <w:left w:val="single" w:sz="4" w:space="0" w:color="auto"/>
              <w:bottom w:val="single" w:sz="4" w:space="0" w:color="auto"/>
              <w:right w:val="single" w:sz="4" w:space="0" w:color="auto"/>
            </w:tcBorders>
          </w:tcPr>
          <w:p w14:paraId="09774932" w14:textId="77777777" w:rsidR="00CF04BC" w:rsidRPr="00B93493" w:rsidRDefault="00CF04BC" w:rsidP="00F63AE2">
            <w:pPr>
              <w:pStyle w:val="Tablehead"/>
              <w:keepLines/>
              <w:rPr>
                <w:sz w:val="18"/>
                <w:szCs w:val="18"/>
              </w:rPr>
            </w:pPr>
            <w:r w:rsidRPr="00B93493">
              <w:rPr>
                <w:sz w:val="18"/>
                <w:szCs w:val="18"/>
              </w:rPr>
              <w:t>75</w:t>
            </w:r>
          </w:p>
        </w:tc>
        <w:tc>
          <w:tcPr>
            <w:tcW w:w="759" w:type="dxa"/>
            <w:tcBorders>
              <w:top w:val="single" w:sz="4" w:space="0" w:color="auto"/>
              <w:left w:val="single" w:sz="4" w:space="0" w:color="auto"/>
              <w:bottom w:val="single" w:sz="4" w:space="0" w:color="auto"/>
              <w:right w:val="single" w:sz="4" w:space="0" w:color="auto"/>
            </w:tcBorders>
          </w:tcPr>
          <w:p w14:paraId="403FB5AB" w14:textId="77777777" w:rsidR="00CF04BC" w:rsidRPr="00B93493" w:rsidRDefault="00CF04BC" w:rsidP="00F63AE2">
            <w:pPr>
              <w:pStyle w:val="Tablehead"/>
              <w:keepLines/>
              <w:rPr>
                <w:sz w:val="18"/>
                <w:szCs w:val="18"/>
              </w:rPr>
            </w:pPr>
            <w:r w:rsidRPr="00B93493">
              <w:rPr>
                <w:sz w:val="18"/>
                <w:szCs w:val="18"/>
              </w:rPr>
              <w:t>100</w:t>
            </w:r>
          </w:p>
        </w:tc>
        <w:tc>
          <w:tcPr>
            <w:tcW w:w="759" w:type="dxa"/>
            <w:tcBorders>
              <w:top w:val="single" w:sz="4" w:space="0" w:color="auto"/>
              <w:left w:val="single" w:sz="4" w:space="0" w:color="auto"/>
              <w:bottom w:val="single" w:sz="4" w:space="0" w:color="auto"/>
              <w:right w:val="single" w:sz="4" w:space="0" w:color="auto"/>
            </w:tcBorders>
          </w:tcPr>
          <w:p w14:paraId="672924EE" w14:textId="77777777" w:rsidR="00CF04BC" w:rsidRPr="00B93493" w:rsidRDefault="00CF04BC" w:rsidP="00F63AE2">
            <w:pPr>
              <w:pStyle w:val="Tablehead"/>
              <w:keepLines/>
              <w:rPr>
                <w:sz w:val="18"/>
                <w:szCs w:val="18"/>
              </w:rPr>
            </w:pPr>
            <w:r w:rsidRPr="00B93493">
              <w:rPr>
                <w:sz w:val="18"/>
                <w:szCs w:val="18"/>
              </w:rPr>
              <w:t>150</w:t>
            </w:r>
          </w:p>
        </w:tc>
        <w:tc>
          <w:tcPr>
            <w:tcW w:w="759" w:type="dxa"/>
            <w:tcBorders>
              <w:top w:val="single" w:sz="4" w:space="0" w:color="auto"/>
              <w:left w:val="single" w:sz="4" w:space="0" w:color="auto"/>
              <w:bottom w:val="single" w:sz="4" w:space="0" w:color="auto"/>
              <w:right w:val="single" w:sz="4" w:space="0" w:color="auto"/>
            </w:tcBorders>
          </w:tcPr>
          <w:p w14:paraId="307AA710" w14:textId="77777777" w:rsidR="00CF04BC" w:rsidRPr="00B93493" w:rsidRDefault="00CF04BC" w:rsidP="00F63AE2">
            <w:pPr>
              <w:pStyle w:val="Tablehead"/>
              <w:keepLines/>
              <w:rPr>
                <w:sz w:val="18"/>
                <w:szCs w:val="18"/>
              </w:rPr>
            </w:pPr>
            <w:r w:rsidRPr="00B93493">
              <w:rPr>
                <w:sz w:val="18"/>
                <w:szCs w:val="18"/>
              </w:rPr>
              <w:t>200</w:t>
            </w:r>
          </w:p>
        </w:tc>
        <w:tc>
          <w:tcPr>
            <w:tcW w:w="759" w:type="dxa"/>
            <w:tcBorders>
              <w:top w:val="single" w:sz="4" w:space="0" w:color="auto"/>
              <w:left w:val="single" w:sz="4" w:space="0" w:color="auto"/>
              <w:bottom w:val="single" w:sz="4" w:space="0" w:color="auto"/>
              <w:right w:val="single" w:sz="4" w:space="0" w:color="auto"/>
            </w:tcBorders>
          </w:tcPr>
          <w:p w14:paraId="6C67DA2A" w14:textId="77777777" w:rsidR="00CF04BC" w:rsidRPr="00B93493" w:rsidRDefault="00CF04BC" w:rsidP="00F63AE2">
            <w:pPr>
              <w:pStyle w:val="Tablehead"/>
              <w:keepLines/>
              <w:rPr>
                <w:sz w:val="18"/>
                <w:szCs w:val="18"/>
              </w:rPr>
            </w:pPr>
            <w:r w:rsidRPr="00B93493">
              <w:rPr>
                <w:sz w:val="18"/>
                <w:szCs w:val="18"/>
              </w:rPr>
              <w:t>250</w:t>
            </w:r>
          </w:p>
        </w:tc>
        <w:tc>
          <w:tcPr>
            <w:tcW w:w="759" w:type="dxa"/>
            <w:tcBorders>
              <w:top w:val="single" w:sz="4" w:space="0" w:color="auto"/>
              <w:left w:val="single" w:sz="4" w:space="0" w:color="auto"/>
              <w:bottom w:val="single" w:sz="4" w:space="0" w:color="auto"/>
              <w:right w:val="single" w:sz="4" w:space="0" w:color="auto"/>
            </w:tcBorders>
          </w:tcPr>
          <w:p w14:paraId="672976CA" w14:textId="77777777" w:rsidR="00CF04BC" w:rsidRPr="00B93493" w:rsidRDefault="00CF04BC" w:rsidP="00F63AE2">
            <w:pPr>
              <w:pStyle w:val="Tablehead"/>
              <w:keepLines/>
              <w:rPr>
                <w:sz w:val="18"/>
                <w:szCs w:val="18"/>
              </w:rPr>
            </w:pPr>
            <w:r w:rsidRPr="00B93493">
              <w:rPr>
                <w:sz w:val="18"/>
                <w:szCs w:val="18"/>
              </w:rPr>
              <w:t>300</w:t>
            </w:r>
          </w:p>
        </w:tc>
        <w:tc>
          <w:tcPr>
            <w:tcW w:w="759" w:type="dxa"/>
            <w:tcBorders>
              <w:top w:val="single" w:sz="4" w:space="0" w:color="auto"/>
              <w:left w:val="single" w:sz="4" w:space="0" w:color="auto"/>
              <w:bottom w:val="single" w:sz="4" w:space="0" w:color="auto"/>
              <w:right w:val="single" w:sz="4" w:space="0" w:color="auto"/>
            </w:tcBorders>
          </w:tcPr>
          <w:p w14:paraId="3CBF1533" w14:textId="77777777" w:rsidR="00CF04BC" w:rsidRPr="00B93493" w:rsidRDefault="00CF04BC" w:rsidP="00F63AE2">
            <w:pPr>
              <w:pStyle w:val="Tablehead"/>
              <w:keepLines/>
              <w:rPr>
                <w:sz w:val="18"/>
                <w:szCs w:val="18"/>
              </w:rPr>
            </w:pPr>
            <w:r w:rsidRPr="00B93493">
              <w:rPr>
                <w:sz w:val="18"/>
                <w:szCs w:val="18"/>
              </w:rPr>
              <w:t>350</w:t>
            </w:r>
          </w:p>
        </w:tc>
        <w:tc>
          <w:tcPr>
            <w:tcW w:w="759" w:type="dxa"/>
            <w:tcBorders>
              <w:top w:val="single" w:sz="4" w:space="0" w:color="auto"/>
              <w:left w:val="single" w:sz="4" w:space="0" w:color="auto"/>
              <w:bottom w:val="single" w:sz="4" w:space="0" w:color="auto"/>
              <w:right w:val="single" w:sz="4" w:space="0" w:color="auto"/>
            </w:tcBorders>
          </w:tcPr>
          <w:p w14:paraId="099D1C00" w14:textId="77777777" w:rsidR="00CF04BC" w:rsidRPr="00B93493" w:rsidRDefault="00CF04BC" w:rsidP="00F63AE2">
            <w:pPr>
              <w:pStyle w:val="Tablehead"/>
              <w:keepLines/>
              <w:rPr>
                <w:sz w:val="18"/>
                <w:szCs w:val="18"/>
              </w:rPr>
            </w:pPr>
            <w:r w:rsidRPr="00B93493">
              <w:rPr>
                <w:sz w:val="18"/>
                <w:szCs w:val="18"/>
              </w:rPr>
              <w:t>400</w:t>
            </w:r>
          </w:p>
        </w:tc>
        <w:tc>
          <w:tcPr>
            <w:tcW w:w="871" w:type="dxa"/>
            <w:tcBorders>
              <w:top w:val="single" w:sz="4" w:space="0" w:color="auto"/>
              <w:left w:val="single" w:sz="4" w:space="0" w:color="auto"/>
              <w:bottom w:val="single" w:sz="4" w:space="0" w:color="auto"/>
              <w:right w:val="single" w:sz="4" w:space="0" w:color="auto"/>
            </w:tcBorders>
          </w:tcPr>
          <w:p w14:paraId="6B47D0A3" w14:textId="77777777" w:rsidR="00CF04BC" w:rsidRPr="00B93493" w:rsidRDefault="00CF04BC" w:rsidP="00F63AE2">
            <w:pPr>
              <w:pStyle w:val="Tablehead"/>
              <w:keepLines/>
              <w:rPr>
                <w:sz w:val="18"/>
                <w:szCs w:val="18"/>
              </w:rPr>
            </w:pPr>
            <w:r w:rsidRPr="00B93493">
              <w:rPr>
                <w:sz w:val="18"/>
                <w:szCs w:val="18"/>
              </w:rPr>
              <w:t>500</w:t>
            </w:r>
          </w:p>
        </w:tc>
      </w:tr>
      <w:tr w:rsidR="00CF04BC" w:rsidRPr="00B93493" w14:paraId="3A8EBC52"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74D02F4F" w14:textId="77777777" w:rsidR="00CF04BC" w:rsidRPr="00B93493" w:rsidRDefault="00CF04BC" w:rsidP="00F63AE2">
            <w:pPr>
              <w:pStyle w:val="Tabletext"/>
              <w:keepNext/>
              <w:keepLines/>
              <w:jc w:val="center"/>
              <w:rPr>
                <w:sz w:val="18"/>
                <w:szCs w:val="18"/>
              </w:rPr>
            </w:pPr>
            <w:r w:rsidRPr="00B93493">
              <w:rPr>
                <w:sz w:val="18"/>
                <w:szCs w:val="18"/>
              </w:rPr>
              <w:t>15.0</w:t>
            </w:r>
          </w:p>
        </w:tc>
        <w:tc>
          <w:tcPr>
            <w:tcW w:w="704" w:type="dxa"/>
            <w:tcBorders>
              <w:top w:val="single" w:sz="4" w:space="0" w:color="auto"/>
              <w:left w:val="single" w:sz="4" w:space="0" w:color="auto"/>
              <w:bottom w:val="single" w:sz="4" w:space="0" w:color="auto"/>
              <w:right w:val="single" w:sz="4" w:space="0" w:color="auto"/>
            </w:tcBorders>
          </w:tcPr>
          <w:p w14:paraId="71B3E0D5" w14:textId="77777777" w:rsidR="00CF04BC" w:rsidRPr="00B93493" w:rsidRDefault="00CF04BC" w:rsidP="00F63AE2">
            <w:pPr>
              <w:pStyle w:val="Tabletext"/>
              <w:keepNext/>
              <w:keepLines/>
              <w:jc w:val="center"/>
              <w:rPr>
                <w:sz w:val="18"/>
                <w:szCs w:val="18"/>
              </w:rPr>
            </w:pPr>
            <w:r w:rsidRPr="00B93493">
              <w:rPr>
                <w:sz w:val="18"/>
                <w:szCs w:val="18"/>
              </w:rPr>
              <w:t>6</w:t>
            </w:r>
          </w:p>
        </w:tc>
        <w:tc>
          <w:tcPr>
            <w:tcW w:w="760" w:type="dxa"/>
            <w:tcBorders>
              <w:top w:val="single" w:sz="4" w:space="0" w:color="auto"/>
              <w:left w:val="single" w:sz="4" w:space="0" w:color="auto"/>
              <w:bottom w:val="single" w:sz="4" w:space="0" w:color="auto"/>
              <w:right w:val="single" w:sz="4" w:space="0" w:color="auto"/>
            </w:tcBorders>
          </w:tcPr>
          <w:p w14:paraId="1CC54464" w14:textId="77777777" w:rsidR="00CF04BC" w:rsidRPr="00B93493" w:rsidRDefault="00CF04BC" w:rsidP="00F63AE2">
            <w:pPr>
              <w:pStyle w:val="Tabletext"/>
              <w:keepNext/>
              <w:keepLines/>
              <w:jc w:val="center"/>
              <w:rPr>
                <w:sz w:val="18"/>
                <w:szCs w:val="18"/>
              </w:rPr>
            </w:pPr>
            <w:r w:rsidRPr="00B93493">
              <w:rPr>
                <w:sz w:val="18"/>
                <w:szCs w:val="18"/>
              </w:rPr>
              <w:t>7</w:t>
            </w:r>
          </w:p>
        </w:tc>
        <w:tc>
          <w:tcPr>
            <w:tcW w:w="760" w:type="dxa"/>
            <w:tcBorders>
              <w:top w:val="single" w:sz="4" w:space="0" w:color="auto"/>
              <w:left w:val="single" w:sz="4" w:space="0" w:color="auto"/>
              <w:bottom w:val="single" w:sz="4" w:space="0" w:color="auto"/>
              <w:right w:val="single" w:sz="4" w:space="0" w:color="auto"/>
            </w:tcBorders>
          </w:tcPr>
          <w:p w14:paraId="56DD714A" w14:textId="77777777" w:rsidR="00CF04BC" w:rsidRPr="00B93493" w:rsidRDefault="00CF04BC" w:rsidP="00F63AE2">
            <w:pPr>
              <w:pStyle w:val="Tabletext"/>
              <w:keepNext/>
              <w:keepLines/>
              <w:jc w:val="center"/>
              <w:rPr>
                <w:sz w:val="18"/>
                <w:szCs w:val="18"/>
              </w:rPr>
            </w:pPr>
            <w:r w:rsidRPr="00B93493">
              <w:rPr>
                <w:sz w:val="18"/>
                <w:szCs w:val="18"/>
              </w:rPr>
              <w:t>9</w:t>
            </w:r>
          </w:p>
        </w:tc>
        <w:tc>
          <w:tcPr>
            <w:tcW w:w="759" w:type="dxa"/>
            <w:tcBorders>
              <w:top w:val="single" w:sz="4" w:space="0" w:color="auto"/>
              <w:left w:val="single" w:sz="4" w:space="0" w:color="auto"/>
              <w:bottom w:val="single" w:sz="4" w:space="0" w:color="auto"/>
              <w:right w:val="single" w:sz="4" w:space="0" w:color="auto"/>
            </w:tcBorders>
          </w:tcPr>
          <w:p w14:paraId="0850103C" w14:textId="77777777" w:rsidR="00CF04BC" w:rsidRPr="00B93493" w:rsidRDefault="00CF04BC" w:rsidP="00F63AE2">
            <w:pPr>
              <w:pStyle w:val="Tabletext"/>
              <w:keepNext/>
              <w:keepLines/>
              <w:jc w:val="center"/>
              <w:rPr>
                <w:sz w:val="18"/>
                <w:szCs w:val="18"/>
              </w:rPr>
            </w:pPr>
            <w:r w:rsidRPr="00B93493">
              <w:rPr>
                <w:sz w:val="18"/>
                <w:szCs w:val="18"/>
              </w:rPr>
              <w:t>10</w:t>
            </w:r>
          </w:p>
        </w:tc>
        <w:tc>
          <w:tcPr>
            <w:tcW w:w="759" w:type="dxa"/>
            <w:tcBorders>
              <w:top w:val="single" w:sz="4" w:space="0" w:color="auto"/>
              <w:left w:val="single" w:sz="4" w:space="0" w:color="auto"/>
              <w:bottom w:val="single" w:sz="4" w:space="0" w:color="auto"/>
              <w:right w:val="single" w:sz="4" w:space="0" w:color="auto"/>
            </w:tcBorders>
          </w:tcPr>
          <w:p w14:paraId="028B73F1" w14:textId="77777777" w:rsidR="00CF04BC" w:rsidRPr="00B93493" w:rsidRDefault="00CF04BC" w:rsidP="00F63AE2">
            <w:pPr>
              <w:pStyle w:val="Tabletext"/>
              <w:keepNext/>
              <w:keepLines/>
              <w:jc w:val="center"/>
              <w:rPr>
                <w:sz w:val="18"/>
                <w:szCs w:val="18"/>
              </w:rPr>
            </w:pPr>
            <w:r w:rsidRPr="00B93493">
              <w:rPr>
                <w:sz w:val="18"/>
                <w:szCs w:val="18"/>
              </w:rPr>
              <w:t>13</w:t>
            </w:r>
          </w:p>
        </w:tc>
        <w:tc>
          <w:tcPr>
            <w:tcW w:w="759" w:type="dxa"/>
            <w:tcBorders>
              <w:top w:val="single" w:sz="4" w:space="0" w:color="auto"/>
              <w:left w:val="single" w:sz="4" w:space="0" w:color="auto"/>
              <w:bottom w:val="single" w:sz="4" w:space="0" w:color="auto"/>
              <w:right w:val="single" w:sz="4" w:space="0" w:color="auto"/>
            </w:tcBorders>
          </w:tcPr>
          <w:p w14:paraId="3AEB831F" w14:textId="77777777" w:rsidR="00CF04BC" w:rsidRPr="00B93493" w:rsidRDefault="00CF04BC" w:rsidP="00F63AE2">
            <w:pPr>
              <w:pStyle w:val="Tabletext"/>
              <w:keepNext/>
              <w:keepLines/>
              <w:jc w:val="center"/>
              <w:rPr>
                <w:sz w:val="18"/>
                <w:szCs w:val="18"/>
              </w:rPr>
            </w:pPr>
            <w:r w:rsidRPr="00B93493">
              <w:rPr>
                <w:sz w:val="18"/>
                <w:szCs w:val="18"/>
              </w:rPr>
              <w:t>15</w:t>
            </w:r>
          </w:p>
        </w:tc>
        <w:tc>
          <w:tcPr>
            <w:tcW w:w="759" w:type="dxa"/>
            <w:tcBorders>
              <w:top w:val="single" w:sz="4" w:space="0" w:color="auto"/>
              <w:left w:val="single" w:sz="4" w:space="0" w:color="auto"/>
              <w:bottom w:val="single" w:sz="4" w:space="0" w:color="auto"/>
              <w:right w:val="single" w:sz="4" w:space="0" w:color="auto"/>
            </w:tcBorders>
          </w:tcPr>
          <w:p w14:paraId="78121A4C" w14:textId="77777777" w:rsidR="00CF04BC" w:rsidRPr="00B93493" w:rsidRDefault="00CF04BC" w:rsidP="00F63AE2">
            <w:pPr>
              <w:pStyle w:val="Tabletext"/>
              <w:keepNext/>
              <w:keepLines/>
              <w:jc w:val="center"/>
              <w:rPr>
                <w:sz w:val="18"/>
                <w:szCs w:val="18"/>
              </w:rPr>
            </w:pPr>
            <w:r w:rsidRPr="00B93493">
              <w:rPr>
                <w:sz w:val="18"/>
                <w:szCs w:val="18"/>
              </w:rPr>
              <w:t>17</w:t>
            </w:r>
          </w:p>
        </w:tc>
        <w:tc>
          <w:tcPr>
            <w:tcW w:w="759" w:type="dxa"/>
            <w:tcBorders>
              <w:top w:val="single" w:sz="4" w:space="0" w:color="auto"/>
              <w:left w:val="single" w:sz="4" w:space="0" w:color="auto"/>
              <w:bottom w:val="single" w:sz="4" w:space="0" w:color="auto"/>
              <w:right w:val="single" w:sz="4" w:space="0" w:color="auto"/>
            </w:tcBorders>
          </w:tcPr>
          <w:p w14:paraId="6987C4E0" w14:textId="77777777" w:rsidR="00CF04BC" w:rsidRPr="00B93493" w:rsidRDefault="00CF04BC" w:rsidP="00F63AE2">
            <w:pPr>
              <w:pStyle w:val="Tabletext"/>
              <w:keepNext/>
              <w:keepLines/>
              <w:jc w:val="center"/>
              <w:rPr>
                <w:sz w:val="18"/>
                <w:szCs w:val="18"/>
              </w:rPr>
            </w:pPr>
            <w:r w:rsidRPr="00B93493">
              <w:rPr>
                <w:sz w:val="18"/>
                <w:szCs w:val="18"/>
              </w:rPr>
              <w:t>19</w:t>
            </w:r>
          </w:p>
        </w:tc>
        <w:tc>
          <w:tcPr>
            <w:tcW w:w="759" w:type="dxa"/>
            <w:tcBorders>
              <w:top w:val="single" w:sz="4" w:space="0" w:color="auto"/>
              <w:left w:val="single" w:sz="4" w:space="0" w:color="auto"/>
              <w:bottom w:val="single" w:sz="4" w:space="0" w:color="auto"/>
              <w:right w:val="single" w:sz="4" w:space="0" w:color="auto"/>
            </w:tcBorders>
          </w:tcPr>
          <w:p w14:paraId="1898BB8A" w14:textId="77777777" w:rsidR="00CF04BC" w:rsidRPr="00B93493" w:rsidRDefault="00CF04BC" w:rsidP="00F63AE2">
            <w:pPr>
              <w:pStyle w:val="Tabletext"/>
              <w:keepNext/>
              <w:keepLines/>
              <w:jc w:val="center"/>
              <w:rPr>
                <w:sz w:val="18"/>
                <w:szCs w:val="18"/>
              </w:rPr>
            </w:pPr>
            <w:r w:rsidRPr="00B93493">
              <w:rPr>
                <w:sz w:val="18"/>
                <w:szCs w:val="18"/>
              </w:rPr>
              <w:t>20</w:t>
            </w:r>
          </w:p>
        </w:tc>
        <w:tc>
          <w:tcPr>
            <w:tcW w:w="759" w:type="dxa"/>
            <w:tcBorders>
              <w:top w:val="single" w:sz="4" w:space="0" w:color="auto"/>
              <w:left w:val="single" w:sz="4" w:space="0" w:color="auto"/>
              <w:bottom w:val="single" w:sz="4" w:space="0" w:color="auto"/>
              <w:right w:val="single" w:sz="4" w:space="0" w:color="auto"/>
            </w:tcBorders>
          </w:tcPr>
          <w:p w14:paraId="365F61C5" w14:textId="77777777" w:rsidR="00CF04BC" w:rsidRPr="00B93493" w:rsidRDefault="00CF04BC" w:rsidP="00F63AE2">
            <w:pPr>
              <w:pStyle w:val="Tabletext"/>
              <w:keepNext/>
              <w:keepLines/>
              <w:jc w:val="center"/>
              <w:rPr>
                <w:sz w:val="18"/>
                <w:szCs w:val="18"/>
              </w:rPr>
            </w:pPr>
            <w:r w:rsidRPr="00B93493">
              <w:rPr>
                <w:sz w:val="18"/>
                <w:szCs w:val="18"/>
              </w:rPr>
              <w:t>22</w:t>
            </w:r>
          </w:p>
        </w:tc>
        <w:tc>
          <w:tcPr>
            <w:tcW w:w="871" w:type="dxa"/>
            <w:tcBorders>
              <w:top w:val="single" w:sz="4" w:space="0" w:color="auto"/>
              <w:left w:val="single" w:sz="4" w:space="0" w:color="auto"/>
              <w:bottom w:val="single" w:sz="4" w:space="0" w:color="auto"/>
              <w:right w:val="single" w:sz="4" w:space="0" w:color="auto"/>
            </w:tcBorders>
          </w:tcPr>
          <w:p w14:paraId="043684BB" w14:textId="77777777" w:rsidR="00CF04BC" w:rsidRPr="00B93493" w:rsidRDefault="00CF04BC" w:rsidP="00F63AE2">
            <w:pPr>
              <w:pStyle w:val="Tabletext"/>
              <w:keepNext/>
              <w:keepLines/>
              <w:jc w:val="center"/>
              <w:rPr>
                <w:sz w:val="18"/>
                <w:szCs w:val="18"/>
              </w:rPr>
            </w:pPr>
            <w:r w:rsidRPr="00B93493">
              <w:rPr>
                <w:sz w:val="18"/>
                <w:szCs w:val="18"/>
              </w:rPr>
              <w:t>25</w:t>
            </w:r>
          </w:p>
        </w:tc>
      </w:tr>
      <w:tr w:rsidR="00CF04BC" w:rsidRPr="00B93493" w14:paraId="1FD24E8F"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10DB6D15" w14:textId="77777777" w:rsidR="00CF04BC" w:rsidRPr="00B93493" w:rsidRDefault="00CF04BC" w:rsidP="00F63AE2">
            <w:pPr>
              <w:pStyle w:val="Tabletext"/>
              <w:keepNext/>
              <w:keepLines/>
              <w:jc w:val="center"/>
              <w:rPr>
                <w:sz w:val="18"/>
                <w:szCs w:val="18"/>
              </w:rPr>
            </w:pPr>
            <w:r w:rsidRPr="00B93493">
              <w:rPr>
                <w:sz w:val="18"/>
                <w:szCs w:val="18"/>
              </w:rPr>
              <w:t>20.0</w:t>
            </w:r>
          </w:p>
        </w:tc>
        <w:tc>
          <w:tcPr>
            <w:tcW w:w="704" w:type="dxa"/>
            <w:tcBorders>
              <w:top w:val="single" w:sz="4" w:space="0" w:color="auto"/>
              <w:left w:val="single" w:sz="4" w:space="0" w:color="auto"/>
              <w:bottom w:val="single" w:sz="4" w:space="0" w:color="auto"/>
              <w:right w:val="single" w:sz="4" w:space="0" w:color="auto"/>
            </w:tcBorders>
          </w:tcPr>
          <w:p w14:paraId="4CF4898F" w14:textId="77777777" w:rsidR="00CF04BC" w:rsidRPr="00B93493" w:rsidRDefault="00CF04BC" w:rsidP="00F63AE2">
            <w:pPr>
              <w:pStyle w:val="Tabletext"/>
              <w:keepNext/>
              <w:keepLines/>
              <w:jc w:val="center"/>
              <w:rPr>
                <w:sz w:val="18"/>
                <w:szCs w:val="18"/>
              </w:rPr>
            </w:pPr>
            <w:r w:rsidRPr="00B93493">
              <w:rPr>
                <w:sz w:val="18"/>
                <w:szCs w:val="18"/>
              </w:rPr>
              <w:t>8</w:t>
            </w:r>
          </w:p>
        </w:tc>
        <w:tc>
          <w:tcPr>
            <w:tcW w:w="760" w:type="dxa"/>
            <w:tcBorders>
              <w:top w:val="single" w:sz="4" w:space="0" w:color="auto"/>
              <w:left w:val="single" w:sz="4" w:space="0" w:color="auto"/>
              <w:bottom w:val="single" w:sz="4" w:space="0" w:color="auto"/>
              <w:right w:val="single" w:sz="4" w:space="0" w:color="auto"/>
            </w:tcBorders>
          </w:tcPr>
          <w:p w14:paraId="5C4DFF00" w14:textId="77777777" w:rsidR="00CF04BC" w:rsidRPr="00B93493" w:rsidRDefault="00CF04BC" w:rsidP="00F63AE2">
            <w:pPr>
              <w:pStyle w:val="Tabletext"/>
              <w:keepNext/>
              <w:keepLines/>
              <w:jc w:val="center"/>
              <w:rPr>
                <w:sz w:val="18"/>
                <w:szCs w:val="18"/>
              </w:rPr>
            </w:pPr>
            <w:r w:rsidRPr="00B93493">
              <w:rPr>
                <w:sz w:val="18"/>
                <w:szCs w:val="18"/>
              </w:rPr>
              <w:t>10</w:t>
            </w:r>
          </w:p>
        </w:tc>
        <w:tc>
          <w:tcPr>
            <w:tcW w:w="760" w:type="dxa"/>
            <w:tcBorders>
              <w:top w:val="single" w:sz="4" w:space="0" w:color="auto"/>
              <w:left w:val="single" w:sz="4" w:space="0" w:color="auto"/>
              <w:bottom w:val="single" w:sz="4" w:space="0" w:color="auto"/>
              <w:right w:val="single" w:sz="4" w:space="0" w:color="auto"/>
            </w:tcBorders>
          </w:tcPr>
          <w:p w14:paraId="373C8ADA" w14:textId="77777777" w:rsidR="00CF04BC" w:rsidRPr="00B93493" w:rsidRDefault="00CF04BC" w:rsidP="00F63AE2">
            <w:pPr>
              <w:pStyle w:val="Tabletext"/>
              <w:keepNext/>
              <w:keepLines/>
              <w:jc w:val="center"/>
              <w:rPr>
                <w:sz w:val="18"/>
                <w:szCs w:val="18"/>
              </w:rPr>
            </w:pPr>
            <w:r w:rsidRPr="00B93493">
              <w:rPr>
                <w:sz w:val="18"/>
                <w:szCs w:val="18"/>
              </w:rPr>
              <w:t>12</w:t>
            </w:r>
          </w:p>
        </w:tc>
        <w:tc>
          <w:tcPr>
            <w:tcW w:w="759" w:type="dxa"/>
            <w:tcBorders>
              <w:top w:val="single" w:sz="4" w:space="0" w:color="auto"/>
              <w:left w:val="single" w:sz="4" w:space="0" w:color="auto"/>
              <w:bottom w:val="single" w:sz="4" w:space="0" w:color="auto"/>
              <w:right w:val="single" w:sz="4" w:space="0" w:color="auto"/>
            </w:tcBorders>
          </w:tcPr>
          <w:p w14:paraId="28A79D98" w14:textId="77777777" w:rsidR="00CF04BC" w:rsidRPr="00B93493" w:rsidRDefault="00CF04BC" w:rsidP="00F63AE2">
            <w:pPr>
              <w:pStyle w:val="Tabletext"/>
              <w:keepNext/>
              <w:keepLines/>
              <w:jc w:val="center"/>
              <w:rPr>
                <w:sz w:val="18"/>
                <w:szCs w:val="18"/>
              </w:rPr>
            </w:pPr>
            <w:r w:rsidRPr="00B93493">
              <w:rPr>
                <w:sz w:val="18"/>
                <w:szCs w:val="18"/>
              </w:rPr>
              <w:t>14</w:t>
            </w:r>
          </w:p>
        </w:tc>
        <w:tc>
          <w:tcPr>
            <w:tcW w:w="759" w:type="dxa"/>
            <w:tcBorders>
              <w:top w:val="single" w:sz="4" w:space="0" w:color="auto"/>
              <w:left w:val="single" w:sz="4" w:space="0" w:color="auto"/>
              <w:bottom w:val="single" w:sz="4" w:space="0" w:color="auto"/>
              <w:right w:val="single" w:sz="4" w:space="0" w:color="auto"/>
            </w:tcBorders>
          </w:tcPr>
          <w:p w14:paraId="4155A63D" w14:textId="77777777" w:rsidR="00CF04BC" w:rsidRPr="00B93493" w:rsidRDefault="00CF04BC" w:rsidP="00F63AE2">
            <w:pPr>
              <w:pStyle w:val="Tabletext"/>
              <w:keepNext/>
              <w:keepLines/>
              <w:jc w:val="center"/>
              <w:rPr>
                <w:sz w:val="18"/>
                <w:szCs w:val="18"/>
              </w:rPr>
            </w:pPr>
            <w:r w:rsidRPr="00B93493">
              <w:rPr>
                <w:sz w:val="18"/>
                <w:szCs w:val="18"/>
              </w:rPr>
              <w:t>17</w:t>
            </w:r>
          </w:p>
        </w:tc>
        <w:tc>
          <w:tcPr>
            <w:tcW w:w="759" w:type="dxa"/>
            <w:tcBorders>
              <w:top w:val="single" w:sz="4" w:space="0" w:color="auto"/>
              <w:left w:val="single" w:sz="4" w:space="0" w:color="auto"/>
              <w:bottom w:val="single" w:sz="4" w:space="0" w:color="auto"/>
              <w:right w:val="single" w:sz="4" w:space="0" w:color="auto"/>
            </w:tcBorders>
          </w:tcPr>
          <w:p w14:paraId="0DD739B8" w14:textId="77777777" w:rsidR="00CF04BC" w:rsidRPr="00B93493" w:rsidRDefault="00CF04BC" w:rsidP="00F63AE2">
            <w:pPr>
              <w:pStyle w:val="Tabletext"/>
              <w:keepNext/>
              <w:keepLines/>
              <w:jc w:val="center"/>
              <w:rPr>
                <w:sz w:val="18"/>
                <w:szCs w:val="18"/>
              </w:rPr>
            </w:pPr>
            <w:r w:rsidRPr="00B93493">
              <w:rPr>
                <w:sz w:val="18"/>
                <w:szCs w:val="18"/>
              </w:rPr>
              <w:t>20</w:t>
            </w:r>
          </w:p>
        </w:tc>
        <w:tc>
          <w:tcPr>
            <w:tcW w:w="759" w:type="dxa"/>
            <w:tcBorders>
              <w:top w:val="single" w:sz="4" w:space="0" w:color="auto"/>
              <w:left w:val="single" w:sz="4" w:space="0" w:color="auto"/>
              <w:bottom w:val="single" w:sz="4" w:space="0" w:color="auto"/>
              <w:right w:val="single" w:sz="4" w:space="0" w:color="auto"/>
            </w:tcBorders>
          </w:tcPr>
          <w:p w14:paraId="14CE0D3B" w14:textId="77777777" w:rsidR="00CF04BC" w:rsidRPr="00B93493" w:rsidRDefault="00CF04BC" w:rsidP="00F63AE2">
            <w:pPr>
              <w:pStyle w:val="Tabletext"/>
              <w:keepNext/>
              <w:keepLines/>
              <w:jc w:val="center"/>
              <w:rPr>
                <w:sz w:val="18"/>
                <w:szCs w:val="18"/>
              </w:rPr>
            </w:pPr>
            <w:r w:rsidRPr="00B93493">
              <w:rPr>
                <w:sz w:val="18"/>
                <w:szCs w:val="18"/>
              </w:rPr>
              <w:t>22</w:t>
            </w:r>
          </w:p>
        </w:tc>
        <w:tc>
          <w:tcPr>
            <w:tcW w:w="759" w:type="dxa"/>
            <w:tcBorders>
              <w:top w:val="single" w:sz="4" w:space="0" w:color="auto"/>
              <w:left w:val="single" w:sz="4" w:space="0" w:color="auto"/>
              <w:bottom w:val="single" w:sz="4" w:space="0" w:color="auto"/>
              <w:right w:val="single" w:sz="4" w:space="0" w:color="auto"/>
            </w:tcBorders>
          </w:tcPr>
          <w:p w14:paraId="3FDE4B8D" w14:textId="77777777" w:rsidR="00CF04BC" w:rsidRPr="00B93493" w:rsidRDefault="00CF04BC" w:rsidP="00F63AE2">
            <w:pPr>
              <w:pStyle w:val="Tabletext"/>
              <w:keepNext/>
              <w:keepLines/>
              <w:jc w:val="center"/>
              <w:rPr>
                <w:sz w:val="18"/>
                <w:szCs w:val="18"/>
              </w:rPr>
            </w:pPr>
            <w:r w:rsidRPr="00B93493">
              <w:rPr>
                <w:sz w:val="18"/>
                <w:szCs w:val="18"/>
              </w:rPr>
              <w:t>25</w:t>
            </w:r>
          </w:p>
        </w:tc>
        <w:tc>
          <w:tcPr>
            <w:tcW w:w="759" w:type="dxa"/>
            <w:tcBorders>
              <w:top w:val="single" w:sz="4" w:space="0" w:color="auto"/>
              <w:left w:val="single" w:sz="4" w:space="0" w:color="auto"/>
              <w:bottom w:val="single" w:sz="4" w:space="0" w:color="auto"/>
              <w:right w:val="single" w:sz="4" w:space="0" w:color="auto"/>
            </w:tcBorders>
          </w:tcPr>
          <w:p w14:paraId="4E054620" w14:textId="77777777" w:rsidR="00CF04BC" w:rsidRPr="00B93493" w:rsidRDefault="00CF04BC" w:rsidP="00F63AE2">
            <w:pPr>
              <w:pStyle w:val="Tabletext"/>
              <w:keepNext/>
              <w:keepLines/>
              <w:jc w:val="center"/>
              <w:rPr>
                <w:sz w:val="18"/>
                <w:szCs w:val="18"/>
              </w:rPr>
            </w:pPr>
            <w:r w:rsidRPr="00B93493">
              <w:rPr>
                <w:sz w:val="18"/>
                <w:szCs w:val="18"/>
              </w:rPr>
              <w:t>27</w:t>
            </w:r>
          </w:p>
        </w:tc>
        <w:tc>
          <w:tcPr>
            <w:tcW w:w="759" w:type="dxa"/>
            <w:tcBorders>
              <w:top w:val="single" w:sz="4" w:space="0" w:color="auto"/>
              <w:left w:val="single" w:sz="4" w:space="0" w:color="auto"/>
              <w:bottom w:val="single" w:sz="4" w:space="0" w:color="auto"/>
              <w:right w:val="single" w:sz="4" w:space="0" w:color="auto"/>
            </w:tcBorders>
          </w:tcPr>
          <w:p w14:paraId="3B6014AA" w14:textId="77777777" w:rsidR="00CF04BC" w:rsidRPr="00B93493" w:rsidRDefault="00CF04BC" w:rsidP="00F63AE2">
            <w:pPr>
              <w:pStyle w:val="Tabletext"/>
              <w:keepNext/>
              <w:keepLines/>
              <w:jc w:val="center"/>
              <w:rPr>
                <w:sz w:val="18"/>
                <w:szCs w:val="18"/>
              </w:rPr>
            </w:pPr>
            <w:r w:rsidRPr="00B93493">
              <w:rPr>
                <w:sz w:val="18"/>
                <w:szCs w:val="18"/>
              </w:rPr>
              <w:t>29</w:t>
            </w:r>
          </w:p>
        </w:tc>
        <w:tc>
          <w:tcPr>
            <w:tcW w:w="871" w:type="dxa"/>
            <w:tcBorders>
              <w:top w:val="single" w:sz="4" w:space="0" w:color="auto"/>
              <w:left w:val="single" w:sz="4" w:space="0" w:color="auto"/>
              <w:bottom w:val="single" w:sz="4" w:space="0" w:color="auto"/>
              <w:right w:val="single" w:sz="4" w:space="0" w:color="auto"/>
            </w:tcBorders>
          </w:tcPr>
          <w:p w14:paraId="70058BD5" w14:textId="77777777" w:rsidR="00CF04BC" w:rsidRPr="00B93493" w:rsidRDefault="00CF04BC" w:rsidP="00F63AE2">
            <w:pPr>
              <w:pStyle w:val="Tabletext"/>
              <w:keepNext/>
              <w:keepLines/>
              <w:jc w:val="center"/>
              <w:rPr>
                <w:sz w:val="18"/>
                <w:szCs w:val="18"/>
              </w:rPr>
            </w:pPr>
            <w:r w:rsidRPr="00B93493">
              <w:rPr>
                <w:sz w:val="18"/>
                <w:szCs w:val="18"/>
              </w:rPr>
              <w:t>33</w:t>
            </w:r>
          </w:p>
        </w:tc>
      </w:tr>
      <w:tr w:rsidR="00CF04BC" w:rsidRPr="00B93493" w14:paraId="72A1896C"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621C983E" w14:textId="77777777" w:rsidR="00CF04BC" w:rsidRPr="00B93493" w:rsidRDefault="00CF04BC" w:rsidP="00F63AE2">
            <w:pPr>
              <w:pStyle w:val="Tabletext"/>
              <w:keepNext/>
              <w:keepLines/>
              <w:jc w:val="center"/>
              <w:rPr>
                <w:sz w:val="18"/>
                <w:szCs w:val="18"/>
              </w:rPr>
            </w:pPr>
            <w:r w:rsidRPr="00B93493">
              <w:rPr>
                <w:sz w:val="18"/>
                <w:szCs w:val="18"/>
              </w:rPr>
              <w:t>25.0</w:t>
            </w:r>
          </w:p>
        </w:tc>
        <w:tc>
          <w:tcPr>
            <w:tcW w:w="704" w:type="dxa"/>
            <w:tcBorders>
              <w:top w:val="single" w:sz="4" w:space="0" w:color="auto"/>
              <w:left w:val="single" w:sz="4" w:space="0" w:color="auto"/>
              <w:bottom w:val="single" w:sz="4" w:space="0" w:color="auto"/>
              <w:right w:val="single" w:sz="4" w:space="0" w:color="auto"/>
            </w:tcBorders>
          </w:tcPr>
          <w:p w14:paraId="7E09699F" w14:textId="77777777" w:rsidR="00CF04BC" w:rsidRPr="00B93493" w:rsidRDefault="00CF04BC" w:rsidP="00F63AE2">
            <w:pPr>
              <w:pStyle w:val="Tabletext"/>
              <w:keepNext/>
              <w:keepLines/>
              <w:jc w:val="center"/>
              <w:rPr>
                <w:sz w:val="18"/>
                <w:szCs w:val="18"/>
              </w:rPr>
            </w:pPr>
            <w:r w:rsidRPr="00B93493">
              <w:rPr>
                <w:sz w:val="18"/>
                <w:szCs w:val="18"/>
              </w:rPr>
              <w:t>10</w:t>
            </w:r>
          </w:p>
        </w:tc>
        <w:tc>
          <w:tcPr>
            <w:tcW w:w="760" w:type="dxa"/>
            <w:tcBorders>
              <w:top w:val="single" w:sz="4" w:space="0" w:color="auto"/>
              <w:left w:val="single" w:sz="4" w:space="0" w:color="auto"/>
              <w:bottom w:val="single" w:sz="4" w:space="0" w:color="auto"/>
              <w:right w:val="single" w:sz="4" w:space="0" w:color="auto"/>
            </w:tcBorders>
          </w:tcPr>
          <w:p w14:paraId="4A25F691" w14:textId="77777777" w:rsidR="00CF04BC" w:rsidRPr="00B93493" w:rsidRDefault="00CF04BC" w:rsidP="00F63AE2">
            <w:pPr>
              <w:pStyle w:val="Tabletext"/>
              <w:keepNext/>
              <w:keepLines/>
              <w:jc w:val="center"/>
              <w:rPr>
                <w:sz w:val="18"/>
                <w:szCs w:val="18"/>
              </w:rPr>
            </w:pPr>
            <w:r w:rsidRPr="00B93493">
              <w:rPr>
                <w:sz w:val="18"/>
                <w:szCs w:val="18"/>
              </w:rPr>
              <w:t>13</w:t>
            </w:r>
          </w:p>
        </w:tc>
        <w:tc>
          <w:tcPr>
            <w:tcW w:w="760" w:type="dxa"/>
            <w:tcBorders>
              <w:top w:val="single" w:sz="4" w:space="0" w:color="auto"/>
              <w:left w:val="single" w:sz="4" w:space="0" w:color="auto"/>
              <w:bottom w:val="single" w:sz="4" w:space="0" w:color="auto"/>
              <w:right w:val="single" w:sz="4" w:space="0" w:color="auto"/>
            </w:tcBorders>
          </w:tcPr>
          <w:p w14:paraId="2D70F19E" w14:textId="77777777" w:rsidR="00CF04BC" w:rsidRPr="00B93493" w:rsidRDefault="00CF04BC" w:rsidP="00F63AE2">
            <w:pPr>
              <w:pStyle w:val="Tabletext"/>
              <w:keepNext/>
              <w:keepLines/>
              <w:jc w:val="center"/>
              <w:rPr>
                <w:sz w:val="18"/>
                <w:szCs w:val="18"/>
              </w:rPr>
            </w:pPr>
            <w:r w:rsidRPr="00B93493">
              <w:rPr>
                <w:sz w:val="18"/>
                <w:szCs w:val="18"/>
              </w:rPr>
              <w:t>16</w:t>
            </w:r>
          </w:p>
        </w:tc>
        <w:tc>
          <w:tcPr>
            <w:tcW w:w="759" w:type="dxa"/>
            <w:tcBorders>
              <w:top w:val="single" w:sz="4" w:space="0" w:color="auto"/>
              <w:left w:val="single" w:sz="4" w:space="0" w:color="auto"/>
              <w:bottom w:val="single" w:sz="4" w:space="0" w:color="auto"/>
              <w:right w:val="single" w:sz="4" w:space="0" w:color="auto"/>
            </w:tcBorders>
          </w:tcPr>
          <w:p w14:paraId="60F2052D" w14:textId="77777777" w:rsidR="00CF04BC" w:rsidRPr="00B93493" w:rsidRDefault="00CF04BC" w:rsidP="00F63AE2">
            <w:pPr>
              <w:pStyle w:val="Tabletext"/>
              <w:keepNext/>
              <w:keepLines/>
              <w:jc w:val="center"/>
              <w:rPr>
                <w:sz w:val="18"/>
                <w:szCs w:val="18"/>
              </w:rPr>
            </w:pPr>
            <w:r w:rsidRPr="00B93493">
              <w:rPr>
                <w:sz w:val="18"/>
                <w:szCs w:val="18"/>
              </w:rPr>
              <w:t>18</w:t>
            </w:r>
          </w:p>
        </w:tc>
        <w:tc>
          <w:tcPr>
            <w:tcW w:w="759" w:type="dxa"/>
            <w:tcBorders>
              <w:top w:val="single" w:sz="4" w:space="0" w:color="auto"/>
              <w:left w:val="single" w:sz="4" w:space="0" w:color="auto"/>
              <w:bottom w:val="single" w:sz="4" w:space="0" w:color="auto"/>
              <w:right w:val="single" w:sz="4" w:space="0" w:color="auto"/>
            </w:tcBorders>
          </w:tcPr>
          <w:p w14:paraId="3FBD73D4" w14:textId="77777777" w:rsidR="00CF04BC" w:rsidRPr="00B93493" w:rsidRDefault="00CF04BC" w:rsidP="00F63AE2">
            <w:pPr>
              <w:pStyle w:val="Tabletext"/>
              <w:keepNext/>
              <w:keepLines/>
              <w:jc w:val="center"/>
              <w:rPr>
                <w:sz w:val="18"/>
                <w:szCs w:val="18"/>
              </w:rPr>
            </w:pPr>
            <w:r w:rsidRPr="00B93493">
              <w:rPr>
                <w:sz w:val="18"/>
                <w:szCs w:val="18"/>
              </w:rPr>
              <w:t>22</w:t>
            </w:r>
          </w:p>
        </w:tc>
        <w:tc>
          <w:tcPr>
            <w:tcW w:w="759" w:type="dxa"/>
            <w:tcBorders>
              <w:top w:val="single" w:sz="4" w:space="0" w:color="auto"/>
              <w:left w:val="single" w:sz="4" w:space="0" w:color="auto"/>
              <w:bottom w:val="single" w:sz="4" w:space="0" w:color="auto"/>
              <w:right w:val="single" w:sz="4" w:space="0" w:color="auto"/>
            </w:tcBorders>
          </w:tcPr>
          <w:p w14:paraId="621155BE" w14:textId="77777777" w:rsidR="00CF04BC" w:rsidRPr="00B93493" w:rsidRDefault="00CF04BC" w:rsidP="00F63AE2">
            <w:pPr>
              <w:pStyle w:val="Tabletext"/>
              <w:keepNext/>
              <w:keepLines/>
              <w:jc w:val="center"/>
              <w:rPr>
                <w:sz w:val="18"/>
                <w:szCs w:val="18"/>
              </w:rPr>
            </w:pPr>
            <w:r w:rsidRPr="00B93493">
              <w:rPr>
                <w:sz w:val="18"/>
                <w:szCs w:val="18"/>
              </w:rPr>
              <w:t>25</w:t>
            </w:r>
          </w:p>
        </w:tc>
        <w:tc>
          <w:tcPr>
            <w:tcW w:w="759" w:type="dxa"/>
            <w:tcBorders>
              <w:top w:val="single" w:sz="4" w:space="0" w:color="auto"/>
              <w:left w:val="single" w:sz="4" w:space="0" w:color="auto"/>
              <w:bottom w:val="single" w:sz="4" w:space="0" w:color="auto"/>
              <w:right w:val="single" w:sz="4" w:space="0" w:color="auto"/>
            </w:tcBorders>
          </w:tcPr>
          <w:p w14:paraId="4E135009" w14:textId="77777777" w:rsidR="00CF04BC" w:rsidRPr="00B93493" w:rsidRDefault="00CF04BC" w:rsidP="00F63AE2">
            <w:pPr>
              <w:pStyle w:val="Tabletext"/>
              <w:keepNext/>
              <w:keepLines/>
              <w:jc w:val="center"/>
              <w:rPr>
                <w:sz w:val="18"/>
                <w:szCs w:val="18"/>
              </w:rPr>
            </w:pPr>
            <w:r w:rsidRPr="00B93493">
              <w:rPr>
                <w:sz w:val="18"/>
                <w:szCs w:val="18"/>
              </w:rPr>
              <w:t>29</w:t>
            </w:r>
          </w:p>
        </w:tc>
        <w:tc>
          <w:tcPr>
            <w:tcW w:w="759" w:type="dxa"/>
            <w:tcBorders>
              <w:top w:val="single" w:sz="4" w:space="0" w:color="auto"/>
              <w:left w:val="single" w:sz="4" w:space="0" w:color="auto"/>
              <w:bottom w:val="single" w:sz="4" w:space="0" w:color="auto"/>
              <w:right w:val="single" w:sz="4" w:space="0" w:color="auto"/>
            </w:tcBorders>
          </w:tcPr>
          <w:p w14:paraId="55F24654" w14:textId="77777777" w:rsidR="00CF04BC" w:rsidRPr="00B93493" w:rsidRDefault="00CF04BC" w:rsidP="00F63AE2">
            <w:pPr>
              <w:pStyle w:val="Tabletext"/>
              <w:keepNext/>
              <w:keepLines/>
              <w:jc w:val="center"/>
              <w:rPr>
                <w:sz w:val="18"/>
                <w:szCs w:val="18"/>
              </w:rPr>
            </w:pPr>
            <w:r w:rsidRPr="00B93493">
              <w:rPr>
                <w:sz w:val="18"/>
                <w:szCs w:val="18"/>
              </w:rPr>
              <w:t>31</w:t>
            </w:r>
          </w:p>
        </w:tc>
        <w:tc>
          <w:tcPr>
            <w:tcW w:w="759" w:type="dxa"/>
            <w:tcBorders>
              <w:top w:val="single" w:sz="4" w:space="0" w:color="auto"/>
              <w:left w:val="single" w:sz="4" w:space="0" w:color="auto"/>
              <w:bottom w:val="single" w:sz="4" w:space="0" w:color="auto"/>
              <w:right w:val="single" w:sz="4" w:space="0" w:color="auto"/>
            </w:tcBorders>
          </w:tcPr>
          <w:p w14:paraId="4A80F548" w14:textId="77777777" w:rsidR="00CF04BC" w:rsidRPr="00B93493" w:rsidRDefault="00CF04BC" w:rsidP="00F63AE2">
            <w:pPr>
              <w:pStyle w:val="Tabletext"/>
              <w:keepNext/>
              <w:keepLines/>
              <w:jc w:val="center"/>
              <w:rPr>
                <w:sz w:val="18"/>
                <w:szCs w:val="18"/>
              </w:rPr>
            </w:pPr>
            <w:r w:rsidRPr="00B93493">
              <w:rPr>
                <w:sz w:val="18"/>
                <w:szCs w:val="18"/>
              </w:rPr>
              <w:t>34</w:t>
            </w:r>
          </w:p>
        </w:tc>
        <w:tc>
          <w:tcPr>
            <w:tcW w:w="759" w:type="dxa"/>
            <w:tcBorders>
              <w:top w:val="single" w:sz="4" w:space="0" w:color="auto"/>
              <w:left w:val="single" w:sz="4" w:space="0" w:color="auto"/>
              <w:bottom w:val="single" w:sz="4" w:space="0" w:color="auto"/>
              <w:right w:val="single" w:sz="4" w:space="0" w:color="auto"/>
            </w:tcBorders>
          </w:tcPr>
          <w:p w14:paraId="504EB328" w14:textId="77777777" w:rsidR="00CF04BC" w:rsidRPr="00B93493" w:rsidRDefault="00CF04BC" w:rsidP="00F63AE2">
            <w:pPr>
              <w:pStyle w:val="Tabletext"/>
              <w:keepNext/>
              <w:keepLines/>
              <w:jc w:val="center"/>
              <w:rPr>
                <w:sz w:val="18"/>
                <w:szCs w:val="18"/>
              </w:rPr>
            </w:pPr>
            <w:r w:rsidRPr="00B93493">
              <w:rPr>
                <w:sz w:val="18"/>
                <w:szCs w:val="18"/>
              </w:rPr>
              <w:t>37</w:t>
            </w:r>
          </w:p>
        </w:tc>
        <w:tc>
          <w:tcPr>
            <w:tcW w:w="871" w:type="dxa"/>
            <w:tcBorders>
              <w:top w:val="single" w:sz="4" w:space="0" w:color="auto"/>
              <w:left w:val="single" w:sz="4" w:space="0" w:color="auto"/>
              <w:bottom w:val="single" w:sz="4" w:space="0" w:color="auto"/>
              <w:right w:val="single" w:sz="4" w:space="0" w:color="auto"/>
            </w:tcBorders>
          </w:tcPr>
          <w:p w14:paraId="763BE3DD" w14:textId="77777777" w:rsidR="00CF04BC" w:rsidRPr="00B93493" w:rsidRDefault="00CF04BC" w:rsidP="00F63AE2">
            <w:pPr>
              <w:pStyle w:val="Tabletext"/>
              <w:keepNext/>
              <w:keepLines/>
              <w:jc w:val="center"/>
              <w:rPr>
                <w:sz w:val="18"/>
                <w:szCs w:val="18"/>
              </w:rPr>
            </w:pPr>
            <w:r w:rsidRPr="00B93493">
              <w:rPr>
                <w:sz w:val="18"/>
                <w:szCs w:val="18"/>
              </w:rPr>
              <w:t>41</w:t>
            </w:r>
          </w:p>
        </w:tc>
      </w:tr>
      <w:tr w:rsidR="00CF04BC" w:rsidRPr="00B93493" w14:paraId="67B893DD"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3A21E30E" w14:textId="77777777" w:rsidR="00CF04BC" w:rsidRPr="00B93493" w:rsidRDefault="00CF04BC" w:rsidP="00F63AE2">
            <w:pPr>
              <w:pStyle w:val="Tabletext"/>
              <w:keepNext/>
              <w:keepLines/>
              <w:jc w:val="center"/>
              <w:rPr>
                <w:sz w:val="18"/>
                <w:szCs w:val="18"/>
              </w:rPr>
            </w:pPr>
            <w:r w:rsidRPr="00B93493">
              <w:rPr>
                <w:sz w:val="18"/>
                <w:szCs w:val="18"/>
              </w:rPr>
              <w:t>30.0</w:t>
            </w:r>
          </w:p>
        </w:tc>
        <w:tc>
          <w:tcPr>
            <w:tcW w:w="704" w:type="dxa"/>
            <w:tcBorders>
              <w:top w:val="single" w:sz="4" w:space="0" w:color="auto"/>
              <w:left w:val="single" w:sz="4" w:space="0" w:color="auto"/>
              <w:bottom w:val="single" w:sz="4" w:space="0" w:color="auto"/>
              <w:right w:val="single" w:sz="4" w:space="0" w:color="auto"/>
            </w:tcBorders>
          </w:tcPr>
          <w:p w14:paraId="41105C70" w14:textId="77777777" w:rsidR="00CF04BC" w:rsidRPr="00B93493" w:rsidRDefault="00CF04BC" w:rsidP="00F63AE2">
            <w:pPr>
              <w:pStyle w:val="Tabletext"/>
              <w:keepNext/>
              <w:keepLines/>
              <w:jc w:val="center"/>
              <w:rPr>
                <w:sz w:val="18"/>
                <w:szCs w:val="18"/>
              </w:rPr>
            </w:pPr>
            <w:r w:rsidRPr="00B93493">
              <w:rPr>
                <w:sz w:val="18"/>
                <w:szCs w:val="18"/>
              </w:rPr>
              <w:t>13</w:t>
            </w:r>
          </w:p>
        </w:tc>
        <w:tc>
          <w:tcPr>
            <w:tcW w:w="760" w:type="dxa"/>
            <w:tcBorders>
              <w:top w:val="single" w:sz="4" w:space="0" w:color="auto"/>
              <w:left w:val="single" w:sz="4" w:space="0" w:color="auto"/>
              <w:bottom w:val="single" w:sz="4" w:space="0" w:color="auto"/>
              <w:right w:val="single" w:sz="4" w:space="0" w:color="auto"/>
            </w:tcBorders>
          </w:tcPr>
          <w:p w14:paraId="2BB7120D" w14:textId="77777777" w:rsidR="00CF04BC" w:rsidRPr="00B93493" w:rsidRDefault="00CF04BC" w:rsidP="00F63AE2">
            <w:pPr>
              <w:pStyle w:val="Tabletext"/>
              <w:keepNext/>
              <w:keepLines/>
              <w:jc w:val="center"/>
              <w:rPr>
                <w:sz w:val="18"/>
                <w:szCs w:val="18"/>
              </w:rPr>
            </w:pPr>
            <w:r w:rsidRPr="00B93493">
              <w:rPr>
                <w:sz w:val="18"/>
                <w:szCs w:val="18"/>
              </w:rPr>
              <w:t>17</w:t>
            </w:r>
          </w:p>
        </w:tc>
        <w:tc>
          <w:tcPr>
            <w:tcW w:w="760" w:type="dxa"/>
            <w:tcBorders>
              <w:top w:val="single" w:sz="4" w:space="0" w:color="auto"/>
              <w:left w:val="single" w:sz="4" w:space="0" w:color="auto"/>
              <w:bottom w:val="single" w:sz="4" w:space="0" w:color="auto"/>
              <w:right w:val="single" w:sz="4" w:space="0" w:color="auto"/>
            </w:tcBorders>
          </w:tcPr>
          <w:p w14:paraId="293C3CA3" w14:textId="77777777" w:rsidR="00CF04BC" w:rsidRPr="00B93493" w:rsidRDefault="00CF04BC" w:rsidP="00F63AE2">
            <w:pPr>
              <w:pStyle w:val="Tabletext"/>
              <w:keepNext/>
              <w:keepLines/>
              <w:jc w:val="center"/>
              <w:rPr>
                <w:sz w:val="18"/>
                <w:szCs w:val="18"/>
              </w:rPr>
            </w:pPr>
            <w:r w:rsidRPr="00B93493">
              <w:rPr>
                <w:sz w:val="18"/>
                <w:szCs w:val="18"/>
              </w:rPr>
              <w:t>20</w:t>
            </w:r>
          </w:p>
        </w:tc>
        <w:tc>
          <w:tcPr>
            <w:tcW w:w="759" w:type="dxa"/>
            <w:tcBorders>
              <w:top w:val="single" w:sz="4" w:space="0" w:color="auto"/>
              <w:left w:val="single" w:sz="4" w:space="0" w:color="auto"/>
              <w:bottom w:val="single" w:sz="4" w:space="0" w:color="auto"/>
              <w:right w:val="single" w:sz="4" w:space="0" w:color="auto"/>
            </w:tcBorders>
          </w:tcPr>
          <w:p w14:paraId="06EF10BC" w14:textId="77777777" w:rsidR="00CF04BC" w:rsidRPr="00B93493" w:rsidRDefault="00CF04BC" w:rsidP="00F63AE2">
            <w:pPr>
              <w:pStyle w:val="Tabletext"/>
              <w:keepNext/>
              <w:keepLines/>
              <w:jc w:val="center"/>
              <w:rPr>
                <w:sz w:val="18"/>
                <w:szCs w:val="18"/>
              </w:rPr>
            </w:pPr>
            <w:r w:rsidRPr="00B93493">
              <w:rPr>
                <w:sz w:val="18"/>
                <w:szCs w:val="18"/>
              </w:rPr>
              <w:t>23</w:t>
            </w:r>
          </w:p>
        </w:tc>
        <w:tc>
          <w:tcPr>
            <w:tcW w:w="759" w:type="dxa"/>
            <w:tcBorders>
              <w:top w:val="single" w:sz="4" w:space="0" w:color="auto"/>
              <w:left w:val="single" w:sz="4" w:space="0" w:color="auto"/>
              <w:bottom w:val="single" w:sz="4" w:space="0" w:color="auto"/>
              <w:right w:val="single" w:sz="4" w:space="0" w:color="auto"/>
            </w:tcBorders>
          </w:tcPr>
          <w:p w14:paraId="1C61B5C5" w14:textId="77777777" w:rsidR="00CF04BC" w:rsidRPr="00B93493" w:rsidRDefault="00CF04BC" w:rsidP="00F63AE2">
            <w:pPr>
              <w:pStyle w:val="Tabletext"/>
              <w:keepNext/>
              <w:keepLines/>
              <w:jc w:val="center"/>
              <w:rPr>
                <w:sz w:val="18"/>
                <w:szCs w:val="18"/>
              </w:rPr>
            </w:pPr>
            <w:r w:rsidRPr="00B93493">
              <w:rPr>
                <w:sz w:val="18"/>
                <w:szCs w:val="18"/>
              </w:rPr>
              <w:t>28</w:t>
            </w:r>
          </w:p>
        </w:tc>
        <w:tc>
          <w:tcPr>
            <w:tcW w:w="759" w:type="dxa"/>
            <w:tcBorders>
              <w:top w:val="single" w:sz="4" w:space="0" w:color="auto"/>
              <w:left w:val="single" w:sz="4" w:space="0" w:color="auto"/>
              <w:bottom w:val="single" w:sz="4" w:space="0" w:color="auto"/>
              <w:right w:val="single" w:sz="4" w:space="0" w:color="auto"/>
            </w:tcBorders>
          </w:tcPr>
          <w:p w14:paraId="6B870641" w14:textId="77777777" w:rsidR="00CF04BC" w:rsidRPr="00B93493" w:rsidRDefault="00CF04BC" w:rsidP="00F63AE2">
            <w:pPr>
              <w:pStyle w:val="Tabletext"/>
              <w:keepNext/>
              <w:keepLines/>
              <w:jc w:val="center"/>
              <w:rPr>
                <w:sz w:val="18"/>
                <w:szCs w:val="18"/>
              </w:rPr>
            </w:pPr>
            <w:r w:rsidRPr="00B93493">
              <w:rPr>
                <w:sz w:val="18"/>
                <w:szCs w:val="18"/>
              </w:rPr>
              <w:t>32</w:t>
            </w:r>
          </w:p>
        </w:tc>
        <w:tc>
          <w:tcPr>
            <w:tcW w:w="759" w:type="dxa"/>
            <w:tcBorders>
              <w:top w:val="single" w:sz="4" w:space="0" w:color="auto"/>
              <w:left w:val="single" w:sz="4" w:space="0" w:color="auto"/>
              <w:bottom w:val="single" w:sz="4" w:space="0" w:color="auto"/>
              <w:right w:val="single" w:sz="4" w:space="0" w:color="auto"/>
            </w:tcBorders>
          </w:tcPr>
          <w:p w14:paraId="3607D497" w14:textId="77777777" w:rsidR="00CF04BC" w:rsidRPr="00B93493" w:rsidRDefault="00CF04BC" w:rsidP="00F63AE2">
            <w:pPr>
              <w:pStyle w:val="Tabletext"/>
              <w:keepNext/>
              <w:keepLines/>
              <w:jc w:val="center"/>
              <w:rPr>
                <w:sz w:val="18"/>
                <w:szCs w:val="18"/>
              </w:rPr>
            </w:pPr>
            <w:r w:rsidRPr="00B93493">
              <w:rPr>
                <w:sz w:val="18"/>
                <w:szCs w:val="18"/>
              </w:rPr>
              <w:t>36</w:t>
            </w:r>
          </w:p>
        </w:tc>
        <w:tc>
          <w:tcPr>
            <w:tcW w:w="759" w:type="dxa"/>
            <w:tcBorders>
              <w:top w:val="single" w:sz="4" w:space="0" w:color="auto"/>
              <w:left w:val="single" w:sz="4" w:space="0" w:color="auto"/>
              <w:bottom w:val="single" w:sz="4" w:space="0" w:color="auto"/>
              <w:right w:val="single" w:sz="4" w:space="0" w:color="auto"/>
            </w:tcBorders>
          </w:tcPr>
          <w:p w14:paraId="65736AC3" w14:textId="77777777" w:rsidR="00CF04BC" w:rsidRPr="00B93493" w:rsidRDefault="00CF04BC" w:rsidP="00F63AE2">
            <w:pPr>
              <w:pStyle w:val="Tabletext"/>
              <w:keepNext/>
              <w:keepLines/>
              <w:jc w:val="center"/>
              <w:rPr>
                <w:sz w:val="18"/>
                <w:szCs w:val="18"/>
              </w:rPr>
            </w:pPr>
            <w:r w:rsidRPr="00B93493">
              <w:rPr>
                <w:sz w:val="18"/>
                <w:szCs w:val="18"/>
              </w:rPr>
              <w:t>39</w:t>
            </w:r>
          </w:p>
        </w:tc>
        <w:tc>
          <w:tcPr>
            <w:tcW w:w="759" w:type="dxa"/>
            <w:tcBorders>
              <w:top w:val="single" w:sz="4" w:space="0" w:color="auto"/>
              <w:left w:val="single" w:sz="4" w:space="0" w:color="auto"/>
              <w:bottom w:val="single" w:sz="4" w:space="0" w:color="auto"/>
              <w:right w:val="single" w:sz="4" w:space="0" w:color="auto"/>
            </w:tcBorders>
          </w:tcPr>
          <w:p w14:paraId="17D3A6BD" w14:textId="77777777" w:rsidR="00CF04BC" w:rsidRPr="00B93493" w:rsidRDefault="00CF04BC" w:rsidP="00F63AE2">
            <w:pPr>
              <w:pStyle w:val="Tabletext"/>
              <w:keepNext/>
              <w:keepLines/>
              <w:jc w:val="center"/>
              <w:rPr>
                <w:sz w:val="18"/>
                <w:szCs w:val="18"/>
              </w:rPr>
            </w:pPr>
            <w:r w:rsidRPr="00B93493">
              <w:rPr>
                <w:sz w:val="18"/>
                <w:szCs w:val="18"/>
              </w:rPr>
              <w:t>43</w:t>
            </w:r>
          </w:p>
        </w:tc>
        <w:tc>
          <w:tcPr>
            <w:tcW w:w="759" w:type="dxa"/>
            <w:tcBorders>
              <w:top w:val="single" w:sz="4" w:space="0" w:color="auto"/>
              <w:left w:val="single" w:sz="4" w:space="0" w:color="auto"/>
              <w:bottom w:val="single" w:sz="4" w:space="0" w:color="auto"/>
              <w:right w:val="single" w:sz="4" w:space="0" w:color="auto"/>
            </w:tcBorders>
          </w:tcPr>
          <w:p w14:paraId="2DB069B7" w14:textId="77777777" w:rsidR="00CF04BC" w:rsidRPr="00B93493" w:rsidRDefault="00CF04BC" w:rsidP="00F63AE2">
            <w:pPr>
              <w:pStyle w:val="Tabletext"/>
              <w:keepNext/>
              <w:keepLines/>
              <w:jc w:val="center"/>
              <w:rPr>
                <w:sz w:val="18"/>
                <w:szCs w:val="18"/>
              </w:rPr>
            </w:pPr>
            <w:r w:rsidRPr="00B93493">
              <w:rPr>
                <w:sz w:val="18"/>
                <w:szCs w:val="18"/>
              </w:rPr>
              <w:t>45</w:t>
            </w:r>
          </w:p>
        </w:tc>
        <w:tc>
          <w:tcPr>
            <w:tcW w:w="871" w:type="dxa"/>
            <w:tcBorders>
              <w:top w:val="single" w:sz="4" w:space="0" w:color="auto"/>
              <w:left w:val="single" w:sz="4" w:space="0" w:color="auto"/>
              <w:bottom w:val="single" w:sz="4" w:space="0" w:color="auto"/>
              <w:right w:val="single" w:sz="4" w:space="0" w:color="auto"/>
            </w:tcBorders>
          </w:tcPr>
          <w:p w14:paraId="63D46F24" w14:textId="77777777" w:rsidR="00CF04BC" w:rsidRPr="00B93493" w:rsidRDefault="00CF04BC" w:rsidP="00F63AE2">
            <w:pPr>
              <w:pStyle w:val="Tabletext"/>
              <w:keepNext/>
              <w:keepLines/>
              <w:jc w:val="center"/>
              <w:rPr>
                <w:sz w:val="18"/>
                <w:szCs w:val="18"/>
              </w:rPr>
            </w:pPr>
            <w:r w:rsidRPr="00B93493">
              <w:rPr>
                <w:sz w:val="18"/>
                <w:szCs w:val="18"/>
              </w:rPr>
              <w:t>51</w:t>
            </w:r>
          </w:p>
        </w:tc>
      </w:tr>
      <w:tr w:rsidR="00CF04BC" w:rsidRPr="00B93493" w14:paraId="138C52F6"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2F0D72AF" w14:textId="57AA51FB" w:rsidR="00CF04BC" w:rsidRPr="00B93493" w:rsidRDefault="00CF04BC" w:rsidP="00F63AE2">
            <w:pPr>
              <w:pStyle w:val="Tabletext"/>
              <w:keepNext/>
              <w:keepLines/>
              <w:jc w:val="center"/>
              <w:rPr>
                <w:sz w:val="18"/>
                <w:szCs w:val="18"/>
              </w:rPr>
            </w:pPr>
            <w:r w:rsidRPr="00B93493">
              <w:rPr>
                <w:sz w:val="18"/>
                <w:szCs w:val="18"/>
              </w:rPr>
              <w:t>35.0</w:t>
            </w:r>
          </w:p>
        </w:tc>
        <w:tc>
          <w:tcPr>
            <w:tcW w:w="704" w:type="dxa"/>
            <w:tcBorders>
              <w:top w:val="single" w:sz="4" w:space="0" w:color="auto"/>
              <w:left w:val="single" w:sz="4" w:space="0" w:color="auto"/>
              <w:bottom w:val="single" w:sz="4" w:space="0" w:color="auto"/>
              <w:right w:val="single" w:sz="4" w:space="0" w:color="auto"/>
            </w:tcBorders>
          </w:tcPr>
          <w:p w14:paraId="31F55E8B" w14:textId="77777777" w:rsidR="00CF04BC" w:rsidRPr="00B93493" w:rsidRDefault="00CF04BC" w:rsidP="00F63AE2">
            <w:pPr>
              <w:pStyle w:val="Tabletext"/>
              <w:keepNext/>
              <w:keepLines/>
              <w:jc w:val="center"/>
              <w:rPr>
                <w:sz w:val="18"/>
                <w:szCs w:val="18"/>
              </w:rPr>
            </w:pPr>
            <w:r w:rsidRPr="00B93493">
              <w:rPr>
                <w:sz w:val="18"/>
                <w:szCs w:val="18"/>
              </w:rPr>
              <w:t>17</w:t>
            </w:r>
          </w:p>
        </w:tc>
        <w:tc>
          <w:tcPr>
            <w:tcW w:w="760" w:type="dxa"/>
            <w:tcBorders>
              <w:top w:val="single" w:sz="4" w:space="0" w:color="auto"/>
              <w:left w:val="single" w:sz="4" w:space="0" w:color="auto"/>
              <w:bottom w:val="single" w:sz="4" w:space="0" w:color="auto"/>
              <w:right w:val="single" w:sz="4" w:space="0" w:color="auto"/>
            </w:tcBorders>
          </w:tcPr>
          <w:p w14:paraId="2D38D277" w14:textId="77777777" w:rsidR="00CF04BC" w:rsidRPr="00B93493" w:rsidRDefault="00CF04BC" w:rsidP="00F63AE2">
            <w:pPr>
              <w:pStyle w:val="Tabletext"/>
              <w:keepNext/>
              <w:keepLines/>
              <w:jc w:val="center"/>
              <w:rPr>
                <w:sz w:val="18"/>
                <w:szCs w:val="18"/>
              </w:rPr>
            </w:pPr>
            <w:r w:rsidRPr="00B93493">
              <w:rPr>
                <w:sz w:val="18"/>
                <w:szCs w:val="18"/>
              </w:rPr>
              <w:t>21</w:t>
            </w:r>
          </w:p>
        </w:tc>
        <w:tc>
          <w:tcPr>
            <w:tcW w:w="760" w:type="dxa"/>
            <w:tcBorders>
              <w:top w:val="single" w:sz="4" w:space="0" w:color="auto"/>
              <w:left w:val="single" w:sz="4" w:space="0" w:color="auto"/>
              <w:bottom w:val="single" w:sz="4" w:space="0" w:color="auto"/>
              <w:right w:val="single" w:sz="4" w:space="0" w:color="auto"/>
            </w:tcBorders>
          </w:tcPr>
          <w:p w14:paraId="77EEDC25" w14:textId="77777777" w:rsidR="00CF04BC" w:rsidRPr="00B93493" w:rsidRDefault="00CF04BC" w:rsidP="00F63AE2">
            <w:pPr>
              <w:pStyle w:val="Tabletext"/>
              <w:keepNext/>
              <w:keepLines/>
              <w:jc w:val="center"/>
              <w:rPr>
                <w:sz w:val="18"/>
                <w:szCs w:val="18"/>
              </w:rPr>
            </w:pPr>
            <w:r w:rsidRPr="00B93493">
              <w:rPr>
                <w:sz w:val="18"/>
                <w:szCs w:val="18"/>
              </w:rPr>
              <w:t>26</w:t>
            </w:r>
          </w:p>
        </w:tc>
        <w:tc>
          <w:tcPr>
            <w:tcW w:w="759" w:type="dxa"/>
            <w:tcBorders>
              <w:top w:val="single" w:sz="4" w:space="0" w:color="auto"/>
              <w:left w:val="single" w:sz="4" w:space="0" w:color="auto"/>
              <w:bottom w:val="single" w:sz="4" w:space="0" w:color="auto"/>
              <w:right w:val="single" w:sz="4" w:space="0" w:color="auto"/>
            </w:tcBorders>
          </w:tcPr>
          <w:p w14:paraId="21806B22" w14:textId="77777777" w:rsidR="00CF04BC" w:rsidRPr="00B93493" w:rsidRDefault="00CF04BC" w:rsidP="00F63AE2">
            <w:pPr>
              <w:pStyle w:val="Tabletext"/>
              <w:keepNext/>
              <w:keepLines/>
              <w:jc w:val="center"/>
              <w:rPr>
                <w:sz w:val="18"/>
                <w:szCs w:val="18"/>
              </w:rPr>
            </w:pPr>
            <w:r w:rsidRPr="00B93493">
              <w:rPr>
                <w:sz w:val="18"/>
                <w:szCs w:val="18"/>
              </w:rPr>
              <w:t>29</w:t>
            </w:r>
          </w:p>
        </w:tc>
        <w:tc>
          <w:tcPr>
            <w:tcW w:w="759" w:type="dxa"/>
            <w:tcBorders>
              <w:top w:val="single" w:sz="4" w:space="0" w:color="auto"/>
              <w:left w:val="single" w:sz="4" w:space="0" w:color="auto"/>
              <w:bottom w:val="single" w:sz="4" w:space="0" w:color="auto"/>
              <w:right w:val="single" w:sz="4" w:space="0" w:color="auto"/>
            </w:tcBorders>
          </w:tcPr>
          <w:p w14:paraId="569ABC36" w14:textId="77777777" w:rsidR="00CF04BC" w:rsidRPr="00B93493" w:rsidRDefault="00CF04BC" w:rsidP="00F63AE2">
            <w:pPr>
              <w:pStyle w:val="Tabletext"/>
              <w:keepNext/>
              <w:keepLines/>
              <w:jc w:val="center"/>
              <w:rPr>
                <w:sz w:val="18"/>
                <w:szCs w:val="18"/>
              </w:rPr>
            </w:pPr>
            <w:r w:rsidRPr="00B93493">
              <w:rPr>
                <w:sz w:val="18"/>
                <w:szCs w:val="18"/>
              </w:rPr>
              <w:t>35</w:t>
            </w:r>
          </w:p>
        </w:tc>
        <w:tc>
          <w:tcPr>
            <w:tcW w:w="759" w:type="dxa"/>
            <w:tcBorders>
              <w:top w:val="single" w:sz="4" w:space="0" w:color="auto"/>
              <w:left w:val="single" w:sz="4" w:space="0" w:color="auto"/>
              <w:bottom w:val="single" w:sz="4" w:space="0" w:color="auto"/>
              <w:right w:val="single" w:sz="4" w:space="0" w:color="auto"/>
            </w:tcBorders>
          </w:tcPr>
          <w:p w14:paraId="09333AB0" w14:textId="77777777" w:rsidR="00CF04BC" w:rsidRPr="00B93493" w:rsidRDefault="00CF04BC" w:rsidP="00F63AE2">
            <w:pPr>
              <w:pStyle w:val="Tabletext"/>
              <w:keepNext/>
              <w:keepLines/>
              <w:jc w:val="center"/>
              <w:rPr>
                <w:sz w:val="18"/>
                <w:szCs w:val="18"/>
              </w:rPr>
            </w:pPr>
            <w:r w:rsidRPr="00B93493">
              <w:rPr>
                <w:sz w:val="18"/>
                <w:szCs w:val="18"/>
              </w:rPr>
              <w:t>40</w:t>
            </w:r>
          </w:p>
        </w:tc>
        <w:tc>
          <w:tcPr>
            <w:tcW w:w="759" w:type="dxa"/>
            <w:tcBorders>
              <w:top w:val="single" w:sz="4" w:space="0" w:color="auto"/>
              <w:left w:val="single" w:sz="4" w:space="0" w:color="auto"/>
              <w:bottom w:val="single" w:sz="4" w:space="0" w:color="auto"/>
              <w:right w:val="single" w:sz="4" w:space="0" w:color="auto"/>
            </w:tcBorders>
          </w:tcPr>
          <w:p w14:paraId="0D5F27F7" w14:textId="77777777" w:rsidR="00CF04BC" w:rsidRPr="00B93493" w:rsidRDefault="00CF04BC" w:rsidP="00F63AE2">
            <w:pPr>
              <w:pStyle w:val="Tabletext"/>
              <w:keepNext/>
              <w:keepLines/>
              <w:jc w:val="center"/>
              <w:rPr>
                <w:sz w:val="18"/>
                <w:szCs w:val="18"/>
              </w:rPr>
            </w:pPr>
            <w:r w:rsidRPr="00B93493">
              <w:rPr>
                <w:sz w:val="18"/>
                <w:szCs w:val="18"/>
              </w:rPr>
              <w:t>45</w:t>
            </w:r>
          </w:p>
        </w:tc>
        <w:tc>
          <w:tcPr>
            <w:tcW w:w="759" w:type="dxa"/>
            <w:tcBorders>
              <w:top w:val="single" w:sz="4" w:space="0" w:color="auto"/>
              <w:left w:val="single" w:sz="4" w:space="0" w:color="auto"/>
              <w:bottom w:val="single" w:sz="4" w:space="0" w:color="auto"/>
              <w:right w:val="single" w:sz="4" w:space="0" w:color="auto"/>
            </w:tcBorders>
          </w:tcPr>
          <w:p w14:paraId="168CE0C9" w14:textId="77777777" w:rsidR="00CF04BC" w:rsidRPr="00B93493" w:rsidRDefault="00CF04BC" w:rsidP="00F63AE2">
            <w:pPr>
              <w:pStyle w:val="Tabletext"/>
              <w:keepNext/>
              <w:keepLines/>
              <w:jc w:val="center"/>
              <w:rPr>
                <w:sz w:val="18"/>
                <w:szCs w:val="18"/>
              </w:rPr>
            </w:pPr>
            <w:r w:rsidRPr="00B93493">
              <w:rPr>
                <w:sz w:val="18"/>
                <w:szCs w:val="18"/>
              </w:rPr>
              <w:t>48</w:t>
            </w:r>
          </w:p>
        </w:tc>
        <w:tc>
          <w:tcPr>
            <w:tcW w:w="759" w:type="dxa"/>
            <w:tcBorders>
              <w:top w:val="single" w:sz="4" w:space="0" w:color="auto"/>
              <w:left w:val="single" w:sz="4" w:space="0" w:color="auto"/>
              <w:bottom w:val="single" w:sz="4" w:space="0" w:color="auto"/>
              <w:right w:val="single" w:sz="4" w:space="0" w:color="auto"/>
            </w:tcBorders>
          </w:tcPr>
          <w:p w14:paraId="35983F62" w14:textId="77777777" w:rsidR="00CF04BC" w:rsidRPr="00B93493" w:rsidRDefault="00CF04BC" w:rsidP="00F63AE2">
            <w:pPr>
              <w:pStyle w:val="Tabletext"/>
              <w:keepNext/>
              <w:keepLines/>
              <w:jc w:val="center"/>
              <w:rPr>
                <w:sz w:val="18"/>
                <w:szCs w:val="18"/>
              </w:rPr>
            </w:pPr>
            <w:r w:rsidRPr="00B93493">
              <w:rPr>
                <w:sz w:val="18"/>
                <w:szCs w:val="18"/>
              </w:rPr>
              <w:t>52</w:t>
            </w:r>
          </w:p>
        </w:tc>
        <w:tc>
          <w:tcPr>
            <w:tcW w:w="759" w:type="dxa"/>
            <w:tcBorders>
              <w:top w:val="single" w:sz="4" w:space="0" w:color="auto"/>
              <w:left w:val="single" w:sz="4" w:space="0" w:color="auto"/>
              <w:bottom w:val="single" w:sz="4" w:space="0" w:color="auto"/>
              <w:right w:val="single" w:sz="4" w:space="0" w:color="auto"/>
            </w:tcBorders>
          </w:tcPr>
          <w:p w14:paraId="2CC46D91" w14:textId="77777777" w:rsidR="00CF04BC" w:rsidRPr="00B93493" w:rsidRDefault="00CF04BC" w:rsidP="00F63AE2">
            <w:pPr>
              <w:pStyle w:val="Tabletext"/>
              <w:keepNext/>
              <w:keepLines/>
              <w:jc w:val="center"/>
              <w:rPr>
                <w:sz w:val="18"/>
                <w:szCs w:val="18"/>
              </w:rPr>
            </w:pPr>
            <w:r w:rsidRPr="00B93493">
              <w:rPr>
                <w:sz w:val="18"/>
                <w:szCs w:val="18"/>
              </w:rPr>
              <w:t>55</w:t>
            </w:r>
          </w:p>
        </w:tc>
        <w:tc>
          <w:tcPr>
            <w:tcW w:w="871" w:type="dxa"/>
            <w:tcBorders>
              <w:top w:val="single" w:sz="4" w:space="0" w:color="auto"/>
              <w:left w:val="single" w:sz="4" w:space="0" w:color="auto"/>
              <w:bottom w:val="single" w:sz="4" w:space="0" w:color="auto"/>
              <w:right w:val="single" w:sz="4" w:space="0" w:color="auto"/>
            </w:tcBorders>
          </w:tcPr>
          <w:p w14:paraId="06AC1AC9" w14:textId="77777777" w:rsidR="00CF04BC" w:rsidRPr="00B93493" w:rsidRDefault="00CF04BC" w:rsidP="00F63AE2">
            <w:pPr>
              <w:pStyle w:val="Tabletext"/>
              <w:keepNext/>
              <w:keepLines/>
              <w:jc w:val="center"/>
              <w:rPr>
                <w:sz w:val="18"/>
                <w:szCs w:val="18"/>
              </w:rPr>
            </w:pPr>
            <w:r w:rsidRPr="00B93493">
              <w:rPr>
                <w:sz w:val="18"/>
                <w:szCs w:val="18"/>
              </w:rPr>
              <w:t>61</w:t>
            </w:r>
          </w:p>
        </w:tc>
      </w:tr>
      <w:tr w:rsidR="00CF04BC" w:rsidRPr="00B93493" w14:paraId="0B4F9AC5"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095754DA" w14:textId="77777777" w:rsidR="00CF04BC" w:rsidRPr="00B93493" w:rsidRDefault="00CF04BC" w:rsidP="002E7F54">
            <w:pPr>
              <w:pStyle w:val="Tabletext"/>
              <w:jc w:val="center"/>
              <w:rPr>
                <w:sz w:val="18"/>
                <w:szCs w:val="18"/>
              </w:rPr>
            </w:pPr>
            <w:r w:rsidRPr="00B93493">
              <w:rPr>
                <w:sz w:val="18"/>
                <w:szCs w:val="18"/>
              </w:rPr>
              <w:t>40.0</w:t>
            </w:r>
          </w:p>
        </w:tc>
        <w:tc>
          <w:tcPr>
            <w:tcW w:w="704" w:type="dxa"/>
            <w:tcBorders>
              <w:top w:val="single" w:sz="4" w:space="0" w:color="auto"/>
              <w:left w:val="single" w:sz="4" w:space="0" w:color="auto"/>
              <w:bottom w:val="single" w:sz="4" w:space="0" w:color="auto"/>
              <w:right w:val="single" w:sz="4" w:space="0" w:color="auto"/>
            </w:tcBorders>
          </w:tcPr>
          <w:p w14:paraId="765EEC7C" w14:textId="77777777" w:rsidR="00CF04BC" w:rsidRPr="00B93493" w:rsidRDefault="00CF04BC" w:rsidP="002E7F54">
            <w:pPr>
              <w:pStyle w:val="Tabletext"/>
              <w:jc w:val="center"/>
              <w:rPr>
                <w:sz w:val="18"/>
                <w:szCs w:val="18"/>
              </w:rPr>
            </w:pPr>
            <w:r w:rsidRPr="00B93493">
              <w:rPr>
                <w:sz w:val="18"/>
                <w:szCs w:val="18"/>
              </w:rPr>
              <w:t>22</w:t>
            </w:r>
          </w:p>
        </w:tc>
        <w:tc>
          <w:tcPr>
            <w:tcW w:w="760" w:type="dxa"/>
            <w:tcBorders>
              <w:top w:val="single" w:sz="4" w:space="0" w:color="auto"/>
              <w:left w:val="single" w:sz="4" w:space="0" w:color="auto"/>
              <w:bottom w:val="single" w:sz="4" w:space="0" w:color="auto"/>
              <w:right w:val="single" w:sz="4" w:space="0" w:color="auto"/>
            </w:tcBorders>
          </w:tcPr>
          <w:p w14:paraId="32A34137" w14:textId="77777777" w:rsidR="00CF04BC" w:rsidRPr="00B93493" w:rsidRDefault="00CF04BC" w:rsidP="002E7F54">
            <w:pPr>
              <w:pStyle w:val="Tabletext"/>
              <w:jc w:val="center"/>
              <w:rPr>
                <w:sz w:val="18"/>
                <w:szCs w:val="18"/>
              </w:rPr>
            </w:pPr>
            <w:r w:rsidRPr="00B93493">
              <w:rPr>
                <w:sz w:val="18"/>
                <w:szCs w:val="18"/>
              </w:rPr>
              <w:t>27</w:t>
            </w:r>
          </w:p>
        </w:tc>
        <w:tc>
          <w:tcPr>
            <w:tcW w:w="760" w:type="dxa"/>
            <w:tcBorders>
              <w:top w:val="single" w:sz="4" w:space="0" w:color="auto"/>
              <w:left w:val="single" w:sz="4" w:space="0" w:color="auto"/>
              <w:bottom w:val="single" w:sz="4" w:space="0" w:color="auto"/>
              <w:right w:val="single" w:sz="4" w:space="0" w:color="auto"/>
            </w:tcBorders>
          </w:tcPr>
          <w:p w14:paraId="3C09B1AC" w14:textId="77777777" w:rsidR="00CF04BC" w:rsidRPr="00B93493" w:rsidRDefault="00CF04BC" w:rsidP="002E7F54">
            <w:pPr>
              <w:pStyle w:val="Tabletext"/>
              <w:jc w:val="center"/>
              <w:rPr>
                <w:sz w:val="18"/>
                <w:szCs w:val="18"/>
              </w:rPr>
            </w:pPr>
            <w:r w:rsidRPr="00B93493">
              <w:rPr>
                <w:sz w:val="18"/>
                <w:szCs w:val="18"/>
              </w:rPr>
              <w:t>32</w:t>
            </w:r>
          </w:p>
        </w:tc>
        <w:tc>
          <w:tcPr>
            <w:tcW w:w="759" w:type="dxa"/>
            <w:tcBorders>
              <w:top w:val="single" w:sz="4" w:space="0" w:color="auto"/>
              <w:left w:val="single" w:sz="4" w:space="0" w:color="auto"/>
              <w:bottom w:val="single" w:sz="4" w:space="0" w:color="auto"/>
              <w:right w:val="single" w:sz="4" w:space="0" w:color="auto"/>
            </w:tcBorders>
          </w:tcPr>
          <w:p w14:paraId="5AF1F364" w14:textId="77777777" w:rsidR="00CF04BC" w:rsidRPr="00B93493" w:rsidRDefault="00CF04BC" w:rsidP="002E7F54">
            <w:pPr>
              <w:pStyle w:val="Tabletext"/>
              <w:jc w:val="center"/>
              <w:rPr>
                <w:sz w:val="18"/>
                <w:szCs w:val="18"/>
              </w:rPr>
            </w:pPr>
            <w:r w:rsidRPr="00B93493">
              <w:rPr>
                <w:sz w:val="18"/>
                <w:szCs w:val="18"/>
              </w:rPr>
              <w:t>37</w:t>
            </w:r>
          </w:p>
        </w:tc>
        <w:tc>
          <w:tcPr>
            <w:tcW w:w="759" w:type="dxa"/>
            <w:tcBorders>
              <w:top w:val="single" w:sz="4" w:space="0" w:color="auto"/>
              <w:left w:val="single" w:sz="4" w:space="0" w:color="auto"/>
              <w:bottom w:val="single" w:sz="4" w:space="0" w:color="auto"/>
              <w:right w:val="single" w:sz="4" w:space="0" w:color="auto"/>
            </w:tcBorders>
          </w:tcPr>
          <w:p w14:paraId="0F13305A" w14:textId="77777777" w:rsidR="00CF04BC" w:rsidRPr="00B93493" w:rsidRDefault="00CF04BC" w:rsidP="002E7F54">
            <w:pPr>
              <w:pStyle w:val="Tabletext"/>
              <w:jc w:val="center"/>
              <w:rPr>
                <w:sz w:val="18"/>
                <w:szCs w:val="18"/>
              </w:rPr>
            </w:pPr>
            <w:r w:rsidRPr="00B93493">
              <w:rPr>
                <w:sz w:val="18"/>
                <w:szCs w:val="18"/>
              </w:rPr>
              <w:t>44</w:t>
            </w:r>
          </w:p>
        </w:tc>
        <w:tc>
          <w:tcPr>
            <w:tcW w:w="759" w:type="dxa"/>
            <w:tcBorders>
              <w:top w:val="single" w:sz="4" w:space="0" w:color="auto"/>
              <w:left w:val="single" w:sz="4" w:space="0" w:color="auto"/>
              <w:bottom w:val="single" w:sz="4" w:space="0" w:color="auto"/>
              <w:right w:val="single" w:sz="4" w:space="0" w:color="auto"/>
            </w:tcBorders>
          </w:tcPr>
          <w:p w14:paraId="6E32AB2F" w14:textId="77777777" w:rsidR="00CF04BC" w:rsidRPr="00B93493" w:rsidRDefault="00CF04BC" w:rsidP="002E7F54">
            <w:pPr>
              <w:pStyle w:val="Tabletext"/>
              <w:jc w:val="center"/>
              <w:rPr>
                <w:sz w:val="18"/>
                <w:szCs w:val="18"/>
              </w:rPr>
            </w:pPr>
            <w:r w:rsidRPr="00B93493">
              <w:rPr>
                <w:sz w:val="18"/>
                <w:szCs w:val="18"/>
              </w:rPr>
              <w:t>49</w:t>
            </w:r>
          </w:p>
        </w:tc>
        <w:tc>
          <w:tcPr>
            <w:tcW w:w="759" w:type="dxa"/>
            <w:tcBorders>
              <w:top w:val="single" w:sz="4" w:space="0" w:color="auto"/>
              <w:left w:val="single" w:sz="4" w:space="0" w:color="auto"/>
              <w:bottom w:val="single" w:sz="4" w:space="0" w:color="auto"/>
              <w:right w:val="single" w:sz="4" w:space="0" w:color="auto"/>
            </w:tcBorders>
          </w:tcPr>
          <w:p w14:paraId="28DE16A6" w14:textId="77777777" w:rsidR="00CF04BC" w:rsidRPr="00B93493" w:rsidRDefault="00CF04BC" w:rsidP="002E7F54">
            <w:pPr>
              <w:pStyle w:val="Tabletext"/>
              <w:jc w:val="center"/>
              <w:rPr>
                <w:sz w:val="18"/>
                <w:szCs w:val="18"/>
              </w:rPr>
            </w:pPr>
            <w:r w:rsidRPr="00B93493">
              <w:rPr>
                <w:sz w:val="18"/>
                <w:szCs w:val="18"/>
              </w:rPr>
              <w:t>54</w:t>
            </w:r>
          </w:p>
        </w:tc>
        <w:tc>
          <w:tcPr>
            <w:tcW w:w="759" w:type="dxa"/>
            <w:tcBorders>
              <w:top w:val="single" w:sz="4" w:space="0" w:color="auto"/>
              <w:left w:val="single" w:sz="4" w:space="0" w:color="auto"/>
              <w:bottom w:val="single" w:sz="4" w:space="0" w:color="auto"/>
              <w:right w:val="single" w:sz="4" w:space="0" w:color="auto"/>
            </w:tcBorders>
          </w:tcPr>
          <w:p w14:paraId="6B17996C" w14:textId="77777777" w:rsidR="00CF04BC" w:rsidRPr="00B93493" w:rsidRDefault="00CF04BC" w:rsidP="002E7F54">
            <w:pPr>
              <w:pStyle w:val="Tabletext"/>
              <w:jc w:val="center"/>
              <w:rPr>
                <w:sz w:val="18"/>
                <w:szCs w:val="18"/>
              </w:rPr>
            </w:pPr>
            <w:r w:rsidRPr="00B93493">
              <w:rPr>
                <w:sz w:val="18"/>
                <w:szCs w:val="18"/>
              </w:rPr>
              <w:t>58</w:t>
            </w:r>
          </w:p>
        </w:tc>
        <w:tc>
          <w:tcPr>
            <w:tcW w:w="759" w:type="dxa"/>
            <w:tcBorders>
              <w:top w:val="single" w:sz="4" w:space="0" w:color="auto"/>
              <w:left w:val="single" w:sz="4" w:space="0" w:color="auto"/>
              <w:bottom w:val="single" w:sz="4" w:space="0" w:color="auto"/>
              <w:right w:val="single" w:sz="4" w:space="0" w:color="auto"/>
            </w:tcBorders>
          </w:tcPr>
          <w:p w14:paraId="0365AA24" w14:textId="77777777" w:rsidR="00CF04BC" w:rsidRPr="00B93493" w:rsidRDefault="00CF04BC" w:rsidP="002E7F54">
            <w:pPr>
              <w:pStyle w:val="Tabletext"/>
              <w:jc w:val="center"/>
              <w:rPr>
                <w:sz w:val="18"/>
                <w:szCs w:val="18"/>
              </w:rPr>
            </w:pPr>
            <w:r w:rsidRPr="00B93493">
              <w:rPr>
                <w:sz w:val="18"/>
                <w:szCs w:val="18"/>
              </w:rPr>
              <w:t>62</w:t>
            </w:r>
          </w:p>
        </w:tc>
        <w:tc>
          <w:tcPr>
            <w:tcW w:w="759" w:type="dxa"/>
            <w:tcBorders>
              <w:top w:val="single" w:sz="4" w:space="0" w:color="auto"/>
              <w:left w:val="single" w:sz="4" w:space="0" w:color="auto"/>
              <w:bottom w:val="single" w:sz="4" w:space="0" w:color="auto"/>
              <w:right w:val="single" w:sz="4" w:space="0" w:color="auto"/>
            </w:tcBorders>
          </w:tcPr>
          <w:p w14:paraId="6E3CDBC0" w14:textId="77777777" w:rsidR="00CF04BC" w:rsidRPr="00B93493" w:rsidRDefault="00CF04BC" w:rsidP="002E7F54">
            <w:pPr>
              <w:pStyle w:val="Tabletext"/>
              <w:jc w:val="center"/>
              <w:rPr>
                <w:sz w:val="18"/>
                <w:szCs w:val="18"/>
              </w:rPr>
            </w:pPr>
            <w:r w:rsidRPr="00B93493">
              <w:rPr>
                <w:sz w:val="18"/>
                <w:szCs w:val="18"/>
              </w:rPr>
              <w:t>65</w:t>
            </w:r>
          </w:p>
        </w:tc>
        <w:tc>
          <w:tcPr>
            <w:tcW w:w="871" w:type="dxa"/>
            <w:tcBorders>
              <w:top w:val="single" w:sz="4" w:space="0" w:color="auto"/>
              <w:left w:val="single" w:sz="4" w:space="0" w:color="auto"/>
              <w:bottom w:val="single" w:sz="4" w:space="0" w:color="auto"/>
              <w:right w:val="single" w:sz="4" w:space="0" w:color="auto"/>
            </w:tcBorders>
          </w:tcPr>
          <w:p w14:paraId="2FC74931" w14:textId="77777777" w:rsidR="00CF04BC" w:rsidRPr="00B93493" w:rsidRDefault="00CF04BC" w:rsidP="002E7F54">
            <w:pPr>
              <w:pStyle w:val="Tabletext"/>
              <w:jc w:val="center"/>
              <w:rPr>
                <w:sz w:val="18"/>
                <w:szCs w:val="18"/>
              </w:rPr>
            </w:pPr>
            <w:r w:rsidRPr="00B93493">
              <w:rPr>
                <w:sz w:val="18"/>
                <w:szCs w:val="18"/>
              </w:rPr>
              <w:t>72</w:t>
            </w:r>
          </w:p>
        </w:tc>
      </w:tr>
      <w:tr w:rsidR="00CF04BC" w:rsidRPr="00B93493" w14:paraId="6725B5F0"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07F1335D" w14:textId="77777777" w:rsidR="00CF04BC" w:rsidRPr="00B93493" w:rsidRDefault="00CF04BC" w:rsidP="002E7F54">
            <w:pPr>
              <w:pStyle w:val="Tabletext"/>
              <w:jc w:val="center"/>
              <w:rPr>
                <w:sz w:val="18"/>
                <w:szCs w:val="18"/>
              </w:rPr>
            </w:pPr>
            <w:r w:rsidRPr="00B93493">
              <w:rPr>
                <w:sz w:val="18"/>
                <w:szCs w:val="18"/>
              </w:rPr>
              <w:t>43.0</w:t>
            </w:r>
          </w:p>
        </w:tc>
        <w:tc>
          <w:tcPr>
            <w:tcW w:w="704" w:type="dxa"/>
            <w:tcBorders>
              <w:top w:val="single" w:sz="4" w:space="0" w:color="auto"/>
              <w:left w:val="single" w:sz="4" w:space="0" w:color="auto"/>
              <w:bottom w:val="single" w:sz="4" w:space="0" w:color="auto"/>
              <w:right w:val="single" w:sz="4" w:space="0" w:color="auto"/>
            </w:tcBorders>
          </w:tcPr>
          <w:p w14:paraId="4B4C2850" w14:textId="77777777" w:rsidR="00CF04BC" w:rsidRPr="00B93493" w:rsidRDefault="00CF04BC" w:rsidP="002E7F54">
            <w:pPr>
              <w:pStyle w:val="Tabletext"/>
              <w:jc w:val="center"/>
              <w:rPr>
                <w:sz w:val="18"/>
                <w:szCs w:val="18"/>
              </w:rPr>
            </w:pPr>
            <w:r w:rsidRPr="00B93493">
              <w:rPr>
                <w:sz w:val="18"/>
                <w:szCs w:val="18"/>
              </w:rPr>
              <w:t>25</w:t>
            </w:r>
          </w:p>
        </w:tc>
        <w:tc>
          <w:tcPr>
            <w:tcW w:w="760" w:type="dxa"/>
            <w:tcBorders>
              <w:top w:val="single" w:sz="4" w:space="0" w:color="auto"/>
              <w:left w:val="single" w:sz="4" w:space="0" w:color="auto"/>
              <w:bottom w:val="single" w:sz="4" w:space="0" w:color="auto"/>
              <w:right w:val="single" w:sz="4" w:space="0" w:color="auto"/>
            </w:tcBorders>
          </w:tcPr>
          <w:p w14:paraId="43B36160" w14:textId="77777777" w:rsidR="00CF04BC" w:rsidRPr="00B93493" w:rsidRDefault="00CF04BC" w:rsidP="002E7F54">
            <w:pPr>
              <w:pStyle w:val="Tabletext"/>
              <w:jc w:val="center"/>
              <w:rPr>
                <w:sz w:val="18"/>
                <w:szCs w:val="18"/>
              </w:rPr>
            </w:pPr>
            <w:r w:rsidRPr="00B93493">
              <w:rPr>
                <w:sz w:val="18"/>
                <w:szCs w:val="18"/>
              </w:rPr>
              <w:t>31</w:t>
            </w:r>
          </w:p>
        </w:tc>
        <w:tc>
          <w:tcPr>
            <w:tcW w:w="760" w:type="dxa"/>
            <w:tcBorders>
              <w:top w:val="single" w:sz="4" w:space="0" w:color="auto"/>
              <w:left w:val="single" w:sz="4" w:space="0" w:color="auto"/>
              <w:bottom w:val="single" w:sz="4" w:space="0" w:color="auto"/>
              <w:right w:val="single" w:sz="4" w:space="0" w:color="auto"/>
            </w:tcBorders>
          </w:tcPr>
          <w:p w14:paraId="53AB7152" w14:textId="77777777" w:rsidR="00CF04BC" w:rsidRPr="00B93493" w:rsidRDefault="00CF04BC" w:rsidP="002E7F54">
            <w:pPr>
              <w:pStyle w:val="Tabletext"/>
              <w:jc w:val="center"/>
              <w:rPr>
                <w:sz w:val="18"/>
                <w:szCs w:val="18"/>
              </w:rPr>
            </w:pPr>
            <w:r w:rsidRPr="00B93493">
              <w:rPr>
                <w:sz w:val="18"/>
                <w:szCs w:val="18"/>
              </w:rPr>
              <w:t>37</w:t>
            </w:r>
          </w:p>
        </w:tc>
        <w:tc>
          <w:tcPr>
            <w:tcW w:w="759" w:type="dxa"/>
            <w:tcBorders>
              <w:top w:val="single" w:sz="4" w:space="0" w:color="auto"/>
              <w:left w:val="single" w:sz="4" w:space="0" w:color="auto"/>
              <w:bottom w:val="single" w:sz="4" w:space="0" w:color="auto"/>
              <w:right w:val="single" w:sz="4" w:space="0" w:color="auto"/>
            </w:tcBorders>
          </w:tcPr>
          <w:p w14:paraId="732741A2" w14:textId="77777777" w:rsidR="00CF04BC" w:rsidRPr="00B93493" w:rsidRDefault="00CF04BC" w:rsidP="002E7F54">
            <w:pPr>
              <w:pStyle w:val="Tabletext"/>
              <w:jc w:val="center"/>
              <w:rPr>
                <w:sz w:val="18"/>
                <w:szCs w:val="18"/>
              </w:rPr>
            </w:pPr>
            <w:r w:rsidRPr="00B93493">
              <w:rPr>
                <w:sz w:val="18"/>
                <w:szCs w:val="18"/>
              </w:rPr>
              <w:t>42</w:t>
            </w:r>
          </w:p>
        </w:tc>
        <w:tc>
          <w:tcPr>
            <w:tcW w:w="759" w:type="dxa"/>
            <w:tcBorders>
              <w:top w:val="single" w:sz="4" w:space="0" w:color="auto"/>
              <w:left w:val="single" w:sz="4" w:space="0" w:color="auto"/>
              <w:bottom w:val="single" w:sz="4" w:space="0" w:color="auto"/>
              <w:right w:val="single" w:sz="4" w:space="0" w:color="auto"/>
            </w:tcBorders>
          </w:tcPr>
          <w:p w14:paraId="440DE4CE" w14:textId="77777777" w:rsidR="00CF04BC" w:rsidRPr="00B93493" w:rsidRDefault="00CF04BC" w:rsidP="002E7F54">
            <w:pPr>
              <w:pStyle w:val="Tabletext"/>
              <w:jc w:val="center"/>
              <w:rPr>
                <w:sz w:val="18"/>
                <w:szCs w:val="18"/>
              </w:rPr>
            </w:pPr>
            <w:r w:rsidRPr="00B93493">
              <w:rPr>
                <w:sz w:val="18"/>
                <w:szCs w:val="18"/>
              </w:rPr>
              <w:t>49</w:t>
            </w:r>
          </w:p>
        </w:tc>
        <w:tc>
          <w:tcPr>
            <w:tcW w:w="759" w:type="dxa"/>
            <w:tcBorders>
              <w:top w:val="single" w:sz="4" w:space="0" w:color="auto"/>
              <w:left w:val="single" w:sz="4" w:space="0" w:color="auto"/>
              <w:bottom w:val="single" w:sz="4" w:space="0" w:color="auto"/>
              <w:right w:val="single" w:sz="4" w:space="0" w:color="auto"/>
            </w:tcBorders>
          </w:tcPr>
          <w:p w14:paraId="640F7D8A" w14:textId="77777777" w:rsidR="00CF04BC" w:rsidRPr="00B93493" w:rsidRDefault="00CF04BC" w:rsidP="002E7F54">
            <w:pPr>
              <w:pStyle w:val="Tabletext"/>
              <w:jc w:val="center"/>
              <w:rPr>
                <w:sz w:val="18"/>
                <w:szCs w:val="18"/>
              </w:rPr>
            </w:pPr>
            <w:r w:rsidRPr="00B93493">
              <w:rPr>
                <w:sz w:val="18"/>
                <w:szCs w:val="18"/>
              </w:rPr>
              <w:t>55</w:t>
            </w:r>
          </w:p>
        </w:tc>
        <w:tc>
          <w:tcPr>
            <w:tcW w:w="759" w:type="dxa"/>
            <w:tcBorders>
              <w:top w:val="single" w:sz="4" w:space="0" w:color="auto"/>
              <w:left w:val="single" w:sz="4" w:space="0" w:color="auto"/>
              <w:bottom w:val="single" w:sz="4" w:space="0" w:color="auto"/>
              <w:right w:val="single" w:sz="4" w:space="0" w:color="auto"/>
            </w:tcBorders>
          </w:tcPr>
          <w:p w14:paraId="414FF4A5" w14:textId="77777777" w:rsidR="00CF04BC" w:rsidRPr="00B93493" w:rsidRDefault="00CF04BC" w:rsidP="002E7F54">
            <w:pPr>
              <w:pStyle w:val="Tabletext"/>
              <w:jc w:val="center"/>
              <w:rPr>
                <w:sz w:val="18"/>
                <w:szCs w:val="18"/>
              </w:rPr>
            </w:pPr>
            <w:r w:rsidRPr="00B93493">
              <w:rPr>
                <w:sz w:val="18"/>
                <w:szCs w:val="18"/>
              </w:rPr>
              <w:t>60</w:t>
            </w:r>
          </w:p>
        </w:tc>
        <w:tc>
          <w:tcPr>
            <w:tcW w:w="759" w:type="dxa"/>
            <w:tcBorders>
              <w:top w:val="single" w:sz="4" w:space="0" w:color="auto"/>
              <w:left w:val="single" w:sz="4" w:space="0" w:color="auto"/>
              <w:bottom w:val="single" w:sz="4" w:space="0" w:color="auto"/>
              <w:right w:val="single" w:sz="4" w:space="0" w:color="auto"/>
            </w:tcBorders>
          </w:tcPr>
          <w:p w14:paraId="33692BCB" w14:textId="77777777" w:rsidR="00CF04BC" w:rsidRPr="00B93493" w:rsidRDefault="00CF04BC" w:rsidP="002E7F54">
            <w:pPr>
              <w:pStyle w:val="Tabletext"/>
              <w:jc w:val="center"/>
              <w:rPr>
                <w:sz w:val="18"/>
                <w:szCs w:val="18"/>
              </w:rPr>
            </w:pPr>
            <w:r w:rsidRPr="00B93493">
              <w:rPr>
                <w:sz w:val="18"/>
                <w:szCs w:val="18"/>
              </w:rPr>
              <w:t>64</w:t>
            </w:r>
          </w:p>
        </w:tc>
        <w:tc>
          <w:tcPr>
            <w:tcW w:w="759" w:type="dxa"/>
            <w:tcBorders>
              <w:top w:val="single" w:sz="4" w:space="0" w:color="auto"/>
              <w:left w:val="single" w:sz="4" w:space="0" w:color="auto"/>
              <w:bottom w:val="single" w:sz="4" w:space="0" w:color="auto"/>
              <w:right w:val="single" w:sz="4" w:space="0" w:color="auto"/>
            </w:tcBorders>
          </w:tcPr>
          <w:p w14:paraId="64C1DA05" w14:textId="77777777" w:rsidR="00CF04BC" w:rsidRPr="00B93493" w:rsidRDefault="00CF04BC" w:rsidP="002E7F54">
            <w:pPr>
              <w:pStyle w:val="Tabletext"/>
              <w:jc w:val="center"/>
              <w:rPr>
                <w:sz w:val="18"/>
                <w:szCs w:val="18"/>
              </w:rPr>
            </w:pPr>
            <w:r w:rsidRPr="00B93493">
              <w:rPr>
                <w:sz w:val="18"/>
                <w:szCs w:val="18"/>
              </w:rPr>
              <w:t>68</w:t>
            </w:r>
          </w:p>
        </w:tc>
        <w:tc>
          <w:tcPr>
            <w:tcW w:w="759" w:type="dxa"/>
            <w:tcBorders>
              <w:top w:val="single" w:sz="4" w:space="0" w:color="auto"/>
              <w:left w:val="single" w:sz="4" w:space="0" w:color="auto"/>
              <w:bottom w:val="single" w:sz="4" w:space="0" w:color="auto"/>
              <w:right w:val="single" w:sz="4" w:space="0" w:color="auto"/>
            </w:tcBorders>
          </w:tcPr>
          <w:p w14:paraId="7BD5D265" w14:textId="77777777" w:rsidR="00CF04BC" w:rsidRPr="00B93493" w:rsidRDefault="00CF04BC" w:rsidP="002E7F54">
            <w:pPr>
              <w:pStyle w:val="Tabletext"/>
              <w:jc w:val="center"/>
              <w:rPr>
                <w:sz w:val="18"/>
                <w:szCs w:val="18"/>
              </w:rPr>
            </w:pPr>
            <w:r w:rsidRPr="00B93493">
              <w:rPr>
                <w:sz w:val="18"/>
                <w:szCs w:val="18"/>
              </w:rPr>
              <w:t>72</w:t>
            </w:r>
          </w:p>
        </w:tc>
        <w:tc>
          <w:tcPr>
            <w:tcW w:w="871" w:type="dxa"/>
            <w:tcBorders>
              <w:top w:val="single" w:sz="4" w:space="0" w:color="auto"/>
              <w:left w:val="single" w:sz="4" w:space="0" w:color="auto"/>
              <w:bottom w:val="single" w:sz="4" w:space="0" w:color="auto"/>
              <w:right w:val="single" w:sz="4" w:space="0" w:color="auto"/>
            </w:tcBorders>
          </w:tcPr>
          <w:p w14:paraId="54F57210" w14:textId="77777777" w:rsidR="00CF04BC" w:rsidRPr="00B93493" w:rsidRDefault="00CF04BC" w:rsidP="002E7F54">
            <w:pPr>
              <w:pStyle w:val="Tabletext"/>
              <w:jc w:val="center"/>
              <w:rPr>
                <w:sz w:val="18"/>
                <w:szCs w:val="18"/>
              </w:rPr>
            </w:pPr>
            <w:r w:rsidRPr="00B93493">
              <w:rPr>
                <w:sz w:val="18"/>
                <w:szCs w:val="18"/>
              </w:rPr>
              <w:t>78</w:t>
            </w:r>
          </w:p>
        </w:tc>
      </w:tr>
      <w:tr w:rsidR="00CF04BC" w:rsidRPr="00B93493" w14:paraId="7035211E"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2CC1A822" w14:textId="77777777" w:rsidR="00CF04BC" w:rsidRPr="00B93493" w:rsidRDefault="00CF04BC" w:rsidP="002E7F54">
            <w:pPr>
              <w:pStyle w:val="Tabletext"/>
              <w:jc w:val="center"/>
              <w:rPr>
                <w:sz w:val="18"/>
                <w:szCs w:val="18"/>
              </w:rPr>
            </w:pPr>
            <w:r w:rsidRPr="00B93493">
              <w:rPr>
                <w:sz w:val="18"/>
                <w:szCs w:val="18"/>
              </w:rPr>
              <w:t>46.0</w:t>
            </w:r>
          </w:p>
        </w:tc>
        <w:tc>
          <w:tcPr>
            <w:tcW w:w="704" w:type="dxa"/>
            <w:tcBorders>
              <w:top w:val="single" w:sz="4" w:space="0" w:color="auto"/>
              <w:left w:val="single" w:sz="4" w:space="0" w:color="auto"/>
              <w:bottom w:val="single" w:sz="4" w:space="0" w:color="auto"/>
              <w:right w:val="single" w:sz="4" w:space="0" w:color="auto"/>
            </w:tcBorders>
          </w:tcPr>
          <w:p w14:paraId="1C5BE211" w14:textId="77777777" w:rsidR="00CF04BC" w:rsidRPr="00B93493" w:rsidRDefault="00CF04BC" w:rsidP="002E7F54">
            <w:pPr>
              <w:pStyle w:val="Tabletext"/>
              <w:jc w:val="center"/>
              <w:rPr>
                <w:sz w:val="18"/>
                <w:szCs w:val="18"/>
              </w:rPr>
            </w:pPr>
            <w:r w:rsidRPr="00B93493">
              <w:rPr>
                <w:sz w:val="18"/>
                <w:szCs w:val="18"/>
              </w:rPr>
              <w:t>29</w:t>
            </w:r>
          </w:p>
        </w:tc>
        <w:tc>
          <w:tcPr>
            <w:tcW w:w="760" w:type="dxa"/>
            <w:tcBorders>
              <w:top w:val="single" w:sz="4" w:space="0" w:color="auto"/>
              <w:left w:val="single" w:sz="4" w:space="0" w:color="auto"/>
              <w:bottom w:val="single" w:sz="4" w:space="0" w:color="auto"/>
              <w:right w:val="single" w:sz="4" w:space="0" w:color="auto"/>
            </w:tcBorders>
          </w:tcPr>
          <w:p w14:paraId="0BFC651E" w14:textId="77777777" w:rsidR="00CF04BC" w:rsidRPr="00B93493" w:rsidRDefault="00CF04BC" w:rsidP="002E7F54">
            <w:pPr>
              <w:pStyle w:val="Tabletext"/>
              <w:jc w:val="center"/>
              <w:rPr>
                <w:sz w:val="18"/>
                <w:szCs w:val="18"/>
              </w:rPr>
            </w:pPr>
            <w:r w:rsidRPr="00B93493">
              <w:rPr>
                <w:sz w:val="18"/>
                <w:szCs w:val="18"/>
              </w:rPr>
              <w:t>36</w:t>
            </w:r>
          </w:p>
        </w:tc>
        <w:tc>
          <w:tcPr>
            <w:tcW w:w="760" w:type="dxa"/>
            <w:tcBorders>
              <w:top w:val="single" w:sz="4" w:space="0" w:color="auto"/>
              <w:left w:val="single" w:sz="4" w:space="0" w:color="auto"/>
              <w:bottom w:val="single" w:sz="4" w:space="0" w:color="auto"/>
              <w:right w:val="single" w:sz="4" w:space="0" w:color="auto"/>
            </w:tcBorders>
          </w:tcPr>
          <w:p w14:paraId="6CBFF98D" w14:textId="77777777" w:rsidR="00CF04BC" w:rsidRPr="00B93493" w:rsidRDefault="00CF04BC" w:rsidP="002E7F54">
            <w:pPr>
              <w:pStyle w:val="Tabletext"/>
              <w:jc w:val="center"/>
              <w:rPr>
                <w:sz w:val="18"/>
                <w:szCs w:val="18"/>
              </w:rPr>
            </w:pPr>
            <w:r w:rsidRPr="00B93493">
              <w:rPr>
                <w:sz w:val="18"/>
                <w:szCs w:val="18"/>
              </w:rPr>
              <w:t>42</w:t>
            </w:r>
          </w:p>
        </w:tc>
        <w:tc>
          <w:tcPr>
            <w:tcW w:w="759" w:type="dxa"/>
            <w:tcBorders>
              <w:top w:val="single" w:sz="4" w:space="0" w:color="auto"/>
              <w:left w:val="single" w:sz="4" w:space="0" w:color="auto"/>
              <w:bottom w:val="single" w:sz="4" w:space="0" w:color="auto"/>
              <w:right w:val="single" w:sz="4" w:space="0" w:color="auto"/>
            </w:tcBorders>
          </w:tcPr>
          <w:p w14:paraId="1BD58545" w14:textId="77777777" w:rsidR="00CF04BC" w:rsidRPr="00B93493" w:rsidRDefault="00CF04BC" w:rsidP="002E7F54">
            <w:pPr>
              <w:pStyle w:val="Tabletext"/>
              <w:jc w:val="center"/>
              <w:rPr>
                <w:sz w:val="18"/>
                <w:szCs w:val="18"/>
              </w:rPr>
            </w:pPr>
            <w:r w:rsidRPr="00B93493">
              <w:rPr>
                <w:sz w:val="18"/>
                <w:szCs w:val="18"/>
              </w:rPr>
              <w:t>48</w:t>
            </w:r>
          </w:p>
        </w:tc>
        <w:tc>
          <w:tcPr>
            <w:tcW w:w="759" w:type="dxa"/>
            <w:tcBorders>
              <w:top w:val="single" w:sz="4" w:space="0" w:color="auto"/>
              <w:left w:val="single" w:sz="4" w:space="0" w:color="auto"/>
              <w:bottom w:val="single" w:sz="4" w:space="0" w:color="auto"/>
              <w:right w:val="single" w:sz="4" w:space="0" w:color="auto"/>
            </w:tcBorders>
          </w:tcPr>
          <w:p w14:paraId="69666308" w14:textId="77777777" w:rsidR="00CF04BC" w:rsidRPr="00B93493" w:rsidRDefault="00CF04BC" w:rsidP="002E7F54">
            <w:pPr>
              <w:pStyle w:val="Tabletext"/>
              <w:jc w:val="center"/>
              <w:rPr>
                <w:sz w:val="18"/>
                <w:szCs w:val="18"/>
              </w:rPr>
            </w:pPr>
            <w:r w:rsidRPr="00B93493">
              <w:rPr>
                <w:sz w:val="18"/>
                <w:szCs w:val="18"/>
              </w:rPr>
              <w:t>55</w:t>
            </w:r>
          </w:p>
        </w:tc>
        <w:tc>
          <w:tcPr>
            <w:tcW w:w="759" w:type="dxa"/>
            <w:tcBorders>
              <w:top w:val="single" w:sz="4" w:space="0" w:color="auto"/>
              <w:left w:val="single" w:sz="4" w:space="0" w:color="auto"/>
              <w:bottom w:val="single" w:sz="4" w:space="0" w:color="auto"/>
              <w:right w:val="single" w:sz="4" w:space="0" w:color="auto"/>
            </w:tcBorders>
          </w:tcPr>
          <w:p w14:paraId="17F2283D" w14:textId="77777777" w:rsidR="00CF04BC" w:rsidRPr="00B93493" w:rsidRDefault="00CF04BC" w:rsidP="002E7F54">
            <w:pPr>
              <w:pStyle w:val="Tabletext"/>
              <w:jc w:val="center"/>
              <w:rPr>
                <w:sz w:val="18"/>
                <w:szCs w:val="18"/>
              </w:rPr>
            </w:pPr>
            <w:r w:rsidRPr="00B93493">
              <w:rPr>
                <w:sz w:val="18"/>
                <w:szCs w:val="18"/>
              </w:rPr>
              <w:t>62</w:t>
            </w:r>
          </w:p>
        </w:tc>
        <w:tc>
          <w:tcPr>
            <w:tcW w:w="759" w:type="dxa"/>
            <w:tcBorders>
              <w:top w:val="single" w:sz="4" w:space="0" w:color="auto"/>
              <w:left w:val="single" w:sz="4" w:space="0" w:color="auto"/>
              <w:bottom w:val="single" w:sz="4" w:space="0" w:color="auto"/>
              <w:right w:val="single" w:sz="4" w:space="0" w:color="auto"/>
            </w:tcBorders>
          </w:tcPr>
          <w:p w14:paraId="3FFE6914" w14:textId="77777777" w:rsidR="00CF04BC" w:rsidRPr="00B93493" w:rsidRDefault="00CF04BC" w:rsidP="002E7F54">
            <w:pPr>
              <w:pStyle w:val="Tabletext"/>
              <w:jc w:val="center"/>
              <w:rPr>
                <w:sz w:val="18"/>
                <w:szCs w:val="18"/>
              </w:rPr>
            </w:pPr>
            <w:r w:rsidRPr="00B93493">
              <w:rPr>
                <w:sz w:val="18"/>
                <w:szCs w:val="18"/>
              </w:rPr>
              <w:t>67</w:t>
            </w:r>
          </w:p>
        </w:tc>
        <w:tc>
          <w:tcPr>
            <w:tcW w:w="759" w:type="dxa"/>
            <w:tcBorders>
              <w:top w:val="single" w:sz="4" w:space="0" w:color="auto"/>
              <w:left w:val="single" w:sz="4" w:space="0" w:color="auto"/>
              <w:bottom w:val="single" w:sz="4" w:space="0" w:color="auto"/>
              <w:right w:val="single" w:sz="4" w:space="0" w:color="auto"/>
            </w:tcBorders>
          </w:tcPr>
          <w:p w14:paraId="1E11F198" w14:textId="77777777" w:rsidR="00CF04BC" w:rsidRPr="00B93493" w:rsidRDefault="00CF04BC" w:rsidP="002E7F54">
            <w:pPr>
              <w:pStyle w:val="Tabletext"/>
              <w:jc w:val="center"/>
              <w:rPr>
                <w:sz w:val="18"/>
                <w:szCs w:val="18"/>
              </w:rPr>
            </w:pPr>
            <w:r w:rsidRPr="00B93493">
              <w:rPr>
                <w:sz w:val="18"/>
                <w:szCs w:val="18"/>
              </w:rPr>
              <w:t>71</w:t>
            </w:r>
          </w:p>
        </w:tc>
        <w:tc>
          <w:tcPr>
            <w:tcW w:w="759" w:type="dxa"/>
            <w:tcBorders>
              <w:top w:val="single" w:sz="4" w:space="0" w:color="auto"/>
              <w:left w:val="single" w:sz="4" w:space="0" w:color="auto"/>
              <w:bottom w:val="single" w:sz="4" w:space="0" w:color="auto"/>
              <w:right w:val="single" w:sz="4" w:space="0" w:color="auto"/>
            </w:tcBorders>
          </w:tcPr>
          <w:p w14:paraId="316E1914" w14:textId="77777777" w:rsidR="00CF04BC" w:rsidRPr="00B93493" w:rsidRDefault="00CF04BC" w:rsidP="002E7F54">
            <w:pPr>
              <w:pStyle w:val="Tabletext"/>
              <w:jc w:val="center"/>
              <w:rPr>
                <w:sz w:val="18"/>
                <w:szCs w:val="18"/>
              </w:rPr>
            </w:pPr>
            <w:r w:rsidRPr="00B93493">
              <w:rPr>
                <w:sz w:val="18"/>
                <w:szCs w:val="18"/>
              </w:rPr>
              <w:t>75</w:t>
            </w:r>
          </w:p>
        </w:tc>
        <w:tc>
          <w:tcPr>
            <w:tcW w:w="759" w:type="dxa"/>
            <w:tcBorders>
              <w:top w:val="single" w:sz="4" w:space="0" w:color="auto"/>
              <w:left w:val="single" w:sz="4" w:space="0" w:color="auto"/>
              <w:bottom w:val="single" w:sz="4" w:space="0" w:color="auto"/>
              <w:right w:val="single" w:sz="4" w:space="0" w:color="auto"/>
            </w:tcBorders>
          </w:tcPr>
          <w:p w14:paraId="67C4EB55" w14:textId="77777777" w:rsidR="00CF04BC" w:rsidRPr="00B93493" w:rsidRDefault="00CF04BC" w:rsidP="002E7F54">
            <w:pPr>
              <w:pStyle w:val="Tabletext"/>
              <w:jc w:val="center"/>
              <w:rPr>
                <w:sz w:val="18"/>
                <w:szCs w:val="18"/>
              </w:rPr>
            </w:pPr>
            <w:r w:rsidRPr="00B93493">
              <w:rPr>
                <w:sz w:val="18"/>
                <w:szCs w:val="18"/>
              </w:rPr>
              <w:t>79</w:t>
            </w:r>
          </w:p>
        </w:tc>
        <w:tc>
          <w:tcPr>
            <w:tcW w:w="871" w:type="dxa"/>
            <w:tcBorders>
              <w:top w:val="single" w:sz="4" w:space="0" w:color="auto"/>
              <w:left w:val="single" w:sz="4" w:space="0" w:color="auto"/>
              <w:bottom w:val="single" w:sz="4" w:space="0" w:color="auto"/>
              <w:right w:val="single" w:sz="4" w:space="0" w:color="auto"/>
            </w:tcBorders>
          </w:tcPr>
          <w:p w14:paraId="0884F845" w14:textId="77777777" w:rsidR="00CF04BC" w:rsidRPr="00B93493" w:rsidRDefault="00CF04BC" w:rsidP="002E7F54">
            <w:pPr>
              <w:pStyle w:val="Tabletext"/>
              <w:jc w:val="center"/>
              <w:rPr>
                <w:sz w:val="18"/>
                <w:szCs w:val="18"/>
              </w:rPr>
            </w:pPr>
            <w:r w:rsidRPr="00B93493">
              <w:rPr>
                <w:sz w:val="18"/>
                <w:szCs w:val="18"/>
              </w:rPr>
              <w:t>85</w:t>
            </w:r>
          </w:p>
        </w:tc>
      </w:tr>
      <w:tr w:rsidR="00CF04BC" w:rsidRPr="00B93493" w14:paraId="54CB4B13"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414462A0" w14:textId="77777777" w:rsidR="00CF04BC" w:rsidRPr="00B93493" w:rsidRDefault="00CF04BC" w:rsidP="002E7F54">
            <w:pPr>
              <w:pStyle w:val="Tabletext"/>
              <w:jc w:val="center"/>
              <w:rPr>
                <w:sz w:val="18"/>
                <w:szCs w:val="18"/>
              </w:rPr>
            </w:pPr>
            <w:r w:rsidRPr="00B93493">
              <w:rPr>
                <w:sz w:val="18"/>
                <w:szCs w:val="18"/>
              </w:rPr>
              <w:t>50.0</w:t>
            </w:r>
          </w:p>
        </w:tc>
        <w:tc>
          <w:tcPr>
            <w:tcW w:w="704" w:type="dxa"/>
            <w:tcBorders>
              <w:top w:val="single" w:sz="4" w:space="0" w:color="auto"/>
              <w:left w:val="single" w:sz="4" w:space="0" w:color="auto"/>
              <w:bottom w:val="single" w:sz="4" w:space="0" w:color="auto"/>
              <w:right w:val="single" w:sz="4" w:space="0" w:color="auto"/>
            </w:tcBorders>
          </w:tcPr>
          <w:p w14:paraId="77886F29" w14:textId="77777777" w:rsidR="00CF04BC" w:rsidRPr="00B93493" w:rsidRDefault="00CF04BC" w:rsidP="002E7F54">
            <w:pPr>
              <w:pStyle w:val="Tabletext"/>
              <w:jc w:val="center"/>
              <w:rPr>
                <w:sz w:val="18"/>
                <w:szCs w:val="18"/>
              </w:rPr>
            </w:pPr>
            <w:r w:rsidRPr="00B93493">
              <w:rPr>
                <w:sz w:val="18"/>
                <w:szCs w:val="18"/>
              </w:rPr>
              <w:t>36/36</w:t>
            </w:r>
          </w:p>
        </w:tc>
        <w:tc>
          <w:tcPr>
            <w:tcW w:w="760" w:type="dxa"/>
            <w:tcBorders>
              <w:top w:val="single" w:sz="4" w:space="0" w:color="auto"/>
              <w:left w:val="single" w:sz="4" w:space="0" w:color="auto"/>
              <w:bottom w:val="single" w:sz="4" w:space="0" w:color="auto"/>
              <w:right w:val="single" w:sz="4" w:space="0" w:color="auto"/>
            </w:tcBorders>
          </w:tcPr>
          <w:p w14:paraId="481D6C55" w14:textId="77777777" w:rsidR="00CF04BC" w:rsidRPr="00B93493" w:rsidRDefault="00CF04BC" w:rsidP="002E7F54">
            <w:pPr>
              <w:pStyle w:val="Tabletext"/>
              <w:jc w:val="center"/>
              <w:rPr>
                <w:sz w:val="18"/>
                <w:szCs w:val="18"/>
              </w:rPr>
            </w:pPr>
            <w:r w:rsidRPr="00B93493">
              <w:rPr>
                <w:sz w:val="18"/>
                <w:szCs w:val="18"/>
              </w:rPr>
              <w:t>43/42</w:t>
            </w:r>
          </w:p>
        </w:tc>
        <w:tc>
          <w:tcPr>
            <w:tcW w:w="760" w:type="dxa"/>
            <w:tcBorders>
              <w:top w:val="single" w:sz="4" w:space="0" w:color="auto"/>
              <w:left w:val="single" w:sz="4" w:space="0" w:color="auto"/>
              <w:bottom w:val="single" w:sz="4" w:space="0" w:color="auto"/>
              <w:right w:val="single" w:sz="4" w:space="0" w:color="auto"/>
            </w:tcBorders>
          </w:tcPr>
          <w:p w14:paraId="2BD1DD36" w14:textId="77777777" w:rsidR="00CF04BC" w:rsidRPr="00B93493" w:rsidRDefault="00CF04BC" w:rsidP="002E7F54">
            <w:pPr>
              <w:pStyle w:val="Tabletext"/>
              <w:jc w:val="center"/>
              <w:rPr>
                <w:sz w:val="18"/>
                <w:szCs w:val="18"/>
              </w:rPr>
            </w:pPr>
            <w:r w:rsidRPr="00B93493">
              <w:rPr>
                <w:sz w:val="18"/>
                <w:szCs w:val="18"/>
              </w:rPr>
              <w:t>50/49</w:t>
            </w:r>
          </w:p>
        </w:tc>
        <w:tc>
          <w:tcPr>
            <w:tcW w:w="759" w:type="dxa"/>
            <w:tcBorders>
              <w:top w:val="single" w:sz="4" w:space="0" w:color="auto"/>
              <w:left w:val="single" w:sz="4" w:space="0" w:color="auto"/>
              <w:bottom w:val="single" w:sz="4" w:space="0" w:color="auto"/>
              <w:right w:val="single" w:sz="4" w:space="0" w:color="auto"/>
            </w:tcBorders>
          </w:tcPr>
          <w:p w14:paraId="2D201C69" w14:textId="77777777" w:rsidR="00CF04BC" w:rsidRPr="00B93493" w:rsidRDefault="00CF04BC" w:rsidP="002E7F54">
            <w:pPr>
              <w:pStyle w:val="Tabletext"/>
              <w:jc w:val="center"/>
              <w:rPr>
                <w:sz w:val="18"/>
                <w:szCs w:val="18"/>
              </w:rPr>
            </w:pPr>
            <w:r w:rsidRPr="00B93493">
              <w:rPr>
                <w:sz w:val="18"/>
                <w:szCs w:val="18"/>
              </w:rPr>
              <w:t>56/54</w:t>
            </w:r>
          </w:p>
        </w:tc>
        <w:tc>
          <w:tcPr>
            <w:tcW w:w="759" w:type="dxa"/>
            <w:tcBorders>
              <w:top w:val="single" w:sz="4" w:space="0" w:color="auto"/>
              <w:left w:val="single" w:sz="4" w:space="0" w:color="auto"/>
              <w:bottom w:val="single" w:sz="4" w:space="0" w:color="auto"/>
              <w:right w:val="single" w:sz="4" w:space="0" w:color="auto"/>
            </w:tcBorders>
          </w:tcPr>
          <w:p w14:paraId="43EEC009" w14:textId="77777777" w:rsidR="00CF04BC" w:rsidRPr="00B93493" w:rsidRDefault="00CF04BC" w:rsidP="002E7F54">
            <w:pPr>
              <w:pStyle w:val="Tabletext"/>
              <w:jc w:val="center"/>
              <w:rPr>
                <w:sz w:val="18"/>
                <w:szCs w:val="18"/>
              </w:rPr>
            </w:pPr>
            <w:r w:rsidRPr="00B93493">
              <w:rPr>
                <w:sz w:val="18"/>
                <w:szCs w:val="18"/>
              </w:rPr>
              <w:t>64/63</w:t>
            </w:r>
          </w:p>
        </w:tc>
        <w:tc>
          <w:tcPr>
            <w:tcW w:w="759" w:type="dxa"/>
            <w:tcBorders>
              <w:top w:val="single" w:sz="4" w:space="0" w:color="auto"/>
              <w:left w:val="single" w:sz="4" w:space="0" w:color="auto"/>
              <w:bottom w:val="single" w:sz="4" w:space="0" w:color="auto"/>
              <w:right w:val="single" w:sz="4" w:space="0" w:color="auto"/>
            </w:tcBorders>
          </w:tcPr>
          <w:p w14:paraId="3949F595" w14:textId="77777777" w:rsidR="00CF04BC" w:rsidRPr="00B93493" w:rsidRDefault="00CF04BC" w:rsidP="002E7F54">
            <w:pPr>
              <w:pStyle w:val="Tabletext"/>
              <w:jc w:val="center"/>
              <w:rPr>
                <w:sz w:val="18"/>
                <w:szCs w:val="18"/>
              </w:rPr>
            </w:pPr>
            <w:r w:rsidRPr="00B93493">
              <w:rPr>
                <w:sz w:val="18"/>
                <w:szCs w:val="18"/>
              </w:rPr>
              <w:t>71</w:t>
            </w:r>
          </w:p>
        </w:tc>
        <w:tc>
          <w:tcPr>
            <w:tcW w:w="759" w:type="dxa"/>
            <w:tcBorders>
              <w:top w:val="single" w:sz="4" w:space="0" w:color="auto"/>
              <w:left w:val="single" w:sz="4" w:space="0" w:color="auto"/>
              <w:bottom w:val="single" w:sz="4" w:space="0" w:color="auto"/>
              <w:right w:val="single" w:sz="4" w:space="0" w:color="auto"/>
            </w:tcBorders>
          </w:tcPr>
          <w:p w14:paraId="655F2693" w14:textId="77777777" w:rsidR="00CF04BC" w:rsidRPr="00B93493" w:rsidRDefault="00CF04BC" w:rsidP="002E7F54">
            <w:pPr>
              <w:pStyle w:val="Tabletext"/>
              <w:jc w:val="center"/>
              <w:rPr>
                <w:sz w:val="18"/>
                <w:szCs w:val="18"/>
              </w:rPr>
            </w:pPr>
            <w:r w:rsidRPr="00B93493">
              <w:rPr>
                <w:sz w:val="18"/>
                <w:szCs w:val="18"/>
              </w:rPr>
              <w:t>76</w:t>
            </w:r>
          </w:p>
        </w:tc>
        <w:tc>
          <w:tcPr>
            <w:tcW w:w="759" w:type="dxa"/>
            <w:tcBorders>
              <w:top w:val="single" w:sz="4" w:space="0" w:color="auto"/>
              <w:left w:val="single" w:sz="4" w:space="0" w:color="auto"/>
              <w:bottom w:val="single" w:sz="4" w:space="0" w:color="auto"/>
              <w:right w:val="single" w:sz="4" w:space="0" w:color="auto"/>
            </w:tcBorders>
          </w:tcPr>
          <w:p w14:paraId="0E57C041" w14:textId="77777777" w:rsidR="00CF04BC" w:rsidRPr="00B93493" w:rsidRDefault="00CF04BC" w:rsidP="002E7F54">
            <w:pPr>
              <w:pStyle w:val="Tabletext"/>
              <w:jc w:val="center"/>
              <w:rPr>
                <w:sz w:val="18"/>
                <w:szCs w:val="18"/>
              </w:rPr>
            </w:pPr>
            <w:r w:rsidRPr="00B93493">
              <w:rPr>
                <w:sz w:val="18"/>
                <w:szCs w:val="18"/>
              </w:rPr>
              <w:t>80</w:t>
            </w:r>
          </w:p>
        </w:tc>
        <w:tc>
          <w:tcPr>
            <w:tcW w:w="759" w:type="dxa"/>
            <w:tcBorders>
              <w:top w:val="single" w:sz="4" w:space="0" w:color="auto"/>
              <w:left w:val="single" w:sz="4" w:space="0" w:color="auto"/>
              <w:bottom w:val="single" w:sz="4" w:space="0" w:color="auto"/>
              <w:right w:val="single" w:sz="4" w:space="0" w:color="auto"/>
            </w:tcBorders>
          </w:tcPr>
          <w:p w14:paraId="577731D6" w14:textId="77777777" w:rsidR="00CF04BC" w:rsidRPr="00B93493" w:rsidRDefault="00CF04BC" w:rsidP="002E7F54">
            <w:pPr>
              <w:pStyle w:val="Tabletext"/>
              <w:jc w:val="center"/>
              <w:rPr>
                <w:sz w:val="18"/>
                <w:szCs w:val="18"/>
              </w:rPr>
            </w:pPr>
            <w:r w:rsidRPr="00B93493">
              <w:rPr>
                <w:sz w:val="18"/>
                <w:szCs w:val="18"/>
              </w:rPr>
              <w:t>85</w:t>
            </w:r>
          </w:p>
        </w:tc>
        <w:tc>
          <w:tcPr>
            <w:tcW w:w="759" w:type="dxa"/>
            <w:tcBorders>
              <w:top w:val="single" w:sz="4" w:space="0" w:color="auto"/>
              <w:left w:val="single" w:sz="4" w:space="0" w:color="auto"/>
              <w:bottom w:val="single" w:sz="4" w:space="0" w:color="auto"/>
              <w:right w:val="single" w:sz="4" w:space="0" w:color="auto"/>
            </w:tcBorders>
          </w:tcPr>
          <w:p w14:paraId="12BFCFBD" w14:textId="77777777" w:rsidR="00CF04BC" w:rsidRPr="00B93493" w:rsidRDefault="00CF04BC" w:rsidP="002E7F54">
            <w:pPr>
              <w:pStyle w:val="Tabletext"/>
              <w:jc w:val="center"/>
              <w:rPr>
                <w:sz w:val="18"/>
                <w:szCs w:val="18"/>
              </w:rPr>
            </w:pPr>
            <w:r w:rsidRPr="00B93493">
              <w:rPr>
                <w:sz w:val="18"/>
                <w:szCs w:val="18"/>
              </w:rPr>
              <w:t>89</w:t>
            </w:r>
          </w:p>
        </w:tc>
        <w:tc>
          <w:tcPr>
            <w:tcW w:w="871" w:type="dxa"/>
            <w:tcBorders>
              <w:top w:val="single" w:sz="4" w:space="0" w:color="auto"/>
              <w:left w:val="single" w:sz="4" w:space="0" w:color="auto"/>
              <w:bottom w:val="single" w:sz="4" w:space="0" w:color="auto"/>
              <w:right w:val="single" w:sz="4" w:space="0" w:color="auto"/>
            </w:tcBorders>
          </w:tcPr>
          <w:p w14:paraId="639135D6" w14:textId="77777777" w:rsidR="00CF04BC" w:rsidRPr="00B93493" w:rsidRDefault="00CF04BC" w:rsidP="002E7F54">
            <w:pPr>
              <w:pStyle w:val="Tabletext"/>
              <w:jc w:val="center"/>
              <w:rPr>
                <w:sz w:val="18"/>
                <w:szCs w:val="18"/>
              </w:rPr>
            </w:pPr>
            <w:r w:rsidRPr="00B93493">
              <w:rPr>
                <w:sz w:val="18"/>
                <w:szCs w:val="18"/>
              </w:rPr>
              <w:t>95</w:t>
            </w:r>
          </w:p>
        </w:tc>
      </w:tr>
      <w:tr w:rsidR="00CF04BC" w:rsidRPr="00B93493" w14:paraId="7DDF80B8"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160C0D2B" w14:textId="77777777" w:rsidR="00CF04BC" w:rsidRPr="00B93493" w:rsidRDefault="00CF04BC" w:rsidP="002E7F54">
            <w:pPr>
              <w:pStyle w:val="Tabletext"/>
              <w:jc w:val="center"/>
              <w:rPr>
                <w:sz w:val="18"/>
                <w:szCs w:val="18"/>
              </w:rPr>
            </w:pPr>
            <w:r w:rsidRPr="00B93493">
              <w:rPr>
                <w:sz w:val="18"/>
                <w:szCs w:val="18"/>
              </w:rPr>
              <w:t>55.0</w:t>
            </w:r>
          </w:p>
        </w:tc>
        <w:tc>
          <w:tcPr>
            <w:tcW w:w="704" w:type="dxa"/>
            <w:tcBorders>
              <w:top w:val="single" w:sz="4" w:space="0" w:color="auto"/>
              <w:left w:val="single" w:sz="4" w:space="0" w:color="auto"/>
              <w:bottom w:val="single" w:sz="4" w:space="0" w:color="auto"/>
              <w:right w:val="single" w:sz="4" w:space="0" w:color="auto"/>
            </w:tcBorders>
          </w:tcPr>
          <w:p w14:paraId="6761E85C" w14:textId="77777777" w:rsidR="00CF04BC" w:rsidRPr="00B93493" w:rsidRDefault="00CF04BC" w:rsidP="002E7F54">
            <w:pPr>
              <w:pStyle w:val="Tabletext"/>
              <w:jc w:val="center"/>
              <w:rPr>
                <w:sz w:val="18"/>
                <w:szCs w:val="18"/>
              </w:rPr>
            </w:pPr>
            <w:r w:rsidRPr="00B93493">
              <w:rPr>
                <w:sz w:val="18"/>
                <w:szCs w:val="18"/>
              </w:rPr>
              <w:t>50/36</w:t>
            </w:r>
          </w:p>
        </w:tc>
        <w:tc>
          <w:tcPr>
            <w:tcW w:w="760" w:type="dxa"/>
            <w:tcBorders>
              <w:top w:val="single" w:sz="4" w:space="0" w:color="auto"/>
              <w:left w:val="single" w:sz="4" w:space="0" w:color="auto"/>
              <w:bottom w:val="single" w:sz="4" w:space="0" w:color="auto"/>
              <w:right w:val="single" w:sz="4" w:space="0" w:color="auto"/>
            </w:tcBorders>
          </w:tcPr>
          <w:p w14:paraId="321C050A" w14:textId="77777777" w:rsidR="00CF04BC" w:rsidRPr="00B93493" w:rsidRDefault="00CF04BC" w:rsidP="002E7F54">
            <w:pPr>
              <w:pStyle w:val="Tabletext"/>
              <w:jc w:val="center"/>
              <w:rPr>
                <w:sz w:val="18"/>
                <w:szCs w:val="18"/>
              </w:rPr>
            </w:pPr>
            <w:r w:rsidRPr="00B93493">
              <w:rPr>
                <w:sz w:val="18"/>
                <w:szCs w:val="18"/>
              </w:rPr>
              <w:t>54/42</w:t>
            </w:r>
          </w:p>
        </w:tc>
        <w:tc>
          <w:tcPr>
            <w:tcW w:w="760" w:type="dxa"/>
            <w:tcBorders>
              <w:top w:val="single" w:sz="4" w:space="0" w:color="auto"/>
              <w:left w:val="single" w:sz="4" w:space="0" w:color="auto"/>
              <w:bottom w:val="single" w:sz="4" w:space="0" w:color="auto"/>
              <w:right w:val="single" w:sz="4" w:space="0" w:color="auto"/>
            </w:tcBorders>
          </w:tcPr>
          <w:p w14:paraId="77FA0E85" w14:textId="77777777" w:rsidR="00CF04BC" w:rsidRPr="00B93493" w:rsidRDefault="00CF04BC" w:rsidP="002E7F54">
            <w:pPr>
              <w:pStyle w:val="Tabletext"/>
              <w:jc w:val="center"/>
              <w:rPr>
                <w:sz w:val="18"/>
                <w:szCs w:val="18"/>
              </w:rPr>
            </w:pPr>
            <w:r w:rsidRPr="00B93493">
              <w:rPr>
                <w:sz w:val="18"/>
                <w:szCs w:val="18"/>
              </w:rPr>
              <w:t>62/49</w:t>
            </w:r>
          </w:p>
        </w:tc>
        <w:tc>
          <w:tcPr>
            <w:tcW w:w="759" w:type="dxa"/>
            <w:tcBorders>
              <w:top w:val="single" w:sz="4" w:space="0" w:color="auto"/>
              <w:left w:val="single" w:sz="4" w:space="0" w:color="auto"/>
              <w:bottom w:val="single" w:sz="4" w:space="0" w:color="auto"/>
              <w:right w:val="single" w:sz="4" w:space="0" w:color="auto"/>
            </w:tcBorders>
          </w:tcPr>
          <w:p w14:paraId="4F0C05DE" w14:textId="77777777" w:rsidR="00CF04BC" w:rsidRPr="00B93493" w:rsidRDefault="00CF04BC" w:rsidP="002E7F54">
            <w:pPr>
              <w:pStyle w:val="Tabletext"/>
              <w:jc w:val="center"/>
              <w:rPr>
                <w:sz w:val="18"/>
                <w:szCs w:val="18"/>
              </w:rPr>
            </w:pPr>
            <w:r w:rsidRPr="00B93493">
              <w:rPr>
                <w:sz w:val="18"/>
                <w:szCs w:val="18"/>
              </w:rPr>
              <w:t>68/54</w:t>
            </w:r>
          </w:p>
        </w:tc>
        <w:tc>
          <w:tcPr>
            <w:tcW w:w="759" w:type="dxa"/>
            <w:tcBorders>
              <w:top w:val="single" w:sz="4" w:space="0" w:color="auto"/>
              <w:left w:val="single" w:sz="4" w:space="0" w:color="auto"/>
              <w:bottom w:val="single" w:sz="4" w:space="0" w:color="auto"/>
              <w:right w:val="single" w:sz="4" w:space="0" w:color="auto"/>
            </w:tcBorders>
          </w:tcPr>
          <w:p w14:paraId="1B49F1BD" w14:textId="77777777" w:rsidR="00CF04BC" w:rsidRPr="00B93493" w:rsidRDefault="00CF04BC" w:rsidP="002E7F54">
            <w:pPr>
              <w:pStyle w:val="Tabletext"/>
              <w:jc w:val="center"/>
              <w:rPr>
                <w:sz w:val="18"/>
                <w:szCs w:val="18"/>
              </w:rPr>
            </w:pPr>
            <w:r w:rsidRPr="00B93493">
              <w:rPr>
                <w:sz w:val="18"/>
                <w:szCs w:val="18"/>
              </w:rPr>
              <w:t>76/63</w:t>
            </w:r>
          </w:p>
        </w:tc>
        <w:tc>
          <w:tcPr>
            <w:tcW w:w="759" w:type="dxa"/>
            <w:tcBorders>
              <w:top w:val="single" w:sz="4" w:space="0" w:color="auto"/>
              <w:left w:val="single" w:sz="4" w:space="0" w:color="auto"/>
              <w:bottom w:val="single" w:sz="4" w:space="0" w:color="auto"/>
              <w:right w:val="single" w:sz="4" w:space="0" w:color="auto"/>
            </w:tcBorders>
          </w:tcPr>
          <w:p w14:paraId="7ECB9C33" w14:textId="77777777" w:rsidR="00CF04BC" w:rsidRPr="00B93493" w:rsidRDefault="00CF04BC" w:rsidP="002E7F54">
            <w:pPr>
              <w:pStyle w:val="Tabletext"/>
              <w:jc w:val="center"/>
              <w:rPr>
                <w:sz w:val="18"/>
                <w:szCs w:val="18"/>
              </w:rPr>
            </w:pPr>
            <w:r w:rsidRPr="00B93493">
              <w:rPr>
                <w:sz w:val="18"/>
                <w:szCs w:val="18"/>
              </w:rPr>
              <w:t>83/71</w:t>
            </w:r>
          </w:p>
        </w:tc>
        <w:tc>
          <w:tcPr>
            <w:tcW w:w="759" w:type="dxa"/>
            <w:tcBorders>
              <w:top w:val="single" w:sz="4" w:space="0" w:color="auto"/>
              <w:left w:val="single" w:sz="4" w:space="0" w:color="auto"/>
              <w:bottom w:val="single" w:sz="4" w:space="0" w:color="auto"/>
              <w:right w:val="single" w:sz="4" w:space="0" w:color="auto"/>
            </w:tcBorders>
          </w:tcPr>
          <w:p w14:paraId="643447BD" w14:textId="77777777" w:rsidR="00CF04BC" w:rsidRPr="00B93493" w:rsidRDefault="00CF04BC" w:rsidP="002E7F54">
            <w:pPr>
              <w:pStyle w:val="Tabletext"/>
              <w:jc w:val="center"/>
              <w:rPr>
                <w:sz w:val="18"/>
                <w:szCs w:val="18"/>
              </w:rPr>
            </w:pPr>
            <w:r w:rsidRPr="00B93493">
              <w:rPr>
                <w:sz w:val="18"/>
                <w:szCs w:val="18"/>
              </w:rPr>
              <w:t>88/78</w:t>
            </w:r>
          </w:p>
        </w:tc>
        <w:tc>
          <w:tcPr>
            <w:tcW w:w="759" w:type="dxa"/>
            <w:tcBorders>
              <w:top w:val="single" w:sz="4" w:space="0" w:color="auto"/>
              <w:left w:val="single" w:sz="4" w:space="0" w:color="auto"/>
              <w:bottom w:val="single" w:sz="4" w:space="0" w:color="auto"/>
              <w:right w:val="single" w:sz="4" w:space="0" w:color="auto"/>
            </w:tcBorders>
          </w:tcPr>
          <w:p w14:paraId="44B0F733" w14:textId="77777777" w:rsidR="00CF04BC" w:rsidRPr="00B93493" w:rsidRDefault="00CF04BC" w:rsidP="002E7F54">
            <w:pPr>
              <w:pStyle w:val="Tabletext"/>
              <w:jc w:val="center"/>
              <w:rPr>
                <w:sz w:val="18"/>
                <w:szCs w:val="18"/>
              </w:rPr>
            </w:pPr>
            <w:r w:rsidRPr="00B93493">
              <w:rPr>
                <w:sz w:val="18"/>
                <w:szCs w:val="18"/>
              </w:rPr>
              <w:t>93/84</w:t>
            </w:r>
          </w:p>
        </w:tc>
        <w:tc>
          <w:tcPr>
            <w:tcW w:w="759" w:type="dxa"/>
            <w:tcBorders>
              <w:top w:val="single" w:sz="4" w:space="0" w:color="auto"/>
              <w:left w:val="single" w:sz="4" w:space="0" w:color="auto"/>
              <w:bottom w:val="single" w:sz="4" w:space="0" w:color="auto"/>
              <w:right w:val="single" w:sz="4" w:space="0" w:color="auto"/>
            </w:tcBorders>
          </w:tcPr>
          <w:p w14:paraId="54083BB0" w14:textId="77777777" w:rsidR="00CF04BC" w:rsidRPr="00B93493" w:rsidRDefault="00CF04BC" w:rsidP="002E7F54">
            <w:pPr>
              <w:pStyle w:val="Tabletext"/>
              <w:jc w:val="center"/>
              <w:rPr>
                <w:sz w:val="18"/>
                <w:szCs w:val="18"/>
              </w:rPr>
            </w:pPr>
            <w:r w:rsidRPr="00B93493">
              <w:rPr>
                <w:sz w:val="18"/>
                <w:szCs w:val="18"/>
              </w:rPr>
              <w:t>97/90</w:t>
            </w:r>
          </w:p>
        </w:tc>
        <w:tc>
          <w:tcPr>
            <w:tcW w:w="759" w:type="dxa"/>
            <w:tcBorders>
              <w:top w:val="single" w:sz="4" w:space="0" w:color="auto"/>
              <w:left w:val="single" w:sz="4" w:space="0" w:color="auto"/>
              <w:bottom w:val="single" w:sz="4" w:space="0" w:color="auto"/>
              <w:right w:val="single" w:sz="4" w:space="0" w:color="auto"/>
            </w:tcBorders>
          </w:tcPr>
          <w:p w14:paraId="5AE6B8CF" w14:textId="77777777" w:rsidR="00CF04BC" w:rsidRPr="00B93493" w:rsidRDefault="00CF04BC" w:rsidP="002E7F54">
            <w:pPr>
              <w:pStyle w:val="Tabletext"/>
              <w:jc w:val="center"/>
              <w:rPr>
                <w:sz w:val="18"/>
                <w:szCs w:val="18"/>
              </w:rPr>
            </w:pPr>
            <w:r w:rsidRPr="00B93493">
              <w:rPr>
                <w:sz w:val="18"/>
                <w:szCs w:val="18"/>
              </w:rPr>
              <w:t>102/95</w:t>
            </w:r>
          </w:p>
        </w:tc>
        <w:tc>
          <w:tcPr>
            <w:tcW w:w="871" w:type="dxa"/>
            <w:tcBorders>
              <w:top w:val="single" w:sz="4" w:space="0" w:color="auto"/>
              <w:left w:val="single" w:sz="4" w:space="0" w:color="auto"/>
              <w:bottom w:val="single" w:sz="4" w:space="0" w:color="auto"/>
              <w:right w:val="single" w:sz="4" w:space="0" w:color="auto"/>
            </w:tcBorders>
          </w:tcPr>
          <w:p w14:paraId="604CD04A" w14:textId="77777777" w:rsidR="00CF04BC" w:rsidRPr="00B93493" w:rsidRDefault="00CF04BC" w:rsidP="002E7F54">
            <w:pPr>
              <w:pStyle w:val="Tabletext"/>
              <w:jc w:val="center"/>
              <w:rPr>
                <w:sz w:val="18"/>
                <w:szCs w:val="18"/>
              </w:rPr>
            </w:pPr>
            <w:r w:rsidRPr="00B93493">
              <w:rPr>
                <w:sz w:val="18"/>
                <w:szCs w:val="18"/>
              </w:rPr>
              <w:t>109/105</w:t>
            </w:r>
          </w:p>
        </w:tc>
      </w:tr>
      <w:tr w:rsidR="00CF04BC" w:rsidRPr="00B93493" w14:paraId="5A14A158" w14:textId="77777777" w:rsidTr="00F63AE2">
        <w:trPr>
          <w:jc w:val="center"/>
        </w:trPr>
        <w:tc>
          <w:tcPr>
            <w:tcW w:w="1236" w:type="dxa"/>
            <w:tcBorders>
              <w:top w:val="single" w:sz="4" w:space="0" w:color="auto"/>
              <w:left w:val="single" w:sz="4" w:space="0" w:color="auto"/>
              <w:bottom w:val="single" w:sz="4" w:space="0" w:color="auto"/>
              <w:right w:val="single" w:sz="4" w:space="0" w:color="auto"/>
            </w:tcBorders>
          </w:tcPr>
          <w:p w14:paraId="025A0AE2" w14:textId="77777777" w:rsidR="00CF04BC" w:rsidRPr="00B93493" w:rsidRDefault="00CF04BC" w:rsidP="002E7F54">
            <w:pPr>
              <w:pStyle w:val="Tabletext"/>
              <w:jc w:val="center"/>
              <w:rPr>
                <w:sz w:val="18"/>
                <w:szCs w:val="18"/>
              </w:rPr>
            </w:pPr>
            <w:r w:rsidRPr="00B93493">
              <w:rPr>
                <w:sz w:val="18"/>
                <w:szCs w:val="18"/>
              </w:rPr>
              <w:t>60.0</w:t>
            </w:r>
          </w:p>
        </w:tc>
        <w:tc>
          <w:tcPr>
            <w:tcW w:w="704" w:type="dxa"/>
            <w:tcBorders>
              <w:top w:val="single" w:sz="4" w:space="0" w:color="auto"/>
              <w:left w:val="single" w:sz="4" w:space="0" w:color="auto"/>
              <w:bottom w:val="single" w:sz="4" w:space="0" w:color="auto"/>
              <w:right w:val="single" w:sz="4" w:space="0" w:color="auto"/>
            </w:tcBorders>
          </w:tcPr>
          <w:p w14:paraId="53603347" w14:textId="77777777" w:rsidR="00CF04BC" w:rsidRPr="00B93493" w:rsidRDefault="00CF04BC" w:rsidP="002E7F54">
            <w:pPr>
              <w:pStyle w:val="Tabletext"/>
              <w:jc w:val="center"/>
              <w:rPr>
                <w:sz w:val="18"/>
                <w:szCs w:val="18"/>
              </w:rPr>
            </w:pPr>
            <w:r w:rsidRPr="00B93493">
              <w:rPr>
                <w:sz w:val="18"/>
                <w:szCs w:val="18"/>
              </w:rPr>
              <w:t>57/36</w:t>
            </w:r>
          </w:p>
        </w:tc>
        <w:tc>
          <w:tcPr>
            <w:tcW w:w="760" w:type="dxa"/>
            <w:tcBorders>
              <w:top w:val="single" w:sz="4" w:space="0" w:color="auto"/>
              <w:left w:val="single" w:sz="4" w:space="0" w:color="auto"/>
              <w:bottom w:val="single" w:sz="4" w:space="0" w:color="auto"/>
              <w:right w:val="single" w:sz="4" w:space="0" w:color="auto"/>
            </w:tcBorders>
          </w:tcPr>
          <w:p w14:paraId="2C9C06F5" w14:textId="77777777" w:rsidR="00CF04BC" w:rsidRPr="00B93493" w:rsidRDefault="00CF04BC" w:rsidP="002E7F54">
            <w:pPr>
              <w:pStyle w:val="Tabletext"/>
              <w:jc w:val="center"/>
              <w:rPr>
                <w:sz w:val="18"/>
                <w:szCs w:val="18"/>
              </w:rPr>
            </w:pPr>
            <w:r w:rsidRPr="00B93493">
              <w:rPr>
                <w:sz w:val="18"/>
                <w:szCs w:val="18"/>
              </w:rPr>
              <w:t>67/42</w:t>
            </w:r>
          </w:p>
        </w:tc>
        <w:tc>
          <w:tcPr>
            <w:tcW w:w="760" w:type="dxa"/>
            <w:tcBorders>
              <w:top w:val="single" w:sz="4" w:space="0" w:color="auto"/>
              <w:left w:val="single" w:sz="4" w:space="0" w:color="auto"/>
              <w:bottom w:val="single" w:sz="4" w:space="0" w:color="auto"/>
              <w:right w:val="single" w:sz="4" w:space="0" w:color="auto"/>
            </w:tcBorders>
          </w:tcPr>
          <w:p w14:paraId="78C3BF84" w14:textId="77777777" w:rsidR="00CF04BC" w:rsidRPr="00B93493" w:rsidRDefault="00CF04BC" w:rsidP="002E7F54">
            <w:pPr>
              <w:pStyle w:val="Tabletext"/>
              <w:jc w:val="center"/>
              <w:rPr>
                <w:sz w:val="18"/>
                <w:szCs w:val="18"/>
              </w:rPr>
            </w:pPr>
            <w:r w:rsidRPr="00B93493">
              <w:rPr>
                <w:sz w:val="18"/>
                <w:szCs w:val="18"/>
              </w:rPr>
              <w:t>75/49</w:t>
            </w:r>
          </w:p>
        </w:tc>
        <w:tc>
          <w:tcPr>
            <w:tcW w:w="759" w:type="dxa"/>
            <w:tcBorders>
              <w:top w:val="single" w:sz="4" w:space="0" w:color="auto"/>
              <w:left w:val="single" w:sz="4" w:space="0" w:color="auto"/>
              <w:bottom w:val="single" w:sz="4" w:space="0" w:color="auto"/>
              <w:right w:val="single" w:sz="4" w:space="0" w:color="auto"/>
            </w:tcBorders>
          </w:tcPr>
          <w:p w14:paraId="089714FB" w14:textId="77777777" w:rsidR="00CF04BC" w:rsidRPr="00B93493" w:rsidRDefault="00CF04BC" w:rsidP="002E7F54">
            <w:pPr>
              <w:pStyle w:val="Tabletext"/>
              <w:jc w:val="center"/>
              <w:rPr>
                <w:sz w:val="18"/>
                <w:szCs w:val="18"/>
              </w:rPr>
            </w:pPr>
            <w:r w:rsidRPr="00B93493">
              <w:rPr>
                <w:sz w:val="18"/>
                <w:szCs w:val="18"/>
              </w:rPr>
              <w:t>81/54</w:t>
            </w:r>
          </w:p>
        </w:tc>
        <w:tc>
          <w:tcPr>
            <w:tcW w:w="759" w:type="dxa"/>
            <w:tcBorders>
              <w:top w:val="single" w:sz="4" w:space="0" w:color="auto"/>
              <w:left w:val="single" w:sz="4" w:space="0" w:color="auto"/>
              <w:bottom w:val="single" w:sz="4" w:space="0" w:color="auto"/>
              <w:right w:val="single" w:sz="4" w:space="0" w:color="auto"/>
            </w:tcBorders>
          </w:tcPr>
          <w:p w14:paraId="270C958F" w14:textId="77777777" w:rsidR="00CF04BC" w:rsidRPr="00B93493" w:rsidRDefault="00CF04BC" w:rsidP="002E7F54">
            <w:pPr>
              <w:pStyle w:val="Tabletext"/>
              <w:jc w:val="center"/>
              <w:rPr>
                <w:sz w:val="18"/>
                <w:szCs w:val="18"/>
              </w:rPr>
            </w:pPr>
            <w:r w:rsidRPr="00B93493">
              <w:rPr>
                <w:sz w:val="18"/>
                <w:szCs w:val="18"/>
              </w:rPr>
              <w:t>90/63</w:t>
            </w:r>
          </w:p>
        </w:tc>
        <w:tc>
          <w:tcPr>
            <w:tcW w:w="759" w:type="dxa"/>
            <w:tcBorders>
              <w:top w:val="single" w:sz="4" w:space="0" w:color="auto"/>
              <w:left w:val="single" w:sz="4" w:space="0" w:color="auto"/>
              <w:bottom w:val="single" w:sz="4" w:space="0" w:color="auto"/>
              <w:right w:val="single" w:sz="4" w:space="0" w:color="auto"/>
            </w:tcBorders>
          </w:tcPr>
          <w:p w14:paraId="28D26784" w14:textId="77777777" w:rsidR="00CF04BC" w:rsidRPr="00B93493" w:rsidRDefault="00CF04BC" w:rsidP="002E7F54">
            <w:pPr>
              <w:pStyle w:val="Tabletext"/>
              <w:jc w:val="center"/>
              <w:rPr>
                <w:sz w:val="18"/>
                <w:szCs w:val="18"/>
              </w:rPr>
            </w:pPr>
            <w:r w:rsidRPr="00B93493">
              <w:rPr>
                <w:sz w:val="18"/>
                <w:szCs w:val="18"/>
              </w:rPr>
              <w:t>97/71</w:t>
            </w:r>
          </w:p>
        </w:tc>
        <w:tc>
          <w:tcPr>
            <w:tcW w:w="759" w:type="dxa"/>
            <w:tcBorders>
              <w:top w:val="single" w:sz="4" w:space="0" w:color="auto"/>
              <w:left w:val="single" w:sz="4" w:space="0" w:color="auto"/>
              <w:bottom w:val="single" w:sz="4" w:space="0" w:color="auto"/>
              <w:right w:val="single" w:sz="4" w:space="0" w:color="auto"/>
            </w:tcBorders>
          </w:tcPr>
          <w:p w14:paraId="2ADA0141" w14:textId="77777777" w:rsidR="00CF04BC" w:rsidRPr="00B93493" w:rsidRDefault="00CF04BC" w:rsidP="002E7F54">
            <w:pPr>
              <w:pStyle w:val="Tabletext"/>
              <w:jc w:val="center"/>
              <w:rPr>
                <w:sz w:val="18"/>
                <w:szCs w:val="18"/>
              </w:rPr>
            </w:pPr>
            <w:r w:rsidRPr="00B93493">
              <w:rPr>
                <w:sz w:val="18"/>
                <w:szCs w:val="18"/>
              </w:rPr>
              <w:t>103/78</w:t>
            </w:r>
          </w:p>
        </w:tc>
        <w:tc>
          <w:tcPr>
            <w:tcW w:w="759" w:type="dxa"/>
            <w:tcBorders>
              <w:top w:val="single" w:sz="4" w:space="0" w:color="auto"/>
              <w:left w:val="single" w:sz="4" w:space="0" w:color="auto"/>
              <w:bottom w:val="single" w:sz="4" w:space="0" w:color="auto"/>
              <w:right w:val="single" w:sz="4" w:space="0" w:color="auto"/>
            </w:tcBorders>
          </w:tcPr>
          <w:p w14:paraId="086EED56" w14:textId="77777777" w:rsidR="00CF04BC" w:rsidRPr="00B93493" w:rsidRDefault="00CF04BC" w:rsidP="002E7F54">
            <w:pPr>
              <w:pStyle w:val="Tabletext"/>
              <w:jc w:val="center"/>
              <w:rPr>
                <w:sz w:val="18"/>
                <w:szCs w:val="18"/>
              </w:rPr>
            </w:pPr>
            <w:r w:rsidRPr="00B93493">
              <w:rPr>
                <w:sz w:val="18"/>
                <w:szCs w:val="18"/>
              </w:rPr>
              <w:t>107/84</w:t>
            </w:r>
          </w:p>
        </w:tc>
        <w:tc>
          <w:tcPr>
            <w:tcW w:w="759" w:type="dxa"/>
            <w:tcBorders>
              <w:top w:val="single" w:sz="4" w:space="0" w:color="auto"/>
              <w:left w:val="single" w:sz="4" w:space="0" w:color="auto"/>
              <w:bottom w:val="single" w:sz="4" w:space="0" w:color="auto"/>
              <w:right w:val="single" w:sz="4" w:space="0" w:color="auto"/>
            </w:tcBorders>
          </w:tcPr>
          <w:p w14:paraId="2293C41A" w14:textId="77777777" w:rsidR="00CF04BC" w:rsidRPr="00B93493" w:rsidRDefault="00CF04BC" w:rsidP="002E7F54">
            <w:pPr>
              <w:pStyle w:val="Tabletext"/>
              <w:jc w:val="center"/>
              <w:rPr>
                <w:sz w:val="18"/>
                <w:szCs w:val="18"/>
              </w:rPr>
            </w:pPr>
            <w:r w:rsidRPr="00B93493">
              <w:rPr>
                <w:sz w:val="18"/>
                <w:szCs w:val="18"/>
              </w:rPr>
              <w:t>113/90</w:t>
            </w:r>
          </w:p>
        </w:tc>
        <w:tc>
          <w:tcPr>
            <w:tcW w:w="759" w:type="dxa"/>
            <w:tcBorders>
              <w:top w:val="single" w:sz="4" w:space="0" w:color="auto"/>
              <w:left w:val="single" w:sz="4" w:space="0" w:color="auto"/>
              <w:bottom w:val="single" w:sz="4" w:space="0" w:color="auto"/>
              <w:right w:val="single" w:sz="4" w:space="0" w:color="auto"/>
            </w:tcBorders>
          </w:tcPr>
          <w:p w14:paraId="19D6D457" w14:textId="77777777" w:rsidR="00CF04BC" w:rsidRPr="00B93493" w:rsidRDefault="00CF04BC" w:rsidP="002E7F54">
            <w:pPr>
              <w:pStyle w:val="Tabletext"/>
              <w:jc w:val="center"/>
              <w:rPr>
                <w:sz w:val="18"/>
                <w:szCs w:val="18"/>
              </w:rPr>
            </w:pPr>
            <w:r w:rsidRPr="00B93493">
              <w:rPr>
                <w:sz w:val="18"/>
                <w:szCs w:val="18"/>
              </w:rPr>
              <w:t>117/95</w:t>
            </w:r>
          </w:p>
        </w:tc>
        <w:tc>
          <w:tcPr>
            <w:tcW w:w="871" w:type="dxa"/>
            <w:tcBorders>
              <w:top w:val="single" w:sz="4" w:space="0" w:color="auto"/>
              <w:left w:val="single" w:sz="4" w:space="0" w:color="auto"/>
              <w:bottom w:val="single" w:sz="4" w:space="0" w:color="auto"/>
              <w:right w:val="single" w:sz="4" w:space="0" w:color="auto"/>
            </w:tcBorders>
          </w:tcPr>
          <w:p w14:paraId="619CDE9A" w14:textId="77777777" w:rsidR="00CF04BC" w:rsidRPr="00B93493" w:rsidRDefault="00CF04BC" w:rsidP="002E7F54">
            <w:pPr>
              <w:pStyle w:val="Tabletext"/>
              <w:jc w:val="center"/>
              <w:rPr>
                <w:sz w:val="18"/>
                <w:szCs w:val="18"/>
              </w:rPr>
            </w:pPr>
            <w:r w:rsidRPr="00B93493">
              <w:rPr>
                <w:sz w:val="18"/>
                <w:szCs w:val="18"/>
              </w:rPr>
              <w:t>125/105</w:t>
            </w:r>
          </w:p>
        </w:tc>
      </w:tr>
    </w:tbl>
    <w:p w14:paraId="647EA048" w14:textId="77777777" w:rsidR="00CF04BC" w:rsidRPr="00B93493" w:rsidRDefault="00CF04BC" w:rsidP="00CF04BC">
      <w:pPr>
        <w:pStyle w:val="Tablefin"/>
      </w:pPr>
    </w:p>
    <w:p w14:paraId="68D7D8E6" w14:textId="77777777" w:rsidR="00CF04BC" w:rsidRPr="00B93493" w:rsidRDefault="00CF04BC" w:rsidP="00CF04BC">
      <w:pPr>
        <w:pStyle w:val="TableNo"/>
        <w:rPr>
          <w:lang w:eastAsia="zh-CN"/>
        </w:rPr>
      </w:pPr>
      <w:r w:rsidRPr="00B93493">
        <w:t xml:space="preserve">TABLE </w:t>
      </w:r>
      <w:r>
        <w:rPr>
          <w:rFonts w:hint="eastAsia"/>
          <w:lang w:eastAsia="zh-CN"/>
        </w:rPr>
        <w:t>8</w:t>
      </w:r>
    </w:p>
    <w:p w14:paraId="3BA8DB3A" w14:textId="54CAE02C" w:rsidR="00CF04BC" w:rsidRPr="00B93493" w:rsidRDefault="00CF04BC" w:rsidP="00CF04BC">
      <w:pPr>
        <w:pStyle w:val="Tabletitle"/>
      </w:pPr>
      <w:r w:rsidRPr="00B93493">
        <w:t>Radius of service area (km) for TV in 230-528 MHz,</w:t>
      </w:r>
      <w:r w:rsidRPr="00B93493">
        <w:br/>
      </w:r>
      <w:r w:rsidRPr="00B93493">
        <w:rPr>
          <w:i/>
          <w:iCs/>
        </w:rPr>
        <w:t>E</w:t>
      </w:r>
      <w:r w:rsidRPr="00B93493">
        <w:rPr>
          <w:i/>
          <w:iCs/>
          <w:vertAlign w:val="subscript"/>
        </w:rPr>
        <w:t>mu</w:t>
      </w:r>
      <w:r w:rsidRPr="00B93493">
        <w:t xml:space="preserve"> </w:t>
      </w:r>
      <w:r w:rsidR="0018312D">
        <w:t>=</w:t>
      </w:r>
      <w:r w:rsidRPr="00B93493">
        <w:t xml:space="preserve"> 65 dB(</w:t>
      </w:r>
      <w:r w:rsidR="0018312D">
        <w:t>μ</w:t>
      </w:r>
      <w:r w:rsidRPr="00B93493">
        <w:t xml:space="preserve">V/m), </w:t>
      </w:r>
      <w:r w:rsidRPr="00B93493">
        <w:rPr>
          <w:i/>
          <w:iCs/>
        </w:rPr>
        <w:t>f</w:t>
      </w:r>
      <w:r w:rsidRPr="00B93493">
        <w:rPr>
          <w:i/>
          <w:iCs/>
          <w:vertAlign w:val="subscript"/>
        </w:rPr>
        <w:t>c</w:t>
      </w:r>
      <w:r w:rsidRPr="00B93493">
        <w:rPr>
          <w:i/>
          <w:iCs/>
        </w:rPr>
        <w:t xml:space="preserve"> </w:t>
      </w:r>
      <w:r w:rsidR="0018312D">
        <w:t>=</w:t>
      </w:r>
      <w:r w:rsidRPr="00B93493">
        <w:rPr>
          <w:i/>
          <w:iCs/>
        </w:rPr>
        <w:t xml:space="preserve"> </w:t>
      </w:r>
      <w:r w:rsidRPr="00B93493">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03"/>
        <w:gridCol w:w="759"/>
        <w:gridCol w:w="759"/>
        <w:gridCol w:w="759"/>
        <w:gridCol w:w="759"/>
        <w:gridCol w:w="759"/>
        <w:gridCol w:w="759"/>
        <w:gridCol w:w="759"/>
        <w:gridCol w:w="759"/>
        <w:gridCol w:w="759"/>
        <w:gridCol w:w="871"/>
      </w:tblGrid>
      <w:tr w:rsidR="00CF04BC" w:rsidRPr="00B93493" w14:paraId="28ECC50A" w14:textId="77777777" w:rsidTr="002E7F54">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57EF1A95" w14:textId="77777777" w:rsidR="00CF04BC" w:rsidRPr="00B93493" w:rsidRDefault="00CF04BC" w:rsidP="002E7F54">
            <w:pPr>
              <w:pStyle w:val="Tablehead"/>
              <w:ind w:right="-227"/>
              <w:rPr>
                <w:sz w:val="18"/>
                <w:szCs w:val="18"/>
              </w:rPr>
            </w:pPr>
            <w:r w:rsidRPr="00B93493">
              <w:rPr>
                <w:i/>
                <w:iCs/>
                <w:sz w:val="18"/>
                <w:szCs w:val="18"/>
              </w:rPr>
              <w:t>h</w:t>
            </w:r>
            <w:r w:rsidRPr="00B93493">
              <w:rPr>
                <w:i/>
                <w:iCs/>
                <w:sz w:val="18"/>
                <w:szCs w:val="18"/>
                <w:vertAlign w:val="subscript"/>
              </w:rPr>
              <w:t>ef</w:t>
            </w:r>
            <w:r w:rsidRPr="00B93493">
              <w:rPr>
                <w:sz w:val="18"/>
                <w:szCs w:val="18"/>
              </w:rPr>
              <w:t xml:space="preserve"> (m)</w:t>
            </w:r>
          </w:p>
          <w:p w14:paraId="0ADBB028" w14:textId="77777777" w:rsidR="00CF04BC" w:rsidRPr="00B93493" w:rsidRDefault="00CF04BC" w:rsidP="002E7F54">
            <w:pPr>
              <w:pStyle w:val="Tablehead"/>
              <w:ind w:left="-113" w:right="-113"/>
              <w:jc w:val="left"/>
              <w:rPr>
                <w:sz w:val="18"/>
                <w:szCs w:val="18"/>
              </w:rPr>
            </w:pPr>
            <w:r w:rsidRPr="00B93493">
              <w:rPr>
                <w:i/>
                <w:iCs/>
                <w:sz w:val="18"/>
                <w:szCs w:val="18"/>
              </w:rPr>
              <w:t>P</w:t>
            </w:r>
            <w:r w:rsidRPr="00B93493">
              <w:rPr>
                <w:i/>
                <w:iCs/>
                <w:sz w:val="18"/>
                <w:szCs w:val="18"/>
                <w:vertAlign w:val="subscript"/>
              </w:rPr>
              <w:t>ef</w:t>
            </w:r>
            <w:r w:rsidRPr="00B93493">
              <w:rPr>
                <w:rFonts w:ascii="Tms Rmn" w:hAnsi="Tms Rmn"/>
                <w:sz w:val="18"/>
                <w:szCs w:val="18"/>
                <w:vertAlign w:val="subscript"/>
              </w:rPr>
              <w:t> </w:t>
            </w:r>
            <w:r w:rsidRPr="00B93493">
              <w:rPr>
                <w:sz w:val="18"/>
                <w:szCs w:val="18"/>
              </w:rPr>
              <w:t>(dBW)</w:t>
            </w:r>
          </w:p>
        </w:tc>
        <w:tc>
          <w:tcPr>
            <w:tcW w:w="709" w:type="dxa"/>
            <w:tcBorders>
              <w:top w:val="single" w:sz="4" w:space="0" w:color="auto"/>
              <w:left w:val="single" w:sz="4" w:space="0" w:color="auto"/>
              <w:bottom w:val="single" w:sz="4" w:space="0" w:color="auto"/>
              <w:right w:val="single" w:sz="4" w:space="0" w:color="auto"/>
            </w:tcBorders>
          </w:tcPr>
          <w:p w14:paraId="2901A2D5" w14:textId="77777777" w:rsidR="00CF04BC" w:rsidRPr="00B93493" w:rsidRDefault="00CF04BC" w:rsidP="002E7F54">
            <w:pPr>
              <w:pStyle w:val="Tablehead"/>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3ED096FA" w14:textId="77777777" w:rsidR="00CF04BC" w:rsidRPr="00B93493" w:rsidRDefault="00CF04BC" w:rsidP="002E7F54">
            <w:pPr>
              <w:pStyle w:val="Tablehead"/>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633CC73D" w14:textId="77777777" w:rsidR="00CF04BC" w:rsidRPr="00B93493" w:rsidRDefault="00CF04BC" w:rsidP="002E7F54">
            <w:pPr>
              <w:pStyle w:val="Tablehead"/>
              <w:rPr>
                <w:sz w:val="18"/>
                <w:szCs w:val="18"/>
              </w:rPr>
            </w:pPr>
            <w:r w:rsidRPr="00B93493">
              <w:rPr>
                <w:sz w:val="18"/>
                <w:szCs w:val="18"/>
              </w:rPr>
              <w:t>75</w:t>
            </w:r>
          </w:p>
        </w:tc>
        <w:tc>
          <w:tcPr>
            <w:tcW w:w="765" w:type="dxa"/>
            <w:tcBorders>
              <w:top w:val="single" w:sz="4" w:space="0" w:color="auto"/>
              <w:left w:val="single" w:sz="4" w:space="0" w:color="auto"/>
              <w:bottom w:val="single" w:sz="4" w:space="0" w:color="auto"/>
              <w:right w:val="single" w:sz="4" w:space="0" w:color="auto"/>
            </w:tcBorders>
          </w:tcPr>
          <w:p w14:paraId="2DB467DF" w14:textId="77777777" w:rsidR="00CF04BC" w:rsidRPr="00B93493" w:rsidRDefault="00CF04BC" w:rsidP="002E7F54">
            <w:pPr>
              <w:pStyle w:val="Tablehead"/>
              <w:rPr>
                <w:sz w:val="18"/>
                <w:szCs w:val="18"/>
              </w:rPr>
            </w:pPr>
            <w:r w:rsidRPr="00B93493">
              <w:rPr>
                <w:sz w:val="18"/>
                <w:szCs w:val="18"/>
              </w:rPr>
              <w:t>100</w:t>
            </w:r>
          </w:p>
        </w:tc>
        <w:tc>
          <w:tcPr>
            <w:tcW w:w="765" w:type="dxa"/>
            <w:tcBorders>
              <w:top w:val="single" w:sz="4" w:space="0" w:color="auto"/>
              <w:left w:val="single" w:sz="4" w:space="0" w:color="auto"/>
              <w:bottom w:val="single" w:sz="4" w:space="0" w:color="auto"/>
              <w:right w:val="single" w:sz="4" w:space="0" w:color="auto"/>
            </w:tcBorders>
          </w:tcPr>
          <w:p w14:paraId="7D01A163" w14:textId="77777777" w:rsidR="00CF04BC" w:rsidRPr="00B93493" w:rsidRDefault="00CF04BC" w:rsidP="002E7F54">
            <w:pPr>
              <w:pStyle w:val="Tablehead"/>
              <w:rPr>
                <w:sz w:val="18"/>
                <w:szCs w:val="18"/>
              </w:rPr>
            </w:pPr>
            <w:r w:rsidRPr="00B93493">
              <w:rPr>
                <w:sz w:val="18"/>
                <w:szCs w:val="18"/>
              </w:rPr>
              <w:t>150</w:t>
            </w:r>
          </w:p>
        </w:tc>
        <w:tc>
          <w:tcPr>
            <w:tcW w:w="765" w:type="dxa"/>
            <w:tcBorders>
              <w:top w:val="single" w:sz="4" w:space="0" w:color="auto"/>
              <w:left w:val="single" w:sz="4" w:space="0" w:color="auto"/>
              <w:bottom w:val="single" w:sz="4" w:space="0" w:color="auto"/>
              <w:right w:val="single" w:sz="4" w:space="0" w:color="auto"/>
            </w:tcBorders>
          </w:tcPr>
          <w:p w14:paraId="429948D4" w14:textId="77777777" w:rsidR="00CF04BC" w:rsidRPr="00B93493" w:rsidRDefault="00CF04BC" w:rsidP="002E7F54">
            <w:pPr>
              <w:pStyle w:val="Tablehead"/>
              <w:rPr>
                <w:sz w:val="18"/>
                <w:szCs w:val="18"/>
              </w:rPr>
            </w:pPr>
            <w:r w:rsidRPr="00B93493">
              <w:rPr>
                <w:sz w:val="18"/>
                <w:szCs w:val="18"/>
              </w:rPr>
              <w:t>200</w:t>
            </w:r>
          </w:p>
        </w:tc>
        <w:tc>
          <w:tcPr>
            <w:tcW w:w="765" w:type="dxa"/>
            <w:tcBorders>
              <w:top w:val="single" w:sz="4" w:space="0" w:color="auto"/>
              <w:left w:val="single" w:sz="4" w:space="0" w:color="auto"/>
              <w:bottom w:val="single" w:sz="4" w:space="0" w:color="auto"/>
              <w:right w:val="single" w:sz="4" w:space="0" w:color="auto"/>
            </w:tcBorders>
          </w:tcPr>
          <w:p w14:paraId="0D8BBC38" w14:textId="77777777" w:rsidR="00CF04BC" w:rsidRPr="00B93493" w:rsidRDefault="00CF04BC" w:rsidP="002E7F54">
            <w:pPr>
              <w:pStyle w:val="Tablehead"/>
              <w:rPr>
                <w:sz w:val="18"/>
                <w:szCs w:val="18"/>
              </w:rPr>
            </w:pPr>
            <w:r w:rsidRPr="00B93493">
              <w:rPr>
                <w:sz w:val="18"/>
                <w:szCs w:val="18"/>
              </w:rPr>
              <w:t>250</w:t>
            </w:r>
          </w:p>
        </w:tc>
        <w:tc>
          <w:tcPr>
            <w:tcW w:w="765" w:type="dxa"/>
            <w:tcBorders>
              <w:top w:val="single" w:sz="4" w:space="0" w:color="auto"/>
              <w:left w:val="single" w:sz="4" w:space="0" w:color="auto"/>
              <w:bottom w:val="single" w:sz="4" w:space="0" w:color="auto"/>
              <w:right w:val="single" w:sz="4" w:space="0" w:color="auto"/>
            </w:tcBorders>
          </w:tcPr>
          <w:p w14:paraId="44C06398" w14:textId="77777777" w:rsidR="00CF04BC" w:rsidRPr="00B93493" w:rsidRDefault="00CF04BC" w:rsidP="002E7F54">
            <w:pPr>
              <w:pStyle w:val="Tablehead"/>
              <w:rPr>
                <w:sz w:val="18"/>
                <w:szCs w:val="18"/>
              </w:rPr>
            </w:pPr>
            <w:r w:rsidRPr="00B93493">
              <w:rPr>
                <w:sz w:val="18"/>
                <w:szCs w:val="18"/>
              </w:rPr>
              <w:t>300</w:t>
            </w:r>
          </w:p>
        </w:tc>
        <w:tc>
          <w:tcPr>
            <w:tcW w:w="765" w:type="dxa"/>
            <w:tcBorders>
              <w:top w:val="single" w:sz="4" w:space="0" w:color="auto"/>
              <w:left w:val="single" w:sz="4" w:space="0" w:color="auto"/>
              <w:bottom w:val="single" w:sz="4" w:space="0" w:color="auto"/>
              <w:right w:val="single" w:sz="4" w:space="0" w:color="auto"/>
            </w:tcBorders>
          </w:tcPr>
          <w:p w14:paraId="23B9A15A" w14:textId="77777777" w:rsidR="00CF04BC" w:rsidRPr="00B93493" w:rsidRDefault="00CF04BC" w:rsidP="002E7F54">
            <w:pPr>
              <w:pStyle w:val="Tablehead"/>
              <w:rPr>
                <w:sz w:val="18"/>
                <w:szCs w:val="18"/>
              </w:rPr>
            </w:pPr>
            <w:r w:rsidRPr="00B93493">
              <w:rPr>
                <w:sz w:val="18"/>
                <w:szCs w:val="18"/>
              </w:rPr>
              <w:t>350</w:t>
            </w:r>
          </w:p>
        </w:tc>
        <w:tc>
          <w:tcPr>
            <w:tcW w:w="765" w:type="dxa"/>
            <w:tcBorders>
              <w:top w:val="single" w:sz="4" w:space="0" w:color="auto"/>
              <w:left w:val="single" w:sz="4" w:space="0" w:color="auto"/>
              <w:bottom w:val="single" w:sz="4" w:space="0" w:color="auto"/>
              <w:right w:val="single" w:sz="4" w:space="0" w:color="auto"/>
            </w:tcBorders>
          </w:tcPr>
          <w:p w14:paraId="236FB916" w14:textId="77777777" w:rsidR="00CF04BC" w:rsidRPr="00B93493" w:rsidRDefault="00CF04BC" w:rsidP="002E7F54">
            <w:pPr>
              <w:pStyle w:val="Tablehead"/>
              <w:rPr>
                <w:sz w:val="18"/>
                <w:szCs w:val="18"/>
              </w:rPr>
            </w:pPr>
            <w:r w:rsidRPr="00B93493">
              <w:rPr>
                <w:sz w:val="18"/>
                <w:szCs w:val="18"/>
              </w:rPr>
              <w:t>400</w:t>
            </w:r>
          </w:p>
        </w:tc>
        <w:tc>
          <w:tcPr>
            <w:tcW w:w="879" w:type="dxa"/>
            <w:tcBorders>
              <w:top w:val="single" w:sz="4" w:space="0" w:color="auto"/>
              <w:left w:val="single" w:sz="4" w:space="0" w:color="auto"/>
              <w:bottom w:val="single" w:sz="4" w:space="0" w:color="auto"/>
              <w:right w:val="single" w:sz="4" w:space="0" w:color="auto"/>
            </w:tcBorders>
          </w:tcPr>
          <w:p w14:paraId="101C4E19" w14:textId="77777777" w:rsidR="00CF04BC" w:rsidRPr="00B93493" w:rsidRDefault="00CF04BC" w:rsidP="002E7F54">
            <w:pPr>
              <w:pStyle w:val="Tablehead"/>
              <w:rPr>
                <w:sz w:val="18"/>
                <w:szCs w:val="18"/>
              </w:rPr>
            </w:pPr>
            <w:r w:rsidRPr="00B93493">
              <w:rPr>
                <w:sz w:val="18"/>
                <w:szCs w:val="18"/>
              </w:rPr>
              <w:t>500</w:t>
            </w:r>
          </w:p>
        </w:tc>
      </w:tr>
      <w:tr w:rsidR="00CF04BC" w:rsidRPr="00B93493" w14:paraId="27EF5319"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1E4FCDB4" w14:textId="77777777" w:rsidR="00CF04BC" w:rsidRPr="00B93493" w:rsidRDefault="00CF04BC" w:rsidP="002E7F54">
            <w:pPr>
              <w:pStyle w:val="Tabletext"/>
              <w:jc w:val="center"/>
              <w:rPr>
                <w:sz w:val="18"/>
                <w:szCs w:val="18"/>
              </w:rPr>
            </w:pPr>
            <w:r w:rsidRPr="00B93493">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14:paraId="76932749" w14:textId="77777777" w:rsidR="00CF04BC" w:rsidRPr="00B93493" w:rsidRDefault="00CF04BC" w:rsidP="002E7F54">
            <w:pPr>
              <w:pStyle w:val="Tabletext"/>
              <w:jc w:val="center"/>
              <w:rPr>
                <w:sz w:val="18"/>
                <w:szCs w:val="18"/>
              </w:rPr>
            </w:pPr>
            <w:r w:rsidRPr="00B93493">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065724DE" w14:textId="77777777" w:rsidR="00CF04BC" w:rsidRPr="00B93493" w:rsidRDefault="00CF04BC" w:rsidP="002E7F54">
            <w:pPr>
              <w:pStyle w:val="Tabletext"/>
              <w:jc w:val="center"/>
              <w:rPr>
                <w:sz w:val="18"/>
                <w:szCs w:val="18"/>
              </w:rPr>
            </w:pPr>
            <w:r w:rsidRPr="00B93493">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582E0A2D" w14:textId="77777777" w:rsidR="00CF04BC" w:rsidRPr="00B93493" w:rsidRDefault="00CF04BC" w:rsidP="002E7F54">
            <w:pPr>
              <w:pStyle w:val="Tabletext"/>
              <w:jc w:val="center"/>
              <w:rPr>
                <w:sz w:val="18"/>
                <w:szCs w:val="18"/>
              </w:rPr>
            </w:pPr>
            <w:r w:rsidRPr="00B93493">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79493CA8" w14:textId="77777777" w:rsidR="00CF04BC" w:rsidRPr="00B93493" w:rsidRDefault="00CF04BC" w:rsidP="002E7F54">
            <w:pPr>
              <w:pStyle w:val="Tabletext"/>
              <w:jc w:val="center"/>
              <w:rPr>
                <w:sz w:val="18"/>
                <w:szCs w:val="18"/>
              </w:rPr>
            </w:pPr>
            <w:r w:rsidRPr="00B93493">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09A8F0D8" w14:textId="77777777" w:rsidR="00CF04BC" w:rsidRPr="00B93493" w:rsidRDefault="00CF04BC" w:rsidP="002E7F54">
            <w:pPr>
              <w:pStyle w:val="Tabletext"/>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312C5308" w14:textId="77777777" w:rsidR="00CF04BC" w:rsidRPr="00B93493" w:rsidRDefault="00CF04BC" w:rsidP="002E7F54">
            <w:pPr>
              <w:pStyle w:val="Tabletext"/>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0C7A151A" w14:textId="77777777" w:rsidR="00CF04BC" w:rsidRPr="00B93493" w:rsidRDefault="00CF04BC" w:rsidP="002E7F54">
            <w:pPr>
              <w:pStyle w:val="Tabletext"/>
              <w:jc w:val="center"/>
              <w:rPr>
                <w:sz w:val="18"/>
                <w:szCs w:val="18"/>
              </w:rPr>
            </w:pPr>
            <w:r w:rsidRPr="00B93493">
              <w:rPr>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42884CF4"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01FD0390" w14:textId="77777777" w:rsidR="00CF04BC" w:rsidRPr="00B93493" w:rsidRDefault="00CF04BC" w:rsidP="002E7F54">
            <w:pPr>
              <w:pStyle w:val="Tabletext"/>
              <w:jc w:val="center"/>
              <w:rPr>
                <w:sz w:val="18"/>
                <w:szCs w:val="18"/>
              </w:rPr>
            </w:pPr>
            <w:r w:rsidRPr="00B93493">
              <w:rPr>
                <w:sz w:val="18"/>
                <w:szCs w:val="18"/>
              </w:rPr>
              <w:t>10</w:t>
            </w:r>
          </w:p>
        </w:tc>
        <w:tc>
          <w:tcPr>
            <w:tcW w:w="765" w:type="dxa"/>
            <w:tcBorders>
              <w:top w:val="single" w:sz="4" w:space="0" w:color="auto"/>
              <w:left w:val="single" w:sz="4" w:space="0" w:color="auto"/>
              <w:bottom w:val="single" w:sz="4" w:space="0" w:color="auto"/>
              <w:right w:val="single" w:sz="4" w:space="0" w:color="auto"/>
            </w:tcBorders>
          </w:tcPr>
          <w:p w14:paraId="627E5366" w14:textId="77777777" w:rsidR="00CF04BC" w:rsidRPr="00B93493" w:rsidRDefault="00CF04BC" w:rsidP="002E7F54">
            <w:pPr>
              <w:pStyle w:val="Tabletext"/>
              <w:jc w:val="center"/>
              <w:rPr>
                <w:sz w:val="18"/>
                <w:szCs w:val="18"/>
              </w:rPr>
            </w:pPr>
            <w:r w:rsidRPr="00B93493">
              <w:rPr>
                <w:sz w:val="18"/>
                <w:szCs w:val="18"/>
              </w:rPr>
              <w:t>11</w:t>
            </w:r>
          </w:p>
        </w:tc>
        <w:tc>
          <w:tcPr>
            <w:tcW w:w="879" w:type="dxa"/>
            <w:tcBorders>
              <w:top w:val="single" w:sz="4" w:space="0" w:color="auto"/>
              <w:left w:val="single" w:sz="4" w:space="0" w:color="auto"/>
              <w:bottom w:val="single" w:sz="4" w:space="0" w:color="auto"/>
              <w:right w:val="single" w:sz="4" w:space="0" w:color="auto"/>
            </w:tcBorders>
          </w:tcPr>
          <w:p w14:paraId="235250B7" w14:textId="77777777" w:rsidR="00CF04BC" w:rsidRPr="00B93493" w:rsidRDefault="00CF04BC" w:rsidP="002E7F54">
            <w:pPr>
              <w:pStyle w:val="Tabletext"/>
              <w:jc w:val="center"/>
              <w:rPr>
                <w:sz w:val="18"/>
                <w:szCs w:val="18"/>
              </w:rPr>
            </w:pPr>
            <w:r w:rsidRPr="00B93493">
              <w:rPr>
                <w:sz w:val="18"/>
                <w:szCs w:val="18"/>
              </w:rPr>
              <w:t>12</w:t>
            </w:r>
          </w:p>
        </w:tc>
      </w:tr>
      <w:tr w:rsidR="00CF04BC" w:rsidRPr="00B93493" w14:paraId="1439599D"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2353BF06" w14:textId="77777777" w:rsidR="00CF04BC" w:rsidRPr="00B93493" w:rsidRDefault="00CF04BC" w:rsidP="002E7F54">
            <w:pPr>
              <w:pStyle w:val="Tabletext"/>
              <w:jc w:val="center"/>
              <w:rPr>
                <w:sz w:val="18"/>
                <w:szCs w:val="18"/>
              </w:rPr>
            </w:pPr>
            <w:r w:rsidRPr="00B93493">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14:paraId="5ED413F5" w14:textId="77777777" w:rsidR="00CF04BC" w:rsidRPr="00B93493" w:rsidRDefault="00CF04BC" w:rsidP="002E7F54">
            <w:pPr>
              <w:pStyle w:val="Tabletext"/>
              <w:jc w:val="center"/>
              <w:rPr>
                <w:sz w:val="18"/>
                <w:szCs w:val="18"/>
              </w:rPr>
            </w:pPr>
            <w:r w:rsidRPr="00B93493">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090E827D" w14:textId="77777777" w:rsidR="00CF04BC" w:rsidRPr="00B93493" w:rsidRDefault="00CF04BC" w:rsidP="002E7F54">
            <w:pPr>
              <w:pStyle w:val="Tabletext"/>
              <w:jc w:val="center"/>
              <w:rPr>
                <w:sz w:val="18"/>
                <w:szCs w:val="18"/>
              </w:rPr>
            </w:pPr>
            <w:r w:rsidRPr="00B93493">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0CB098C8" w14:textId="77777777" w:rsidR="00CF04BC" w:rsidRPr="00B93493" w:rsidRDefault="00CF04BC" w:rsidP="002E7F54">
            <w:pPr>
              <w:pStyle w:val="Tabletext"/>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6DE1D9F0" w14:textId="77777777" w:rsidR="00CF04BC" w:rsidRPr="00B93493" w:rsidRDefault="00CF04BC" w:rsidP="002E7F54">
            <w:pPr>
              <w:pStyle w:val="Tabletext"/>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0C72CF9D"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2B938497" w14:textId="77777777" w:rsidR="00CF04BC" w:rsidRPr="00B93493" w:rsidRDefault="00CF04BC" w:rsidP="002E7F54">
            <w:pPr>
              <w:pStyle w:val="Tabletext"/>
              <w:jc w:val="center"/>
              <w:rPr>
                <w:sz w:val="18"/>
                <w:szCs w:val="18"/>
              </w:rPr>
            </w:pPr>
            <w:r w:rsidRPr="00B93493">
              <w:rPr>
                <w:sz w:val="18"/>
                <w:szCs w:val="18"/>
              </w:rPr>
              <w:t>10</w:t>
            </w:r>
          </w:p>
        </w:tc>
        <w:tc>
          <w:tcPr>
            <w:tcW w:w="765" w:type="dxa"/>
            <w:tcBorders>
              <w:top w:val="single" w:sz="4" w:space="0" w:color="auto"/>
              <w:left w:val="single" w:sz="4" w:space="0" w:color="auto"/>
              <w:bottom w:val="single" w:sz="4" w:space="0" w:color="auto"/>
              <w:right w:val="single" w:sz="4" w:space="0" w:color="auto"/>
            </w:tcBorders>
          </w:tcPr>
          <w:p w14:paraId="5552646E" w14:textId="77777777" w:rsidR="00CF04BC" w:rsidRPr="00B93493" w:rsidRDefault="00CF04BC" w:rsidP="002E7F54">
            <w:pPr>
              <w:pStyle w:val="Tabletext"/>
              <w:jc w:val="center"/>
              <w:rPr>
                <w:sz w:val="18"/>
                <w:szCs w:val="18"/>
              </w:rPr>
            </w:pPr>
            <w:r w:rsidRPr="00B93493">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54E3A60D" w14:textId="77777777" w:rsidR="00CF04BC" w:rsidRPr="00B93493" w:rsidRDefault="00CF04BC" w:rsidP="002E7F54">
            <w:pPr>
              <w:pStyle w:val="Tabletext"/>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3C66359D" w14:textId="77777777" w:rsidR="00CF04BC" w:rsidRPr="00B93493" w:rsidRDefault="00CF04BC" w:rsidP="002E7F54">
            <w:pPr>
              <w:pStyle w:val="Tabletext"/>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3823894C" w14:textId="77777777" w:rsidR="00CF04BC" w:rsidRPr="00B93493" w:rsidRDefault="00CF04BC" w:rsidP="002E7F54">
            <w:pPr>
              <w:pStyle w:val="Tabletext"/>
              <w:jc w:val="center"/>
              <w:rPr>
                <w:sz w:val="18"/>
                <w:szCs w:val="18"/>
              </w:rPr>
            </w:pPr>
            <w:r w:rsidRPr="00B93493">
              <w:rPr>
                <w:sz w:val="18"/>
                <w:szCs w:val="18"/>
              </w:rPr>
              <w:t>15</w:t>
            </w:r>
          </w:p>
        </w:tc>
        <w:tc>
          <w:tcPr>
            <w:tcW w:w="879" w:type="dxa"/>
            <w:tcBorders>
              <w:top w:val="single" w:sz="4" w:space="0" w:color="auto"/>
              <w:left w:val="single" w:sz="4" w:space="0" w:color="auto"/>
              <w:bottom w:val="single" w:sz="4" w:space="0" w:color="auto"/>
              <w:right w:val="single" w:sz="4" w:space="0" w:color="auto"/>
            </w:tcBorders>
          </w:tcPr>
          <w:p w14:paraId="46570A77" w14:textId="77777777" w:rsidR="00CF04BC" w:rsidRPr="00B93493" w:rsidRDefault="00CF04BC" w:rsidP="002E7F54">
            <w:pPr>
              <w:pStyle w:val="Tabletext"/>
              <w:jc w:val="center"/>
              <w:rPr>
                <w:sz w:val="18"/>
                <w:szCs w:val="18"/>
              </w:rPr>
            </w:pPr>
            <w:r w:rsidRPr="00B93493">
              <w:rPr>
                <w:sz w:val="18"/>
                <w:szCs w:val="18"/>
              </w:rPr>
              <w:t>18</w:t>
            </w:r>
          </w:p>
        </w:tc>
      </w:tr>
      <w:tr w:rsidR="00CF04BC" w:rsidRPr="00B93493" w14:paraId="61D8939A"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772FA277" w14:textId="77777777" w:rsidR="00CF04BC" w:rsidRPr="00B93493" w:rsidRDefault="00CF04BC" w:rsidP="002E7F54">
            <w:pPr>
              <w:pStyle w:val="Tabletext"/>
              <w:jc w:val="center"/>
              <w:rPr>
                <w:sz w:val="18"/>
                <w:szCs w:val="18"/>
              </w:rPr>
            </w:pPr>
            <w:r w:rsidRPr="00B93493">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7978A58A" w14:textId="77777777" w:rsidR="00CF04BC" w:rsidRPr="00B93493" w:rsidRDefault="00CF04BC" w:rsidP="002E7F54">
            <w:pPr>
              <w:pStyle w:val="Tabletext"/>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24739825" w14:textId="77777777" w:rsidR="00CF04BC" w:rsidRPr="00B93493" w:rsidRDefault="00CF04BC" w:rsidP="002E7F54">
            <w:pPr>
              <w:pStyle w:val="Tabletext"/>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01A08469"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06044FC5" w14:textId="77777777" w:rsidR="00CF04BC" w:rsidRPr="00B93493" w:rsidRDefault="00CF04BC" w:rsidP="002E7F54">
            <w:pPr>
              <w:pStyle w:val="Tabletext"/>
              <w:jc w:val="center"/>
              <w:rPr>
                <w:sz w:val="18"/>
                <w:szCs w:val="18"/>
              </w:rPr>
            </w:pPr>
            <w:r w:rsidRPr="00B93493">
              <w:rPr>
                <w:sz w:val="18"/>
                <w:szCs w:val="18"/>
              </w:rPr>
              <w:t>10</w:t>
            </w:r>
          </w:p>
        </w:tc>
        <w:tc>
          <w:tcPr>
            <w:tcW w:w="765" w:type="dxa"/>
            <w:tcBorders>
              <w:top w:val="single" w:sz="4" w:space="0" w:color="auto"/>
              <w:left w:val="single" w:sz="4" w:space="0" w:color="auto"/>
              <w:bottom w:val="single" w:sz="4" w:space="0" w:color="auto"/>
              <w:right w:val="single" w:sz="4" w:space="0" w:color="auto"/>
            </w:tcBorders>
          </w:tcPr>
          <w:p w14:paraId="6E74DEB4" w14:textId="77777777" w:rsidR="00CF04BC" w:rsidRPr="00B93493" w:rsidRDefault="00CF04BC" w:rsidP="002E7F54">
            <w:pPr>
              <w:pStyle w:val="Tabletext"/>
              <w:jc w:val="center"/>
              <w:rPr>
                <w:sz w:val="18"/>
                <w:szCs w:val="18"/>
              </w:rPr>
            </w:pPr>
            <w:r w:rsidRPr="00B93493">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14909630" w14:textId="77777777" w:rsidR="00CF04BC" w:rsidRPr="00B93493" w:rsidRDefault="00CF04BC" w:rsidP="002E7F54">
            <w:pPr>
              <w:pStyle w:val="Tabletext"/>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09DE6E28" w14:textId="77777777" w:rsidR="00CF04BC" w:rsidRPr="00B93493" w:rsidRDefault="00CF04BC" w:rsidP="002E7F54">
            <w:pPr>
              <w:pStyle w:val="Tabletext"/>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3534A948" w14:textId="77777777" w:rsidR="00CF04BC" w:rsidRPr="00B93493" w:rsidRDefault="00CF04BC" w:rsidP="002E7F54">
            <w:pPr>
              <w:pStyle w:val="Tabletext"/>
              <w:jc w:val="center"/>
              <w:rPr>
                <w:sz w:val="18"/>
                <w:szCs w:val="18"/>
              </w:rPr>
            </w:pPr>
            <w:r w:rsidRPr="00B93493">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404F0433" w14:textId="77777777" w:rsidR="00CF04BC" w:rsidRPr="00B93493" w:rsidRDefault="00CF04BC" w:rsidP="002E7F54">
            <w:pPr>
              <w:pStyle w:val="Tabletext"/>
              <w:jc w:val="center"/>
              <w:rPr>
                <w:sz w:val="18"/>
                <w:szCs w:val="18"/>
              </w:rPr>
            </w:pPr>
            <w:r w:rsidRPr="00B93493">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3260F896" w14:textId="77777777" w:rsidR="00CF04BC" w:rsidRPr="00B93493" w:rsidRDefault="00CF04BC" w:rsidP="002E7F54">
            <w:pPr>
              <w:pStyle w:val="Tabletext"/>
              <w:jc w:val="center"/>
              <w:rPr>
                <w:sz w:val="18"/>
                <w:szCs w:val="18"/>
              </w:rPr>
            </w:pPr>
            <w:r w:rsidRPr="00B93493">
              <w:rPr>
                <w:sz w:val="18"/>
                <w:szCs w:val="18"/>
              </w:rPr>
              <w:t>21</w:t>
            </w:r>
          </w:p>
        </w:tc>
        <w:tc>
          <w:tcPr>
            <w:tcW w:w="879" w:type="dxa"/>
            <w:tcBorders>
              <w:top w:val="single" w:sz="4" w:space="0" w:color="auto"/>
              <w:left w:val="single" w:sz="4" w:space="0" w:color="auto"/>
              <w:bottom w:val="single" w:sz="4" w:space="0" w:color="auto"/>
              <w:right w:val="single" w:sz="4" w:space="0" w:color="auto"/>
            </w:tcBorders>
          </w:tcPr>
          <w:p w14:paraId="4D2D6716" w14:textId="77777777" w:rsidR="00CF04BC" w:rsidRPr="00B93493" w:rsidRDefault="00CF04BC" w:rsidP="002E7F54">
            <w:pPr>
              <w:pStyle w:val="Tabletext"/>
              <w:jc w:val="center"/>
              <w:rPr>
                <w:sz w:val="18"/>
                <w:szCs w:val="18"/>
              </w:rPr>
            </w:pPr>
            <w:r w:rsidRPr="00B93493">
              <w:rPr>
                <w:sz w:val="18"/>
                <w:szCs w:val="18"/>
              </w:rPr>
              <w:t>25</w:t>
            </w:r>
          </w:p>
        </w:tc>
      </w:tr>
      <w:tr w:rsidR="00CF04BC" w:rsidRPr="00B93493" w14:paraId="3A249EE1"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4CA36844" w14:textId="77777777" w:rsidR="00CF04BC" w:rsidRPr="00B93493" w:rsidRDefault="00CF04BC" w:rsidP="002E7F54">
            <w:pPr>
              <w:pStyle w:val="Tabletext"/>
              <w:jc w:val="center"/>
              <w:rPr>
                <w:sz w:val="18"/>
                <w:szCs w:val="18"/>
              </w:rPr>
            </w:pPr>
            <w:r w:rsidRPr="00B93493">
              <w:rPr>
                <w:sz w:val="18"/>
                <w:szCs w:val="18"/>
              </w:rPr>
              <w:t>30.0</w:t>
            </w:r>
          </w:p>
        </w:tc>
        <w:tc>
          <w:tcPr>
            <w:tcW w:w="709" w:type="dxa"/>
            <w:tcBorders>
              <w:top w:val="single" w:sz="4" w:space="0" w:color="auto"/>
              <w:left w:val="single" w:sz="4" w:space="0" w:color="auto"/>
              <w:bottom w:val="single" w:sz="4" w:space="0" w:color="auto"/>
              <w:right w:val="single" w:sz="4" w:space="0" w:color="auto"/>
            </w:tcBorders>
          </w:tcPr>
          <w:p w14:paraId="33E3D311" w14:textId="77777777" w:rsidR="00CF04BC" w:rsidRPr="00B93493" w:rsidRDefault="00CF04BC" w:rsidP="002E7F54">
            <w:pPr>
              <w:pStyle w:val="Tabletext"/>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46250F43"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16C7603F" w14:textId="77777777" w:rsidR="00CF04BC" w:rsidRPr="00B93493" w:rsidRDefault="00CF04BC" w:rsidP="002E7F54">
            <w:pPr>
              <w:pStyle w:val="Tabletext"/>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79C421BB" w14:textId="77777777" w:rsidR="00CF04BC" w:rsidRPr="00B93493" w:rsidRDefault="00CF04BC" w:rsidP="002E7F54">
            <w:pPr>
              <w:pStyle w:val="Tabletext"/>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744F02C2" w14:textId="77777777" w:rsidR="00CF04BC" w:rsidRPr="00B93493" w:rsidRDefault="00CF04BC" w:rsidP="002E7F54">
            <w:pPr>
              <w:pStyle w:val="Tabletext"/>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1629C830"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5BF188B7"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5C16C5EC" w14:textId="77777777" w:rsidR="00CF04BC" w:rsidRPr="00B93493" w:rsidRDefault="00CF04BC" w:rsidP="002E7F54">
            <w:pPr>
              <w:pStyle w:val="Tabletext"/>
              <w:jc w:val="center"/>
              <w:rPr>
                <w:sz w:val="18"/>
                <w:szCs w:val="18"/>
              </w:rPr>
            </w:pPr>
            <w:r w:rsidRPr="00B93493">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70B3C8B8" w14:textId="77777777" w:rsidR="00CF04BC" w:rsidRPr="00B93493" w:rsidRDefault="00CF04BC" w:rsidP="002E7F54">
            <w:pPr>
              <w:pStyle w:val="Tabletext"/>
              <w:jc w:val="center"/>
              <w:rPr>
                <w:sz w:val="18"/>
                <w:szCs w:val="18"/>
              </w:rPr>
            </w:pPr>
            <w:r w:rsidRPr="00B93493">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3C2840D1" w14:textId="77777777" w:rsidR="00CF04BC" w:rsidRPr="00B93493" w:rsidRDefault="00CF04BC" w:rsidP="002E7F54">
            <w:pPr>
              <w:pStyle w:val="Tabletext"/>
              <w:jc w:val="center"/>
              <w:rPr>
                <w:sz w:val="18"/>
                <w:szCs w:val="18"/>
              </w:rPr>
            </w:pPr>
            <w:r w:rsidRPr="00B93493">
              <w:rPr>
                <w:sz w:val="18"/>
                <w:szCs w:val="18"/>
              </w:rPr>
              <w:t>28</w:t>
            </w:r>
          </w:p>
        </w:tc>
        <w:tc>
          <w:tcPr>
            <w:tcW w:w="879" w:type="dxa"/>
            <w:tcBorders>
              <w:top w:val="single" w:sz="4" w:space="0" w:color="auto"/>
              <w:left w:val="single" w:sz="4" w:space="0" w:color="auto"/>
              <w:bottom w:val="single" w:sz="4" w:space="0" w:color="auto"/>
              <w:right w:val="single" w:sz="4" w:space="0" w:color="auto"/>
            </w:tcBorders>
          </w:tcPr>
          <w:p w14:paraId="6F4B6312" w14:textId="77777777" w:rsidR="00CF04BC" w:rsidRPr="00B93493" w:rsidRDefault="00CF04BC" w:rsidP="002E7F54">
            <w:pPr>
              <w:pStyle w:val="Tabletext"/>
              <w:jc w:val="center"/>
              <w:rPr>
                <w:sz w:val="18"/>
                <w:szCs w:val="18"/>
              </w:rPr>
            </w:pPr>
            <w:r w:rsidRPr="00B93493">
              <w:rPr>
                <w:sz w:val="18"/>
                <w:szCs w:val="18"/>
              </w:rPr>
              <w:t>32</w:t>
            </w:r>
          </w:p>
        </w:tc>
      </w:tr>
      <w:tr w:rsidR="00CF04BC" w:rsidRPr="00B93493" w14:paraId="2C313D5E"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29EFE299" w14:textId="77777777" w:rsidR="00CF04BC" w:rsidRPr="00B93493" w:rsidRDefault="00CF04BC" w:rsidP="002E7F54">
            <w:pPr>
              <w:pStyle w:val="Tabletext"/>
              <w:jc w:val="center"/>
              <w:rPr>
                <w:sz w:val="18"/>
                <w:szCs w:val="18"/>
              </w:rPr>
            </w:pPr>
            <w:r w:rsidRPr="00B93493">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14:paraId="72D4DEA5" w14:textId="77777777" w:rsidR="00CF04BC" w:rsidRPr="00B93493" w:rsidRDefault="00CF04BC" w:rsidP="002E7F54">
            <w:pPr>
              <w:pStyle w:val="Tabletext"/>
              <w:jc w:val="center"/>
              <w:rPr>
                <w:sz w:val="18"/>
                <w:szCs w:val="18"/>
              </w:rPr>
            </w:pPr>
            <w:r w:rsidRPr="00B93493">
              <w:rPr>
                <w:sz w:val="18"/>
                <w:szCs w:val="18"/>
              </w:rPr>
              <w:t>10</w:t>
            </w:r>
          </w:p>
        </w:tc>
        <w:tc>
          <w:tcPr>
            <w:tcW w:w="765" w:type="dxa"/>
            <w:tcBorders>
              <w:top w:val="single" w:sz="4" w:space="0" w:color="auto"/>
              <w:left w:val="single" w:sz="4" w:space="0" w:color="auto"/>
              <w:bottom w:val="single" w:sz="4" w:space="0" w:color="auto"/>
              <w:right w:val="single" w:sz="4" w:space="0" w:color="auto"/>
            </w:tcBorders>
          </w:tcPr>
          <w:p w14:paraId="6B6E62B0" w14:textId="77777777" w:rsidR="00CF04BC" w:rsidRPr="00B93493" w:rsidRDefault="00CF04BC" w:rsidP="002E7F54">
            <w:pPr>
              <w:pStyle w:val="Tabletext"/>
              <w:jc w:val="center"/>
              <w:rPr>
                <w:sz w:val="18"/>
                <w:szCs w:val="18"/>
              </w:rPr>
            </w:pPr>
            <w:r w:rsidRPr="00B93493">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04CCF8CC" w14:textId="77777777" w:rsidR="00CF04BC" w:rsidRPr="00B93493" w:rsidRDefault="00CF04BC" w:rsidP="002E7F54">
            <w:pPr>
              <w:pStyle w:val="Tabletext"/>
              <w:jc w:val="center"/>
              <w:rPr>
                <w:sz w:val="18"/>
                <w:szCs w:val="18"/>
              </w:rPr>
            </w:pPr>
            <w:r w:rsidRPr="00B93493">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46714B27" w14:textId="77777777" w:rsidR="00CF04BC" w:rsidRPr="00B93493" w:rsidRDefault="00CF04BC" w:rsidP="002E7F54">
            <w:pPr>
              <w:pStyle w:val="Tabletext"/>
              <w:jc w:val="center"/>
              <w:rPr>
                <w:sz w:val="18"/>
                <w:szCs w:val="18"/>
              </w:rPr>
            </w:pPr>
            <w:r w:rsidRPr="00B93493">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035CF4FB" w14:textId="77777777" w:rsidR="00CF04BC" w:rsidRPr="00B93493" w:rsidRDefault="00CF04BC" w:rsidP="002E7F54">
            <w:pPr>
              <w:pStyle w:val="Tabletext"/>
              <w:jc w:val="center"/>
              <w:rPr>
                <w:sz w:val="18"/>
                <w:szCs w:val="18"/>
              </w:rPr>
            </w:pPr>
            <w:r w:rsidRPr="00B93493">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202F048C" w14:textId="77777777" w:rsidR="00CF04BC" w:rsidRPr="00B93493" w:rsidRDefault="00CF04BC" w:rsidP="002E7F54">
            <w:pPr>
              <w:pStyle w:val="Tabletext"/>
              <w:jc w:val="center"/>
              <w:rPr>
                <w:sz w:val="18"/>
                <w:szCs w:val="18"/>
              </w:rPr>
            </w:pPr>
            <w:r w:rsidRPr="00B93493">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46CE2DA6" w14:textId="77777777" w:rsidR="00CF04BC" w:rsidRPr="00B93493" w:rsidRDefault="00CF04BC" w:rsidP="002E7F54">
            <w:pPr>
              <w:pStyle w:val="Tabletext"/>
              <w:jc w:val="center"/>
              <w:rPr>
                <w:sz w:val="18"/>
                <w:szCs w:val="18"/>
              </w:rPr>
            </w:pPr>
            <w:r w:rsidRPr="00B93493">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14:paraId="6EBA1B62"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74B975E2" w14:textId="77777777" w:rsidR="00CF04BC" w:rsidRPr="00B93493" w:rsidRDefault="00CF04BC" w:rsidP="002E7F54">
            <w:pPr>
              <w:pStyle w:val="Tabletext"/>
              <w:jc w:val="center"/>
              <w:rPr>
                <w:sz w:val="18"/>
                <w:szCs w:val="18"/>
              </w:rPr>
            </w:pPr>
            <w:r w:rsidRPr="00B93493">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09EC65E7" w14:textId="77777777" w:rsidR="00CF04BC" w:rsidRPr="00B93493" w:rsidRDefault="00CF04BC" w:rsidP="002E7F54">
            <w:pPr>
              <w:pStyle w:val="Tabletext"/>
              <w:jc w:val="center"/>
              <w:rPr>
                <w:sz w:val="18"/>
                <w:szCs w:val="18"/>
              </w:rPr>
            </w:pPr>
            <w:r w:rsidRPr="00B93493">
              <w:rPr>
                <w:sz w:val="18"/>
                <w:szCs w:val="18"/>
              </w:rPr>
              <w:t>36</w:t>
            </w:r>
          </w:p>
        </w:tc>
        <w:tc>
          <w:tcPr>
            <w:tcW w:w="879" w:type="dxa"/>
            <w:tcBorders>
              <w:top w:val="single" w:sz="4" w:space="0" w:color="auto"/>
              <w:left w:val="single" w:sz="4" w:space="0" w:color="auto"/>
              <w:bottom w:val="single" w:sz="4" w:space="0" w:color="auto"/>
              <w:right w:val="single" w:sz="4" w:space="0" w:color="auto"/>
            </w:tcBorders>
          </w:tcPr>
          <w:p w14:paraId="4D0DF9B4" w14:textId="77777777" w:rsidR="00CF04BC" w:rsidRPr="00B93493" w:rsidRDefault="00CF04BC" w:rsidP="002E7F54">
            <w:pPr>
              <w:pStyle w:val="Tabletext"/>
              <w:jc w:val="center"/>
              <w:rPr>
                <w:sz w:val="18"/>
                <w:szCs w:val="18"/>
              </w:rPr>
            </w:pPr>
            <w:r w:rsidRPr="00B93493">
              <w:rPr>
                <w:sz w:val="18"/>
                <w:szCs w:val="18"/>
              </w:rPr>
              <w:t>41</w:t>
            </w:r>
          </w:p>
        </w:tc>
      </w:tr>
      <w:tr w:rsidR="00CF04BC" w:rsidRPr="00B93493" w14:paraId="4298BB25"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780C03DB" w14:textId="77777777" w:rsidR="00CF04BC" w:rsidRPr="00B93493" w:rsidRDefault="00CF04BC" w:rsidP="002E7F54">
            <w:pPr>
              <w:pStyle w:val="Tabletext"/>
              <w:jc w:val="center"/>
              <w:rPr>
                <w:sz w:val="18"/>
                <w:szCs w:val="18"/>
              </w:rPr>
            </w:pPr>
            <w:r w:rsidRPr="00B93493">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14:paraId="7FFCD80C" w14:textId="77777777" w:rsidR="00CF04BC" w:rsidRPr="00B93493" w:rsidRDefault="00CF04BC" w:rsidP="002E7F54">
            <w:pPr>
              <w:pStyle w:val="Tabletext"/>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21F94F5B" w14:textId="77777777" w:rsidR="00CF04BC" w:rsidRPr="00B93493" w:rsidRDefault="00CF04BC" w:rsidP="002E7F54">
            <w:pPr>
              <w:pStyle w:val="Tabletext"/>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7466076F"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09382211"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497F99A7"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3F366D57"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260D7BFF" w14:textId="77777777" w:rsidR="00CF04BC" w:rsidRPr="00B93493" w:rsidRDefault="00CF04BC" w:rsidP="002E7F54">
            <w:pPr>
              <w:pStyle w:val="Tabletext"/>
              <w:jc w:val="center"/>
              <w:rPr>
                <w:sz w:val="18"/>
                <w:szCs w:val="18"/>
              </w:rPr>
            </w:pPr>
            <w:r w:rsidRPr="00B93493">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6E5AB3DC" w14:textId="77777777" w:rsidR="00CF04BC" w:rsidRPr="00B93493" w:rsidRDefault="00CF04BC" w:rsidP="002E7F54">
            <w:pPr>
              <w:pStyle w:val="Tabletext"/>
              <w:jc w:val="center"/>
              <w:rPr>
                <w:sz w:val="18"/>
                <w:szCs w:val="18"/>
              </w:rPr>
            </w:pPr>
            <w:r w:rsidRPr="00B93493">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28B2F10A" w14:textId="77777777" w:rsidR="00CF04BC" w:rsidRPr="00B93493" w:rsidRDefault="00CF04BC" w:rsidP="002E7F54">
            <w:pPr>
              <w:pStyle w:val="Tabletext"/>
              <w:jc w:val="center"/>
              <w:rPr>
                <w:sz w:val="18"/>
                <w:szCs w:val="18"/>
              </w:rPr>
            </w:pPr>
            <w:r w:rsidRPr="00B93493">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73D5D8AF" w14:textId="77777777" w:rsidR="00CF04BC" w:rsidRPr="00B93493" w:rsidRDefault="00CF04BC" w:rsidP="002E7F54">
            <w:pPr>
              <w:pStyle w:val="Tabletext"/>
              <w:jc w:val="center"/>
              <w:rPr>
                <w:sz w:val="18"/>
                <w:szCs w:val="18"/>
              </w:rPr>
            </w:pPr>
            <w:r w:rsidRPr="00B93493">
              <w:rPr>
                <w:sz w:val="18"/>
                <w:szCs w:val="18"/>
              </w:rPr>
              <w:t>44</w:t>
            </w:r>
          </w:p>
        </w:tc>
        <w:tc>
          <w:tcPr>
            <w:tcW w:w="879" w:type="dxa"/>
            <w:tcBorders>
              <w:top w:val="single" w:sz="4" w:space="0" w:color="auto"/>
              <w:left w:val="single" w:sz="4" w:space="0" w:color="auto"/>
              <w:bottom w:val="single" w:sz="4" w:space="0" w:color="auto"/>
              <w:right w:val="single" w:sz="4" w:space="0" w:color="auto"/>
            </w:tcBorders>
          </w:tcPr>
          <w:p w14:paraId="6DE6996C" w14:textId="77777777" w:rsidR="00CF04BC" w:rsidRPr="00B93493" w:rsidRDefault="00CF04BC" w:rsidP="002E7F54">
            <w:pPr>
              <w:pStyle w:val="Tabletext"/>
              <w:jc w:val="center"/>
              <w:rPr>
                <w:sz w:val="18"/>
                <w:szCs w:val="18"/>
              </w:rPr>
            </w:pPr>
            <w:r w:rsidRPr="00B93493">
              <w:rPr>
                <w:sz w:val="18"/>
                <w:szCs w:val="18"/>
              </w:rPr>
              <w:t>49</w:t>
            </w:r>
          </w:p>
        </w:tc>
      </w:tr>
      <w:tr w:rsidR="00CF04BC" w:rsidRPr="00B93493" w14:paraId="5E1AF018"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78505E78" w14:textId="77777777" w:rsidR="00CF04BC" w:rsidRPr="00B93493" w:rsidRDefault="00CF04BC" w:rsidP="002E7F54">
            <w:pPr>
              <w:pStyle w:val="Tabletext"/>
              <w:jc w:val="center"/>
              <w:rPr>
                <w:sz w:val="18"/>
                <w:szCs w:val="18"/>
              </w:rPr>
            </w:pPr>
            <w:r w:rsidRPr="00B93493">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14:paraId="3E450E3D" w14:textId="77777777" w:rsidR="00CF04BC" w:rsidRPr="00B93493" w:rsidRDefault="00CF04BC" w:rsidP="002E7F54">
            <w:pPr>
              <w:pStyle w:val="Tabletext"/>
              <w:jc w:val="center"/>
              <w:rPr>
                <w:sz w:val="18"/>
                <w:szCs w:val="18"/>
              </w:rPr>
            </w:pPr>
            <w:r w:rsidRPr="00B93493">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7A4022AF"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097F7C54"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7AD15397" w14:textId="77777777" w:rsidR="00CF04BC" w:rsidRPr="00B93493" w:rsidRDefault="00CF04BC" w:rsidP="002E7F54">
            <w:pPr>
              <w:pStyle w:val="Tabletext"/>
              <w:jc w:val="center"/>
              <w:rPr>
                <w:sz w:val="18"/>
                <w:szCs w:val="18"/>
              </w:rPr>
            </w:pPr>
            <w:r w:rsidRPr="00B93493">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4B80C715"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26625AF4" w14:textId="77777777" w:rsidR="00CF04BC" w:rsidRPr="00B93493" w:rsidRDefault="00CF04BC" w:rsidP="002E7F54">
            <w:pPr>
              <w:pStyle w:val="Tabletext"/>
              <w:jc w:val="center"/>
              <w:rPr>
                <w:sz w:val="18"/>
                <w:szCs w:val="18"/>
              </w:rPr>
            </w:pPr>
            <w:r w:rsidRPr="00B93493">
              <w:rPr>
                <w:sz w:val="18"/>
                <w:szCs w:val="18"/>
              </w:rPr>
              <w:t>36</w:t>
            </w:r>
          </w:p>
        </w:tc>
        <w:tc>
          <w:tcPr>
            <w:tcW w:w="765" w:type="dxa"/>
            <w:tcBorders>
              <w:top w:val="single" w:sz="4" w:space="0" w:color="auto"/>
              <w:left w:val="single" w:sz="4" w:space="0" w:color="auto"/>
              <w:bottom w:val="single" w:sz="4" w:space="0" w:color="auto"/>
              <w:right w:val="single" w:sz="4" w:space="0" w:color="auto"/>
            </w:tcBorders>
          </w:tcPr>
          <w:p w14:paraId="264812D1" w14:textId="77777777" w:rsidR="00CF04BC" w:rsidRPr="00B93493" w:rsidRDefault="00CF04BC" w:rsidP="002E7F54">
            <w:pPr>
              <w:pStyle w:val="Tabletext"/>
              <w:jc w:val="center"/>
              <w:rPr>
                <w:sz w:val="18"/>
                <w:szCs w:val="18"/>
              </w:rPr>
            </w:pPr>
            <w:r w:rsidRPr="00B93493">
              <w:rPr>
                <w:sz w:val="18"/>
                <w:szCs w:val="18"/>
              </w:rPr>
              <w:t>40</w:t>
            </w:r>
          </w:p>
        </w:tc>
        <w:tc>
          <w:tcPr>
            <w:tcW w:w="765" w:type="dxa"/>
            <w:tcBorders>
              <w:top w:val="single" w:sz="4" w:space="0" w:color="auto"/>
              <w:left w:val="single" w:sz="4" w:space="0" w:color="auto"/>
              <w:bottom w:val="single" w:sz="4" w:space="0" w:color="auto"/>
              <w:right w:val="single" w:sz="4" w:space="0" w:color="auto"/>
            </w:tcBorders>
          </w:tcPr>
          <w:p w14:paraId="36069D0A" w14:textId="77777777" w:rsidR="00CF04BC" w:rsidRPr="00B93493" w:rsidRDefault="00CF04BC" w:rsidP="002E7F54">
            <w:pPr>
              <w:pStyle w:val="Tabletext"/>
              <w:jc w:val="center"/>
              <w:rPr>
                <w:sz w:val="18"/>
                <w:szCs w:val="18"/>
              </w:rPr>
            </w:pPr>
            <w:r w:rsidRPr="00B93493">
              <w:rPr>
                <w:sz w:val="18"/>
                <w:szCs w:val="18"/>
              </w:rPr>
              <w:t>43</w:t>
            </w:r>
          </w:p>
        </w:tc>
        <w:tc>
          <w:tcPr>
            <w:tcW w:w="765" w:type="dxa"/>
            <w:tcBorders>
              <w:top w:val="single" w:sz="4" w:space="0" w:color="auto"/>
              <w:left w:val="single" w:sz="4" w:space="0" w:color="auto"/>
              <w:bottom w:val="single" w:sz="4" w:space="0" w:color="auto"/>
              <w:right w:val="single" w:sz="4" w:space="0" w:color="auto"/>
            </w:tcBorders>
          </w:tcPr>
          <w:p w14:paraId="36C35C8E" w14:textId="77777777" w:rsidR="00CF04BC" w:rsidRPr="00B93493" w:rsidRDefault="00CF04BC" w:rsidP="002E7F54">
            <w:pPr>
              <w:pStyle w:val="Tabletext"/>
              <w:jc w:val="center"/>
              <w:rPr>
                <w:sz w:val="18"/>
                <w:szCs w:val="18"/>
              </w:rPr>
            </w:pPr>
            <w:r w:rsidRPr="00B93493">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7FC277D8" w14:textId="77777777" w:rsidR="00CF04BC" w:rsidRPr="00B93493" w:rsidRDefault="00CF04BC" w:rsidP="002E7F54">
            <w:pPr>
              <w:pStyle w:val="Tabletext"/>
              <w:jc w:val="center"/>
              <w:rPr>
                <w:sz w:val="18"/>
                <w:szCs w:val="18"/>
              </w:rPr>
            </w:pPr>
            <w:r w:rsidRPr="00B93493">
              <w:rPr>
                <w:sz w:val="18"/>
                <w:szCs w:val="18"/>
              </w:rPr>
              <w:t>49</w:t>
            </w:r>
          </w:p>
        </w:tc>
        <w:tc>
          <w:tcPr>
            <w:tcW w:w="879" w:type="dxa"/>
            <w:tcBorders>
              <w:top w:val="single" w:sz="4" w:space="0" w:color="auto"/>
              <w:left w:val="single" w:sz="4" w:space="0" w:color="auto"/>
              <w:bottom w:val="single" w:sz="4" w:space="0" w:color="auto"/>
              <w:right w:val="single" w:sz="4" w:space="0" w:color="auto"/>
            </w:tcBorders>
          </w:tcPr>
          <w:p w14:paraId="627C8583" w14:textId="77777777" w:rsidR="00CF04BC" w:rsidRPr="00B93493" w:rsidRDefault="00CF04BC" w:rsidP="002E7F54">
            <w:pPr>
              <w:pStyle w:val="Tabletext"/>
              <w:jc w:val="center"/>
              <w:rPr>
                <w:sz w:val="18"/>
                <w:szCs w:val="18"/>
              </w:rPr>
            </w:pPr>
            <w:r w:rsidRPr="00B93493">
              <w:rPr>
                <w:sz w:val="18"/>
                <w:szCs w:val="18"/>
              </w:rPr>
              <w:t>55</w:t>
            </w:r>
          </w:p>
        </w:tc>
      </w:tr>
      <w:tr w:rsidR="00CF04BC" w:rsidRPr="00B93493" w14:paraId="7274CD55"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4A79AC13" w14:textId="77777777" w:rsidR="00CF04BC" w:rsidRPr="00B93493" w:rsidRDefault="00CF04BC" w:rsidP="002E7F54">
            <w:pPr>
              <w:pStyle w:val="Tabletext"/>
              <w:jc w:val="center"/>
              <w:rPr>
                <w:sz w:val="18"/>
                <w:szCs w:val="18"/>
              </w:rPr>
            </w:pPr>
            <w:r w:rsidRPr="00B93493">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14:paraId="38CB2933" w14:textId="77777777" w:rsidR="00CF04BC" w:rsidRPr="00B93493" w:rsidRDefault="00CF04BC" w:rsidP="002E7F54">
            <w:pPr>
              <w:pStyle w:val="Tabletext"/>
              <w:jc w:val="center"/>
              <w:rPr>
                <w:sz w:val="18"/>
                <w:szCs w:val="18"/>
              </w:rPr>
            </w:pPr>
            <w:r w:rsidRPr="00B93493">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64F84A43"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2445EA25" w14:textId="77777777" w:rsidR="00CF04BC" w:rsidRPr="00B93493" w:rsidRDefault="00CF04BC" w:rsidP="002E7F54">
            <w:pPr>
              <w:pStyle w:val="Tabletext"/>
              <w:jc w:val="center"/>
              <w:rPr>
                <w:sz w:val="18"/>
                <w:szCs w:val="18"/>
              </w:rPr>
            </w:pPr>
            <w:r w:rsidRPr="00B93493">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2934664F" w14:textId="77777777" w:rsidR="00CF04BC" w:rsidRPr="00B93493" w:rsidRDefault="00CF04BC" w:rsidP="002E7F54">
            <w:pPr>
              <w:pStyle w:val="Tabletext"/>
              <w:jc w:val="center"/>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5A45A882" w14:textId="77777777" w:rsidR="00CF04BC" w:rsidRPr="00B93493" w:rsidRDefault="00CF04BC" w:rsidP="002E7F54">
            <w:pPr>
              <w:pStyle w:val="Tabletext"/>
              <w:jc w:val="center"/>
              <w:rPr>
                <w:sz w:val="18"/>
                <w:szCs w:val="18"/>
              </w:rPr>
            </w:pPr>
            <w:r w:rsidRPr="00B93493">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3D5E6BD4" w14:textId="77777777" w:rsidR="00CF04BC" w:rsidRPr="00B93493" w:rsidRDefault="00CF04BC" w:rsidP="002E7F54">
            <w:pPr>
              <w:pStyle w:val="Tabletext"/>
              <w:jc w:val="center"/>
              <w:rPr>
                <w:sz w:val="18"/>
                <w:szCs w:val="18"/>
              </w:rPr>
            </w:pPr>
            <w:r w:rsidRPr="00B93493">
              <w:rPr>
                <w:sz w:val="18"/>
                <w:szCs w:val="18"/>
              </w:rPr>
              <w:t>40</w:t>
            </w:r>
          </w:p>
        </w:tc>
        <w:tc>
          <w:tcPr>
            <w:tcW w:w="765" w:type="dxa"/>
            <w:tcBorders>
              <w:top w:val="single" w:sz="4" w:space="0" w:color="auto"/>
              <w:left w:val="single" w:sz="4" w:space="0" w:color="auto"/>
              <w:bottom w:val="single" w:sz="4" w:space="0" w:color="auto"/>
              <w:right w:val="single" w:sz="4" w:space="0" w:color="auto"/>
            </w:tcBorders>
          </w:tcPr>
          <w:p w14:paraId="6A5B6D5E" w14:textId="77777777" w:rsidR="00CF04BC" w:rsidRPr="00B93493" w:rsidRDefault="00CF04BC" w:rsidP="002E7F54">
            <w:pPr>
              <w:pStyle w:val="Tabletext"/>
              <w:jc w:val="center"/>
              <w:rPr>
                <w:sz w:val="18"/>
                <w:szCs w:val="18"/>
              </w:rPr>
            </w:pPr>
            <w:r w:rsidRPr="00B93493">
              <w:rPr>
                <w:sz w:val="18"/>
                <w:szCs w:val="18"/>
              </w:rPr>
              <w:t>45</w:t>
            </w:r>
          </w:p>
        </w:tc>
        <w:tc>
          <w:tcPr>
            <w:tcW w:w="765" w:type="dxa"/>
            <w:tcBorders>
              <w:top w:val="single" w:sz="4" w:space="0" w:color="auto"/>
              <w:left w:val="single" w:sz="4" w:space="0" w:color="auto"/>
              <w:bottom w:val="single" w:sz="4" w:space="0" w:color="auto"/>
              <w:right w:val="single" w:sz="4" w:space="0" w:color="auto"/>
            </w:tcBorders>
          </w:tcPr>
          <w:p w14:paraId="507FA8AE" w14:textId="77777777" w:rsidR="00CF04BC" w:rsidRPr="00B93493" w:rsidRDefault="00CF04BC" w:rsidP="002E7F54">
            <w:pPr>
              <w:pStyle w:val="Tabletext"/>
              <w:jc w:val="center"/>
              <w:rPr>
                <w:sz w:val="18"/>
                <w:szCs w:val="18"/>
              </w:rPr>
            </w:pPr>
            <w:r w:rsidRPr="00B93493">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14:paraId="4C770CE0" w14:textId="77777777" w:rsidR="00CF04BC" w:rsidRPr="00B93493" w:rsidRDefault="00CF04BC" w:rsidP="002E7F54">
            <w:pPr>
              <w:pStyle w:val="Tabletext"/>
              <w:jc w:val="center"/>
              <w:rPr>
                <w:sz w:val="18"/>
                <w:szCs w:val="18"/>
              </w:rPr>
            </w:pPr>
            <w:r w:rsidRPr="00B93493">
              <w:rPr>
                <w:sz w:val="18"/>
                <w:szCs w:val="18"/>
              </w:rPr>
              <w:t>51</w:t>
            </w:r>
          </w:p>
        </w:tc>
        <w:tc>
          <w:tcPr>
            <w:tcW w:w="765" w:type="dxa"/>
            <w:tcBorders>
              <w:top w:val="single" w:sz="4" w:space="0" w:color="auto"/>
              <w:left w:val="single" w:sz="4" w:space="0" w:color="auto"/>
              <w:bottom w:val="single" w:sz="4" w:space="0" w:color="auto"/>
              <w:right w:val="single" w:sz="4" w:space="0" w:color="auto"/>
            </w:tcBorders>
          </w:tcPr>
          <w:p w14:paraId="0E35DC46" w14:textId="77777777" w:rsidR="00CF04BC" w:rsidRPr="00B93493" w:rsidRDefault="00CF04BC" w:rsidP="002E7F54">
            <w:pPr>
              <w:pStyle w:val="Tabletext"/>
              <w:jc w:val="center"/>
              <w:rPr>
                <w:sz w:val="18"/>
                <w:szCs w:val="18"/>
              </w:rPr>
            </w:pPr>
            <w:r w:rsidRPr="00B93493">
              <w:rPr>
                <w:sz w:val="18"/>
                <w:szCs w:val="18"/>
              </w:rPr>
              <w:t>55</w:t>
            </w:r>
          </w:p>
        </w:tc>
        <w:tc>
          <w:tcPr>
            <w:tcW w:w="879" w:type="dxa"/>
            <w:tcBorders>
              <w:top w:val="single" w:sz="4" w:space="0" w:color="auto"/>
              <w:left w:val="single" w:sz="4" w:space="0" w:color="auto"/>
              <w:bottom w:val="single" w:sz="4" w:space="0" w:color="auto"/>
              <w:right w:val="single" w:sz="4" w:space="0" w:color="auto"/>
            </w:tcBorders>
          </w:tcPr>
          <w:p w14:paraId="43501650" w14:textId="77777777" w:rsidR="00CF04BC" w:rsidRPr="00B93493" w:rsidRDefault="00CF04BC" w:rsidP="002E7F54">
            <w:pPr>
              <w:pStyle w:val="Tabletext"/>
              <w:jc w:val="center"/>
              <w:rPr>
                <w:sz w:val="18"/>
                <w:szCs w:val="18"/>
              </w:rPr>
            </w:pPr>
            <w:r w:rsidRPr="00B93493">
              <w:rPr>
                <w:sz w:val="18"/>
                <w:szCs w:val="18"/>
              </w:rPr>
              <w:t>60</w:t>
            </w:r>
          </w:p>
        </w:tc>
      </w:tr>
      <w:tr w:rsidR="00CF04BC" w:rsidRPr="00B93493" w14:paraId="6A60632F"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05F620A8" w14:textId="77777777" w:rsidR="00CF04BC" w:rsidRPr="00B93493" w:rsidRDefault="00CF04BC" w:rsidP="002E7F54">
            <w:pPr>
              <w:pStyle w:val="Tabletext"/>
              <w:jc w:val="center"/>
              <w:rPr>
                <w:sz w:val="18"/>
                <w:szCs w:val="18"/>
              </w:rPr>
            </w:pPr>
            <w:r w:rsidRPr="00B93493">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14:paraId="4E4F7A5D" w14:textId="77777777" w:rsidR="00CF04BC" w:rsidRPr="00B93493" w:rsidRDefault="00CF04BC" w:rsidP="002E7F54">
            <w:pPr>
              <w:pStyle w:val="Tabletext"/>
              <w:jc w:val="center"/>
              <w:rPr>
                <w:sz w:val="18"/>
                <w:szCs w:val="18"/>
              </w:rPr>
            </w:pPr>
            <w:r w:rsidRPr="00B93493">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5A161780" w14:textId="77777777" w:rsidR="00CF04BC" w:rsidRPr="00B93493" w:rsidRDefault="00CF04BC" w:rsidP="002E7F54">
            <w:pPr>
              <w:pStyle w:val="Tabletext"/>
              <w:jc w:val="center"/>
              <w:rPr>
                <w:sz w:val="18"/>
                <w:szCs w:val="18"/>
              </w:rPr>
            </w:pPr>
            <w:r w:rsidRPr="00B93493">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1C9081EA"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6ED49D83" w14:textId="77777777" w:rsidR="00CF04BC" w:rsidRPr="00B93493" w:rsidRDefault="00CF04BC" w:rsidP="002E7F54">
            <w:pPr>
              <w:pStyle w:val="Tabletext"/>
              <w:jc w:val="center"/>
              <w:rPr>
                <w:sz w:val="18"/>
                <w:szCs w:val="18"/>
              </w:rPr>
            </w:pPr>
            <w:r w:rsidRPr="00B93493">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6DAB8A92" w14:textId="77777777" w:rsidR="00CF04BC" w:rsidRPr="00B93493" w:rsidRDefault="00CF04BC" w:rsidP="002E7F54">
            <w:pPr>
              <w:pStyle w:val="Tabletext"/>
              <w:jc w:val="center"/>
              <w:rPr>
                <w:sz w:val="18"/>
                <w:szCs w:val="18"/>
              </w:rPr>
            </w:pPr>
            <w:r w:rsidRPr="00B93493">
              <w:rPr>
                <w:sz w:val="18"/>
                <w:szCs w:val="18"/>
              </w:rPr>
              <w:t>42</w:t>
            </w:r>
          </w:p>
        </w:tc>
        <w:tc>
          <w:tcPr>
            <w:tcW w:w="765" w:type="dxa"/>
            <w:tcBorders>
              <w:top w:val="single" w:sz="4" w:space="0" w:color="auto"/>
              <w:left w:val="single" w:sz="4" w:space="0" w:color="auto"/>
              <w:bottom w:val="single" w:sz="4" w:space="0" w:color="auto"/>
              <w:right w:val="single" w:sz="4" w:space="0" w:color="auto"/>
            </w:tcBorders>
          </w:tcPr>
          <w:p w14:paraId="68EFF71A" w14:textId="77777777" w:rsidR="00CF04BC" w:rsidRPr="00B93493" w:rsidRDefault="00CF04BC" w:rsidP="002E7F54">
            <w:pPr>
              <w:pStyle w:val="Tabletext"/>
              <w:jc w:val="center"/>
              <w:rPr>
                <w:sz w:val="18"/>
                <w:szCs w:val="18"/>
              </w:rPr>
            </w:pPr>
            <w:r w:rsidRPr="00B93493">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58E78838" w14:textId="77777777" w:rsidR="00CF04BC" w:rsidRPr="00B93493" w:rsidRDefault="00CF04BC" w:rsidP="002E7F54">
            <w:pPr>
              <w:pStyle w:val="Tabletext"/>
              <w:jc w:val="center"/>
              <w:rPr>
                <w:sz w:val="18"/>
                <w:szCs w:val="18"/>
              </w:rPr>
            </w:pPr>
            <w:r w:rsidRPr="00B93493">
              <w:rPr>
                <w:sz w:val="18"/>
                <w:szCs w:val="18"/>
              </w:rPr>
              <w:t>51</w:t>
            </w:r>
          </w:p>
        </w:tc>
        <w:tc>
          <w:tcPr>
            <w:tcW w:w="765" w:type="dxa"/>
            <w:tcBorders>
              <w:top w:val="single" w:sz="4" w:space="0" w:color="auto"/>
              <w:left w:val="single" w:sz="4" w:space="0" w:color="auto"/>
              <w:bottom w:val="single" w:sz="4" w:space="0" w:color="auto"/>
              <w:right w:val="single" w:sz="4" w:space="0" w:color="auto"/>
            </w:tcBorders>
          </w:tcPr>
          <w:p w14:paraId="4561BC23" w14:textId="77777777" w:rsidR="00CF04BC" w:rsidRPr="00B93493" w:rsidRDefault="00CF04BC" w:rsidP="002E7F54">
            <w:pPr>
              <w:pStyle w:val="Tabletext"/>
              <w:jc w:val="center"/>
              <w:rPr>
                <w:sz w:val="18"/>
                <w:szCs w:val="18"/>
              </w:rPr>
            </w:pPr>
            <w:r w:rsidRPr="00B93493">
              <w:rPr>
                <w:sz w:val="18"/>
                <w:szCs w:val="18"/>
              </w:rPr>
              <w:t>55</w:t>
            </w:r>
          </w:p>
        </w:tc>
        <w:tc>
          <w:tcPr>
            <w:tcW w:w="765" w:type="dxa"/>
            <w:tcBorders>
              <w:top w:val="single" w:sz="4" w:space="0" w:color="auto"/>
              <w:left w:val="single" w:sz="4" w:space="0" w:color="auto"/>
              <w:bottom w:val="single" w:sz="4" w:space="0" w:color="auto"/>
              <w:right w:val="single" w:sz="4" w:space="0" w:color="auto"/>
            </w:tcBorders>
          </w:tcPr>
          <w:p w14:paraId="517B64DA" w14:textId="77777777" w:rsidR="00CF04BC" w:rsidRPr="00B93493" w:rsidRDefault="00CF04BC" w:rsidP="002E7F54">
            <w:pPr>
              <w:pStyle w:val="Tabletext"/>
              <w:jc w:val="center"/>
              <w:rPr>
                <w:sz w:val="18"/>
                <w:szCs w:val="18"/>
              </w:rPr>
            </w:pPr>
            <w:r w:rsidRPr="00B93493">
              <w:rPr>
                <w:sz w:val="18"/>
                <w:szCs w:val="18"/>
              </w:rPr>
              <w:t>59</w:t>
            </w:r>
          </w:p>
        </w:tc>
        <w:tc>
          <w:tcPr>
            <w:tcW w:w="765" w:type="dxa"/>
            <w:tcBorders>
              <w:top w:val="single" w:sz="4" w:space="0" w:color="auto"/>
              <w:left w:val="single" w:sz="4" w:space="0" w:color="auto"/>
              <w:bottom w:val="single" w:sz="4" w:space="0" w:color="auto"/>
              <w:right w:val="single" w:sz="4" w:space="0" w:color="auto"/>
            </w:tcBorders>
          </w:tcPr>
          <w:p w14:paraId="05D8ECBF" w14:textId="77777777" w:rsidR="00CF04BC" w:rsidRPr="00B93493" w:rsidRDefault="00CF04BC" w:rsidP="002E7F54">
            <w:pPr>
              <w:pStyle w:val="Tabletext"/>
              <w:jc w:val="center"/>
              <w:rPr>
                <w:sz w:val="18"/>
                <w:szCs w:val="18"/>
              </w:rPr>
            </w:pPr>
            <w:r w:rsidRPr="00B93493">
              <w:rPr>
                <w:sz w:val="18"/>
                <w:szCs w:val="18"/>
              </w:rPr>
              <w:t>62</w:t>
            </w:r>
          </w:p>
        </w:tc>
        <w:tc>
          <w:tcPr>
            <w:tcW w:w="879" w:type="dxa"/>
            <w:tcBorders>
              <w:top w:val="single" w:sz="4" w:space="0" w:color="auto"/>
              <w:left w:val="single" w:sz="4" w:space="0" w:color="auto"/>
              <w:bottom w:val="single" w:sz="4" w:space="0" w:color="auto"/>
              <w:right w:val="single" w:sz="4" w:space="0" w:color="auto"/>
            </w:tcBorders>
          </w:tcPr>
          <w:p w14:paraId="6DFEFDED" w14:textId="77777777" w:rsidR="00CF04BC" w:rsidRPr="00B93493" w:rsidRDefault="00CF04BC" w:rsidP="002E7F54">
            <w:pPr>
              <w:pStyle w:val="Tabletext"/>
              <w:jc w:val="center"/>
              <w:rPr>
                <w:sz w:val="18"/>
                <w:szCs w:val="18"/>
              </w:rPr>
            </w:pPr>
            <w:r w:rsidRPr="00B93493">
              <w:rPr>
                <w:sz w:val="18"/>
                <w:szCs w:val="18"/>
              </w:rPr>
              <w:t>68</w:t>
            </w:r>
          </w:p>
        </w:tc>
      </w:tr>
      <w:tr w:rsidR="00CF04BC" w:rsidRPr="00B93493" w14:paraId="39AA2103"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0EC9E61B" w14:textId="77777777" w:rsidR="00CF04BC" w:rsidRPr="00B93493" w:rsidRDefault="00CF04BC" w:rsidP="002E7F54">
            <w:pPr>
              <w:pStyle w:val="Tabletext"/>
              <w:jc w:val="center"/>
              <w:rPr>
                <w:sz w:val="18"/>
                <w:szCs w:val="18"/>
              </w:rPr>
            </w:pPr>
            <w:r w:rsidRPr="00B93493">
              <w:rPr>
                <w:sz w:val="18"/>
                <w:szCs w:val="18"/>
              </w:rPr>
              <w:t>55.0</w:t>
            </w:r>
          </w:p>
        </w:tc>
        <w:tc>
          <w:tcPr>
            <w:tcW w:w="709" w:type="dxa"/>
            <w:tcBorders>
              <w:top w:val="single" w:sz="4" w:space="0" w:color="auto"/>
              <w:left w:val="single" w:sz="4" w:space="0" w:color="auto"/>
              <w:bottom w:val="single" w:sz="4" w:space="0" w:color="auto"/>
              <w:right w:val="single" w:sz="4" w:space="0" w:color="auto"/>
            </w:tcBorders>
          </w:tcPr>
          <w:p w14:paraId="728D6017"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34AC3ABB" w14:textId="77777777" w:rsidR="00CF04BC" w:rsidRPr="00B93493" w:rsidRDefault="00CF04BC" w:rsidP="002E7F54">
            <w:pPr>
              <w:pStyle w:val="Tabletext"/>
              <w:jc w:val="center"/>
              <w:rPr>
                <w:sz w:val="18"/>
                <w:szCs w:val="18"/>
              </w:rPr>
            </w:pPr>
            <w:r w:rsidRPr="00B93493">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4E55F2D2" w14:textId="77777777" w:rsidR="00CF04BC" w:rsidRPr="00B93493" w:rsidRDefault="00CF04BC" w:rsidP="002E7F54">
            <w:pPr>
              <w:pStyle w:val="Tabletext"/>
              <w:jc w:val="center"/>
              <w:rPr>
                <w:sz w:val="18"/>
                <w:szCs w:val="18"/>
              </w:rPr>
            </w:pPr>
            <w:r w:rsidRPr="00B93493">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525148CA" w14:textId="77777777" w:rsidR="00CF04BC" w:rsidRPr="00B93493" w:rsidRDefault="00CF04BC" w:rsidP="002E7F54">
            <w:pPr>
              <w:pStyle w:val="Tabletext"/>
              <w:jc w:val="center"/>
              <w:rPr>
                <w:sz w:val="18"/>
                <w:szCs w:val="18"/>
              </w:rPr>
            </w:pPr>
            <w:r w:rsidRPr="00B93493">
              <w:rPr>
                <w:sz w:val="18"/>
                <w:szCs w:val="18"/>
              </w:rPr>
              <w:t>43</w:t>
            </w:r>
          </w:p>
        </w:tc>
        <w:tc>
          <w:tcPr>
            <w:tcW w:w="765" w:type="dxa"/>
            <w:tcBorders>
              <w:top w:val="single" w:sz="4" w:space="0" w:color="auto"/>
              <w:left w:val="single" w:sz="4" w:space="0" w:color="auto"/>
              <w:bottom w:val="single" w:sz="4" w:space="0" w:color="auto"/>
              <w:right w:val="single" w:sz="4" w:space="0" w:color="auto"/>
            </w:tcBorders>
          </w:tcPr>
          <w:p w14:paraId="136259CF" w14:textId="77777777" w:rsidR="00CF04BC" w:rsidRPr="00B93493" w:rsidRDefault="00CF04BC" w:rsidP="002E7F54">
            <w:pPr>
              <w:pStyle w:val="Tabletext"/>
              <w:jc w:val="center"/>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3F1C074E" w14:textId="77777777" w:rsidR="00CF04BC" w:rsidRPr="00B93493" w:rsidRDefault="00CF04BC" w:rsidP="002E7F54">
            <w:pPr>
              <w:pStyle w:val="Tabletext"/>
              <w:jc w:val="center"/>
              <w:rPr>
                <w:sz w:val="18"/>
                <w:szCs w:val="18"/>
              </w:rPr>
            </w:pPr>
            <w:r w:rsidRPr="00B93493">
              <w:rPr>
                <w:sz w:val="18"/>
                <w:szCs w:val="18"/>
              </w:rPr>
              <w:t>56</w:t>
            </w:r>
          </w:p>
        </w:tc>
        <w:tc>
          <w:tcPr>
            <w:tcW w:w="765" w:type="dxa"/>
            <w:tcBorders>
              <w:top w:val="single" w:sz="4" w:space="0" w:color="auto"/>
              <w:left w:val="single" w:sz="4" w:space="0" w:color="auto"/>
              <w:bottom w:val="single" w:sz="4" w:space="0" w:color="auto"/>
              <w:right w:val="single" w:sz="4" w:space="0" w:color="auto"/>
            </w:tcBorders>
          </w:tcPr>
          <w:p w14:paraId="31512283" w14:textId="77777777" w:rsidR="00CF04BC" w:rsidRPr="00B93493" w:rsidRDefault="00CF04BC" w:rsidP="002E7F54">
            <w:pPr>
              <w:pStyle w:val="Tabletext"/>
              <w:jc w:val="center"/>
              <w:rPr>
                <w:sz w:val="18"/>
                <w:szCs w:val="18"/>
              </w:rPr>
            </w:pPr>
            <w:r w:rsidRPr="00B93493">
              <w:rPr>
                <w:sz w:val="18"/>
                <w:szCs w:val="18"/>
              </w:rPr>
              <w:t>61</w:t>
            </w:r>
          </w:p>
        </w:tc>
        <w:tc>
          <w:tcPr>
            <w:tcW w:w="765" w:type="dxa"/>
            <w:tcBorders>
              <w:top w:val="single" w:sz="4" w:space="0" w:color="auto"/>
              <w:left w:val="single" w:sz="4" w:space="0" w:color="auto"/>
              <w:bottom w:val="single" w:sz="4" w:space="0" w:color="auto"/>
              <w:right w:val="single" w:sz="4" w:space="0" w:color="auto"/>
            </w:tcBorders>
          </w:tcPr>
          <w:p w14:paraId="10A5DA01" w14:textId="77777777" w:rsidR="00CF04BC" w:rsidRPr="00B93493" w:rsidRDefault="00CF04BC" w:rsidP="002E7F54">
            <w:pPr>
              <w:pStyle w:val="Tabletext"/>
              <w:jc w:val="center"/>
              <w:rPr>
                <w:sz w:val="18"/>
                <w:szCs w:val="18"/>
              </w:rPr>
            </w:pPr>
            <w:r w:rsidRPr="00B93493">
              <w:rPr>
                <w:sz w:val="18"/>
                <w:szCs w:val="18"/>
              </w:rPr>
              <w:t>65</w:t>
            </w:r>
          </w:p>
        </w:tc>
        <w:tc>
          <w:tcPr>
            <w:tcW w:w="765" w:type="dxa"/>
            <w:tcBorders>
              <w:top w:val="single" w:sz="4" w:space="0" w:color="auto"/>
              <w:left w:val="single" w:sz="4" w:space="0" w:color="auto"/>
              <w:bottom w:val="single" w:sz="4" w:space="0" w:color="auto"/>
              <w:right w:val="single" w:sz="4" w:space="0" w:color="auto"/>
            </w:tcBorders>
          </w:tcPr>
          <w:p w14:paraId="45A906BE" w14:textId="77777777" w:rsidR="00CF04BC" w:rsidRPr="00B93493" w:rsidRDefault="00CF04BC" w:rsidP="002E7F54">
            <w:pPr>
              <w:pStyle w:val="Tabletext"/>
              <w:jc w:val="center"/>
              <w:rPr>
                <w:sz w:val="18"/>
                <w:szCs w:val="18"/>
              </w:rPr>
            </w:pPr>
            <w:r w:rsidRPr="00B93493">
              <w:rPr>
                <w:sz w:val="18"/>
                <w:szCs w:val="18"/>
              </w:rPr>
              <w:t>69</w:t>
            </w:r>
          </w:p>
        </w:tc>
        <w:tc>
          <w:tcPr>
            <w:tcW w:w="765" w:type="dxa"/>
            <w:tcBorders>
              <w:top w:val="single" w:sz="4" w:space="0" w:color="auto"/>
              <w:left w:val="single" w:sz="4" w:space="0" w:color="auto"/>
              <w:bottom w:val="single" w:sz="4" w:space="0" w:color="auto"/>
              <w:right w:val="single" w:sz="4" w:space="0" w:color="auto"/>
            </w:tcBorders>
          </w:tcPr>
          <w:p w14:paraId="00749193" w14:textId="77777777" w:rsidR="00CF04BC" w:rsidRPr="00B93493" w:rsidRDefault="00CF04BC" w:rsidP="002E7F54">
            <w:pPr>
              <w:pStyle w:val="Tabletext"/>
              <w:jc w:val="center"/>
              <w:rPr>
                <w:sz w:val="18"/>
                <w:szCs w:val="18"/>
              </w:rPr>
            </w:pPr>
            <w:r w:rsidRPr="00B93493">
              <w:rPr>
                <w:sz w:val="18"/>
                <w:szCs w:val="18"/>
              </w:rPr>
              <w:t>73</w:t>
            </w:r>
          </w:p>
        </w:tc>
        <w:tc>
          <w:tcPr>
            <w:tcW w:w="879" w:type="dxa"/>
            <w:tcBorders>
              <w:top w:val="single" w:sz="4" w:space="0" w:color="auto"/>
              <w:left w:val="single" w:sz="4" w:space="0" w:color="auto"/>
              <w:bottom w:val="single" w:sz="4" w:space="0" w:color="auto"/>
              <w:right w:val="single" w:sz="4" w:space="0" w:color="auto"/>
            </w:tcBorders>
          </w:tcPr>
          <w:p w14:paraId="1301731F" w14:textId="77777777" w:rsidR="00CF04BC" w:rsidRPr="00B93493" w:rsidRDefault="00CF04BC" w:rsidP="002E7F54">
            <w:pPr>
              <w:pStyle w:val="Tabletext"/>
              <w:jc w:val="center"/>
              <w:rPr>
                <w:sz w:val="18"/>
                <w:szCs w:val="18"/>
              </w:rPr>
            </w:pPr>
            <w:r w:rsidRPr="00B93493">
              <w:rPr>
                <w:sz w:val="18"/>
                <w:szCs w:val="18"/>
              </w:rPr>
              <w:t>79</w:t>
            </w:r>
          </w:p>
        </w:tc>
      </w:tr>
      <w:tr w:rsidR="00CF04BC" w:rsidRPr="00B93493" w14:paraId="6647233B"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4EC150A2" w14:textId="77777777" w:rsidR="00CF04BC" w:rsidRPr="00B93493" w:rsidRDefault="00CF04BC" w:rsidP="002E7F54">
            <w:pPr>
              <w:pStyle w:val="Tabletext"/>
              <w:jc w:val="center"/>
              <w:rPr>
                <w:sz w:val="18"/>
                <w:szCs w:val="18"/>
              </w:rPr>
            </w:pPr>
            <w:r w:rsidRPr="00B93493">
              <w:rPr>
                <w:sz w:val="18"/>
                <w:szCs w:val="18"/>
              </w:rPr>
              <w:t>60.0</w:t>
            </w:r>
          </w:p>
        </w:tc>
        <w:tc>
          <w:tcPr>
            <w:tcW w:w="709" w:type="dxa"/>
            <w:tcBorders>
              <w:top w:val="single" w:sz="4" w:space="0" w:color="auto"/>
              <w:left w:val="single" w:sz="4" w:space="0" w:color="auto"/>
              <w:bottom w:val="single" w:sz="4" w:space="0" w:color="auto"/>
              <w:right w:val="single" w:sz="4" w:space="0" w:color="auto"/>
            </w:tcBorders>
          </w:tcPr>
          <w:p w14:paraId="693F4598" w14:textId="77777777" w:rsidR="00CF04BC" w:rsidRPr="00B93493" w:rsidRDefault="00CF04BC" w:rsidP="002E7F54">
            <w:pPr>
              <w:pStyle w:val="Tabletext"/>
              <w:jc w:val="center"/>
              <w:rPr>
                <w:sz w:val="18"/>
                <w:szCs w:val="18"/>
              </w:rPr>
            </w:pPr>
            <w:r w:rsidRPr="00B93493">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3B5DC3E4" w14:textId="77777777" w:rsidR="00CF04BC" w:rsidRPr="00B93493" w:rsidRDefault="00CF04BC" w:rsidP="002E7F54">
            <w:pPr>
              <w:pStyle w:val="Tabletext"/>
              <w:jc w:val="center"/>
              <w:rPr>
                <w:sz w:val="18"/>
                <w:szCs w:val="18"/>
              </w:rPr>
            </w:pPr>
            <w:r w:rsidRPr="00B93493">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1730DC58" w14:textId="77777777" w:rsidR="00CF04BC" w:rsidRPr="00B93493" w:rsidRDefault="00CF04BC" w:rsidP="002E7F54">
            <w:pPr>
              <w:pStyle w:val="Tabletext"/>
              <w:jc w:val="center"/>
              <w:rPr>
                <w:sz w:val="18"/>
                <w:szCs w:val="18"/>
              </w:rPr>
            </w:pPr>
            <w:r w:rsidRPr="00B93493">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14:paraId="4881DFA1" w14:textId="77777777" w:rsidR="00CF04BC" w:rsidRPr="00B93493" w:rsidRDefault="00CF04BC" w:rsidP="002E7F54">
            <w:pPr>
              <w:pStyle w:val="Tabletext"/>
              <w:jc w:val="center"/>
              <w:rPr>
                <w:sz w:val="18"/>
                <w:szCs w:val="18"/>
              </w:rPr>
            </w:pPr>
            <w:r w:rsidRPr="00B93493">
              <w:rPr>
                <w:sz w:val="18"/>
                <w:szCs w:val="18"/>
              </w:rPr>
              <w:t>53</w:t>
            </w:r>
          </w:p>
        </w:tc>
        <w:tc>
          <w:tcPr>
            <w:tcW w:w="765" w:type="dxa"/>
            <w:tcBorders>
              <w:top w:val="single" w:sz="4" w:space="0" w:color="auto"/>
              <w:left w:val="single" w:sz="4" w:space="0" w:color="auto"/>
              <w:bottom w:val="single" w:sz="4" w:space="0" w:color="auto"/>
              <w:right w:val="single" w:sz="4" w:space="0" w:color="auto"/>
            </w:tcBorders>
          </w:tcPr>
          <w:p w14:paraId="396CFE27" w14:textId="77777777" w:rsidR="00CF04BC" w:rsidRPr="00B93493" w:rsidRDefault="00CF04BC" w:rsidP="002E7F54">
            <w:pPr>
              <w:pStyle w:val="Tabletext"/>
              <w:jc w:val="center"/>
              <w:rPr>
                <w:sz w:val="18"/>
                <w:szCs w:val="18"/>
              </w:rPr>
            </w:pPr>
            <w:r w:rsidRPr="00B93493">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255EEFC4" w14:textId="77777777" w:rsidR="00CF04BC" w:rsidRPr="00B93493" w:rsidRDefault="00CF04BC" w:rsidP="002E7F54">
            <w:pPr>
              <w:pStyle w:val="Tabletext"/>
              <w:jc w:val="center"/>
              <w:rPr>
                <w:sz w:val="18"/>
                <w:szCs w:val="18"/>
              </w:rPr>
            </w:pPr>
            <w:r w:rsidRPr="00B93493">
              <w:rPr>
                <w:sz w:val="18"/>
                <w:szCs w:val="18"/>
              </w:rPr>
              <w:t>67</w:t>
            </w:r>
          </w:p>
        </w:tc>
        <w:tc>
          <w:tcPr>
            <w:tcW w:w="765" w:type="dxa"/>
            <w:tcBorders>
              <w:top w:val="single" w:sz="4" w:space="0" w:color="auto"/>
              <w:left w:val="single" w:sz="4" w:space="0" w:color="auto"/>
              <w:bottom w:val="single" w:sz="4" w:space="0" w:color="auto"/>
              <w:right w:val="single" w:sz="4" w:space="0" w:color="auto"/>
            </w:tcBorders>
          </w:tcPr>
          <w:p w14:paraId="462104A0" w14:textId="77777777" w:rsidR="00CF04BC" w:rsidRPr="00B93493" w:rsidRDefault="00CF04BC" w:rsidP="002E7F54">
            <w:pPr>
              <w:pStyle w:val="Tabletext"/>
              <w:jc w:val="center"/>
              <w:rPr>
                <w:sz w:val="18"/>
                <w:szCs w:val="18"/>
              </w:rPr>
            </w:pPr>
            <w:r w:rsidRPr="00B93493">
              <w:rPr>
                <w:sz w:val="18"/>
                <w:szCs w:val="18"/>
              </w:rPr>
              <w:t>71</w:t>
            </w:r>
          </w:p>
        </w:tc>
        <w:tc>
          <w:tcPr>
            <w:tcW w:w="765" w:type="dxa"/>
            <w:tcBorders>
              <w:top w:val="single" w:sz="4" w:space="0" w:color="auto"/>
              <w:left w:val="single" w:sz="4" w:space="0" w:color="auto"/>
              <w:bottom w:val="single" w:sz="4" w:space="0" w:color="auto"/>
              <w:right w:val="single" w:sz="4" w:space="0" w:color="auto"/>
            </w:tcBorders>
          </w:tcPr>
          <w:p w14:paraId="7BBB4078" w14:textId="77777777" w:rsidR="00CF04BC" w:rsidRPr="00B93493" w:rsidRDefault="00CF04BC" w:rsidP="002E7F54">
            <w:pPr>
              <w:pStyle w:val="Tabletext"/>
              <w:jc w:val="center"/>
              <w:rPr>
                <w:sz w:val="18"/>
                <w:szCs w:val="18"/>
              </w:rPr>
            </w:pPr>
            <w:r w:rsidRPr="00B93493">
              <w:rPr>
                <w:sz w:val="18"/>
                <w:szCs w:val="18"/>
              </w:rPr>
              <w:t>75</w:t>
            </w:r>
          </w:p>
        </w:tc>
        <w:tc>
          <w:tcPr>
            <w:tcW w:w="765" w:type="dxa"/>
            <w:tcBorders>
              <w:top w:val="single" w:sz="4" w:space="0" w:color="auto"/>
              <w:left w:val="single" w:sz="4" w:space="0" w:color="auto"/>
              <w:bottom w:val="single" w:sz="4" w:space="0" w:color="auto"/>
              <w:right w:val="single" w:sz="4" w:space="0" w:color="auto"/>
            </w:tcBorders>
          </w:tcPr>
          <w:p w14:paraId="59A52D55" w14:textId="77777777" w:rsidR="00CF04BC" w:rsidRPr="00B93493" w:rsidRDefault="00CF04BC" w:rsidP="002E7F54">
            <w:pPr>
              <w:pStyle w:val="Tabletext"/>
              <w:jc w:val="center"/>
              <w:rPr>
                <w:sz w:val="18"/>
                <w:szCs w:val="18"/>
              </w:rPr>
            </w:pPr>
            <w:r w:rsidRPr="00B93493">
              <w:rPr>
                <w:sz w:val="18"/>
                <w:szCs w:val="18"/>
              </w:rPr>
              <w:t>80</w:t>
            </w:r>
          </w:p>
        </w:tc>
        <w:tc>
          <w:tcPr>
            <w:tcW w:w="765" w:type="dxa"/>
            <w:tcBorders>
              <w:top w:val="single" w:sz="4" w:space="0" w:color="auto"/>
              <w:left w:val="single" w:sz="4" w:space="0" w:color="auto"/>
              <w:bottom w:val="single" w:sz="4" w:space="0" w:color="auto"/>
              <w:right w:val="single" w:sz="4" w:space="0" w:color="auto"/>
            </w:tcBorders>
          </w:tcPr>
          <w:p w14:paraId="30C90BE4" w14:textId="77777777" w:rsidR="00CF04BC" w:rsidRPr="00B93493" w:rsidRDefault="00CF04BC" w:rsidP="002E7F54">
            <w:pPr>
              <w:pStyle w:val="Tabletext"/>
              <w:jc w:val="center"/>
              <w:rPr>
                <w:sz w:val="18"/>
                <w:szCs w:val="18"/>
              </w:rPr>
            </w:pPr>
            <w:r w:rsidRPr="00B93493">
              <w:rPr>
                <w:sz w:val="18"/>
                <w:szCs w:val="18"/>
              </w:rPr>
              <w:t>84</w:t>
            </w:r>
          </w:p>
        </w:tc>
        <w:tc>
          <w:tcPr>
            <w:tcW w:w="879" w:type="dxa"/>
            <w:tcBorders>
              <w:top w:val="single" w:sz="4" w:space="0" w:color="auto"/>
              <w:left w:val="single" w:sz="4" w:space="0" w:color="auto"/>
              <w:bottom w:val="single" w:sz="4" w:space="0" w:color="auto"/>
              <w:right w:val="single" w:sz="4" w:space="0" w:color="auto"/>
            </w:tcBorders>
          </w:tcPr>
          <w:p w14:paraId="2BDA06E4" w14:textId="77777777" w:rsidR="00CF04BC" w:rsidRPr="00B93493" w:rsidRDefault="00CF04BC" w:rsidP="002E7F54">
            <w:pPr>
              <w:pStyle w:val="Tabletext"/>
              <w:jc w:val="center"/>
              <w:rPr>
                <w:sz w:val="18"/>
                <w:szCs w:val="18"/>
              </w:rPr>
            </w:pPr>
            <w:r w:rsidRPr="00B93493">
              <w:rPr>
                <w:sz w:val="18"/>
                <w:szCs w:val="18"/>
              </w:rPr>
              <w:t>90</w:t>
            </w:r>
          </w:p>
        </w:tc>
      </w:tr>
    </w:tbl>
    <w:p w14:paraId="521F766F" w14:textId="77777777" w:rsidR="00CF04BC" w:rsidRPr="00B93493" w:rsidRDefault="00CF04BC" w:rsidP="00CF04BC">
      <w:pPr>
        <w:pStyle w:val="Tablefin"/>
      </w:pPr>
    </w:p>
    <w:p w14:paraId="14AF472C" w14:textId="77777777" w:rsidR="00CF04BC" w:rsidRPr="00B93493" w:rsidRDefault="00CF04BC" w:rsidP="00F63AE2">
      <w:pPr>
        <w:pStyle w:val="TableNo"/>
        <w:keepLines/>
        <w:rPr>
          <w:lang w:eastAsia="zh-CN"/>
        </w:rPr>
      </w:pPr>
      <w:r w:rsidRPr="00B93493">
        <w:t xml:space="preserve">TABLE </w:t>
      </w:r>
      <w:r>
        <w:rPr>
          <w:rFonts w:hint="eastAsia"/>
          <w:lang w:eastAsia="zh-CN"/>
        </w:rPr>
        <w:t>9</w:t>
      </w:r>
    </w:p>
    <w:p w14:paraId="234A2B4B" w14:textId="77777777" w:rsidR="00CF04BC" w:rsidRPr="00B93493" w:rsidRDefault="00CF04BC" w:rsidP="00F63AE2">
      <w:pPr>
        <w:pStyle w:val="Tabletitle"/>
        <w:keepLines/>
      </w:pPr>
      <w:r w:rsidRPr="00B93493">
        <w:t>Radius of service area (km) for TV above 528 MHz,</w:t>
      </w:r>
      <w:r w:rsidRPr="00B93493">
        <w:br/>
      </w:r>
      <w:r w:rsidRPr="00B93493">
        <w:rPr>
          <w:i/>
          <w:iCs/>
        </w:rPr>
        <w:t>E</w:t>
      </w:r>
      <w:r w:rsidRPr="00B93493">
        <w:rPr>
          <w:i/>
          <w:iCs/>
          <w:vertAlign w:val="subscript"/>
        </w:rPr>
        <w:t>mu</w:t>
      </w:r>
      <w:r w:rsidRPr="00B93493">
        <w:t xml:space="preserve"> </w:t>
      </w:r>
      <w:r w:rsidRPr="00B93493">
        <w:rPr>
          <w:rFonts w:ascii="Symbol" w:hAnsi="Symbol"/>
        </w:rPr>
        <w:t></w:t>
      </w:r>
      <w:r w:rsidRPr="00B93493">
        <w:t xml:space="preserve"> 70 dB(</w:t>
      </w:r>
      <w:r w:rsidRPr="00B93493">
        <w:rPr>
          <w:rFonts w:ascii="Symbol" w:hAnsi="Symbol"/>
        </w:rPr>
        <w:t></w:t>
      </w:r>
      <w:r w:rsidRPr="00B93493">
        <w:t xml:space="preserve">V/m), </w:t>
      </w:r>
      <w:r w:rsidRPr="00B93493">
        <w:rPr>
          <w:i/>
          <w:iCs/>
        </w:rPr>
        <w:t>f</w:t>
      </w:r>
      <w:r w:rsidRPr="00B93493">
        <w:rPr>
          <w:i/>
          <w:iCs/>
          <w:vertAlign w:val="subscript"/>
        </w:rPr>
        <w:t>c</w:t>
      </w:r>
      <w:r w:rsidRPr="00B93493">
        <w:t xml:space="preserve"> </w:t>
      </w:r>
      <w:r w:rsidRPr="00B93493">
        <w:rPr>
          <w:rFonts w:ascii="Symbol" w:hAnsi="Symbol"/>
        </w:rPr>
        <w:t></w:t>
      </w:r>
      <w:r w:rsidRPr="00B93493">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03"/>
        <w:gridCol w:w="759"/>
        <w:gridCol w:w="759"/>
        <w:gridCol w:w="759"/>
        <w:gridCol w:w="759"/>
        <w:gridCol w:w="759"/>
        <w:gridCol w:w="759"/>
        <w:gridCol w:w="759"/>
        <w:gridCol w:w="759"/>
        <w:gridCol w:w="759"/>
        <w:gridCol w:w="871"/>
      </w:tblGrid>
      <w:tr w:rsidR="00CF04BC" w:rsidRPr="00B93493" w14:paraId="4C206C2E" w14:textId="77777777" w:rsidTr="002E7F54">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6F6B9A95" w14:textId="77777777" w:rsidR="00CF04BC" w:rsidRPr="00B93493" w:rsidRDefault="00CF04BC" w:rsidP="00F63AE2">
            <w:pPr>
              <w:pStyle w:val="Tablehead"/>
              <w:keepLines/>
              <w:ind w:right="-340"/>
              <w:rPr>
                <w:sz w:val="18"/>
                <w:szCs w:val="18"/>
              </w:rPr>
            </w:pPr>
            <w:r w:rsidRPr="00B93493">
              <w:rPr>
                <w:i/>
                <w:iCs/>
                <w:sz w:val="18"/>
                <w:szCs w:val="18"/>
              </w:rPr>
              <w:t>h</w:t>
            </w:r>
            <w:r w:rsidRPr="00B93493">
              <w:rPr>
                <w:i/>
                <w:iCs/>
                <w:sz w:val="18"/>
                <w:szCs w:val="18"/>
                <w:vertAlign w:val="subscript"/>
              </w:rPr>
              <w:t>ef</w:t>
            </w:r>
            <w:r w:rsidRPr="00B93493">
              <w:rPr>
                <w:sz w:val="18"/>
                <w:szCs w:val="18"/>
              </w:rPr>
              <w:t xml:space="preserve"> (m)</w:t>
            </w:r>
          </w:p>
          <w:p w14:paraId="0E164B21" w14:textId="77777777" w:rsidR="00CF04BC" w:rsidRPr="00B93493" w:rsidRDefault="00CF04BC" w:rsidP="00F63AE2">
            <w:pPr>
              <w:pStyle w:val="Tablehead"/>
              <w:keepLines/>
              <w:ind w:left="-113"/>
              <w:jc w:val="left"/>
              <w:rPr>
                <w:sz w:val="18"/>
                <w:szCs w:val="18"/>
              </w:rPr>
            </w:pPr>
            <w:r w:rsidRPr="00B93493">
              <w:rPr>
                <w:i/>
                <w:iCs/>
                <w:sz w:val="18"/>
                <w:szCs w:val="18"/>
              </w:rPr>
              <w:t>P</w:t>
            </w:r>
            <w:r w:rsidRPr="00B93493">
              <w:rPr>
                <w:i/>
                <w:iCs/>
                <w:sz w:val="18"/>
                <w:szCs w:val="18"/>
                <w:vertAlign w:val="subscript"/>
              </w:rPr>
              <w:t>ef</w:t>
            </w:r>
            <w:r w:rsidRPr="00B93493">
              <w:rPr>
                <w:rFonts w:ascii="Tms Rmn" w:hAnsi="Tms Rmn"/>
                <w:sz w:val="18"/>
                <w:szCs w:val="18"/>
                <w:vertAlign w:val="subscript"/>
              </w:rPr>
              <w:t> </w:t>
            </w:r>
            <w:r w:rsidRPr="00B93493">
              <w:rPr>
                <w:sz w:val="18"/>
                <w:szCs w:val="18"/>
              </w:rPr>
              <w:t>(dBW)</w:t>
            </w:r>
          </w:p>
        </w:tc>
        <w:tc>
          <w:tcPr>
            <w:tcW w:w="709" w:type="dxa"/>
            <w:tcBorders>
              <w:top w:val="single" w:sz="4" w:space="0" w:color="auto"/>
              <w:left w:val="single" w:sz="4" w:space="0" w:color="auto"/>
              <w:bottom w:val="single" w:sz="4" w:space="0" w:color="auto"/>
              <w:right w:val="single" w:sz="4" w:space="0" w:color="auto"/>
            </w:tcBorders>
          </w:tcPr>
          <w:p w14:paraId="084CF45A" w14:textId="77777777" w:rsidR="00CF04BC" w:rsidRPr="00B93493" w:rsidRDefault="00CF04BC" w:rsidP="00F63AE2">
            <w:pPr>
              <w:pStyle w:val="Tablehead"/>
              <w:keepLines/>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0B46DF7D" w14:textId="77777777" w:rsidR="00CF04BC" w:rsidRPr="00B93493" w:rsidRDefault="00CF04BC" w:rsidP="00F63AE2">
            <w:pPr>
              <w:pStyle w:val="Tablehead"/>
              <w:keepLines/>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38F87A21" w14:textId="77777777" w:rsidR="00CF04BC" w:rsidRPr="00B93493" w:rsidRDefault="00CF04BC" w:rsidP="00F63AE2">
            <w:pPr>
              <w:pStyle w:val="Tablehead"/>
              <w:keepLines/>
              <w:rPr>
                <w:sz w:val="18"/>
                <w:szCs w:val="18"/>
              </w:rPr>
            </w:pPr>
            <w:r w:rsidRPr="00B93493">
              <w:rPr>
                <w:sz w:val="18"/>
                <w:szCs w:val="18"/>
              </w:rPr>
              <w:t>75</w:t>
            </w:r>
          </w:p>
        </w:tc>
        <w:tc>
          <w:tcPr>
            <w:tcW w:w="765" w:type="dxa"/>
            <w:tcBorders>
              <w:top w:val="single" w:sz="4" w:space="0" w:color="auto"/>
              <w:left w:val="single" w:sz="4" w:space="0" w:color="auto"/>
              <w:bottom w:val="single" w:sz="4" w:space="0" w:color="auto"/>
              <w:right w:val="single" w:sz="4" w:space="0" w:color="auto"/>
            </w:tcBorders>
          </w:tcPr>
          <w:p w14:paraId="2F7214EA" w14:textId="77777777" w:rsidR="00CF04BC" w:rsidRPr="00B93493" w:rsidRDefault="00CF04BC" w:rsidP="00F63AE2">
            <w:pPr>
              <w:pStyle w:val="Tablehead"/>
              <w:keepLines/>
              <w:rPr>
                <w:sz w:val="18"/>
                <w:szCs w:val="18"/>
              </w:rPr>
            </w:pPr>
            <w:r w:rsidRPr="00B93493">
              <w:rPr>
                <w:sz w:val="18"/>
                <w:szCs w:val="18"/>
              </w:rPr>
              <w:t>100</w:t>
            </w:r>
          </w:p>
        </w:tc>
        <w:tc>
          <w:tcPr>
            <w:tcW w:w="765" w:type="dxa"/>
            <w:tcBorders>
              <w:top w:val="single" w:sz="4" w:space="0" w:color="auto"/>
              <w:left w:val="single" w:sz="4" w:space="0" w:color="auto"/>
              <w:bottom w:val="single" w:sz="4" w:space="0" w:color="auto"/>
              <w:right w:val="single" w:sz="4" w:space="0" w:color="auto"/>
            </w:tcBorders>
          </w:tcPr>
          <w:p w14:paraId="46990F14" w14:textId="77777777" w:rsidR="00CF04BC" w:rsidRPr="00B93493" w:rsidRDefault="00CF04BC" w:rsidP="00F63AE2">
            <w:pPr>
              <w:pStyle w:val="Tablehead"/>
              <w:keepLines/>
              <w:rPr>
                <w:sz w:val="18"/>
                <w:szCs w:val="18"/>
              </w:rPr>
            </w:pPr>
            <w:r w:rsidRPr="00B93493">
              <w:rPr>
                <w:sz w:val="18"/>
                <w:szCs w:val="18"/>
              </w:rPr>
              <w:t>150</w:t>
            </w:r>
          </w:p>
        </w:tc>
        <w:tc>
          <w:tcPr>
            <w:tcW w:w="765" w:type="dxa"/>
            <w:tcBorders>
              <w:top w:val="single" w:sz="4" w:space="0" w:color="auto"/>
              <w:left w:val="single" w:sz="4" w:space="0" w:color="auto"/>
              <w:bottom w:val="single" w:sz="4" w:space="0" w:color="auto"/>
              <w:right w:val="single" w:sz="4" w:space="0" w:color="auto"/>
            </w:tcBorders>
          </w:tcPr>
          <w:p w14:paraId="78E44356" w14:textId="77777777" w:rsidR="00CF04BC" w:rsidRPr="00B93493" w:rsidRDefault="00CF04BC" w:rsidP="00F63AE2">
            <w:pPr>
              <w:pStyle w:val="Tablehead"/>
              <w:keepLines/>
              <w:rPr>
                <w:sz w:val="18"/>
                <w:szCs w:val="18"/>
              </w:rPr>
            </w:pPr>
            <w:r w:rsidRPr="00B93493">
              <w:rPr>
                <w:sz w:val="18"/>
                <w:szCs w:val="18"/>
              </w:rPr>
              <w:t>200</w:t>
            </w:r>
          </w:p>
        </w:tc>
        <w:tc>
          <w:tcPr>
            <w:tcW w:w="765" w:type="dxa"/>
            <w:tcBorders>
              <w:top w:val="single" w:sz="4" w:space="0" w:color="auto"/>
              <w:left w:val="single" w:sz="4" w:space="0" w:color="auto"/>
              <w:bottom w:val="single" w:sz="4" w:space="0" w:color="auto"/>
              <w:right w:val="single" w:sz="4" w:space="0" w:color="auto"/>
            </w:tcBorders>
          </w:tcPr>
          <w:p w14:paraId="67F8289C" w14:textId="77777777" w:rsidR="00CF04BC" w:rsidRPr="00B93493" w:rsidRDefault="00CF04BC" w:rsidP="00F63AE2">
            <w:pPr>
              <w:pStyle w:val="Tablehead"/>
              <w:keepLines/>
              <w:rPr>
                <w:sz w:val="18"/>
                <w:szCs w:val="18"/>
              </w:rPr>
            </w:pPr>
            <w:r w:rsidRPr="00B93493">
              <w:rPr>
                <w:sz w:val="18"/>
                <w:szCs w:val="18"/>
              </w:rPr>
              <w:t>250</w:t>
            </w:r>
          </w:p>
        </w:tc>
        <w:tc>
          <w:tcPr>
            <w:tcW w:w="765" w:type="dxa"/>
            <w:tcBorders>
              <w:top w:val="single" w:sz="4" w:space="0" w:color="auto"/>
              <w:left w:val="single" w:sz="4" w:space="0" w:color="auto"/>
              <w:bottom w:val="single" w:sz="4" w:space="0" w:color="auto"/>
              <w:right w:val="single" w:sz="4" w:space="0" w:color="auto"/>
            </w:tcBorders>
          </w:tcPr>
          <w:p w14:paraId="363AD7F1" w14:textId="77777777" w:rsidR="00CF04BC" w:rsidRPr="00B93493" w:rsidRDefault="00CF04BC" w:rsidP="00F63AE2">
            <w:pPr>
              <w:pStyle w:val="Tablehead"/>
              <w:keepLines/>
              <w:rPr>
                <w:sz w:val="18"/>
                <w:szCs w:val="18"/>
              </w:rPr>
            </w:pPr>
            <w:r w:rsidRPr="00B93493">
              <w:rPr>
                <w:sz w:val="18"/>
                <w:szCs w:val="18"/>
              </w:rPr>
              <w:t>300</w:t>
            </w:r>
          </w:p>
        </w:tc>
        <w:tc>
          <w:tcPr>
            <w:tcW w:w="765" w:type="dxa"/>
            <w:tcBorders>
              <w:top w:val="single" w:sz="4" w:space="0" w:color="auto"/>
              <w:left w:val="single" w:sz="4" w:space="0" w:color="auto"/>
              <w:bottom w:val="single" w:sz="4" w:space="0" w:color="auto"/>
              <w:right w:val="single" w:sz="4" w:space="0" w:color="auto"/>
            </w:tcBorders>
          </w:tcPr>
          <w:p w14:paraId="0A7B0847" w14:textId="77777777" w:rsidR="00CF04BC" w:rsidRPr="00B93493" w:rsidRDefault="00CF04BC" w:rsidP="00F63AE2">
            <w:pPr>
              <w:pStyle w:val="Tablehead"/>
              <w:keepLines/>
              <w:rPr>
                <w:sz w:val="18"/>
                <w:szCs w:val="18"/>
              </w:rPr>
            </w:pPr>
            <w:r w:rsidRPr="00B93493">
              <w:rPr>
                <w:sz w:val="18"/>
                <w:szCs w:val="18"/>
              </w:rPr>
              <w:t>350</w:t>
            </w:r>
          </w:p>
        </w:tc>
        <w:tc>
          <w:tcPr>
            <w:tcW w:w="765" w:type="dxa"/>
            <w:tcBorders>
              <w:top w:val="single" w:sz="4" w:space="0" w:color="auto"/>
              <w:left w:val="single" w:sz="4" w:space="0" w:color="auto"/>
              <w:bottom w:val="single" w:sz="4" w:space="0" w:color="auto"/>
              <w:right w:val="single" w:sz="4" w:space="0" w:color="auto"/>
            </w:tcBorders>
          </w:tcPr>
          <w:p w14:paraId="2CF94976" w14:textId="77777777" w:rsidR="00CF04BC" w:rsidRPr="00B93493" w:rsidRDefault="00CF04BC" w:rsidP="00F63AE2">
            <w:pPr>
              <w:pStyle w:val="Tablehead"/>
              <w:keepLines/>
              <w:rPr>
                <w:sz w:val="18"/>
                <w:szCs w:val="18"/>
              </w:rPr>
            </w:pPr>
            <w:r w:rsidRPr="00B93493">
              <w:rPr>
                <w:sz w:val="18"/>
                <w:szCs w:val="18"/>
              </w:rPr>
              <w:t>400</w:t>
            </w:r>
          </w:p>
        </w:tc>
        <w:tc>
          <w:tcPr>
            <w:tcW w:w="879" w:type="dxa"/>
            <w:tcBorders>
              <w:top w:val="single" w:sz="4" w:space="0" w:color="auto"/>
              <w:left w:val="single" w:sz="4" w:space="0" w:color="auto"/>
              <w:bottom w:val="single" w:sz="4" w:space="0" w:color="auto"/>
              <w:right w:val="single" w:sz="4" w:space="0" w:color="auto"/>
            </w:tcBorders>
          </w:tcPr>
          <w:p w14:paraId="7283FA26" w14:textId="77777777" w:rsidR="00CF04BC" w:rsidRPr="00B93493" w:rsidRDefault="00CF04BC" w:rsidP="00F63AE2">
            <w:pPr>
              <w:pStyle w:val="Tablehead"/>
              <w:keepLines/>
              <w:rPr>
                <w:sz w:val="18"/>
                <w:szCs w:val="18"/>
              </w:rPr>
            </w:pPr>
            <w:r w:rsidRPr="00B93493">
              <w:rPr>
                <w:sz w:val="18"/>
                <w:szCs w:val="18"/>
              </w:rPr>
              <w:t>500</w:t>
            </w:r>
          </w:p>
        </w:tc>
      </w:tr>
      <w:tr w:rsidR="00CF04BC" w:rsidRPr="00B93493" w14:paraId="5966BF60"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12E2FB9A" w14:textId="77777777" w:rsidR="00CF04BC" w:rsidRPr="00B93493" w:rsidRDefault="00CF04BC" w:rsidP="00F63AE2">
            <w:pPr>
              <w:pStyle w:val="Tabletext"/>
              <w:keepNext/>
              <w:keepLines/>
              <w:jc w:val="center"/>
              <w:rPr>
                <w:sz w:val="18"/>
                <w:szCs w:val="18"/>
              </w:rPr>
            </w:pPr>
            <w:r w:rsidRPr="00B93493">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14:paraId="28DB0316" w14:textId="77777777" w:rsidR="00CF04BC" w:rsidRPr="00B93493" w:rsidRDefault="00CF04BC" w:rsidP="00F63AE2">
            <w:pPr>
              <w:pStyle w:val="Tabletext"/>
              <w:keepNext/>
              <w:keepLines/>
              <w:jc w:val="center"/>
              <w:rPr>
                <w:sz w:val="18"/>
                <w:szCs w:val="18"/>
              </w:rPr>
            </w:pPr>
            <w:r w:rsidRPr="00B93493">
              <w:rPr>
                <w:sz w:val="18"/>
                <w:szCs w:val="18"/>
              </w:rPr>
              <w:t>2</w:t>
            </w:r>
          </w:p>
        </w:tc>
        <w:tc>
          <w:tcPr>
            <w:tcW w:w="765" w:type="dxa"/>
            <w:tcBorders>
              <w:top w:val="single" w:sz="4" w:space="0" w:color="auto"/>
              <w:left w:val="single" w:sz="4" w:space="0" w:color="auto"/>
              <w:bottom w:val="single" w:sz="4" w:space="0" w:color="auto"/>
              <w:right w:val="single" w:sz="4" w:space="0" w:color="auto"/>
            </w:tcBorders>
          </w:tcPr>
          <w:p w14:paraId="7512290C" w14:textId="77777777" w:rsidR="00CF04BC" w:rsidRPr="00B93493" w:rsidRDefault="00CF04BC" w:rsidP="00F63AE2">
            <w:pPr>
              <w:pStyle w:val="Tabletext"/>
              <w:keepNext/>
              <w:keepLines/>
              <w:jc w:val="center"/>
              <w:rPr>
                <w:sz w:val="18"/>
                <w:szCs w:val="18"/>
              </w:rPr>
            </w:pPr>
            <w:r w:rsidRPr="00B93493">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54BDAB31" w14:textId="77777777" w:rsidR="00CF04BC" w:rsidRPr="00B93493" w:rsidRDefault="00CF04BC" w:rsidP="00F63AE2">
            <w:pPr>
              <w:pStyle w:val="Tabletext"/>
              <w:keepNext/>
              <w:keepLines/>
              <w:jc w:val="center"/>
              <w:rPr>
                <w:sz w:val="18"/>
                <w:szCs w:val="18"/>
              </w:rPr>
            </w:pPr>
            <w:r w:rsidRPr="00B93493">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0B5D5E21" w14:textId="77777777" w:rsidR="00CF04BC" w:rsidRPr="00B93493" w:rsidRDefault="00CF04BC" w:rsidP="00F63AE2">
            <w:pPr>
              <w:pStyle w:val="Tabletext"/>
              <w:keepNext/>
              <w:keepLines/>
              <w:jc w:val="center"/>
              <w:rPr>
                <w:sz w:val="18"/>
                <w:szCs w:val="18"/>
              </w:rPr>
            </w:pPr>
            <w:r w:rsidRPr="00B93493">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17F0DDF9" w14:textId="77777777" w:rsidR="00CF04BC" w:rsidRPr="00B93493" w:rsidRDefault="00CF04BC" w:rsidP="00F63AE2">
            <w:pPr>
              <w:pStyle w:val="Tabletext"/>
              <w:keepNext/>
              <w:keepLines/>
              <w:jc w:val="center"/>
              <w:rPr>
                <w:sz w:val="18"/>
                <w:szCs w:val="18"/>
              </w:rPr>
            </w:pPr>
            <w:r w:rsidRPr="00B93493">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0E8065F6" w14:textId="77777777" w:rsidR="00CF04BC" w:rsidRPr="00B93493" w:rsidRDefault="00CF04BC" w:rsidP="00F63AE2">
            <w:pPr>
              <w:pStyle w:val="Tabletext"/>
              <w:keepNext/>
              <w:keepLines/>
              <w:jc w:val="center"/>
              <w:rPr>
                <w:sz w:val="18"/>
                <w:szCs w:val="18"/>
              </w:rPr>
            </w:pPr>
            <w:r w:rsidRPr="00B93493">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6ED4534C" w14:textId="77777777" w:rsidR="00CF04BC" w:rsidRPr="00B93493" w:rsidRDefault="00CF04BC" w:rsidP="00F63AE2">
            <w:pPr>
              <w:pStyle w:val="Tabletext"/>
              <w:keepNext/>
              <w:keepLines/>
              <w:jc w:val="center"/>
              <w:rPr>
                <w:sz w:val="18"/>
                <w:szCs w:val="18"/>
              </w:rPr>
            </w:pPr>
            <w:r w:rsidRPr="00B93493">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628C8F02" w14:textId="77777777" w:rsidR="00CF04BC" w:rsidRPr="00B93493" w:rsidRDefault="00CF04BC" w:rsidP="00F63AE2">
            <w:pPr>
              <w:pStyle w:val="Tabletext"/>
              <w:keepNext/>
              <w:keepLines/>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45571811" w14:textId="77777777" w:rsidR="00CF04BC" w:rsidRPr="00B93493" w:rsidRDefault="00CF04BC" w:rsidP="00F63AE2">
            <w:pPr>
              <w:pStyle w:val="Tabletext"/>
              <w:keepNext/>
              <w:keepLines/>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394323EF" w14:textId="77777777" w:rsidR="00CF04BC" w:rsidRPr="00B93493" w:rsidRDefault="00CF04BC" w:rsidP="00F63AE2">
            <w:pPr>
              <w:pStyle w:val="Tabletext"/>
              <w:keepNext/>
              <w:keepLines/>
              <w:jc w:val="center"/>
              <w:rPr>
                <w:sz w:val="18"/>
                <w:szCs w:val="18"/>
              </w:rPr>
            </w:pPr>
            <w:r w:rsidRPr="00B93493">
              <w:rPr>
                <w:sz w:val="18"/>
                <w:szCs w:val="18"/>
              </w:rPr>
              <w:t>7</w:t>
            </w:r>
          </w:p>
        </w:tc>
        <w:tc>
          <w:tcPr>
            <w:tcW w:w="879" w:type="dxa"/>
            <w:tcBorders>
              <w:top w:val="single" w:sz="4" w:space="0" w:color="auto"/>
              <w:left w:val="single" w:sz="4" w:space="0" w:color="auto"/>
              <w:bottom w:val="single" w:sz="4" w:space="0" w:color="auto"/>
              <w:right w:val="single" w:sz="4" w:space="0" w:color="auto"/>
            </w:tcBorders>
          </w:tcPr>
          <w:p w14:paraId="5FC666E8" w14:textId="77777777" w:rsidR="00CF04BC" w:rsidRPr="00B93493" w:rsidRDefault="00CF04BC" w:rsidP="00F63AE2">
            <w:pPr>
              <w:pStyle w:val="Tabletext"/>
              <w:keepNext/>
              <w:keepLines/>
              <w:jc w:val="center"/>
              <w:rPr>
                <w:sz w:val="18"/>
                <w:szCs w:val="18"/>
              </w:rPr>
            </w:pPr>
            <w:r w:rsidRPr="00B93493">
              <w:rPr>
                <w:sz w:val="18"/>
                <w:szCs w:val="18"/>
              </w:rPr>
              <w:t>7</w:t>
            </w:r>
          </w:p>
        </w:tc>
      </w:tr>
      <w:tr w:rsidR="00CF04BC" w:rsidRPr="00B93493" w14:paraId="5DB6DF25"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55C8B1B2" w14:textId="77777777" w:rsidR="00CF04BC" w:rsidRPr="00B93493" w:rsidRDefault="00CF04BC" w:rsidP="00F63AE2">
            <w:pPr>
              <w:pStyle w:val="Tabletext"/>
              <w:keepNext/>
              <w:keepLines/>
              <w:jc w:val="center"/>
              <w:rPr>
                <w:sz w:val="18"/>
                <w:szCs w:val="18"/>
              </w:rPr>
            </w:pPr>
            <w:r w:rsidRPr="00B93493">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14:paraId="0F55E21E" w14:textId="77777777" w:rsidR="00CF04BC" w:rsidRPr="00B93493" w:rsidRDefault="00CF04BC" w:rsidP="00F63AE2">
            <w:pPr>
              <w:pStyle w:val="Tabletext"/>
              <w:keepNext/>
              <w:keepLines/>
              <w:jc w:val="center"/>
              <w:rPr>
                <w:sz w:val="18"/>
                <w:szCs w:val="18"/>
              </w:rPr>
            </w:pPr>
            <w:r w:rsidRPr="00B93493">
              <w:rPr>
                <w:sz w:val="18"/>
                <w:szCs w:val="18"/>
              </w:rPr>
              <w:t>3</w:t>
            </w:r>
          </w:p>
        </w:tc>
        <w:tc>
          <w:tcPr>
            <w:tcW w:w="765" w:type="dxa"/>
            <w:tcBorders>
              <w:top w:val="single" w:sz="4" w:space="0" w:color="auto"/>
              <w:left w:val="single" w:sz="4" w:space="0" w:color="auto"/>
              <w:bottom w:val="single" w:sz="4" w:space="0" w:color="auto"/>
              <w:right w:val="single" w:sz="4" w:space="0" w:color="auto"/>
            </w:tcBorders>
          </w:tcPr>
          <w:p w14:paraId="6CD05450" w14:textId="77777777" w:rsidR="00CF04BC" w:rsidRPr="00B93493" w:rsidRDefault="00CF04BC" w:rsidP="00F63AE2">
            <w:pPr>
              <w:pStyle w:val="Tabletext"/>
              <w:keepNext/>
              <w:keepLines/>
              <w:jc w:val="center"/>
              <w:rPr>
                <w:sz w:val="18"/>
                <w:szCs w:val="18"/>
              </w:rPr>
            </w:pPr>
            <w:r w:rsidRPr="00B93493">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0F3F82D7" w14:textId="77777777" w:rsidR="00CF04BC" w:rsidRPr="00B93493" w:rsidRDefault="00CF04BC" w:rsidP="00F63AE2">
            <w:pPr>
              <w:pStyle w:val="Tabletext"/>
              <w:keepNext/>
              <w:keepLines/>
              <w:jc w:val="center"/>
              <w:rPr>
                <w:sz w:val="18"/>
                <w:szCs w:val="18"/>
              </w:rPr>
            </w:pPr>
            <w:r w:rsidRPr="00B93493">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128B3CAA" w14:textId="77777777" w:rsidR="00CF04BC" w:rsidRPr="00B93493" w:rsidRDefault="00CF04BC" w:rsidP="00F63AE2">
            <w:pPr>
              <w:pStyle w:val="Tabletext"/>
              <w:keepNext/>
              <w:keepLines/>
              <w:jc w:val="center"/>
              <w:rPr>
                <w:sz w:val="18"/>
                <w:szCs w:val="18"/>
              </w:rPr>
            </w:pPr>
            <w:r w:rsidRPr="00B93493">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02A2EEF9" w14:textId="77777777" w:rsidR="00CF04BC" w:rsidRPr="00B93493" w:rsidRDefault="00CF04BC" w:rsidP="00F63AE2">
            <w:pPr>
              <w:pStyle w:val="Tabletext"/>
              <w:keepNext/>
              <w:keepLines/>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3FB67630" w14:textId="77777777" w:rsidR="00CF04BC" w:rsidRPr="00B93493" w:rsidRDefault="00CF04BC" w:rsidP="00F63AE2">
            <w:pPr>
              <w:pStyle w:val="Tabletext"/>
              <w:keepNext/>
              <w:keepLines/>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55E0DDF7" w14:textId="77777777" w:rsidR="00CF04BC" w:rsidRPr="00B93493" w:rsidRDefault="00CF04BC" w:rsidP="00F63AE2">
            <w:pPr>
              <w:pStyle w:val="Tabletext"/>
              <w:keepNext/>
              <w:keepLines/>
              <w:jc w:val="center"/>
              <w:rPr>
                <w:sz w:val="18"/>
                <w:szCs w:val="18"/>
              </w:rPr>
            </w:pPr>
            <w:r w:rsidRPr="00B93493">
              <w:rPr>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2EB024FF" w14:textId="77777777" w:rsidR="00CF04BC" w:rsidRPr="00B93493" w:rsidRDefault="00CF04BC" w:rsidP="00F63AE2">
            <w:pPr>
              <w:pStyle w:val="Tabletext"/>
              <w:keepNext/>
              <w:keepLines/>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3688236D" w14:textId="77777777" w:rsidR="00CF04BC" w:rsidRPr="00B93493" w:rsidRDefault="00CF04BC" w:rsidP="00F63AE2">
            <w:pPr>
              <w:pStyle w:val="Tabletext"/>
              <w:keepNext/>
              <w:keepLines/>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1FC3EFCE" w14:textId="77777777" w:rsidR="00CF04BC" w:rsidRPr="00B93493" w:rsidRDefault="00CF04BC" w:rsidP="00F63AE2">
            <w:pPr>
              <w:pStyle w:val="Tabletext"/>
              <w:keepNext/>
              <w:keepLines/>
              <w:jc w:val="center"/>
              <w:rPr>
                <w:sz w:val="18"/>
                <w:szCs w:val="18"/>
              </w:rPr>
            </w:pPr>
            <w:r w:rsidRPr="00B93493">
              <w:rPr>
                <w:sz w:val="18"/>
                <w:szCs w:val="18"/>
              </w:rPr>
              <w:t>10</w:t>
            </w:r>
          </w:p>
        </w:tc>
        <w:tc>
          <w:tcPr>
            <w:tcW w:w="879" w:type="dxa"/>
            <w:tcBorders>
              <w:top w:val="single" w:sz="4" w:space="0" w:color="auto"/>
              <w:left w:val="single" w:sz="4" w:space="0" w:color="auto"/>
              <w:bottom w:val="single" w:sz="4" w:space="0" w:color="auto"/>
              <w:right w:val="single" w:sz="4" w:space="0" w:color="auto"/>
            </w:tcBorders>
          </w:tcPr>
          <w:p w14:paraId="3AD37832" w14:textId="77777777" w:rsidR="00CF04BC" w:rsidRPr="00B93493" w:rsidRDefault="00CF04BC" w:rsidP="00F63AE2">
            <w:pPr>
              <w:pStyle w:val="Tabletext"/>
              <w:keepNext/>
              <w:keepLines/>
              <w:jc w:val="center"/>
              <w:rPr>
                <w:sz w:val="18"/>
                <w:szCs w:val="18"/>
              </w:rPr>
            </w:pPr>
            <w:r w:rsidRPr="00B93493">
              <w:rPr>
                <w:sz w:val="18"/>
                <w:szCs w:val="18"/>
              </w:rPr>
              <w:t>11</w:t>
            </w:r>
          </w:p>
        </w:tc>
      </w:tr>
      <w:tr w:rsidR="00CF04BC" w:rsidRPr="00B93493" w14:paraId="267A668D"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4B9B6522" w14:textId="77777777" w:rsidR="00CF04BC" w:rsidRPr="00B93493" w:rsidRDefault="00CF04BC" w:rsidP="00F63AE2">
            <w:pPr>
              <w:pStyle w:val="Tabletext"/>
              <w:keepNext/>
              <w:keepLines/>
              <w:jc w:val="center"/>
              <w:rPr>
                <w:sz w:val="18"/>
                <w:szCs w:val="18"/>
              </w:rPr>
            </w:pPr>
            <w:r w:rsidRPr="00B93493">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2383A943" w14:textId="77777777" w:rsidR="00CF04BC" w:rsidRPr="00B93493" w:rsidRDefault="00CF04BC" w:rsidP="00F63AE2">
            <w:pPr>
              <w:pStyle w:val="Tabletext"/>
              <w:keepNext/>
              <w:keepLines/>
              <w:jc w:val="center"/>
              <w:rPr>
                <w:sz w:val="18"/>
                <w:szCs w:val="18"/>
              </w:rPr>
            </w:pPr>
            <w:r w:rsidRPr="00B93493">
              <w:rPr>
                <w:sz w:val="18"/>
                <w:szCs w:val="18"/>
              </w:rPr>
              <w:t>4</w:t>
            </w:r>
          </w:p>
        </w:tc>
        <w:tc>
          <w:tcPr>
            <w:tcW w:w="765" w:type="dxa"/>
            <w:tcBorders>
              <w:top w:val="single" w:sz="4" w:space="0" w:color="auto"/>
              <w:left w:val="single" w:sz="4" w:space="0" w:color="auto"/>
              <w:bottom w:val="single" w:sz="4" w:space="0" w:color="auto"/>
              <w:right w:val="single" w:sz="4" w:space="0" w:color="auto"/>
            </w:tcBorders>
          </w:tcPr>
          <w:p w14:paraId="0D013600" w14:textId="77777777" w:rsidR="00CF04BC" w:rsidRPr="00B93493" w:rsidRDefault="00CF04BC" w:rsidP="00F63AE2">
            <w:pPr>
              <w:pStyle w:val="Tabletext"/>
              <w:keepNext/>
              <w:keepLines/>
              <w:jc w:val="center"/>
              <w:rPr>
                <w:sz w:val="18"/>
                <w:szCs w:val="18"/>
              </w:rPr>
            </w:pPr>
            <w:r w:rsidRPr="00B93493">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02815C7F" w14:textId="77777777" w:rsidR="00CF04BC" w:rsidRPr="00B93493" w:rsidRDefault="00CF04BC" w:rsidP="00F63AE2">
            <w:pPr>
              <w:pStyle w:val="Tabletext"/>
              <w:keepNext/>
              <w:keepLines/>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37C613FB" w14:textId="77777777" w:rsidR="00CF04BC" w:rsidRPr="00B93493" w:rsidRDefault="00CF04BC" w:rsidP="00F63AE2">
            <w:pPr>
              <w:pStyle w:val="Tabletext"/>
              <w:keepNext/>
              <w:keepLines/>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44F96598" w14:textId="77777777" w:rsidR="00CF04BC" w:rsidRPr="00B93493" w:rsidRDefault="00CF04BC" w:rsidP="00F63AE2">
            <w:pPr>
              <w:pStyle w:val="Tabletext"/>
              <w:keepNext/>
              <w:keepLines/>
              <w:jc w:val="center"/>
              <w:rPr>
                <w:sz w:val="18"/>
                <w:szCs w:val="18"/>
              </w:rPr>
            </w:pPr>
            <w:r w:rsidRPr="00B93493">
              <w:rPr>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2EBB47CB" w14:textId="77777777" w:rsidR="00CF04BC" w:rsidRPr="00B93493" w:rsidRDefault="00CF04BC" w:rsidP="00F63AE2">
            <w:pPr>
              <w:pStyle w:val="Tabletext"/>
              <w:keepNext/>
              <w:keepLines/>
              <w:jc w:val="center"/>
              <w:rPr>
                <w:sz w:val="18"/>
                <w:szCs w:val="18"/>
              </w:rPr>
            </w:pPr>
            <w:r w:rsidRPr="00B93493">
              <w:rPr>
                <w:sz w:val="18"/>
                <w:szCs w:val="18"/>
              </w:rPr>
              <w:t>10</w:t>
            </w:r>
          </w:p>
        </w:tc>
        <w:tc>
          <w:tcPr>
            <w:tcW w:w="765" w:type="dxa"/>
            <w:tcBorders>
              <w:top w:val="single" w:sz="4" w:space="0" w:color="auto"/>
              <w:left w:val="single" w:sz="4" w:space="0" w:color="auto"/>
              <w:bottom w:val="single" w:sz="4" w:space="0" w:color="auto"/>
              <w:right w:val="single" w:sz="4" w:space="0" w:color="auto"/>
            </w:tcBorders>
          </w:tcPr>
          <w:p w14:paraId="61BE0CD6" w14:textId="77777777" w:rsidR="00CF04BC" w:rsidRPr="00B93493" w:rsidRDefault="00CF04BC" w:rsidP="00F63AE2">
            <w:pPr>
              <w:pStyle w:val="Tabletext"/>
              <w:keepNext/>
              <w:keepLines/>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52FF62A1" w14:textId="77777777" w:rsidR="00CF04BC" w:rsidRPr="00B93493" w:rsidRDefault="00CF04BC" w:rsidP="00F63AE2">
            <w:pPr>
              <w:pStyle w:val="Tabletext"/>
              <w:keepNext/>
              <w:keepLines/>
              <w:jc w:val="center"/>
              <w:rPr>
                <w:sz w:val="18"/>
                <w:szCs w:val="18"/>
              </w:rPr>
            </w:pPr>
            <w:r w:rsidRPr="00B93493">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2A77A21E" w14:textId="77777777" w:rsidR="00CF04BC" w:rsidRPr="00B93493" w:rsidRDefault="00CF04BC" w:rsidP="00F63AE2">
            <w:pPr>
              <w:pStyle w:val="Tabletext"/>
              <w:keepNext/>
              <w:keepLines/>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4A931464" w14:textId="77777777" w:rsidR="00CF04BC" w:rsidRPr="00B93493" w:rsidRDefault="00CF04BC" w:rsidP="00F63AE2">
            <w:pPr>
              <w:pStyle w:val="Tabletext"/>
              <w:keepNext/>
              <w:keepLines/>
              <w:jc w:val="center"/>
              <w:rPr>
                <w:sz w:val="18"/>
                <w:szCs w:val="18"/>
              </w:rPr>
            </w:pPr>
            <w:r w:rsidRPr="00B93493">
              <w:rPr>
                <w:sz w:val="18"/>
                <w:szCs w:val="18"/>
              </w:rPr>
              <w:t>15</w:t>
            </w:r>
          </w:p>
        </w:tc>
        <w:tc>
          <w:tcPr>
            <w:tcW w:w="879" w:type="dxa"/>
            <w:tcBorders>
              <w:top w:val="single" w:sz="4" w:space="0" w:color="auto"/>
              <w:left w:val="single" w:sz="4" w:space="0" w:color="auto"/>
              <w:bottom w:val="single" w:sz="4" w:space="0" w:color="auto"/>
              <w:right w:val="single" w:sz="4" w:space="0" w:color="auto"/>
            </w:tcBorders>
          </w:tcPr>
          <w:p w14:paraId="078222B6" w14:textId="77777777" w:rsidR="00CF04BC" w:rsidRPr="00B93493" w:rsidRDefault="00CF04BC" w:rsidP="00F63AE2">
            <w:pPr>
              <w:pStyle w:val="Tabletext"/>
              <w:keepNext/>
              <w:keepLines/>
              <w:jc w:val="center"/>
              <w:rPr>
                <w:sz w:val="18"/>
                <w:szCs w:val="18"/>
              </w:rPr>
            </w:pPr>
            <w:r w:rsidRPr="00B93493">
              <w:rPr>
                <w:sz w:val="18"/>
                <w:szCs w:val="18"/>
              </w:rPr>
              <w:t>17</w:t>
            </w:r>
          </w:p>
        </w:tc>
      </w:tr>
      <w:tr w:rsidR="00CF04BC" w:rsidRPr="00B93493" w14:paraId="280E855B"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40BCFF2C" w14:textId="77777777" w:rsidR="00CF04BC" w:rsidRPr="00B93493" w:rsidRDefault="00CF04BC" w:rsidP="00F63AE2">
            <w:pPr>
              <w:pStyle w:val="Tabletext"/>
              <w:keepNext/>
              <w:keepLines/>
              <w:jc w:val="center"/>
              <w:rPr>
                <w:b/>
                <w:bCs/>
                <w:sz w:val="18"/>
                <w:szCs w:val="18"/>
              </w:rPr>
            </w:pPr>
            <w:r w:rsidRPr="00B93493">
              <w:rPr>
                <w:b/>
                <w:bCs/>
                <w:sz w:val="18"/>
                <w:szCs w:val="18"/>
              </w:rPr>
              <w:t>30.0</w:t>
            </w:r>
          </w:p>
        </w:tc>
        <w:tc>
          <w:tcPr>
            <w:tcW w:w="709" w:type="dxa"/>
            <w:tcBorders>
              <w:top w:val="single" w:sz="4" w:space="0" w:color="auto"/>
              <w:left w:val="single" w:sz="4" w:space="0" w:color="auto"/>
              <w:bottom w:val="single" w:sz="4" w:space="0" w:color="auto"/>
              <w:right w:val="single" w:sz="4" w:space="0" w:color="auto"/>
            </w:tcBorders>
          </w:tcPr>
          <w:p w14:paraId="2D960D8F" w14:textId="77777777" w:rsidR="00CF04BC" w:rsidRPr="00B93493" w:rsidRDefault="00CF04BC" w:rsidP="00F63AE2">
            <w:pPr>
              <w:pStyle w:val="Tabletext"/>
              <w:keepNext/>
              <w:keepLines/>
              <w:jc w:val="center"/>
              <w:rPr>
                <w:sz w:val="18"/>
                <w:szCs w:val="18"/>
              </w:rPr>
            </w:pPr>
            <w:r w:rsidRPr="00B93493">
              <w:rPr>
                <w:sz w:val="18"/>
                <w:szCs w:val="18"/>
              </w:rPr>
              <w:t>5</w:t>
            </w:r>
          </w:p>
        </w:tc>
        <w:tc>
          <w:tcPr>
            <w:tcW w:w="765" w:type="dxa"/>
            <w:tcBorders>
              <w:top w:val="single" w:sz="4" w:space="0" w:color="auto"/>
              <w:left w:val="single" w:sz="4" w:space="0" w:color="auto"/>
              <w:bottom w:val="single" w:sz="4" w:space="0" w:color="auto"/>
              <w:right w:val="single" w:sz="4" w:space="0" w:color="auto"/>
            </w:tcBorders>
          </w:tcPr>
          <w:p w14:paraId="7092E0DE" w14:textId="77777777" w:rsidR="00CF04BC" w:rsidRPr="00B93493" w:rsidRDefault="00CF04BC" w:rsidP="00F63AE2">
            <w:pPr>
              <w:pStyle w:val="Tabletext"/>
              <w:keepNext/>
              <w:keepLines/>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4DC98E26" w14:textId="77777777" w:rsidR="00CF04BC" w:rsidRPr="00B93493" w:rsidRDefault="00CF04BC" w:rsidP="00F63AE2">
            <w:pPr>
              <w:pStyle w:val="Tabletext"/>
              <w:keepNext/>
              <w:keepLines/>
              <w:jc w:val="center"/>
              <w:rPr>
                <w:b/>
                <w:bCs/>
                <w:sz w:val="18"/>
                <w:szCs w:val="18"/>
              </w:rPr>
            </w:pPr>
            <w:r w:rsidRPr="00B93493">
              <w:rPr>
                <w:b/>
                <w:bCs/>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485F180D" w14:textId="77777777" w:rsidR="00CF04BC" w:rsidRPr="00B93493" w:rsidRDefault="00CF04BC" w:rsidP="00F63AE2">
            <w:pPr>
              <w:pStyle w:val="Tabletext"/>
              <w:keepNext/>
              <w:keepLines/>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032A992C" w14:textId="77777777" w:rsidR="00CF04BC" w:rsidRPr="00B93493" w:rsidRDefault="00CF04BC" w:rsidP="00F63AE2">
            <w:pPr>
              <w:pStyle w:val="Tabletext"/>
              <w:keepNext/>
              <w:keepLines/>
              <w:jc w:val="center"/>
              <w:rPr>
                <w:b/>
                <w:bCs/>
                <w:sz w:val="18"/>
                <w:szCs w:val="18"/>
              </w:rPr>
            </w:pPr>
            <w:r w:rsidRPr="00B93493">
              <w:rPr>
                <w:b/>
                <w:bCs/>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1442D66C" w14:textId="77777777" w:rsidR="00CF04BC" w:rsidRPr="00B93493" w:rsidRDefault="00CF04BC" w:rsidP="00F63AE2">
            <w:pPr>
              <w:pStyle w:val="Tabletext"/>
              <w:keepNext/>
              <w:keepLines/>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6328B1DF" w14:textId="77777777" w:rsidR="00CF04BC" w:rsidRPr="00B93493" w:rsidRDefault="00CF04BC" w:rsidP="00F63AE2">
            <w:pPr>
              <w:pStyle w:val="Tabletext"/>
              <w:keepNext/>
              <w:keepLines/>
              <w:jc w:val="center"/>
              <w:rPr>
                <w:sz w:val="18"/>
                <w:szCs w:val="18"/>
              </w:rPr>
            </w:pPr>
            <w:r w:rsidRPr="00B93493">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2B3C912E" w14:textId="77777777" w:rsidR="00CF04BC" w:rsidRPr="00B93493" w:rsidRDefault="00CF04BC" w:rsidP="00F63AE2">
            <w:pPr>
              <w:pStyle w:val="Tabletext"/>
              <w:keepNext/>
              <w:keepLines/>
              <w:jc w:val="center"/>
              <w:rPr>
                <w:b/>
                <w:bCs/>
                <w:sz w:val="18"/>
                <w:szCs w:val="18"/>
              </w:rPr>
            </w:pPr>
            <w:r w:rsidRPr="00B93493">
              <w:rPr>
                <w:b/>
                <w:bCs/>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4D9A4B08" w14:textId="77777777" w:rsidR="00CF04BC" w:rsidRPr="00B93493" w:rsidRDefault="00CF04BC" w:rsidP="00F63AE2">
            <w:pPr>
              <w:pStyle w:val="Tabletext"/>
              <w:keepNext/>
              <w:keepLines/>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333D4A06" w14:textId="77777777" w:rsidR="00CF04BC" w:rsidRPr="00B93493" w:rsidRDefault="00CF04BC" w:rsidP="00F63AE2">
            <w:pPr>
              <w:pStyle w:val="Tabletext"/>
              <w:keepNext/>
              <w:keepLines/>
              <w:jc w:val="center"/>
              <w:rPr>
                <w:sz w:val="18"/>
                <w:szCs w:val="18"/>
              </w:rPr>
            </w:pPr>
            <w:r w:rsidRPr="00B93493">
              <w:rPr>
                <w:sz w:val="18"/>
                <w:szCs w:val="18"/>
              </w:rPr>
              <w:t>21</w:t>
            </w:r>
          </w:p>
        </w:tc>
        <w:tc>
          <w:tcPr>
            <w:tcW w:w="879" w:type="dxa"/>
            <w:tcBorders>
              <w:top w:val="single" w:sz="4" w:space="0" w:color="auto"/>
              <w:left w:val="single" w:sz="4" w:space="0" w:color="auto"/>
              <w:bottom w:val="single" w:sz="4" w:space="0" w:color="auto"/>
              <w:right w:val="single" w:sz="4" w:space="0" w:color="auto"/>
            </w:tcBorders>
          </w:tcPr>
          <w:p w14:paraId="514D9308" w14:textId="77777777" w:rsidR="00CF04BC" w:rsidRPr="00B93493" w:rsidRDefault="00CF04BC" w:rsidP="00F63AE2">
            <w:pPr>
              <w:pStyle w:val="Tabletext"/>
              <w:keepNext/>
              <w:keepLines/>
              <w:jc w:val="center"/>
              <w:rPr>
                <w:sz w:val="18"/>
                <w:szCs w:val="18"/>
              </w:rPr>
            </w:pPr>
            <w:r w:rsidRPr="00B93493">
              <w:rPr>
                <w:sz w:val="18"/>
                <w:szCs w:val="18"/>
              </w:rPr>
              <w:t>24</w:t>
            </w:r>
          </w:p>
        </w:tc>
      </w:tr>
      <w:tr w:rsidR="00CF04BC" w:rsidRPr="00B93493" w14:paraId="60C176E9"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501EB9AB" w14:textId="77777777" w:rsidR="00CF04BC" w:rsidRPr="00B93493" w:rsidRDefault="00CF04BC" w:rsidP="00F63AE2">
            <w:pPr>
              <w:pStyle w:val="Tabletext"/>
              <w:keepNext/>
              <w:keepLines/>
              <w:jc w:val="center"/>
              <w:rPr>
                <w:sz w:val="18"/>
                <w:szCs w:val="18"/>
              </w:rPr>
            </w:pPr>
            <w:r w:rsidRPr="00B93493">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14:paraId="45C5A525" w14:textId="77777777" w:rsidR="00CF04BC" w:rsidRPr="00B93493" w:rsidRDefault="00CF04BC" w:rsidP="00F63AE2">
            <w:pPr>
              <w:pStyle w:val="Tabletext"/>
              <w:keepNext/>
              <w:keepLines/>
              <w:jc w:val="center"/>
              <w:rPr>
                <w:sz w:val="18"/>
                <w:szCs w:val="18"/>
              </w:rPr>
            </w:pPr>
            <w:r w:rsidRPr="00B93493">
              <w:rPr>
                <w:sz w:val="18"/>
                <w:szCs w:val="18"/>
              </w:rPr>
              <w:t>7</w:t>
            </w:r>
          </w:p>
        </w:tc>
        <w:tc>
          <w:tcPr>
            <w:tcW w:w="765" w:type="dxa"/>
            <w:tcBorders>
              <w:top w:val="single" w:sz="4" w:space="0" w:color="auto"/>
              <w:left w:val="single" w:sz="4" w:space="0" w:color="auto"/>
              <w:bottom w:val="single" w:sz="4" w:space="0" w:color="auto"/>
              <w:right w:val="single" w:sz="4" w:space="0" w:color="auto"/>
            </w:tcBorders>
          </w:tcPr>
          <w:p w14:paraId="4A5D55FB" w14:textId="77777777" w:rsidR="00CF04BC" w:rsidRPr="00B93493" w:rsidRDefault="00CF04BC" w:rsidP="00F63AE2">
            <w:pPr>
              <w:pStyle w:val="Tabletext"/>
              <w:keepNext/>
              <w:keepLines/>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79B85A58" w14:textId="77777777" w:rsidR="00CF04BC" w:rsidRPr="00B93493" w:rsidRDefault="00CF04BC" w:rsidP="00F63AE2">
            <w:pPr>
              <w:pStyle w:val="Tabletext"/>
              <w:keepNext/>
              <w:keepLines/>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306ECBD8" w14:textId="77777777" w:rsidR="00CF04BC" w:rsidRPr="00B93493" w:rsidRDefault="00CF04BC" w:rsidP="00F63AE2">
            <w:pPr>
              <w:pStyle w:val="Tabletext"/>
              <w:keepNext/>
              <w:keepLines/>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258EEA46" w14:textId="77777777" w:rsidR="00CF04BC" w:rsidRPr="00B93493" w:rsidRDefault="00CF04BC" w:rsidP="00F63AE2">
            <w:pPr>
              <w:pStyle w:val="Tabletext"/>
              <w:keepNext/>
              <w:keepLines/>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76BE39DF" w14:textId="77777777" w:rsidR="00CF04BC" w:rsidRPr="00B93493" w:rsidRDefault="00CF04BC" w:rsidP="00F63AE2">
            <w:pPr>
              <w:pStyle w:val="Tabletext"/>
              <w:keepNext/>
              <w:keepLines/>
              <w:jc w:val="center"/>
              <w:rPr>
                <w:sz w:val="18"/>
                <w:szCs w:val="18"/>
              </w:rPr>
            </w:pPr>
            <w:r w:rsidRPr="00B93493">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7ABF13EC" w14:textId="77777777" w:rsidR="00CF04BC" w:rsidRPr="00B93493" w:rsidRDefault="00CF04BC" w:rsidP="00F63AE2">
            <w:pPr>
              <w:pStyle w:val="Tabletext"/>
              <w:keepNext/>
              <w:keepLines/>
              <w:jc w:val="center"/>
              <w:rPr>
                <w:sz w:val="18"/>
                <w:szCs w:val="18"/>
              </w:rPr>
            </w:pPr>
            <w:r w:rsidRPr="00B93493">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0F6C44F1" w14:textId="77777777" w:rsidR="00CF04BC" w:rsidRPr="00B93493" w:rsidRDefault="00CF04BC" w:rsidP="00F63AE2">
            <w:pPr>
              <w:pStyle w:val="Tabletext"/>
              <w:keepNext/>
              <w:keepLines/>
              <w:jc w:val="center"/>
              <w:rPr>
                <w:sz w:val="18"/>
                <w:szCs w:val="18"/>
              </w:rPr>
            </w:pPr>
            <w:r w:rsidRPr="00B93493">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479D7CEF" w14:textId="77777777" w:rsidR="00CF04BC" w:rsidRPr="00B93493" w:rsidRDefault="00CF04BC" w:rsidP="00F63AE2">
            <w:pPr>
              <w:pStyle w:val="Tabletext"/>
              <w:keepNext/>
              <w:keepLines/>
              <w:jc w:val="center"/>
              <w:rPr>
                <w:sz w:val="18"/>
                <w:szCs w:val="18"/>
              </w:rPr>
            </w:pPr>
            <w:r w:rsidRPr="00B93493">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7FCEBD2E" w14:textId="77777777" w:rsidR="00CF04BC" w:rsidRPr="00B93493" w:rsidRDefault="00CF04BC" w:rsidP="00F63AE2">
            <w:pPr>
              <w:pStyle w:val="Tabletext"/>
              <w:keepNext/>
              <w:keepLines/>
              <w:jc w:val="center"/>
              <w:rPr>
                <w:sz w:val="18"/>
                <w:szCs w:val="18"/>
              </w:rPr>
            </w:pPr>
            <w:r w:rsidRPr="00B93493">
              <w:rPr>
                <w:sz w:val="18"/>
                <w:szCs w:val="18"/>
              </w:rPr>
              <w:t>27</w:t>
            </w:r>
          </w:p>
        </w:tc>
        <w:tc>
          <w:tcPr>
            <w:tcW w:w="879" w:type="dxa"/>
            <w:tcBorders>
              <w:top w:val="single" w:sz="4" w:space="0" w:color="auto"/>
              <w:left w:val="single" w:sz="4" w:space="0" w:color="auto"/>
              <w:bottom w:val="single" w:sz="4" w:space="0" w:color="auto"/>
              <w:right w:val="single" w:sz="4" w:space="0" w:color="auto"/>
            </w:tcBorders>
          </w:tcPr>
          <w:p w14:paraId="393C7E2E" w14:textId="77777777" w:rsidR="00CF04BC" w:rsidRPr="00B93493" w:rsidRDefault="00CF04BC" w:rsidP="00F63AE2">
            <w:pPr>
              <w:pStyle w:val="Tabletext"/>
              <w:keepNext/>
              <w:keepLines/>
              <w:jc w:val="center"/>
              <w:rPr>
                <w:sz w:val="18"/>
                <w:szCs w:val="18"/>
              </w:rPr>
            </w:pPr>
            <w:r w:rsidRPr="00B93493">
              <w:rPr>
                <w:sz w:val="18"/>
                <w:szCs w:val="18"/>
              </w:rPr>
              <w:t>31</w:t>
            </w:r>
          </w:p>
        </w:tc>
      </w:tr>
      <w:tr w:rsidR="00CF04BC" w:rsidRPr="00B93493" w14:paraId="0CEE15C6"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78FBBE6E" w14:textId="77777777" w:rsidR="00CF04BC" w:rsidRPr="00B93493" w:rsidRDefault="00CF04BC" w:rsidP="002E7F54">
            <w:pPr>
              <w:pStyle w:val="Tabletext"/>
              <w:jc w:val="center"/>
              <w:rPr>
                <w:sz w:val="18"/>
                <w:szCs w:val="18"/>
              </w:rPr>
            </w:pPr>
            <w:r w:rsidRPr="00B93493">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14:paraId="6CC5707A"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6D78F586" w14:textId="77777777" w:rsidR="00CF04BC" w:rsidRPr="00B93493" w:rsidRDefault="00CF04BC" w:rsidP="002E7F54">
            <w:pPr>
              <w:pStyle w:val="Tabletext"/>
              <w:jc w:val="center"/>
              <w:rPr>
                <w:sz w:val="18"/>
                <w:szCs w:val="18"/>
              </w:rPr>
            </w:pPr>
            <w:r w:rsidRPr="00B93493">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14:paraId="54700399" w14:textId="77777777" w:rsidR="00CF04BC" w:rsidRPr="00B93493" w:rsidRDefault="00CF04BC" w:rsidP="002E7F54">
            <w:pPr>
              <w:pStyle w:val="Tabletext"/>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6846F067" w14:textId="77777777" w:rsidR="00CF04BC" w:rsidRPr="00B93493" w:rsidRDefault="00CF04BC" w:rsidP="002E7F54">
            <w:pPr>
              <w:pStyle w:val="Tabletext"/>
              <w:jc w:val="center"/>
              <w:rPr>
                <w:sz w:val="18"/>
                <w:szCs w:val="18"/>
              </w:rPr>
            </w:pPr>
            <w:r w:rsidRPr="00B93493">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048187DF" w14:textId="77777777" w:rsidR="00CF04BC" w:rsidRPr="00B93493" w:rsidRDefault="00CF04BC" w:rsidP="002E7F54">
            <w:pPr>
              <w:pStyle w:val="Tabletext"/>
              <w:jc w:val="center"/>
              <w:rPr>
                <w:sz w:val="18"/>
                <w:szCs w:val="18"/>
              </w:rPr>
            </w:pPr>
            <w:r w:rsidRPr="00B93493">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7846316D" w14:textId="77777777" w:rsidR="00CF04BC" w:rsidRPr="00B93493" w:rsidRDefault="00CF04BC" w:rsidP="002E7F54">
            <w:pPr>
              <w:pStyle w:val="Tabletext"/>
              <w:jc w:val="center"/>
              <w:rPr>
                <w:sz w:val="18"/>
                <w:szCs w:val="18"/>
              </w:rPr>
            </w:pPr>
            <w:r w:rsidRPr="00B93493">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37E32460"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1FF7416E" w14:textId="77777777" w:rsidR="00CF04BC" w:rsidRPr="00B93493" w:rsidRDefault="00CF04BC" w:rsidP="002E7F54">
            <w:pPr>
              <w:pStyle w:val="Tabletext"/>
              <w:jc w:val="center"/>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6B95E888" w14:textId="77777777" w:rsidR="00CF04BC" w:rsidRPr="00B93493" w:rsidRDefault="00CF04BC" w:rsidP="002E7F54">
            <w:pPr>
              <w:pStyle w:val="Tabletext"/>
              <w:jc w:val="center"/>
              <w:rPr>
                <w:sz w:val="18"/>
                <w:szCs w:val="18"/>
              </w:rPr>
            </w:pPr>
            <w:r w:rsidRPr="00B93493">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7106A5DC" w14:textId="77777777" w:rsidR="00CF04BC" w:rsidRPr="00B93493" w:rsidRDefault="00CF04BC" w:rsidP="002E7F54">
            <w:pPr>
              <w:pStyle w:val="Tabletext"/>
              <w:jc w:val="center"/>
              <w:rPr>
                <w:sz w:val="18"/>
                <w:szCs w:val="18"/>
              </w:rPr>
            </w:pPr>
            <w:r w:rsidRPr="00B93493">
              <w:rPr>
                <w:sz w:val="18"/>
                <w:szCs w:val="18"/>
              </w:rPr>
              <w:t>35</w:t>
            </w:r>
          </w:p>
        </w:tc>
        <w:tc>
          <w:tcPr>
            <w:tcW w:w="879" w:type="dxa"/>
            <w:tcBorders>
              <w:top w:val="single" w:sz="4" w:space="0" w:color="auto"/>
              <w:left w:val="single" w:sz="4" w:space="0" w:color="auto"/>
              <w:bottom w:val="single" w:sz="4" w:space="0" w:color="auto"/>
              <w:right w:val="single" w:sz="4" w:space="0" w:color="auto"/>
            </w:tcBorders>
          </w:tcPr>
          <w:p w14:paraId="2715DDE3" w14:textId="77777777" w:rsidR="00CF04BC" w:rsidRPr="00B93493" w:rsidRDefault="00CF04BC" w:rsidP="002E7F54">
            <w:pPr>
              <w:pStyle w:val="Tabletext"/>
              <w:jc w:val="center"/>
              <w:rPr>
                <w:sz w:val="18"/>
                <w:szCs w:val="18"/>
              </w:rPr>
            </w:pPr>
            <w:r w:rsidRPr="00B93493">
              <w:rPr>
                <w:sz w:val="18"/>
                <w:szCs w:val="18"/>
              </w:rPr>
              <w:t>39</w:t>
            </w:r>
          </w:p>
        </w:tc>
      </w:tr>
      <w:tr w:rsidR="00CF04BC" w:rsidRPr="00B93493" w14:paraId="5FE21253"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24C60B46" w14:textId="77777777" w:rsidR="00CF04BC" w:rsidRPr="00B93493" w:rsidRDefault="00CF04BC" w:rsidP="002E7F54">
            <w:pPr>
              <w:pStyle w:val="Tabletext"/>
              <w:jc w:val="center"/>
              <w:rPr>
                <w:sz w:val="18"/>
                <w:szCs w:val="18"/>
              </w:rPr>
            </w:pPr>
            <w:r w:rsidRPr="00B93493">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14:paraId="5CAB34B3" w14:textId="77777777" w:rsidR="00CF04BC" w:rsidRPr="00B93493" w:rsidRDefault="00CF04BC" w:rsidP="002E7F54">
            <w:pPr>
              <w:pStyle w:val="Tabletext"/>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2F11A0AD" w14:textId="77777777" w:rsidR="00CF04BC" w:rsidRPr="00B93493" w:rsidRDefault="00CF04BC" w:rsidP="002E7F54">
            <w:pPr>
              <w:pStyle w:val="Tabletext"/>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524DEB08" w14:textId="77777777" w:rsidR="00CF04BC" w:rsidRPr="00B93493" w:rsidRDefault="00CF04BC" w:rsidP="002E7F54">
            <w:pPr>
              <w:pStyle w:val="Tabletext"/>
              <w:jc w:val="center"/>
              <w:rPr>
                <w:sz w:val="18"/>
                <w:szCs w:val="18"/>
              </w:rPr>
            </w:pPr>
            <w:r w:rsidRPr="00B93493">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123E781D"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01929AB9" w14:textId="77777777" w:rsidR="00CF04BC" w:rsidRPr="00B93493" w:rsidRDefault="00CF04BC" w:rsidP="002E7F54">
            <w:pPr>
              <w:pStyle w:val="Tabletext"/>
              <w:jc w:val="center"/>
              <w:rPr>
                <w:sz w:val="18"/>
                <w:szCs w:val="18"/>
              </w:rPr>
            </w:pPr>
            <w:r w:rsidRPr="00B93493">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704668CC"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582F3FC9"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27AEFA22" w14:textId="77777777" w:rsidR="00CF04BC" w:rsidRPr="00B93493" w:rsidRDefault="00CF04BC" w:rsidP="002E7F54">
            <w:pPr>
              <w:pStyle w:val="Tabletext"/>
              <w:jc w:val="center"/>
              <w:rPr>
                <w:sz w:val="18"/>
                <w:szCs w:val="18"/>
              </w:rPr>
            </w:pPr>
            <w:r w:rsidRPr="00B93493">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7EBEA458" w14:textId="77777777" w:rsidR="00CF04BC" w:rsidRPr="00B93493" w:rsidRDefault="00CF04BC" w:rsidP="002E7F54">
            <w:pPr>
              <w:pStyle w:val="Tabletext"/>
              <w:jc w:val="center"/>
              <w:rPr>
                <w:sz w:val="18"/>
                <w:szCs w:val="18"/>
              </w:rPr>
            </w:pPr>
            <w:r w:rsidRPr="00B93493">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72B3B46F" w14:textId="77777777" w:rsidR="00CF04BC" w:rsidRPr="00B93493" w:rsidRDefault="00CF04BC" w:rsidP="002E7F54">
            <w:pPr>
              <w:pStyle w:val="Tabletext"/>
              <w:jc w:val="center"/>
              <w:rPr>
                <w:sz w:val="18"/>
                <w:szCs w:val="18"/>
              </w:rPr>
            </w:pPr>
            <w:r w:rsidRPr="00B93493">
              <w:rPr>
                <w:sz w:val="18"/>
                <w:szCs w:val="18"/>
              </w:rPr>
              <w:t>39</w:t>
            </w:r>
          </w:p>
        </w:tc>
        <w:tc>
          <w:tcPr>
            <w:tcW w:w="879" w:type="dxa"/>
            <w:tcBorders>
              <w:top w:val="single" w:sz="4" w:space="0" w:color="auto"/>
              <w:left w:val="single" w:sz="4" w:space="0" w:color="auto"/>
              <w:bottom w:val="single" w:sz="4" w:space="0" w:color="auto"/>
              <w:right w:val="single" w:sz="4" w:space="0" w:color="auto"/>
            </w:tcBorders>
          </w:tcPr>
          <w:p w14:paraId="731DF8E3" w14:textId="77777777" w:rsidR="00CF04BC" w:rsidRPr="00B93493" w:rsidRDefault="00CF04BC" w:rsidP="002E7F54">
            <w:pPr>
              <w:pStyle w:val="Tabletext"/>
              <w:jc w:val="center"/>
              <w:rPr>
                <w:sz w:val="18"/>
                <w:szCs w:val="18"/>
              </w:rPr>
            </w:pPr>
            <w:r w:rsidRPr="00B93493">
              <w:rPr>
                <w:sz w:val="18"/>
                <w:szCs w:val="18"/>
              </w:rPr>
              <w:t>44</w:t>
            </w:r>
          </w:p>
        </w:tc>
      </w:tr>
      <w:tr w:rsidR="00CF04BC" w:rsidRPr="00B93493" w14:paraId="2247BE41"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7EE5EFB6" w14:textId="77777777" w:rsidR="00CF04BC" w:rsidRPr="00B93493" w:rsidRDefault="00CF04BC" w:rsidP="002E7F54">
            <w:pPr>
              <w:pStyle w:val="Tabletext"/>
              <w:jc w:val="center"/>
              <w:rPr>
                <w:sz w:val="18"/>
                <w:szCs w:val="18"/>
              </w:rPr>
            </w:pPr>
            <w:r w:rsidRPr="00B93493">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14:paraId="562A1918" w14:textId="77777777" w:rsidR="00CF04BC" w:rsidRPr="00B93493" w:rsidRDefault="00CF04BC" w:rsidP="002E7F54">
            <w:pPr>
              <w:pStyle w:val="Tabletext"/>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281190DA" w14:textId="77777777" w:rsidR="00CF04BC" w:rsidRPr="00B93493" w:rsidRDefault="00CF04BC" w:rsidP="002E7F54">
            <w:pPr>
              <w:pStyle w:val="Tabletext"/>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44EEBA96"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1578D999"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58407289"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3B76D533"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58DDE0CA" w14:textId="77777777" w:rsidR="00CF04BC" w:rsidRPr="00B93493" w:rsidRDefault="00CF04BC" w:rsidP="002E7F54">
            <w:pPr>
              <w:pStyle w:val="Tabletext"/>
              <w:jc w:val="center"/>
              <w:rPr>
                <w:sz w:val="18"/>
                <w:szCs w:val="18"/>
              </w:rPr>
            </w:pPr>
            <w:r w:rsidRPr="00B93493">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5305885D" w14:textId="77777777" w:rsidR="00CF04BC" w:rsidRPr="00B93493" w:rsidRDefault="00CF04BC" w:rsidP="002E7F54">
            <w:pPr>
              <w:pStyle w:val="Tabletext"/>
              <w:jc w:val="center"/>
              <w:rPr>
                <w:sz w:val="18"/>
                <w:szCs w:val="18"/>
              </w:rPr>
            </w:pPr>
            <w:r w:rsidRPr="00B93493">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164D2F9B" w14:textId="77777777" w:rsidR="00CF04BC" w:rsidRPr="00B93493" w:rsidRDefault="00CF04BC" w:rsidP="002E7F54">
            <w:pPr>
              <w:pStyle w:val="Tabletext"/>
              <w:jc w:val="center"/>
              <w:rPr>
                <w:sz w:val="18"/>
                <w:szCs w:val="18"/>
              </w:rPr>
            </w:pPr>
            <w:r w:rsidRPr="00B93493">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2A27FC4A" w14:textId="77777777" w:rsidR="00CF04BC" w:rsidRPr="00B93493" w:rsidRDefault="00CF04BC" w:rsidP="002E7F54">
            <w:pPr>
              <w:pStyle w:val="Tabletext"/>
              <w:jc w:val="center"/>
              <w:rPr>
                <w:sz w:val="18"/>
                <w:szCs w:val="18"/>
              </w:rPr>
            </w:pPr>
            <w:r w:rsidRPr="00B93493">
              <w:rPr>
                <w:sz w:val="18"/>
                <w:szCs w:val="18"/>
              </w:rPr>
              <w:t>44</w:t>
            </w:r>
          </w:p>
        </w:tc>
        <w:tc>
          <w:tcPr>
            <w:tcW w:w="879" w:type="dxa"/>
            <w:tcBorders>
              <w:top w:val="single" w:sz="4" w:space="0" w:color="auto"/>
              <w:left w:val="single" w:sz="4" w:space="0" w:color="auto"/>
              <w:bottom w:val="single" w:sz="4" w:space="0" w:color="auto"/>
              <w:right w:val="single" w:sz="4" w:space="0" w:color="auto"/>
            </w:tcBorders>
          </w:tcPr>
          <w:p w14:paraId="5B067873" w14:textId="77777777" w:rsidR="00CF04BC" w:rsidRPr="00B93493" w:rsidRDefault="00CF04BC" w:rsidP="002E7F54">
            <w:pPr>
              <w:pStyle w:val="Tabletext"/>
              <w:jc w:val="center"/>
              <w:rPr>
                <w:sz w:val="18"/>
                <w:szCs w:val="18"/>
              </w:rPr>
            </w:pPr>
            <w:r w:rsidRPr="00B93493">
              <w:rPr>
                <w:sz w:val="18"/>
                <w:szCs w:val="18"/>
              </w:rPr>
              <w:t>49</w:t>
            </w:r>
          </w:p>
        </w:tc>
      </w:tr>
      <w:tr w:rsidR="00CF04BC" w:rsidRPr="00B93493" w14:paraId="69EC4196"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355A7B5C" w14:textId="77777777" w:rsidR="00CF04BC" w:rsidRPr="00B93493" w:rsidRDefault="00CF04BC" w:rsidP="002E7F54">
            <w:pPr>
              <w:pStyle w:val="Tabletext"/>
              <w:jc w:val="center"/>
              <w:rPr>
                <w:sz w:val="18"/>
                <w:szCs w:val="18"/>
              </w:rPr>
            </w:pPr>
            <w:r w:rsidRPr="00B93493">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14:paraId="6B3B57A7" w14:textId="77777777" w:rsidR="00CF04BC" w:rsidRPr="00B93493" w:rsidRDefault="00CF04BC" w:rsidP="002E7F54">
            <w:pPr>
              <w:pStyle w:val="Tabletext"/>
              <w:jc w:val="center"/>
              <w:rPr>
                <w:sz w:val="18"/>
                <w:szCs w:val="18"/>
              </w:rPr>
            </w:pPr>
            <w:r w:rsidRPr="00B93493">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5E9E9CB3"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05EE62C3" w14:textId="77777777" w:rsidR="00CF04BC" w:rsidRPr="00B93493" w:rsidRDefault="00CF04BC" w:rsidP="002E7F54">
            <w:pPr>
              <w:pStyle w:val="Tabletext"/>
              <w:jc w:val="center"/>
              <w:rPr>
                <w:sz w:val="18"/>
                <w:szCs w:val="18"/>
              </w:rPr>
            </w:pPr>
            <w:r w:rsidRPr="00B93493">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254F7D40"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7584D2BE" w14:textId="77777777" w:rsidR="00CF04BC" w:rsidRPr="00B93493" w:rsidRDefault="00CF04BC" w:rsidP="002E7F54">
            <w:pPr>
              <w:pStyle w:val="Tabletext"/>
              <w:jc w:val="center"/>
              <w:rPr>
                <w:sz w:val="18"/>
                <w:szCs w:val="18"/>
              </w:rPr>
            </w:pPr>
            <w:r w:rsidRPr="00B93493">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0395C2B5" w14:textId="77777777" w:rsidR="00CF04BC" w:rsidRPr="00B93493" w:rsidRDefault="00CF04BC" w:rsidP="002E7F54">
            <w:pPr>
              <w:pStyle w:val="Tabletext"/>
              <w:jc w:val="center"/>
              <w:rPr>
                <w:sz w:val="18"/>
                <w:szCs w:val="18"/>
              </w:rPr>
            </w:pPr>
            <w:r w:rsidRPr="00B93493">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235B3AA6" w14:textId="77777777" w:rsidR="00CF04BC" w:rsidRPr="00B93493" w:rsidRDefault="00CF04BC" w:rsidP="002E7F54">
            <w:pPr>
              <w:pStyle w:val="Tabletext"/>
              <w:jc w:val="center"/>
              <w:rPr>
                <w:sz w:val="18"/>
                <w:szCs w:val="18"/>
              </w:rPr>
            </w:pPr>
            <w:r w:rsidRPr="00B93493">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7DE5C22D" w14:textId="77777777" w:rsidR="00CF04BC" w:rsidRPr="00B93493" w:rsidRDefault="00CF04BC" w:rsidP="002E7F54">
            <w:pPr>
              <w:pStyle w:val="Tabletext"/>
              <w:jc w:val="center"/>
              <w:rPr>
                <w:sz w:val="18"/>
                <w:szCs w:val="18"/>
              </w:rPr>
            </w:pPr>
            <w:r w:rsidRPr="00B93493">
              <w:rPr>
                <w:sz w:val="18"/>
                <w:szCs w:val="18"/>
              </w:rPr>
              <w:t>44</w:t>
            </w:r>
          </w:p>
        </w:tc>
        <w:tc>
          <w:tcPr>
            <w:tcW w:w="765" w:type="dxa"/>
            <w:tcBorders>
              <w:top w:val="single" w:sz="4" w:space="0" w:color="auto"/>
              <w:left w:val="single" w:sz="4" w:space="0" w:color="auto"/>
              <w:bottom w:val="single" w:sz="4" w:space="0" w:color="auto"/>
              <w:right w:val="single" w:sz="4" w:space="0" w:color="auto"/>
            </w:tcBorders>
          </w:tcPr>
          <w:p w14:paraId="72572A50" w14:textId="77777777" w:rsidR="00CF04BC" w:rsidRPr="00B93493" w:rsidRDefault="00CF04BC" w:rsidP="002E7F54">
            <w:pPr>
              <w:pStyle w:val="Tabletext"/>
              <w:jc w:val="center"/>
              <w:rPr>
                <w:sz w:val="18"/>
                <w:szCs w:val="18"/>
              </w:rPr>
            </w:pPr>
            <w:r w:rsidRPr="00B93493">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14FF238B" w14:textId="77777777" w:rsidR="00CF04BC" w:rsidRPr="00B93493" w:rsidRDefault="00CF04BC" w:rsidP="002E7F54">
            <w:pPr>
              <w:pStyle w:val="Tabletext"/>
              <w:jc w:val="center"/>
              <w:rPr>
                <w:sz w:val="18"/>
                <w:szCs w:val="18"/>
              </w:rPr>
            </w:pPr>
            <w:r w:rsidRPr="00B93493">
              <w:rPr>
                <w:sz w:val="18"/>
                <w:szCs w:val="18"/>
              </w:rPr>
              <w:t>50</w:t>
            </w:r>
          </w:p>
        </w:tc>
        <w:tc>
          <w:tcPr>
            <w:tcW w:w="879" w:type="dxa"/>
            <w:tcBorders>
              <w:top w:val="single" w:sz="4" w:space="0" w:color="auto"/>
              <w:left w:val="single" w:sz="4" w:space="0" w:color="auto"/>
              <w:bottom w:val="single" w:sz="4" w:space="0" w:color="auto"/>
              <w:right w:val="single" w:sz="4" w:space="0" w:color="auto"/>
            </w:tcBorders>
          </w:tcPr>
          <w:p w14:paraId="1B03554E" w14:textId="77777777" w:rsidR="00CF04BC" w:rsidRPr="00B93493" w:rsidRDefault="00CF04BC" w:rsidP="002E7F54">
            <w:pPr>
              <w:pStyle w:val="Tabletext"/>
              <w:jc w:val="center"/>
              <w:rPr>
                <w:sz w:val="18"/>
                <w:szCs w:val="18"/>
              </w:rPr>
            </w:pPr>
            <w:r w:rsidRPr="00B93493">
              <w:rPr>
                <w:sz w:val="18"/>
                <w:szCs w:val="18"/>
              </w:rPr>
              <w:t>55</w:t>
            </w:r>
          </w:p>
        </w:tc>
      </w:tr>
      <w:tr w:rsidR="00CF04BC" w:rsidRPr="00B93493" w14:paraId="3646E3B4"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279D16CC" w14:textId="77777777" w:rsidR="00CF04BC" w:rsidRPr="00B93493" w:rsidRDefault="00CF04BC" w:rsidP="002E7F54">
            <w:pPr>
              <w:pStyle w:val="Tabletext"/>
              <w:jc w:val="center"/>
              <w:rPr>
                <w:sz w:val="18"/>
                <w:szCs w:val="18"/>
              </w:rPr>
            </w:pPr>
            <w:r w:rsidRPr="00B93493">
              <w:rPr>
                <w:sz w:val="18"/>
                <w:szCs w:val="18"/>
              </w:rPr>
              <w:t>55.0</w:t>
            </w:r>
          </w:p>
        </w:tc>
        <w:tc>
          <w:tcPr>
            <w:tcW w:w="709" w:type="dxa"/>
            <w:tcBorders>
              <w:top w:val="single" w:sz="4" w:space="0" w:color="auto"/>
              <w:left w:val="single" w:sz="4" w:space="0" w:color="auto"/>
              <w:bottom w:val="single" w:sz="4" w:space="0" w:color="auto"/>
              <w:right w:val="single" w:sz="4" w:space="0" w:color="auto"/>
            </w:tcBorders>
          </w:tcPr>
          <w:p w14:paraId="50805AE3"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672B9AF1" w14:textId="77777777" w:rsidR="00CF04BC" w:rsidRPr="00B93493" w:rsidRDefault="00CF04BC" w:rsidP="002E7F54">
            <w:pPr>
              <w:pStyle w:val="Tabletext"/>
              <w:jc w:val="center"/>
              <w:rPr>
                <w:sz w:val="18"/>
                <w:szCs w:val="18"/>
              </w:rPr>
            </w:pPr>
            <w:r w:rsidRPr="00B93493">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0EE3FFA6" w14:textId="77777777" w:rsidR="00CF04BC" w:rsidRPr="00B93493" w:rsidRDefault="00CF04BC" w:rsidP="002E7F54">
            <w:pPr>
              <w:pStyle w:val="Tabletext"/>
              <w:jc w:val="center"/>
              <w:rPr>
                <w:sz w:val="18"/>
                <w:szCs w:val="18"/>
              </w:rPr>
            </w:pPr>
            <w:r w:rsidRPr="00B93493">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14:paraId="5BD32C97" w14:textId="77777777" w:rsidR="00CF04BC" w:rsidRPr="00B93493" w:rsidRDefault="00CF04BC" w:rsidP="002E7F54">
            <w:pPr>
              <w:pStyle w:val="Tabletext"/>
              <w:jc w:val="center"/>
              <w:rPr>
                <w:sz w:val="18"/>
                <w:szCs w:val="18"/>
              </w:rPr>
            </w:pPr>
            <w:r w:rsidRPr="00B93493">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4F6279EA" w14:textId="77777777" w:rsidR="00CF04BC" w:rsidRPr="00B93493" w:rsidRDefault="00CF04BC" w:rsidP="002E7F54">
            <w:pPr>
              <w:pStyle w:val="Tabletext"/>
              <w:jc w:val="center"/>
              <w:rPr>
                <w:sz w:val="18"/>
                <w:szCs w:val="18"/>
              </w:rPr>
            </w:pPr>
            <w:r w:rsidRPr="00B93493">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0FEBF6C7" w14:textId="77777777" w:rsidR="00CF04BC" w:rsidRPr="00B93493" w:rsidRDefault="00CF04BC" w:rsidP="002E7F54">
            <w:pPr>
              <w:pStyle w:val="Tabletext"/>
              <w:jc w:val="center"/>
              <w:rPr>
                <w:sz w:val="18"/>
                <w:szCs w:val="18"/>
              </w:rPr>
            </w:pPr>
            <w:r w:rsidRPr="00B93493">
              <w:rPr>
                <w:sz w:val="18"/>
                <w:szCs w:val="18"/>
              </w:rPr>
              <w:t>44</w:t>
            </w:r>
          </w:p>
        </w:tc>
        <w:tc>
          <w:tcPr>
            <w:tcW w:w="765" w:type="dxa"/>
            <w:tcBorders>
              <w:top w:val="single" w:sz="4" w:space="0" w:color="auto"/>
              <w:left w:val="single" w:sz="4" w:space="0" w:color="auto"/>
              <w:bottom w:val="single" w:sz="4" w:space="0" w:color="auto"/>
              <w:right w:val="single" w:sz="4" w:space="0" w:color="auto"/>
            </w:tcBorders>
          </w:tcPr>
          <w:p w14:paraId="6A66F1EE" w14:textId="77777777" w:rsidR="00CF04BC" w:rsidRPr="00B93493" w:rsidRDefault="00CF04BC" w:rsidP="002E7F54">
            <w:pPr>
              <w:pStyle w:val="Tabletext"/>
              <w:jc w:val="center"/>
              <w:rPr>
                <w:sz w:val="18"/>
                <w:szCs w:val="18"/>
              </w:rPr>
            </w:pPr>
            <w:r w:rsidRPr="00B93493">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14:paraId="0A5C15CD" w14:textId="77777777" w:rsidR="00CF04BC" w:rsidRPr="00B93493" w:rsidRDefault="00CF04BC" w:rsidP="002E7F54">
            <w:pPr>
              <w:pStyle w:val="Tabletext"/>
              <w:jc w:val="center"/>
              <w:rPr>
                <w:sz w:val="18"/>
                <w:szCs w:val="18"/>
              </w:rPr>
            </w:pPr>
            <w:r w:rsidRPr="00B93493">
              <w:rPr>
                <w:sz w:val="18"/>
                <w:szCs w:val="18"/>
              </w:rPr>
              <w:t>51</w:t>
            </w:r>
          </w:p>
        </w:tc>
        <w:tc>
          <w:tcPr>
            <w:tcW w:w="765" w:type="dxa"/>
            <w:tcBorders>
              <w:top w:val="single" w:sz="4" w:space="0" w:color="auto"/>
              <w:left w:val="single" w:sz="4" w:space="0" w:color="auto"/>
              <w:bottom w:val="single" w:sz="4" w:space="0" w:color="auto"/>
              <w:right w:val="single" w:sz="4" w:space="0" w:color="auto"/>
            </w:tcBorders>
          </w:tcPr>
          <w:p w14:paraId="09BD00E3" w14:textId="77777777" w:rsidR="00CF04BC" w:rsidRPr="00B93493" w:rsidRDefault="00CF04BC" w:rsidP="002E7F54">
            <w:pPr>
              <w:pStyle w:val="Tabletext"/>
              <w:jc w:val="center"/>
              <w:rPr>
                <w:sz w:val="18"/>
                <w:szCs w:val="18"/>
              </w:rPr>
            </w:pPr>
            <w:r w:rsidRPr="00B93493">
              <w:rPr>
                <w:sz w:val="18"/>
                <w:szCs w:val="18"/>
              </w:rPr>
              <w:t>55</w:t>
            </w:r>
          </w:p>
        </w:tc>
        <w:tc>
          <w:tcPr>
            <w:tcW w:w="765" w:type="dxa"/>
            <w:tcBorders>
              <w:top w:val="single" w:sz="4" w:space="0" w:color="auto"/>
              <w:left w:val="single" w:sz="4" w:space="0" w:color="auto"/>
              <w:bottom w:val="single" w:sz="4" w:space="0" w:color="auto"/>
              <w:right w:val="single" w:sz="4" w:space="0" w:color="auto"/>
            </w:tcBorders>
          </w:tcPr>
          <w:p w14:paraId="32D7CCC6" w14:textId="77777777" w:rsidR="00CF04BC" w:rsidRPr="00B93493" w:rsidRDefault="00CF04BC" w:rsidP="002E7F54">
            <w:pPr>
              <w:pStyle w:val="Tabletext"/>
              <w:jc w:val="center"/>
              <w:rPr>
                <w:sz w:val="18"/>
                <w:szCs w:val="18"/>
              </w:rPr>
            </w:pPr>
            <w:r w:rsidRPr="00B93493">
              <w:rPr>
                <w:sz w:val="18"/>
                <w:szCs w:val="18"/>
              </w:rPr>
              <w:t>58</w:t>
            </w:r>
          </w:p>
        </w:tc>
        <w:tc>
          <w:tcPr>
            <w:tcW w:w="879" w:type="dxa"/>
            <w:tcBorders>
              <w:top w:val="single" w:sz="4" w:space="0" w:color="auto"/>
              <w:left w:val="single" w:sz="4" w:space="0" w:color="auto"/>
              <w:bottom w:val="single" w:sz="4" w:space="0" w:color="auto"/>
              <w:right w:val="single" w:sz="4" w:space="0" w:color="auto"/>
            </w:tcBorders>
          </w:tcPr>
          <w:p w14:paraId="1BD78646" w14:textId="77777777" w:rsidR="00CF04BC" w:rsidRPr="00B93493" w:rsidRDefault="00CF04BC" w:rsidP="002E7F54">
            <w:pPr>
              <w:pStyle w:val="Tabletext"/>
              <w:jc w:val="center"/>
              <w:rPr>
                <w:sz w:val="18"/>
                <w:szCs w:val="18"/>
              </w:rPr>
            </w:pPr>
            <w:r w:rsidRPr="00B93493">
              <w:rPr>
                <w:sz w:val="18"/>
                <w:szCs w:val="18"/>
              </w:rPr>
              <w:t>64</w:t>
            </w:r>
          </w:p>
        </w:tc>
      </w:tr>
      <w:tr w:rsidR="00CF04BC" w:rsidRPr="00B93493" w14:paraId="20C2BD8C"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589A33AD" w14:textId="77777777" w:rsidR="00CF04BC" w:rsidRPr="00B93493" w:rsidRDefault="00CF04BC" w:rsidP="002E7F54">
            <w:pPr>
              <w:pStyle w:val="Tabletext"/>
              <w:jc w:val="center"/>
              <w:rPr>
                <w:sz w:val="18"/>
                <w:szCs w:val="18"/>
              </w:rPr>
            </w:pPr>
            <w:r w:rsidRPr="00B93493">
              <w:rPr>
                <w:sz w:val="18"/>
                <w:szCs w:val="18"/>
              </w:rPr>
              <w:t>60.0</w:t>
            </w:r>
          </w:p>
        </w:tc>
        <w:tc>
          <w:tcPr>
            <w:tcW w:w="709" w:type="dxa"/>
            <w:tcBorders>
              <w:top w:val="single" w:sz="4" w:space="0" w:color="auto"/>
              <w:left w:val="single" w:sz="4" w:space="0" w:color="auto"/>
              <w:bottom w:val="single" w:sz="4" w:space="0" w:color="auto"/>
              <w:right w:val="single" w:sz="4" w:space="0" w:color="auto"/>
            </w:tcBorders>
          </w:tcPr>
          <w:p w14:paraId="2EBD5209" w14:textId="77777777" w:rsidR="00CF04BC" w:rsidRPr="00B93493" w:rsidRDefault="00CF04BC" w:rsidP="002E7F54">
            <w:pPr>
              <w:pStyle w:val="Tabletext"/>
              <w:jc w:val="center"/>
              <w:rPr>
                <w:sz w:val="18"/>
                <w:szCs w:val="18"/>
              </w:rPr>
            </w:pPr>
            <w:r w:rsidRPr="00B93493">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3000E31C"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2D1579B9" w14:textId="77777777" w:rsidR="00CF04BC" w:rsidRPr="00B93493" w:rsidRDefault="00CF04BC" w:rsidP="002E7F54">
            <w:pPr>
              <w:pStyle w:val="Tabletext"/>
              <w:jc w:val="center"/>
              <w:rPr>
                <w:sz w:val="18"/>
                <w:szCs w:val="18"/>
              </w:rPr>
            </w:pPr>
            <w:r w:rsidRPr="00B93493">
              <w:rPr>
                <w:sz w:val="18"/>
                <w:szCs w:val="18"/>
              </w:rPr>
              <w:t>36</w:t>
            </w:r>
          </w:p>
        </w:tc>
        <w:tc>
          <w:tcPr>
            <w:tcW w:w="765" w:type="dxa"/>
            <w:tcBorders>
              <w:top w:val="single" w:sz="4" w:space="0" w:color="auto"/>
              <w:left w:val="single" w:sz="4" w:space="0" w:color="auto"/>
              <w:bottom w:val="single" w:sz="4" w:space="0" w:color="auto"/>
              <w:right w:val="single" w:sz="4" w:space="0" w:color="auto"/>
            </w:tcBorders>
          </w:tcPr>
          <w:p w14:paraId="2BEB6BCD" w14:textId="77777777" w:rsidR="00CF04BC" w:rsidRPr="00B93493" w:rsidRDefault="00CF04BC" w:rsidP="002E7F54">
            <w:pPr>
              <w:pStyle w:val="Tabletext"/>
              <w:jc w:val="center"/>
              <w:rPr>
                <w:sz w:val="18"/>
                <w:szCs w:val="18"/>
              </w:rPr>
            </w:pPr>
            <w:r w:rsidRPr="00B93493">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019356CB" w14:textId="77777777" w:rsidR="00CF04BC" w:rsidRPr="00B93493" w:rsidRDefault="00CF04BC" w:rsidP="002E7F54">
            <w:pPr>
              <w:pStyle w:val="Tabletext"/>
              <w:jc w:val="center"/>
              <w:rPr>
                <w:sz w:val="18"/>
                <w:szCs w:val="18"/>
              </w:rPr>
            </w:pPr>
            <w:r w:rsidRPr="00B93493">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0C754985" w14:textId="77777777" w:rsidR="00CF04BC" w:rsidRPr="00B93493" w:rsidRDefault="00CF04BC" w:rsidP="002E7F54">
            <w:pPr>
              <w:pStyle w:val="Tabletext"/>
              <w:jc w:val="center"/>
              <w:rPr>
                <w:sz w:val="18"/>
                <w:szCs w:val="18"/>
              </w:rPr>
            </w:pPr>
            <w:r w:rsidRPr="00B93493">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0A922765" w14:textId="77777777" w:rsidR="00CF04BC" w:rsidRPr="00B93493" w:rsidRDefault="00CF04BC" w:rsidP="002E7F54">
            <w:pPr>
              <w:pStyle w:val="Tabletext"/>
              <w:jc w:val="center"/>
              <w:rPr>
                <w:sz w:val="18"/>
                <w:szCs w:val="18"/>
              </w:rPr>
            </w:pPr>
            <w:r w:rsidRPr="00B93493">
              <w:rPr>
                <w:sz w:val="18"/>
                <w:szCs w:val="18"/>
              </w:rPr>
              <w:t>57</w:t>
            </w:r>
          </w:p>
        </w:tc>
        <w:tc>
          <w:tcPr>
            <w:tcW w:w="765" w:type="dxa"/>
            <w:tcBorders>
              <w:top w:val="single" w:sz="4" w:space="0" w:color="auto"/>
              <w:left w:val="single" w:sz="4" w:space="0" w:color="auto"/>
              <w:bottom w:val="single" w:sz="4" w:space="0" w:color="auto"/>
              <w:right w:val="single" w:sz="4" w:space="0" w:color="auto"/>
            </w:tcBorders>
          </w:tcPr>
          <w:p w14:paraId="23FE15E3" w14:textId="77777777" w:rsidR="00CF04BC" w:rsidRPr="00B93493" w:rsidRDefault="00CF04BC" w:rsidP="002E7F54">
            <w:pPr>
              <w:pStyle w:val="Tabletext"/>
              <w:jc w:val="center"/>
              <w:rPr>
                <w:sz w:val="18"/>
                <w:szCs w:val="18"/>
              </w:rPr>
            </w:pPr>
            <w:r w:rsidRPr="00B93493">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659A6C88" w14:textId="77777777" w:rsidR="00CF04BC" w:rsidRPr="00B93493" w:rsidRDefault="00CF04BC" w:rsidP="002E7F54">
            <w:pPr>
              <w:pStyle w:val="Tabletext"/>
              <w:jc w:val="center"/>
              <w:rPr>
                <w:sz w:val="18"/>
                <w:szCs w:val="18"/>
              </w:rPr>
            </w:pPr>
            <w:r w:rsidRPr="00B93493">
              <w:rPr>
                <w:sz w:val="18"/>
                <w:szCs w:val="18"/>
              </w:rPr>
              <w:t>64</w:t>
            </w:r>
          </w:p>
        </w:tc>
        <w:tc>
          <w:tcPr>
            <w:tcW w:w="765" w:type="dxa"/>
            <w:tcBorders>
              <w:top w:val="single" w:sz="4" w:space="0" w:color="auto"/>
              <w:left w:val="single" w:sz="4" w:space="0" w:color="auto"/>
              <w:bottom w:val="single" w:sz="4" w:space="0" w:color="auto"/>
              <w:right w:val="single" w:sz="4" w:space="0" w:color="auto"/>
            </w:tcBorders>
          </w:tcPr>
          <w:p w14:paraId="70429567" w14:textId="77777777" w:rsidR="00CF04BC" w:rsidRPr="00B93493" w:rsidRDefault="00CF04BC" w:rsidP="002E7F54">
            <w:pPr>
              <w:pStyle w:val="Tabletext"/>
              <w:jc w:val="center"/>
              <w:rPr>
                <w:sz w:val="18"/>
                <w:szCs w:val="18"/>
              </w:rPr>
            </w:pPr>
            <w:r w:rsidRPr="00B93493">
              <w:rPr>
                <w:sz w:val="18"/>
                <w:szCs w:val="18"/>
              </w:rPr>
              <w:t>67</w:t>
            </w:r>
          </w:p>
        </w:tc>
        <w:tc>
          <w:tcPr>
            <w:tcW w:w="879" w:type="dxa"/>
            <w:tcBorders>
              <w:top w:val="single" w:sz="4" w:space="0" w:color="auto"/>
              <w:left w:val="single" w:sz="4" w:space="0" w:color="auto"/>
              <w:bottom w:val="single" w:sz="4" w:space="0" w:color="auto"/>
              <w:right w:val="single" w:sz="4" w:space="0" w:color="auto"/>
            </w:tcBorders>
          </w:tcPr>
          <w:p w14:paraId="456A7978" w14:textId="77777777" w:rsidR="00CF04BC" w:rsidRPr="00B93493" w:rsidRDefault="00CF04BC" w:rsidP="002E7F54">
            <w:pPr>
              <w:pStyle w:val="Tabletext"/>
              <w:jc w:val="center"/>
              <w:rPr>
                <w:sz w:val="18"/>
                <w:szCs w:val="18"/>
              </w:rPr>
            </w:pPr>
            <w:r w:rsidRPr="00B93493">
              <w:rPr>
                <w:sz w:val="18"/>
                <w:szCs w:val="18"/>
              </w:rPr>
              <w:t>73</w:t>
            </w:r>
          </w:p>
        </w:tc>
      </w:tr>
    </w:tbl>
    <w:p w14:paraId="69EE6C3D" w14:textId="77777777" w:rsidR="00CF04BC" w:rsidRPr="00B93493" w:rsidRDefault="00CF04BC" w:rsidP="00CF04BC">
      <w:pPr>
        <w:pStyle w:val="TableNo"/>
      </w:pPr>
      <w:r w:rsidRPr="00B93493">
        <w:t xml:space="preserve">TABLE </w:t>
      </w:r>
      <w:r>
        <w:rPr>
          <w:rFonts w:hint="eastAsia"/>
          <w:lang w:eastAsia="zh-CN"/>
        </w:rPr>
        <w:t>10</w:t>
      </w:r>
    </w:p>
    <w:p w14:paraId="7ABB4BD4" w14:textId="77777777" w:rsidR="00CF04BC" w:rsidRPr="00B93493" w:rsidRDefault="00CF04BC" w:rsidP="00CF04BC">
      <w:pPr>
        <w:pStyle w:val="Tabletitle"/>
      </w:pPr>
      <w:r w:rsidRPr="00B93493">
        <w:t>Radius of service area (km) for sound broadcasting below 108 MHz,</w:t>
      </w:r>
      <w:r w:rsidRPr="00B93493">
        <w:br/>
      </w:r>
      <w:r w:rsidRPr="00B93493">
        <w:rPr>
          <w:i/>
          <w:iCs/>
        </w:rPr>
        <w:t>E</w:t>
      </w:r>
      <w:r w:rsidRPr="00B93493">
        <w:rPr>
          <w:i/>
          <w:iCs/>
          <w:vertAlign w:val="subscript"/>
        </w:rPr>
        <w:t>mu</w:t>
      </w:r>
      <w:r w:rsidRPr="00B93493">
        <w:t xml:space="preserve"> </w:t>
      </w:r>
      <w:r w:rsidRPr="00B93493">
        <w:rPr>
          <w:rFonts w:ascii="Symbol" w:hAnsi="Symbol"/>
        </w:rPr>
        <w:t></w:t>
      </w:r>
      <w:r w:rsidRPr="00B93493">
        <w:t xml:space="preserve"> 54 dB(</w:t>
      </w:r>
      <w:r w:rsidRPr="00B93493">
        <w:rPr>
          <w:rFonts w:ascii="Symbol" w:hAnsi="Symbol"/>
        </w:rPr>
        <w:t></w:t>
      </w:r>
      <w:r w:rsidRPr="00B93493">
        <w:t xml:space="preserve">V/m), </w:t>
      </w:r>
      <w:r w:rsidRPr="00B93493">
        <w:rPr>
          <w:i/>
          <w:iCs/>
        </w:rPr>
        <w:t>f</w:t>
      </w:r>
      <w:r w:rsidRPr="00B93493">
        <w:rPr>
          <w:i/>
          <w:iCs/>
          <w:vertAlign w:val="subscript"/>
        </w:rPr>
        <w:t>c</w:t>
      </w:r>
      <w:r w:rsidRPr="00B93493">
        <w:t xml:space="preserve"> </w:t>
      </w:r>
      <w:r w:rsidRPr="00B93493">
        <w:rPr>
          <w:rFonts w:ascii="Symbol" w:hAnsi="Symbol"/>
        </w:rPr>
        <w:t></w:t>
      </w:r>
      <w:r w:rsidRPr="00B93493">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03"/>
        <w:gridCol w:w="759"/>
        <w:gridCol w:w="759"/>
        <w:gridCol w:w="759"/>
        <w:gridCol w:w="759"/>
        <w:gridCol w:w="759"/>
        <w:gridCol w:w="759"/>
        <w:gridCol w:w="759"/>
        <w:gridCol w:w="759"/>
        <w:gridCol w:w="759"/>
        <w:gridCol w:w="871"/>
      </w:tblGrid>
      <w:tr w:rsidR="00CF04BC" w:rsidRPr="00B93493" w14:paraId="64CD2399" w14:textId="77777777" w:rsidTr="002E7F54">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7E5904E4" w14:textId="77777777" w:rsidR="00CF04BC" w:rsidRPr="00B93493" w:rsidRDefault="00CF04BC" w:rsidP="002E7F54">
            <w:pPr>
              <w:pStyle w:val="Tablehead"/>
              <w:ind w:right="-397"/>
              <w:rPr>
                <w:sz w:val="18"/>
                <w:szCs w:val="18"/>
              </w:rPr>
            </w:pPr>
            <w:r w:rsidRPr="00B93493">
              <w:rPr>
                <w:i/>
                <w:iCs/>
                <w:sz w:val="18"/>
                <w:szCs w:val="18"/>
              </w:rPr>
              <w:t>h</w:t>
            </w:r>
            <w:r w:rsidRPr="00B93493">
              <w:rPr>
                <w:i/>
                <w:iCs/>
                <w:sz w:val="18"/>
                <w:szCs w:val="18"/>
                <w:vertAlign w:val="subscript"/>
              </w:rPr>
              <w:t>ef</w:t>
            </w:r>
            <w:r w:rsidRPr="00B93493">
              <w:rPr>
                <w:sz w:val="18"/>
                <w:szCs w:val="18"/>
              </w:rPr>
              <w:t xml:space="preserve"> (m)</w:t>
            </w:r>
          </w:p>
          <w:p w14:paraId="381D88DA" w14:textId="77777777" w:rsidR="00CF04BC" w:rsidRPr="00B93493" w:rsidRDefault="00CF04BC" w:rsidP="002E7F54">
            <w:pPr>
              <w:pStyle w:val="Tablehead"/>
              <w:ind w:left="-113"/>
              <w:jc w:val="left"/>
              <w:rPr>
                <w:sz w:val="18"/>
                <w:szCs w:val="18"/>
              </w:rPr>
            </w:pPr>
            <w:r w:rsidRPr="00B93493">
              <w:rPr>
                <w:i/>
                <w:iCs/>
                <w:sz w:val="18"/>
                <w:szCs w:val="18"/>
              </w:rPr>
              <w:t>P</w:t>
            </w:r>
            <w:r w:rsidRPr="00B93493">
              <w:rPr>
                <w:i/>
                <w:iCs/>
                <w:sz w:val="18"/>
                <w:szCs w:val="18"/>
                <w:vertAlign w:val="subscript"/>
              </w:rPr>
              <w:t>ef</w:t>
            </w:r>
            <w:r w:rsidRPr="00B93493">
              <w:rPr>
                <w:rFonts w:ascii="Tms Rmn" w:hAnsi="Tms Rmn"/>
                <w:sz w:val="18"/>
                <w:szCs w:val="18"/>
                <w:vertAlign w:val="subscript"/>
              </w:rPr>
              <w:t> </w:t>
            </w:r>
            <w:r w:rsidRPr="00B93493">
              <w:rPr>
                <w:sz w:val="18"/>
                <w:szCs w:val="18"/>
              </w:rPr>
              <w:t>(dBW)</w:t>
            </w:r>
          </w:p>
        </w:tc>
        <w:tc>
          <w:tcPr>
            <w:tcW w:w="709" w:type="dxa"/>
            <w:tcBorders>
              <w:top w:val="single" w:sz="4" w:space="0" w:color="auto"/>
              <w:left w:val="single" w:sz="4" w:space="0" w:color="auto"/>
              <w:bottom w:val="single" w:sz="4" w:space="0" w:color="auto"/>
              <w:right w:val="single" w:sz="4" w:space="0" w:color="auto"/>
            </w:tcBorders>
          </w:tcPr>
          <w:p w14:paraId="6017EDEF" w14:textId="77777777" w:rsidR="00CF04BC" w:rsidRPr="00B93493" w:rsidRDefault="00CF04BC" w:rsidP="002E7F54">
            <w:pPr>
              <w:pStyle w:val="Tablehead"/>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110FC265" w14:textId="77777777" w:rsidR="00CF04BC" w:rsidRPr="00B93493" w:rsidRDefault="00CF04BC" w:rsidP="002E7F54">
            <w:pPr>
              <w:pStyle w:val="Tablehead"/>
              <w:rPr>
                <w:sz w:val="18"/>
                <w:szCs w:val="18"/>
              </w:rPr>
            </w:pPr>
            <w:r w:rsidRPr="00B93493">
              <w:rPr>
                <w:sz w:val="18"/>
                <w:szCs w:val="18"/>
              </w:rPr>
              <w:t>50</w:t>
            </w:r>
          </w:p>
        </w:tc>
        <w:tc>
          <w:tcPr>
            <w:tcW w:w="765" w:type="dxa"/>
            <w:tcBorders>
              <w:top w:val="single" w:sz="4" w:space="0" w:color="auto"/>
              <w:left w:val="single" w:sz="4" w:space="0" w:color="auto"/>
              <w:bottom w:val="single" w:sz="4" w:space="0" w:color="auto"/>
              <w:right w:val="single" w:sz="4" w:space="0" w:color="auto"/>
            </w:tcBorders>
          </w:tcPr>
          <w:p w14:paraId="24A144A1" w14:textId="77777777" w:rsidR="00CF04BC" w:rsidRPr="00B93493" w:rsidRDefault="00CF04BC" w:rsidP="002E7F54">
            <w:pPr>
              <w:pStyle w:val="Tablehead"/>
              <w:rPr>
                <w:sz w:val="18"/>
                <w:szCs w:val="18"/>
              </w:rPr>
            </w:pPr>
            <w:r w:rsidRPr="00B93493">
              <w:rPr>
                <w:sz w:val="18"/>
                <w:szCs w:val="18"/>
              </w:rPr>
              <w:t>75</w:t>
            </w:r>
          </w:p>
        </w:tc>
        <w:tc>
          <w:tcPr>
            <w:tcW w:w="765" w:type="dxa"/>
            <w:tcBorders>
              <w:top w:val="single" w:sz="4" w:space="0" w:color="auto"/>
              <w:left w:val="single" w:sz="4" w:space="0" w:color="auto"/>
              <w:bottom w:val="single" w:sz="4" w:space="0" w:color="auto"/>
              <w:right w:val="single" w:sz="4" w:space="0" w:color="auto"/>
            </w:tcBorders>
          </w:tcPr>
          <w:p w14:paraId="59D2A735" w14:textId="77777777" w:rsidR="00CF04BC" w:rsidRPr="00B93493" w:rsidRDefault="00CF04BC" w:rsidP="002E7F54">
            <w:pPr>
              <w:pStyle w:val="Tablehead"/>
              <w:rPr>
                <w:sz w:val="18"/>
                <w:szCs w:val="18"/>
              </w:rPr>
            </w:pPr>
            <w:r w:rsidRPr="00B93493">
              <w:rPr>
                <w:sz w:val="18"/>
                <w:szCs w:val="18"/>
              </w:rPr>
              <w:t>100</w:t>
            </w:r>
          </w:p>
        </w:tc>
        <w:tc>
          <w:tcPr>
            <w:tcW w:w="765" w:type="dxa"/>
            <w:tcBorders>
              <w:top w:val="single" w:sz="4" w:space="0" w:color="auto"/>
              <w:left w:val="single" w:sz="4" w:space="0" w:color="auto"/>
              <w:bottom w:val="single" w:sz="4" w:space="0" w:color="auto"/>
              <w:right w:val="single" w:sz="4" w:space="0" w:color="auto"/>
            </w:tcBorders>
          </w:tcPr>
          <w:p w14:paraId="01658A7A" w14:textId="77777777" w:rsidR="00CF04BC" w:rsidRPr="00B93493" w:rsidRDefault="00CF04BC" w:rsidP="002E7F54">
            <w:pPr>
              <w:pStyle w:val="Tablehead"/>
              <w:rPr>
                <w:sz w:val="18"/>
                <w:szCs w:val="18"/>
              </w:rPr>
            </w:pPr>
            <w:r w:rsidRPr="00B93493">
              <w:rPr>
                <w:sz w:val="18"/>
                <w:szCs w:val="18"/>
              </w:rPr>
              <w:t>150</w:t>
            </w:r>
          </w:p>
        </w:tc>
        <w:tc>
          <w:tcPr>
            <w:tcW w:w="765" w:type="dxa"/>
            <w:tcBorders>
              <w:top w:val="single" w:sz="4" w:space="0" w:color="auto"/>
              <w:left w:val="single" w:sz="4" w:space="0" w:color="auto"/>
              <w:bottom w:val="single" w:sz="4" w:space="0" w:color="auto"/>
              <w:right w:val="single" w:sz="4" w:space="0" w:color="auto"/>
            </w:tcBorders>
          </w:tcPr>
          <w:p w14:paraId="2F7E2537" w14:textId="77777777" w:rsidR="00CF04BC" w:rsidRPr="00B93493" w:rsidRDefault="00CF04BC" w:rsidP="002E7F54">
            <w:pPr>
              <w:pStyle w:val="Tablehead"/>
              <w:rPr>
                <w:sz w:val="18"/>
                <w:szCs w:val="18"/>
              </w:rPr>
            </w:pPr>
            <w:r w:rsidRPr="00B93493">
              <w:rPr>
                <w:sz w:val="18"/>
                <w:szCs w:val="18"/>
              </w:rPr>
              <w:t>200</w:t>
            </w:r>
          </w:p>
        </w:tc>
        <w:tc>
          <w:tcPr>
            <w:tcW w:w="765" w:type="dxa"/>
            <w:tcBorders>
              <w:top w:val="single" w:sz="4" w:space="0" w:color="auto"/>
              <w:left w:val="single" w:sz="4" w:space="0" w:color="auto"/>
              <w:bottom w:val="single" w:sz="4" w:space="0" w:color="auto"/>
              <w:right w:val="single" w:sz="4" w:space="0" w:color="auto"/>
            </w:tcBorders>
          </w:tcPr>
          <w:p w14:paraId="15667FFB" w14:textId="77777777" w:rsidR="00CF04BC" w:rsidRPr="00B93493" w:rsidRDefault="00CF04BC" w:rsidP="002E7F54">
            <w:pPr>
              <w:pStyle w:val="Tablehead"/>
              <w:rPr>
                <w:sz w:val="18"/>
                <w:szCs w:val="18"/>
              </w:rPr>
            </w:pPr>
            <w:r w:rsidRPr="00B93493">
              <w:rPr>
                <w:sz w:val="18"/>
                <w:szCs w:val="18"/>
              </w:rPr>
              <w:t>250</w:t>
            </w:r>
          </w:p>
        </w:tc>
        <w:tc>
          <w:tcPr>
            <w:tcW w:w="765" w:type="dxa"/>
            <w:tcBorders>
              <w:top w:val="single" w:sz="4" w:space="0" w:color="auto"/>
              <w:left w:val="single" w:sz="4" w:space="0" w:color="auto"/>
              <w:bottom w:val="single" w:sz="4" w:space="0" w:color="auto"/>
              <w:right w:val="single" w:sz="4" w:space="0" w:color="auto"/>
            </w:tcBorders>
          </w:tcPr>
          <w:p w14:paraId="18488CBA" w14:textId="77777777" w:rsidR="00CF04BC" w:rsidRPr="00B93493" w:rsidRDefault="00CF04BC" w:rsidP="002E7F54">
            <w:pPr>
              <w:pStyle w:val="Tablehead"/>
              <w:rPr>
                <w:sz w:val="18"/>
                <w:szCs w:val="18"/>
              </w:rPr>
            </w:pPr>
            <w:r w:rsidRPr="00B93493">
              <w:rPr>
                <w:sz w:val="18"/>
                <w:szCs w:val="18"/>
              </w:rPr>
              <w:t>300</w:t>
            </w:r>
          </w:p>
        </w:tc>
        <w:tc>
          <w:tcPr>
            <w:tcW w:w="765" w:type="dxa"/>
            <w:tcBorders>
              <w:top w:val="single" w:sz="4" w:space="0" w:color="auto"/>
              <w:left w:val="single" w:sz="4" w:space="0" w:color="auto"/>
              <w:bottom w:val="single" w:sz="4" w:space="0" w:color="auto"/>
              <w:right w:val="single" w:sz="4" w:space="0" w:color="auto"/>
            </w:tcBorders>
          </w:tcPr>
          <w:p w14:paraId="324B70CF" w14:textId="77777777" w:rsidR="00CF04BC" w:rsidRPr="00B93493" w:rsidRDefault="00CF04BC" w:rsidP="002E7F54">
            <w:pPr>
              <w:pStyle w:val="Tablehead"/>
              <w:rPr>
                <w:sz w:val="18"/>
                <w:szCs w:val="18"/>
              </w:rPr>
            </w:pPr>
            <w:r w:rsidRPr="00B93493">
              <w:rPr>
                <w:sz w:val="18"/>
                <w:szCs w:val="18"/>
              </w:rPr>
              <w:t>350</w:t>
            </w:r>
          </w:p>
        </w:tc>
        <w:tc>
          <w:tcPr>
            <w:tcW w:w="765" w:type="dxa"/>
            <w:tcBorders>
              <w:top w:val="single" w:sz="4" w:space="0" w:color="auto"/>
              <w:left w:val="single" w:sz="4" w:space="0" w:color="auto"/>
              <w:bottom w:val="single" w:sz="4" w:space="0" w:color="auto"/>
              <w:right w:val="single" w:sz="4" w:space="0" w:color="auto"/>
            </w:tcBorders>
          </w:tcPr>
          <w:p w14:paraId="13337DFF" w14:textId="77777777" w:rsidR="00CF04BC" w:rsidRPr="00B93493" w:rsidRDefault="00CF04BC" w:rsidP="002E7F54">
            <w:pPr>
              <w:pStyle w:val="Tablehead"/>
              <w:rPr>
                <w:sz w:val="18"/>
                <w:szCs w:val="18"/>
              </w:rPr>
            </w:pPr>
            <w:r w:rsidRPr="00B93493">
              <w:rPr>
                <w:sz w:val="18"/>
                <w:szCs w:val="18"/>
              </w:rPr>
              <w:t>400</w:t>
            </w:r>
          </w:p>
        </w:tc>
        <w:tc>
          <w:tcPr>
            <w:tcW w:w="879" w:type="dxa"/>
            <w:tcBorders>
              <w:top w:val="single" w:sz="4" w:space="0" w:color="auto"/>
              <w:left w:val="single" w:sz="4" w:space="0" w:color="auto"/>
              <w:bottom w:val="single" w:sz="4" w:space="0" w:color="auto"/>
              <w:right w:val="single" w:sz="4" w:space="0" w:color="auto"/>
            </w:tcBorders>
          </w:tcPr>
          <w:p w14:paraId="397551BA" w14:textId="77777777" w:rsidR="00CF04BC" w:rsidRPr="00B93493" w:rsidRDefault="00CF04BC" w:rsidP="002E7F54">
            <w:pPr>
              <w:pStyle w:val="Tablehead"/>
              <w:rPr>
                <w:sz w:val="18"/>
                <w:szCs w:val="18"/>
              </w:rPr>
            </w:pPr>
            <w:r w:rsidRPr="00B93493">
              <w:rPr>
                <w:sz w:val="18"/>
                <w:szCs w:val="18"/>
              </w:rPr>
              <w:t>500</w:t>
            </w:r>
          </w:p>
        </w:tc>
      </w:tr>
      <w:tr w:rsidR="00CF04BC" w:rsidRPr="00B93493" w14:paraId="4DF28F5F"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2CDB90A1" w14:textId="77777777" w:rsidR="00CF04BC" w:rsidRPr="00B93493" w:rsidRDefault="00CF04BC" w:rsidP="002E7F54">
            <w:pPr>
              <w:pStyle w:val="Tabletext"/>
              <w:jc w:val="center"/>
              <w:rPr>
                <w:sz w:val="18"/>
                <w:szCs w:val="18"/>
              </w:rPr>
            </w:pPr>
            <w:r w:rsidRPr="00B93493">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14:paraId="7E48477A" w14:textId="77777777" w:rsidR="00CF04BC" w:rsidRPr="00B93493" w:rsidRDefault="00CF04BC" w:rsidP="002E7F54">
            <w:pPr>
              <w:pStyle w:val="Tabletext"/>
              <w:jc w:val="center"/>
              <w:rPr>
                <w:sz w:val="18"/>
                <w:szCs w:val="18"/>
              </w:rPr>
            </w:pPr>
            <w:r w:rsidRPr="00B93493">
              <w:rPr>
                <w:sz w:val="18"/>
                <w:szCs w:val="18"/>
              </w:rPr>
              <w:t>6</w:t>
            </w:r>
          </w:p>
        </w:tc>
        <w:tc>
          <w:tcPr>
            <w:tcW w:w="765" w:type="dxa"/>
            <w:tcBorders>
              <w:top w:val="single" w:sz="4" w:space="0" w:color="auto"/>
              <w:left w:val="single" w:sz="4" w:space="0" w:color="auto"/>
              <w:bottom w:val="single" w:sz="4" w:space="0" w:color="auto"/>
              <w:right w:val="single" w:sz="4" w:space="0" w:color="auto"/>
            </w:tcBorders>
          </w:tcPr>
          <w:p w14:paraId="35EB0F1A" w14:textId="77777777" w:rsidR="00CF04BC" w:rsidRPr="00B93493" w:rsidRDefault="00CF04BC" w:rsidP="002E7F54">
            <w:pPr>
              <w:pStyle w:val="Tabletext"/>
              <w:jc w:val="center"/>
              <w:rPr>
                <w:sz w:val="18"/>
                <w:szCs w:val="18"/>
              </w:rPr>
            </w:pPr>
            <w:r w:rsidRPr="00B93493">
              <w:rPr>
                <w:sz w:val="18"/>
                <w:szCs w:val="18"/>
              </w:rPr>
              <w:t>8</w:t>
            </w:r>
          </w:p>
        </w:tc>
        <w:tc>
          <w:tcPr>
            <w:tcW w:w="765" w:type="dxa"/>
            <w:tcBorders>
              <w:top w:val="single" w:sz="4" w:space="0" w:color="auto"/>
              <w:left w:val="single" w:sz="4" w:space="0" w:color="auto"/>
              <w:bottom w:val="single" w:sz="4" w:space="0" w:color="auto"/>
              <w:right w:val="single" w:sz="4" w:space="0" w:color="auto"/>
            </w:tcBorders>
          </w:tcPr>
          <w:p w14:paraId="15AF34FC"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7D906788" w14:textId="77777777" w:rsidR="00CF04BC" w:rsidRPr="00B93493" w:rsidRDefault="00CF04BC" w:rsidP="002E7F54">
            <w:pPr>
              <w:pStyle w:val="Tabletext"/>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27E0D142" w14:textId="77777777" w:rsidR="00CF04BC" w:rsidRPr="00B93493" w:rsidRDefault="00CF04BC" w:rsidP="002E7F54">
            <w:pPr>
              <w:pStyle w:val="Tabletext"/>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76C88666" w14:textId="77777777" w:rsidR="00CF04BC" w:rsidRPr="00B93493" w:rsidRDefault="00CF04BC" w:rsidP="002E7F54">
            <w:pPr>
              <w:pStyle w:val="Tabletext"/>
              <w:jc w:val="center"/>
              <w:rPr>
                <w:sz w:val="18"/>
                <w:szCs w:val="18"/>
              </w:rPr>
            </w:pPr>
            <w:r w:rsidRPr="00B93493">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14:paraId="05D8E474" w14:textId="77777777" w:rsidR="00CF04BC" w:rsidRPr="00B93493" w:rsidRDefault="00CF04BC" w:rsidP="002E7F54">
            <w:pPr>
              <w:pStyle w:val="Tabletext"/>
              <w:jc w:val="center"/>
              <w:rPr>
                <w:sz w:val="18"/>
                <w:szCs w:val="18"/>
              </w:rPr>
            </w:pPr>
            <w:r w:rsidRPr="00B93493">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6CC0F11B" w14:textId="77777777" w:rsidR="00CF04BC" w:rsidRPr="00B93493" w:rsidRDefault="00CF04BC" w:rsidP="002E7F54">
            <w:pPr>
              <w:pStyle w:val="Tabletext"/>
              <w:jc w:val="center"/>
              <w:rPr>
                <w:sz w:val="18"/>
                <w:szCs w:val="18"/>
              </w:rPr>
            </w:pPr>
            <w:r w:rsidRPr="00B93493">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14:paraId="40EE9723"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1C28FD26" w14:textId="77777777" w:rsidR="00CF04BC" w:rsidRPr="00B93493" w:rsidRDefault="00CF04BC" w:rsidP="002E7F54">
            <w:pPr>
              <w:pStyle w:val="Tabletext"/>
              <w:jc w:val="center"/>
              <w:rPr>
                <w:sz w:val="18"/>
                <w:szCs w:val="18"/>
              </w:rPr>
            </w:pPr>
            <w:r w:rsidRPr="00B93493">
              <w:rPr>
                <w:sz w:val="18"/>
                <w:szCs w:val="18"/>
              </w:rPr>
              <w:t>24</w:t>
            </w:r>
          </w:p>
        </w:tc>
        <w:tc>
          <w:tcPr>
            <w:tcW w:w="879" w:type="dxa"/>
            <w:tcBorders>
              <w:top w:val="single" w:sz="4" w:space="0" w:color="auto"/>
              <w:left w:val="single" w:sz="4" w:space="0" w:color="auto"/>
              <w:bottom w:val="single" w:sz="4" w:space="0" w:color="auto"/>
              <w:right w:val="single" w:sz="4" w:space="0" w:color="auto"/>
            </w:tcBorders>
          </w:tcPr>
          <w:p w14:paraId="6B844FB4" w14:textId="77777777" w:rsidR="00CF04BC" w:rsidRPr="00B93493" w:rsidRDefault="00CF04BC" w:rsidP="002E7F54">
            <w:pPr>
              <w:pStyle w:val="Tabletext"/>
              <w:jc w:val="center"/>
              <w:rPr>
                <w:sz w:val="18"/>
                <w:szCs w:val="18"/>
              </w:rPr>
            </w:pPr>
            <w:r w:rsidRPr="00B93493">
              <w:rPr>
                <w:sz w:val="18"/>
                <w:szCs w:val="18"/>
              </w:rPr>
              <w:t>27</w:t>
            </w:r>
          </w:p>
        </w:tc>
      </w:tr>
      <w:tr w:rsidR="00CF04BC" w:rsidRPr="00B93493" w14:paraId="46DCAE7E"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6D730766" w14:textId="77777777" w:rsidR="00CF04BC" w:rsidRPr="00B93493" w:rsidRDefault="00CF04BC" w:rsidP="002E7F54">
            <w:pPr>
              <w:pStyle w:val="Tabletext"/>
              <w:jc w:val="center"/>
              <w:rPr>
                <w:sz w:val="18"/>
                <w:szCs w:val="18"/>
              </w:rPr>
            </w:pPr>
            <w:r w:rsidRPr="00B93493">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14:paraId="70EFD6BA" w14:textId="77777777" w:rsidR="00CF04BC" w:rsidRPr="00B93493" w:rsidRDefault="00CF04BC" w:rsidP="002E7F54">
            <w:pPr>
              <w:pStyle w:val="Tabletext"/>
              <w:jc w:val="center"/>
              <w:rPr>
                <w:sz w:val="18"/>
                <w:szCs w:val="18"/>
              </w:rPr>
            </w:pPr>
            <w:r w:rsidRPr="00B93493">
              <w:rPr>
                <w:sz w:val="18"/>
                <w:szCs w:val="18"/>
              </w:rPr>
              <w:t>9</w:t>
            </w:r>
          </w:p>
        </w:tc>
        <w:tc>
          <w:tcPr>
            <w:tcW w:w="765" w:type="dxa"/>
            <w:tcBorders>
              <w:top w:val="single" w:sz="4" w:space="0" w:color="auto"/>
              <w:left w:val="single" w:sz="4" w:space="0" w:color="auto"/>
              <w:bottom w:val="single" w:sz="4" w:space="0" w:color="auto"/>
              <w:right w:val="single" w:sz="4" w:space="0" w:color="auto"/>
            </w:tcBorders>
          </w:tcPr>
          <w:p w14:paraId="3C0D9562" w14:textId="77777777" w:rsidR="00CF04BC" w:rsidRPr="00B93493" w:rsidRDefault="00CF04BC" w:rsidP="002E7F54">
            <w:pPr>
              <w:pStyle w:val="Tabletext"/>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70289529" w14:textId="77777777" w:rsidR="00CF04BC" w:rsidRPr="00B93493" w:rsidRDefault="00CF04BC" w:rsidP="002E7F54">
            <w:pPr>
              <w:pStyle w:val="Tabletext"/>
              <w:jc w:val="center"/>
              <w:rPr>
                <w:sz w:val="18"/>
                <w:szCs w:val="18"/>
              </w:rPr>
            </w:pPr>
            <w:r w:rsidRPr="00B93493">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14:paraId="5FEF2773" w14:textId="77777777" w:rsidR="00CF04BC" w:rsidRPr="00B93493" w:rsidRDefault="00CF04BC" w:rsidP="002E7F54">
            <w:pPr>
              <w:pStyle w:val="Tabletext"/>
              <w:jc w:val="center"/>
              <w:rPr>
                <w:sz w:val="18"/>
                <w:szCs w:val="18"/>
              </w:rPr>
            </w:pPr>
            <w:r w:rsidRPr="00B93493">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74C953CC" w14:textId="77777777" w:rsidR="00CF04BC" w:rsidRPr="00B93493" w:rsidRDefault="00CF04BC" w:rsidP="002E7F54">
            <w:pPr>
              <w:pStyle w:val="Tabletext"/>
              <w:jc w:val="center"/>
              <w:rPr>
                <w:sz w:val="18"/>
                <w:szCs w:val="18"/>
              </w:rPr>
            </w:pPr>
            <w:r w:rsidRPr="00B93493">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6AA09DF6" w14:textId="77777777" w:rsidR="00CF04BC" w:rsidRPr="00B93493" w:rsidRDefault="00CF04BC" w:rsidP="002E7F54">
            <w:pPr>
              <w:pStyle w:val="Tabletext"/>
              <w:jc w:val="center"/>
              <w:rPr>
                <w:sz w:val="18"/>
                <w:szCs w:val="18"/>
              </w:rPr>
            </w:pPr>
            <w:r w:rsidRPr="00B93493">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14:paraId="2ED8D317" w14:textId="77777777" w:rsidR="00CF04BC" w:rsidRPr="00B93493" w:rsidRDefault="00CF04BC" w:rsidP="002E7F54">
            <w:pPr>
              <w:pStyle w:val="Tabletext"/>
              <w:jc w:val="center"/>
              <w:rPr>
                <w:sz w:val="18"/>
                <w:szCs w:val="18"/>
              </w:rPr>
            </w:pPr>
            <w:r w:rsidRPr="00B93493">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4F26E256" w14:textId="77777777" w:rsidR="00CF04BC" w:rsidRPr="00B93493" w:rsidRDefault="00CF04BC" w:rsidP="002E7F54">
            <w:pPr>
              <w:pStyle w:val="Tabletext"/>
              <w:jc w:val="center"/>
              <w:rPr>
                <w:sz w:val="18"/>
                <w:szCs w:val="18"/>
              </w:rPr>
            </w:pPr>
            <w:r w:rsidRPr="00B93493">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14:paraId="21C5D3F0" w14:textId="77777777" w:rsidR="00CF04BC" w:rsidRPr="00B93493" w:rsidRDefault="00CF04BC" w:rsidP="002E7F54">
            <w:pPr>
              <w:pStyle w:val="Tabletext"/>
              <w:jc w:val="center"/>
              <w:rPr>
                <w:sz w:val="18"/>
                <w:szCs w:val="18"/>
              </w:rPr>
            </w:pPr>
            <w:r w:rsidRPr="00B93493">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14:paraId="3D6057BC" w14:textId="77777777" w:rsidR="00CF04BC" w:rsidRPr="00B93493" w:rsidRDefault="00CF04BC" w:rsidP="002E7F54">
            <w:pPr>
              <w:pStyle w:val="Tabletext"/>
              <w:jc w:val="center"/>
              <w:rPr>
                <w:sz w:val="18"/>
                <w:szCs w:val="18"/>
              </w:rPr>
            </w:pPr>
            <w:r w:rsidRPr="00B93493">
              <w:rPr>
                <w:sz w:val="18"/>
                <w:szCs w:val="18"/>
              </w:rPr>
              <w:t>31</w:t>
            </w:r>
          </w:p>
        </w:tc>
        <w:tc>
          <w:tcPr>
            <w:tcW w:w="879" w:type="dxa"/>
            <w:tcBorders>
              <w:top w:val="single" w:sz="4" w:space="0" w:color="auto"/>
              <w:left w:val="single" w:sz="4" w:space="0" w:color="auto"/>
              <w:bottom w:val="single" w:sz="4" w:space="0" w:color="auto"/>
              <w:right w:val="single" w:sz="4" w:space="0" w:color="auto"/>
            </w:tcBorders>
          </w:tcPr>
          <w:p w14:paraId="34128DF5" w14:textId="77777777" w:rsidR="00CF04BC" w:rsidRPr="00B93493" w:rsidRDefault="00CF04BC" w:rsidP="002E7F54">
            <w:pPr>
              <w:pStyle w:val="Tabletext"/>
              <w:jc w:val="center"/>
              <w:rPr>
                <w:sz w:val="18"/>
                <w:szCs w:val="18"/>
              </w:rPr>
            </w:pPr>
            <w:r w:rsidRPr="00B93493">
              <w:rPr>
                <w:sz w:val="18"/>
                <w:szCs w:val="18"/>
              </w:rPr>
              <w:t>35</w:t>
            </w:r>
          </w:p>
        </w:tc>
      </w:tr>
      <w:tr w:rsidR="00CF04BC" w:rsidRPr="00B93493" w14:paraId="38365320"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1B1F0459" w14:textId="77777777" w:rsidR="00CF04BC" w:rsidRPr="00B93493" w:rsidRDefault="00CF04BC" w:rsidP="002E7F54">
            <w:pPr>
              <w:pStyle w:val="Tabletext"/>
              <w:jc w:val="center"/>
              <w:rPr>
                <w:sz w:val="18"/>
                <w:szCs w:val="18"/>
              </w:rPr>
            </w:pPr>
            <w:r w:rsidRPr="00B93493">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0FF68561" w14:textId="77777777" w:rsidR="00CF04BC" w:rsidRPr="00B93493" w:rsidRDefault="00CF04BC" w:rsidP="002E7F54">
            <w:pPr>
              <w:pStyle w:val="Tabletext"/>
              <w:jc w:val="center"/>
              <w:rPr>
                <w:sz w:val="18"/>
                <w:szCs w:val="18"/>
              </w:rPr>
            </w:pPr>
            <w:r w:rsidRPr="00B93493">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14:paraId="7F6792CE" w14:textId="77777777" w:rsidR="00CF04BC" w:rsidRPr="00B93493" w:rsidRDefault="00CF04BC" w:rsidP="002E7F54">
            <w:pPr>
              <w:pStyle w:val="Tabletext"/>
              <w:jc w:val="center"/>
              <w:rPr>
                <w:sz w:val="18"/>
                <w:szCs w:val="18"/>
              </w:rPr>
            </w:pPr>
            <w:r w:rsidRPr="00B93493">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14:paraId="4377EE5C" w14:textId="77777777" w:rsidR="00CF04BC" w:rsidRPr="00B93493" w:rsidRDefault="00CF04BC" w:rsidP="002E7F54">
            <w:pPr>
              <w:pStyle w:val="Tabletext"/>
              <w:jc w:val="center"/>
              <w:rPr>
                <w:sz w:val="18"/>
                <w:szCs w:val="18"/>
              </w:rPr>
            </w:pPr>
            <w:r w:rsidRPr="00B93493">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14:paraId="6B000D45"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7C0A05B3" w14:textId="77777777" w:rsidR="00CF04BC" w:rsidRPr="00B93493" w:rsidRDefault="00CF04BC" w:rsidP="002E7F54">
            <w:pPr>
              <w:pStyle w:val="Tabletext"/>
              <w:jc w:val="center"/>
              <w:rPr>
                <w:sz w:val="18"/>
                <w:szCs w:val="18"/>
              </w:rPr>
            </w:pPr>
            <w:r w:rsidRPr="00B93493">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2789AB20" w14:textId="77777777" w:rsidR="00CF04BC" w:rsidRPr="00B93493" w:rsidRDefault="00CF04BC" w:rsidP="002E7F54">
            <w:pPr>
              <w:pStyle w:val="Tabletext"/>
              <w:jc w:val="center"/>
              <w:rPr>
                <w:sz w:val="18"/>
                <w:szCs w:val="18"/>
              </w:rPr>
            </w:pPr>
            <w:r w:rsidRPr="00B93493">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14:paraId="6776B148" w14:textId="77777777" w:rsidR="00CF04BC" w:rsidRPr="00B93493" w:rsidRDefault="00CF04BC" w:rsidP="002E7F54">
            <w:pPr>
              <w:pStyle w:val="Tabletext"/>
              <w:jc w:val="center"/>
              <w:rPr>
                <w:sz w:val="18"/>
                <w:szCs w:val="18"/>
              </w:rPr>
            </w:pPr>
            <w:r w:rsidRPr="00B93493">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14:paraId="4F7BFC02" w14:textId="77777777" w:rsidR="00CF04BC" w:rsidRPr="00B93493" w:rsidRDefault="00CF04BC" w:rsidP="002E7F54">
            <w:pPr>
              <w:pStyle w:val="Tabletext"/>
              <w:jc w:val="center"/>
              <w:rPr>
                <w:sz w:val="18"/>
                <w:szCs w:val="18"/>
              </w:rPr>
            </w:pPr>
            <w:r w:rsidRPr="00B93493">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627FC54C" w14:textId="77777777" w:rsidR="00CF04BC" w:rsidRPr="00B93493" w:rsidRDefault="00CF04BC" w:rsidP="002E7F54">
            <w:pPr>
              <w:pStyle w:val="Tabletext"/>
              <w:jc w:val="center"/>
              <w:rPr>
                <w:sz w:val="18"/>
                <w:szCs w:val="18"/>
              </w:rPr>
            </w:pPr>
            <w:r w:rsidRPr="00B93493">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14:paraId="5AC0D604" w14:textId="77777777" w:rsidR="00CF04BC" w:rsidRPr="00B93493" w:rsidRDefault="00CF04BC" w:rsidP="002E7F54">
            <w:pPr>
              <w:pStyle w:val="Tabletext"/>
              <w:jc w:val="center"/>
              <w:rPr>
                <w:sz w:val="18"/>
                <w:szCs w:val="18"/>
              </w:rPr>
            </w:pPr>
            <w:r w:rsidRPr="00B93493">
              <w:rPr>
                <w:sz w:val="18"/>
                <w:szCs w:val="18"/>
              </w:rPr>
              <w:t>39</w:t>
            </w:r>
          </w:p>
        </w:tc>
        <w:tc>
          <w:tcPr>
            <w:tcW w:w="879" w:type="dxa"/>
            <w:tcBorders>
              <w:top w:val="single" w:sz="4" w:space="0" w:color="auto"/>
              <w:left w:val="single" w:sz="4" w:space="0" w:color="auto"/>
              <w:bottom w:val="single" w:sz="4" w:space="0" w:color="auto"/>
              <w:right w:val="single" w:sz="4" w:space="0" w:color="auto"/>
            </w:tcBorders>
          </w:tcPr>
          <w:p w14:paraId="32DF3663" w14:textId="77777777" w:rsidR="00CF04BC" w:rsidRPr="00B93493" w:rsidRDefault="00CF04BC" w:rsidP="002E7F54">
            <w:pPr>
              <w:pStyle w:val="Tabletext"/>
              <w:jc w:val="center"/>
              <w:rPr>
                <w:sz w:val="18"/>
                <w:szCs w:val="18"/>
              </w:rPr>
            </w:pPr>
            <w:r w:rsidRPr="00B93493">
              <w:rPr>
                <w:sz w:val="18"/>
                <w:szCs w:val="18"/>
              </w:rPr>
              <w:t>44</w:t>
            </w:r>
          </w:p>
        </w:tc>
      </w:tr>
      <w:tr w:rsidR="00CF04BC" w:rsidRPr="00B93493" w14:paraId="14455D09"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171FC054" w14:textId="77777777" w:rsidR="00CF04BC" w:rsidRPr="00B93493" w:rsidRDefault="00CF04BC" w:rsidP="002E7F54">
            <w:pPr>
              <w:pStyle w:val="Tabletext"/>
              <w:jc w:val="center"/>
              <w:rPr>
                <w:sz w:val="18"/>
                <w:szCs w:val="18"/>
              </w:rPr>
            </w:pPr>
            <w:r w:rsidRPr="00B93493">
              <w:rPr>
                <w:sz w:val="18"/>
                <w:szCs w:val="18"/>
              </w:rPr>
              <w:t>30.0</w:t>
            </w:r>
          </w:p>
        </w:tc>
        <w:tc>
          <w:tcPr>
            <w:tcW w:w="709" w:type="dxa"/>
            <w:tcBorders>
              <w:top w:val="single" w:sz="4" w:space="0" w:color="auto"/>
              <w:left w:val="single" w:sz="4" w:space="0" w:color="auto"/>
              <w:bottom w:val="single" w:sz="4" w:space="0" w:color="auto"/>
              <w:right w:val="single" w:sz="4" w:space="0" w:color="auto"/>
            </w:tcBorders>
          </w:tcPr>
          <w:p w14:paraId="382217DB" w14:textId="77777777" w:rsidR="00CF04BC" w:rsidRPr="00B93493" w:rsidRDefault="00CF04BC" w:rsidP="002E7F54">
            <w:pPr>
              <w:pStyle w:val="Tabletext"/>
              <w:jc w:val="center"/>
              <w:rPr>
                <w:sz w:val="18"/>
                <w:szCs w:val="18"/>
              </w:rPr>
            </w:pPr>
            <w:r w:rsidRPr="00B93493">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14:paraId="0EF9EF06" w14:textId="77777777" w:rsidR="00CF04BC" w:rsidRPr="00B93493" w:rsidRDefault="00CF04BC" w:rsidP="002E7F54">
            <w:pPr>
              <w:pStyle w:val="Tabletext"/>
              <w:jc w:val="center"/>
              <w:rPr>
                <w:sz w:val="18"/>
                <w:szCs w:val="18"/>
              </w:rPr>
            </w:pPr>
            <w:r w:rsidRPr="00B93493">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14:paraId="25537114" w14:textId="77777777" w:rsidR="00CF04BC" w:rsidRPr="00B93493" w:rsidRDefault="00CF04BC" w:rsidP="002E7F54">
            <w:pPr>
              <w:pStyle w:val="Tabletext"/>
              <w:jc w:val="center"/>
              <w:rPr>
                <w:sz w:val="18"/>
                <w:szCs w:val="18"/>
              </w:rPr>
            </w:pPr>
            <w:r w:rsidRPr="00B93493">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14:paraId="0D25D314" w14:textId="77777777" w:rsidR="00CF04BC" w:rsidRPr="00B93493" w:rsidRDefault="00CF04BC" w:rsidP="002E7F54">
            <w:pPr>
              <w:pStyle w:val="Tabletext"/>
              <w:jc w:val="center"/>
              <w:rPr>
                <w:sz w:val="18"/>
                <w:szCs w:val="18"/>
              </w:rPr>
            </w:pPr>
            <w:r w:rsidRPr="00B93493">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14:paraId="7F1F4C53" w14:textId="77777777" w:rsidR="00CF04BC" w:rsidRPr="00B93493" w:rsidRDefault="00CF04BC" w:rsidP="002E7F54">
            <w:pPr>
              <w:pStyle w:val="Tabletext"/>
              <w:jc w:val="center"/>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6EC016D8" w14:textId="77777777" w:rsidR="00CF04BC" w:rsidRPr="00B93493" w:rsidRDefault="00CF04BC" w:rsidP="002E7F54">
            <w:pPr>
              <w:pStyle w:val="Tabletext"/>
              <w:jc w:val="center"/>
              <w:rPr>
                <w:sz w:val="18"/>
                <w:szCs w:val="18"/>
              </w:rPr>
            </w:pPr>
            <w:r w:rsidRPr="00B93493">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5A393EB3" w14:textId="77777777" w:rsidR="00CF04BC" w:rsidRPr="00B93493" w:rsidRDefault="00CF04BC" w:rsidP="002E7F54">
            <w:pPr>
              <w:pStyle w:val="Tabletext"/>
              <w:jc w:val="center"/>
              <w:rPr>
                <w:sz w:val="18"/>
                <w:szCs w:val="18"/>
              </w:rPr>
            </w:pPr>
            <w:r w:rsidRPr="00B93493">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612737F6" w14:textId="77777777" w:rsidR="00CF04BC" w:rsidRPr="00B93493" w:rsidRDefault="00CF04BC" w:rsidP="002E7F54">
            <w:pPr>
              <w:pStyle w:val="Tabletext"/>
              <w:jc w:val="center"/>
              <w:rPr>
                <w:sz w:val="18"/>
                <w:szCs w:val="18"/>
              </w:rPr>
            </w:pPr>
            <w:r w:rsidRPr="00B93493">
              <w:rPr>
                <w:sz w:val="18"/>
                <w:szCs w:val="18"/>
              </w:rPr>
              <w:t>42</w:t>
            </w:r>
          </w:p>
        </w:tc>
        <w:tc>
          <w:tcPr>
            <w:tcW w:w="765" w:type="dxa"/>
            <w:tcBorders>
              <w:top w:val="single" w:sz="4" w:space="0" w:color="auto"/>
              <w:left w:val="single" w:sz="4" w:space="0" w:color="auto"/>
              <w:bottom w:val="single" w:sz="4" w:space="0" w:color="auto"/>
              <w:right w:val="single" w:sz="4" w:space="0" w:color="auto"/>
            </w:tcBorders>
          </w:tcPr>
          <w:p w14:paraId="389AB787" w14:textId="77777777" w:rsidR="00CF04BC" w:rsidRPr="00B93493" w:rsidRDefault="00CF04BC" w:rsidP="002E7F54">
            <w:pPr>
              <w:pStyle w:val="Tabletext"/>
              <w:jc w:val="center"/>
              <w:rPr>
                <w:sz w:val="18"/>
                <w:szCs w:val="18"/>
              </w:rPr>
            </w:pPr>
            <w:r w:rsidRPr="00B93493">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227F83BF" w14:textId="77777777" w:rsidR="00CF04BC" w:rsidRPr="00B93493" w:rsidRDefault="00CF04BC" w:rsidP="002E7F54">
            <w:pPr>
              <w:pStyle w:val="Tabletext"/>
              <w:jc w:val="center"/>
              <w:rPr>
                <w:sz w:val="18"/>
                <w:szCs w:val="18"/>
              </w:rPr>
            </w:pPr>
            <w:r w:rsidRPr="00B93493">
              <w:rPr>
                <w:sz w:val="18"/>
                <w:szCs w:val="18"/>
              </w:rPr>
              <w:t>49</w:t>
            </w:r>
          </w:p>
        </w:tc>
        <w:tc>
          <w:tcPr>
            <w:tcW w:w="879" w:type="dxa"/>
            <w:tcBorders>
              <w:top w:val="single" w:sz="4" w:space="0" w:color="auto"/>
              <w:left w:val="single" w:sz="4" w:space="0" w:color="auto"/>
              <w:bottom w:val="single" w:sz="4" w:space="0" w:color="auto"/>
              <w:right w:val="single" w:sz="4" w:space="0" w:color="auto"/>
            </w:tcBorders>
          </w:tcPr>
          <w:p w14:paraId="10EDF7BA" w14:textId="77777777" w:rsidR="00CF04BC" w:rsidRPr="00B93493" w:rsidRDefault="00CF04BC" w:rsidP="002E7F54">
            <w:pPr>
              <w:pStyle w:val="Tabletext"/>
              <w:jc w:val="center"/>
              <w:rPr>
                <w:sz w:val="18"/>
                <w:szCs w:val="18"/>
              </w:rPr>
            </w:pPr>
            <w:r w:rsidRPr="00B93493">
              <w:rPr>
                <w:sz w:val="18"/>
                <w:szCs w:val="18"/>
              </w:rPr>
              <w:t>54</w:t>
            </w:r>
          </w:p>
        </w:tc>
      </w:tr>
      <w:tr w:rsidR="00CF04BC" w:rsidRPr="00B93493" w14:paraId="66800BA6"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440EDA2B" w14:textId="77777777" w:rsidR="00CF04BC" w:rsidRPr="00B93493" w:rsidRDefault="00CF04BC" w:rsidP="002E7F54">
            <w:pPr>
              <w:pStyle w:val="Tabletext"/>
              <w:jc w:val="center"/>
              <w:rPr>
                <w:sz w:val="18"/>
                <w:szCs w:val="18"/>
              </w:rPr>
            </w:pPr>
            <w:r w:rsidRPr="00B93493">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14:paraId="08D46A6F" w14:textId="77777777" w:rsidR="00CF04BC" w:rsidRPr="00B93493" w:rsidRDefault="00CF04BC" w:rsidP="002E7F54">
            <w:pPr>
              <w:pStyle w:val="Tabletext"/>
              <w:jc w:val="center"/>
              <w:rPr>
                <w:sz w:val="18"/>
                <w:szCs w:val="18"/>
              </w:rPr>
            </w:pPr>
            <w:r w:rsidRPr="00B93493">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14:paraId="5803CA63" w14:textId="77777777" w:rsidR="00CF04BC" w:rsidRPr="00B93493" w:rsidRDefault="00CF04BC" w:rsidP="002E7F54">
            <w:pPr>
              <w:pStyle w:val="Tabletext"/>
              <w:jc w:val="center"/>
              <w:rPr>
                <w:sz w:val="18"/>
                <w:szCs w:val="18"/>
              </w:rPr>
            </w:pPr>
            <w:r w:rsidRPr="00B93493">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14:paraId="24781C4C" w14:textId="77777777" w:rsidR="00CF04BC" w:rsidRPr="00B93493" w:rsidRDefault="00CF04BC" w:rsidP="002E7F54">
            <w:pPr>
              <w:pStyle w:val="Tabletext"/>
              <w:jc w:val="center"/>
              <w:rPr>
                <w:sz w:val="18"/>
                <w:szCs w:val="18"/>
              </w:rPr>
            </w:pPr>
            <w:r w:rsidRPr="00B93493">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14:paraId="2EE24B67" w14:textId="77777777" w:rsidR="00CF04BC" w:rsidRPr="00B93493" w:rsidRDefault="00CF04BC" w:rsidP="002E7F54">
            <w:pPr>
              <w:pStyle w:val="Tabletext"/>
              <w:jc w:val="center"/>
              <w:rPr>
                <w:sz w:val="18"/>
                <w:szCs w:val="18"/>
              </w:rPr>
            </w:pPr>
            <w:r w:rsidRPr="00B93493">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14:paraId="3A73864F" w14:textId="77777777" w:rsidR="00CF04BC" w:rsidRPr="00B93493" w:rsidRDefault="00CF04BC" w:rsidP="002E7F54">
            <w:pPr>
              <w:pStyle w:val="Tabletext"/>
              <w:jc w:val="center"/>
              <w:rPr>
                <w:sz w:val="18"/>
                <w:szCs w:val="18"/>
              </w:rPr>
            </w:pPr>
            <w:r w:rsidRPr="00B93493">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14:paraId="7CF46102" w14:textId="77777777" w:rsidR="00CF04BC" w:rsidRPr="00B93493" w:rsidRDefault="00CF04BC" w:rsidP="002E7F54">
            <w:pPr>
              <w:pStyle w:val="Tabletext"/>
              <w:jc w:val="center"/>
              <w:rPr>
                <w:sz w:val="18"/>
                <w:szCs w:val="18"/>
              </w:rPr>
            </w:pPr>
            <w:r w:rsidRPr="00B93493">
              <w:rPr>
                <w:sz w:val="18"/>
                <w:szCs w:val="18"/>
              </w:rPr>
              <w:t>43</w:t>
            </w:r>
          </w:p>
        </w:tc>
        <w:tc>
          <w:tcPr>
            <w:tcW w:w="765" w:type="dxa"/>
            <w:tcBorders>
              <w:top w:val="single" w:sz="4" w:space="0" w:color="auto"/>
              <w:left w:val="single" w:sz="4" w:space="0" w:color="auto"/>
              <w:bottom w:val="single" w:sz="4" w:space="0" w:color="auto"/>
              <w:right w:val="single" w:sz="4" w:space="0" w:color="auto"/>
            </w:tcBorders>
          </w:tcPr>
          <w:p w14:paraId="463A8189" w14:textId="77777777" w:rsidR="00CF04BC" w:rsidRPr="00B93493" w:rsidRDefault="00CF04BC" w:rsidP="002E7F54">
            <w:pPr>
              <w:pStyle w:val="Tabletext"/>
              <w:jc w:val="center"/>
              <w:rPr>
                <w:sz w:val="18"/>
                <w:szCs w:val="18"/>
              </w:rPr>
            </w:pPr>
            <w:r w:rsidRPr="00B93493">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14:paraId="4D884FB1" w14:textId="77777777" w:rsidR="00CF04BC" w:rsidRPr="00B93493" w:rsidRDefault="00CF04BC" w:rsidP="002E7F54">
            <w:pPr>
              <w:pStyle w:val="Tabletext"/>
              <w:jc w:val="center"/>
              <w:rPr>
                <w:sz w:val="18"/>
                <w:szCs w:val="18"/>
              </w:rPr>
            </w:pPr>
            <w:r w:rsidRPr="00B93493">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01661ADD" w14:textId="77777777" w:rsidR="00CF04BC" w:rsidRPr="00B93493" w:rsidRDefault="00CF04BC" w:rsidP="002E7F54">
            <w:pPr>
              <w:pStyle w:val="Tabletext"/>
              <w:jc w:val="center"/>
              <w:rPr>
                <w:sz w:val="18"/>
                <w:szCs w:val="18"/>
              </w:rPr>
            </w:pPr>
            <w:r w:rsidRPr="00B93493">
              <w:rPr>
                <w:sz w:val="18"/>
                <w:szCs w:val="18"/>
              </w:rPr>
              <w:t>56</w:t>
            </w:r>
          </w:p>
        </w:tc>
        <w:tc>
          <w:tcPr>
            <w:tcW w:w="765" w:type="dxa"/>
            <w:tcBorders>
              <w:top w:val="single" w:sz="4" w:space="0" w:color="auto"/>
              <w:left w:val="single" w:sz="4" w:space="0" w:color="auto"/>
              <w:bottom w:val="single" w:sz="4" w:space="0" w:color="auto"/>
              <w:right w:val="single" w:sz="4" w:space="0" w:color="auto"/>
            </w:tcBorders>
          </w:tcPr>
          <w:p w14:paraId="4521306E" w14:textId="77777777" w:rsidR="00CF04BC" w:rsidRPr="00B93493" w:rsidRDefault="00CF04BC" w:rsidP="002E7F54">
            <w:pPr>
              <w:pStyle w:val="Tabletext"/>
              <w:jc w:val="center"/>
              <w:rPr>
                <w:sz w:val="18"/>
                <w:szCs w:val="18"/>
              </w:rPr>
            </w:pPr>
            <w:r w:rsidRPr="00B93493">
              <w:rPr>
                <w:sz w:val="18"/>
                <w:szCs w:val="18"/>
              </w:rPr>
              <w:t>59</w:t>
            </w:r>
          </w:p>
        </w:tc>
        <w:tc>
          <w:tcPr>
            <w:tcW w:w="879" w:type="dxa"/>
            <w:tcBorders>
              <w:top w:val="single" w:sz="4" w:space="0" w:color="auto"/>
              <w:left w:val="single" w:sz="4" w:space="0" w:color="auto"/>
              <w:bottom w:val="single" w:sz="4" w:space="0" w:color="auto"/>
              <w:right w:val="single" w:sz="4" w:space="0" w:color="auto"/>
            </w:tcBorders>
          </w:tcPr>
          <w:p w14:paraId="254BC2E2" w14:textId="77777777" w:rsidR="00CF04BC" w:rsidRPr="00B93493" w:rsidRDefault="00CF04BC" w:rsidP="002E7F54">
            <w:pPr>
              <w:pStyle w:val="Tabletext"/>
              <w:jc w:val="center"/>
              <w:rPr>
                <w:sz w:val="18"/>
                <w:szCs w:val="18"/>
              </w:rPr>
            </w:pPr>
            <w:r w:rsidRPr="00B93493">
              <w:rPr>
                <w:sz w:val="18"/>
                <w:szCs w:val="18"/>
              </w:rPr>
              <w:t>65</w:t>
            </w:r>
          </w:p>
        </w:tc>
      </w:tr>
      <w:tr w:rsidR="00CF04BC" w:rsidRPr="00B93493" w14:paraId="034EFFF2"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594BDE4F" w14:textId="77777777" w:rsidR="00CF04BC" w:rsidRPr="00B93493" w:rsidRDefault="00CF04BC" w:rsidP="002E7F54">
            <w:pPr>
              <w:pStyle w:val="Tabletext"/>
              <w:jc w:val="center"/>
              <w:rPr>
                <w:sz w:val="18"/>
                <w:szCs w:val="18"/>
              </w:rPr>
            </w:pPr>
            <w:r w:rsidRPr="00B93493">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14:paraId="4E9C51F8" w14:textId="77777777" w:rsidR="00CF04BC" w:rsidRPr="00B93493" w:rsidRDefault="00CF04BC" w:rsidP="002E7F54">
            <w:pPr>
              <w:pStyle w:val="Tabletext"/>
              <w:jc w:val="center"/>
              <w:rPr>
                <w:sz w:val="18"/>
                <w:szCs w:val="18"/>
              </w:rPr>
            </w:pPr>
            <w:r w:rsidRPr="00B93493">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14:paraId="5E0165B1" w14:textId="77777777" w:rsidR="00CF04BC" w:rsidRPr="00B93493" w:rsidRDefault="00CF04BC" w:rsidP="002E7F54">
            <w:pPr>
              <w:pStyle w:val="Tabletext"/>
              <w:jc w:val="center"/>
              <w:rPr>
                <w:sz w:val="18"/>
                <w:szCs w:val="18"/>
              </w:rPr>
            </w:pPr>
            <w:r w:rsidRPr="00B93493">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14:paraId="76A725E4" w14:textId="77777777" w:rsidR="00CF04BC" w:rsidRPr="00B93493" w:rsidRDefault="00CF04BC" w:rsidP="002E7F54">
            <w:pPr>
              <w:pStyle w:val="Tabletext"/>
              <w:jc w:val="center"/>
              <w:rPr>
                <w:sz w:val="18"/>
                <w:szCs w:val="18"/>
              </w:rPr>
            </w:pPr>
            <w:r w:rsidRPr="00B93493">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14:paraId="05659FEE" w14:textId="77777777" w:rsidR="00CF04BC" w:rsidRPr="00B93493" w:rsidRDefault="00CF04BC" w:rsidP="002E7F54">
            <w:pPr>
              <w:pStyle w:val="Tabletext"/>
              <w:jc w:val="center"/>
              <w:rPr>
                <w:sz w:val="18"/>
                <w:szCs w:val="18"/>
              </w:rPr>
            </w:pPr>
            <w:r w:rsidRPr="00B93493">
              <w:rPr>
                <w:sz w:val="18"/>
                <w:szCs w:val="18"/>
              </w:rPr>
              <w:t>40</w:t>
            </w:r>
          </w:p>
        </w:tc>
        <w:tc>
          <w:tcPr>
            <w:tcW w:w="765" w:type="dxa"/>
            <w:tcBorders>
              <w:top w:val="single" w:sz="4" w:space="0" w:color="auto"/>
              <w:left w:val="single" w:sz="4" w:space="0" w:color="auto"/>
              <w:bottom w:val="single" w:sz="4" w:space="0" w:color="auto"/>
              <w:right w:val="single" w:sz="4" w:space="0" w:color="auto"/>
            </w:tcBorders>
          </w:tcPr>
          <w:p w14:paraId="26B529EE" w14:textId="77777777" w:rsidR="00CF04BC" w:rsidRPr="00B93493" w:rsidRDefault="00CF04BC" w:rsidP="002E7F54">
            <w:pPr>
              <w:pStyle w:val="Tabletext"/>
              <w:jc w:val="center"/>
              <w:rPr>
                <w:sz w:val="18"/>
                <w:szCs w:val="18"/>
              </w:rPr>
            </w:pPr>
            <w:r w:rsidRPr="00B93493">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14:paraId="0F165958" w14:textId="77777777" w:rsidR="00CF04BC" w:rsidRPr="00B93493" w:rsidRDefault="00CF04BC" w:rsidP="002E7F54">
            <w:pPr>
              <w:pStyle w:val="Tabletext"/>
              <w:jc w:val="center"/>
              <w:rPr>
                <w:sz w:val="18"/>
                <w:szCs w:val="18"/>
              </w:rPr>
            </w:pPr>
            <w:r w:rsidRPr="00B93493">
              <w:rPr>
                <w:sz w:val="18"/>
                <w:szCs w:val="18"/>
              </w:rPr>
              <w:t>53</w:t>
            </w:r>
          </w:p>
        </w:tc>
        <w:tc>
          <w:tcPr>
            <w:tcW w:w="765" w:type="dxa"/>
            <w:tcBorders>
              <w:top w:val="single" w:sz="4" w:space="0" w:color="auto"/>
              <w:left w:val="single" w:sz="4" w:space="0" w:color="auto"/>
              <w:bottom w:val="single" w:sz="4" w:space="0" w:color="auto"/>
              <w:right w:val="single" w:sz="4" w:space="0" w:color="auto"/>
            </w:tcBorders>
          </w:tcPr>
          <w:p w14:paraId="676E3C30" w14:textId="77777777" w:rsidR="00CF04BC" w:rsidRPr="00B93493" w:rsidRDefault="00CF04BC" w:rsidP="002E7F54">
            <w:pPr>
              <w:pStyle w:val="Tabletext"/>
              <w:jc w:val="center"/>
              <w:rPr>
                <w:sz w:val="18"/>
                <w:szCs w:val="18"/>
              </w:rPr>
            </w:pPr>
            <w:r w:rsidRPr="00B93493">
              <w:rPr>
                <w:sz w:val="18"/>
                <w:szCs w:val="18"/>
              </w:rPr>
              <w:t>59</w:t>
            </w:r>
          </w:p>
        </w:tc>
        <w:tc>
          <w:tcPr>
            <w:tcW w:w="765" w:type="dxa"/>
            <w:tcBorders>
              <w:top w:val="single" w:sz="4" w:space="0" w:color="auto"/>
              <w:left w:val="single" w:sz="4" w:space="0" w:color="auto"/>
              <w:bottom w:val="single" w:sz="4" w:space="0" w:color="auto"/>
              <w:right w:val="single" w:sz="4" w:space="0" w:color="auto"/>
            </w:tcBorders>
          </w:tcPr>
          <w:p w14:paraId="0B07F8A0" w14:textId="77777777" w:rsidR="00CF04BC" w:rsidRPr="00B93493" w:rsidRDefault="00CF04BC" w:rsidP="002E7F54">
            <w:pPr>
              <w:pStyle w:val="Tabletext"/>
              <w:jc w:val="center"/>
              <w:rPr>
                <w:sz w:val="18"/>
                <w:szCs w:val="18"/>
              </w:rPr>
            </w:pPr>
            <w:r w:rsidRPr="00B93493">
              <w:rPr>
                <w:sz w:val="18"/>
                <w:szCs w:val="18"/>
              </w:rPr>
              <w:t>63</w:t>
            </w:r>
          </w:p>
        </w:tc>
        <w:tc>
          <w:tcPr>
            <w:tcW w:w="765" w:type="dxa"/>
            <w:tcBorders>
              <w:top w:val="single" w:sz="4" w:space="0" w:color="auto"/>
              <w:left w:val="single" w:sz="4" w:space="0" w:color="auto"/>
              <w:bottom w:val="single" w:sz="4" w:space="0" w:color="auto"/>
              <w:right w:val="single" w:sz="4" w:space="0" w:color="auto"/>
            </w:tcBorders>
          </w:tcPr>
          <w:p w14:paraId="4BD9B6EA" w14:textId="77777777" w:rsidR="00CF04BC" w:rsidRPr="00B93493" w:rsidRDefault="00CF04BC" w:rsidP="002E7F54">
            <w:pPr>
              <w:pStyle w:val="Tabletext"/>
              <w:jc w:val="center"/>
              <w:rPr>
                <w:sz w:val="18"/>
                <w:szCs w:val="18"/>
              </w:rPr>
            </w:pPr>
            <w:r w:rsidRPr="00B93493">
              <w:rPr>
                <w:sz w:val="18"/>
                <w:szCs w:val="18"/>
              </w:rPr>
              <w:t>67</w:t>
            </w:r>
          </w:p>
        </w:tc>
        <w:tc>
          <w:tcPr>
            <w:tcW w:w="765" w:type="dxa"/>
            <w:tcBorders>
              <w:top w:val="single" w:sz="4" w:space="0" w:color="auto"/>
              <w:left w:val="single" w:sz="4" w:space="0" w:color="auto"/>
              <w:bottom w:val="single" w:sz="4" w:space="0" w:color="auto"/>
              <w:right w:val="single" w:sz="4" w:space="0" w:color="auto"/>
            </w:tcBorders>
          </w:tcPr>
          <w:p w14:paraId="7A4B0FF6" w14:textId="77777777" w:rsidR="00CF04BC" w:rsidRPr="00B93493" w:rsidRDefault="00CF04BC" w:rsidP="002E7F54">
            <w:pPr>
              <w:pStyle w:val="Tabletext"/>
              <w:jc w:val="center"/>
              <w:rPr>
                <w:sz w:val="18"/>
                <w:szCs w:val="18"/>
              </w:rPr>
            </w:pPr>
            <w:r w:rsidRPr="00B93493">
              <w:rPr>
                <w:sz w:val="18"/>
                <w:szCs w:val="18"/>
              </w:rPr>
              <w:t>71</w:t>
            </w:r>
          </w:p>
        </w:tc>
        <w:tc>
          <w:tcPr>
            <w:tcW w:w="879" w:type="dxa"/>
            <w:tcBorders>
              <w:top w:val="single" w:sz="4" w:space="0" w:color="auto"/>
              <w:left w:val="single" w:sz="4" w:space="0" w:color="auto"/>
              <w:bottom w:val="single" w:sz="4" w:space="0" w:color="auto"/>
              <w:right w:val="single" w:sz="4" w:space="0" w:color="auto"/>
            </w:tcBorders>
          </w:tcPr>
          <w:p w14:paraId="2CB05238" w14:textId="77777777" w:rsidR="00CF04BC" w:rsidRPr="00B93493" w:rsidRDefault="00CF04BC" w:rsidP="002E7F54">
            <w:pPr>
              <w:pStyle w:val="Tabletext"/>
              <w:jc w:val="center"/>
              <w:rPr>
                <w:sz w:val="18"/>
                <w:szCs w:val="18"/>
              </w:rPr>
            </w:pPr>
            <w:r w:rsidRPr="00B93493">
              <w:rPr>
                <w:sz w:val="18"/>
                <w:szCs w:val="18"/>
              </w:rPr>
              <w:t>77</w:t>
            </w:r>
          </w:p>
        </w:tc>
      </w:tr>
      <w:tr w:rsidR="00CF04BC" w:rsidRPr="00B93493" w14:paraId="5979B9FA"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08BD92FA" w14:textId="77777777" w:rsidR="00CF04BC" w:rsidRPr="00B93493" w:rsidRDefault="00CF04BC" w:rsidP="002E7F54">
            <w:pPr>
              <w:pStyle w:val="Tabletext"/>
              <w:jc w:val="center"/>
              <w:rPr>
                <w:sz w:val="18"/>
                <w:szCs w:val="18"/>
              </w:rPr>
            </w:pPr>
            <w:r w:rsidRPr="00B93493">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14:paraId="6BBC2CCE" w14:textId="77777777" w:rsidR="00CF04BC" w:rsidRPr="00B93493" w:rsidRDefault="00CF04BC" w:rsidP="002E7F54">
            <w:pPr>
              <w:pStyle w:val="Tabletext"/>
              <w:jc w:val="center"/>
              <w:rPr>
                <w:sz w:val="18"/>
                <w:szCs w:val="18"/>
              </w:rPr>
            </w:pPr>
            <w:r w:rsidRPr="00B93493">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14:paraId="2D0FBD35" w14:textId="77777777" w:rsidR="00CF04BC" w:rsidRPr="00B93493" w:rsidRDefault="00CF04BC" w:rsidP="002E7F54">
            <w:pPr>
              <w:pStyle w:val="Tabletext"/>
              <w:jc w:val="center"/>
              <w:rPr>
                <w:sz w:val="18"/>
                <w:szCs w:val="18"/>
              </w:rPr>
            </w:pPr>
            <w:r w:rsidRPr="00B93493">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14:paraId="4FDA77D7" w14:textId="77777777" w:rsidR="00CF04BC" w:rsidRPr="00B93493" w:rsidRDefault="00CF04BC" w:rsidP="002E7F54">
            <w:pPr>
              <w:pStyle w:val="Tabletext"/>
              <w:jc w:val="center"/>
              <w:rPr>
                <w:sz w:val="18"/>
                <w:szCs w:val="18"/>
              </w:rPr>
            </w:pPr>
            <w:r w:rsidRPr="00B93493">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14:paraId="0B3447EE" w14:textId="77777777" w:rsidR="00CF04BC" w:rsidRPr="00B93493" w:rsidRDefault="00CF04BC" w:rsidP="002E7F54">
            <w:pPr>
              <w:pStyle w:val="Tabletext"/>
              <w:jc w:val="center"/>
              <w:rPr>
                <w:sz w:val="18"/>
                <w:szCs w:val="18"/>
              </w:rPr>
            </w:pPr>
            <w:r w:rsidRPr="00B93493">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6FB81A40" w14:textId="77777777" w:rsidR="00CF04BC" w:rsidRPr="00B93493" w:rsidRDefault="00CF04BC" w:rsidP="002E7F54">
            <w:pPr>
              <w:pStyle w:val="Tabletext"/>
              <w:jc w:val="center"/>
              <w:rPr>
                <w:sz w:val="18"/>
                <w:szCs w:val="18"/>
              </w:rPr>
            </w:pPr>
            <w:r w:rsidRPr="00B93493">
              <w:rPr>
                <w:sz w:val="18"/>
                <w:szCs w:val="18"/>
              </w:rPr>
              <w:t>53</w:t>
            </w:r>
          </w:p>
        </w:tc>
        <w:tc>
          <w:tcPr>
            <w:tcW w:w="765" w:type="dxa"/>
            <w:tcBorders>
              <w:top w:val="single" w:sz="4" w:space="0" w:color="auto"/>
              <w:left w:val="single" w:sz="4" w:space="0" w:color="auto"/>
              <w:bottom w:val="single" w:sz="4" w:space="0" w:color="auto"/>
              <w:right w:val="single" w:sz="4" w:space="0" w:color="auto"/>
            </w:tcBorders>
          </w:tcPr>
          <w:p w14:paraId="04D3EA36" w14:textId="77777777" w:rsidR="00CF04BC" w:rsidRPr="00B93493" w:rsidRDefault="00CF04BC" w:rsidP="002E7F54">
            <w:pPr>
              <w:pStyle w:val="Tabletext"/>
              <w:jc w:val="center"/>
              <w:rPr>
                <w:sz w:val="18"/>
                <w:szCs w:val="18"/>
              </w:rPr>
            </w:pPr>
            <w:r w:rsidRPr="00B93493">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50CCCEE4" w14:textId="77777777" w:rsidR="00CF04BC" w:rsidRPr="00B93493" w:rsidRDefault="00CF04BC" w:rsidP="002E7F54">
            <w:pPr>
              <w:pStyle w:val="Tabletext"/>
              <w:jc w:val="center"/>
              <w:rPr>
                <w:sz w:val="18"/>
                <w:szCs w:val="18"/>
              </w:rPr>
            </w:pPr>
            <w:r w:rsidRPr="00B93493">
              <w:rPr>
                <w:sz w:val="18"/>
                <w:szCs w:val="18"/>
              </w:rPr>
              <w:t>65</w:t>
            </w:r>
          </w:p>
        </w:tc>
        <w:tc>
          <w:tcPr>
            <w:tcW w:w="765" w:type="dxa"/>
            <w:tcBorders>
              <w:top w:val="single" w:sz="4" w:space="0" w:color="auto"/>
              <w:left w:val="single" w:sz="4" w:space="0" w:color="auto"/>
              <w:bottom w:val="single" w:sz="4" w:space="0" w:color="auto"/>
              <w:right w:val="single" w:sz="4" w:space="0" w:color="auto"/>
            </w:tcBorders>
          </w:tcPr>
          <w:p w14:paraId="5C29E049" w14:textId="77777777" w:rsidR="00CF04BC" w:rsidRPr="00B93493" w:rsidRDefault="00CF04BC" w:rsidP="002E7F54">
            <w:pPr>
              <w:pStyle w:val="Tabletext"/>
              <w:jc w:val="center"/>
              <w:rPr>
                <w:sz w:val="18"/>
                <w:szCs w:val="18"/>
              </w:rPr>
            </w:pPr>
            <w:r w:rsidRPr="00B93493">
              <w:rPr>
                <w:sz w:val="18"/>
                <w:szCs w:val="18"/>
              </w:rPr>
              <w:t>69</w:t>
            </w:r>
          </w:p>
        </w:tc>
        <w:tc>
          <w:tcPr>
            <w:tcW w:w="765" w:type="dxa"/>
            <w:tcBorders>
              <w:top w:val="single" w:sz="4" w:space="0" w:color="auto"/>
              <w:left w:val="single" w:sz="4" w:space="0" w:color="auto"/>
              <w:bottom w:val="single" w:sz="4" w:space="0" w:color="auto"/>
              <w:right w:val="single" w:sz="4" w:space="0" w:color="auto"/>
            </w:tcBorders>
          </w:tcPr>
          <w:p w14:paraId="4D8E3A18" w14:textId="77777777" w:rsidR="00CF04BC" w:rsidRPr="00B93493" w:rsidRDefault="00CF04BC" w:rsidP="002E7F54">
            <w:pPr>
              <w:pStyle w:val="Tabletext"/>
              <w:jc w:val="center"/>
              <w:rPr>
                <w:sz w:val="18"/>
                <w:szCs w:val="18"/>
              </w:rPr>
            </w:pPr>
            <w:r w:rsidRPr="00B93493">
              <w:rPr>
                <w:sz w:val="18"/>
                <w:szCs w:val="18"/>
              </w:rPr>
              <w:t>74</w:t>
            </w:r>
          </w:p>
        </w:tc>
        <w:tc>
          <w:tcPr>
            <w:tcW w:w="765" w:type="dxa"/>
            <w:tcBorders>
              <w:top w:val="single" w:sz="4" w:space="0" w:color="auto"/>
              <w:left w:val="single" w:sz="4" w:space="0" w:color="auto"/>
              <w:bottom w:val="single" w:sz="4" w:space="0" w:color="auto"/>
              <w:right w:val="single" w:sz="4" w:space="0" w:color="auto"/>
            </w:tcBorders>
          </w:tcPr>
          <w:p w14:paraId="645781EF" w14:textId="77777777" w:rsidR="00CF04BC" w:rsidRPr="00B93493" w:rsidRDefault="00CF04BC" w:rsidP="002E7F54">
            <w:pPr>
              <w:pStyle w:val="Tabletext"/>
              <w:jc w:val="center"/>
              <w:rPr>
                <w:sz w:val="18"/>
                <w:szCs w:val="18"/>
              </w:rPr>
            </w:pPr>
            <w:r w:rsidRPr="00B93493">
              <w:rPr>
                <w:sz w:val="18"/>
                <w:szCs w:val="18"/>
              </w:rPr>
              <w:t>78</w:t>
            </w:r>
          </w:p>
        </w:tc>
        <w:tc>
          <w:tcPr>
            <w:tcW w:w="879" w:type="dxa"/>
            <w:tcBorders>
              <w:top w:val="single" w:sz="4" w:space="0" w:color="auto"/>
              <w:left w:val="single" w:sz="4" w:space="0" w:color="auto"/>
              <w:bottom w:val="single" w:sz="4" w:space="0" w:color="auto"/>
              <w:right w:val="single" w:sz="4" w:space="0" w:color="auto"/>
            </w:tcBorders>
          </w:tcPr>
          <w:p w14:paraId="0C209827" w14:textId="77777777" w:rsidR="00CF04BC" w:rsidRPr="00B93493" w:rsidRDefault="00CF04BC" w:rsidP="002E7F54">
            <w:pPr>
              <w:pStyle w:val="Tabletext"/>
              <w:jc w:val="center"/>
              <w:rPr>
                <w:sz w:val="18"/>
                <w:szCs w:val="18"/>
              </w:rPr>
            </w:pPr>
            <w:r w:rsidRPr="00B93493">
              <w:rPr>
                <w:sz w:val="18"/>
                <w:szCs w:val="18"/>
              </w:rPr>
              <w:t>84</w:t>
            </w:r>
          </w:p>
        </w:tc>
      </w:tr>
      <w:tr w:rsidR="00CF04BC" w:rsidRPr="00B93493" w14:paraId="3A59BF14" w14:textId="77777777" w:rsidTr="002E7F54">
        <w:trPr>
          <w:jc w:val="center"/>
        </w:trPr>
        <w:tc>
          <w:tcPr>
            <w:tcW w:w="1247" w:type="dxa"/>
            <w:tcBorders>
              <w:top w:val="single" w:sz="4" w:space="0" w:color="auto"/>
              <w:left w:val="single" w:sz="4" w:space="0" w:color="auto"/>
              <w:bottom w:val="single" w:sz="4" w:space="0" w:color="auto"/>
              <w:right w:val="single" w:sz="4" w:space="0" w:color="auto"/>
            </w:tcBorders>
          </w:tcPr>
          <w:p w14:paraId="2DE0934C" w14:textId="77777777" w:rsidR="00CF04BC" w:rsidRPr="00B93493" w:rsidRDefault="00CF04BC" w:rsidP="002E7F54">
            <w:pPr>
              <w:pStyle w:val="Tabletext"/>
              <w:jc w:val="center"/>
              <w:rPr>
                <w:sz w:val="18"/>
                <w:szCs w:val="18"/>
              </w:rPr>
            </w:pPr>
            <w:r w:rsidRPr="00B93493">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14:paraId="1B7F9E88" w14:textId="77777777" w:rsidR="00CF04BC" w:rsidRPr="00B93493" w:rsidRDefault="00CF04BC" w:rsidP="002E7F54">
            <w:pPr>
              <w:pStyle w:val="Tabletext"/>
              <w:jc w:val="center"/>
              <w:rPr>
                <w:sz w:val="18"/>
                <w:szCs w:val="18"/>
              </w:rPr>
            </w:pPr>
            <w:r w:rsidRPr="00B93493">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14:paraId="09F18BAB" w14:textId="77777777" w:rsidR="00CF04BC" w:rsidRPr="00B93493" w:rsidRDefault="00CF04BC" w:rsidP="002E7F54">
            <w:pPr>
              <w:pStyle w:val="Tabletext"/>
              <w:jc w:val="center"/>
              <w:rPr>
                <w:sz w:val="18"/>
                <w:szCs w:val="18"/>
              </w:rPr>
            </w:pPr>
            <w:r w:rsidRPr="00B93493">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14:paraId="1287E4CF" w14:textId="77777777" w:rsidR="00CF04BC" w:rsidRPr="00B93493" w:rsidRDefault="00CF04BC" w:rsidP="002E7F54">
            <w:pPr>
              <w:pStyle w:val="Tabletext"/>
              <w:jc w:val="center"/>
              <w:rPr>
                <w:sz w:val="18"/>
                <w:szCs w:val="18"/>
              </w:rPr>
            </w:pPr>
            <w:r w:rsidRPr="00B93493">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14:paraId="026189D5" w14:textId="77777777" w:rsidR="00CF04BC" w:rsidRPr="00B93493" w:rsidRDefault="00CF04BC" w:rsidP="002E7F54">
            <w:pPr>
              <w:pStyle w:val="Tabletext"/>
              <w:jc w:val="center"/>
              <w:rPr>
                <w:sz w:val="18"/>
                <w:szCs w:val="18"/>
              </w:rPr>
            </w:pPr>
            <w:r w:rsidRPr="00B93493">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14:paraId="72F15F6E" w14:textId="77777777" w:rsidR="00CF04BC" w:rsidRPr="00B93493" w:rsidRDefault="00CF04BC" w:rsidP="002E7F54">
            <w:pPr>
              <w:pStyle w:val="Tabletext"/>
              <w:jc w:val="center"/>
              <w:rPr>
                <w:sz w:val="18"/>
                <w:szCs w:val="18"/>
              </w:rPr>
            </w:pPr>
            <w:r w:rsidRPr="00B93493">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14:paraId="30E701DD" w14:textId="77777777" w:rsidR="00CF04BC" w:rsidRPr="00B93493" w:rsidRDefault="00CF04BC" w:rsidP="002E7F54">
            <w:pPr>
              <w:pStyle w:val="Tabletext"/>
              <w:jc w:val="center"/>
              <w:rPr>
                <w:sz w:val="18"/>
                <w:szCs w:val="18"/>
              </w:rPr>
            </w:pPr>
            <w:r w:rsidRPr="00B93493">
              <w:rPr>
                <w:sz w:val="18"/>
                <w:szCs w:val="18"/>
              </w:rPr>
              <w:t>67</w:t>
            </w:r>
          </w:p>
        </w:tc>
        <w:tc>
          <w:tcPr>
            <w:tcW w:w="765" w:type="dxa"/>
            <w:tcBorders>
              <w:top w:val="single" w:sz="4" w:space="0" w:color="auto"/>
              <w:left w:val="single" w:sz="4" w:space="0" w:color="auto"/>
              <w:bottom w:val="single" w:sz="4" w:space="0" w:color="auto"/>
              <w:right w:val="single" w:sz="4" w:space="0" w:color="auto"/>
            </w:tcBorders>
          </w:tcPr>
          <w:p w14:paraId="293F5247" w14:textId="77777777" w:rsidR="00CF04BC" w:rsidRPr="00B93493" w:rsidRDefault="00CF04BC" w:rsidP="002E7F54">
            <w:pPr>
              <w:pStyle w:val="Tabletext"/>
              <w:jc w:val="center"/>
              <w:rPr>
                <w:sz w:val="18"/>
                <w:szCs w:val="18"/>
              </w:rPr>
            </w:pPr>
            <w:r w:rsidRPr="00B93493">
              <w:rPr>
                <w:sz w:val="18"/>
                <w:szCs w:val="18"/>
              </w:rPr>
              <w:t>72</w:t>
            </w:r>
          </w:p>
        </w:tc>
        <w:tc>
          <w:tcPr>
            <w:tcW w:w="765" w:type="dxa"/>
            <w:tcBorders>
              <w:top w:val="single" w:sz="4" w:space="0" w:color="auto"/>
              <w:left w:val="single" w:sz="4" w:space="0" w:color="auto"/>
              <w:bottom w:val="single" w:sz="4" w:space="0" w:color="auto"/>
              <w:right w:val="single" w:sz="4" w:space="0" w:color="auto"/>
            </w:tcBorders>
          </w:tcPr>
          <w:p w14:paraId="7D444335" w14:textId="77777777" w:rsidR="00CF04BC" w:rsidRPr="00B93493" w:rsidRDefault="00CF04BC" w:rsidP="002E7F54">
            <w:pPr>
              <w:pStyle w:val="Tabletext"/>
              <w:jc w:val="center"/>
              <w:rPr>
                <w:sz w:val="18"/>
                <w:szCs w:val="18"/>
              </w:rPr>
            </w:pPr>
            <w:r w:rsidRPr="00B93493">
              <w:rPr>
                <w:sz w:val="18"/>
                <w:szCs w:val="18"/>
              </w:rPr>
              <w:t>76</w:t>
            </w:r>
          </w:p>
        </w:tc>
        <w:tc>
          <w:tcPr>
            <w:tcW w:w="765" w:type="dxa"/>
            <w:tcBorders>
              <w:top w:val="single" w:sz="4" w:space="0" w:color="auto"/>
              <w:left w:val="single" w:sz="4" w:space="0" w:color="auto"/>
              <w:bottom w:val="single" w:sz="4" w:space="0" w:color="auto"/>
              <w:right w:val="single" w:sz="4" w:space="0" w:color="auto"/>
            </w:tcBorders>
          </w:tcPr>
          <w:p w14:paraId="3ED34B27" w14:textId="77777777" w:rsidR="00CF04BC" w:rsidRPr="00B93493" w:rsidRDefault="00CF04BC" w:rsidP="002E7F54">
            <w:pPr>
              <w:pStyle w:val="Tabletext"/>
              <w:jc w:val="center"/>
              <w:rPr>
                <w:sz w:val="18"/>
                <w:szCs w:val="18"/>
              </w:rPr>
            </w:pPr>
            <w:r w:rsidRPr="00B93493">
              <w:rPr>
                <w:sz w:val="18"/>
                <w:szCs w:val="18"/>
              </w:rPr>
              <w:t>81</w:t>
            </w:r>
          </w:p>
        </w:tc>
        <w:tc>
          <w:tcPr>
            <w:tcW w:w="765" w:type="dxa"/>
            <w:tcBorders>
              <w:top w:val="single" w:sz="4" w:space="0" w:color="auto"/>
              <w:left w:val="single" w:sz="4" w:space="0" w:color="auto"/>
              <w:bottom w:val="single" w:sz="4" w:space="0" w:color="auto"/>
              <w:right w:val="single" w:sz="4" w:space="0" w:color="auto"/>
            </w:tcBorders>
          </w:tcPr>
          <w:p w14:paraId="4AF6FD98" w14:textId="77777777" w:rsidR="00CF04BC" w:rsidRPr="00B93493" w:rsidRDefault="00CF04BC" w:rsidP="002E7F54">
            <w:pPr>
              <w:pStyle w:val="Tabletext"/>
              <w:jc w:val="center"/>
              <w:rPr>
                <w:sz w:val="18"/>
                <w:szCs w:val="18"/>
              </w:rPr>
            </w:pPr>
            <w:r w:rsidRPr="00B93493">
              <w:rPr>
                <w:sz w:val="18"/>
                <w:szCs w:val="18"/>
              </w:rPr>
              <w:t>85</w:t>
            </w:r>
          </w:p>
        </w:tc>
        <w:tc>
          <w:tcPr>
            <w:tcW w:w="879" w:type="dxa"/>
            <w:tcBorders>
              <w:top w:val="single" w:sz="4" w:space="0" w:color="auto"/>
              <w:left w:val="single" w:sz="4" w:space="0" w:color="auto"/>
              <w:bottom w:val="single" w:sz="4" w:space="0" w:color="auto"/>
              <w:right w:val="single" w:sz="4" w:space="0" w:color="auto"/>
            </w:tcBorders>
          </w:tcPr>
          <w:p w14:paraId="006B95AD" w14:textId="77777777" w:rsidR="00CF04BC" w:rsidRPr="00B93493" w:rsidRDefault="00CF04BC" w:rsidP="002E7F54">
            <w:pPr>
              <w:pStyle w:val="Tabletext"/>
              <w:jc w:val="center"/>
              <w:rPr>
                <w:sz w:val="18"/>
                <w:szCs w:val="18"/>
              </w:rPr>
            </w:pPr>
            <w:r w:rsidRPr="00B93493">
              <w:rPr>
                <w:sz w:val="18"/>
                <w:szCs w:val="18"/>
              </w:rPr>
              <w:t>92</w:t>
            </w:r>
          </w:p>
        </w:tc>
      </w:tr>
    </w:tbl>
    <w:p w14:paraId="200422B5" w14:textId="77777777" w:rsidR="00CF04BC" w:rsidRPr="00B93493" w:rsidRDefault="00CF04BC" w:rsidP="00CF04BC">
      <w:pPr>
        <w:pStyle w:val="Tablefin"/>
      </w:pPr>
    </w:p>
    <w:p w14:paraId="59B440C9" w14:textId="77777777" w:rsidR="00CF04BC" w:rsidRPr="00B93493" w:rsidRDefault="00CF04BC" w:rsidP="00D25898">
      <w:pPr>
        <w:pStyle w:val="Headingb"/>
      </w:pPr>
      <w:r w:rsidRPr="00B93493">
        <w:t>b)</w:t>
      </w:r>
      <w:r w:rsidRPr="00B93493">
        <w:tab/>
        <w:t>Effective antenna height calculation</w:t>
      </w:r>
    </w:p>
    <w:p w14:paraId="73264059" w14:textId="77777777" w:rsidR="00CF04BC" w:rsidRPr="00B93493" w:rsidRDefault="00CF04BC" w:rsidP="00CF04BC">
      <w:r w:rsidRPr="00B93493">
        <w:t xml:space="preserve">It was already mentioned that the effective height of the transmitting antenna, </w:t>
      </w:r>
      <w:r w:rsidRPr="00B93493">
        <w:rPr>
          <w:i/>
          <w:iCs/>
        </w:rPr>
        <w:t>h</w:t>
      </w:r>
      <w:r w:rsidRPr="00B93493">
        <w:rPr>
          <w:i/>
          <w:iCs/>
          <w:vertAlign w:val="subscript"/>
        </w:rPr>
        <w:t>ef</w:t>
      </w:r>
      <w:r w:rsidRPr="00B93493">
        <w:t>, is determined as its height over the average level of the ground between distances of 3 km and 15 km from the transmitter in the direction of the receiver (see Fig. 4), i.e.:</w:t>
      </w:r>
    </w:p>
    <w:p w14:paraId="1D7F94AA" w14:textId="77777777" w:rsidR="00CF04BC" w:rsidRPr="00B93493" w:rsidRDefault="00CF04BC" w:rsidP="00CF04BC">
      <w:pPr>
        <w:pStyle w:val="Equation"/>
      </w:pPr>
      <w:r w:rsidRPr="00B93493">
        <w:tab/>
      </w:r>
      <w:r w:rsidRPr="00B93493">
        <w:tab/>
      </w:r>
      <w:r w:rsidRPr="00B93493">
        <w:rPr>
          <w:i/>
          <w:iCs/>
        </w:rPr>
        <w:t>h</w:t>
      </w:r>
      <w:r w:rsidRPr="00B93493">
        <w:rPr>
          <w:i/>
          <w:iCs/>
          <w:vertAlign w:val="subscript"/>
        </w:rPr>
        <w:t>ef</w:t>
      </w:r>
      <w:r w:rsidRPr="00B93493">
        <w:t xml:space="preserve"> </w:t>
      </w:r>
      <w:r w:rsidRPr="00B93493">
        <w:rPr>
          <w:rFonts w:ascii="Tms Rmn" w:hAnsi="Tms Rmn"/>
          <w:sz w:val="12"/>
        </w:rPr>
        <w:t> </w:t>
      </w:r>
      <w:r w:rsidRPr="00B93493">
        <w:rPr>
          <w:rFonts w:ascii="Symbol" w:hAnsi="Symbol"/>
        </w:rPr>
        <w:t></w:t>
      </w:r>
      <w:r w:rsidRPr="00B93493">
        <w:t xml:space="preserve"> </w:t>
      </w:r>
      <w:r w:rsidRPr="00B93493">
        <w:rPr>
          <w:i/>
          <w:iCs/>
        </w:rPr>
        <w:t>h</w:t>
      </w:r>
      <w:r w:rsidRPr="00B93493">
        <w:rPr>
          <w:i/>
          <w:iCs/>
          <w:vertAlign w:val="subscript"/>
        </w:rPr>
        <w:t>s</w:t>
      </w:r>
      <w:r w:rsidRPr="00B93493">
        <w:t xml:space="preserve"> – </w:t>
      </w:r>
      <w:r w:rsidRPr="00B93493">
        <w:rPr>
          <w:i/>
          <w:iCs/>
        </w:rPr>
        <w:t>h</w:t>
      </w:r>
      <w:r w:rsidRPr="00B93493">
        <w:rPr>
          <w:i/>
          <w:iCs/>
          <w:vertAlign w:val="subscript"/>
        </w:rPr>
        <w:t>av</w:t>
      </w:r>
      <w:r w:rsidRPr="00B93493">
        <w:tab/>
        <w:t>(30)</w:t>
      </w:r>
    </w:p>
    <w:p w14:paraId="4276FAD3" w14:textId="77777777" w:rsidR="00CF04BC" w:rsidRPr="00B93493" w:rsidRDefault="00CF04BC" w:rsidP="00CF04BC">
      <w:r w:rsidRPr="00B93493">
        <w:t>where:</w:t>
      </w:r>
    </w:p>
    <w:p w14:paraId="69814BEA" w14:textId="77777777" w:rsidR="00CF04BC" w:rsidRPr="00B93493" w:rsidRDefault="00CF04BC" w:rsidP="00CF04BC">
      <w:pPr>
        <w:pStyle w:val="Equationlegend"/>
      </w:pPr>
      <w:r w:rsidRPr="00B93493">
        <w:rPr>
          <w:i/>
          <w:iCs/>
        </w:rPr>
        <w:tab/>
        <w:t>h</w:t>
      </w:r>
      <w:r w:rsidRPr="00B93493">
        <w:rPr>
          <w:i/>
          <w:iCs/>
          <w:vertAlign w:val="subscript"/>
        </w:rPr>
        <w:t xml:space="preserve">s </w:t>
      </w:r>
      <w:r w:rsidRPr="00B93493">
        <w:t>:</w:t>
      </w:r>
      <w:r w:rsidRPr="00B93493">
        <w:tab/>
        <w:t>antenna height above the sea level (i.e. antenna mast height plus a height of the ground above the sea level at a place of installation)</w:t>
      </w:r>
    </w:p>
    <w:p w14:paraId="204A32FE" w14:textId="77777777" w:rsidR="00CF04BC" w:rsidRPr="00B93493" w:rsidRDefault="00CF04BC" w:rsidP="00CF04BC">
      <w:pPr>
        <w:pStyle w:val="Equationlegend"/>
      </w:pPr>
      <w:r w:rsidRPr="00B93493">
        <w:tab/>
      </w:r>
      <w:r w:rsidRPr="00B93493">
        <w:rPr>
          <w:i/>
          <w:iCs/>
        </w:rPr>
        <w:t>h</w:t>
      </w:r>
      <w:r w:rsidRPr="00B93493">
        <w:rPr>
          <w:i/>
          <w:iCs/>
          <w:vertAlign w:val="subscript"/>
        </w:rPr>
        <w:t>av</w:t>
      </w:r>
      <w:r w:rsidRPr="00B93493">
        <w:rPr>
          <w:rFonts w:ascii="Tms Rmn" w:hAnsi="Tms Rmn"/>
          <w:sz w:val="12"/>
        </w:rPr>
        <w:t> </w:t>
      </w:r>
      <w:r w:rsidRPr="00B93493">
        <w:t>:</w:t>
      </w:r>
      <w:r w:rsidRPr="00B93493">
        <w:tab/>
        <w:t>average level of the ground between distances of 3 km and 15 km from the transmitter.</w:t>
      </w:r>
    </w:p>
    <w:p w14:paraId="5992EBBA" w14:textId="77777777" w:rsidR="00CF04BC" w:rsidRPr="00B93493" w:rsidRDefault="00CF04BC" w:rsidP="00CF04BC">
      <w:pPr>
        <w:keepNext/>
        <w:keepLines/>
      </w:pPr>
      <w:r w:rsidRPr="00B93493">
        <w:t>It is essential to take into account not physical (mast height) but effective antenna height because antennas are frequently installed at tops of hills which heights can be comparable or even more than a mast height (see Fig. 4). Average level of the ground between distances of 3 km and 15 km from the transmitter is calculated with relevant terrain maps (preferably having scales 1:200 000 of 1:500 000). Using the map readouts of the ground height along some direction should be taken through each 1 or 2 km between distances of 3 km and 15 km from the transmitter and an average level is calculated as a sum of all readouts divided by their number. For further cases of calculating effective height, refer to Annex 5 of Recommendation ITU</w:t>
      </w:r>
      <w:r w:rsidRPr="00B93493">
        <w:noBreakHyphen/>
        <w:t>R P.1546-4.</w:t>
      </w:r>
    </w:p>
    <w:p w14:paraId="746A13E9" w14:textId="77777777" w:rsidR="00CF04BC" w:rsidRPr="00B93493" w:rsidRDefault="00CF04BC" w:rsidP="00CF04BC">
      <w:pPr>
        <w:pStyle w:val="FigureNo"/>
      </w:pPr>
      <w:r w:rsidRPr="00B93493">
        <w:t>FIGURE 4</w:t>
      </w:r>
    </w:p>
    <w:p w14:paraId="248ACD94" w14:textId="77777777" w:rsidR="00CF04BC" w:rsidRPr="00B93493" w:rsidRDefault="00CF04BC" w:rsidP="00CF04BC">
      <w:pPr>
        <w:pStyle w:val="Figuretitle"/>
      </w:pPr>
      <w:r w:rsidRPr="00B93493">
        <w:t>Determination of antenna effective height</w:t>
      </w:r>
    </w:p>
    <w:p w14:paraId="7BFD6B06" w14:textId="1E9E86DF" w:rsidR="00CF04BC" w:rsidRPr="00B93493" w:rsidRDefault="005B1526" w:rsidP="00CF04BC">
      <w:pPr>
        <w:pStyle w:val="Figure"/>
      </w:pPr>
      <w:r>
        <w:rPr>
          <w:noProof/>
        </w:rPr>
        <w:drawing>
          <wp:inline distT="0" distB="0" distL="0" distR="0" wp14:anchorId="30D846AE" wp14:editId="408D9E95">
            <wp:extent cx="5613400" cy="3037205"/>
            <wp:effectExtent l="0" t="0" r="6350" b="0"/>
            <wp:docPr id="60987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3400" cy="3037205"/>
                    </a:xfrm>
                    <a:prstGeom prst="rect">
                      <a:avLst/>
                    </a:prstGeom>
                    <a:noFill/>
                    <a:ln>
                      <a:noFill/>
                    </a:ln>
                  </pic:spPr>
                </pic:pic>
              </a:graphicData>
            </a:graphic>
          </wp:inline>
        </w:drawing>
      </w:r>
    </w:p>
    <w:p w14:paraId="43FFB13A" w14:textId="77777777" w:rsidR="00CF04BC" w:rsidRPr="00B93493" w:rsidRDefault="00CF04BC" w:rsidP="00E91654">
      <w:pPr>
        <w:pStyle w:val="Normalaftertitle"/>
      </w:pPr>
      <w:r w:rsidRPr="00B93493">
        <w:t>It is obvious that even for non-directional transmitting antenna used, a real service area usually will not be a circular one as far as average levels of the ground between distances of 3 km and 15 km from the transmitter in various directions will be different and, therefore, relevant antenna effective heights will be also different. Nevertheless, for the purposes of the given licence fees calculation model it is assumed to be a circular one based on antenna effective height calculation in one direction.</w:t>
      </w:r>
    </w:p>
    <w:p w14:paraId="433ED536" w14:textId="77777777" w:rsidR="00CF04BC" w:rsidRPr="00B93493" w:rsidRDefault="00CF04BC" w:rsidP="00CF04BC">
      <w:r w:rsidRPr="00B93493">
        <w:t>If an administration likes to increase accuracy of calculations in cases of a rather variable terrain profiles in different directions from antenna, an average value of antenna effective height can be calculate</w:t>
      </w:r>
      <w:r>
        <w:rPr>
          <w:rFonts w:hint="eastAsia"/>
          <w:lang w:eastAsia="zh-CN"/>
        </w:rPr>
        <w:t>d</w:t>
      </w:r>
      <w:r w:rsidRPr="00B93493">
        <w:t xml:space="preserve"> according to its four values in the North, East, South and West directions from the antenna. Example of calculations is presented in Table </w:t>
      </w:r>
      <w:r>
        <w:rPr>
          <w:rFonts w:hint="eastAsia"/>
          <w:lang w:eastAsia="zh-CN"/>
        </w:rPr>
        <w:t>11</w:t>
      </w:r>
      <w:r w:rsidRPr="00B93493">
        <w:t>.</w:t>
      </w:r>
    </w:p>
    <w:p w14:paraId="5C865BF8" w14:textId="77777777" w:rsidR="00CF04BC" w:rsidRPr="00B93493" w:rsidRDefault="00CF04BC" w:rsidP="00CF04BC">
      <w:pPr>
        <w:overflowPunct/>
        <w:autoSpaceDE/>
        <w:autoSpaceDN/>
        <w:adjustRightInd/>
        <w:spacing w:before="0"/>
        <w:textAlignment w:val="auto"/>
      </w:pPr>
      <w:r w:rsidRPr="00B93493">
        <w:br w:type="page"/>
      </w:r>
    </w:p>
    <w:p w14:paraId="298333C1" w14:textId="77777777" w:rsidR="00CF04BC" w:rsidRPr="00B93493" w:rsidRDefault="00CF04BC" w:rsidP="00CF04BC">
      <w:pPr>
        <w:pStyle w:val="TableNo"/>
        <w:rPr>
          <w:lang w:eastAsia="zh-CN"/>
        </w:rPr>
      </w:pPr>
      <w:r w:rsidRPr="00B93493">
        <w:t>TABLE 1</w:t>
      </w:r>
      <w:r>
        <w:rPr>
          <w:rFonts w:hint="eastAsia"/>
          <w:lang w:eastAsia="zh-CN"/>
        </w:rPr>
        <w:t>1</w:t>
      </w:r>
    </w:p>
    <w:p w14:paraId="296533DA" w14:textId="77777777" w:rsidR="00CF04BC" w:rsidRPr="00B93493" w:rsidRDefault="00CF04BC" w:rsidP="00CF04BC">
      <w:pPr>
        <w:pStyle w:val="Tabletitle"/>
      </w:pPr>
      <w:r w:rsidRPr="00B93493">
        <w:t>Example of effective antenna height calculation for a case of non-regular terrain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3902"/>
        <w:gridCol w:w="1262"/>
        <w:gridCol w:w="1262"/>
        <w:gridCol w:w="1262"/>
        <w:gridCol w:w="1264"/>
      </w:tblGrid>
      <w:tr w:rsidR="00CF04BC" w:rsidRPr="00B93493" w14:paraId="7A047949" w14:textId="77777777" w:rsidTr="002E7F54">
        <w:trPr>
          <w:jc w:val="center"/>
        </w:trPr>
        <w:tc>
          <w:tcPr>
            <w:tcW w:w="687" w:type="dxa"/>
            <w:vMerge w:val="restart"/>
            <w:vAlign w:val="center"/>
          </w:tcPr>
          <w:p w14:paraId="2A8309A3" w14:textId="77777777" w:rsidR="00CF04BC" w:rsidRPr="00B93493" w:rsidRDefault="00CF04BC" w:rsidP="002E7F54">
            <w:pPr>
              <w:pStyle w:val="Tablehead"/>
            </w:pPr>
            <w:r w:rsidRPr="00B93493">
              <w:t>No.</w:t>
            </w:r>
          </w:p>
        </w:tc>
        <w:tc>
          <w:tcPr>
            <w:tcW w:w="3902" w:type="dxa"/>
            <w:vMerge w:val="restart"/>
            <w:vAlign w:val="center"/>
          </w:tcPr>
          <w:p w14:paraId="00158B16" w14:textId="77777777" w:rsidR="00CF04BC" w:rsidRPr="00B93493" w:rsidRDefault="00CF04BC" w:rsidP="002E7F54">
            <w:pPr>
              <w:pStyle w:val="Tablehead"/>
            </w:pPr>
            <w:r w:rsidRPr="00B93493">
              <w:t>Distance of readout from antenna</w:t>
            </w:r>
            <w:r w:rsidRPr="00B93493">
              <w:br/>
              <w:t>(km)</w:t>
            </w:r>
          </w:p>
        </w:tc>
        <w:tc>
          <w:tcPr>
            <w:tcW w:w="5050" w:type="dxa"/>
            <w:gridSpan w:val="4"/>
            <w:vAlign w:val="center"/>
          </w:tcPr>
          <w:p w14:paraId="55856870" w14:textId="77777777" w:rsidR="00CF04BC" w:rsidRPr="00B93493" w:rsidRDefault="00CF04BC" w:rsidP="002E7F54">
            <w:pPr>
              <w:pStyle w:val="Tablehead"/>
            </w:pPr>
            <w:r w:rsidRPr="00B93493">
              <w:t>Readouts of ground heights</w:t>
            </w:r>
            <w:r w:rsidRPr="00B93493">
              <w:br/>
              <w:t>(m)</w:t>
            </w:r>
          </w:p>
        </w:tc>
      </w:tr>
      <w:tr w:rsidR="00CF04BC" w:rsidRPr="00B93493" w14:paraId="27E3845A" w14:textId="77777777" w:rsidTr="002E7F54">
        <w:trPr>
          <w:jc w:val="center"/>
        </w:trPr>
        <w:tc>
          <w:tcPr>
            <w:tcW w:w="687" w:type="dxa"/>
            <w:vMerge/>
            <w:vAlign w:val="center"/>
          </w:tcPr>
          <w:p w14:paraId="18ADE2E1" w14:textId="77777777" w:rsidR="00CF04BC" w:rsidRPr="00B93493" w:rsidRDefault="00CF04BC" w:rsidP="002E7F54">
            <w:pPr>
              <w:pStyle w:val="Tablehead"/>
            </w:pPr>
          </w:p>
        </w:tc>
        <w:tc>
          <w:tcPr>
            <w:tcW w:w="3902" w:type="dxa"/>
            <w:vMerge/>
            <w:vAlign w:val="center"/>
          </w:tcPr>
          <w:p w14:paraId="61E580DE" w14:textId="77777777" w:rsidR="00CF04BC" w:rsidRPr="00B93493" w:rsidRDefault="00CF04BC" w:rsidP="002E7F54">
            <w:pPr>
              <w:pStyle w:val="Tablehead"/>
            </w:pPr>
          </w:p>
        </w:tc>
        <w:tc>
          <w:tcPr>
            <w:tcW w:w="1262" w:type="dxa"/>
          </w:tcPr>
          <w:p w14:paraId="3C8DA827" w14:textId="77777777" w:rsidR="00CF04BC" w:rsidRPr="00B93493" w:rsidRDefault="00CF04BC" w:rsidP="002E7F54">
            <w:pPr>
              <w:pStyle w:val="Tablehead"/>
            </w:pPr>
            <w:r w:rsidRPr="00B93493">
              <w:t>North</w:t>
            </w:r>
          </w:p>
        </w:tc>
        <w:tc>
          <w:tcPr>
            <w:tcW w:w="1262" w:type="dxa"/>
          </w:tcPr>
          <w:p w14:paraId="2178C267" w14:textId="77777777" w:rsidR="00CF04BC" w:rsidRPr="00B93493" w:rsidRDefault="00CF04BC" w:rsidP="002E7F54">
            <w:pPr>
              <w:pStyle w:val="Tablehead"/>
            </w:pPr>
            <w:r w:rsidRPr="00B93493">
              <w:t>South</w:t>
            </w:r>
          </w:p>
        </w:tc>
        <w:tc>
          <w:tcPr>
            <w:tcW w:w="1262" w:type="dxa"/>
          </w:tcPr>
          <w:p w14:paraId="30C6A1EA" w14:textId="77777777" w:rsidR="00CF04BC" w:rsidRPr="00B93493" w:rsidRDefault="00CF04BC" w:rsidP="002E7F54">
            <w:pPr>
              <w:pStyle w:val="Tablehead"/>
            </w:pPr>
            <w:r w:rsidRPr="00B93493">
              <w:t>East</w:t>
            </w:r>
          </w:p>
        </w:tc>
        <w:tc>
          <w:tcPr>
            <w:tcW w:w="1264" w:type="dxa"/>
          </w:tcPr>
          <w:p w14:paraId="4F3E6633" w14:textId="77777777" w:rsidR="00CF04BC" w:rsidRPr="00B93493" w:rsidRDefault="00CF04BC" w:rsidP="002E7F54">
            <w:pPr>
              <w:pStyle w:val="Tablehead"/>
            </w:pPr>
            <w:r w:rsidRPr="00B93493">
              <w:t>West</w:t>
            </w:r>
          </w:p>
        </w:tc>
      </w:tr>
      <w:tr w:rsidR="00CF04BC" w:rsidRPr="00B93493" w14:paraId="355E6C58" w14:textId="77777777" w:rsidTr="002E7F54">
        <w:trPr>
          <w:jc w:val="center"/>
        </w:trPr>
        <w:tc>
          <w:tcPr>
            <w:tcW w:w="687" w:type="dxa"/>
          </w:tcPr>
          <w:p w14:paraId="5E5931A8" w14:textId="77777777" w:rsidR="00CF04BC" w:rsidRPr="00B93493" w:rsidRDefault="00CF04BC" w:rsidP="002E7F54">
            <w:pPr>
              <w:pStyle w:val="Tabletext"/>
            </w:pPr>
            <w:r w:rsidRPr="00B93493">
              <w:t>1</w:t>
            </w:r>
          </w:p>
        </w:tc>
        <w:tc>
          <w:tcPr>
            <w:tcW w:w="3902" w:type="dxa"/>
          </w:tcPr>
          <w:p w14:paraId="1ED2E661" w14:textId="77777777" w:rsidR="00CF04BC" w:rsidRPr="00B93493" w:rsidRDefault="00CF04BC" w:rsidP="002E7F54">
            <w:pPr>
              <w:pStyle w:val="Tabletext"/>
              <w:jc w:val="center"/>
            </w:pPr>
            <w:r w:rsidRPr="00B93493">
              <w:t>3</w:t>
            </w:r>
          </w:p>
        </w:tc>
        <w:tc>
          <w:tcPr>
            <w:tcW w:w="1262" w:type="dxa"/>
          </w:tcPr>
          <w:p w14:paraId="1BDCE3BE" w14:textId="77777777" w:rsidR="00CF04BC" w:rsidRPr="00B93493" w:rsidRDefault="00CF04BC" w:rsidP="002E7F54">
            <w:pPr>
              <w:pStyle w:val="Tabletext"/>
              <w:jc w:val="center"/>
            </w:pPr>
            <w:r w:rsidRPr="00B93493">
              <w:fldChar w:fldCharType="begin"/>
            </w:r>
            <w:r w:rsidRPr="00B93493">
              <w:instrText xml:space="preserve"> SUM(down) \# "# ##0" </w:instrText>
            </w:r>
            <w:r w:rsidRPr="00B93493">
              <w:fldChar w:fldCharType="end"/>
            </w:r>
            <w:r w:rsidRPr="00B93493">
              <w:t>250</w:t>
            </w:r>
          </w:p>
        </w:tc>
        <w:tc>
          <w:tcPr>
            <w:tcW w:w="1262" w:type="dxa"/>
          </w:tcPr>
          <w:p w14:paraId="0419B4F6" w14:textId="77777777" w:rsidR="00CF04BC" w:rsidRPr="00B93493" w:rsidRDefault="00CF04BC" w:rsidP="002E7F54">
            <w:pPr>
              <w:pStyle w:val="Tabletext"/>
              <w:jc w:val="center"/>
            </w:pPr>
            <w:r w:rsidRPr="00B93493">
              <w:t>240</w:t>
            </w:r>
          </w:p>
        </w:tc>
        <w:tc>
          <w:tcPr>
            <w:tcW w:w="1262" w:type="dxa"/>
          </w:tcPr>
          <w:p w14:paraId="693FF909" w14:textId="77777777" w:rsidR="00CF04BC" w:rsidRPr="00B93493" w:rsidRDefault="00CF04BC" w:rsidP="002E7F54">
            <w:pPr>
              <w:pStyle w:val="Tabletext"/>
              <w:jc w:val="center"/>
            </w:pPr>
            <w:r w:rsidRPr="00B93493">
              <w:t>300</w:t>
            </w:r>
          </w:p>
        </w:tc>
        <w:tc>
          <w:tcPr>
            <w:tcW w:w="1264" w:type="dxa"/>
          </w:tcPr>
          <w:p w14:paraId="5641CCE6" w14:textId="77777777" w:rsidR="00CF04BC" w:rsidRPr="00B93493" w:rsidRDefault="00CF04BC" w:rsidP="002E7F54">
            <w:pPr>
              <w:pStyle w:val="Tabletext"/>
              <w:jc w:val="center"/>
            </w:pPr>
            <w:r w:rsidRPr="00B93493">
              <w:t>240</w:t>
            </w:r>
          </w:p>
        </w:tc>
      </w:tr>
      <w:tr w:rsidR="00CF04BC" w:rsidRPr="00B93493" w14:paraId="1AB81227" w14:textId="77777777" w:rsidTr="002E7F54">
        <w:trPr>
          <w:jc w:val="center"/>
        </w:trPr>
        <w:tc>
          <w:tcPr>
            <w:tcW w:w="687" w:type="dxa"/>
          </w:tcPr>
          <w:p w14:paraId="026F4F2E" w14:textId="77777777" w:rsidR="00CF04BC" w:rsidRPr="00B93493" w:rsidRDefault="00CF04BC" w:rsidP="002E7F54">
            <w:pPr>
              <w:pStyle w:val="Tabletext"/>
            </w:pPr>
            <w:r w:rsidRPr="00B93493">
              <w:t>2</w:t>
            </w:r>
          </w:p>
        </w:tc>
        <w:tc>
          <w:tcPr>
            <w:tcW w:w="3902" w:type="dxa"/>
          </w:tcPr>
          <w:p w14:paraId="033D37B6" w14:textId="77777777" w:rsidR="00CF04BC" w:rsidRPr="00B93493" w:rsidRDefault="00CF04BC" w:rsidP="002E7F54">
            <w:pPr>
              <w:pStyle w:val="Tabletext"/>
              <w:jc w:val="center"/>
            </w:pPr>
            <w:r w:rsidRPr="00B93493">
              <w:t>4</w:t>
            </w:r>
          </w:p>
        </w:tc>
        <w:tc>
          <w:tcPr>
            <w:tcW w:w="1262" w:type="dxa"/>
          </w:tcPr>
          <w:p w14:paraId="5E8EE3BC" w14:textId="77777777" w:rsidR="00CF04BC" w:rsidRPr="00B93493" w:rsidRDefault="00CF04BC" w:rsidP="002E7F54">
            <w:pPr>
              <w:pStyle w:val="Tabletext"/>
              <w:jc w:val="center"/>
            </w:pPr>
            <w:r w:rsidRPr="00B93493">
              <w:t>240</w:t>
            </w:r>
          </w:p>
        </w:tc>
        <w:tc>
          <w:tcPr>
            <w:tcW w:w="1262" w:type="dxa"/>
          </w:tcPr>
          <w:p w14:paraId="2AC390FD" w14:textId="77777777" w:rsidR="00CF04BC" w:rsidRPr="00B93493" w:rsidRDefault="00CF04BC" w:rsidP="002E7F54">
            <w:pPr>
              <w:pStyle w:val="Tabletext"/>
              <w:jc w:val="center"/>
            </w:pPr>
            <w:r w:rsidRPr="00B93493">
              <w:t>220</w:t>
            </w:r>
          </w:p>
        </w:tc>
        <w:tc>
          <w:tcPr>
            <w:tcW w:w="1262" w:type="dxa"/>
          </w:tcPr>
          <w:p w14:paraId="2B9E091C" w14:textId="77777777" w:rsidR="00CF04BC" w:rsidRPr="00B93493" w:rsidRDefault="00CF04BC" w:rsidP="002E7F54">
            <w:pPr>
              <w:pStyle w:val="Tabletext"/>
              <w:jc w:val="center"/>
            </w:pPr>
            <w:r w:rsidRPr="00B93493">
              <w:t>300</w:t>
            </w:r>
          </w:p>
        </w:tc>
        <w:tc>
          <w:tcPr>
            <w:tcW w:w="1264" w:type="dxa"/>
          </w:tcPr>
          <w:p w14:paraId="68D050C9" w14:textId="77777777" w:rsidR="00CF04BC" w:rsidRPr="00B93493" w:rsidRDefault="00CF04BC" w:rsidP="002E7F54">
            <w:pPr>
              <w:pStyle w:val="Tabletext"/>
              <w:jc w:val="center"/>
            </w:pPr>
            <w:r w:rsidRPr="00B93493">
              <w:t>220</w:t>
            </w:r>
          </w:p>
        </w:tc>
      </w:tr>
      <w:tr w:rsidR="00CF04BC" w:rsidRPr="00B93493" w14:paraId="4371D730" w14:textId="77777777" w:rsidTr="002E7F54">
        <w:trPr>
          <w:jc w:val="center"/>
        </w:trPr>
        <w:tc>
          <w:tcPr>
            <w:tcW w:w="687" w:type="dxa"/>
          </w:tcPr>
          <w:p w14:paraId="229D218F" w14:textId="77777777" w:rsidR="00CF04BC" w:rsidRPr="00B93493" w:rsidRDefault="00CF04BC" w:rsidP="002E7F54">
            <w:pPr>
              <w:pStyle w:val="Tabletext"/>
            </w:pPr>
            <w:r w:rsidRPr="00B93493">
              <w:t>3</w:t>
            </w:r>
          </w:p>
        </w:tc>
        <w:tc>
          <w:tcPr>
            <w:tcW w:w="3902" w:type="dxa"/>
          </w:tcPr>
          <w:p w14:paraId="011D380E" w14:textId="77777777" w:rsidR="00CF04BC" w:rsidRPr="00B93493" w:rsidRDefault="00CF04BC" w:rsidP="002E7F54">
            <w:pPr>
              <w:pStyle w:val="Tabletext"/>
              <w:jc w:val="center"/>
            </w:pPr>
            <w:r w:rsidRPr="00B93493">
              <w:t>5</w:t>
            </w:r>
          </w:p>
        </w:tc>
        <w:tc>
          <w:tcPr>
            <w:tcW w:w="1262" w:type="dxa"/>
          </w:tcPr>
          <w:p w14:paraId="58FC210A" w14:textId="77777777" w:rsidR="00CF04BC" w:rsidRPr="00B93493" w:rsidRDefault="00CF04BC" w:rsidP="002E7F54">
            <w:pPr>
              <w:pStyle w:val="Tabletext"/>
              <w:jc w:val="center"/>
            </w:pPr>
            <w:r w:rsidRPr="00B93493">
              <w:t>220</w:t>
            </w:r>
          </w:p>
        </w:tc>
        <w:tc>
          <w:tcPr>
            <w:tcW w:w="1262" w:type="dxa"/>
          </w:tcPr>
          <w:p w14:paraId="5B8C6010" w14:textId="77777777" w:rsidR="00CF04BC" w:rsidRPr="00B93493" w:rsidRDefault="00CF04BC" w:rsidP="002E7F54">
            <w:pPr>
              <w:pStyle w:val="Tabletext"/>
              <w:jc w:val="center"/>
            </w:pPr>
            <w:r w:rsidRPr="00B93493">
              <w:t>180</w:t>
            </w:r>
          </w:p>
        </w:tc>
        <w:tc>
          <w:tcPr>
            <w:tcW w:w="1262" w:type="dxa"/>
          </w:tcPr>
          <w:p w14:paraId="334E2C8A" w14:textId="77777777" w:rsidR="00CF04BC" w:rsidRPr="00B93493" w:rsidRDefault="00CF04BC" w:rsidP="002E7F54">
            <w:pPr>
              <w:pStyle w:val="Tabletext"/>
              <w:jc w:val="center"/>
            </w:pPr>
            <w:r w:rsidRPr="00B93493">
              <w:t>290</w:t>
            </w:r>
          </w:p>
        </w:tc>
        <w:tc>
          <w:tcPr>
            <w:tcW w:w="1264" w:type="dxa"/>
          </w:tcPr>
          <w:p w14:paraId="590F8518" w14:textId="77777777" w:rsidR="00CF04BC" w:rsidRPr="00B93493" w:rsidRDefault="00CF04BC" w:rsidP="002E7F54">
            <w:pPr>
              <w:pStyle w:val="Tabletext"/>
              <w:jc w:val="center"/>
            </w:pPr>
            <w:r w:rsidRPr="00B93493">
              <w:t>200</w:t>
            </w:r>
          </w:p>
        </w:tc>
      </w:tr>
      <w:tr w:rsidR="00CF04BC" w:rsidRPr="00B93493" w14:paraId="76C54202" w14:textId="77777777" w:rsidTr="002E7F54">
        <w:trPr>
          <w:jc w:val="center"/>
        </w:trPr>
        <w:tc>
          <w:tcPr>
            <w:tcW w:w="687" w:type="dxa"/>
          </w:tcPr>
          <w:p w14:paraId="015934BE" w14:textId="77777777" w:rsidR="00CF04BC" w:rsidRPr="00B93493" w:rsidRDefault="00CF04BC" w:rsidP="002E7F54">
            <w:pPr>
              <w:pStyle w:val="Tabletext"/>
            </w:pPr>
            <w:r w:rsidRPr="00B93493">
              <w:t>4</w:t>
            </w:r>
          </w:p>
        </w:tc>
        <w:tc>
          <w:tcPr>
            <w:tcW w:w="3902" w:type="dxa"/>
          </w:tcPr>
          <w:p w14:paraId="56490A81" w14:textId="77777777" w:rsidR="00CF04BC" w:rsidRPr="00B93493" w:rsidRDefault="00CF04BC" w:rsidP="002E7F54">
            <w:pPr>
              <w:pStyle w:val="Tabletext"/>
              <w:jc w:val="center"/>
            </w:pPr>
            <w:r w:rsidRPr="00B93493">
              <w:t>6</w:t>
            </w:r>
          </w:p>
        </w:tc>
        <w:tc>
          <w:tcPr>
            <w:tcW w:w="1262" w:type="dxa"/>
          </w:tcPr>
          <w:p w14:paraId="4B24DA85" w14:textId="77777777" w:rsidR="00CF04BC" w:rsidRPr="00B93493" w:rsidRDefault="00CF04BC" w:rsidP="002E7F54">
            <w:pPr>
              <w:pStyle w:val="Tabletext"/>
              <w:jc w:val="center"/>
            </w:pPr>
            <w:r w:rsidRPr="00B93493">
              <w:t>230</w:t>
            </w:r>
          </w:p>
        </w:tc>
        <w:tc>
          <w:tcPr>
            <w:tcW w:w="1262" w:type="dxa"/>
          </w:tcPr>
          <w:p w14:paraId="5FDFF595" w14:textId="77777777" w:rsidR="00CF04BC" w:rsidRPr="00B93493" w:rsidRDefault="00CF04BC" w:rsidP="002E7F54">
            <w:pPr>
              <w:pStyle w:val="Tabletext"/>
              <w:jc w:val="center"/>
            </w:pPr>
            <w:r w:rsidRPr="00B93493">
              <w:t>180</w:t>
            </w:r>
          </w:p>
        </w:tc>
        <w:tc>
          <w:tcPr>
            <w:tcW w:w="1262" w:type="dxa"/>
          </w:tcPr>
          <w:p w14:paraId="2DDD4A18" w14:textId="77777777" w:rsidR="00CF04BC" w:rsidRPr="00B93493" w:rsidRDefault="00CF04BC" w:rsidP="002E7F54">
            <w:pPr>
              <w:pStyle w:val="Tabletext"/>
              <w:jc w:val="center"/>
            </w:pPr>
            <w:r w:rsidRPr="00B93493">
              <w:t>280</w:t>
            </w:r>
          </w:p>
        </w:tc>
        <w:tc>
          <w:tcPr>
            <w:tcW w:w="1264" w:type="dxa"/>
          </w:tcPr>
          <w:p w14:paraId="1D7042F4" w14:textId="77777777" w:rsidR="00CF04BC" w:rsidRPr="00B93493" w:rsidRDefault="00CF04BC" w:rsidP="002E7F54">
            <w:pPr>
              <w:pStyle w:val="Tabletext"/>
              <w:jc w:val="center"/>
            </w:pPr>
            <w:r w:rsidRPr="00B93493">
              <w:t>170</w:t>
            </w:r>
          </w:p>
        </w:tc>
      </w:tr>
      <w:tr w:rsidR="00CF04BC" w:rsidRPr="00B93493" w14:paraId="23452DAF" w14:textId="77777777" w:rsidTr="002E7F54">
        <w:trPr>
          <w:jc w:val="center"/>
        </w:trPr>
        <w:tc>
          <w:tcPr>
            <w:tcW w:w="687" w:type="dxa"/>
          </w:tcPr>
          <w:p w14:paraId="08824FD9" w14:textId="77777777" w:rsidR="00CF04BC" w:rsidRPr="00B93493" w:rsidRDefault="00CF04BC" w:rsidP="002E7F54">
            <w:pPr>
              <w:pStyle w:val="Tabletext"/>
            </w:pPr>
            <w:r w:rsidRPr="00B93493">
              <w:t>5</w:t>
            </w:r>
          </w:p>
        </w:tc>
        <w:tc>
          <w:tcPr>
            <w:tcW w:w="3902" w:type="dxa"/>
          </w:tcPr>
          <w:p w14:paraId="0A3DFAE5" w14:textId="77777777" w:rsidR="00CF04BC" w:rsidRPr="00B93493" w:rsidRDefault="00CF04BC" w:rsidP="002E7F54">
            <w:pPr>
              <w:pStyle w:val="Tabletext"/>
              <w:jc w:val="center"/>
            </w:pPr>
            <w:r w:rsidRPr="00B93493">
              <w:t>7</w:t>
            </w:r>
          </w:p>
        </w:tc>
        <w:tc>
          <w:tcPr>
            <w:tcW w:w="1262" w:type="dxa"/>
          </w:tcPr>
          <w:p w14:paraId="06CEEC7A" w14:textId="77777777" w:rsidR="00CF04BC" w:rsidRPr="00B93493" w:rsidRDefault="00CF04BC" w:rsidP="002E7F54">
            <w:pPr>
              <w:pStyle w:val="Tabletext"/>
              <w:jc w:val="center"/>
            </w:pPr>
            <w:r w:rsidRPr="00B93493">
              <w:t>240</w:t>
            </w:r>
          </w:p>
        </w:tc>
        <w:tc>
          <w:tcPr>
            <w:tcW w:w="1262" w:type="dxa"/>
          </w:tcPr>
          <w:p w14:paraId="4B52AA29" w14:textId="77777777" w:rsidR="00CF04BC" w:rsidRPr="00B93493" w:rsidRDefault="00CF04BC" w:rsidP="002E7F54">
            <w:pPr>
              <w:pStyle w:val="Tabletext"/>
              <w:jc w:val="center"/>
            </w:pPr>
            <w:r w:rsidRPr="00B93493">
              <w:t>160</w:t>
            </w:r>
          </w:p>
        </w:tc>
        <w:tc>
          <w:tcPr>
            <w:tcW w:w="1262" w:type="dxa"/>
          </w:tcPr>
          <w:p w14:paraId="3D56B652" w14:textId="77777777" w:rsidR="00CF04BC" w:rsidRPr="00B93493" w:rsidRDefault="00CF04BC" w:rsidP="002E7F54">
            <w:pPr>
              <w:pStyle w:val="Tabletext"/>
              <w:jc w:val="center"/>
            </w:pPr>
            <w:r w:rsidRPr="00B93493">
              <w:t>270</w:t>
            </w:r>
          </w:p>
        </w:tc>
        <w:tc>
          <w:tcPr>
            <w:tcW w:w="1264" w:type="dxa"/>
          </w:tcPr>
          <w:p w14:paraId="429D2FF2" w14:textId="77777777" w:rsidR="00CF04BC" w:rsidRPr="00B93493" w:rsidRDefault="00CF04BC" w:rsidP="002E7F54">
            <w:pPr>
              <w:pStyle w:val="Tabletext"/>
              <w:jc w:val="center"/>
            </w:pPr>
            <w:r w:rsidRPr="00B93493">
              <w:t>160</w:t>
            </w:r>
          </w:p>
        </w:tc>
      </w:tr>
      <w:tr w:rsidR="00CF04BC" w:rsidRPr="00B93493" w14:paraId="5CA60A64" w14:textId="77777777" w:rsidTr="002E7F54">
        <w:trPr>
          <w:jc w:val="center"/>
        </w:trPr>
        <w:tc>
          <w:tcPr>
            <w:tcW w:w="687" w:type="dxa"/>
          </w:tcPr>
          <w:p w14:paraId="2FF65317" w14:textId="77777777" w:rsidR="00CF04BC" w:rsidRPr="00B93493" w:rsidRDefault="00CF04BC" w:rsidP="002E7F54">
            <w:pPr>
              <w:pStyle w:val="Tabletext"/>
            </w:pPr>
            <w:r w:rsidRPr="00B93493">
              <w:t>6</w:t>
            </w:r>
          </w:p>
        </w:tc>
        <w:tc>
          <w:tcPr>
            <w:tcW w:w="3902" w:type="dxa"/>
          </w:tcPr>
          <w:p w14:paraId="17DE5BE5" w14:textId="77777777" w:rsidR="00CF04BC" w:rsidRPr="00B93493" w:rsidRDefault="00CF04BC" w:rsidP="002E7F54">
            <w:pPr>
              <w:pStyle w:val="Tabletext"/>
              <w:jc w:val="center"/>
            </w:pPr>
            <w:r w:rsidRPr="00B93493">
              <w:t>8</w:t>
            </w:r>
          </w:p>
        </w:tc>
        <w:tc>
          <w:tcPr>
            <w:tcW w:w="1262" w:type="dxa"/>
          </w:tcPr>
          <w:p w14:paraId="48781F0E" w14:textId="77777777" w:rsidR="00CF04BC" w:rsidRPr="00B93493" w:rsidRDefault="00CF04BC" w:rsidP="002E7F54">
            <w:pPr>
              <w:pStyle w:val="Tabletext"/>
              <w:jc w:val="center"/>
            </w:pPr>
            <w:r w:rsidRPr="00B93493">
              <w:t>260</w:t>
            </w:r>
          </w:p>
        </w:tc>
        <w:tc>
          <w:tcPr>
            <w:tcW w:w="1262" w:type="dxa"/>
          </w:tcPr>
          <w:p w14:paraId="434C4523" w14:textId="77777777" w:rsidR="00CF04BC" w:rsidRPr="00B93493" w:rsidRDefault="00CF04BC" w:rsidP="002E7F54">
            <w:pPr>
              <w:pStyle w:val="Tabletext"/>
              <w:jc w:val="center"/>
            </w:pPr>
            <w:r w:rsidRPr="00B93493">
              <w:t>140</w:t>
            </w:r>
          </w:p>
        </w:tc>
        <w:tc>
          <w:tcPr>
            <w:tcW w:w="1262" w:type="dxa"/>
          </w:tcPr>
          <w:p w14:paraId="60051C84" w14:textId="77777777" w:rsidR="00CF04BC" w:rsidRPr="00B93493" w:rsidRDefault="00CF04BC" w:rsidP="002E7F54">
            <w:pPr>
              <w:pStyle w:val="Tabletext"/>
              <w:jc w:val="center"/>
            </w:pPr>
            <w:r w:rsidRPr="00B93493">
              <w:t>260</w:t>
            </w:r>
          </w:p>
        </w:tc>
        <w:tc>
          <w:tcPr>
            <w:tcW w:w="1264" w:type="dxa"/>
          </w:tcPr>
          <w:p w14:paraId="3F23D4C3" w14:textId="77777777" w:rsidR="00CF04BC" w:rsidRPr="00B93493" w:rsidRDefault="00CF04BC" w:rsidP="002E7F54">
            <w:pPr>
              <w:pStyle w:val="Tabletext"/>
              <w:jc w:val="center"/>
            </w:pPr>
            <w:r w:rsidRPr="00B93493">
              <w:t>180</w:t>
            </w:r>
          </w:p>
        </w:tc>
      </w:tr>
      <w:tr w:rsidR="00CF04BC" w:rsidRPr="00B93493" w14:paraId="5384F44A" w14:textId="77777777" w:rsidTr="002E7F54">
        <w:trPr>
          <w:jc w:val="center"/>
        </w:trPr>
        <w:tc>
          <w:tcPr>
            <w:tcW w:w="687" w:type="dxa"/>
          </w:tcPr>
          <w:p w14:paraId="68E97817" w14:textId="77777777" w:rsidR="00CF04BC" w:rsidRPr="00B93493" w:rsidRDefault="00CF04BC" w:rsidP="002E7F54">
            <w:pPr>
              <w:pStyle w:val="Tabletext"/>
            </w:pPr>
            <w:r w:rsidRPr="00B93493">
              <w:t>7</w:t>
            </w:r>
          </w:p>
        </w:tc>
        <w:tc>
          <w:tcPr>
            <w:tcW w:w="3902" w:type="dxa"/>
          </w:tcPr>
          <w:p w14:paraId="5FB0FB6C" w14:textId="77777777" w:rsidR="00CF04BC" w:rsidRPr="00B93493" w:rsidRDefault="00CF04BC" w:rsidP="002E7F54">
            <w:pPr>
              <w:pStyle w:val="Tabletext"/>
              <w:jc w:val="center"/>
            </w:pPr>
            <w:r w:rsidRPr="00B93493">
              <w:t>9</w:t>
            </w:r>
          </w:p>
        </w:tc>
        <w:tc>
          <w:tcPr>
            <w:tcW w:w="1262" w:type="dxa"/>
          </w:tcPr>
          <w:p w14:paraId="23AA3BBF" w14:textId="77777777" w:rsidR="00CF04BC" w:rsidRPr="00B93493" w:rsidRDefault="00CF04BC" w:rsidP="002E7F54">
            <w:pPr>
              <w:pStyle w:val="Tabletext"/>
              <w:jc w:val="center"/>
            </w:pPr>
            <w:r w:rsidRPr="00B93493">
              <w:t>260</w:t>
            </w:r>
          </w:p>
        </w:tc>
        <w:tc>
          <w:tcPr>
            <w:tcW w:w="1262" w:type="dxa"/>
          </w:tcPr>
          <w:p w14:paraId="54C2DC3C" w14:textId="77777777" w:rsidR="00CF04BC" w:rsidRPr="00B93493" w:rsidRDefault="00CF04BC" w:rsidP="002E7F54">
            <w:pPr>
              <w:pStyle w:val="Tabletext"/>
              <w:jc w:val="center"/>
            </w:pPr>
            <w:r w:rsidRPr="00B93493">
              <w:t>120</w:t>
            </w:r>
          </w:p>
        </w:tc>
        <w:tc>
          <w:tcPr>
            <w:tcW w:w="1262" w:type="dxa"/>
          </w:tcPr>
          <w:p w14:paraId="5287DF6F" w14:textId="77777777" w:rsidR="00CF04BC" w:rsidRPr="00B93493" w:rsidRDefault="00CF04BC" w:rsidP="002E7F54">
            <w:pPr>
              <w:pStyle w:val="Tabletext"/>
              <w:jc w:val="center"/>
            </w:pPr>
            <w:r w:rsidRPr="00B93493">
              <w:t>250</w:t>
            </w:r>
          </w:p>
        </w:tc>
        <w:tc>
          <w:tcPr>
            <w:tcW w:w="1264" w:type="dxa"/>
          </w:tcPr>
          <w:p w14:paraId="419385E8" w14:textId="77777777" w:rsidR="00CF04BC" w:rsidRPr="00B93493" w:rsidRDefault="00CF04BC" w:rsidP="002E7F54">
            <w:pPr>
              <w:pStyle w:val="Tabletext"/>
              <w:jc w:val="center"/>
            </w:pPr>
            <w:r w:rsidRPr="00B93493">
              <w:t>200</w:t>
            </w:r>
          </w:p>
        </w:tc>
      </w:tr>
      <w:tr w:rsidR="00CF04BC" w:rsidRPr="00B93493" w14:paraId="7B5ED783" w14:textId="77777777" w:rsidTr="002E7F54">
        <w:trPr>
          <w:jc w:val="center"/>
        </w:trPr>
        <w:tc>
          <w:tcPr>
            <w:tcW w:w="687" w:type="dxa"/>
          </w:tcPr>
          <w:p w14:paraId="2E9CA103" w14:textId="77777777" w:rsidR="00CF04BC" w:rsidRPr="00B93493" w:rsidRDefault="00CF04BC" w:rsidP="002E7F54">
            <w:pPr>
              <w:pStyle w:val="Tabletext"/>
            </w:pPr>
            <w:r w:rsidRPr="00B93493">
              <w:t>8</w:t>
            </w:r>
          </w:p>
        </w:tc>
        <w:tc>
          <w:tcPr>
            <w:tcW w:w="3902" w:type="dxa"/>
          </w:tcPr>
          <w:p w14:paraId="49D9B9AB" w14:textId="77777777" w:rsidR="00CF04BC" w:rsidRPr="00B93493" w:rsidRDefault="00CF04BC" w:rsidP="002E7F54">
            <w:pPr>
              <w:pStyle w:val="Tabletext"/>
              <w:jc w:val="center"/>
            </w:pPr>
            <w:r w:rsidRPr="00B93493">
              <w:t>10</w:t>
            </w:r>
          </w:p>
        </w:tc>
        <w:tc>
          <w:tcPr>
            <w:tcW w:w="1262" w:type="dxa"/>
          </w:tcPr>
          <w:p w14:paraId="40B4BD32" w14:textId="77777777" w:rsidR="00CF04BC" w:rsidRPr="00B93493" w:rsidRDefault="00CF04BC" w:rsidP="002E7F54">
            <w:pPr>
              <w:pStyle w:val="Tabletext"/>
              <w:jc w:val="center"/>
            </w:pPr>
            <w:r w:rsidRPr="00B93493">
              <w:t>280</w:t>
            </w:r>
          </w:p>
        </w:tc>
        <w:tc>
          <w:tcPr>
            <w:tcW w:w="1262" w:type="dxa"/>
          </w:tcPr>
          <w:p w14:paraId="70CB0C77" w14:textId="77777777" w:rsidR="00CF04BC" w:rsidRPr="00B93493" w:rsidRDefault="00CF04BC" w:rsidP="002E7F54">
            <w:pPr>
              <w:pStyle w:val="Tabletext"/>
              <w:jc w:val="center"/>
            </w:pPr>
            <w:r w:rsidRPr="00B93493">
              <w:t>120</w:t>
            </w:r>
          </w:p>
        </w:tc>
        <w:tc>
          <w:tcPr>
            <w:tcW w:w="1262" w:type="dxa"/>
          </w:tcPr>
          <w:p w14:paraId="38AA2140" w14:textId="77777777" w:rsidR="00CF04BC" w:rsidRPr="00B93493" w:rsidRDefault="00CF04BC" w:rsidP="002E7F54">
            <w:pPr>
              <w:pStyle w:val="Tabletext"/>
              <w:jc w:val="center"/>
            </w:pPr>
            <w:r w:rsidRPr="00B93493">
              <w:t>230</w:t>
            </w:r>
          </w:p>
        </w:tc>
        <w:tc>
          <w:tcPr>
            <w:tcW w:w="1264" w:type="dxa"/>
          </w:tcPr>
          <w:p w14:paraId="71CA5D01" w14:textId="77777777" w:rsidR="00CF04BC" w:rsidRPr="00B93493" w:rsidRDefault="00CF04BC" w:rsidP="002E7F54">
            <w:pPr>
              <w:pStyle w:val="Tabletext"/>
              <w:jc w:val="center"/>
            </w:pPr>
            <w:r w:rsidRPr="00B93493">
              <w:t>250</w:t>
            </w:r>
          </w:p>
        </w:tc>
      </w:tr>
      <w:tr w:rsidR="00CF04BC" w:rsidRPr="00B93493" w14:paraId="5774E545" w14:textId="77777777" w:rsidTr="002E7F54">
        <w:trPr>
          <w:jc w:val="center"/>
        </w:trPr>
        <w:tc>
          <w:tcPr>
            <w:tcW w:w="687" w:type="dxa"/>
          </w:tcPr>
          <w:p w14:paraId="007EA904" w14:textId="77777777" w:rsidR="00CF04BC" w:rsidRPr="00B93493" w:rsidRDefault="00CF04BC" w:rsidP="002E7F54">
            <w:pPr>
              <w:pStyle w:val="Tabletext"/>
            </w:pPr>
            <w:r w:rsidRPr="00B93493">
              <w:t>9</w:t>
            </w:r>
          </w:p>
        </w:tc>
        <w:tc>
          <w:tcPr>
            <w:tcW w:w="3902" w:type="dxa"/>
          </w:tcPr>
          <w:p w14:paraId="1626ABA3" w14:textId="77777777" w:rsidR="00CF04BC" w:rsidRPr="00B93493" w:rsidRDefault="00CF04BC" w:rsidP="002E7F54">
            <w:pPr>
              <w:pStyle w:val="Tabletext"/>
              <w:jc w:val="center"/>
            </w:pPr>
            <w:r w:rsidRPr="00B93493">
              <w:t>11</w:t>
            </w:r>
          </w:p>
        </w:tc>
        <w:tc>
          <w:tcPr>
            <w:tcW w:w="1262" w:type="dxa"/>
          </w:tcPr>
          <w:p w14:paraId="649353FF" w14:textId="77777777" w:rsidR="00CF04BC" w:rsidRPr="00B93493" w:rsidRDefault="00CF04BC" w:rsidP="002E7F54">
            <w:pPr>
              <w:pStyle w:val="Tabletext"/>
              <w:jc w:val="center"/>
            </w:pPr>
            <w:r w:rsidRPr="00B93493">
              <w:t>280</w:t>
            </w:r>
          </w:p>
        </w:tc>
        <w:tc>
          <w:tcPr>
            <w:tcW w:w="1262" w:type="dxa"/>
          </w:tcPr>
          <w:p w14:paraId="030A436E" w14:textId="77777777" w:rsidR="00CF04BC" w:rsidRPr="00B93493" w:rsidRDefault="00CF04BC" w:rsidP="002E7F54">
            <w:pPr>
              <w:pStyle w:val="Tabletext"/>
              <w:jc w:val="center"/>
            </w:pPr>
            <w:r w:rsidRPr="00B93493">
              <w:t>110</w:t>
            </w:r>
          </w:p>
        </w:tc>
        <w:tc>
          <w:tcPr>
            <w:tcW w:w="1262" w:type="dxa"/>
          </w:tcPr>
          <w:p w14:paraId="3BC99067" w14:textId="77777777" w:rsidR="00CF04BC" w:rsidRPr="00B93493" w:rsidRDefault="00CF04BC" w:rsidP="002E7F54">
            <w:pPr>
              <w:pStyle w:val="Tabletext"/>
              <w:jc w:val="center"/>
            </w:pPr>
            <w:r w:rsidRPr="00B93493">
              <w:t>220</w:t>
            </w:r>
          </w:p>
        </w:tc>
        <w:tc>
          <w:tcPr>
            <w:tcW w:w="1264" w:type="dxa"/>
          </w:tcPr>
          <w:p w14:paraId="3EB59729" w14:textId="77777777" w:rsidR="00CF04BC" w:rsidRPr="00B93493" w:rsidRDefault="00CF04BC" w:rsidP="002E7F54">
            <w:pPr>
              <w:pStyle w:val="Tabletext"/>
              <w:jc w:val="center"/>
            </w:pPr>
            <w:r w:rsidRPr="00B93493">
              <w:t>250</w:t>
            </w:r>
          </w:p>
        </w:tc>
      </w:tr>
      <w:tr w:rsidR="00CF04BC" w:rsidRPr="00B93493" w14:paraId="37251410" w14:textId="77777777" w:rsidTr="002E7F54">
        <w:trPr>
          <w:jc w:val="center"/>
        </w:trPr>
        <w:tc>
          <w:tcPr>
            <w:tcW w:w="687" w:type="dxa"/>
          </w:tcPr>
          <w:p w14:paraId="3A8C7F0E" w14:textId="77777777" w:rsidR="00CF04BC" w:rsidRPr="00B93493" w:rsidRDefault="00CF04BC" w:rsidP="002E7F54">
            <w:pPr>
              <w:pStyle w:val="Tabletext"/>
            </w:pPr>
            <w:r w:rsidRPr="00B93493">
              <w:t>10</w:t>
            </w:r>
          </w:p>
        </w:tc>
        <w:tc>
          <w:tcPr>
            <w:tcW w:w="3902" w:type="dxa"/>
          </w:tcPr>
          <w:p w14:paraId="3AF300A5" w14:textId="77777777" w:rsidR="00CF04BC" w:rsidRPr="00B93493" w:rsidRDefault="00CF04BC" w:rsidP="002E7F54">
            <w:pPr>
              <w:pStyle w:val="Tabletext"/>
              <w:jc w:val="center"/>
            </w:pPr>
            <w:r w:rsidRPr="00B93493">
              <w:t>12</w:t>
            </w:r>
          </w:p>
        </w:tc>
        <w:tc>
          <w:tcPr>
            <w:tcW w:w="1262" w:type="dxa"/>
          </w:tcPr>
          <w:p w14:paraId="176C9B80" w14:textId="77777777" w:rsidR="00CF04BC" w:rsidRPr="00B93493" w:rsidRDefault="00CF04BC" w:rsidP="002E7F54">
            <w:pPr>
              <w:pStyle w:val="Tabletext"/>
              <w:jc w:val="center"/>
            </w:pPr>
            <w:r w:rsidRPr="00B93493">
              <w:t>280</w:t>
            </w:r>
          </w:p>
        </w:tc>
        <w:tc>
          <w:tcPr>
            <w:tcW w:w="1262" w:type="dxa"/>
          </w:tcPr>
          <w:p w14:paraId="3C964402" w14:textId="77777777" w:rsidR="00CF04BC" w:rsidRPr="00B93493" w:rsidRDefault="00CF04BC" w:rsidP="002E7F54">
            <w:pPr>
              <w:pStyle w:val="Tabletext"/>
              <w:jc w:val="center"/>
            </w:pPr>
            <w:r w:rsidRPr="00B93493">
              <w:t>100</w:t>
            </w:r>
          </w:p>
        </w:tc>
        <w:tc>
          <w:tcPr>
            <w:tcW w:w="1262" w:type="dxa"/>
          </w:tcPr>
          <w:p w14:paraId="6BBBD7A4" w14:textId="77777777" w:rsidR="00CF04BC" w:rsidRPr="00B93493" w:rsidRDefault="00CF04BC" w:rsidP="002E7F54">
            <w:pPr>
              <w:pStyle w:val="Tabletext"/>
              <w:jc w:val="center"/>
            </w:pPr>
            <w:r w:rsidRPr="00B93493">
              <w:t>210</w:t>
            </w:r>
          </w:p>
        </w:tc>
        <w:tc>
          <w:tcPr>
            <w:tcW w:w="1264" w:type="dxa"/>
          </w:tcPr>
          <w:p w14:paraId="204CA365" w14:textId="77777777" w:rsidR="00CF04BC" w:rsidRPr="00B93493" w:rsidRDefault="00CF04BC" w:rsidP="002E7F54">
            <w:pPr>
              <w:pStyle w:val="Tabletext"/>
              <w:jc w:val="center"/>
            </w:pPr>
            <w:r w:rsidRPr="00B93493">
              <w:t>240</w:t>
            </w:r>
          </w:p>
        </w:tc>
      </w:tr>
      <w:tr w:rsidR="00CF04BC" w:rsidRPr="00B93493" w14:paraId="412CABDC" w14:textId="77777777" w:rsidTr="002E7F54">
        <w:trPr>
          <w:jc w:val="center"/>
        </w:trPr>
        <w:tc>
          <w:tcPr>
            <w:tcW w:w="687" w:type="dxa"/>
          </w:tcPr>
          <w:p w14:paraId="247F7066" w14:textId="77777777" w:rsidR="00CF04BC" w:rsidRPr="00B93493" w:rsidRDefault="00CF04BC" w:rsidP="002E7F54">
            <w:pPr>
              <w:pStyle w:val="Tabletext"/>
            </w:pPr>
            <w:r w:rsidRPr="00B93493">
              <w:t>11</w:t>
            </w:r>
          </w:p>
        </w:tc>
        <w:tc>
          <w:tcPr>
            <w:tcW w:w="3902" w:type="dxa"/>
          </w:tcPr>
          <w:p w14:paraId="4807B094" w14:textId="77777777" w:rsidR="00CF04BC" w:rsidRPr="00B93493" w:rsidRDefault="00CF04BC" w:rsidP="002E7F54">
            <w:pPr>
              <w:pStyle w:val="Tabletext"/>
              <w:jc w:val="center"/>
            </w:pPr>
            <w:r w:rsidRPr="00B93493">
              <w:t>13</w:t>
            </w:r>
          </w:p>
        </w:tc>
        <w:tc>
          <w:tcPr>
            <w:tcW w:w="1262" w:type="dxa"/>
          </w:tcPr>
          <w:p w14:paraId="6A0DE818" w14:textId="77777777" w:rsidR="00CF04BC" w:rsidRPr="00B93493" w:rsidRDefault="00CF04BC" w:rsidP="002E7F54">
            <w:pPr>
              <w:pStyle w:val="Tabletext"/>
              <w:jc w:val="center"/>
            </w:pPr>
            <w:r w:rsidRPr="00B93493">
              <w:t>290</w:t>
            </w:r>
          </w:p>
        </w:tc>
        <w:tc>
          <w:tcPr>
            <w:tcW w:w="1262" w:type="dxa"/>
          </w:tcPr>
          <w:p w14:paraId="328DC1C1" w14:textId="77777777" w:rsidR="00CF04BC" w:rsidRPr="00B93493" w:rsidRDefault="00CF04BC" w:rsidP="002E7F54">
            <w:pPr>
              <w:pStyle w:val="Tabletext"/>
              <w:jc w:val="center"/>
            </w:pPr>
            <w:r w:rsidRPr="00B93493">
              <w:t>100</w:t>
            </w:r>
          </w:p>
        </w:tc>
        <w:tc>
          <w:tcPr>
            <w:tcW w:w="1262" w:type="dxa"/>
          </w:tcPr>
          <w:p w14:paraId="034EC536" w14:textId="77777777" w:rsidR="00CF04BC" w:rsidRPr="00B93493" w:rsidRDefault="00CF04BC" w:rsidP="002E7F54">
            <w:pPr>
              <w:pStyle w:val="Tabletext"/>
              <w:jc w:val="center"/>
            </w:pPr>
            <w:r w:rsidRPr="00B93493">
              <w:t>200</w:t>
            </w:r>
          </w:p>
        </w:tc>
        <w:tc>
          <w:tcPr>
            <w:tcW w:w="1264" w:type="dxa"/>
          </w:tcPr>
          <w:p w14:paraId="7FF04FA7" w14:textId="77777777" w:rsidR="00CF04BC" w:rsidRPr="00B93493" w:rsidRDefault="00CF04BC" w:rsidP="002E7F54">
            <w:pPr>
              <w:pStyle w:val="Tabletext"/>
              <w:jc w:val="center"/>
            </w:pPr>
            <w:r w:rsidRPr="00B93493">
              <w:t>200</w:t>
            </w:r>
          </w:p>
        </w:tc>
      </w:tr>
      <w:tr w:rsidR="00CF04BC" w:rsidRPr="00B93493" w14:paraId="66FB1CA6" w14:textId="77777777" w:rsidTr="002E7F54">
        <w:trPr>
          <w:jc w:val="center"/>
        </w:trPr>
        <w:tc>
          <w:tcPr>
            <w:tcW w:w="687" w:type="dxa"/>
          </w:tcPr>
          <w:p w14:paraId="69CA00F1" w14:textId="77777777" w:rsidR="00CF04BC" w:rsidRPr="00B93493" w:rsidRDefault="00CF04BC" w:rsidP="002E7F54">
            <w:pPr>
              <w:pStyle w:val="Tabletext"/>
            </w:pPr>
            <w:r w:rsidRPr="00B93493">
              <w:t>12</w:t>
            </w:r>
          </w:p>
        </w:tc>
        <w:tc>
          <w:tcPr>
            <w:tcW w:w="3902" w:type="dxa"/>
          </w:tcPr>
          <w:p w14:paraId="05931E95" w14:textId="77777777" w:rsidR="00CF04BC" w:rsidRPr="00B93493" w:rsidRDefault="00CF04BC" w:rsidP="002E7F54">
            <w:pPr>
              <w:pStyle w:val="Tabletext"/>
              <w:jc w:val="center"/>
            </w:pPr>
            <w:r w:rsidRPr="00B93493">
              <w:t>14</w:t>
            </w:r>
          </w:p>
        </w:tc>
        <w:tc>
          <w:tcPr>
            <w:tcW w:w="1262" w:type="dxa"/>
          </w:tcPr>
          <w:p w14:paraId="7808E55C" w14:textId="77777777" w:rsidR="00CF04BC" w:rsidRPr="00B93493" w:rsidRDefault="00CF04BC" w:rsidP="002E7F54">
            <w:pPr>
              <w:pStyle w:val="Tabletext"/>
              <w:jc w:val="center"/>
            </w:pPr>
            <w:r w:rsidRPr="00B93493">
              <w:t>300</w:t>
            </w:r>
          </w:p>
        </w:tc>
        <w:tc>
          <w:tcPr>
            <w:tcW w:w="1262" w:type="dxa"/>
          </w:tcPr>
          <w:p w14:paraId="0853F336" w14:textId="77777777" w:rsidR="00CF04BC" w:rsidRPr="00B93493" w:rsidRDefault="00CF04BC" w:rsidP="002E7F54">
            <w:pPr>
              <w:pStyle w:val="Tabletext"/>
              <w:jc w:val="center"/>
            </w:pPr>
            <w:r w:rsidRPr="00B93493">
              <w:t>80</w:t>
            </w:r>
          </w:p>
        </w:tc>
        <w:tc>
          <w:tcPr>
            <w:tcW w:w="1262" w:type="dxa"/>
          </w:tcPr>
          <w:p w14:paraId="17A60A9A" w14:textId="77777777" w:rsidR="00CF04BC" w:rsidRPr="00B93493" w:rsidRDefault="00CF04BC" w:rsidP="002E7F54">
            <w:pPr>
              <w:pStyle w:val="Tabletext"/>
              <w:jc w:val="center"/>
            </w:pPr>
            <w:r w:rsidRPr="00B93493">
              <w:t>200</w:t>
            </w:r>
          </w:p>
        </w:tc>
        <w:tc>
          <w:tcPr>
            <w:tcW w:w="1264" w:type="dxa"/>
          </w:tcPr>
          <w:p w14:paraId="57F18152" w14:textId="77777777" w:rsidR="00CF04BC" w:rsidRPr="00B93493" w:rsidRDefault="00CF04BC" w:rsidP="002E7F54">
            <w:pPr>
              <w:pStyle w:val="Tabletext"/>
              <w:jc w:val="center"/>
            </w:pPr>
            <w:r w:rsidRPr="00B93493">
              <w:t>180</w:t>
            </w:r>
          </w:p>
        </w:tc>
      </w:tr>
      <w:tr w:rsidR="00CF04BC" w:rsidRPr="00B93493" w14:paraId="041F8ADC" w14:textId="77777777" w:rsidTr="002E7F54">
        <w:trPr>
          <w:jc w:val="center"/>
        </w:trPr>
        <w:tc>
          <w:tcPr>
            <w:tcW w:w="687" w:type="dxa"/>
          </w:tcPr>
          <w:p w14:paraId="4A8701CB" w14:textId="77777777" w:rsidR="00CF04BC" w:rsidRPr="00B93493" w:rsidRDefault="00CF04BC" w:rsidP="002E7F54">
            <w:pPr>
              <w:pStyle w:val="Tabletext"/>
            </w:pPr>
            <w:r w:rsidRPr="00B93493">
              <w:t>13</w:t>
            </w:r>
          </w:p>
        </w:tc>
        <w:tc>
          <w:tcPr>
            <w:tcW w:w="3902" w:type="dxa"/>
          </w:tcPr>
          <w:p w14:paraId="385C9B65" w14:textId="77777777" w:rsidR="00CF04BC" w:rsidRPr="00B93493" w:rsidRDefault="00CF04BC" w:rsidP="002E7F54">
            <w:pPr>
              <w:pStyle w:val="Tabletext"/>
              <w:jc w:val="center"/>
            </w:pPr>
            <w:r w:rsidRPr="00B93493">
              <w:t>15</w:t>
            </w:r>
          </w:p>
        </w:tc>
        <w:tc>
          <w:tcPr>
            <w:tcW w:w="1262" w:type="dxa"/>
          </w:tcPr>
          <w:p w14:paraId="53C23294" w14:textId="77777777" w:rsidR="00CF04BC" w:rsidRPr="00B93493" w:rsidRDefault="00CF04BC" w:rsidP="002E7F54">
            <w:pPr>
              <w:pStyle w:val="Tabletext"/>
              <w:jc w:val="center"/>
            </w:pPr>
            <w:r w:rsidRPr="00B93493">
              <w:t>320</w:t>
            </w:r>
          </w:p>
        </w:tc>
        <w:tc>
          <w:tcPr>
            <w:tcW w:w="1262" w:type="dxa"/>
          </w:tcPr>
          <w:p w14:paraId="5C1B3D24" w14:textId="77777777" w:rsidR="00CF04BC" w:rsidRPr="00B93493" w:rsidRDefault="00CF04BC" w:rsidP="002E7F54">
            <w:pPr>
              <w:pStyle w:val="Tabletext"/>
              <w:jc w:val="center"/>
            </w:pPr>
            <w:r w:rsidRPr="00B93493">
              <w:t>60</w:t>
            </w:r>
          </w:p>
        </w:tc>
        <w:tc>
          <w:tcPr>
            <w:tcW w:w="1262" w:type="dxa"/>
          </w:tcPr>
          <w:p w14:paraId="1C058511" w14:textId="77777777" w:rsidR="00CF04BC" w:rsidRPr="00B93493" w:rsidRDefault="00CF04BC" w:rsidP="002E7F54">
            <w:pPr>
              <w:pStyle w:val="Tabletext"/>
              <w:jc w:val="center"/>
            </w:pPr>
            <w:r w:rsidRPr="00B93493">
              <w:t>200</w:t>
            </w:r>
          </w:p>
        </w:tc>
        <w:tc>
          <w:tcPr>
            <w:tcW w:w="1264" w:type="dxa"/>
          </w:tcPr>
          <w:p w14:paraId="1ACEA1BD" w14:textId="77777777" w:rsidR="00CF04BC" w:rsidRPr="00B93493" w:rsidRDefault="00CF04BC" w:rsidP="002E7F54">
            <w:pPr>
              <w:pStyle w:val="Tabletext"/>
              <w:jc w:val="center"/>
            </w:pPr>
            <w:r w:rsidRPr="00B93493">
              <w:t>140</w:t>
            </w:r>
          </w:p>
        </w:tc>
      </w:tr>
      <w:tr w:rsidR="00CF04BC" w:rsidRPr="00B93493" w14:paraId="49CC4F5B" w14:textId="77777777" w:rsidTr="002E7F54">
        <w:trPr>
          <w:jc w:val="center"/>
        </w:trPr>
        <w:tc>
          <w:tcPr>
            <w:tcW w:w="687" w:type="dxa"/>
          </w:tcPr>
          <w:p w14:paraId="491EBA11" w14:textId="77777777" w:rsidR="00CF04BC" w:rsidRPr="00B93493" w:rsidRDefault="00CF04BC" w:rsidP="002E7F54">
            <w:pPr>
              <w:pStyle w:val="Tabletext"/>
            </w:pPr>
          </w:p>
        </w:tc>
        <w:tc>
          <w:tcPr>
            <w:tcW w:w="3902" w:type="dxa"/>
          </w:tcPr>
          <w:p w14:paraId="3AD4F518" w14:textId="77777777" w:rsidR="00CF04BC" w:rsidRPr="00B93493" w:rsidRDefault="00CF04BC" w:rsidP="002E7F54">
            <w:pPr>
              <w:pStyle w:val="Tabletext"/>
            </w:pPr>
            <w:r w:rsidRPr="00B93493">
              <w:t>Readout sums, Sd (m)</w:t>
            </w:r>
          </w:p>
        </w:tc>
        <w:tc>
          <w:tcPr>
            <w:tcW w:w="1262" w:type="dxa"/>
          </w:tcPr>
          <w:p w14:paraId="16CB682C" w14:textId="77777777" w:rsidR="00CF04BC" w:rsidRPr="00B93493" w:rsidRDefault="00CF04BC" w:rsidP="002E7F54">
            <w:pPr>
              <w:pStyle w:val="Tabletext"/>
              <w:jc w:val="center"/>
            </w:pPr>
            <w:r w:rsidRPr="00B93493">
              <w:t>3 450</w:t>
            </w:r>
          </w:p>
        </w:tc>
        <w:tc>
          <w:tcPr>
            <w:tcW w:w="1262" w:type="dxa"/>
          </w:tcPr>
          <w:p w14:paraId="14681A48" w14:textId="77777777" w:rsidR="00CF04BC" w:rsidRPr="00B93493" w:rsidRDefault="00CF04BC" w:rsidP="002E7F54">
            <w:pPr>
              <w:pStyle w:val="Tabletext"/>
              <w:jc w:val="center"/>
            </w:pPr>
            <w:r w:rsidRPr="00B93493">
              <w:t>1 810</w:t>
            </w:r>
          </w:p>
        </w:tc>
        <w:tc>
          <w:tcPr>
            <w:tcW w:w="1262" w:type="dxa"/>
          </w:tcPr>
          <w:p w14:paraId="78C4FBC4" w14:textId="77777777" w:rsidR="00CF04BC" w:rsidRPr="00B93493" w:rsidRDefault="00CF04BC" w:rsidP="002E7F54">
            <w:pPr>
              <w:pStyle w:val="Tabletext"/>
              <w:jc w:val="center"/>
            </w:pPr>
            <w:r w:rsidRPr="00B93493">
              <w:t>3 210</w:t>
            </w:r>
          </w:p>
        </w:tc>
        <w:tc>
          <w:tcPr>
            <w:tcW w:w="1264" w:type="dxa"/>
          </w:tcPr>
          <w:p w14:paraId="37FB9693" w14:textId="77777777" w:rsidR="00CF04BC" w:rsidRPr="00B93493" w:rsidRDefault="00CF04BC" w:rsidP="002E7F54">
            <w:pPr>
              <w:pStyle w:val="Tabletext"/>
              <w:jc w:val="center"/>
            </w:pPr>
            <w:r w:rsidRPr="00B93493">
              <w:t>2 630</w:t>
            </w:r>
          </w:p>
        </w:tc>
      </w:tr>
      <w:tr w:rsidR="00CF04BC" w:rsidRPr="00B93493" w14:paraId="5D22AB89" w14:textId="77777777" w:rsidTr="002E7F54">
        <w:trPr>
          <w:jc w:val="center"/>
        </w:trPr>
        <w:tc>
          <w:tcPr>
            <w:tcW w:w="687" w:type="dxa"/>
          </w:tcPr>
          <w:p w14:paraId="3E0D3A9D" w14:textId="77777777" w:rsidR="00CF04BC" w:rsidRPr="00B93493" w:rsidRDefault="00CF04BC" w:rsidP="002E7F54">
            <w:pPr>
              <w:pStyle w:val="Tabletext"/>
            </w:pPr>
          </w:p>
        </w:tc>
        <w:tc>
          <w:tcPr>
            <w:tcW w:w="3902" w:type="dxa"/>
          </w:tcPr>
          <w:p w14:paraId="1C8E69BC" w14:textId="77777777" w:rsidR="00CF04BC" w:rsidRPr="00B93493" w:rsidRDefault="00CF04BC" w:rsidP="002E7F54">
            <w:pPr>
              <w:pStyle w:val="Tabletext"/>
            </w:pPr>
            <w:r w:rsidRPr="00B93493">
              <w:t>Effective heights, Sd /13 (m)</w:t>
            </w:r>
          </w:p>
        </w:tc>
        <w:tc>
          <w:tcPr>
            <w:tcW w:w="1262" w:type="dxa"/>
          </w:tcPr>
          <w:p w14:paraId="1E7B1CD4" w14:textId="77777777" w:rsidR="00CF04BC" w:rsidRPr="00B93493" w:rsidRDefault="00CF04BC" w:rsidP="002E7F54">
            <w:pPr>
              <w:pStyle w:val="Tabletext"/>
              <w:jc w:val="center"/>
            </w:pPr>
            <w:r w:rsidRPr="00B93493">
              <w:t>265</w:t>
            </w:r>
          </w:p>
        </w:tc>
        <w:tc>
          <w:tcPr>
            <w:tcW w:w="1262" w:type="dxa"/>
          </w:tcPr>
          <w:p w14:paraId="740DA816" w14:textId="77777777" w:rsidR="00CF04BC" w:rsidRPr="00B93493" w:rsidRDefault="00CF04BC" w:rsidP="002E7F54">
            <w:pPr>
              <w:pStyle w:val="Tabletext"/>
              <w:jc w:val="center"/>
            </w:pPr>
            <w:r w:rsidRPr="00B93493">
              <w:t>139</w:t>
            </w:r>
          </w:p>
        </w:tc>
        <w:tc>
          <w:tcPr>
            <w:tcW w:w="1262" w:type="dxa"/>
          </w:tcPr>
          <w:p w14:paraId="4AF6413D" w14:textId="77777777" w:rsidR="00CF04BC" w:rsidRPr="00B93493" w:rsidRDefault="00CF04BC" w:rsidP="002E7F54">
            <w:pPr>
              <w:pStyle w:val="Tabletext"/>
              <w:jc w:val="center"/>
            </w:pPr>
            <w:r w:rsidRPr="00B93493">
              <w:t>245</w:t>
            </w:r>
          </w:p>
        </w:tc>
        <w:tc>
          <w:tcPr>
            <w:tcW w:w="1264" w:type="dxa"/>
          </w:tcPr>
          <w:p w14:paraId="643194B4" w14:textId="77777777" w:rsidR="00CF04BC" w:rsidRPr="00B93493" w:rsidRDefault="00CF04BC" w:rsidP="002E7F54">
            <w:pPr>
              <w:pStyle w:val="Tabletext"/>
              <w:jc w:val="center"/>
            </w:pPr>
            <w:r w:rsidRPr="00B93493">
              <w:t>202</w:t>
            </w:r>
          </w:p>
        </w:tc>
      </w:tr>
      <w:tr w:rsidR="00CF04BC" w:rsidRPr="00B93493" w14:paraId="258E7FDE" w14:textId="77777777" w:rsidTr="002E7F54">
        <w:trPr>
          <w:jc w:val="center"/>
        </w:trPr>
        <w:tc>
          <w:tcPr>
            <w:tcW w:w="687" w:type="dxa"/>
          </w:tcPr>
          <w:p w14:paraId="161B8110" w14:textId="77777777" w:rsidR="00CF04BC" w:rsidRPr="00B93493" w:rsidRDefault="00CF04BC" w:rsidP="002E7F54">
            <w:pPr>
              <w:pStyle w:val="Tabletext"/>
            </w:pPr>
          </w:p>
        </w:tc>
        <w:tc>
          <w:tcPr>
            <w:tcW w:w="3902" w:type="dxa"/>
          </w:tcPr>
          <w:p w14:paraId="3832F192" w14:textId="77777777" w:rsidR="00CF04BC" w:rsidRPr="00B93493" w:rsidRDefault="00CF04BC" w:rsidP="002E7F54">
            <w:pPr>
              <w:pStyle w:val="Tabletext"/>
            </w:pPr>
            <w:r w:rsidRPr="00B93493">
              <w:t xml:space="preserve">Averaged effective height, </w:t>
            </w:r>
            <w:r w:rsidRPr="00B93493">
              <w:rPr>
                <w:i/>
                <w:iCs/>
              </w:rPr>
              <w:t>h</w:t>
            </w:r>
            <w:r w:rsidRPr="00B93493">
              <w:rPr>
                <w:i/>
                <w:iCs/>
                <w:vertAlign w:val="subscript"/>
              </w:rPr>
              <w:t>ef</w:t>
            </w:r>
            <w:r w:rsidRPr="00B93493">
              <w:rPr>
                <w:i/>
                <w:iCs/>
              </w:rPr>
              <w:t xml:space="preserve"> </w:t>
            </w:r>
            <w:r w:rsidRPr="00B93493">
              <w:t>(m)</w:t>
            </w:r>
          </w:p>
        </w:tc>
        <w:tc>
          <w:tcPr>
            <w:tcW w:w="5050" w:type="dxa"/>
            <w:gridSpan w:val="4"/>
          </w:tcPr>
          <w:p w14:paraId="156A2EB5" w14:textId="77777777" w:rsidR="00CF04BC" w:rsidRPr="00B93493" w:rsidRDefault="00CF04BC" w:rsidP="002E7F54">
            <w:pPr>
              <w:pStyle w:val="Tabletext"/>
              <w:jc w:val="center"/>
            </w:pPr>
            <w:r w:rsidRPr="00B93493">
              <w:t>213</w:t>
            </w:r>
          </w:p>
        </w:tc>
      </w:tr>
    </w:tbl>
    <w:p w14:paraId="66CC1E45" w14:textId="77777777" w:rsidR="00CF04BC" w:rsidRPr="00B93493" w:rsidRDefault="00CF04BC" w:rsidP="00CF04BC">
      <w:pPr>
        <w:pStyle w:val="Tablefin"/>
      </w:pPr>
    </w:p>
    <w:p w14:paraId="3FB226DE" w14:textId="77777777" w:rsidR="00CF04BC" w:rsidRPr="00B93493" w:rsidRDefault="00CF04BC" w:rsidP="00CF04BC">
      <w:pPr>
        <w:pStyle w:val="Headingb"/>
      </w:pPr>
      <w:bookmarkStart w:id="1837" w:name="_Toc454284907"/>
      <w:bookmarkStart w:id="1838" w:name="_Toc462234076"/>
      <w:r w:rsidRPr="00B93493">
        <w:t>c)</w:t>
      </w:r>
      <w:r w:rsidRPr="00B93493">
        <w:tab/>
        <w:t>Service area calculation</w:t>
      </w:r>
      <w:bookmarkEnd w:id="1837"/>
      <w:bookmarkEnd w:id="1838"/>
    </w:p>
    <w:p w14:paraId="3089D868" w14:textId="77777777" w:rsidR="00CF04BC" w:rsidRPr="00B93493" w:rsidRDefault="00CF04BC" w:rsidP="00CF04BC">
      <w:r w:rsidRPr="00B93493">
        <w:t xml:space="preserve">Having calculated service area radius, </w:t>
      </w:r>
      <w:r w:rsidRPr="00B93493">
        <w:rPr>
          <w:i/>
        </w:rPr>
        <w:t>R</w:t>
      </w:r>
      <w:r w:rsidRPr="00B93493">
        <w:t>,</w:t>
      </w:r>
      <w:r w:rsidRPr="00B93493">
        <w:rPr>
          <w:iCs/>
        </w:rPr>
        <w:t xml:space="preserve"> (km)</w:t>
      </w:r>
      <w:r w:rsidRPr="00B93493">
        <w:t xml:space="preserve"> in accordance with procedures presented in a) and b), a service area, </w:t>
      </w:r>
      <w:r w:rsidRPr="00B93493">
        <w:rPr>
          <w:i/>
          <w:iCs/>
        </w:rPr>
        <w:t>s</w:t>
      </w:r>
      <w:r w:rsidRPr="00B93493">
        <w:t>, is obviously calculated as:</w:t>
      </w:r>
    </w:p>
    <w:p w14:paraId="333FEBBE" w14:textId="77777777" w:rsidR="00CF04BC" w:rsidRPr="00B93493" w:rsidRDefault="00CF04BC" w:rsidP="00CF04BC">
      <w:pPr>
        <w:pStyle w:val="Blanc"/>
      </w:pPr>
    </w:p>
    <w:p w14:paraId="3643A952" w14:textId="77777777" w:rsidR="00CF04BC" w:rsidRPr="00B93493" w:rsidRDefault="00CF04BC" w:rsidP="00CF04BC">
      <w:pPr>
        <w:pStyle w:val="Equation"/>
      </w:pPr>
      <w:r w:rsidRPr="00B93493">
        <w:tab/>
      </w:r>
      <w:r w:rsidRPr="00B93493">
        <w:tab/>
      </w:r>
      <w:r w:rsidRPr="00B93493">
        <w:rPr>
          <w:i/>
          <w:iCs/>
        </w:rPr>
        <w:t>s</w:t>
      </w:r>
      <w:r w:rsidRPr="00B93493">
        <w:t xml:space="preserve"> </w:t>
      </w:r>
      <w:r w:rsidRPr="00B93493">
        <w:rPr>
          <w:rFonts w:ascii="Symbol" w:hAnsi="Symbol"/>
        </w:rPr>
        <w:t></w:t>
      </w:r>
      <w:r w:rsidRPr="00B93493">
        <w:t xml:space="preserve"> </w:t>
      </w:r>
      <w:r w:rsidRPr="00B93493">
        <w:rPr>
          <w:rFonts w:ascii="Symbol" w:hAnsi="Symbol"/>
        </w:rPr>
        <w:t></w:t>
      </w:r>
      <w:r w:rsidRPr="00B93493">
        <w:rPr>
          <w:rFonts w:ascii="Symbol" w:hAnsi="Symbol"/>
          <w:i/>
        </w:rPr>
        <w:t></w:t>
      </w:r>
      <w:r w:rsidRPr="00B93493">
        <w:rPr>
          <w:i/>
        </w:rPr>
        <w:t>R</w:t>
      </w:r>
      <w:r w:rsidRPr="00B93493">
        <w:rPr>
          <w:iCs/>
          <w:vertAlign w:val="superscript"/>
        </w:rPr>
        <w:t>2</w:t>
      </w:r>
      <w:r w:rsidRPr="00B93493">
        <w:t>                km</w:t>
      </w:r>
      <w:r w:rsidRPr="00B93493">
        <w:rPr>
          <w:vertAlign w:val="superscript"/>
        </w:rPr>
        <w:t>2</w:t>
      </w:r>
      <w:r w:rsidRPr="00B93493">
        <w:tab/>
        <w:t>(31)</w:t>
      </w:r>
    </w:p>
    <w:p w14:paraId="5CC38BB3" w14:textId="77777777" w:rsidR="00CF04BC" w:rsidRPr="00B93493" w:rsidRDefault="00CF04BC" w:rsidP="00CF04BC">
      <w:pPr>
        <w:pStyle w:val="Blanc"/>
      </w:pPr>
    </w:p>
    <w:p w14:paraId="54D334DB" w14:textId="77777777" w:rsidR="00CF04BC" w:rsidRPr="00B93493" w:rsidRDefault="00CF04BC" w:rsidP="00CF04BC">
      <w:r w:rsidRPr="00B93493">
        <w:t>It can happen that a service area contains two (see example at Fig. 5) or even three (see example at Fig. 6) zones belonging to different license fees categories, as it was mentioned in § 5.2 of the model. It can also happen at the border of a country with other ones. In these cases, and when an administration has not got a digital administrative terrain data base interrelated with relevant frequency assignment software, the following simplified procedures are applicable for calculation of parts of the service area belonging to different zones.</w:t>
      </w:r>
    </w:p>
    <w:p w14:paraId="459FA5CD" w14:textId="77777777" w:rsidR="00CF04BC" w:rsidRPr="00B93493" w:rsidRDefault="00CF04BC" w:rsidP="00CF04BC">
      <w:pPr>
        <w:rPr>
          <w:bCs/>
        </w:rPr>
      </w:pPr>
      <w:r w:rsidRPr="00B93493">
        <w:rPr>
          <w:bCs/>
        </w:rPr>
        <w:t xml:space="preserve">The actual border curves are approximated by straight lines situated in such ways that areas between actual border curves and relevant approximating lines, at each sides of these lines, would be approximately equal (see Figs 5 and 6). Approximating line between zones </w:t>
      </w:r>
      <w:r w:rsidRPr="00B93493">
        <w:rPr>
          <w:position w:val="-10"/>
        </w:rPr>
        <w:object w:dxaOrig="266" w:dyaOrig="341" w14:anchorId="09398C88">
          <v:shape id="_x0000_i1031" type="#_x0000_t75" style="width:12.1pt;height:20.15pt" o:ole="">
            <v:imagedata r:id="rId39" o:title=""/>
          </v:shape>
          <o:OLEObject Type="Embed" ProgID="Equation.3" ShapeID="_x0000_i1031" DrawAspect="Content" ObjectID="_1812968313" r:id="rId40"/>
        </w:object>
      </w:r>
      <w:r w:rsidRPr="00B93493">
        <w:rPr>
          <w:bCs/>
        </w:rPr>
        <w:t xml:space="preserve"> and </w:t>
      </w:r>
      <w:r w:rsidRPr="00B93493">
        <w:rPr>
          <w:i/>
          <w:iCs/>
        </w:rPr>
        <w:t>S</w:t>
      </w:r>
      <w:r w:rsidRPr="00B93493">
        <w:rPr>
          <w:vertAlign w:val="subscript"/>
        </w:rPr>
        <w:t xml:space="preserve">3 </w:t>
      </w:r>
      <w:r w:rsidRPr="00B93493">
        <w:rPr>
          <w:bCs/>
        </w:rPr>
        <w:t>at Fig. 6 should also go along a radius of a service area, as it is presented at that figure.</w:t>
      </w:r>
    </w:p>
    <w:p w14:paraId="18A88710" w14:textId="77777777" w:rsidR="00CF04BC" w:rsidRPr="00B93493" w:rsidRDefault="00CF04BC" w:rsidP="00CF04BC">
      <w:pPr>
        <w:pStyle w:val="FigureNo"/>
      </w:pPr>
      <w:r w:rsidRPr="00B93493">
        <w:t>FIGURE 5</w:t>
      </w:r>
    </w:p>
    <w:p w14:paraId="14521F45" w14:textId="77777777" w:rsidR="00CF04BC" w:rsidRPr="00B93493" w:rsidRDefault="00CF04BC" w:rsidP="00CF04BC">
      <w:pPr>
        <w:pStyle w:val="Figuretitle"/>
      </w:pPr>
      <w:r w:rsidRPr="00B93493">
        <w:t>Example with covering two different zones</w:t>
      </w:r>
    </w:p>
    <w:p w14:paraId="2D866539" w14:textId="53720C0B" w:rsidR="00CF04BC" w:rsidRPr="00B93493" w:rsidRDefault="005B1526" w:rsidP="00CF04BC">
      <w:pPr>
        <w:pStyle w:val="Figure"/>
      </w:pPr>
      <w:r>
        <w:rPr>
          <w:noProof/>
        </w:rPr>
        <w:drawing>
          <wp:inline distT="0" distB="0" distL="0" distR="0" wp14:anchorId="3B17D93F" wp14:editId="30B8E749">
            <wp:extent cx="4396960" cy="3911489"/>
            <wp:effectExtent l="0" t="0" r="3810" b="0"/>
            <wp:docPr id="1560883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01636" cy="3915649"/>
                    </a:xfrm>
                    <a:prstGeom prst="rect">
                      <a:avLst/>
                    </a:prstGeom>
                    <a:noFill/>
                    <a:ln>
                      <a:noFill/>
                    </a:ln>
                  </pic:spPr>
                </pic:pic>
              </a:graphicData>
            </a:graphic>
          </wp:inline>
        </w:drawing>
      </w:r>
    </w:p>
    <w:p w14:paraId="17E5F64E" w14:textId="77777777" w:rsidR="00CF04BC" w:rsidRPr="00B93493" w:rsidRDefault="00CF04BC" w:rsidP="00CF04BC">
      <w:pPr>
        <w:pStyle w:val="FigureNo"/>
      </w:pPr>
      <w:r w:rsidRPr="00B93493">
        <w:t>FIGURE 6</w:t>
      </w:r>
    </w:p>
    <w:p w14:paraId="6C26C375" w14:textId="77777777" w:rsidR="00CF04BC" w:rsidRPr="00B93493" w:rsidRDefault="00CF04BC" w:rsidP="00CF04BC">
      <w:pPr>
        <w:pStyle w:val="Figuretitle"/>
      </w:pPr>
      <w:r w:rsidRPr="00B93493">
        <w:t>Example with covering three different zones</w:t>
      </w:r>
    </w:p>
    <w:p w14:paraId="26255764" w14:textId="33A4EC92" w:rsidR="00CF04BC" w:rsidRPr="00B93493" w:rsidRDefault="005B1526" w:rsidP="00CF04BC">
      <w:pPr>
        <w:pStyle w:val="Figure"/>
      </w:pPr>
      <w:r>
        <w:rPr>
          <w:noProof/>
        </w:rPr>
        <w:drawing>
          <wp:inline distT="0" distB="0" distL="0" distR="0" wp14:anchorId="554B829B" wp14:editId="7D2FE032">
            <wp:extent cx="4707172" cy="4058359"/>
            <wp:effectExtent l="0" t="0" r="0" b="0"/>
            <wp:docPr id="1701109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08972" cy="4059911"/>
                    </a:xfrm>
                    <a:prstGeom prst="rect">
                      <a:avLst/>
                    </a:prstGeom>
                    <a:noFill/>
                    <a:ln>
                      <a:noFill/>
                    </a:ln>
                  </pic:spPr>
                </pic:pic>
              </a:graphicData>
            </a:graphic>
          </wp:inline>
        </w:drawing>
      </w:r>
    </w:p>
    <w:p w14:paraId="019662C9" w14:textId="77777777" w:rsidR="00CF04BC" w:rsidRPr="00B93493" w:rsidRDefault="00CF04BC" w:rsidP="005B1526">
      <w:r w:rsidRPr="00B93493">
        <w:t xml:space="preserve">Segment </w:t>
      </w:r>
      <w:r w:rsidRPr="00B93493">
        <w:rPr>
          <w:bCs/>
          <w:i/>
          <w:iCs/>
        </w:rPr>
        <w:t>S</w:t>
      </w:r>
      <w:r w:rsidRPr="00B93493">
        <w:rPr>
          <w:bCs/>
          <w:vertAlign w:val="subscript"/>
        </w:rPr>
        <w:t>2</w:t>
      </w:r>
      <w:r w:rsidRPr="00B93493">
        <w:rPr>
          <w:b/>
        </w:rPr>
        <w:t xml:space="preserve"> </w:t>
      </w:r>
      <w:r w:rsidRPr="00B93493">
        <w:t xml:space="preserve">area </w:t>
      </w:r>
      <w:r w:rsidRPr="00B93493">
        <w:rPr>
          <w:rFonts w:ascii="Symbol" w:hAnsi="Symbol"/>
        </w:rPr>
        <w:t></w:t>
      </w:r>
      <w:r w:rsidRPr="00B93493">
        <w:rPr>
          <w:i/>
          <w:iCs/>
        </w:rPr>
        <w:t>S</w:t>
      </w:r>
      <w:r w:rsidRPr="00B93493">
        <w:rPr>
          <w:vertAlign w:val="subscript"/>
        </w:rPr>
        <w:t>2</w:t>
      </w:r>
      <w:r w:rsidRPr="00B93493">
        <w:rPr>
          <w:b/>
        </w:rPr>
        <w:t xml:space="preserve"> </w:t>
      </w:r>
      <w:r w:rsidRPr="00B93493">
        <w:t>for two-zone case (Fig. 5) is calculated as:</w:t>
      </w:r>
    </w:p>
    <w:p w14:paraId="01586921" w14:textId="77777777" w:rsidR="00CF04BC" w:rsidRPr="00B93493" w:rsidRDefault="00CF04BC" w:rsidP="00CF04BC">
      <w:pPr>
        <w:pStyle w:val="Blanc"/>
      </w:pPr>
    </w:p>
    <w:p w14:paraId="37C5BBA1" w14:textId="77777777" w:rsidR="00CF04BC" w:rsidRPr="00B93493" w:rsidRDefault="00CF04BC" w:rsidP="00CF04BC">
      <w:pPr>
        <w:pStyle w:val="Equation"/>
        <w:keepNext/>
      </w:pPr>
      <w:r w:rsidRPr="00B93493">
        <w:tab/>
      </w:r>
      <w:r w:rsidRPr="00B93493">
        <w:tab/>
      </w:r>
      <w:r w:rsidRPr="00B93493">
        <w:rPr>
          <w:position w:val="-26"/>
        </w:rPr>
        <w:object w:dxaOrig="2489" w:dyaOrig="708" w14:anchorId="51E0A0C3">
          <v:shape id="_x0000_i1032" type="#_x0000_t75" style="width:121.55pt;height:33.4pt" o:ole="">
            <v:imagedata r:id="rId43" o:title=""/>
          </v:shape>
          <o:OLEObject Type="Embed" ProgID="Equation.3" ShapeID="_x0000_i1032" DrawAspect="Content" ObjectID="_1812968314" r:id="rId44"/>
        </w:object>
      </w:r>
      <w:r w:rsidRPr="00B93493">
        <w:tab/>
        <w:t>(32)</w:t>
      </w:r>
    </w:p>
    <w:p w14:paraId="37BBEE02" w14:textId="77777777" w:rsidR="00CF04BC" w:rsidRPr="00B93493" w:rsidRDefault="00CF04BC" w:rsidP="00CF04BC">
      <w:r w:rsidRPr="00B93493">
        <w:t>where:</w:t>
      </w:r>
    </w:p>
    <w:p w14:paraId="3FA69E24" w14:textId="77777777" w:rsidR="00CF04BC" w:rsidRPr="00B93493" w:rsidRDefault="00CF04BC" w:rsidP="00CF04BC">
      <w:pPr>
        <w:pStyle w:val="Equationlegend"/>
      </w:pPr>
      <w:r w:rsidRPr="00B93493">
        <w:tab/>
      </w:r>
      <w:r w:rsidRPr="00B93493">
        <w:rPr>
          <w:rFonts w:ascii="Symbol" w:hAnsi="Symbol"/>
        </w:rPr>
        <w:t></w:t>
      </w:r>
      <w:r w:rsidRPr="00B93493">
        <w:rPr>
          <w:vertAlign w:val="subscript"/>
        </w:rPr>
        <w:t>2</w:t>
      </w:r>
      <w:r w:rsidRPr="00B93493">
        <w:rPr>
          <w:rFonts w:ascii="Tms Rmn" w:hAnsi="Tms Rmn"/>
          <w:sz w:val="12"/>
        </w:rPr>
        <w:t> </w:t>
      </w:r>
      <w:r w:rsidRPr="00B93493">
        <w:t>:</w:t>
      </w:r>
      <w:r w:rsidRPr="00B93493">
        <w:tab/>
        <w:t>relevant sector angle (see Fig. 5)</w:t>
      </w:r>
    </w:p>
    <w:p w14:paraId="760D95A1" w14:textId="77777777" w:rsidR="00CF04BC" w:rsidRPr="00B93493" w:rsidRDefault="00CF04BC" w:rsidP="00CF04BC">
      <w:r w:rsidRPr="00B93493">
        <w:t xml:space="preserve">and segment </w:t>
      </w:r>
      <w:r w:rsidRPr="00B93493">
        <w:rPr>
          <w:i/>
          <w:iCs/>
        </w:rPr>
        <w:t>S</w:t>
      </w:r>
      <w:r w:rsidRPr="00B93493">
        <w:rPr>
          <w:vertAlign w:val="subscript"/>
        </w:rPr>
        <w:t>1</w:t>
      </w:r>
      <w:r w:rsidRPr="00B93493">
        <w:t xml:space="preserve"> area </w:t>
      </w:r>
      <w:r w:rsidRPr="00B93493">
        <w:rPr>
          <w:rFonts w:ascii="Symbol" w:hAnsi="Symbol"/>
        </w:rPr>
        <w:t></w:t>
      </w:r>
      <w:r w:rsidRPr="00B93493">
        <w:rPr>
          <w:i/>
          <w:iCs/>
        </w:rPr>
        <w:t>S</w:t>
      </w:r>
      <w:r w:rsidRPr="00B93493">
        <w:rPr>
          <w:vertAlign w:val="subscript"/>
        </w:rPr>
        <w:t>1</w:t>
      </w:r>
      <w:r w:rsidRPr="00B93493">
        <w:t xml:space="preserve"> is determined as:</w:t>
      </w:r>
    </w:p>
    <w:p w14:paraId="0232376E" w14:textId="77777777" w:rsidR="00CF04BC" w:rsidRPr="00B93493" w:rsidRDefault="00CF04BC" w:rsidP="00CF04BC">
      <w:pPr>
        <w:pStyle w:val="Blanc"/>
      </w:pPr>
    </w:p>
    <w:p w14:paraId="5B8526D7" w14:textId="647656BA" w:rsidR="00CF04BC" w:rsidRPr="00B93493" w:rsidRDefault="00CF04BC" w:rsidP="00CF04BC">
      <w:pPr>
        <w:pStyle w:val="Equation"/>
      </w:pPr>
      <w:r w:rsidRPr="00B93493">
        <w:tab/>
      </w:r>
      <w:r w:rsidRPr="00B93493">
        <w:tab/>
      </w:r>
      <w:r w:rsidR="005B1526" w:rsidRPr="00B93493">
        <w:rPr>
          <w:position w:val="-10"/>
        </w:rPr>
        <w:object w:dxaOrig="1540" w:dyaOrig="416" w14:anchorId="318446D6">
          <v:shape id="_x0000_i1033" type="#_x0000_t75" style="width:63.95pt;height:19pt" o:ole="">
            <v:imagedata r:id="rId45" o:title=""/>
          </v:shape>
          <o:OLEObject Type="Embed" ProgID="Equation.3" ShapeID="_x0000_i1033" DrawAspect="Content" ObjectID="_1812968315" r:id="rId46"/>
        </w:object>
      </w:r>
      <w:r w:rsidRPr="00B93493">
        <w:tab/>
        <w:t>(33)</w:t>
      </w:r>
    </w:p>
    <w:p w14:paraId="1E2FE292" w14:textId="77777777" w:rsidR="00CF04BC" w:rsidRPr="00B93493" w:rsidRDefault="00CF04BC" w:rsidP="00CF04BC">
      <w:r w:rsidRPr="00B93493">
        <w:t xml:space="preserve">In three-zone case (Fig. 6) parts </w:t>
      </w:r>
      <w:r w:rsidRPr="00B93493">
        <w:rPr>
          <w:position w:val="-10"/>
        </w:rPr>
        <w:object w:dxaOrig="308" w:dyaOrig="341" w14:anchorId="3A9E4C18">
          <v:shape id="_x0000_i1034" type="#_x0000_t75" style="width:14.4pt;height:20.15pt" o:ole="">
            <v:imagedata r:id="rId47" o:title=""/>
          </v:shape>
          <o:OLEObject Type="Embed" ProgID="Equation.3" ShapeID="_x0000_i1034" DrawAspect="Content" ObjectID="_1812968316" r:id="rId48"/>
        </w:object>
      </w:r>
      <w:r w:rsidRPr="00B93493">
        <w:t xml:space="preserve"> and </w:t>
      </w:r>
      <w:r w:rsidRPr="00B93493">
        <w:rPr>
          <w:i/>
          <w:iCs/>
        </w:rPr>
        <w:t>S</w:t>
      </w:r>
      <w:r w:rsidRPr="00B93493">
        <w:rPr>
          <w:vertAlign w:val="subscript"/>
        </w:rPr>
        <w:t>3</w:t>
      </w:r>
      <w:r w:rsidRPr="00B93493">
        <w:rPr>
          <w:szCs w:val="24"/>
        </w:rPr>
        <w:t xml:space="preserve"> </w:t>
      </w:r>
      <w:r w:rsidRPr="00B93493">
        <w:t>of common sector (</w:t>
      </w:r>
      <w:r w:rsidRPr="00B93493">
        <w:rPr>
          <w:position w:val="-10"/>
        </w:rPr>
        <w:object w:dxaOrig="308" w:dyaOrig="341" w14:anchorId="65DA1214">
          <v:shape id="_x0000_i1035" type="#_x0000_t75" style="width:14.4pt;height:20.15pt" o:ole="">
            <v:imagedata r:id="rId47" o:title=""/>
          </v:shape>
          <o:OLEObject Type="Embed" ProgID="Equation.3" ShapeID="_x0000_i1035" DrawAspect="Content" ObjectID="_1812968317" r:id="rId49"/>
        </w:object>
      </w:r>
      <w:r w:rsidRPr="00B93493">
        <w:t> </w:t>
      </w:r>
      <w:r w:rsidRPr="00B93493">
        <w:rPr>
          <w:rFonts w:ascii="Symbol" w:hAnsi="Symbol"/>
        </w:rPr>
        <w:t></w:t>
      </w:r>
      <w:r w:rsidRPr="00B93493">
        <w:t> </w:t>
      </w:r>
      <w:r w:rsidRPr="00B93493">
        <w:rPr>
          <w:i/>
          <w:iCs/>
        </w:rPr>
        <w:t>S</w:t>
      </w:r>
      <w:r w:rsidRPr="00B93493">
        <w:rPr>
          <w:vertAlign w:val="subscript"/>
        </w:rPr>
        <w:t>3</w:t>
      </w:r>
      <w:r w:rsidRPr="00B93493">
        <w:t>) have correspondingly the following areas:</w:t>
      </w:r>
    </w:p>
    <w:p w14:paraId="2E13CB10" w14:textId="77777777" w:rsidR="00CF04BC" w:rsidRPr="00B93493" w:rsidRDefault="00CF04BC" w:rsidP="00CF04BC">
      <w:pPr>
        <w:pStyle w:val="Blanc"/>
      </w:pPr>
    </w:p>
    <w:p w14:paraId="4861FE5A" w14:textId="77777777" w:rsidR="00CF04BC" w:rsidRPr="00B93493" w:rsidRDefault="00CF04BC" w:rsidP="00CF04BC">
      <w:pPr>
        <w:pStyle w:val="Equation"/>
      </w:pPr>
      <w:r w:rsidRPr="00B93493">
        <w:tab/>
      </w:r>
      <w:r w:rsidRPr="00B93493">
        <w:tab/>
      </w:r>
      <w:r w:rsidRPr="00B93493">
        <w:rPr>
          <w:position w:val="-26"/>
        </w:rPr>
        <w:object w:dxaOrig="2714" w:dyaOrig="708" w14:anchorId="79F46F8A">
          <v:shape id="_x0000_i1036" type="#_x0000_t75" style="width:133.65pt;height:33.4pt" o:ole="">
            <v:imagedata r:id="rId50" o:title=""/>
          </v:shape>
          <o:OLEObject Type="Embed" ProgID="Equation.3" ShapeID="_x0000_i1036" DrawAspect="Content" ObjectID="_1812968318" r:id="rId51"/>
        </w:object>
      </w:r>
      <w:r w:rsidRPr="00B93493">
        <w:tab/>
        <w:t>(34)</w:t>
      </w:r>
    </w:p>
    <w:p w14:paraId="72679EDB" w14:textId="77777777" w:rsidR="00CF04BC" w:rsidRPr="00B93493" w:rsidRDefault="00CF04BC" w:rsidP="00CF04BC">
      <w:pPr>
        <w:pStyle w:val="Equation"/>
      </w:pPr>
      <w:r w:rsidRPr="00B93493">
        <w:tab/>
      </w:r>
      <w:r w:rsidRPr="00B93493">
        <w:tab/>
      </w:r>
      <w:r w:rsidRPr="00B93493">
        <w:rPr>
          <w:position w:val="-26"/>
        </w:rPr>
        <w:object w:dxaOrig="2755" w:dyaOrig="708" w14:anchorId="3167FF03">
          <v:shape id="_x0000_i1037" type="#_x0000_t75" style="width:139.4pt;height:33.4pt" o:ole="">
            <v:imagedata r:id="rId52" o:title=""/>
          </v:shape>
          <o:OLEObject Type="Embed" ProgID="Equation.3" ShapeID="_x0000_i1037" DrawAspect="Content" ObjectID="_1812968319" r:id="rId53"/>
        </w:object>
      </w:r>
      <w:r w:rsidRPr="00B93493">
        <w:tab/>
        <w:t>(35)</w:t>
      </w:r>
    </w:p>
    <w:p w14:paraId="0C462170" w14:textId="77777777" w:rsidR="00CF04BC" w:rsidRPr="00B93493" w:rsidRDefault="00CF04BC" w:rsidP="00CF04BC">
      <w:pPr>
        <w:pStyle w:val="Blanc"/>
      </w:pPr>
    </w:p>
    <w:p w14:paraId="797D6C1F" w14:textId="1FDEBF75" w:rsidR="00CF04BC" w:rsidRPr="00B93493" w:rsidRDefault="00CF04BC" w:rsidP="00CF04BC">
      <w:pPr>
        <w:pStyle w:val="Equation"/>
      </w:pPr>
      <w:r w:rsidRPr="00B93493">
        <w:tab/>
      </w:r>
      <w:r w:rsidRPr="00B93493">
        <w:tab/>
      </w:r>
      <w:r w:rsidR="005B1526" w:rsidRPr="00B93493">
        <w:rPr>
          <w:position w:val="-24"/>
        </w:rPr>
        <w:object w:dxaOrig="757" w:dyaOrig="608" w14:anchorId="7DAEF5EB">
          <v:shape id="_x0000_i1038" type="#_x0000_t75" style="width:35.15pt;height:29.95pt" o:ole="">
            <v:imagedata r:id="rId54" o:title=""/>
          </v:shape>
          <o:OLEObject Type="Embed" ProgID="Equation.3" ShapeID="_x0000_i1038" DrawAspect="Content" ObjectID="_1812968320" r:id="rId55"/>
        </w:object>
      </w:r>
    </w:p>
    <w:p w14:paraId="5BA9E86E" w14:textId="77777777" w:rsidR="00CF04BC" w:rsidRPr="00B93493" w:rsidRDefault="00CF04BC" w:rsidP="00CF04BC">
      <w:pPr>
        <w:pStyle w:val="Blanc"/>
      </w:pPr>
    </w:p>
    <w:p w14:paraId="2046B7E1" w14:textId="77777777" w:rsidR="00CF04BC" w:rsidRPr="00B93493" w:rsidRDefault="00CF04BC" w:rsidP="00CF04BC">
      <w:r w:rsidRPr="00B93493">
        <w:t>where:</w:t>
      </w:r>
    </w:p>
    <w:p w14:paraId="5408E623" w14:textId="77777777" w:rsidR="00CF04BC" w:rsidRPr="00B93493" w:rsidRDefault="00CF04BC" w:rsidP="00CF04BC">
      <w:pPr>
        <w:pStyle w:val="Equationlegend"/>
      </w:pPr>
      <w:r w:rsidRPr="00B93493">
        <w:rPr>
          <w:i/>
        </w:rPr>
        <w:tab/>
        <w:t>H</w:t>
      </w:r>
      <w:r w:rsidRPr="00B93493">
        <w:t>:</w:t>
      </w:r>
      <w:r w:rsidRPr="00B93493">
        <w:tab/>
        <w:t>distance from a transmitter to the junction point of approximating lines (see Fig. 6) (km);</w:t>
      </w:r>
    </w:p>
    <w:p w14:paraId="7471BDC7" w14:textId="77777777" w:rsidR="00CF04BC" w:rsidRPr="00B93493" w:rsidRDefault="00CF04BC" w:rsidP="00CF04BC">
      <w:pPr>
        <w:pStyle w:val="Equationlegend"/>
      </w:pPr>
      <w:r w:rsidRPr="00B93493">
        <w:tab/>
      </w:r>
      <w:r w:rsidRPr="00B93493">
        <w:rPr>
          <w:position w:val="-10"/>
        </w:rPr>
        <w:object w:dxaOrig="341" w:dyaOrig="341" w14:anchorId="3C1D44CA">
          <v:shape id="_x0000_i1039" type="#_x0000_t75" style="width:20.15pt;height:20.15pt" o:ole="">
            <v:imagedata r:id="rId56" o:title=""/>
          </v:shape>
          <o:OLEObject Type="Embed" ProgID="Equation.3" ShapeID="_x0000_i1039" DrawAspect="Content" ObjectID="_1812968321" r:id="rId57"/>
        </w:object>
      </w:r>
      <w:r w:rsidRPr="00B93493">
        <w:t xml:space="preserve"> and </w:t>
      </w:r>
      <w:r w:rsidRPr="00B93493">
        <w:rPr>
          <w:position w:val="-12"/>
        </w:rPr>
        <w:object w:dxaOrig="266" w:dyaOrig="391" w14:anchorId="49E4BC25">
          <v:shape id="_x0000_i1040" type="#_x0000_t75" style="width:12.1pt;height:20.15pt" o:ole="">
            <v:imagedata r:id="rId58" o:title=""/>
          </v:shape>
          <o:OLEObject Type="Embed" ProgID="Equation.3" ShapeID="_x0000_i1040" DrawAspect="Content" ObjectID="_1812968322" r:id="rId59"/>
        </w:object>
      </w:r>
      <w:r w:rsidRPr="00B93493">
        <w:t>:</w:t>
      </w:r>
      <w:r w:rsidRPr="00B93493">
        <w:tab/>
        <w:t>relevant sector angles (see Fig. 6) (degrees).</w:t>
      </w:r>
    </w:p>
    <w:p w14:paraId="4A8A7F2B" w14:textId="77777777" w:rsidR="00CF04BC" w:rsidRPr="00B93493" w:rsidRDefault="00CF04BC" w:rsidP="00CF04BC">
      <w:r w:rsidRPr="00B93493">
        <w:t>Then:</w:t>
      </w:r>
    </w:p>
    <w:p w14:paraId="3E3D6279" w14:textId="77777777" w:rsidR="00CF04BC" w:rsidRPr="00B93493" w:rsidRDefault="00CF04BC" w:rsidP="00CF04BC">
      <w:pPr>
        <w:pStyle w:val="Blanc"/>
      </w:pPr>
    </w:p>
    <w:p w14:paraId="53F78B3B" w14:textId="77777777" w:rsidR="00CF04BC" w:rsidRPr="00B93493" w:rsidRDefault="00CF04BC" w:rsidP="00CF04BC">
      <w:pPr>
        <w:pStyle w:val="Equation"/>
      </w:pPr>
      <w:r w:rsidRPr="00B93493">
        <w:tab/>
      </w:r>
      <w:r w:rsidRPr="00B93493">
        <w:tab/>
      </w:r>
      <w:r w:rsidRPr="00B93493">
        <w:rPr>
          <w:position w:val="-12"/>
        </w:rPr>
        <w:object w:dxaOrig="2339" w:dyaOrig="416" w14:anchorId="6712AB36">
          <v:shape id="_x0000_i1041" type="#_x0000_t75" style="width:117.5pt;height:22.45pt" o:ole="">
            <v:imagedata r:id="rId60" o:title=""/>
          </v:shape>
          <o:OLEObject Type="Embed" ProgID="Equation.3" ShapeID="_x0000_i1041" DrawAspect="Content" ObjectID="_1812968323" r:id="rId61"/>
        </w:object>
      </w:r>
      <w:r w:rsidRPr="00B93493">
        <w:tab/>
        <w:t>(36)</w:t>
      </w:r>
    </w:p>
    <w:p w14:paraId="5AA53704" w14:textId="77777777" w:rsidR="00CF04BC" w:rsidRPr="00B93493" w:rsidRDefault="00CF04BC" w:rsidP="00CF04BC">
      <w:pPr>
        <w:pStyle w:val="Blanc"/>
      </w:pPr>
    </w:p>
    <w:p w14:paraId="0F3C7377" w14:textId="07E8A8E0" w:rsidR="00CF04BC" w:rsidRPr="00B93493" w:rsidRDefault="00CF04BC" w:rsidP="00CF04BC">
      <w:r w:rsidRPr="00B93493">
        <w:t xml:space="preserve">As an example, let us calculate relative areas for the three-zone case presented at Fig. 6. From the </w:t>
      </w:r>
      <w:r w:rsidR="00092428" w:rsidRPr="00B93493">
        <w:t xml:space="preserve">Figure </w:t>
      </w:r>
      <w:r w:rsidR="00092428">
        <w:t>is obtained</w:t>
      </w:r>
      <w:r w:rsidRPr="00B93493">
        <w:t xml:space="preserve">: </w:t>
      </w:r>
      <w:r w:rsidRPr="00B93493">
        <w:rPr>
          <w:position w:val="-10"/>
        </w:rPr>
        <w:object w:dxaOrig="341" w:dyaOrig="341" w14:anchorId="523F134D">
          <v:shape id="_x0000_i1042" type="#_x0000_t75" style="width:20.15pt;height:20.15pt" o:ole="">
            <v:imagedata r:id="rId62" o:title=""/>
          </v:shape>
          <o:OLEObject Type="Embed" ProgID="Equation.3" ShapeID="_x0000_i1042" DrawAspect="Content" ObjectID="_1812968324" r:id="rId63"/>
        </w:object>
      </w:r>
      <w:r w:rsidRPr="00B93493">
        <w:t> </w:t>
      </w:r>
      <w:r w:rsidRPr="00B93493">
        <w:rPr>
          <w:rFonts w:ascii="Symbol" w:hAnsi="Symbol"/>
        </w:rPr>
        <w:t></w:t>
      </w:r>
      <w:r w:rsidRPr="00B93493">
        <w:t> 88</w:t>
      </w:r>
      <w:r w:rsidRPr="00B93493">
        <w:rPr>
          <w:rFonts w:ascii="Symbol" w:hAnsi="Symbol"/>
        </w:rPr>
        <w:t></w:t>
      </w:r>
      <w:r w:rsidRPr="00B93493">
        <w:t xml:space="preserve">, </w:t>
      </w:r>
      <w:r w:rsidRPr="00B93493">
        <w:rPr>
          <w:rFonts w:ascii="Symbol" w:hAnsi="Symbol"/>
        </w:rPr>
        <w:t></w:t>
      </w:r>
      <w:r w:rsidRPr="00B93493">
        <w:rPr>
          <w:rFonts w:ascii="Symbol" w:hAnsi="Symbol"/>
          <w:vertAlign w:val="subscript"/>
        </w:rPr>
        <w:t></w:t>
      </w:r>
      <w:r w:rsidRPr="00B93493">
        <w:t> </w:t>
      </w:r>
      <w:r w:rsidRPr="00B93493">
        <w:rPr>
          <w:rFonts w:ascii="Symbol" w:hAnsi="Symbol"/>
        </w:rPr>
        <w:t></w:t>
      </w:r>
      <w:r w:rsidRPr="00B93493">
        <w:t> </w:t>
      </w:r>
      <w:r w:rsidRPr="00B93493">
        <w:rPr>
          <w:rFonts w:ascii="Symbol" w:hAnsi="Symbol"/>
        </w:rPr>
        <w:t></w:t>
      </w:r>
      <w:r w:rsidRPr="00B93493">
        <w:rPr>
          <w:rFonts w:ascii="Symbol" w:hAnsi="Symbol"/>
        </w:rPr>
        <w:t></w:t>
      </w:r>
      <w:r w:rsidRPr="00B93493">
        <w:rPr>
          <w:rFonts w:ascii="Symbol" w:hAnsi="Symbol"/>
        </w:rPr>
        <w:t></w:t>
      </w:r>
      <w:r w:rsidRPr="00B93493">
        <w:t xml:space="preserve"> and </w:t>
      </w:r>
      <w:r w:rsidRPr="00B93493">
        <w:rPr>
          <w:rFonts w:ascii="Symbol" w:hAnsi="Symbol"/>
        </w:rPr>
        <w:t></w:t>
      </w:r>
      <w:r w:rsidRPr="00B93493">
        <w:t> </w:t>
      </w:r>
      <w:r w:rsidRPr="00B93493">
        <w:rPr>
          <w:rFonts w:ascii="Symbol" w:hAnsi="Symbol"/>
        </w:rPr>
        <w:t></w:t>
      </w:r>
      <w:r w:rsidRPr="00B93493">
        <w:t> 0.51.</w:t>
      </w:r>
    </w:p>
    <w:p w14:paraId="1D265BFF" w14:textId="77777777" w:rsidR="00CF04BC" w:rsidRPr="00B93493" w:rsidRDefault="00CF04BC" w:rsidP="00CF04BC">
      <w:r w:rsidRPr="00B93493">
        <w:t>Then from equations (34), (35) and (36) it follows, correspondingly:</w:t>
      </w:r>
    </w:p>
    <w:p w14:paraId="63A40F37" w14:textId="77777777" w:rsidR="00CF04BC" w:rsidRPr="00B93493" w:rsidRDefault="00CF04BC" w:rsidP="00CF04BC">
      <w:pPr>
        <w:pStyle w:val="Blanc"/>
      </w:pPr>
    </w:p>
    <w:p w14:paraId="27E8990F" w14:textId="45E84182" w:rsidR="00CF04BC" w:rsidRPr="00B93493" w:rsidRDefault="00CF04BC" w:rsidP="00CF04BC">
      <w:pPr>
        <w:pStyle w:val="Equation"/>
        <w:rPr>
          <w:i/>
        </w:rPr>
      </w:pPr>
      <w:r w:rsidRPr="00B93493">
        <w:tab/>
      </w:r>
      <w:r w:rsidRPr="00B93493">
        <w:tab/>
      </w:r>
      <w:r w:rsidR="008D295D" w:rsidRPr="00B93493">
        <w:object w:dxaOrig="4129" w:dyaOrig="732" w14:anchorId="58D46543">
          <v:shape id="_x0000_i1043" type="#_x0000_t75" style="width:197.55pt;height:36.85pt" o:ole="">
            <v:imagedata r:id="rId64" o:title=""/>
          </v:shape>
          <o:OLEObject Type="Embed" ProgID="Equation.3" ShapeID="_x0000_i1043" DrawAspect="Content" ObjectID="_1812968325" r:id="rId65"/>
        </w:object>
      </w:r>
    </w:p>
    <w:p w14:paraId="21449364" w14:textId="77777777" w:rsidR="00CF04BC" w:rsidRPr="00B93493" w:rsidRDefault="00CF04BC" w:rsidP="00CF04BC">
      <w:pPr>
        <w:pStyle w:val="Blanc"/>
      </w:pPr>
    </w:p>
    <w:p w14:paraId="5ED72CFB" w14:textId="68A9EF87" w:rsidR="00CF04BC" w:rsidRPr="00B93493" w:rsidRDefault="00CF04BC" w:rsidP="00CF04BC">
      <w:pPr>
        <w:pStyle w:val="Equation"/>
        <w:rPr>
          <w:i/>
        </w:rPr>
      </w:pPr>
      <w:r w:rsidRPr="00B93493">
        <w:tab/>
      </w:r>
      <w:r w:rsidRPr="00B93493">
        <w:tab/>
      </w:r>
      <w:r w:rsidR="008D295D" w:rsidRPr="00B93493">
        <w:object w:dxaOrig="3929" w:dyaOrig="732" w14:anchorId="673D9195">
          <v:shape id="_x0000_i1044" type="#_x0000_t75" style="width:185.45pt;height:36.85pt" o:ole="">
            <v:imagedata r:id="rId66" o:title=""/>
          </v:shape>
          <o:OLEObject Type="Embed" ProgID="Equation.3" ShapeID="_x0000_i1044" DrawAspect="Content" ObjectID="_1812968326" r:id="rId67"/>
        </w:object>
      </w:r>
    </w:p>
    <w:p w14:paraId="7FE58839" w14:textId="77777777" w:rsidR="00CF04BC" w:rsidRPr="00B93493" w:rsidRDefault="00CF04BC" w:rsidP="00CF04BC">
      <w:pPr>
        <w:pStyle w:val="Blanc"/>
      </w:pPr>
    </w:p>
    <w:p w14:paraId="23A7FA41" w14:textId="4362371E" w:rsidR="00CF04BC" w:rsidRPr="00B93493" w:rsidRDefault="00CF04BC" w:rsidP="00CF04BC">
      <w:pPr>
        <w:pStyle w:val="Equation"/>
      </w:pPr>
      <w:r w:rsidRPr="00B93493">
        <w:rPr>
          <w:position w:val="-10"/>
        </w:rPr>
        <w:tab/>
      </w:r>
      <w:r w:rsidRPr="00B93493">
        <w:rPr>
          <w:position w:val="-10"/>
        </w:rPr>
        <w:tab/>
      </w:r>
      <w:r w:rsidR="008D295D" w:rsidRPr="00B93493">
        <w:rPr>
          <w:position w:val="-10"/>
        </w:rPr>
        <w:object w:dxaOrig="3895" w:dyaOrig="416" w14:anchorId="4006DD97">
          <v:shape id="_x0000_i1045" type="#_x0000_t75" style="width:178.55pt;height:20.75pt" o:ole="">
            <v:imagedata r:id="rId68" o:title=""/>
          </v:shape>
          <o:OLEObject Type="Embed" ProgID="Equation.3" ShapeID="_x0000_i1045" DrawAspect="Content" ObjectID="_1812968327" r:id="rId69"/>
        </w:object>
      </w:r>
    </w:p>
    <w:p w14:paraId="7E3859B7" w14:textId="77777777" w:rsidR="00CF04BC" w:rsidRPr="00B93493" w:rsidRDefault="00CF04BC" w:rsidP="00CF04BC">
      <w:pPr>
        <w:pStyle w:val="Heading3"/>
      </w:pPr>
      <w:bookmarkStart w:id="1839" w:name="_Toc462234077"/>
      <w:bookmarkStart w:id="1840" w:name="_Toc289868844"/>
      <w:bookmarkStart w:id="1841" w:name="_Toc291852921"/>
      <w:bookmarkStart w:id="1842" w:name="_Toc518394234"/>
      <w:bookmarkStart w:id="1843" w:name="_Toc392515907"/>
      <w:bookmarkStart w:id="1844" w:name="_Toc289869004"/>
      <w:bookmarkStart w:id="1845" w:name="_Toc289933358"/>
      <w:bookmarkStart w:id="1846" w:name="_Toc289932312"/>
      <w:bookmarkStart w:id="1847" w:name="_Toc182391553"/>
      <w:bookmarkStart w:id="1848" w:name="_Toc182391964"/>
      <w:r w:rsidRPr="00B93493">
        <w:t>4.7.2</w:t>
      </w:r>
      <w:r w:rsidRPr="00B93493">
        <w:tab/>
        <w:t>Example of calculations</w:t>
      </w:r>
      <w:bookmarkEnd w:id="1839"/>
      <w:bookmarkEnd w:id="1840"/>
      <w:bookmarkEnd w:id="1841"/>
      <w:bookmarkEnd w:id="1842"/>
      <w:bookmarkEnd w:id="1843"/>
      <w:bookmarkEnd w:id="1844"/>
      <w:bookmarkEnd w:id="1845"/>
      <w:bookmarkEnd w:id="1846"/>
      <w:bookmarkEnd w:id="1847"/>
      <w:bookmarkEnd w:id="1848"/>
    </w:p>
    <w:p w14:paraId="52D6B3F8" w14:textId="77777777" w:rsidR="00CF04BC" w:rsidRPr="00B93493" w:rsidRDefault="00CF04BC" w:rsidP="00CF04BC">
      <w:pPr>
        <w:pStyle w:val="Headingb"/>
      </w:pPr>
      <w:bookmarkStart w:id="1849" w:name="_Toc454284909"/>
      <w:bookmarkStart w:id="1850" w:name="_Toc462234078"/>
      <w:r w:rsidRPr="00B93493">
        <w:t>a)</w:t>
      </w:r>
      <w:r w:rsidRPr="00B93493">
        <w:tab/>
        <w:t>Incoming parameters</w:t>
      </w:r>
      <w:bookmarkEnd w:id="1849"/>
      <w:bookmarkEnd w:id="1850"/>
    </w:p>
    <w:p w14:paraId="11C31FEA" w14:textId="197C9998" w:rsidR="00CF04BC" w:rsidRPr="00B93493" w:rsidRDefault="00CF04BC" w:rsidP="00CF04BC">
      <w:r w:rsidRPr="00B93493">
        <w:t xml:space="preserve">Let us calculate a spectral resource used by a FM sound broadcasting station working in an urban area 20 h per each day with a power 1.5 kW in exclusive regime (no sharing). Antenna, having mast height 100 m, situated at the top of a hill with ground height 360 m above the sea level. Terrain situation around the transmitter corresponds to example presented in b), i.e. average level of the ground between distances of 3 km and 15 km from the transmitter, </w:t>
      </w:r>
      <w:r w:rsidRPr="00B93493">
        <w:rPr>
          <w:i/>
        </w:rPr>
        <w:t>h</w:t>
      </w:r>
      <w:r w:rsidRPr="00B93493">
        <w:rPr>
          <w:i/>
          <w:vertAlign w:val="subscript"/>
        </w:rPr>
        <w:t>av</w:t>
      </w:r>
      <w:r w:rsidRPr="00B93493">
        <w:t>, in accordance with Table 1</w:t>
      </w:r>
      <w:r>
        <w:rPr>
          <w:rFonts w:hint="eastAsia"/>
          <w:lang w:eastAsia="zh-CN"/>
        </w:rPr>
        <w:t>1</w:t>
      </w:r>
      <w:r w:rsidRPr="00B93493">
        <w:t xml:space="preserve"> is equal to 213 m. Antenna gain against a half-wave dipole equals 3 dB. Modulation conditions are standard ones: peak deviation is 75 kHz, maximum modulation frequency is 15 kHz.</w:t>
      </w:r>
    </w:p>
    <w:p w14:paraId="05AC204A" w14:textId="77777777" w:rsidR="00CF04BC" w:rsidRPr="00B93493" w:rsidRDefault="00CF04BC" w:rsidP="00CF04BC">
      <w:pPr>
        <w:pStyle w:val="Headingb"/>
        <w:rPr>
          <w:rFonts w:eastAsia="SimSun"/>
        </w:rPr>
      </w:pPr>
      <w:bookmarkStart w:id="1851" w:name="_Toc454284910"/>
      <w:bookmarkStart w:id="1852" w:name="_Toc462234079"/>
      <w:r w:rsidRPr="00B93493">
        <w:rPr>
          <w:rFonts w:eastAsia="SimSun"/>
        </w:rPr>
        <w:t>b)</w:t>
      </w:r>
      <w:r w:rsidRPr="00B93493">
        <w:rPr>
          <w:rFonts w:eastAsia="SimSun"/>
        </w:rPr>
        <w:tab/>
        <w:t>Time and frequency resources used</w:t>
      </w:r>
      <w:bookmarkEnd w:id="1851"/>
      <w:bookmarkEnd w:id="1852"/>
    </w:p>
    <w:p w14:paraId="375F66EA" w14:textId="77777777" w:rsidR="00CF04BC" w:rsidRPr="00B93493" w:rsidRDefault="00CF04BC" w:rsidP="00CF04BC">
      <w:r w:rsidRPr="00B93493">
        <w:t>In accordance with equation (21), used time resource is:</w:t>
      </w:r>
    </w:p>
    <w:p w14:paraId="61FBE30A" w14:textId="77777777" w:rsidR="00CF04BC" w:rsidRPr="00B93493" w:rsidRDefault="00CF04BC" w:rsidP="00CF04BC">
      <w:pPr>
        <w:pStyle w:val="Blanc"/>
      </w:pPr>
    </w:p>
    <w:p w14:paraId="1741F424" w14:textId="77777777" w:rsidR="00CF04BC" w:rsidRPr="00B93493" w:rsidRDefault="00CF04BC" w:rsidP="00CF04BC">
      <w:pPr>
        <w:pStyle w:val="Equation"/>
      </w:pPr>
      <w:r w:rsidRPr="00B93493">
        <w:rPr>
          <w:i/>
        </w:rPr>
        <w:tab/>
      </w:r>
      <w:r w:rsidRPr="00B93493">
        <w:rPr>
          <w:i/>
        </w:rPr>
        <w:tab/>
        <w:t>T</w:t>
      </w:r>
      <w:r w:rsidRPr="00B93493">
        <w:t xml:space="preserve"> </w:t>
      </w:r>
      <w:r w:rsidRPr="00B93493">
        <w:rPr>
          <w:rFonts w:ascii="Symbol" w:hAnsi="Symbol"/>
        </w:rPr>
        <w:t></w:t>
      </w:r>
      <w:r w:rsidRPr="00B93493">
        <w:t xml:space="preserve"> 20/24 (each day) </w:t>
      </w:r>
      <w:r w:rsidRPr="00B93493">
        <w:rPr>
          <w:rFonts w:ascii="Symbol" w:hAnsi="Symbol"/>
        </w:rPr>
        <w:t></w:t>
      </w:r>
      <w:r w:rsidRPr="00B93493">
        <w:t xml:space="preserve"> 0.83 year</w:t>
      </w:r>
    </w:p>
    <w:p w14:paraId="583FC612" w14:textId="77777777" w:rsidR="00CF04BC" w:rsidRPr="00B93493" w:rsidRDefault="00CF04BC" w:rsidP="00CF04BC">
      <w:pPr>
        <w:pStyle w:val="Blanc"/>
      </w:pPr>
    </w:p>
    <w:p w14:paraId="219E74D6" w14:textId="77777777" w:rsidR="00CF04BC" w:rsidRPr="00B93493" w:rsidRDefault="00CF04BC" w:rsidP="00CF04BC">
      <w:r w:rsidRPr="00B93493">
        <w:t>According to Recommendation</w:t>
      </w:r>
      <w:r w:rsidRPr="004135DF">
        <w:t xml:space="preserve"> ITU-R SM.1138-2</w:t>
      </w:r>
      <w:r>
        <w:t>,</w:t>
      </w:r>
      <w:r w:rsidRPr="00B93493">
        <w:t xml:space="preserve"> “Sound broadcasting” (class of emission F3E) the necessary bandwidth is 180 kHz, i.e. accepting χ </w:t>
      </w:r>
      <w:r w:rsidRPr="00B93493">
        <w:rPr>
          <w:rFonts w:ascii="Symbol" w:hAnsi="Symbol"/>
        </w:rPr>
        <w:t></w:t>
      </w:r>
      <w:r w:rsidRPr="00B93493">
        <w:t xml:space="preserve"> 1, used frequency resource in accordance with equation (24) is:</w:t>
      </w:r>
    </w:p>
    <w:p w14:paraId="56F4F67B" w14:textId="77777777" w:rsidR="00CF04BC" w:rsidRPr="00B93493" w:rsidRDefault="00CF04BC" w:rsidP="00CF04BC">
      <w:pPr>
        <w:pStyle w:val="Blanc"/>
      </w:pPr>
    </w:p>
    <w:p w14:paraId="0EA0A421" w14:textId="77777777" w:rsidR="00CF04BC" w:rsidRPr="00B93493" w:rsidRDefault="00CF04BC" w:rsidP="00CF04BC">
      <w:pPr>
        <w:pStyle w:val="Equation"/>
      </w:pPr>
      <w:r w:rsidRPr="00B93493">
        <w:rPr>
          <w:i/>
        </w:rPr>
        <w:tab/>
      </w:r>
      <w:r w:rsidRPr="00B93493">
        <w:rPr>
          <w:i/>
        </w:rPr>
        <w:tab/>
        <w:t>F</w:t>
      </w:r>
      <w:r w:rsidRPr="00B93493">
        <w:t xml:space="preserve"> </w:t>
      </w:r>
      <w:r w:rsidRPr="00B93493">
        <w:rPr>
          <w:rFonts w:ascii="Symbol" w:hAnsi="Symbol"/>
        </w:rPr>
        <w:t></w:t>
      </w:r>
      <w:r w:rsidRPr="00B93493">
        <w:t xml:space="preserve"> 0.18 MHz</w:t>
      </w:r>
    </w:p>
    <w:p w14:paraId="43C5387D" w14:textId="77777777" w:rsidR="00CF04BC" w:rsidRPr="00B93493" w:rsidRDefault="00CF04BC" w:rsidP="00CF04BC">
      <w:pPr>
        <w:pStyle w:val="Blanc"/>
      </w:pPr>
    </w:p>
    <w:p w14:paraId="0014FD96" w14:textId="77777777" w:rsidR="00CF04BC" w:rsidRPr="00B93493" w:rsidRDefault="00CF04BC" w:rsidP="00CF04BC">
      <w:pPr>
        <w:pStyle w:val="Headingb"/>
      </w:pPr>
      <w:bookmarkStart w:id="1853" w:name="_Toc462234080"/>
      <w:bookmarkStart w:id="1854" w:name="_Toc454284911"/>
      <w:r w:rsidRPr="00B93493">
        <w:t>c)</w:t>
      </w:r>
      <w:r w:rsidRPr="00B93493">
        <w:tab/>
        <w:t>Territorial resource used</w:t>
      </w:r>
      <w:bookmarkEnd w:id="1853"/>
      <w:bookmarkEnd w:id="1854"/>
    </w:p>
    <w:p w14:paraId="405125BB" w14:textId="77777777" w:rsidR="00CF04BC" w:rsidRPr="00B93493" w:rsidRDefault="00CF04BC" w:rsidP="00CF04BC">
      <w:r w:rsidRPr="00B93493">
        <w:t>Firstly, e.r.p. of the transmitter, effective antenna height and then service area radius should be calculated.</w:t>
      </w:r>
    </w:p>
    <w:p w14:paraId="0421404B" w14:textId="1D7C884E" w:rsidR="00CF04BC" w:rsidRPr="00B93493" w:rsidRDefault="00CF04BC" w:rsidP="00CF04BC">
      <w:r w:rsidRPr="00B93493">
        <w:t>In accordance with data presented in § 4.7.1a) and equation (29), e.r.p. of the transmitter is:</w:t>
      </w:r>
    </w:p>
    <w:p w14:paraId="0AAC37B2" w14:textId="77777777" w:rsidR="00CF04BC" w:rsidRPr="00B93493" w:rsidRDefault="00CF04BC" w:rsidP="00CF04BC">
      <w:pPr>
        <w:pStyle w:val="Blanc"/>
      </w:pPr>
    </w:p>
    <w:p w14:paraId="0BE14EDB" w14:textId="77777777" w:rsidR="00CF04BC" w:rsidRPr="00B93493" w:rsidRDefault="00CF04BC" w:rsidP="00CF04BC">
      <w:pPr>
        <w:pStyle w:val="Equation"/>
      </w:pPr>
      <w:r w:rsidRPr="00B93493">
        <w:tab/>
      </w:r>
      <w:r w:rsidRPr="00B93493">
        <w:tab/>
      </w:r>
      <w:r w:rsidRPr="00B93493">
        <w:rPr>
          <w:i/>
        </w:rPr>
        <w:t>P</w:t>
      </w:r>
      <w:r w:rsidRPr="00B93493">
        <w:rPr>
          <w:i/>
          <w:vertAlign w:val="subscript"/>
        </w:rPr>
        <w:t>ef</w:t>
      </w:r>
      <w:r w:rsidRPr="00B93493">
        <w:t xml:space="preserve"> </w:t>
      </w:r>
      <w:r w:rsidRPr="00B93493">
        <w:rPr>
          <w:rFonts w:ascii="Symbol" w:hAnsi="Symbol"/>
        </w:rPr>
        <w:t></w:t>
      </w:r>
      <w:r w:rsidRPr="00B93493">
        <w:t xml:space="preserve"> 10 </w:t>
      </w:r>
      <w:r w:rsidRPr="00B93493">
        <w:rPr>
          <w:iCs/>
        </w:rPr>
        <w:t>log</w:t>
      </w:r>
      <w:r w:rsidRPr="00B93493">
        <w:t xml:space="preserve"> 1</w:t>
      </w:r>
      <w:r w:rsidRPr="00B93493">
        <w:rPr>
          <w:rFonts w:ascii="Tms Rmn" w:hAnsi="Tms Rmn"/>
          <w:sz w:val="12"/>
        </w:rPr>
        <w:t> </w:t>
      </w:r>
      <w:r w:rsidRPr="00B93493">
        <w:t xml:space="preserve">500 </w:t>
      </w:r>
      <w:r w:rsidRPr="00B93493">
        <w:rPr>
          <w:rFonts w:ascii="Symbol" w:hAnsi="Symbol"/>
        </w:rPr>
        <w:t></w:t>
      </w:r>
      <w:r w:rsidRPr="00B93493">
        <w:t xml:space="preserve"> 3 </w:t>
      </w:r>
      <w:r w:rsidRPr="00B93493">
        <w:rPr>
          <w:rFonts w:ascii="Symbol" w:hAnsi="Symbol"/>
        </w:rPr>
        <w:t></w:t>
      </w:r>
      <w:r w:rsidRPr="00B93493">
        <w:t xml:space="preserve"> 31.8 + 3 </w:t>
      </w:r>
      <w:r w:rsidRPr="00B93493">
        <w:rPr>
          <w:rFonts w:ascii="Symbol" w:hAnsi="Symbol"/>
        </w:rPr>
        <w:t></w:t>
      </w:r>
      <w:r w:rsidRPr="00B93493">
        <w:t xml:space="preserve"> 34.8 </w:t>
      </w:r>
      <w:r w:rsidRPr="00B93493">
        <w:rPr>
          <w:position w:val="-4"/>
        </w:rPr>
        <w:object w:dxaOrig="208" w:dyaOrig="191" w14:anchorId="626FC93D">
          <v:shape id="_x0000_i1046" type="#_x0000_t75" style="width:8.65pt;height:8.65pt" o:ole="">
            <v:imagedata r:id="rId70" o:title=""/>
          </v:shape>
          <o:OLEObject Type="Embed" ProgID="Equation.3" ShapeID="_x0000_i1046" DrawAspect="Content" ObjectID="_1812968328" r:id="rId71"/>
        </w:object>
      </w:r>
      <w:r w:rsidRPr="00B93493">
        <w:t xml:space="preserve">35 </w:t>
      </w:r>
      <w:r w:rsidRPr="00B93493">
        <w:rPr>
          <w:iCs/>
        </w:rPr>
        <w:t>dBW</w:t>
      </w:r>
    </w:p>
    <w:p w14:paraId="5D9ADAF5" w14:textId="77777777" w:rsidR="00CF04BC" w:rsidRPr="00B93493" w:rsidRDefault="00CF04BC" w:rsidP="00CF04BC">
      <w:pPr>
        <w:pStyle w:val="Blanc"/>
      </w:pPr>
    </w:p>
    <w:p w14:paraId="18CEDA13" w14:textId="38CEDB4B" w:rsidR="00CF04BC" w:rsidRPr="00B93493" w:rsidRDefault="00CF04BC" w:rsidP="00CF04BC">
      <w:pPr>
        <w:rPr>
          <w:rFonts w:eastAsia="SimSun"/>
          <w:lang w:eastAsia="zh-CN"/>
        </w:rPr>
      </w:pPr>
      <w:r w:rsidRPr="00B93493">
        <w:rPr>
          <w:rFonts w:eastAsia="SimSun"/>
          <w:lang w:eastAsia="zh-CN"/>
        </w:rPr>
        <w:t>In accordance with data given in § </w:t>
      </w:r>
      <w:r w:rsidRPr="00B93493">
        <w:t xml:space="preserve">4.7.1a) </w:t>
      </w:r>
      <w:r w:rsidRPr="00B93493">
        <w:rPr>
          <w:rFonts w:eastAsia="SimSun"/>
          <w:lang w:eastAsia="zh-CN"/>
        </w:rPr>
        <w:t>and equation (30), it can be found:</w:t>
      </w:r>
    </w:p>
    <w:p w14:paraId="5290C20C" w14:textId="77777777" w:rsidR="00CF04BC" w:rsidRPr="00B93493" w:rsidRDefault="00CF04BC" w:rsidP="00CF04BC">
      <w:pPr>
        <w:pStyle w:val="Blanc"/>
      </w:pPr>
    </w:p>
    <w:p w14:paraId="16713A93" w14:textId="77777777" w:rsidR="00CF04BC" w:rsidRPr="00B93493" w:rsidRDefault="00CF04BC" w:rsidP="00CF04BC">
      <w:pPr>
        <w:pStyle w:val="Equation"/>
      </w:pPr>
      <w:r w:rsidRPr="00B93493">
        <w:tab/>
      </w:r>
      <w:r w:rsidRPr="00B93493">
        <w:tab/>
      </w:r>
      <w:r w:rsidRPr="00B93493">
        <w:rPr>
          <w:i/>
        </w:rPr>
        <w:t>h</w:t>
      </w:r>
      <w:r w:rsidRPr="00B93493">
        <w:rPr>
          <w:i/>
          <w:vertAlign w:val="subscript"/>
        </w:rPr>
        <w:t>s</w:t>
      </w:r>
      <w:r w:rsidRPr="00B93493">
        <w:rPr>
          <w:i/>
        </w:rPr>
        <w:t xml:space="preserve"> </w:t>
      </w:r>
      <w:r w:rsidRPr="00B93493">
        <w:t>= 100 + 360 = 460 m</w:t>
      </w:r>
    </w:p>
    <w:p w14:paraId="10E0E8AE" w14:textId="77777777" w:rsidR="00CF04BC" w:rsidRPr="00B93493" w:rsidRDefault="00CF04BC" w:rsidP="00CF04BC">
      <w:pPr>
        <w:pStyle w:val="Blanc"/>
      </w:pPr>
    </w:p>
    <w:p w14:paraId="1F4B156F" w14:textId="77777777" w:rsidR="00CF04BC" w:rsidRPr="00B93493" w:rsidRDefault="00CF04BC" w:rsidP="00CF04BC">
      <w:pPr>
        <w:pStyle w:val="Equation"/>
      </w:pPr>
      <w:r w:rsidRPr="00B93493">
        <w:tab/>
      </w:r>
      <w:r w:rsidRPr="00B93493">
        <w:tab/>
      </w:r>
      <w:r w:rsidRPr="00B93493">
        <w:rPr>
          <w:i/>
        </w:rPr>
        <w:t>h</w:t>
      </w:r>
      <w:r w:rsidRPr="00B93493">
        <w:rPr>
          <w:i/>
          <w:vertAlign w:val="subscript"/>
        </w:rPr>
        <w:t>ef</w:t>
      </w:r>
      <w:r w:rsidRPr="00B93493">
        <w:t xml:space="preserve"> = 460 – 213 = 247 m </w:t>
      </w:r>
      <w:r w:rsidRPr="00B93493">
        <w:rPr>
          <w:position w:val="-4"/>
        </w:rPr>
        <w:object w:dxaOrig="208" w:dyaOrig="191" w14:anchorId="75880BC3">
          <v:shape id="_x0000_i1047" type="#_x0000_t75" style="width:8.65pt;height:8.65pt" o:ole="">
            <v:imagedata r:id="rId70" o:title=""/>
          </v:shape>
          <o:OLEObject Type="Embed" ProgID="Equation.3" ShapeID="_x0000_i1047" DrawAspect="Content" ObjectID="_1812968329" r:id="rId72"/>
        </w:object>
      </w:r>
      <w:r w:rsidRPr="00B93493">
        <w:t>250 m</w:t>
      </w:r>
    </w:p>
    <w:p w14:paraId="1E81FBF9" w14:textId="77777777" w:rsidR="00CF04BC" w:rsidRPr="00B93493" w:rsidRDefault="00CF04BC" w:rsidP="00CF04BC">
      <w:pPr>
        <w:pStyle w:val="Blanc"/>
      </w:pPr>
    </w:p>
    <w:p w14:paraId="7BAC3F38" w14:textId="77777777" w:rsidR="00CF04BC" w:rsidRPr="00B93493" w:rsidRDefault="00CF04BC" w:rsidP="00CF04BC">
      <w:r w:rsidRPr="00B93493">
        <w:t>It is worth to indicate that in this particular case effective antenna height is 2.5 times greater than the mast height and this greatly influence on calculation results.</w:t>
      </w:r>
    </w:p>
    <w:p w14:paraId="1A02374A" w14:textId="77777777" w:rsidR="00CF04BC" w:rsidRPr="00B93493" w:rsidRDefault="00CF04BC" w:rsidP="00CF04BC">
      <w:r w:rsidRPr="00B93493">
        <w:t xml:space="preserve">From Table </w:t>
      </w:r>
      <w:r>
        <w:rPr>
          <w:rFonts w:hint="eastAsia"/>
          <w:lang w:eastAsia="zh-CN"/>
        </w:rPr>
        <w:t>10</w:t>
      </w:r>
      <w:r w:rsidRPr="00B93493">
        <w:t xml:space="preserve"> for </w:t>
      </w:r>
      <w:r w:rsidRPr="00B93493">
        <w:rPr>
          <w:i/>
        </w:rPr>
        <w:t>P</w:t>
      </w:r>
      <w:r w:rsidRPr="00B93493">
        <w:rPr>
          <w:i/>
          <w:vertAlign w:val="subscript"/>
        </w:rPr>
        <w:t>ef</w:t>
      </w:r>
      <w:r w:rsidRPr="00B93493">
        <w:t xml:space="preserve">  = 35 </w:t>
      </w:r>
      <w:r w:rsidRPr="00B93493">
        <w:rPr>
          <w:iCs/>
        </w:rPr>
        <w:t>dBW</w:t>
      </w:r>
      <w:r w:rsidRPr="00B93493">
        <w:rPr>
          <w:i/>
        </w:rPr>
        <w:t xml:space="preserve"> </w:t>
      </w:r>
      <w:r w:rsidRPr="00B93493">
        <w:t xml:space="preserve">and </w:t>
      </w:r>
      <w:r w:rsidRPr="00B93493">
        <w:rPr>
          <w:i/>
        </w:rPr>
        <w:t>h</w:t>
      </w:r>
      <w:r w:rsidRPr="00B93493">
        <w:rPr>
          <w:i/>
          <w:vertAlign w:val="subscript"/>
        </w:rPr>
        <w:t>ef</w:t>
      </w:r>
      <w:r w:rsidRPr="00B93493">
        <w:rPr>
          <w:i/>
        </w:rPr>
        <w:t xml:space="preserve">  </w:t>
      </w:r>
      <w:r w:rsidRPr="00B93493">
        <w:t>= 250 m, it follows:</w:t>
      </w:r>
    </w:p>
    <w:p w14:paraId="620FD3BE" w14:textId="77777777" w:rsidR="00CF04BC" w:rsidRPr="00B93493" w:rsidRDefault="00CF04BC" w:rsidP="00CF04BC">
      <w:pPr>
        <w:pStyle w:val="Blanc"/>
      </w:pPr>
    </w:p>
    <w:p w14:paraId="143B1344" w14:textId="77777777" w:rsidR="00CF04BC" w:rsidRPr="00B93493" w:rsidRDefault="00CF04BC" w:rsidP="00CF04BC">
      <w:pPr>
        <w:pStyle w:val="Equation"/>
      </w:pPr>
      <w:r w:rsidRPr="00B93493">
        <w:tab/>
      </w:r>
      <w:r w:rsidRPr="00B93493">
        <w:tab/>
      </w:r>
      <w:r w:rsidRPr="00B93493">
        <w:rPr>
          <w:i/>
        </w:rPr>
        <w:t>R</w:t>
      </w:r>
      <w:r w:rsidRPr="00B93493">
        <w:t xml:space="preserve"> </w:t>
      </w:r>
      <w:r w:rsidRPr="00B93493">
        <w:rPr>
          <w:rFonts w:ascii="Symbol" w:hAnsi="Symbol"/>
        </w:rPr>
        <w:t></w:t>
      </w:r>
      <w:r w:rsidRPr="00B93493">
        <w:t xml:space="preserve"> 47.8 km;  </w:t>
      </w:r>
      <w:r w:rsidRPr="00B93493">
        <w:rPr>
          <w:i/>
        </w:rPr>
        <w:t>R</w:t>
      </w:r>
      <w:r w:rsidRPr="00B93493">
        <w:rPr>
          <w:vertAlign w:val="superscript"/>
        </w:rPr>
        <w:t>2</w:t>
      </w:r>
      <w:r w:rsidRPr="00B93493">
        <w:t xml:space="preserve"> </w:t>
      </w:r>
      <w:r w:rsidRPr="00B93493">
        <w:rPr>
          <w:rFonts w:ascii="Symbol" w:hAnsi="Symbol"/>
        </w:rPr>
        <w:t></w:t>
      </w:r>
      <w:r w:rsidRPr="00B93493">
        <w:t xml:space="preserve"> 2 285 km</w:t>
      </w:r>
      <w:r w:rsidRPr="00B93493">
        <w:rPr>
          <w:vertAlign w:val="superscript"/>
        </w:rPr>
        <w:t>2</w:t>
      </w:r>
    </w:p>
    <w:p w14:paraId="395ED91E" w14:textId="77777777" w:rsidR="00CF04BC" w:rsidRPr="00B93493" w:rsidRDefault="00CF04BC" w:rsidP="00CF04BC">
      <w:pPr>
        <w:pStyle w:val="Blanc"/>
      </w:pPr>
    </w:p>
    <w:p w14:paraId="06BC1D55" w14:textId="69BA5A9D" w:rsidR="00CF04BC" w:rsidRPr="00B93493" w:rsidRDefault="00CF04BC" w:rsidP="00CF04BC">
      <w:r w:rsidRPr="00B93493">
        <w:t>Let us assume that service area under consideration is subdivided by three zones of different categories in proportion presented in § 4.7.1</w:t>
      </w:r>
      <w:r w:rsidR="006C0CF6">
        <w:t xml:space="preserve"> </w:t>
      </w:r>
      <w:r w:rsidRPr="00B93493">
        <w:t>c)</w:t>
      </w:r>
      <w:r w:rsidR="006C0CF6">
        <w:t>,</w:t>
      </w:r>
      <w:r w:rsidRPr="00B93493">
        <w:t xml:space="preserve"> i.e.:</w:t>
      </w:r>
      <w:r w:rsidRPr="00B93493">
        <w:rPr>
          <w:sz w:val="16"/>
          <w:szCs w:val="16"/>
        </w:rPr>
        <w:t xml:space="preserve"> </w:t>
      </w:r>
      <w:r w:rsidRPr="00B93493">
        <w:rPr>
          <w:position w:val="-10"/>
        </w:rPr>
        <w:object w:dxaOrig="416" w:dyaOrig="341" w14:anchorId="7F38398A">
          <v:shape id="_x0000_i1048" type="#_x0000_t75" style="width:22.45pt;height:20.15pt" o:ole="">
            <v:imagedata r:id="rId73" o:title=""/>
          </v:shape>
          <o:OLEObject Type="Embed" ProgID="Equation.3" ShapeID="_x0000_i1048" DrawAspect="Content" ObjectID="_1812968330" r:id="rId74"/>
        </w:object>
      </w:r>
      <w:r w:rsidRPr="00B93493">
        <w:rPr>
          <w:sz w:val="10"/>
          <w:szCs w:val="10"/>
        </w:rPr>
        <w:t> </w:t>
      </w:r>
      <w:r w:rsidRPr="00B93493">
        <w:t xml:space="preserve">= 2.45 </w:t>
      </w:r>
      <w:r w:rsidRPr="00B93493">
        <w:rPr>
          <w:i/>
        </w:rPr>
        <w:t>R</w:t>
      </w:r>
      <w:r w:rsidRPr="00B93493">
        <w:rPr>
          <w:vertAlign w:val="superscript"/>
        </w:rPr>
        <w:t>2</w:t>
      </w:r>
      <w:r w:rsidRPr="00B93493">
        <w:t>,</w:t>
      </w:r>
      <w:r w:rsidRPr="00B93493">
        <w:rPr>
          <w:sz w:val="10"/>
          <w:szCs w:val="10"/>
        </w:rPr>
        <w:t xml:space="preserve"> </w:t>
      </w:r>
      <w:r w:rsidRPr="00B93493">
        <w:rPr>
          <w:position w:val="-10"/>
        </w:rPr>
        <w:object w:dxaOrig="416" w:dyaOrig="341" w14:anchorId="2B044D28">
          <v:shape id="_x0000_i1049" type="#_x0000_t75" style="width:22.45pt;height:20.15pt" o:ole="">
            <v:imagedata r:id="rId75" o:title=""/>
          </v:shape>
          <o:OLEObject Type="Embed" ProgID="Equation.3" ShapeID="_x0000_i1049" DrawAspect="Content" ObjectID="_1812968331" r:id="rId76"/>
        </w:object>
      </w:r>
      <w:r w:rsidRPr="00B93493">
        <w:rPr>
          <w:sz w:val="16"/>
          <w:szCs w:val="16"/>
        </w:rPr>
        <w:t xml:space="preserve"> </w:t>
      </w:r>
      <w:r w:rsidRPr="00B93493">
        <w:t>=</w:t>
      </w:r>
      <w:r w:rsidRPr="00B93493">
        <w:rPr>
          <w:sz w:val="10"/>
          <w:szCs w:val="10"/>
        </w:rPr>
        <w:t xml:space="preserve"> </w:t>
      </w:r>
      <w:r w:rsidRPr="00B93493">
        <w:t>0.51 </w:t>
      </w:r>
      <w:r w:rsidRPr="00B93493">
        <w:rPr>
          <w:i/>
        </w:rPr>
        <w:t>R</w:t>
      </w:r>
      <w:r w:rsidRPr="00B93493">
        <w:rPr>
          <w:iCs/>
          <w:vertAlign w:val="superscript"/>
        </w:rPr>
        <w:t>2</w:t>
      </w:r>
      <w:r w:rsidRPr="00B93493">
        <w:t xml:space="preserve"> and</w:t>
      </w:r>
      <w:r w:rsidRPr="00B93493">
        <w:rPr>
          <w:sz w:val="10"/>
          <w:szCs w:val="10"/>
        </w:rPr>
        <w:t xml:space="preserve"> </w:t>
      </w:r>
      <w:r w:rsidRPr="00B93493">
        <w:rPr>
          <w:position w:val="-12"/>
        </w:rPr>
        <w:object w:dxaOrig="416" w:dyaOrig="391" w14:anchorId="5F10D245">
          <v:shape id="_x0000_i1050" type="#_x0000_t75" style="width:22.45pt;height:20.15pt" o:ole="">
            <v:imagedata r:id="rId77" o:title=""/>
          </v:shape>
          <o:OLEObject Type="Embed" ProgID="Equation.3" ShapeID="_x0000_i1050" DrawAspect="Content" ObjectID="_1812968332" r:id="rId78"/>
        </w:object>
      </w:r>
      <w:r w:rsidRPr="00B93493">
        <w:rPr>
          <w:sz w:val="10"/>
          <w:szCs w:val="10"/>
        </w:rPr>
        <w:t xml:space="preserve"> </w:t>
      </w:r>
      <w:r w:rsidRPr="00B93493">
        <w:rPr>
          <w:i/>
        </w:rPr>
        <w:t xml:space="preserve">= </w:t>
      </w:r>
      <w:r w:rsidRPr="00B93493">
        <w:t>0.18</w:t>
      </w:r>
      <w:r w:rsidRPr="00B93493">
        <w:rPr>
          <w:i/>
          <w:sz w:val="10"/>
          <w:szCs w:val="10"/>
        </w:rPr>
        <w:t> </w:t>
      </w:r>
      <w:r w:rsidRPr="00B93493">
        <w:rPr>
          <w:i/>
        </w:rPr>
        <w:t>R</w:t>
      </w:r>
      <w:r w:rsidRPr="00B93493">
        <w:rPr>
          <w:vertAlign w:val="superscript"/>
        </w:rPr>
        <w:t>2</w:t>
      </w:r>
      <w:r w:rsidRPr="00B93493">
        <w:t xml:space="preserve">. Let us assume that relevant coefficients </w:t>
      </w:r>
      <w:r w:rsidRPr="00B93493">
        <w:rPr>
          <w:i/>
        </w:rPr>
        <w:t>b</w:t>
      </w:r>
      <w:r w:rsidRPr="00B93493">
        <w:rPr>
          <w:i/>
          <w:vertAlign w:val="subscript"/>
        </w:rPr>
        <w:t>j</w:t>
      </w:r>
      <w:r w:rsidRPr="00B93493">
        <w:t xml:space="preserve"> from Table </w:t>
      </w:r>
      <w:r>
        <w:rPr>
          <w:rFonts w:hint="eastAsia"/>
          <w:lang w:eastAsia="zh-CN"/>
        </w:rPr>
        <w:t>2</w:t>
      </w:r>
      <w:r w:rsidRPr="00B93493">
        <w:t xml:space="preserve"> are equal: </w:t>
      </w:r>
      <w:r w:rsidRPr="00B93493">
        <w:rPr>
          <w:i/>
        </w:rPr>
        <w:t>b</w:t>
      </w:r>
      <w:r w:rsidRPr="00B93493">
        <w:rPr>
          <w:vertAlign w:val="subscript"/>
        </w:rPr>
        <w:t>1</w:t>
      </w:r>
      <w:r w:rsidRPr="00B93493">
        <w:t xml:space="preserve"> = 1, </w:t>
      </w:r>
      <w:r w:rsidRPr="00B93493">
        <w:rPr>
          <w:i/>
        </w:rPr>
        <w:t>b</w:t>
      </w:r>
      <w:r w:rsidRPr="00B93493">
        <w:rPr>
          <w:vertAlign w:val="subscript"/>
        </w:rPr>
        <w:t>2</w:t>
      </w:r>
      <w:r w:rsidRPr="00B93493">
        <w:t xml:space="preserve"> = 0.8 and </w:t>
      </w:r>
      <w:r w:rsidRPr="00B93493">
        <w:rPr>
          <w:i/>
        </w:rPr>
        <w:t>b</w:t>
      </w:r>
      <w:r w:rsidRPr="00B93493">
        <w:rPr>
          <w:vertAlign w:val="subscript"/>
        </w:rPr>
        <w:t>3</w:t>
      </w:r>
      <w:r w:rsidRPr="00B93493">
        <w:t xml:space="preserve"> = 0.6. Then, in accordance with equation (23) it follows:</w:t>
      </w:r>
    </w:p>
    <w:p w14:paraId="79BDF9A7" w14:textId="77777777" w:rsidR="00CF04BC" w:rsidRPr="00B93493" w:rsidRDefault="00CF04BC" w:rsidP="00CF04BC">
      <w:pPr>
        <w:pStyle w:val="Blanc"/>
      </w:pPr>
    </w:p>
    <w:p w14:paraId="081F6938" w14:textId="77777777" w:rsidR="00CF04BC" w:rsidRDefault="00CF04BC" w:rsidP="00CF04BC">
      <w:pPr>
        <w:pStyle w:val="Equation"/>
      </w:pPr>
      <w:r w:rsidRPr="00B93493">
        <w:tab/>
      </w:r>
      <w:r>
        <w:tab/>
      </w:r>
      <m:oMath>
        <m:nary>
          <m:naryPr>
            <m:chr m:val="∑"/>
            <m:limLoc m:val="undOvr"/>
            <m:subHide m:val="1"/>
            <m:supHide m:val="1"/>
            <m:ctrlPr>
              <w:rPr>
                <w:rFonts w:ascii="Cambria Math" w:hAnsi="Cambria Math"/>
                <w:i/>
              </w:rPr>
            </m:ctrlPr>
          </m:naryPr>
          <m:sub/>
          <m:sup/>
          <m:e>
            <m:r>
              <w:rPr>
                <w:rFonts w:ascii="Cambria Math" w:hAnsi="Cambria Math"/>
              </w:rPr>
              <m:t>S</m:t>
            </m:r>
          </m:e>
        </m:nary>
        <m:r>
          <w:rPr>
            <w:rFonts w:ascii="Cambria Math" w:hAnsi="Cambria Math"/>
          </w:rPr>
          <m:t xml:space="preserve">=2 285 </m:t>
        </m:r>
        <m:d>
          <m:dPr>
            <m:ctrlPr>
              <w:rPr>
                <w:rFonts w:ascii="Cambria Math" w:hAnsi="Cambria Math"/>
                <w:i/>
              </w:rPr>
            </m:ctrlPr>
          </m:dPr>
          <m:e>
            <m:r>
              <w:rPr>
                <w:rFonts w:ascii="Cambria Math" w:hAnsi="Cambria Math"/>
              </w:rPr>
              <m:t>1∙2.45+0.8∙0.51+0.6∙0.18</m:t>
            </m:r>
          </m:e>
        </m:d>
        <m:r>
          <w:rPr>
            <w:rFonts w:ascii="Cambria Math" w:hAnsi="Cambria Math"/>
          </w:rPr>
          <m:t xml:space="preserve">=6 777 </m:t>
        </m:r>
        <m:sSup>
          <m:sSupPr>
            <m:ctrlPr>
              <w:rPr>
                <w:rFonts w:ascii="Cambria Math" w:hAnsi="Cambria Math"/>
                <w:i/>
              </w:rPr>
            </m:ctrlPr>
          </m:sSupPr>
          <m:e>
            <m:r>
              <m:rPr>
                <m:sty m:val="p"/>
              </m:rPr>
              <w:rPr>
                <w:rFonts w:ascii="Cambria Math" w:hAnsi="Cambria Math"/>
              </w:rPr>
              <m:t>km</m:t>
            </m:r>
          </m:e>
          <m:sup>
            <m:r>
              <w:rPr>
                <w:rFonts w:ascii="Cambria Math" w:hAnsi="Cambria Math"/>
              </w:rPr>
              <m:t>2</m:t>
            </m:r>
          </m:sup>
        </m:sSup>
      </m:oMath>
    </w:p>
    <w:p w14:paraId="38142C09" w14:textId="77777777" w:rsidR="00CF04BC" w:rsidRPr="00B93493" w:rsidRDefault="00CF04BC" w:rsidP="00CF04BC">
      <w:r w:rsidRPr="00B93493">
        <w:t>It is instead of 7</w:t>
      </w:r>
      <w:r w:rsidRPr="00B93493">
        <w:rPr>
          <w:rFonts w:ascii="Tms Rmn" w:hAnsi="Tms Rmn"/>
          <w:sz w:val="12"/>
        </w:rPr>
        <w:t> </w:t>
      </w:r>
      <w:r w:rsidRPr="00B93493">
        <w:t>179 km</w:t>
      </w:r>
      <w:r w:rsidRPr="00B93493">
        <w:rPr>
          <w:vertAlign w:val="superscript"/>
        </w:rPr>
        <w:t>2</w:t>
      </w:r>
      <w:r w:rsidRPr="00B93493">
        <w:t xml:space="preserve"> when the whole service area lies within one zone having </w:t>
      </w:r>
      <w:r w:rsidRPr="00B93493">
        <w:rPr>
          <w:i/>
          <w:iCs/>
        </w:rPr>
        <w:t>b</w:t>
      </w:r>
      <w:r w:rsidRPr="00B93493">
        <w:t xml:space="preserve"> = 1.</w:t>
      </w:r>
    </w:p>
    <w:p w14:paraId="78EA32ED" w14:textId="77777777" w:rsidR="00CF04BC" w:rsidRPr="00B93493" w:rsidRDefault="00CF04BC" w:rsidP="00CF04BC">
      <w:pPr>
        <w:pStyle w:val="Headingb"/>
      </w:pPr>
      <w:bookmarkStart w:id="1855" w:name="_Toc462234081"/>
      <w:bookmarkStart w:id="1856" w:name="_Toc454284912"/>
      <w:r w:rsidRPr="00B93493">
        <w:t>d)</w:t>
      </w:r>
      <w:r w:rsidRPr="00B93493">
        <w:tab/>
        <w:t>Spectral resource used</w:t>
      </w:r>
      <w:bookmarkEnd w:id="1855"/>
      <w:bookmarkEnd w:id="1856"/>
    </w:p>
    <w:p w14:paraId="4BB0B03F" w14:textId="43E0053D" w:rsidR="00CF04BC" w:rsidRPr="00B93493" w:rsidRDefault="00CF04BC" w:rsidP="00CF04BC">
      <w:r w:rsidRPr="00B93493">
        <w:t xml:space="preserve">Substituting values calculated in b) and c) to equation (20), using values of weighting coefficients presented in Table </w:t>
      </w:r>
      <w:r>
        <w:rPr>
          <w:rFonts w:hint="eastAsia"/>
          <w:lang w:eastAsia="zh-CN"/>
        </w:rPr>
        <w:t>3</w:t>
      </w:r>
      <w:r w:rsidRPr="00B93493">
        <w:t xml:space="preserve"> and taking into account non-sharing conditions (</w:t>
      </w:r>
      <w:r w:rsidRPr="00B93493">
        <w:sym w:font="Symbol" w:char="F062"/>
      </w:r>
      <w:r w:rsidRPr="00B93493">
        <w:t xml:space="preserve"> = 1), </w:t>
      </w:r>
      <w:r w:rsidR="00092428">
        <w:t>is obtained</w:t>
      </w:r>
      <w:r w:rsidRPr="00B93493">
        <w:t>:</w:t>
      </w:r>
    </w:p>
    <w:p w14:paraId="54664E5B" w14:textId="77777777" w:rsidR="00CF04BC" w:rsidRPr="00B93493" w:rsidRDefault="00CF04BC" w:rsidP="00CF04BC">
      <w:pPr>
        <w:pStyle w:val="Blanc"/>
      </w:pPr>
    </w:p>
    <w:p w14:paraId="73D8E15B" w14:textId="77777777" w:rsidR="00CF04BC" w:rsidRPr="00B93493" w:rsidRDefault="00CF04BC" w:rsidP="00CF04BC">
      <w:pPr>
        <w:pStyle w:val="Equation"/>
      </w:pPr>
      <w:r w:rsidRPr="00B93493">
        <w:rPr>
          <w:i/>
        </w:rPr>
        <w:tab/>
      </w:r>
      <w:r w:rsidRPr="00B93493">
        <w:rPr>
          <w:i/>
        </w:rPr>
        <w:tab/>
        <w:t>W</w:t>
      </w:r>
      <w:r w:rsidRPr="00B93493">
        <w:t> = 2.4 × 1 × 1 × 1 × 1 × 0.18 × 6 777 × 0.83 = 2</w:t>
      </w:r>
      <w:r w:rsidRPr="00B93493">
        <w:rPr>
          <w:rFonts w:ascii="Tms Rmn" w:hAnsi="Tms Rmn"/>
          <w:sz w:val="12"/>
        </w:rPr>
        <w:t> </w:t>
      </w:r>
      <w:r w:rsidRPr="00B93493">
        <w:t xml:space="preserve">430          MHz </w:t>
      </w:r>
      <w:r w:rsidRPr="00B93493">
        <w:rPr>
          <w:szCs w:val="24"/>
        </w:rPr>
        <w:sym w:font="Symbol" w:char="F0D7"/>
      </w:r>
      <w:r w:rsidRPr="00B93493">
        <w:t xml:space="preserve"> km</w:t>
      </w:r>
      <w:r w:rsidRPr="00B93493">
        <w:rPr>
          <w:vertAlign w:val="superscript"/>
        </w:rPr>
        <w:t>2</w:t>
      </w:r>
      <w:r w:rsidRPr="00B93493">
        <w:rPr>
          <w:sz w:val="20"/>
        </w:rPr>
        <w:t xml:space="preserve"> </w:t>
      </w:r>
      <w:r w:rsidRPr="00B93493">
        <w:rPr>
          <w:szCs w:val="24"/>
        </w:rPr>
        <w:sym w:font="Symbol" w:char="F0D7"/>
      </w:r>
      <w:r w:rsidRPr="00B93493">
        <w:t xml:space="preserve"> 1 year</w:t>
      </w:r>
    </w:p>
    <w:p w14:paraId="624A5A44" w14:textId="77777777" w:rsidR="00CF04BC" w:rsidRPr="00B93493" w:rsidRDefault="00CF04BC" w:rsidP="00CF04BC">
      <w:pPr>
        <w:pStyle w:val="Blanc"/>
      </w:pPr>
    </w:p>
    <w:p w14:paraId="5975C66E" w14:textId="77777777" w:rsidR="00CF04BC" w:rsidRPr="00B93493" w:rsidRDefault="00CF04BC" w:rsidP="00CF04BC">
      <w:pPr>
        <w:pStyle w:val="Heading3"/>
      </w:pPr>
      <w:bookmarkStart w:id="1857" w:name="_Toc462234082"/>
      <w:bookmarkStart w:id="1858" w:name="_Toc289868845"/>
      <w:bookmarkStart w:id="1859" w:name="_Toc289933359"/>
      <w:bookmarkStart w:id="1860" w:name="_Toc392515908"/>
      <w:bookmarkStart w:id="1861" w:name="_Toc518394235"/>
      <w:bookmarkStart w:id="1862" w:name="_Toc289869005"/>
      <w:bookmarkStart w:id="1863" w:name="_Toc289932313"/>
      <w:bookmarkStart w:id="1864" w:name="_Toc291852922"/>
      <w:bookmarkStart w:id="1865" w:name="_Toc182391554"/>
      <w:bookmarkStart w:id="1866" w:name="_Toc182391965"/>
      <w:r w:rsidRPr="00B93493">
        <w:t>4.7.3</w:t>
      </w:r>
      <w:r w:rsidRPr="00B93493">
        <w:tab/>
        <w:t>LF-HF sound broadcasting</w:t>
      </w:r>
      <w:bookmarkEnd w:id="1857"/>
      <w:bookmarkEnd w:id="1858"/>
      <w:bookmarkEnd w:id="1859"/>
      <w:bookmarkEnd w:id="1860"/>
      <w:bookmarkEnd w:id="1861"/>
      <w:bookmarkEnd w:id="1862"/>
      <w:bookmarkEnd w:id="1863"/>
      <w:bookmarkEnd w:id="1864"/>
      <w:bookmarkEnd w:id="1865"/>
      <w:bookmarkEnd w:id="1866"/>
    </w:p>
    <w:p w14:paraId="164A611A" w14:textId="5DB3F88F" w:rsidR="00CF04BC" w:rsidRPr="00B93493" w:rsidRDefault="00CF04BC" w:rsidP="00CF04BC">
      <w:r w:rsidRPr="00B93493">
        <w:t>For LF-HF sound broadcasting stations time and frequency resources used are determined similarly to § 4.7.1</w:t>
      </w:r>
      <w:r w:rsidR="00BD2851">
        <w:t xml:space="preserve"> </w:t>
      </w:r>
      <w:r w:rsidRPr="00B93493">
        <w:t>b). Necessary bandwidths are calculated in accordance with Recommendation ITU</w:t>
      </w:r>
      <w:r w:rsidRPr="00B93493">
        <w:noBreakHyphen/>
        <w:t>R SM.1138-2 “Sound broadcasting”, row “Sound broadcasting, double-sideband” (class of emission A3E). It should be noted that for this kind of broadcasting the administrations usually use transmitters with different classes of quality, depending on highest modulating frequency which determines a necessary bandwidth value. Relevant data should be taken from a National Frequency Assignment Database.</w:t>
      </w:r>
    </w:p>
    <w:p w14:paraId="3E7BCE94" w14:textId="77777777" w:rsidR="00CF04BC" w:rsidRPr="00B93493" w:rsidRDefault="00CF04BC" w:rsidP="00CF04BC">
      <w:r w:rsidRPr="00B93493">
        <w:t>As far as it concerns a territorial resource used, its calculation for this case meets some difficulties due to complexity of calculations, especially for HF broadcasting, which hardly to be significantly simplified without losing a minimal necessary accuracy. For MF transmitters service area greatly differ for day-time and night-time operations. Taking account rather low number of LF-HF broadcasting stations in many countries, it is proposed that instead of complicated calculations the relevant data on service area from a National Frequency Assignment Database are used. If those are not available, they can be asked from operators. Operators usually have information on their service areas through calculations and/or monitoring.</w:t>
      </w:r>
    </w:p>
    <w:p w14:paraId="2EB0DD15" w14:textId="382B9378" w:rsidR="00CF04BC" w:rsidRPr="00B93493" w:rsidRDefault="00CF04BC" w:rsidP="00CF04BC">
      <w:r w:rsidRPr="00B93493">
        <w:t>On obtaining these data, related spectral resource used can be calculated similarly to the procedure presented in c). As far as for MF transmitters principally there are two considerable different values of service area for day-time and night-time operations, overall spectral resource used can be determined as a sum of two partial spectral resources which correspond to those different values of the service area.</w:t>
      </w:r>
    </w:p>
    <w:p w14:paraId="521E35E3" w14:textId="77777777" w:rsidR="00CF04BC" w:rsidRPr="00B93493" w:rsidRDefault="00CF04BC" w:rsidP="00CF04BC">
      <w:r w:rsidRPr="00B93493">
        <w:t>It should also be noted that service areas of LF, MF (night-time) and HF broadcasting transmitters can be very large and may be extended beyond borders of countries which sizes are relatively small. In this case (determined in co-operation with relevant operators) the service area may be considered as a whole territory of the country, or its larger part. Areas of zones belonging to different categories are determined by relevant administrative documentation or estimated by maps.</w:t>
      </w:r>
    </w:p>
    <w:p w14:paraId="6C061556" w14:textId="77777777" w:rsidR="00CF04BC" w:rsidRPr="00B93493" w:rsidRDefault="00CF04BC" w:rsidP="00CF04BC">
      <w:r w:rsidRPr="00B93493">
        <w:t>In case of directional transmitting antennas application, a “service sector” concept, given by Recommendation ITU-R F.162-3, can be used.</w:t>
      </w:r>
    </w:p>
    <w:p w14:paraId="406D7635" w14:textId="77777777" w:rsidR="00CF04BC" w:rsidRPr="00B93493" w:rsidRDefault="00CF04BC" w:rsidP="00CF04BC">
      <w:pPr>
        <w:pStyle w:val="Heading3"/>
      </w:pPr>
      <w:bookmarkStart w:id="1867" w:name="_Toc289933360"/>
      <w:bookmarkStart w:id="1868" w:name="_Toc289932314"/>
      <w:bookmarkStart w:id="1869" w:name="_Toc289869006"/>
      <w:bookmarkStart w:id="1870" w:name="_Toc289868846"/>
      <w:bookmarkStart w:id="1871" w:name="_Toc291852923"/>
      <w:bookmarkStart w:id="1872" w:name="_Toc462234083"/>
      <w:bookmarkStart w:id="1873" w:name="_Toc392515909"/>
      <w:bookmarkStart w:id="1874" w:name="_Toc518394236"/>
      <w:bookmarkStart w:id="1875" w:name="_Toc182391555"/>
      <w:bookmarkStart w:id="1876" w:name="_Toc182391966"/>
      <w:r w:rsidRPr="00B93493">
        <w:t>4.7.4</w:t>
      </w:r>
      <w:r w:rsidRPr="00B93493">
        <w:tab/>
        <w:t>Mobile radio services</w:t>
      </w:r>
      <w:bookmarkEnd w:id="1867"/>
      <w:bookmarkEnd w:id="1868"/>
      <w:bookmarkEnd w:id="1869"/>
      <w:bookmarkEnd w:id="1870"/>
      <w:bookmarkEnd w:id="1871"/>
      <w:bookmarkEnd w:id="1872"/>
      <w:bookmarkEnd w:id="1873"/>
      <w:bookmarkEnd w:id="1874"/>
      <w:bookmarkEnd w:id="1875"/>
      <w:bookmarkEnd w:id="1876"/>
    </w:p>
    <w:p w14:paraId="425CB3BC" w14:textId="77777777" w:rsidR="00CF04BC" w:rsidRPr="00B93493" w:rsidRDefault="00CF04BC" w:rsidP="00CF04BC">
      <w:pPr>
        <w:pStyle w:val="Heading4"/>
      </w:pPr>
      <w:r w:rsidRPr="00B93493">
        <w:t>4.7.4.1</w:t>
      </w:r>
      <w:r w:rsidRPr="00B93493">
        <w:tab/>
        <w:t>Land mobile radio service</w:t>
      </w:r>
    </w:p>
    <w:p w14:paraId="7967FD06" w14:textId="77777777" w:rsidR="00CF04BC" w:rsidRPr="00B93493" w:rsidRDefault="00CF04BC" w:rsidP="00CF04BC">
      <w:pPr>
        <w:pStyle w:val="Headingb"/>
      </w:pPr>
      <w:bookmarkStart w:id="1877" w:name="_Toc454284915"/>
      <w:bookmarkStart w:id="1878" w:name="_Toc462234084"/>
      <w:r w:rsidRPr="00B93493">
        <w:t>a)</w:t>
      </w:r>
      <w:r w:rsidRPr="00B93493">
        <w:tab/>
        <w:t>Background of calculation procedures</w:t>
      </w:r>
      <w:bookmarkEnd w:id="1877"/>
      <w:bookmarkEnd w:id="1878"/>
    </w:p>
    <w:p w14:paraId="2562C532" w14:textId="606E5D1E" w:rsidR="00CF04BC" w:rsidRPr="00B93493" w:rsidRDefault="00CF04BC" w:rsidP="00CF04BC">
      <w:pPr>
        <w:rPr>
          <w:snapToGrid w:val="0"/>
        </w:rPr>
      </w:pPr>
      <w:r w:rsidRPr="00B93493">
        <w:rPr>
          <w:snapToGrid w:val="0"/>
        </w:rPr>
        <w:t xml:space="preserve">The procedure generally follows radio wave propagation model known as modified Okamura-Hata one, some information on which is given in Annex 8 to Recommendation </w:t>
      </w:r>
      <w:r w:rsidRPr="00D572F5">
        <w:rPr>
          <w:snapToGrid w:val="0"/>
        </w:rPr>
        <w:t>ITU-R P.1546-4. Th</w:t>
      </w:r>
      <w:r w:rsidRPr="00B93493">
        <w:rPr>
          <w:snapToGrid w:val="0"/>
        </w:rPr>
        <w:t>e model assumes existence of homogeneous urban development in limits of the service area, lack of direct visibility between the transmitter of the BS and mobile personal receiver, heights of transmitting and receiving antennas are in limits 20-200 m (but in the majority of cases they are 40</w:t>
      </w:r>
      <w:r w:rsidRPr="00B93493">
        <w:rPr>
          <w:snapToGrid w:val="0"/>
        </w:rPr>
        <w:noBreakHyphen/>
        <w:t>100 m) and 1.5-</w:t>
      </w:r>
      <w:r w:rsidR="00E91654" w:rsidRPr="00B93493">
        <w:rPr>
          <w:snapToGrid w:val="0"/>
        </w:rPr>
        <w:t>10</w:t>
      </w:r>
      <w:r w:rsidR="00E91654">
        <w:rPr>
          <w:snapToGrid w:val="0"/>
        </w:rPr>
        <w:t> </w:t>
      </w:r>
      <w:r w:rsidRPr="00B93493">
        <w:rPr>
          <w:snapToGrid w:val="0"/>
        </w:rPr>
        <w:t>m correspondingly.</w:t>
      </w:r>
    </w:p>
    <w:p w14:paraId="5933C5EF" w14:textId="77777777" w:rsidR="00CF04BC" w:rsidRPr="00B93493" w:rsidRDefault="00CF04BC" w:rsidP="00CF04BC">
      <w:pPr>
        <w:rPr>
          <w:snapToGrid w:val="0"/>
        </w:rPr>
      </w:pPr>
      <w:r w:rsidRPr="00B93493">
        <w:rPr>
          <w:snapToGrid w:val="0"/>
        </w:rPr>
        <w:t xml:space="preserve">Considering, for purposes of the given model, that antenna feeder losses at transmitting and receiving sides are both equal zero, the power of a signal </w:t>
      </w:r>
      <w:r w:rsidRPr="00B93493">
        <w:rPr>
          <w:i/>
          <w:snapToGrid w:val="0"/>
        </w:rPr>
        <w:t>P</w:t>
      </w:r>
      <w:r w:rsidRPr="00B93493">
        <w:rPr>
          <w:i/>
          <w:snapToGrid w:val="0"/>
          <w:vertAlign w:val="subscript"/>
        </w:rPr>
        <w:t>r</w:t>
      </w:r>
      <w:r w:rsidRPr="00B93493">
        <w:rPr>
          <w:snapToGrid w:val="0"/>
        </w:rPr>
        <w:t xml:space="preserve"> (dB</w:t>
      </w:r>
      <w:r w:rsidRPr="00B93493">
        <w:rPr>
          <w:iCs/>
          <w:snapToGrid w:val="0"/>
        </w:rPr>
        <w:t>W</w:t>
      </w:r>
      <w:r w:rsidRPr="00B93493">
        <w:rPr>
          <w:snapToGrid w:val="0"/>
        </w:rPr>
        <w:t>) at an input of the receiver can be presented as:</w:t>
      </w:r>
    </w:p>
    <w:p w14:paraId="323D5990" w14:textId="77777777" w:rsidR="00CF04BC" w:rsidRPr="00B93493" w:rsidRDefault="00CF04BC" w:rsidP="00CF04BC">
      <w:pPr>
        <w:pStyle w:val="Blanc"/>
      </w:pPr>
    </w:p>
    <w:p w14:paraId="76A1A6D3" w14:textId="77777777" w:rsidR="00CF04BC" w:rsidRPr="00180617" w:rsidRDefault="00CF04BC" w:rsidP="00CF04BC">
      <w:pPr>
        <w:pStyle w:val="Equation"/>
        <w:rPr>
          <w:snapToGrid w:val="0"/>
          <w:lang w:val="fr-FR"/>
        </w:rPr>
      </w:pPr>
      <w:r w:rsidRPr="00B93493">
        <w:rPr>
          <w:snapToGrid w:val="0"/>
        </w:rPr>
        <w:tab/>
      </w:r>
      <w:r w:rsidRPr="00B93493">
        <w:rPr>
          <w:snapToGrid w:val="0"/>
        </w:rPr>
        <w:tab/>
      </w:r>
      <w:r w:rsidRPr="00180617">
        <w:rPr>
          <w:i/>
          <w:iCs/>
          <w:snapToGrid w:val="0"/>
          <w:lang w:val="fr-FR"/>
        </w:rPr>
        <w:t>P</w:t>
      </w:r>
      <w:r w:rsidRPr="00180617">
        <w:rPr>
          <w:i/>
          <w:iCs/>
          <w:vertAlign w:val="subscript"/>
          <w:lang w:val="fr-FR"/>
        </w:rPr>
        <w:t>r</w:t>
      </w:r>
      <w:r w:rsidRPr="00180617">
        <w:rPr>
          <w:snapToGrid w:val="0"/>
          <w:lang w:val="fr-FR"/>
        </w:rPr>
        <w:t xml:space="preserve"> = </w:t>
      </w:r>
      <w:r w:rsidRPr="00180617">
        <w:rPr>
          <w:i/>
          <w:iCs/>
          <w:snapToGrid w:val="0"/>
          <w:lang w:val="fr-FR"/>
        </w:rPr>
        <w:t>P</w:t>
      </w:r>
      <w:r w:rsidRPr="00180617">
        <w:rPr>
          <w:i/>
          <w:iCs/>
          <w:vertAlign w:val="subscript"/>
          <w:lang w:val="fr-FR"/>
        </w:rPr>
        <w:t>t</w:t>
      </w:r>
      <w:r w:rsidRPr="00180617">
        <w:rPr>
          <w:snapToGrid w:val="0"/>
          <w:lang w:val="fr-FR"/>
        </w:rPr>
        <w:t xml:space="preserve"> + </w:t>
      </w:r>
      <w:r w:rsidRPr="00180617">
        <w:rPr>
          <w:i/>
          <w:iCs/>
          <w:snapToGrid w:val="0"/>
          <w:lang w:val="fr-FR"/>
        </w:rPr>
        <w:t>G</w:t>
      </w:r>
      <w:r w:rsidRPr="00180617">
        <w:rPr>
          <w:i/>
          <w:iCs/>
          <w:vertAlign w:val="subscript"/>
          <w:lang w:val="fr-FR"/>
        </w:rPr>
        <w:t>t</w:t>
      </w:r>
      <w:r w:rsidRPr="00180617">
        <w:rPr>
          <w:snapToGrid w:val="0"/>
          <w:lang w:val="fr-FR"/>
        </w:rPr>
        <w:t xml:space="preserve"> + </w:t>
      </w:r>
      <w:r w:rsidRPr="00180617">
        <w:rPr>
          <w:i/>
          <w:iCs/>
          <w:snapToGrid w:val="0"/>
          <w:lang w:val="fr-FR"/>
        </w:rPr>
        <w:t>G</w:t>
      </w:r>
      <w:r w:rsidRPr="00180617">
        <w:rPr>
          <w:i/>
          <w:iCs/>
          <w:vertAlign w:val="subscript"/>
          <w:lang w:val="fr-FR"/>
        </w:rPr>
        <w:t>r</w:t>
      </w:r>
      <w:r w:rsidRPr="00180617">
        <w:rPr>
          <w:lang w:val="fr-FR"/>
        </w:rPr>
        <w:t xml:space="preserve"> –</w:t>
      </w:r>
      <w:r w:rsidRPr="00180617">
        <w:rPr>
          <w:snapToGrid w:val="0"/>
          <w:lang w:val="fr-FR"/>
        </w:rPr>
        <w:t xml:space="preserve"> </w:t>
      </w:r>
      <w:r w:rsidRPr="00180617">
        <w:rPr>
          <w:i/>
          <w:snapToGrid w:val="0"/>
          <w:lang w:val="fr-FR"/>
        </w:rPr>
        <w:t>L</w:t>
      </w:r>
      <w:r w:rsidRPr="00180617">
        <w:rPr>
          <w:snapToGrid w:val="0"/>
          <w:lang w:val="fr-FR"/>
        </w:rPr>
        <w:t>(</w:t>
      </w:r>
      <w:r w:rsidRPr="00180617">
        <w:rPr>
          <w:i/>
          <w:snapToGrid w:val="0"/>
          <w:lang w:val="fr-FR"/>
        </w:rPr>
        <w:t>R</w:t>
      </w:r>
      <w:r w:rsidRPr="00180617">
        <w:rPr>
          <w:snapToGrid w:val="0"/>
          <w:lang w:val="fr-FR"/>
        </w:rPr>
        <w:t xml:space="preserve">)                dBW </w:t>
      </w:r>
      <w:r w:rsidRPr="00180617">
        <w:rPr>
          <w:snapToGrid w:val="0"/>
          <w:lang w:val="fr-FR"/>
        </w:rPr>
        <w:tab/>
        <w:t>(37)</w:t>
      </w:r>
    </w:p>
    <w:p w14:paraId="3289F1BA" w14:textId="77777777" w:rsidR="00CF04BC" w:rsidRPr="00B93493" w:rsidRDefault="00CF04BC" w:rsidP="00CF04BC">
      <w:pPr>
        <w:rPr>
          <w:snapToGrid w:val="0"/>
        </w:rPr>
      </w:pPr>
      <w:r w:rsidRPr="00B93493">
        <w:rPr>
          <w:snapToGrid w:val="0"/>
        </w:rPr>
        <w:t>where:</w:t>
      </w:r>
    </w:p>
    <w:p w14:paraId="710B36D2" w14:textId="77777777" w:rsidR="00CF04BC" w:rsidRPr="00B93493" w:rsidRDefault="00CF04BC" w:rsidP="00CF04BC">
      <w:pPr>
        <w:pStyle w:val="Equationlegend"/>
        <w:rPr>
          <w:snapToGrid w:val="0"/>
        </w:rPr>
      </w:pPr>
      <w:r w:rsidRPr="00B93493">
        <w:rPr>
          <w:i/>
          <w:snapToGrid w:val="0"/>
        </w:rPr>
        <w:tab/>
        <w:t>P</w:t>
      </w:r>
      <w:r w:rsidRPr="00B93493">
        <w:rPr>
          <w:i/>
          <w:snapToGrid w:val="0"/>
          <w:vertAlign w:val="subscript"/>
        </w:rPr>
        <w:t>t</w:t>
      </w:r>
      <w:r w:rsidRPr="00B93493">
        <w:t xml:space="preserve"> </w:t>
      </w:r>
      <w:r w:rsidRPr="00B93493">
        <w:rPr>
          <w:snapToGrid w:val="0"/>
        </w:rPr>
        <w:t>:</w:t>
      </w:r>
      <w:r w:rsidRPr="00B93493">
        <w:rPr>
          <w:snapToGrid w:val="0"/>
        </w:rPr>
        <w:tab/>
        <w:t>transmitter power (dBW)</w:t>
      </w:r>
    </w:p>
    <w:p w14:paraId="564316B7" w14:textId="77777777" w:rsidR="00CF04BC" w:rsidRPr="00B93493" w:rsidRDefault="00CF04BC" w:rsidP="00CF04BC">
      <w:pPr>
        <w:pStyle w:val="Equationlegend"/>
        <w:rPr>
          <w:snapToGrid w:val="0"/>
        </w:rPr>
      </w:pPr>
      <w:r w:rsidRPr="00B93493">
        <w:rPr>
          <w:i/>
          <w:snapToGrid w:val="0"/>
        </w:rPr>
        <w:tab/>
        <w:t>G</w:t>
      </w:r>
      <w:r w:rsidRPr="00B93493">
        <w:rPr>
          <w:i/>
          <w:snapToGrid w:val="0"/>
          <w:vertAlign w:val="subscript"/>
        </w:rPr>
        <w:t>t</w:t>
      </w:r>
      <w:r w:rsidRPr="00B93493">
        <w:t xml:space="preserve"> </w:t>
      </w:r>
      <w:r w:rsidRPr="00B93493">
        <w:rPr>
          <w:snapToGrid w:val="0"/>
        </w:rPr>
        <w:t>:</w:t>
      </w:r>
      <w:r w:rsidRPr="00B93493">
        <w:rPr>
          <w:snapToGrid w:val="0"/>
        </w:rPr>
        <w:tab/>
        <w:t>transmitter antenna gain (dB)</w:t>
      </w:r>
    </w:p>
    <w:p w14:paraId="66CB5135" w14:textId="77777777" w:rsidR="00CF04BC" w:rsidRPr="00B93493" w:rsidRDefault="00CF04BC" w:rsidP="00CF04BC">
      <w:pPr>
        <w:pStyle w:val="Equationlegend"/>
        <w:rPr>
          <w:snapToGrid w:val="0"/>
        </w:rPr>
      </w:pPr>
      <w:r w:rsidRPr="00B93493">
        <w:rPr>
          <w:i/>
          <w:snapToGrid w:val="0"/>
        </w:rPr>
        <w:tab/>
        <w:t>G</w:t>
      </w:r>
      <w:r w:rsidRPr="00B93493">
        <w:rPr>
          <w:i/>
          <w:snapToGrid w:val="0"/>
          <w:vertAlign w:val="subscript"/>
        </w:rPr>
        <w:t>r</w:t>
      </w:r>
      <w:r w:rsidRPr="00B93493">
        <w:t xml:space="preserve"> </w:t>
      </w:r>
      <w:r w:rsidRPr="00B93493">
        <w:rPr>
          <w:snapToGrid w:val="0"/>
        </w:rPr>
        <w:t>:</w:t>
      </w:r>
      <w:r w:rsidRPr="00B93493">
        <w:rPr>
          <w:snapToGrid w:val="0"/>
        </w:rPr>
        <w:tab/>
        <w:t>receiver antenna gain (dB)</w:t>
      </w:r>
    </w:p>
    <w:p w14:paraId="20F73938" w14:textId="77777777" w:rsidR="00CF04BC" w:rsidRPr="00B93493" w:rsidRDefault="00CF04BC" w:rsidP="00CF04BC">
      <w:pPr>
        <w:pStyle w:val="Equationlegend"/>
        <w:rPr>
          <w:snapToGrid w:val="0"/>
        </w:rPr>
      </w:pPr>
      <w:r w:rsidRPr="00B93493">
        <w:rPr>
          <w:snapToGrid w:val="0"/>
        </w:rPr>
        <w:tab/>
      </w:r>
      <w:r w:rsidRPr="00B93493">
        <w:rPr>
          <w:i/>
          <w:snapToGrid w:val="0"/>
        </w:rPr>
        <w:t>L</w:t>
      </w:r>
      <w:r w:rsidRPr="00B93493">
        <w:rPr>
          <w:iCs/>
          <w:snapToGrid w:val="0"/>
        </w:rPr>
        <w:t>(</w:t>
      </w:r>
      <w:r w:rsidRPr="00B93493">
        <w:rPr>
          <w:i/>
          <w:snapToGrid w:val="0"/>
        </w:rPr>
        <w:t>R</w:t>
      </w:r>
      <w:r w:rsidRPr="00B93493">
        <w:rPr>
          <w:iCs/>
          <w:snapToGrid w:val="0"/>
        </w:rPr>
        <w:t>)</w:t>
      </w:r>
      <w:r w:rsidRPr="00B93493">
        <w:t xml:space="preserve"> </w:t>
      </w:r>
      <w:r w:rsidRPr="00B93493">
        <w:rPr>
          <w:snapToGrid w:val="0"/>
        </w:rPr>
        <w:t>:</w:t>
      </w:r>
      <w:r w:rsidRPr="00B93493">
        <w:rPr>
          <w:snapToGrid w:val="0"/>
        </w:rPr>
        <w:tab/>
        <w:t>transmission losses between transmitter and receiver (dB).</w:t>
      </w:r>
    </w:p>
    <w:p w14:paraId="475AE073" w14:textId="77777777" w:rsidR="00CF04BC" w:rsidRPr="00B93493" w:rsidRDefault="00CF04BC" w:rsidP="00CF04BC">
      <w:pPr>
        <w:rPr>
          <w:snapToGrid w:val="0"/>
        </w:rPr>
      </w:pPr>
      <w:r w:rsidRPr="00B93493">
        <w:rPr>
          <w:snapToGrid w:val="0"/>
        </w:rPr>
        <w:t>To provide the necessary quality of the received signal at a border of the service area the following condition should generally be met:</w:t>
      </w:r>
    </w:p>
    <w:p w14:paraId="04618415" w14:textId="77777777" w:rsidR="00CF04BC" w:rsidRPr="00B93493" w:rsidRDefault="00CF04BC" w:rsidP="00CF04BC">
      <w:pPr>
        <w:pStyle w:val="Blanc"/>
      </w:pPr>
    </w:p>
    <w:p w14:paraId="2C14C71D" w14:textId="77777777" w:rsidR="00CF04BC" w:rsidRDefault="00CF04BC" w:rsidP="00CF04BC">
      <w:pPr>
        <w:pStyle w:val="Equation"/>
        <w:rPr>
          <w:i/>
          <w:snapToGrid w:val="0"/>
        </w:rPr>
      </w:pPr>
      <w:r w:rsidRPr="00B93493">
        <w:rPr>
          <w:i/>
          <w:snapToGrid w:val="0"/>
        </w:rPr>
        <w:tab/>
      </w:r>
      <w:r>
        <w:rPr>
          <w:i/>
          <w:snapToGrid w:val="0"/>
        </w:rPr>
        <w:tab/>
      </w:r>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r</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min</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k</m:t>
            </m:r>
          </m:e>
          <m:sub>
            <m:r>
              <w:rPr>
                <w:rFonts w:ascii="Cambria Math" w:hAnsi="Cambria Math"/>
                <w:snapToGrid w:val="0"/>
              </w:rPr>
              <m:t>f</m:t>
            </m:r>
          </m:sub>
        </m:sSub>
        <m:r>
          <m:rPr>
            <m:sty m:val="p"/>
          </m:rPr>
          <w:rPr>
            <w:rFonts w:ascii="Cambria Math" w:hAnsi="Cambria Math"/>
            <w:snapToGrid w:val="0"/>
          </w:rPr>
          <m:t>σ</m:t>
        </m:r>
      </m:oMath>
    </w:p>
    <w:p w14:paraId="342760D4" w14:textId="77777777" w:rsidR="00CF04BC" w:rsidRPr="00B93493" w:rsidRDefault="00CF04BC" w:rsidP="00CF04BC">
      <w:pPr>
        <w:rPr>
          <w:snapToGrid w:val="0"/>
        </w:rPr>
      </w:pPr>
      <w:r w:rsidRPr="00B93493">
        <w:rPr>
          <w:snapToGrid w:val="0"/>
        </w:rPr>
        <w:t>where:</w:t>
      </w:r>
    </w:p>
    <w:p w14:paraId="65BA6ED1" w14:textId="77777777" w:rsidR="00CF04BC" w:rsidRPr="00B93493" w:rsidRDefault="00CF04BC" w:rsidP="00CF04BC">
      <w:pPr>
        <w:pStyle w:val="Equationlegend"/>
        <w:rPr>
          <w:snapToGrid w:val="0"/>
        </w:rPr>
      </w:pPr>
      <w:r w:rsidRPr="00B93493">
        <w:rPr>
          <w:i/>
          <w:snapToGrid w:val="0"/>
        </w:rPr>
        <w:tab/>
        <w:t>P</w:t>
      </w:r>
      <w:r w:rsidRPr="00B93493">
        <w:rPr>
          <w:i/>
          <w:snapToGrid w:val="0"/>
          <w:vertAlign w:val="subscript"/>
        </w:rPr>
        <w:t>min</w:t>
      </w:r>
      <w:r w:rsidRPr="00B93493">
        <w:t xml:space="preserve"> </w:t>
      </w:r>
      <w:r w:rsidRPr="00B93493">
        <w:rPr>
          <w:snapToGrid w:val="0"/>
        </w:rPr>
        <w:t>:</w:t>
      </w:r>
      <w:r w:rsidRPr="00B93493">
        <w:rPr>
          <w:snapToGrid w:val="0"/>
        </w:rPr>
        <w:tab/>
        <w:t>minimal power of a received signal which equals to a sensitivity of the receiver (dBW)</w:t>
      </w:r>
    </w:p>
    <w:p w14:paraId="3C3A44E8" w14:textId="77777777" w:rsidR="00CF04BC" w:rsidRPr="00B93493" w:rsidRDefault="00CF04BC" w:rsidP="00CF04BC">
      <w:pPr>
        <w:pStyle w:val="Equationlegend"/>
        <w:rPr>
          <w:snapToGrid w:val="0"/>
        </w:rPr>
      </w:pPr>
      <w:r w:rsidRPr="00B93493">
        <w:rPr>
          <w:i/>
          <w:snapToGrid w:val="0"/>
        </w:rPr>
        <w:tab/>
        <w:t>k</w:t>
      </w:r>
      <w:r w:rsidRPr="00B93493">
        <w:rPr>
          <w:i/>
          <w:snapToGrid w:val="0"/>
          <w:vertAlign w:val="subscript"/>
        </w:rPr>
        <w:t>f</w:t>
      </w:r>
      <w:r w:rsidRPr="00B93493">
        <w:t xml:space="preserve"> </w:t>
      </w:r>
      <w:r w:rsidRPr="00B93493">
        <w:rPr>
          <w:snapToGrid w:val="0"/>
        </w:rPr>
        <w:t>:</w:t>
      </w:r>
      <w:r w:rsidRPr="00B93493">
        <w:rPr>
          <w:snapToGrid w:val="0"/>
        </w:rPr>
        <w:tab/>
        <w:t>fading allowance a signal for a given time of the signal quality deterioration</w:t>
      </w:r>
    </w:p>
    <w:p w14:paraId="22725139" w14:textId="77777777" w:rsidR="00CF04BC" w:rsidRPr="00B93493" w:rsidRDefault="00CF04BC" w:rsidP="00CF04BC">
      <w:pPr>
        <w:pStyle w:val="Equationlegend"/>
        <w:rPr>
          <w:snapToGrid w:val="0"/>
        </w:rPr>
      </w:pPr>
      <w:r w:rsidRPr="00B93493">
        <w:rPr>
          <w:snapToGrid w:val="0"/>
        </w:rPr>
        <w:tab/>
      </w:r>
      <w:r w:rsidRPr="00B93493">
        <w:rPr>
          <w:snapToGrid w:val="0"/>
          <w:szCs w:val="24"/>
        </w:rPr>
        <w:sym w:font="Symbol" w:char="F073"/>
      </w:r>
      <w:r w:rsidRPr="00B93493">
        <w:rPr>
          <w:snapToGrid w:val="0"/>
          <w:szCs w:val="24"/>
        </w:rPr>
        <w:t xml:space="preserve"> </w:t>
      </w:r>
      <w:r w:rsidRPr="00B93493">
        <w:rPr>
          <w:snapToGrid w:val="0"/>
        </w:rPr>
        <w:t>:</w:t>
      </w:r>
      <w:r w:rsidRPr="00B93493">
        <w:rPr>
          <w:snapToGrid w:val="0"/>
        </w:rPr>
        <w:tab/>
        <w:t>mean square value of a signal fluctuations (dB).</w:t>
      </w:r>
    </w:p>
    <w:p w14:paraId="16A2C27D" w14:textId="77777777" w:rsidR="00CF04BC" w:rsidRPr="00B93493" w:rsidRDefault="00CF04BC" w:rsidP="00CF04BC">
      <w:pPr>
        <w:rPr>
          <w:snapToGrid w:val="0"/>
        </w:rPr>
      </w:pPr>
      <w:r w:rsidRPr="00B93493">
        <w:rPr>
          <w:snapToGrid w:val="0"/>
        </w:rPr>
        <w:t xml:space="preserve">For 50% of time </w:t>
      </w:r>
      <w:r w:rsidRPr="00B93493">
        <w:rPr>
          <w:i/>
          <w:snapToGrid w:val="0"/>
        </w:rPr>
        <w:t>k</w:t>
      </w:r>
      <w:r w:rsidRPr="00B93493">
        <w:rPr>
          <w:i/>
          <w:snapToGrid w:val="0"/>
          <w:vertAlign w:val="subscript"/>
        </w:rPr>
        <w:t>f</w:t>
      </w:r>
      <w:r w:rsidRPr="00B93493">
        <w:rPr>
          <w:snapToGrid w:val="0"/>
        </w:rPr>
        <w:t xml:space="preserve"> = 0, for 95% of time </w:t>
      </w:r>
      <w:r w:rsidRPr="00B93493">
        <w:rPr>
          <w:i/>
          <w:snapToGrid w:val="0"/>
        </w:rPr>
        <w:t>k</w:t>
      </w:r>
      <w:r w:rsidRPr="00B93493">
        <w:rPr>
          <w:i/>
          <w:snapToGrid w:val="0"/>
          <w:vertAlign w:val="subscript"/>
        </w:rPr>
        <w:t>f</w:t>
      </w:r>
      <w:r w:rsidRPr="00B93493">
        <w:rPr>
          <w:snapToGrid w:val="0"/>
        </w:rPr>
        <w:t xml:space="preserve"> = 1.65. For conventional urban areas </w:t>
      </w:r>
      <w:r w:rsidRPr="00B93493">
        <w:rPr>
          <w:snapToGrid w:val="0"/>
          <w:szCs w:val="24"/>
        </w:rPr>
        <w:sym w:font="Symbol" w:char="F073"/>
      </w:r>
      <w:r w:rsidRPr="00B93493">
        <w:rPr>
          <w:snapToGrid w:val="0"/>
        </w:rPr>
        <w:t xml:space="preserve"> varies from 6 to 8 dB. Accepting, similarly to broadcasting, that a service area is determined by the criterion of 50% time i.e. </w:t>
      </w:r>
      <w:r w:rsidRPr="00B93493">
        <w:rPr>
          <w:i/>
          <w:snapToGrid w:val="0"/>
        </w:rPr>
        <w:t>k</w:t>
      </w:r>
      <w:r w:rsidRPr="00B93493">
        <w:rPr>
          <w:i/>
          <w:snapToGrid w:val="0"/>
          <w:vertAlign w:val="subscript"/>
        </w:rPr>
        <w:t>f</w:t>
      </w:r>
      <w:r w:rsidRPr="00B93493">
        <w:rPr>
          <w:snapToGrid w:val="0"/>
        </w:rPr>
        <w:t xml:space="preserve"> = 0, overall coefficient </w:t>
      </w:r>
      <w:r w:rsidRPr="00B93493">
        <w:rPr>
          <w:i/>
          <w:snapToGrid w:val="0"/>
        </w:rPr>
        <w:t>k</w:t>
      </w:r>
      <w:r w:rsidRPr="00B93493">
        <w:rPr>
          <w:i/>
          <w:snapToGrid w:val="0"/>
          <w:vertAlign w:val="subscript"/>
        </w:rPr>
        <w:t>f</w:t>
      </w:r>
      <w:r w:rsidRPr="00B93493">
        <w:rPr>
          <w:snapToGrid w:val="0"/>
        </w:rPr>
        <w:t xml:space="preserve"> </w:t>
      </w:r>
      <w:r w:rsidRPr="00B93493">
        <w:rPr>
          <w:snapToGrid w:val="0"/>
          <w:szCs w:val="24"/>
        </w:rPr>
        <w:sym w:font="Symbol" w:char="F073"/>
      </w:r>
      <w:r w:rsidRPr="00B93493">
        <w:rPr>
          <w:snapToGrid w:val="0"/>
        </w:rPr>
        <w:t xml:space="preserve"> becomes equal to zero and:</w:t>
      </w:r>
    </w:p>
    <w:p w14:paraId="7D0BF386" w14:textId="77777777" w:rsidR="00CF04BC" w:rsidRPr="00B93493" w:rsidRDefault="00CF04BC" w:rsidP="00CF04BC">
      <w:pPr>
        <w:pStyle w:val="Blanc"/>
      </w:pPr>
    </w:p>
    <w:p w14:paraId="4E8A4BC6" w14:textId="77777777" w:rsidR="00CF04BC" w:rsidRPr="00B93493" w:rsidRDefault="00CF04BC" w:rsidP="00CF04BC">
      <w:pPr>
        <w:pStyle w:val="Equation"/>
        <w:rPr>
          <w:snapToGrid w:val="0"/>
        </w:rPr>
      </w:pPr>
      <w:r w:rsidRPr="00B93493">
        <w:rPr>
          <w:i/>
          <w:snapToGrid w:val="0"/>
        </w:rPr>
        <w:tab/>
      </w:r>
      <w:r w:rsidRPr="00B93493">
        <w:rPr>
          <w:i/>
          <w:snapToGrid w:val="0"/>
        </w:rPr>
        <w:tab/>
      </w:r>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r</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min</m:t>
            </m:r>
          </m:sub>
        </m:sSub>
      </m:oMath>
      <w:r w:rsidRPr="00B93493">
        <w:rPr>
          <w:snapToGrid w:val="0"/>
        </w:rPr>
        <w:tab/>
        <w:t>(38)</w:t>
      </w:r>
    </w:p>
    <w:p w14:paraId="2A89BA95" w14:textId="77777777" w:rsidR="00CF04BC" w:rsidRPr="00B93493" w:rsidRDefault="00CF04BC" w:rsidP="00CF04BC">
      <w:pPr>
        <w:pStyle w:val="Blanc"/>
      </w:pPr>
    </w:p>
    <w:p w14:paraId="00C79CD5" w14:textId="2A48D574" w:rsidR="00CF04BC" w:rsidRPr="00B93493" w:rsidRDefault="00CF04BC" w:rsidP="00CF04BC">
      <w:pPr>
        <w:rPr>
          <w:snapToGrid w:val="0"/>
        </w:rPr>
      </w:pPr>
      <w:r w:rsidRPr="00B93493">
        <w:rPr>
          <w:snapToGrid w:val="0"/>
        </w:rPr>
        <w:t xml:space="preserve">Equating right parts of equations (37) and (38) to meet condition at the border of the service area, </w:t>
      </w:r>
      <w:r w:rsidR="00092428">
        <w:rPr>
          <w:snapToGrid w:val="0"/>
        </w:rPr>
        <w:t>is obtained</w:t>
      </w:r>
      <w:r w:rsidRPr="00B93493">
        <w:rPr>
          <w:snapToGrid w:val="0"/>
        </w:rPr>
        <w:t>:</w:t>
      </w:r>
    </w:p>
    <w:p w14:paraId="04D83B6C" w14:textId="77777777" w:rsidR="00CF04BC" w:rsidRPr="00B93493" w:rsidRDefault="00CF04BC" w:rsidP="00CF04BC">
      <w:pPr>
        <w:pStyle w:val="Blanc"/>
      </w:pPr>
    </w:p>
    <w:p w14:paraId="766C5FDF" w14:textId="77777777" w:rsidR="00CF04BC" w:rsidRPr="00FF4406" w:rsidRDefault="00CF04BC" w:rsidP="00CF04BC">
      <w:pPr>
        <w:pStyle w:val="Equation"/>
        <w:rPr>
          <w:snapToGrid w:val="0"/>
        </w:rPr>
      </w:pPr>
      <w:r w:rsidRPr="00B93493">
        <w:rPr>
          <w:snapToGrid w:val="0"/>
        </w:rPr>
        <w:tab/>
      </w:r>
      <w:r w:rsidRPr="00B93493">
        <w:rPr>
          <w:snapToGrid w:val="0"/>
        </w:rPr>
        <w:tab/>
      </w:r>
      <w:r w:rsidRPr="00FF4406">
        <w:rPr>
          <w:i/>
          <w:iCs/>
          <w:snapToGrid w:val="0"/>
        </w:rPr>
        <w:t>P</w:t>
      </w:r>
      <w:r w:rsidRPr="00FF4406">
        <w:rPr>
          <w:i/>
          <w:iCs/>
          <w:snapToGrid w:val="0"/>
          <w:vertAlign w:val="subscript"/>
        </w:rPr>
        <w:t>t</w:t>
      </w:r>
      <w:r w:rsidRPr="00FF4406">
        <w:rPr>
          <w:snapToGrid w:val="0"/>
        </w:rPr>
        <w:t xml:space="preserve"> + </w:t>
      </w:r>
      <w:r w:rsidRPr="00FF4406">
        <w:rPr>
          <w:i/>
          <w:iCs/>
          <w:snapToGrid w:val="0"/>
        </w:rPr>
        <w:t>G</w:t>
      </w:r>
      <w:r w:rsidRPr="00FF4406">
        <w:rPr>
          <w:i/>
          <w:iCs/>
          <w:snapToGrid w:val="0"/>
          <w:vertAlign w:val="subscript"/>
        </w:rPr>
        <w:t>t</w:t>
      </w:r>
      <w:r w:rsidRPr="00FF4406">
        <w:rPr>
          <w:snapToGrid w:val="0"/>
        </w:rPr>
        <w:t xml:space="preserve"> + </w:t>
      </w:r>
      <w:r w:rsidRPr="00FF4406">
        <w:rPr>
          <w:i/>
          <w:iCs/>
          <w:snapToGrid w:val="0"/>
        </w:rPr>
        <w:t>G</w:t>
      </w:r>
      <w:r w:rsidRPr="00FF4406">
        <w:rPr>
          <w:i/>
          <w:iCs/>
          <w:snapToGrid w:val="0"/>
          <w:vertAlign w:val="subscript"/>
        </w:rPr>
        <w:t>r</w:t>
      </w:r>
      <w:r w:rsidRPr="00FF4406">
        <w:rPr>
          <w:snapToGrid w:val="0"/>
        </w:rPr>
        <w:t xml:space="preserve"> – </w:t>
      </w:r>
      <w:r w:rsidRPr="00FF4406">
        <w:rPr>
          <w:i/>
          <w:iCs/>
          <w:snapToGrid w:val="0"/>
        </w:rPr>
        <w:t>L</w:t>
      </w:r>
      <w:r w:rsidRPr="00FF4406">
        <w:rPr>
          <w:snapToGrid w:val="0"/>
        </w:rPr>
        <w:t>(</w:t>
      </w:r>
      <w:r w:rsidRPr="00FF4406">
        <w:rPr>
          <w:i/>
          <w:iCs/>
          <w:snapToGrid w:val="0"/>
        </w:rPr>
        <w:t>R</w:t>
      </w:r>
      <w:r w:rsidRPr="00FF4406">
        <w:rPr>
          <w:snapToGrid w:val="0"/>
        </w:rPr>
        <w:t>) =</w:t>
      </w:r>
      <w:r w:rsidRPr="00FF4406">
        <w:rPr>
          <w:i/>
          <w:iCs/>
          <w:snapToGrid w:val="0"/>
        </w:rPr>
        <w:t>P</w:t>
      </w:r>
      <w:r w:rsidRPr="00FF4406">
        <w:rPr>
          <w:i/>
          <w:iCs/>
          <w:snapToGrid w:val="0"/>
          <w:vertAlign w:val="subscript"/>
        </w:rPr>
        <w:t>min</w:t>
      </w:r>
    </w:p>
    <w:p w14:paraId="36A6D7D8" w14:textId="77777777" w:rsidR="00CF04BC" w:rsidRPr="00B93493" w:rsidRDefault="00CF04BC" w:rsidP="00CF04BC">
      <w:pPr>
        <w:rPr>
          <w:snapToGrid w:val="0"/>
        </w:rPr>
      </w:pPr>
      <w:r w:rsidRPr="00B93493">
        <w:rPr>
          <w:snapToGrid w:val="0"/>
        </w:rPr>
        <w:t>where:</w:t>
      </w:r>
    </w:p>
    <w:p w14:paraId="39B34E5D" w14:textId="77777777" w:rsidR="00CF04BC" w:rsidRPr="00B93493" w:rsidRDefault="00CF04BC" w:rsidP="00CF04BC">
      <w:pPr>
        <w:pStyle w:val="Blanc"/>
      </w:pPr>
    </w:p>
    <w:p w14:paraId="2ED217E8" w14:textId="77777777" w:rsidR="00CF04BC" w:rsidRPr="00B93493" w:rsidRDefault="00CF04BC" w:rsidP="00CF04BC">
      <w:pPr>
        <w:pStyle w:val="Equation"/>
        <w:rPr>
          <w:snapToGrid w:val="0"/>
        </w:rPr>
      </w:pPr>
      <w:r w:rsidRPr="00B93493">
        <w:rPr>
          <w:snapToGrid w:val="0"/>
        </w:rPr>
        <w:tab/>
      </w:r>
      <w:r w:rsidRPr="00B93493">
        <w:rPr>
          <w:snapToGrid w:val="0"/>
        </w:rPr>
        <w:tab/>
      </w:r>
      <w:r w:rsidRPr="00B93493">
        <w:rPr>
          <w:i/>
          <w:iCs/>
          <w:snapToGrid w:val="0"/>
        </w:rPr>
        <w:t>L</w:t>
      </w:r>
      <w:r w:rsidRPr="00B93493">
        <w:rPr>
          <w:snapToGrid w:val="0"/>
        </w:rPr>
        <w:t>(</w:t>
      </w:r>
      <w:r w:rsidRPr="00B93493">
        <w:rPr>
          <w:i/>
          <w:iCs/>
          <w:snapToGrid w:val="0"/>
        </w:rPr>
        <w:t>R</w:t>
      </w:r>
      <w:r w:rsidRPr="00B93493">
        <w:rPr>
          <w:snapToGrid w:val="0"/>
        </w:rPr>
        <w:t xml:space="preserve">) = </w:t>
      </w:r>
      <w:r w:rsidRPr="00B93493">
        <w:rPr>
          <w:i/>
          <w:iCs/>
          <w:snapToGrid w:val="0"/>
        </w:rPr>
        <w:t>P</w:t>
      </w:r>
      <w:r w:rsidRPr="00B93493">
        <w:rPr>
          <w:i/>
          <w:iCs/>
          <w:snapToGrid w:val="0"/>
          <w:vertAlign w:val="subscript"/>
        </w:rPr>
        <w:t>t</w:t>
      </w:r>
      <w:r w:rsidRPr="00B93493">
        <w:rPr>
          <w:snapToGrid w:val="0"/>
        </w:rPr>
        <w:t xml:space="preserve"> + </w:t>
      </w:r>
      <w:r w:rsidRPr="00B93493">
        <w:rPr>
          <w:i/>
          <w:iCs/>
          <w:snapToGrid w:val="0"/>
        </w:rPr>
        <w:t>G</w:t>
      </w:r>
      <w:r w:rsidRPr="00B93493">
        <w:rPr>
          <w:i/>
          <w:iCs/>
          <w:snapToGrid w:val="0"/>
          <w:vertAlign w:val="subscript"/>
        </w:rPr>
        <w:t>t</w:t>
      </w:r>
      <w:r w:rsidRPr="00B93493">
        <w:rPr>
          <w:snapToGrid w:val="0"/>
        </w:rPr>
        <w:t xml:space="preserve"> + </w:t>
      </w:r>
      <w:r w:rsidRPr="00B93493">
        <w:rPr>
          <w:i/>
          <w:iCs/>
          <w:snapToGrid w:val="0"/>
        </w:rPr>
        <w:t>G</w:t>
      </w:r>
      <w:r w:rsidRPr="00B93493">
        <w:rPr>
          <w:i/>
          <w:iCs/>
          <w:snapToGrid w:val="0"/>
          <w:vertAlign w:val="subscript"/>
        </w:rPr>
        <w:t>r</w:t>
      </w:r>
      <w:r w:rsidRPr="00B93493">
        <w:t xml:space="preserve"> </w:t>
      </w:r>
      <w:r w:rsidRPr="00B93493">
        <w:rPr>
          <w:snapToGrid w:val="0"/>
        </w:rPr>
        <w:t xml:space="preserve">– </w:t>
      </w:r>
      <w:r w:rsidRPr="00B93493">
        <w:rPr>
          <w:i/>
          <w:iCs/>
          <w:snapToGrid w:val="0"/>
        </w:rPr>
        <w:t>P</w:t>
      </w:r>
      <w:r w:rsidRPr="00B93493">
        <w:rPr>
          <w:i/>
          <w:iCs/>
          <w:snapToGrid w:val="0"/>
          <w:vertAlign w:val="subscript"/>
        </w:rPr>
        <w:t>min</w:t>
      </w:r>
      <w:r w:rsidRPr="00B93493">
        <w:rPr>
          <w:snapToGrid w:val="0"/>
        </w:rPr>
        <w:tab/>
        <w:t>(39)</w:t>
      </w:r>
    </w:p>
    <w:p w14:paraId="4CEBFC1E" w14:textId="77777777" w:rsidR="00CF04BC" w:rsidRPr="00B93493" w:rsidRDefault="00CF04BC" w:rsidP="00CF04BC">
      <w:pPr>
        <w:pStyle w:val="Blanc"/>
      </w:pPr>
    </w:p>
    <w:p w14:paraId="1433E6C3" w14:textId="77777777" w:rsidR="00CF04BC" w:rsidRPr="00B93493" w:rsidRDefault="00CF04BC" w:rsidP="00CF04BC">
      <w:pPr>
        <w:rPr>
          <w:snapToGrid w:val="0"/>
        </w:rPr>
      </w:pPr>
      <w:r w:rsidRPr="00B93493">
        <w:rPr>
          <w:snapToGrid w:val="0"/>
        </w:rPr>
        <w:t xml:space="preserve">In accordance with modified Okamura-Hata radio wave propagation model, accurate for a signal median value (i.e. for 50% of time): </w:t>
      </w:r>
    </w:p>
    <w:p w14:paraId="262894D8" w14:textId="77777777" w:rsidR="00CF04BC" w:rsidRPr="00B93493" w:rsidRDefault="00CF04BC" w:rsidP="00CF04BC">
      <w:pPr>
        <w:pStyle w:val="Blanc"/>
      </w:pPr>
    </w:p>
    <w:p w14:paraId="7DE2D950" w14:textId="77777777" w:rsidR="00CF04BC" w:rsidRPr="00A95CBE" w:rsidRDefault="00CF04BC" w:rsidP="00CF04BC">
      <w:pPr>
        <w:pStyle w:val="Equation"/>
        <w:rPr>
          <w:i/>
          <w:snapToGrid w:val="0"/>
        </w:rPr>
      </w:pPr>
      <w:r w:rsidRPr="00B93493">
        <w:rPr>
          <w:i/>
          <w:snapToGrid w:val="0"/>
        </w:rPr>
        <w:tab/>
      </w:r>
      <w:r>
        <w:rPr>
          <w:i/>
          <w:snapToGrid w:val="0"/>
        </w:rPr>
        <w:tab/>
      </w:r>
      <m:oMath>
        <m:r>
          <w:rPr>
            <w:rFonts w:ascii="Cambria Math" w:hAnsi="Cambria Math"/>
            <w:snapToGrid w:val="0"/>
          </w:rPr>
          <m:t>L</m:t>
        </m:r>
        <m:d>
          <m:dPr>
            <m:ctrlPr>
              <w:rPr>
                <w:rFonts w:ascii="Cambria Math" w:hAnsi="Cambria Math"/>
                <w:i/>
                <w:snapToGrid w:val="0"/>
              </w:rPr>
            </m:ctrlPr>
          </m:dPr>
          <m:e>
            <m:r>
              <w:rPr>
                <w:rFonts w:ascii="Cambria Math" w:hAnsi="Cambria Math"/>
                <w:snapToGrid w:val="0"/>
              </w:rPr>
              <m:t>R</m:t>
            </m:r>
          </m:e>
        </m:d>
        <m:r>
          <w:rPr>
            <w:rFonts w:ascii="Cambria Math" w:hAnsi="Cambria Math"/>
            <w:snapToGrid w:val="0"/>
          </w:rPr>
          <m:t>=ϑ+ξ</m:t>
        </m:r>
        <m:func>
          <m:funcPr>
            <m:ctrlPr>
              <w:rPr>
                <w:rFonts w:ascii="Cambria Math" w:hAnsi="Cambria Math"/>
                <w:i/>
                <w:snapToGrid w:val="0"/>
              </w:rPr>
            </m:ctrlPr>
          </m:funcPr>
          <m:fName>
            <m:r>
              <m:rPr>
                <m:sty m:val="p"/>
              </m:rPr>
              <w:rPr>
                <w:rFonts w:ascii="Cambria Math" w:hAnsi="Cambria Math"/>
                <w:snapToGrid w:val="0"/>
              </w:rPr>
              <m:t>log</m:t>
            </m:r>
          </m:fName>
          <m:e>
            <m:r>
              <w:rPr>
                <w:rFonts w:ascii="Cambria Math" w:hAnsi="Cambria Math"/>
                <w:snapToGrid w:val="0"/>
              </w:rPr>
              <m:t>R</m:t>
            </m:r>
          </m:e>
        </m:func>
      </m:oMath>
      <w:r w:rsidRPr="00B93493">
        <w:rPr>
          <w:snapToGrid w:val="0"/>
        </w:rPr>
        <w:tab/>
        <w:t>(40)</w:t>
      </w:r>
    </w:p>
    <w:p w14:paraId="02B7D0C5" w14:textId="77777777" w:rsidR="00CF04BC" w:rsidRPr="00B93493" w:rsidRDefault="00CF04BC" w:rsidP="00CF04BC">
      <w:pPr>
        <w:pStyle w:val="Blanc"/>
      </w:pPr>
    </w:p>
    <w:p w14:paraId="60D0CF09" w14:textId="77777777" w:rsidR="00CF04BC" w:rsidRPr="00B93493" w:rsidRDefault="00CF04BC" w:rsidP="00CF04BC">
      <w:pPr>
        <w:rPr>
          <w:snapToGrid w:val="0"/>
        </w:rPr>
      </w:pPr>
      <w:r w:rsidRPr="00B93493">
        <w:rPr>
          <w:snapToGrid w:val="0"/>
        </w:rPr>
        <w:t xml:space="preserve">where </w:t>
      </w:r>
      <w:r w:rsidRPr="00B93493">
        <w:rPr>
          <w:snapToGrid w:val="0"/>
        </w:rPr>
        <w:sym w:font="Symbol" w:char="F04A"/>
      </w:r>
      <w:r w:rsidRPr="00B93493">
        <w:rPr>
          <w:snapToGrid w:val="0"/>
        </w:rPr>
        <w:t xml:space="preserve"> and </w:t>
      </w:r>
      <w:r w:rsidRPr="00B93493">
        <w:rPr>
          <w:iCs/>
          <w:snapToGrid w:val="0"/>
        </w:rPr>
        <w:sym w:font="Symbol" w:char="F078"/>
      </w:r>
      <w:r w:rsidRPr="00B93493">
        <w:rPr>
          <w:snapToGrid w:val="0"/>
        </w:rPr>
        <w:t xml:space="preserve"> are coefficients in dB whose values depend on frequency and heights of a transmitter and receiver. For conventional urban areas:</w:t>
      </w:r>
    </w:p>
    <w:p w14:paraId="45A37253" w14:textId="77777777" w:rsidR="00CF04BC" w:rsidRPr="00B93493" w:rsidRDefault="00CF04BC" w:rsidP="00CF04BC">
      <w:pPr>
        <w:pStyle w:val="Blanc"/>
      </w:pPr>
    </w:p>
    <w:p w14:paraId="2A65B3C5" w14:textId="77777777" w:rsidR="00CF04BC" w:rsidRPr="00B93493" w:rsidRDefault="00CF04BC" w:rsidP="00CF04BC">
      <w:pPr>
        <w:pStyle w:val="Equation"/>
        <w:rPr>
          <w:snapToGrid w:val="0"/>
        </w:rPr>
      </w:pPr>
      <w:r w:rsidRPr="00B93493">
        <w:rPr>
          <w:snapToGrid w:val="0"/>
        </w:rPr>
        <w:tab/>
      </w:r>
      <w:r w:rsidRPr="00B93493">
        <w:rPr>
          <w:snapToGrid w:val="0"/>
        </w:rPr>
        <w:tab/>
      </w:r>
      <w:r w:rsidRPr="00B93493">
        <w:rPr>
          <w:iCs/>
          <w:snapToGrid w:val="0"/>
        </w:rPr>
        <w:sym w:font="Symbol" w:char="F078"/>
      </w:r>
      <w:r w:rsidRPr="00B93493">
        <w:rPr>
          <w:iCs/>
          <w:snapToGrid w:val="0"/>
        </w:rPr>
        <w:t xml:space="preserve"> </w:t>
      </w:r>
      <w:r w:rsidRPr="00B93493">
        <w:rPr>
          <w:rFonts w:ascii="Symbol" w:hAnsi="Symbol"/>
          <w:snapToGrid w:val="0"/>
        </w:rPr>
        <w:t></w:t>
      </w:r>
      <w:r w:rsidRPr="00B93493">
        <w:rPr>
          <w:snapToGrid w:val="0"/>
        </w:rPr>
        <w:t xml:space="preserve"> 44.9 – 6.55 </w:t>
      </w:r>
      <w:r w:rsidRPr="00B93493">
        <w:rPr>
          <w:iCs/>
          <w:snapToGrid w:val="0"/>
        </w:rPr>
        <w:t>log</w:t>
      </w:r>
      <w:r w:rsidRPr="00B93493">
        <w:rPr>
          <w:i/>
          <w:snapToGrid w:val="0"/>
        </w:rPr>
        <w:t xml:space="preserve"> h</w:t>
      </w:r>
      <w:r w:rsidRPr="00B93493">
        <w:rPr>
          <w:i/>
          <w:snapToGrid w:val="0"/>
          <w:vertAlign w:val="subscript"/>
        </w:rPr>
        <w:t>t</w:t>
      </w:r>
      <w:r w:rsidRPr="00B93493">
        <w:rPr>
          <w:i/>
          <w:snapToGrid w:val="0"/>
        </w:rPr>
        <w:tab/>
      </w:r>
      <w:r w:rsidRPr="00B93493">
        <w:rPr>
          <w:snapToGrid w:val="0"/>
        </w:rPr>
        <w:t>(41)</w:t>
      </w:r>
    </w:p>
    <w:p w14:paraId="1AAE4956" w14:textId="77777777" w:rsidR="00CF04BC" w:rsidRPr="00B93493" w:rsidRDefault="00CF04BC" w:rsidP="00CF04BC">
      <w:pPr>
        <w:pStyle w:val="Equation"/>
        <w:rPr>
          <w:snapToGrid w:val="0"/>
        </w:rPr>
      </w:pPr>
      <w:r w:rsidRPr="00B93493">
        <w:rPr>
          <w:snapToGrid w:val="0"/>
        </w:rPr>
        <w:tab/>
      </w:r>
      <w:r w:rsidRPr="00B93493">
        <w:rPr>
          <w:snapToGrid w:val="0"/>
        </w:rPr>
        <w:tab/>
      </w:r>
      <w:r w:rsidRPr="00B93493">
        <w:rPr>
          <w:snapToGrid w:val="0"/>
        </w:rPr>
        <w:sym w:font="Symbol" w:char="F04A"/>
      </w:r>
      <w:r w:rsidRPr="00B93493">
        <w:rPr>
          <w:snapToGrid w:val="0"/>
        </w:rPr>
        <w:t xml:space="preserve"> = 65.55 – 6.16 </w:t>
      </w:r>
      <w:r w:rsidRPr="00B93493">
        <w:rPr>
          <w:iCs/>
          <w:snapToGrid w:val="0"/>
        </w:rPr>
        <w:t>log</w:t>
      </w:r>
      <w:r w:rsidRPr="00B93493">
        <w:rPr>
          <w:i/>
          <w:snapToGrid w:val="0"/>
        </w:rPr>
        <w:t xml:space="preserve"> f</w:t>
      </w:r>
      <w:r w:rsidRPr="00B93493">
        <w:rPr>
          <w:snapToGrid w:val="0"/>
        </w:rPr>
        <w:t xml:space="preserve"> + 13.82 </w:t>
      </w:r>
      <w:r w:rsidRPr="00B93493">
        <w:rPr>
          <w:iCs/>
          <w:snapToGrid w:val="0"/>
        </w:rPr>
        <w:t>log</w:t>
      </w:r>
      <w:r w:rsidRPr="00B93493">
        <w:rPr>
          <w:i/>
          <w:snapToGrid w:val="0"/>
        </w:rPr>
        <w:t xml:space="preserve"> h</w:t>
      </w:r>
      <w:r w:rsidRPr="00B93493">
        <w:rPr>
          <w:i/>
          <w:snapToGrid w:val="0"/>
          <w:vertAlign w:val="subscript"/>
        </w:rPr>
        <w:t>t</w:t>
      </w:r>
      <w:r w:rsidRPr="00B93493">
        <w:rPr>
          <w:i/>
          <w:snapToGrid w:val="0"/>
        </w:rPr>
        <w:t xml:space="preserve"> </w:t>
      </w:r>
      <w:r w:rsidRPr="00B93493">
        <w:rPr>
          <w:iCs/>
          <w:snapToGrid w:val="0"/>
        </w:rPr>
        <w:t>+</w:t>
      </w:r>
      <w:r w:rsidRPr="00B93493">
        <w:rPr>
          <w:i/>
          <w:snapToGrid w:val="0"/>
        </w:rPr>
        <w:t xml:space="preserve"> a</w:t>
      </w:r>
      <w:r w:rsidRPr="00B93493">
        <w:rPr>
          <w:i/>
          <w:snapToGrid w:val="0"/>
          <w:vertAlign w:val="subscript"/>
        </w:rPr>
        <w:t>r</w:t>
      </w:r>
      <w:r w:rsidRPr="00B93493">
        <w:rPr>
          <w:iCs/>
          <w:snapToGrid w:val="0"/>
        </w:rPr>
        <w:t>(</w:t>
      </w:r>
      <w:r w:rsidRPr="00B93493">
        <w:rPr>
          <w:i/>
          <w:snapToGrid w:val="0"/>
        </w:rPr>
        <w:t>h</w:t>
      </w:r>
      <w:r w:rsidRPr="00B93493">
        <w:rPr>
          <w:i/>
          <w:snapToGrid w:val="0"/>
          <w:vertAlign w:val="subscript"/>
        </w:rPr>
        <w:t>r</w:t>
      </w:r>
      <w:r w:rsidRPr="00B93493">
        <w:rPr>
          <w:iCs/>
          <w:snapToGrid w:val="0"/>
        </w:rPr>
        <w:t xml:space="preserve">)    </w:t>
      </w:r>
      <w:r w:rsidRPr="00B93493">
        <w:rPr>
          <w:snapToGrid w:val="0"/>
        </w:rPr>
        <w:t xml:space="preserve">for   </w:t>
      </w:r>
      <w:r w:rsidRPr="00B93493">
        <w:rPr>
          <w:i/>
          <w:snapToGrid w:val="0"/>
        </w:rPr>
        <w:t>f </w:t>
      </w:r>
      <w:r w:rsidRPr="00B93493">
        <w:rPr>
          <w:iCs/>
          <w:snapToGrid w:val="0"/>
        </w:rPr>
        <w:sym w:font="Symbol" w:char="F0A3"/>
      </w:r>
      <w:r w:rsidRPr="00B93493">
        <w:rPr>
          <w:i/>
          <w:snapToGrid w:val="0"/>
        </w:rPr>
        <w:t> </w:t>
      </w:r>
      <w:r w:rsidRPr="00B93493">
        <w:rPr>
          <w:snapToGrid w:val="0"/>
        </w:rPr>
        <w:t>1 GHz</w:t>
      </w:r>
      <w:r w:rsidRPr="00B93493">
        <w:rPr>
          <w:snapToGrid w:val="0"/>
        </w:rPr>
        <w:tab/>
        <w:t>(42)</w:t>
      </w:r>
    </w:p>
    <w:p w14:paraId="2B4027A2" w14:textId="77777777" w:rsidR="00CF04BC" w:rsidRPr="00B93493" w:rsidRDefault="00CF04BC" w:rsidP="00CF04BC">
      <w:pPr>
        <w:pStyle w:val="Equation"/>
        <w:rPr>
          <w:snapToGrid w:val="0"/>
        </w:rPr>
      </w:pPr>
      <w:r w:rsidRPr="00B93493">
        <w:rPr>
          <w:snapToGrid w:val="0"/>
        </w:rPr>
        <w:tab/>
      </w:r>
      <w:r w:rsidRPr="00B93493">
        <w:rPr>
          <w:snapToGrid w:val="0"/>
        </w:rPr>
        <w:tab/>
      </w:r>
      <w:r w:rsidRPr="00B93493">
        <w:rPr>
          <w:snapToGrid w:val="0"/>
        </w:rPr>
        <w:sym w:font="Symbol" w:char="F04A"/>
      </w:r>
      <w:r w:rsidRPr="00B93493">
        <w:rPr>
          <w:snapToGrid w:val="0"/>
        </w:rPr>
        <w:t xml:space="preserve"> = 46.3 – 33.9 log </w:t>
      </w:r>
      <w:r w:rsidRPr="00B93493">
        <w:rPr>
          <w:i/>
          <w:iCs/>
          <w:snapToGrid w:val="0"/>
        </w:rPr>
        <w:t>f</w:t>
      </w:r>
      <w:r w:rsidRPr="00B93493">
        <w:rPr>
          <w:snapToGrid w:val="0"/>
        </w:rPr>
        <w:t xml:space="preserve"> + 13.</w:t>
      </w:r>
      <w:r w:rsidRPr="00B93493">
        <w:rPr>
          <w:rFonts w:ascii="Symbol" w:hAnsi="Symbol"/>
          <w:snapToGrid w:val="0"/>
        </w:rPr>
        <w:t></w:t>
      </w:r>
      <w:r w:rsidRPr="00B93493">
        <w:rPr>
          <w:rFonts w:ascii="Symbol" w:hAnsi="Symbol"/>
          <w:snapToGrid w:val="0"/>
        </w:rPr>
        <w:t></w:t>
      </w:r>
      <w:r w:rsidRPr="00B93493">
        <w:rPr>
          <w:snapToGrid w:val="0"/>
        </w:rPr>
        <w:t xml:space="preserve"> log </w:t>
      </w:r>
      <w:r w:rsidRPr="00B93493">
        <w:rPr>
          <w:i/>
          <w:iCs/>
          <w:snapToGrid w:val="0"/>
        </w:rPr>
        <w:t>h</w:t>
      </w:r>
      <w:r w:rsidRPr="00B93493">
        <w:rPr>
          <w:i/>
          <w:iCs/>
          <w:snapToGrid w:val="0"/>
          <w:vertAlign w:val="subscript"/>
        </w:rPr>
        <w:t>t</w:t>
      </w:r>
      <w:r w:rsidRPr="00B93493">
        <w:rPr>
          <w:snapToGrid w:val="0"/>
        </w:rPr>
        <w:t xml:space="preserve"> + </w:t>
      </w:r>
      <w:r w:rsidRPr="00B93493">
        <w:rPr>
          <w:i/>
          <w:iCs/>
          <w:snapToGrid w:val="0"/>
        </w:rPr>
        <w:t>a</w:t>
      </w:r>
      <w:r w:rsidRPr="00B93493">
        <w:rPr>
          <w:i/>
          <w:iCs/>
          <w:snapToGrid w:val="0"/>
          <w:vertAlign w:val="subscript"/>
        </w:rPr>
        <w:t>r</w:t>
      </w:r>
      <w:r w:rsidRPr="00B93493">
        <w:rPr>
          <w:snapToGrid w:val="0"/>
        </w:rPr>
        <w:t>(</w:t>
      </w:r>
      <w:r w:rsidRPr="00B93493">
        <w:rPr>
          <w:i/>
          <w:iCs/>
          <w:snapToGrid w:val="0"/>
        </w:rPr>
        <w:t>h</w:t>
      </w:r>
      <w:r w:rsidRPr="00B93493">
        <w:rPr>
          <w:i/>
          <w:iCs/>
          <w:snapToGrid w:val="0"/>
          <w:vertAlign w:val="subscript"/>
        </w:rPr>
        <w:t>r</w:t>
      </w:r>
      <w:r w:rsidRPr="00B93493">
        <w:rPr>
          <w:snapToGrid w:val="0"/>
        </w:rPr>
        <w:t xml:space="preserve">)         for   </w:t>
      </w:r>
      <w:r w:rsidRPr="00B93493">
        <w:rPr>
          <w:i/>
          <w:iCs/>
          <w:snapToGrid w:val="0"/>
        </w:rPr>
        <w:t>f</w:t>
      </w:r>
      <w:r w:rsidRPr="00B93493">
        <w:rPr>
          <w:snapToGrid w:val="0"/>
        </w:rPr>
        <w:t> </w:t>
      </w:r>
      <w:r w:rsidRPr="00B93493">
        <w:rPr>
          <w:snapToGrid w:val="0"/>
        </w:rPr>
        <w:sym w:font="Symbol" w:char="F0B3"/>
      </w:r>
      <w:r w:rsidRPr="00B93493">
        <w:rPr>
          <w:snapToGrid w:val="0"/>
        </w:rPr>
        <w:t> 1.5 GHz</w:t>
      </w:r>
      <w:r w:rsidRPr="00B93493">
        <w:rPr>
          <w:snapToGrid w:val="0"/>
        </w:rPr>
        <w:tab/>
        <w:t>(43)</w:t>
      </w:r>
    </w:p>
    <w:p w14:paraId="573D3EF4" w14:textId="77777777" w:rsidR="00CF04BC" w:rsidRPr="00B93493" w:rsidRDefault="00CF04BC" w:rsidP="00CF04BC">
      <w:pPr>
        <w:rPr>
          <w:snapToGrid w:val="0"/>
        </w:rPr>
      </w:pPr>
      <w:r w:rsidRPr="00B93493">
        <w:rPr>
          <w:snapToGrid w:val="0"/>
        </w:rPr>
        <w:t>where:</w:t>
      </w:r>
    </w:p>
    <w:p w14:paraId="63A4ECF5" w14:textId="77777777" w:rsidR="00CF04BC" w:rsidRPr="00B93493" w:rsidRDefault="00CF04BC" w:rsidP="00CF04BC">
      <w:pPr>
        <w:pStyle w:val="Equationlegend"/>
        <w:rPr>
          <w:snapToGrid w:val="0"/>
        </w:rPr>
      </w:pPr>
      <w:r w:rsidRPr="00B93493">
        <w:rPr>
          <w:i/>
          <w:iCs/>
          <w:snapToGrid w:val="0"/>
        </w:rPr>
        <w:tab/>
        <w:t>f</w:t>
      </w:r>
      <w:r w:rsidRPr="00B93493">
        <w:t xml:space="preserve"> </w:t>
      </w:r>
      <w:r w:rsidRPr="00B93493">
        <w:rPr>
          <w:snapToGrid w:val="0"/>
        </w:rPr>
        <w:t>:</w:t>
      </w:r>
      <w:r w:rsidRPr="00B93493">
        <w:rPr>
          <w:snapToGrid w:val="0"/>
        </w:rPr>
        <w:tab/>
        <w:t>working frequency (MHz)</w:t>
      </w:r>
    </w:p>
    <w:p w14:paraId="4923566F" w14:textId="77777777" w:rsidR="00CF04BC" w:rsidRPr="00B93493" w:rsidRDefault="00CF04BC" w:rsidP="00CF04BC">
      <w:pPr>
        <w:pStyle w:val="Equationlegend"/>
      </w:pPr>
      <w:r w:rsidRPr="00B93493">
        <w:rPr>
          <w:i/>
        </w:rPr>
        <w:tab/>
        <w:t>h</w:t>
      </w:r>
      <w:r w:rsidRPr="00B93493">
        <w:rPr>
          <w:i/>
          <w:vertAlign w:val="subscript"/>
        </w:rPr>
        <w:t>t</w:t>
      </w:r>
      <w:r w:rsidRPr="00B93493">
        <w:t xml:space="preserve"> </w:t>
      </w:r>
      <w:r w:rsidRPr="00B93493">
        <w:rPr>
          <w:iCs/>
        </w:rPr>
        <w:t>:</w:t>
      </w:r>
      <w:r w:rsidRPr="00B93493">
        <w:rPr>
          <w:iCs/>
        </w:rPr>
        <w:tab/>
        <w:t>effective</w:t>
      </w:r>
      <w:r w:rsidRPr="00B93493">
        <w:t xml:space="preserve"> height of transmitting antenna (m)</w:t>
      </w:r>
    </w:p>
    <w:p w14:paraId="6BB7BB96" w14:textId="77777777" w:rsidR="00CF04BC" w:rsidRPr="00B93493" w:rsidRDefault="00CF04BC" w:rsidP="00CF04BC">
      <w:pPr>
        <w:pStyle w:val="Equationlegend"/>
      </w:pPr>
      <w:r w:rsidRPr="00B93493">
        <w:rPr>
          <w:i/>
        </w:rPr>
        <w:tab/>
        <w:t>h</w:t>
      </w:r>
      <w:r w:rsidRPr="00B93493">
        <w:rPr>
          <w:i/>
          <w:vertAlign w:val="subscript"/>
        </w:rPr>
        <w:t>r</w:t>
      </w:r>
      <w:r w:rsidRPr="00B93493">
        <w:t xml:space="preserve"> :</w:t>
      </w:r>
      <w:r w:rsidRPr="00B93493">
        <w:tab/>
      </w:r>
      <w:r w:rsidRPr="00B93493">
        <w:rPr>
          <w:iCs/>
        </w:rPr>
        <w:t>effective</w:t>
      </w:r>
      <w:r w:rsidRPr="00B93493">
        <w:t xml:space="preserve"> height of receiving antenna (m)</w:t>
      </w:r>
    </w:p>
    <w:p w14:paraId="02A44C7A" w14:textId="77777777" w:rsidR="00CF04BC" w:rsidRPr="00B93493" w:rsidRDefault="00CF04BC" w:rsidP="00CF04BC">
      <w:pPr>
        <w:pStyle w:val="Equation"/>
        <w:rPr>
          <w:snapToGrid w:val="0"/>
        </w:rPr>
      </w:pPr>
      <w:r w:rsidRPr="00B93493">
        <w:tab/>
      </w:r>
      <w:r w:rsidRPr="00B93493">
        <w:rPr>
          <w:i/>
          <w:snapToGrid w:val="0"/>
        </w:rPr>
        <w:t>a</w:t>
      </w:r>
      <w:r w:rsidRPr="00B93493">
        <w:rPr>
          <w:i/>
          <w:snapToGrid w:val="0"/>
          <w:vertAlign w:val="subscript"/>
        </w:rPr>
        <w:t>r</w:t>
      </w:r>
      <w:r w:rsidRPr="00B93493">
        <w:rPr>
          <w:rFonts w:ascii="Tms Rmn" w:hAnsi="Tms Rmn"/>
          <w:iCs/>
          <w:snapToGrid w:val="0"/>
          <w:sz w:val="6"/>
        </w:rPr>
        <w:t> </w:t>
      </w:r>
      <w:r w:rsidRPr="00B93493">
        <w:t>(</w:t>
      </w:r>
      <w:r w:rsidRPr="00B93493">
        <w:rPr>
          <w:i/>
          <w:snapToGrid w:val="0"/>
        </w:rPr>
        <w:t>h</w:t>
      </w:r>
      <w:r w:rsidRPr="00B93493">
        <w:rPr>
          <w:i/>
          <w:snapToGrid w:val="0"/>
          <w:vertAlign w:val="subscript"/>
        </w:rPr>
        <w:t>r</w:t>
      </w:r>
      <w:r w:rsidRPr="00B93493">
        <w:t>)  </w:t>
      </w:r>
      <w:r w:rsidRPr="00B93493">
        <w:rPr>
          <w:rFonts w:ascii="Symbol" w:hAnsi="Symbol"/>
          <w:snapToGrid w:val="0"/>
        </w:rPr>
        <w:t></w:t>
      </w:r>
      <w:r w:rsidRPr="00B93493">
        <w:rPr>
          <w:snapToGrid w:val="0"/>
        </w:rPr>
        <w:t xml:space="preserve">  (1.1 </w:t>
      </w:r>
      <w:r w:rsidRPr="00B93493">
        <w:t>log</w:t>
      </w:r>
      <w:r w:rsidRPr="00B93493">
        <w:rPr>
          <w:i/>
          <w:snapToGrid w:val="0"/>
        </w:rPr>
        <w:t xml:space="preserve"> </w:t>
      </w:r>
      <w:r w:rsidRPr="00B93493">
        <w:rPr>
          <w:rFonts w:ascii="Tms Rmn" w:hAnsi="Tms Rmn"/>
          <w:i/>
          <w:snapToGrid w:val="0"/>
          <w:sz w:val="12"/>
        </w:rPr>
        <w:t> </w:t>
      </w:r>
      <w:r w:rsidRPr="00B93493">
        <w:rPr>
          <w:i/>
          <w:snapToGrid w:val="0"/>
        </w:rPr>
        <w:t>f</w:t>
      </w:r>
      <w:r w:rsidRPr="00B93493">
        <w:rPr>
          <w:snapToGrid w:val="0"/>
        </w:rPr>
        <w:t xml:space="preserve"> </w:t>
      </w:r>
      <w:r w:rsidRPr="00B93493">
        <w:rPr>
          <w:rFonts w:ascii="Tms Rmn" w:hAnsi="Tms Rmn"/>
          <w:snapToGrid w:val="0"/>
          <w:sz w:val="12"/>
        </w:rPr>
        <w:t> </w:t>
      </w:r>
      <w:r w:rsidRPr="00B93493">
        <w:rPr>
          <w:snapToGrid w:val="0"/>
        </w:rPr>
        <w:t xml:space="preserve">– 0.7) </w:t>
      </w:r>
      <w:r w:rsidRPr="00B93493">
        <w:rPr>
          <w:i/>
          <w:snapToGrid w:val="0"/>
        </w:rPr>
        <w:t>h</w:t>
      </w:r>
      <w:r w:rsidRPr="00B93493">
        <w:rPr>
          <w:i/>
          <w:snapToGrid w:val="0"/>
          <w:vertAlign w:val="subscript"/>
        </w:rPr>
        <w:t>r</w:t>
      </w:r>
      <w:r w:rsidRPr="00B93493">
        <w:rPr>
          <w:snapToGrid w:val="0"/>
        </w:rPr>
        <w:t xml:space="preserve"> – (1.56 </w:t>
      </w:r>
      <w:r w:rsidRPr="00B93493">
        <w:t>log</w:t>
      </w:r>
      <w:r w:rsidRPr="00B93493">
        <w:rPr>
          <w:i/>
          <w:snapToGrid w:val="0"/>
        </w:rPr>
        <w:t xml:space="preserve">  f</w:t>
      </w:r>
      <w:r w:rsidRPr="00B93493">
        <w:rPr>
          <w:snapToGrid w:val="0"/>
        </w:rPr>
        <w:t xml:space="preserve">  – 0.8) (dB).</w:t>
      </w:r>
    </w:p>
    <w:p w14:paraId="741695D8" w14:textId="2BE5D3EC" w:rsidR="00CF04BC" w:rsidRPr="00B93493" w:rsidRDefault="00CF04BC" w:rsidP="00CF04BC">
      <w:pPr>
        <w:rPr>
          <w:snapToGrid w:val="0"/>
        </w:rPr>
      </w:pPr>
      <w:r w:rsidRPr="00D572F5">
        <w:t xml:space="preserve">Effective </w:t>
      </w:r>
      <w:r w:rsidRPr="00D572F5">
        <w:rPr>
          <w:snapToGrid w:val="0"/>
        </w:rPr>
        <w:t xml:space="preserve">height of </w:t>
      </w:r>
      <w:r w:rsidRPr="00D572F5">
        <w:t>transmitting</w:t>
      </w:r>
      <w:r w:rsidRPr="00D572F5">
        <w:rPr>
          <w:snapToGrid w:val="0"/>
        </w:rPr>
        <w:t xml:space="preserve"> </w:t>
      </w:r>
      <w:r w:rsidRPr="00D572F5">
        <w:t xml:space="preserve">antenna is to be determined as it is presented in </w:t>
      </w:r>
      <w:r w:rsidRPr="00D572F5">
        <w:rPr>
          <w:snapToGrid w:val="0"/>
        </w:rPr>
        <w:t xml:space="preserve">Recommendation ITU-R P.1546-4, i.e. by procedure demonstrated in </w:t>
      </w:r>
      <w:r w:rsidRPr="00D572F5">
        <w:t xml:space="preserve">§§ </w:t>
      </w:r>
      <w:r w:rsidRPr="00D572F5">
        <w:rPr>
          <w:snapToGrid w:val="0"/>
        </w:rPr>
        <w:t>4.7.1</w:t>
      </w:r>
      <w:r w:rsidR="00BD2851">
        <w:rPr>
          <w:snapToGrid w:val="0"/>
        </w:rPr>
        <w:t xml:space="preserve"> </w:t>
      </w:r>
      <w:r w:rsidRPr="00D572F5">
        <w:rPr>
          <w:snapToGrid w:val="0"/>
        </w:rPr>
        <w:t>b) and 4.7.1</w:t>
      </w:r>
      <w:r w:rsidR="00BD2851">
        <w:rPr>
          <w:snapToGrid w:val="0"/>
        </w:rPr>
        <w:t xml:space="preserve"> </w:t>
      </w:r>
      <w:r w:rsidRPr="00D572F5">
        <w:rPr>
          <w:snapToGrid w:val="0"/>
        </w:rPr>
        <w:t>c). However, taking into account that recently</w:t>
      </w:r>
      <w:r w:rsidRPr="00B93493">
        <w:rPr>
          <w:snapToGrid w:val="0"/>
        </w:rPr>
        <w:t xml:space="preserve"> powers of base stations are not too high and, therefore, related service areas are relatively small, for great majority of urban areas situated at a plain terrain, effective height of transmitting antenna can be approximated by its height above ground at a place of its installation. The antenna height of a mobile or portable station is taken as its height above the ground. These assumptions are taken for purposes of the given licence fees calculation model.</w:t>
      </w:r>
    </w:p>
    <w:p w14:paraId="217F8226" w14:textId="77777777" w:rsidR="00CF04BC" w:rsidRPr="00B93493" w:rsidRDefault="00CF04BC" w:rsidP="00CF04BC">
      <w:pPr>
        <w:rPr>
          <w:snapToGrid w:val="0"/>
        </w:rPr>
      </w:pPr>
      <w:r w:rsidRPr="00B93493">
        <w:rPr>
          <w:snapToGrid w:val="0"/>
        </w:rPr>
        <w:t xml:space="preserve">Following equations (39) to (43), a service area radius </w:t>
      </w:r>
      <w:r w:rsidRPr="00B93493">
        <w:rPr>
          <w:i/>
          <w:snapToGrid w:val="0"/>
        </w:rPr>
        <w:t>R</w:t>
      </w:r>
      <w:r w:rsidRPr="00B93493">
        <w:rPr>
          <w:snapToGrid w:val="0"/>
        </w:rPr>
        <w:t xml:space="preserve"> can be calculated as:</w:t>
      </w:r>
    </w:p>
    <w:p w14:paraId="33B0ADF8" w14:textId="77777777" w:rsidR="00CF04BC" w:rsidRPr="00B93493" w:rsidRDefault="00CF04BC" w:rsidP="00CF04BC">
      <w:pPr>
        <w:pStyle w:val="Blanc"/>
      </w:pPr>
    </w:p>
    <w:p w14:paraId="1C0EC57C" w14:textId="77777777" w:rsidR="00CF04BC" w:rsidRPr="00B93493" w:rsidRDefault="00CF04BC" w:rsidP="00CF04BC">
      <w:pPr>
        <w:pStyle w:val="Equation"/>
      </w:pPr>
      <w:r w:rsidRPr="00B93493">
        <w:tab/>
      </w:r>
      <w:r w:rsidRPr="00B93493">
        <w:tab/>
      </w:r>
      <w:r w:rsidRPr="00B93493">
        <w:rPr>
          <w:position w:val="-10"/>
        </w:rPr>
        <w:object w:dxaOrig="1340" w:dyaOrig="732" w14:anchorId="235F79A2">
          <v:shape id="_x0000_i1051" type="#_x0000_t75" style="width:67.4pt;height:38.6pt" o:ole="">
            <v:imagedata r:id="rId79" o:title=""/>
          </v:shape>
          <o:OLEObject Type="Embed" ProgID="Equation.3" ShapeID="_x0000_i1051" DrawAspect="Content" ObjectID="_1812968333" r:id="rId80"/>
        </w:object>
      </w:r>
      <w:r w:rsidRPr="00B93493">
        <w:tab/>
      </w:r>
      <w:r w:rsidRPr="00B93493">
        <w:rPr>
          <w:snapToGrid w:val="0"/>
        </w:rPr>
        <w:t>(44)</w:t>
      </w:r>
    </w:p>
    <w:p w14:paraId="7DBAD6F9" w14:textId="77777777" w:rsidR="00CF04BC" w:rsidRPr="00B93493" w:rsidRDefault="00CF04BC" w:rsidP="00CF04BC">
      <w:pPr>
        <w:rPr>
          <w:snapToGrid w:val="0"/>
        </w:rPr>
      </w:pPr>
      <w:r w:rsidRPr="00B93493">
        <w:rPr>
          <w:snapToGrid w:val="0"/>
        </w:rPr>
        <w:t>where:</w:t>
      </w:r>
    </w:p>
    <w:p w14:paraId="03D5FFC1" w14:textId="77777777" w:rsidR="00CF04BC" w:rsidRPr="00B93493" w:rsidRDefault="00CF04BC" w:rsidP="00CF04BC">
      <w:pPr>
        <w:pStyle w:val="Equationlegend"/>
        <w:rPr>
          <w:snapToGrid w:val="0"/>
        </w:rPr>
      </w:pPr>
      <w:r w:rsidRPr="00B93493">
        <w:rPr>
          <w:i/>
          <w:snapToGrid w:val="0"/>
        </w:rPr>
        <w:tab/>
        <w:t xml:space="preserve">R </w:t>
      </w:r>
      <w:r w:rsidRPr="00B93493">
        <w:rPr>
          <w:snapToGrid w:val="0"/>
        </w:rPr>
        <w:t>:</w:t>
      </w:r>
      <w:r w:rsidRPr="00B93493">
        <w:rPr>
          <w:snapToGrid w:val="0"/>
        </w:rPr>
        <w:tab/>
        <w:t>service area radius (km)</w:t>
      </w:r>
    </w:p>
    <w:p w14:paraId="43C134CD" w14:textId="77777777" w:rsidR="00CF04BC" w:rsidRPr="00B93493" w:rsidRDefault="00CF04BC" w:rsidP="00CF04BC">
      <w:pPr>
        <w:pStyle w:val="Equationlegend"/>
        <w:rPr>
          <w:snapToGrid w:val="0"/>
        </w:rPr>
      </w:pPr>
      <w:r w:rsidRPr="00B93493">
        <w:rPr>
          <w:snapToGrid w:val="0"/>
        </w:rPr>
        <w:tab/>
      </w:r>
      <w:r w:rsidRPr="00B93493">
        <w:rPr>
          <w:i/>
          <w:snapToGrid w:val="0"/>
        </w:rPr>
        <w:t>z</w:t>
      </w:r>
      <w:r w:rsidRPr="00B93493">
        <w:rPr>
          <w:snapToGrid w:val="0"/>
        </w:rPr>
        <w:t xml:space="preserve"> :</w:t>
      </w:r>
      <w:r w:rsidRPr="00B93493">
        <w:rPr>
          <w:snapToGrid w:val="0"/>
        </w:rPr>
        <w:tab/>
        <w:t>easily determined generalized power parameter (dB) calculated as:</w:t>
      </w:r>
    </w:p>
    <w:p w14:paraId="66138452" w14:textId="77777777" w:rsidR="00CF04BC" w:rsidRPr="00B93493" w:rsidRDefault="00CF04BC" w:rsidP="00CF04BC">
      <w:pPr>
        <w:pStyle w:val="Blanc"/>
      </w:pPr>
    </w:p>
    <w:p w14:paraId="15C8348E" w14:textId="77777777" w:rsidR="00CF04BC" w:rsidRPr="00B93493" w:rsidRDefault="00CF04BC" w:rsidP="00CF04BC">
      <w:pPr>
        <w:pStyle w:val="Equation"/>
        <w:rPr>
          <w:snapToGrid w:val="0"/>
        </w:rPr>
      </w:pPr>
      <w:r w:rsidRPr="00B93493">
        <w:rPr>
          <w:snapToGrid w:val="0"/>
        </w:rPr>
        <w:tab/>
      </w:r>
      <w:r w:rsidRPr="00B93493">
        <w:rPr>
          <w:snapToGrid w:val="0"/>
        </w:rPr>
        <w:tab/>
      </w:r>
      <w:r w:rsidRPr="00B93493">
        <w:rPr>
          <w:i/>
          <w:iCs/>
          <w:snapToGrid w:val="0"/>
        </w:rPr>
        <w:t>z</w:t>
      </w:r>
      <w:r w:rsidRPr="00B93493">
        <w:rPr>
          <w:snapToGrid w:val="0"/>
        </w:rPr>
        <w:t xml:space="preserve"> </w:t>
      </w:r>
      <w:r w:rsidRPr="00B93493">
        <w:rPr>
          <w:rFonts w:ascii="Symbol" w:hAnsi="Symbol"/>
          <w:snapToGrid w:val="0"/>
        </w:rPr>
        <w:t></w:t>
      </w:r>
      <w:r w:rsidRPr="00B93493">
        <w:rPr>
          <w:snapToGrid w:val="0"/>
        </w:rPr>
        <w:t xml:space="preserve"> </w:t>
      </w:r>
      <w:r w:rsidRPr="00B93493">
        <w:rPr>
          <w:i/>
          <w:iCs/>
          <w:snapToGrid w:val="0"/>
        </w:rPr>
        <w:t>P</w:t>
      </w:r>
      <w:r w:rsidRPr="00B93493">
        <w:rPr>
          <w:i/>
          <w:iCs/>
          <w:snapToGrid w:val="0"/>
          <w:vertAlign w:val="subscript"/>
        </w:rPr>
        <w:t>t</w:t>
      </w:r>
      <w:r w:rsidRPr="00B93493">
        <w:rPr>
          <w:snapToGrid w:val="0"/>
        </w:rPr>
        <w:t xml:space="preserve"> </w:t>
      </w:r>
      <w:r w:rsidRPr="00B93493">
        <w:rPr>
          <w:rFonts w:ascii="Symbol" w:hAnsi="Symbol"/>
          <w:snapToGrid w:val="0"/>
        </w:rPr>
        <w:t></w:t>
      </w:r>
      <w:r w:rsidRPr="00B93493">
        <w:rPr>
          <w:snapToGrid w:val="0"/>
        </w:rPr>
        <w:t xml:space="preserve"> </w:t>
      </w:r>
      <w:r w:rsidRPr="00B93493">
        <w:rPr>
          <w:i/>
          <w:iCs/>
          <w:snapToGrid w:val="0"/>
        </w:rPr>
        <w:t>G</w:t>
      </w:r>
      <w:r w:rsidRPr="00B93493">
        <w:rPr>
          <w:i/>
          <w:iCs/>
          <w:snapToGrid w:val="0"/>
          <w:vertAlign w:val="subscript"/>
        </w:rPr>
        <w:t>t</w:t>
      </w:r>
      <w:r w:rsidRPr="00B93493">
        <w:rPr>
          <w:snapToGrid w:val="0"/>
        </w:rPr>
        <w:t xml:space="preserve"> + </w:t>
      </w:r>
      <w:r w:rsidRPr="00B93493">
        <w:rPr>
          <w:i/>
          <w:iCs/>
          <w:snapToGrid w:val="0"/>
        </w:rPr>
        <w:t>G</w:t>
      </w:r>
      <w:r w:rsidRPr="00B93493">
        <w:rPr>
          <w:i/>
          <w:iCs/>
          <w:snapToGrid w:val="0"/>
          <w:vertAlign w:val="subscript"/>
        </w:rPr>
        <w:t>r</w:t>
      </w:r>
      <w:r w:rsidRPr="00B93493">
        <w:rPr>
          <w:snapToGrid w:val="0"/>
        </w:rPr>
        <w:t xml:space="preserve"> – </w:t>
      </w:r>
      <w:r w:rsidRPr="00B93493">
        <w:rPr>
          <w:i/>
          <w:iCs/>
          <w:snapToGrid w:val="0"/>
        </w:rPr>
        <w:t>P</w:t>
      </w:r>
      <w:r w:rsidRPr="00B93493">
        <w:rPr>
          <w:i/>
          <w:iCs/>
          <w:snapToGrid w:val="0"/>
          <w:vertAlign w:val="subscript"/>
        </w:rPr>
        <w:t>min</w:t>
      </w:r>
      <w:r w:rsidRPr="00B93493">
        <w:rPr>
          <w:snapToGrid w:val="0"/>
        </w:rPr>
        <w:tab/>
        <w:t>(45)</w:t>
      </w:r>
    </w:p>
    <w:p w14:paraId="3C94DB3E" w14:textId="77777777" w:rsidR="00CF04BC" w:rsidRPr="00B93493" w:rsidRDefault="00CF04BC" w:rsidP="00CF04BC">
      <w:pPr>
        <w:pStyle w:val="Blanc"/>
      </w:pPr>
    </w:p>
    <w:p w14:paraId="35ABA115" w14:textId="51BCACB8" w:rsidR="00CF04BC" w:rsidRPr="00B93493" w:rsidRDefault="00CF04BC" w:rsidP="00CF04BC">
      <w:pPr>
        <w:rPr>
          <w:snapToGrid w:val="0"/>
        </w:rPr>
      </w:pPr>
      <w:r w:rsidRPr="00B93493">
        <w:rPr>
          <w:snapToGrid w:val="0"/>
        </w:rPr>
        <w:t xml:space="preserve">Graphs of relationships </w:t>
      </w:r>
      <w:r w:rsidRPr="00B93493">
        <w:rPr>
          <w:i/>
          <w:iCs/>
          <w:snapToGrid w:val="0"/>
        </w:rPr>
        <w:t>R</w:t>
      </w:r>
      <w:r w:rsidRPr="00B93493">
        <w:rPr>
          <w:snapToGrid w:val="0"/>
        </w:rPr>
        <w:t> </w:t>
      </w:r>
      <w:r w:rsidRPr="00B93493">
        <w:rPr>
          <w:rFonts w:ascii="Symbol" w:hAnsi="Symbol"/>
          <w:snapToGrid w:val="0"/>
        </w:rPr>
        <w:t></w:t>
      </w:r>
      <w:r w:rsidRPr="00B93493">
        <w:rPr>
          <w:snapToGrid w:val="0"/>
        </w:rPr>
        <w:t> </w:t>
      </w:r>
      <w:r w:rsidRPr="00B93493">
        <w:rPr>
          <w:rFonts w:ascii="Symbol" w:hAnsi="Symbol"/>
          <w:snapToGrid w:val="0"/>
        </w:rPr>
        <w:t></w:t>
      </w:r>
      <w:r w:rsidRPr="00B93493">
        <w:rPr>
          <w:rFonts w:ascii="Symbol" w:hAnsi="Symbol"/>
          <w:snapToGrid w:val="0"/>
        </w:rPr>
        <w:t></w:t>
      </w:r>
      <w:r w:rsidRPr="00B93493">
        <w:rPr>
          <w:i/>
          <w:snapToGrid w:val="0"/>
        </w:rPr>
        <w:t>z</w:t>
      </w:r>
      <w:r w:rsidRPr="00B93493">
        <w:rPr>
          <w:rFonts w:ascii="Symbol" w:hAnsi="Symbol"/>
          <w:snapToGrid w:val="0"/>
        </w:rPr>
        <w:t></w:t>
      </w:r>
      <w:r w:rsidRPr="00B93493">
        <w:rPr>
          <w:snapToGrid w:val="0"/>
        </w:rPr>
        <w:t>, calculated in accordance with equations (44) and (45), for frequencies below 1 GHz and above 1.5 GHz are presented at Figs 7-8 and 9-10 accordingly. Figures</w:t>
      </w:r>
      <w:r w:rsidR="00E91654">
        <w:rPr>
          <w:snapToGrid w:val="0"/>
        </w:rPr>
        <w:t> </w:t>
      </w:r>
      <w:r w:rsidRPr="00B93493">
        <w:rPr>
          <w:snapToGrid w:val="0"/>
        </w:rPr>
        <w:t xml:space="preserve">7 and 9 correspond to transmitter antenna heights, </w:t>
      </w:r>
      <w:r w:rsidRPr="00B93493">
        <w:rPr>
          <w:i/>
          <w:snapToGrid w:val="0"/>
        </w:rPr>
        <w:t>h</w:t>
      </w:r>
      <w:r w:rsidRPr="00B93493">
        <w:rPr>
          <w:i/>
          <w:snapToGrid w:val="0"/>
          <w:vertAlign w:val="subscript"/>
        </w:rPr>
        <w:t>t</w:t>
      </w:r>
      <w:r w:rsidRPr="00B93493">
        <w:rPr>
          <w:iCs/>
          <w:snapToGrid w:val="0"/>
        </w:rPr>
        <w:t xml:space="preserve">, equal to 40 m and Figs 8 and 10 to 100 m. In all figures line 1 corresponds to receiver antenna height, </w:t>
      </w:r>
      <w:r w:rsidRPr="00B93493">
        <w:rPr>
          <w:i/>
          <w:snapToGrid w:val="0"/>
        </w:rPr>
        <w:t>h</w:t>
      </w:r>
      <w:r w:rsidRPr="00B93493">
        <w:rPr>
          <w:i/>
          <w:snapToGrid w:val="0"/>
          <w:vertAlign w:val="subscript"/>
        </w:rPr>
        <w:t>r</w:t>
      </w:r>
      <w:r w:rsidRPr="00B93493">
        <w:rPr>
          <w:iCs/>
          <w:snapToGrid w:val="0"/>
        </w:rPr>
        <w:t xml:space="preserve">, equal to 1.5 m and line 2 to 10 m. The last </w:t>
      </w:r>
      <w:r w:rsidRPr="00B93493">
        <w:rPr>
          <w:snapToGrid w:val="0"/>
        </w:rPr>
        <w:t>allows to use these graphs for calculations associated with VHF/UHF fixed communications and “point-multipoint” program distribution systems, when the collective reception antennas are placed on roofs of buildings. Line 3 indicates dependencies for free-space propagation conditions. It can be used for calculations associated with short distance VHF/UHF fixed communications with line-of-sight propagation conditions. For other antenna heights lying within above-mentioned limits, service area radius values can be obtained from Figs 7-10 by interpolation.</w:t>
      </w:r>
    </w:p>
    <w:p w14:paraId="144F6804" w14:textId="77777777" w:rsidR="00CF04BC" w:rsidRPr="00B93493" w:rsidRDefault="00CF04BC" w:rsidP="00CF04BC">
      <w:pPr>
        <w:rPr>
          <w:snapToGrid w:val="0"/>
        </w:rPr>
      </w:pPr>
      <w:r w:rsidRPr="00B93493">
        <w:rPr>
          <w:snapToGrid w:val="0"/>
        </w:rPr>
        <w:t xml:space="preserve">Somewhat typical values of parameters appeared in equation (45), for a number of land mobile radiocommunication systems including equipment for </w:t>
      </w:r>
      <w:r w:rsidRPr="00B93493">
        <w:t xml:space="preserve">digitally enhanced cordless telecommunications (DECT) and </w:t>
      </w:r>
      <w:r w:rsidRPr="00B93493">
        <w:rPr>
          <w:snapToGrid w:val="0"/>
        </w:rPr>
        <w:t xml:space="preserve">private mobile radio (PMR), are presented in Table </w:t>
      </w:r>
      <w:r>
        <w:rPr>
          <w:rFonts w:hint="eastAsia"/>
          <w:snapToGrid w:val="0"/>
          <w:lang w:eastAsia="zh-CN"/>
        </w:rPr>
        <w:t>12</w:t>
      </w:r>
      <w:r w:rsidRPr="00B93493">
        <w:rPr>
          <w:snapToGrid w:val="0"/>
        </w:rPr>
        <w:t>.</w:t>
      </w:r>
    </w:p>
    <w:p w14:paraId="45561C92" w14:textId="77777777" w:rsidR="00CF04BC" w:rsidRPr="00B93493" w:rsidRDefault="00CF04BC" w:rsidP="00CF04BC">
      <w:pPr>
        <w:pStyle w:val="TableNo"/>
        <w:rPr>
          <w:lang w:eastAsia="zh-CN"/>
        </w:rPr>
      </w:pPr>
      <w:r w:rsidRPr="00B93493">
        <w:t>TABLE 1</w:t>
      </w:r>
      <w:r>
        <w:rPr>
          <w:rFonts w:hint="eastAsia"/>
          <w:lang w:eastAsia="zh-CN"/>
        </w:rPr>
        <w:t>2</w:t>
      </w:r>
    </w:p>
    <w:p w14:paraId="1392F2F2" w14:textId="77777777" w:rsidR="00CF04BC" w:rsidRPr="00B93493" w:rsidRDefault="00CF04BC" w:rsidP="00CF04BC">
      <w:pPr>
        <w:pStyle w:val="Tabletitle"/>
      </w:pPr>
      <w:r w:rsidRPr="00B93493">
        <w:t>Values of equipment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964"/>
        <w:gridCol w:w="851"/>
        <w:gridCol w:w="851"/>
        <w:gridCol w:w="851"/>
        <w:gridCol w:w="851"/>
        <w:gridCol w:w="851"/>
      </w:tblGrid>
      <w:tr w:rsidR="00CF04BC" w:rsidRPr="00B93493" w14:paraId="0D221504" w14:textId="77777777" w:rsidTr="002E7F54">
        <w:trPr>
          <w:jc w:val="center"/>
        </w:trPr>
        <w:tc>
          <w:tcPr>
            <w:tcW w:w="4423" w:type="dxa"/>
            <w:tcBorders>
              <w:top w:val="single" w:sz="4" w:space="0" w:color="auto"/>
              <w:left w:val="single" w:sz="4" w:space="0" w:color="auto"/>
              <w:bottom w:val="single" w:sz="4" w:space="0" w:color="auto"/>
              <w:right w:val="single" w:sz="4" w:space="0" w:color="auto"/>
              <w:tl2br w:val="single" w:sz="4" w:space="0" w:color="auto"/>
            </w:tcBorders>
            <w:vAlign w:val="center"/>
          </w:tcPr>
          <w:p w14:paraId="077EE298" w14:textId="77777777" w:rsidR="00CF04BC" w:rsidRPr="00B93493" w:rsidRDefault="00CF04BC" w:rsidP="002E7F54">
            <w:pPr>
              <w:pStyle w:val="Tablehead"/>
              <w:jc w:val="right"/>
            </w:pPr>
            <w:r w:rsidRPr="00B93493">
              <w:t>System</w:t>
            </w:r>
          </w:p>
          <w:p w14:paraId="29C788EF" w14:textId="77777777" w:rsidR="00CF04BC" w:rsidRPr="00B93493" w:rsidRDefault="00CF04BC" w:rsidP="002E7F54">
            <w:pPr>
              <w:pStyle w:val="Tablehead"/>
              <w:jc w:val="left"/>
            </w:pPr>
            <w:r w:rsidRPr="00B93493">
              <w:t>Parameter</w:t>
            </w:r>
          </w:p>
        </w:tc>
        <w:tc>
          <w:tcPr>
            <w:tcW w:w="964" w:type="dxa"/>
            <w:tcBorders>
              <w:top w:val="single" w:sz="4" w:space="0" w:color="auto"/>
              <w:left w:val="single" w:sz="4" w:space="0" w:color="auto"/>
              <w:bottom w:val="single" w:sz="4" w:space="0" w:color="auto"/>
              <w:right w:val="single" w:sz="4" w:space="0" w:color="auto"/>
            </w:tcBorders>
          </w:tcPr>
          <w:p w14:paraId="66DCF6A3" w14:textId="77777777" w:rsidR="00CF04BC" w:rsidRPr="00B93493" w:rsidRDefault="00CF04BC" w:rsidP="002E7F54">
            <w:pPr>
              <w:pStyle w:val="Tablehead"/>
            </w:pPr>
            <w:r w:rsidRPr="00B93493">
              <w:t>CDMA</w:t>
            </w:r>
          </w:p>
        </w:tc>
        <w:tc>
          <w:tcPr>
            <w:tcW w:w="851" w:type="dxa"/>
            <w:tcBorders>
              <w:top w:val="single" w:sz="4" w:space="0" w:color="auto"/>
              <w:left w:val="single" w:sz="4" w:space="0" w:color="auto"/>
              <w:bottom w:val="single" w:sz="4" w:space="0" w:color="auto"/>
              <w:right w:val="single" w:sz="4" w:space="0" w:color="auto"/>
            </w:tcBorders>
          </w:tcPr>
          <w:p w14:paraId="45EEC5CC" w14:textId="77777777" w:rsidR="00CF04BC" w:rsidRPr="00B93493" w:rsidRDefault="00CF04BC" w:rsidP="002E7F54">
            <w:pPr>
              <w:pStyle w:val="Tablehead"/>
            </w:pPr>
            <w:r w:rsidRPr="00B93493">
              <w:t>GSM</w:t>
            </w:r>
          </w:p>
        </w:tc>
        <w:tc>
          <w:tcPr>
            <w:tcW w:w="851" w:type="dxa"/>
            <w:tcBorders>
              <w:top w:val="single" w:sz="4" w:space="0" w:color="auto"/>
              <w:left w:val="single" w:sz="4" w:space="0" w:color="auto"/>
              <w:bottom w:val="single" w:sz="4" w:space="0" w:color="auto"/>
              <w:right w:val="single" w:sz="4" w:space="0" w:color="auto"/>
            </w:tcBorders>
          </w:tcPr>
          <w:p w14:paraId="7427033D" w14:textId="77777777" w:rsidR="00CF04BC" w:rsidRPr="00B93493" w:rsidRDefault="00CF04BC" w:rsidP="002E7F54">
            <w:pPr>
              <w:pStyle w:val="Tablehead"/>
            </w:pPr>
            <w:r w:rsidRPr="00B93493">
              <w:t>AMPS</w:t>
            </w:r>
          </w:p>
        </w:tc>
        <w:tc>
          <w:tcPr>
            <w:tcW w:w="851" w:type="dxa"/>
            <w:tcBorders>
              <w:top w:val="single" w:sz="4" w:space="0" w:color="auto"/>
              <w:left w:val="single" w:sz="4" w:space="0" w:color="auto"/>
              <w:bottom w:val="single" w:sz="4" w:space="0" w:color="auto"/>
              <w:right w:val="single" w:sz="4" w:space="0" w:color="auto"/>
            </w:tcBorders>
          </w:tcPr>
          <w:p w14:paraId="17B43D17" w14:textId="77777777" w:rsidR="00CF04BC" w:rsidRPr="00B93493" w:rsidRDefault="00CF04BC" w:rsidP="002E7F54">
            <w:pPr>
              <w:pStyle w:val="Tablehead"/>
            </w:pPr>
            <w:r w:rsidRPr="00B93493">
              <w:t>NMT</w:t>
            </w:r>
          </w:p>
        </w:tc>
        <w:tc>
          <w:tcPr>
            <w:tcW w:w="851" w:type="dxa"/>
            <w:tcBorders>
              <w:top w:val="single" w:sz="4" w:space="0" w:color="auto"/>
              <w:left w:val="single" w:sz="4" w:space="0" w:color="auto"/>
              <w:bottom w:val="single" w:sz="4" w:space="0" w:color="auto"/>
              <w:right w:val="single" w:sz="4" w:space="0" w:color="auto"/>
            </w:tcBorders>
          </w:tcPr>
          <w:p w14:paraId="78984DA1" w14:textId="77777777" w:rsidR="00CF04BC" w:rsidRPr="00B93493" w:rsidRDefault="00CF04BC" w:rsidP="002E7F54">
            <w:pPr>
              <w:pStyle w:val="Tablehead"/>
            </w:pPr>
            <w:r w:rsidRPr="00B93493">
              <w:t>DECT</w:t>
            </w:r>
          </w:p>
        </w:tc>
        <w:tc>
          <w:tcPr>
            <w:tcW w:w="851" w:type="dxa"/>
            <w:tcBorders>
              <w:top w:val="single" w:sz="4" w:space="0" w:color="auto"/>
              <w:left w:val="single" w:sz="4" w:space="0" w:color="auto"/>
              <w:bottom w:val="single" w:sz="4" w:space="0" w:color="auto"/>
              <w:right w:val="single" w:sz="4" w:space="0" w:color="auto"/>
            </w:tcBorders>
          </w:tcPr>
          <w:p w14:paraId="05E71520" w14:textId="77777777" w:rsidR="00CF04BC" w:rsidRPr="00B93493" w:rsidRDefault="00CF04BC" w:rsidP="002E7F54">
            <w:pPr>
              <w:pStyle w:val="Tablehead"/>
            </w:pPr>
            <w:r w:rsidRPr="00B93493">
              <w:t>PMR</w:t>
            </w:r>
          </w:p>
        </w:tc>
      </w:tr>
      <w:tr w:rsidR="00CF04BC" w:rsidRPr="00B93493" w14:paraId="7D524DAD" w14:textId="77777777" w:rsidTr="002E7F54">
        <w:trPr>
          <w:jc w:val="center"/>
        </w:trPr>
        <w:tc>
          <w:tcPr>
            <w:tcW w:w="4423" w:type="dxa"/>
            <w:tcBorders>
              <w:top w:val="single" w:sz="4" w:space="0" w:color="auto"/>
              <w:left w:val="single" w:sz="4" w:space="0" w:color="auto"/>
              <w:bottom w:val="single" w:sz="4" w:space="0" w:color="auto"/>
              <w:right w:val="single" w:sz="4" w:space="0" w:color="auto"/>
            </w:tcBorders>
          </w:tcPr>
          <w:p w14:paraId="6F8CEA41" w14:textId="77777777" w:rsidR="00CF04BC" w:rsidRPr="00B93493" w:rsidRDefault="00CF04BC" w:rsidP="002E7F54">
            <w:pPr>
              <w:pStyle w:val="Tabletext"/>
              <w:rPr>
                <w:szCs w:val="22"/>
              </w:rPr>
            </w:pPr>
            <w:r w:rsidRPr="00B93493">
              <w:rPr>
                <w:szCs w:val="22"/>
              </w:rPr>
              <w:t xml:space="preserve">Transmitting antenna gain </w:t>
            </w:r>
            <w:r w:rsidRPr="00B93493">
              <w:rPr>
                <w:i/>
                <w:snapToGrid w:val="0"/>
                <w:color w:val="000000"/>
                <w:szCs w:val="22"/>
              </w:rPr>
              <w:t>G</w:t>
            </w:r>
            <w:r w:rsidRPr="00B93493">
              <w:rPr>
                <w:i/>
                <w:snapToGrid w:val="0"/>
                <w:color w:val="000000"/>
                <w:szCs w:val="22"/>
                <w:vertAlign w:val="subscript"/>
              </w:rPr>
              <w:t>t</w:t>
            </w:r>
            <w:r w:rsidRPr="00B93493">
              <w:rPr>
                <w:iCs/>
                <w:snapToGrid w:val="0"/>
                <w:color w:val="000000"/>
                <w:szCs w:val="22"/>
              </w:rPr>
              <w:t xml:space="preserve"> (</w:t>
            </w:r>
            <w:r w:rsidRPr="00B93493">
              <w:rPr>
                <w:szCs w:val="22"/>
              </w:rPr>
              <w:t>dB)</w:t>
            </w:r>
          </w:p>
        </w:tc>
        <w:tc>
          <w:tcPr>
            <w:tcW w:w="964" w:type="dxa"/>
            <w:tcBorders>
              <w:top w:val="single" w:sz="4" w:space="0" w:color="auto"/>
              <w:left w:val="single" w:sz="4" w:space="0" w:color="auto"/>
              <w:bottom w:val="single" w:sz="4" w:space="0" w:color="auto"/>
              <w:right w:val="single" w:sz="4" w:space="0" w:color="auto"/>
            </w:tcBorders>
          </w:tcPr>
          <w:p w14:paraId="0C03BB79" w14:textId="77777777" w:rsidR="00CF04BC" w:rsidRPr="00B93493" w:rsidRDefault="00CF04BC" w:rsidP="002E7F54">
            <w:pPr>
              <w:pStyle w:val="Tabletext"/>
              <w:jc w:val="center"/>
              <w:rPr>
                <w:szCs w:val="22"/>
              </w:rPr>
            </w:pPr>
            <w:r w:rsidRPr="00B93493">
              <w:rPr>
                <w:szCs w:val="22"/>
              </w:rPr>
              <w:t>13</w:t>
            </w:r>
          </w:p>
        </w:tc>
        <w:tc>
          <w:tcPr>
            <w:tcW w:w="851" w:type="dxa"/>
            <w:tcBorders>
              <w:top w:val="single" w:sz="4" w:space="0" w:color="auto"/>
              <w:left w:val="single" w:sz="4" w:space="0" w:color="auto"/>
              <w:bottom w:val="single" w:sz="4" w:space="0" w:color="auto"/>
              <w:right w:val="single" w:sz="4" w:space="0" w:color="auto"/>
            </w:tcBorders>
          </w:tcPr>
          <w:p w14:paraId="063BCE2D" w14:textId="77777777" w:rsidR="00CF04BC" w:rsidRPr="00B93493" w:rsidRDefault="00CF04BC" w:rsidP="002E7F54">
            <w:pPr>
              <w:pStyle w:val="Tabletext"/>
              <w:jc w:val="center"/>
              <w:rPr>
                <w:szCs w:val="22"/>
              </w:rPr>
            </w:pPr>
            <w:r w:rsidRPr="00B93493">
              <w:rPr>
                <w:szCs w:val="22"/>
              </w:rPr>
              <w:t>18</w:t>
            </w:r>
          </w:p>
        </w:tc>
        <w:tc>
          <w:tcPr>
            <w:tcW w:w="851" w:type="dxa"/>
            <w:tcBorders>
              <w:top w:val="single" w:sz="4" w:space="0" w:color="auto"/>
              <w:left w:val="single" w:sz="4" w:space="0" w:color="auto"/>
              <w:bottom w:val="single" w:sz="4" w:space="0" w:color="auto"/>
              <w:right w:val="single" w:sz="4" w:space="0" w:color="auto"/>
            </w:tcBorders>
          </w:tcPr>
          <w:p w14:paraId="3F61572F" w14:textId="77777777" w:rsidR="00CF04BC" w:rsidRPr="00B93493" w:rsidRDefault="00CF04BC" w:rsidP="002E7F54">
            <w:pPr>
              <w:pStyle w:val="Tabletext"/>
              <w:jc w:val="center"/>
              <w:rPr>
                <w:szCs w:val="22"/>
              </w:rPr>
            </w:pPr>
            <w:r w:rsidRPr="00B93493">
              <w:rPr>
                <w:szCs w:val="22"/>
              </w:rPr>
              <w:t>17</w:t>
            </w:r>
          </w:p>
        </w:tc>
        <w:tc>
          <w:tcPr>
            <w:tcW w:w="851" w:type="dxa"/>
            <w:tcBorders>
              <w:top w:val="single" w:sz="4" w:space="0" w:color="auto"/>
              <w:left w:val="single" w:sz="4" w:space="0" w:color="auto"/>
              <w:bottom w:val="single" w:sz="4" w:space="0" w:color="auto"/>
              <w:right w:val="single" w:sz="4" w:space="0" w:color="auto"/>
            </w:tcBorders>
          </w:tcPr>
          <w:p w14:paraId="145A80D1" w14:textId="77777777" w:rsidR="00CF04BC" w:rsidRPr="00B93493" w:rsidRDefault="00CF04BC" w:rsidP="002E7F54">
            <w:pPr>
              <w:pStyle w:val="Tabletext"/>
              <w:jc w:val="center"/>
              <w:rPr>
                <w:szCs w:val="22"/>
              </w:rPr>
            </w:pPr>
            <w:r w:rsidRPr="00B93493">
              <w:rPr>
                <w:szCs w:val="22"/>
              </w:rPr>
              <w:t>10-17</w:t>
            </w:r>
          </w:p>
        </w:tc>
        <w:tc>
          <w:tcPr>
            <w:tcW w:w="851" w:type="dxa"/>
            <w:tcBorders>
              <w:top w:val="single" w:sz="4" w:space="0" w:color="auto"/>
              <w:left w:val="single" w:sz="4" w:space="0" w:color="auto"/>
              <w:bottom w:val="single" w:sz="4" w:space="0" w:color="auto"/>
              <w:right w:val="single" w:sz="4" w:space="0" w:color="auto"/>
            </w:tcBorders>
          </w:tcPr>
          <w:p w14:paraId="6F0C8420" w14:textId="77777777" w:rsidR="00CF04BC" w:rsidRPr="00B93493" w:rsidRDefault="00CF04BC" w:rsidP="002E7F54">
            <w:pPr>
              <w:pStyle w:val="Tabletext"/>
              <w:jc w:val="center"/>
              <w:rPr>
                <w:szCs w:val="22"/>
              </w:rPr>
            </w:pPr>
            <w:r w:rsidRPr="00B93493">
              <w:rPr>
                <w:szCs w:val="22"/>
              </w:rPr>
              <w:t>3</w:t>
            </w:r>
          </w:p>
        </w:tc>
        <w:tc>
          <w:tcPr>
            <w:tcW w:w="851" w:type="dxa"/>
            <w:tcBorders>
              <w:top w:val="single" w:sz="4" w:space="0" w:color="auto"/>
              <w:left w:val="single" w:sz="4" w:space="0" w:color="auto"/>
              <w:bottom w:val="single" w:sz="4" w:space="0" w:color="auto"/>
              <w:right w:val="single" w:sz="4" w:space="0" w:color="auto"/>
            </w:tcBorders>
          </w:tcPr>
          <w:p w14:paraId="4E35B44A" w14:textId="77777777" w:rsidR="00CF04BC" w:rsidRPr="00B93493" w:rsidRDefault="00CF04BC" w:rsidP="002E7F54">
            <w:pPr>
              <w:pStyle w:val="Tabletext"/>
              <w:jc w:val="center"/>
              <w:rPr>
                <w:szCs w:val="22"/>
              </w:rPr>
            </w:pPr>
            <w:r w:rsidRPr="00B93493">
              <w:rPr>
                <w:szCs w:val="22"/>
              </w:rPr>
              <w:t>6-15</w:t>
            </w:r>
          </w:p>
        </w:tc>
      </w:tr>
      <w:tr w:rsidR="00CF04BC" w:rsidRPr="00B93493" w14:paraId="1F82C3C7" w14:textId="77777777" w:rsidTr="002E7F54">
        <w:trPr>
          <w:jc w:val="center"/>
        </w:trPr>
        <w:tc>
          <w:tcPr>
            <w:tcW w:w="4423" w:type="dxa"/>
            <w:tcBorders>
              <w:top w:val="single" w:sz="4" w:space="0" w:color="auto"/>
              <w:left w:val="single" w:sz="4" w:space="0" w:color="auto"/>
              <w:bottom w:val="single" w:sz="4" w:space="0" w:color="auto"/>
              <w:right w:val="single" w:sz="4" w:space="0" w:color="auto"/>
            </w:tcBorders>
          </w:tcPr>
          <w:p w14:paraId="597ADB09" w14:textId="77777777" w:rsidR="00CF04BC" w:rsidRPr="00B93493" w:rsidRDefault="00CF04BC" w:rsidP="002E7F54">
            <w:pPr>
              <w:pStyle w:val="Tabletext"/>
              <w:rPr>
                <w:szCs w:val="22"/>
              </w:rPr>
            </w:pPr>
            <w:r w:rsidRPr="00B93493">
              <w:rPr>
                <w:szCs w:val="22"/>
              </w:rPr>
              <w:t xml:space="preserve">Receiving antenna gain </w:t>
            </w:r>
            <w:r w:rsidRPr="00B93493">
              <w:rPr>
                <w:i/>
                <w:snapToGrid w:val="0"/>
                <w:color w:val="000000"/>
                <w:szCs w:val="22"/>
              </w:rPr>
              <w:t>G</w:t>
            </w:r>
            <w:r w:rsidRPr="00B93493">
              <w:rPr>
                <w:i/>
                <w:snapToGrid w:val="0"/>
                <w:color w:val="000000"/>
                <w:szCs w:val="22"/>
                <w:vertAlign w:val="subscript"/>
              </w:rPr>
              <w:t>r</w:t>
            </w:r>
            <w:r w:rsidRPr="00B93493">
              <w:rPr>
                <w:iCs/>
                <w:snapToGrid w:val="0"/>
                <w:color w:val="000000"/>
                <w:szCs w:val="22"/>
              </w:rPr>
              <w:t xml:space="preserve"> (</w:t>
            </w:r>
            <w:r w:rsidRPr="00B93493">
              <w:rPr>
                <w:szCs w:val="22"/>
              </w:rPr>
              <w:t>dB)</w:t>
            </w:r>
          </w:p>
        </w:tc>
        <w:tc>
          <w:tcPr>
            <w:tcW w:w="964" w:type="dxa"/>
            <w:tcBorders>
              <w:top w:val="single" w:sz="4" w:space="0" w:color="auto"/>
              <w:left w:val="single" w:sz="4" w:space="0" w:color="auto"/>
              <w:bottom w:val="single" w:sz="4" w:space="0" w:color="auto"/>
              <w:right w:val="single" w:sz="4" w:space="0" w:color="auto"/>
            </w:tcBorders>
          </w:tcPr>
          <w:p w14:paraId="5931C567" w14:textId="77777777" w:rsidR="00CF04BC" w:rsidRPr="00B93493" w:rsidRDefault="00CF04BC" w:rsidP="002E7F54">
            <w:pPr>
              <w:pStyle w:val="Tabletext"/>
              <w:jc w:val="center"/>
              <w:rPr>
                <w:szCs w:val="22"/>
              </w:rPr>
            </w:pPr>
            <w:r w:rsidRPr="00B93493">
              <w:rPr>
                <w:szCs w:val="22"/>
              </w:rPr>
              <w:t>0</w:t>
            </w:r>
          </w:p>
        </w:tc>
        <w:tc>
          <w:tcPr>
            <w:tcW w:w="851" w:type="dxa"/>
            <w:tcBorders>
              <w:top w:val="single" w:sz="4" w:space="0" w:color="auto"/>
              <w:left w:val="single" w:sz="4" w:space="0" w:color="auto"/>
              <w:bottom w:val="single" w:sz="4" w:space="0" w:color="auto"/>
              <w:right w:val="single" w:sz="4" w:space="0" w:color="auto"/>
            </w:tcBorders>
          </w:tcPr>
          <w:p w14:paraId="656EF827" w14:textId="77777777" w:rsidR="00CF04BC" w:rsidRPr="00B93493" w:rsidRDefault="00CF04BC" w:rsidP="002E7F54">
            <w:pPr>
              <w:pStyle w:val="Tabletext"/>
              <w:jc w:val="center"/>
              <w:rPr>
                <w:szCs w:val="22"/>
              </w:rPr>
            </w:pPr>
            <w:r w:rsidRPr="00B93493">
              <w:rPr>
                <w:szCs w:val="22"/>
              </w:rPr>
              <w:t>0</w:t>
            </w:r>
          </w:p>
        </w:tc>
        <w:tc>
          <w:tcPr>
            <w:tcW w:w="851" w:type="dxa"/>
            <w:tcBorders>
              <w:top w:val="single" w:sz="4" w:space="0" w:color="auto"/>
              <w:left w:val="single" w:sz="4" w:space="0" w:color="auto"/>
              <w:bottom w:val="single" w:sz="4" w:space="0" w:color="auto"/>
              <w:right w:val="single" w:sz="4" w:space="0" w:color="auto"/>
            </w:tcBorders>
          </w:tcPr>
          <w:p w14:paraId="6D32D40C" w14:textId="77777777" w:rsidR="00CF04BC" w:rsidRPr="00B93493" w:rsidRDefault="00CF04BC" w:rsidP="002E7F54">
            <w:pPr>
              <w:pStyle w:val="Tabletext"/>
              <w:jc w:val="center"/>
              <w:rPr>
                <w:szCs w:val="22"/>
              </w:rPr>
            </w:pPr>
            <w:r w:rsidRPr="00B93493">
              <w:rPr>
                <w:szCs w:val="22"/>
              </w:rPr>
              <w:t>0</w:t>
            </w:r>
          </w:p>
        </w:tc>
        <w:tc>
          <w:tcPr>
            <w:tcW w:w="851" w:type="dxa"/>
            <w:tcBorders>
              <w:top w:val="single" w:sz="4" w:space="0" w:color="auto"/>
              <w:left w:val="single" w:sz="4" w:space="0" w:color="auto"/>
              <w:bottom w:val="single" w:sz="4" w:space="0" w:color="auto"/>
              <w:right w:val="single" w:sz="4" w:space="0" w:color="auto"/>
            </w:tcBorders>
          </w:tcPr>
          <w:p w14:paraId="51FDAF11" w14:textId="77777777" w:rsidR="00CF04BC" w:rsidRPr="00B93493" w:rsidRDefault="00CF04BC" w:rsidP="002E7F54">
            <w:pPr>
              <w:pStyle w:val="Tabletext"/>
              <w:jc w:val="center"/>
              <w:rPr>
                <w:szCs w:val="22"/>
              </w:rPr>
            </w:pPr>
            <w:r w:rsidRPr="00B93493">
              <w:rPr>
                <w:szCs w:val="22"/>
              </w:rPr>
              <w:t>6</w:t>
            </w:r>
          </w:p>
        </w:tc>
        <w:tc>
          <w:tcPr>
            <w:tcW w:w="851" w:type="dxa"/>
            <w:tcBorders>
              <w:top w:val="single" w:sz="4" w:space="0" w:color="auto"/>
              <w:left w:val="single" w:sz="4" w:space="0" w:color="auto"/>
              <w:bottom w:val="single" w:sz="4" w:space="0" w:color="auto"/>
              <w:right w:val="single" w:sz="4" w:space="0" w:color="auto"/>
            </w:tcBorders>
          </w:tcPr>
          <w:p w14:paraId="0C320FCC" w14:textId="77777777" w:rsidR="00CF04BC" w:rsidRPr="00B93493" w:rsidRDefault="00CF04BC" w:rsidP="002E7F54">
            <w:pPr>
              <w:pStyle w:val="Tabletext"/>
              <w:jc w:val="center"/>
              <w:rPr>
                <w:szCs w:val="22"/>
              </w:rPr>
            </w:pPr>
            <w:r w:rsidRPr="00B93493">
              <w:rPr>
                <w:szCs w:val="22"/>
              </w:rPr>
              <w:t>3</w:t>
            </w:r>
          </w:p>
        </w:tc>
        <w:tc>
          <w:tcPr>
            <w:tcW w:w="851" w:type="dxa"/>
            <w:tcBorders>
              <w:top w:val="single" w:sz="4" w:space="0" w:color="auto"/>
              <w:left w:val="single" w:sz="4" w:space="0" w:color="auto"/>
              <w:bottom w:val="single" w:sz="4" w:space="0" w:color="auto"/>
              <w:right w:val="single" w:sz="4" w:space="0" w:color="auto"/>
            </w:tcBorders>
          </w:tcPr>
          <w:p w14:paraId="7794B8CF" w14:textId="77777777" w:rsidR="00CF04BC" w:rsidRPr="00B93493" w:rsidRDefault="00CF04BC" w:rsidP="002E7F54">
            <w:pPr>
              <w:pStyle w:val="Tabletext"/>
              <w:jc w:val="center"/>
              <w:rPr>
                <w:szCs w:val="22"/>
              </w:rPr>
            </w:pPr>
            <w:r w:rsidRPr="00B93493">
              <w:rPr>
                <w:szCs w:val="22"/>
              </w:rPr>
              <w:t>3-6</w:t>
            </w:r>
          </w:p>
        </w:tc>
      </w:tr>
      <w:tr w:rsidR="00CF04BC" w:rsidRPr="00B93493" w14:paraId="5AEA9844" w14:textId="77777777" w:rsidTr="002E7F54">
        <w:trPr>
          <w:jc w:val="center"/>
        </w:trPr>
        <w:tc>
          <w:tcPr>
            <w:tcW w:w="4423" w:type="dxa"/>
            <w:tcBorders>
              <w:top w:val="single" w:sz="4" w:space="0" w:color="auto"/>
              <w:left w:val="single" w:sz="4" w:space="0" w:color="auto"/>
              <w:bottom w:val="single" w:sz="4" w:space="0" w:color="auto"/>
              <w:right w:val="single" w:sz="4" w:space="0" w:color="auto"/>
            </w:tcBorders>
          </w:tcPr>
          <w:p w14:paraId="769D7664" w14:textId="77777777" w:rsidR="00CF04BC" w:rsidRPr="00B93493" w:rsidRDefault="00CF04BC" w:rsidP="002E7F54">
            <w:pPr>
              <w:pStyle w:val="Tabletext"/>
              <w:rPr>
                <w:szCs w:val="22"/>
              </w:rPr>
            </w:pPr>
            <w:r w:rsidRPr="00B93493">
              <w:rPr>
                <w:szCs w:val="22"/>
              </w:rPr>
              <w:t xml:space="preserve">Receiver sensitivity </w:t>
            </w:r>
            <w:r w:rsidRPr="00B93493">
              <w:rPr>
                <w:i/>
                <w:iCs/>
                <w:szCs w:val="22"/>
              </w:rPr>
              <w:t>P</w:t>
            </w:r>
            <w:r w:rsidRPr="00B93493">
              <w:rPr>
                <w:i/>
                <w:iCs/>
                <w:szCs w:val="22"/>
                <w:vertAlign w:val="subscript"/>
              </w:rPr>
              <w:t>min</w:t>
            </w:r>
            <w:r w:rsidRPr="00B93493">
              <w:rPr>
                <w:szCs w:val="22"/>
              </w:rPr>
              <w:t xml:space="preserve"> (dBW)</w:t>
            </w:r>
          </w:p>
        </w:tc>
        <w:tc>
          <w:tcPr>
            <w:tcW w:w="964" w:type="dxa"/>
            <w:tcBorders>
              <w:top w:val="single" w:sz="4" w:space="0" w:color="auto"/>
              <w:left w:val="single" w:sz="4" w:space="0" w:color="auto"/>
              <w:bottom w:val="single" w:sz="4" w:space="0" w:color="auto"/>
              <w:right w:val="single" w:sz="4" w:space="0" w:color="auto"/>
            </w:tcBorders>
          </w:tcPr>
          <w:p w14:paraId="11D3D703" w14:textId="77777777" w:rsidR="00CF04BC" w:rsidRPr="00B93493" w:rsidRDefault="00CF04BC" w:rsidP="002E7F54">
            <w:pPr>
              <w:pStyle w:val="Tabletext"/>
              <w:jc w:val="center"/>
              <w:rPr>
                <w:szCs w:val="22"/>
              </w:rPr>
            </w:pPr>
            <w:r w:rsidRPr="00B93493">
              <w:rPr>
                <w:szCs w:val="22"/>
              </w:rPr>
              <w:t>–147</w:t>
            </w:r>
          </w:p>
        </w:tc>
        <w:tc>
          <w:tcPr>
            <w:tcW w:w="851" w:type="dxa"/>
            <w:tcBorders>
              <w:top w:val="single" w:sz="4" w:space="0" w:color="auto"/>
              <w:left w:val="single" w:sz="4" w:space="0" w:color="auto"/>
              <w:bottom w:val="single" w:sz="4" w:space="0" w:color="auto"/>
              <w:right w:val="single" w:sz="4" w:space="0" w:color="auto"/>
            </w:tcBorders>
          </w:tcPr>
          <w:p w14:paraId="06EC4B29" w14:textId="77777777" w:rsidR="00CF04BC" w:rsidRPr="00B93493" w:rsidRDefault="00CF04BC" w:rsidP="002E7F54">
            <w:pPr>
              <w:pStyle w:val="Tabletext"/>
              <w:jc w:val="center"/>
              <w:rPr>
                <w:szCs w:val="22"/>
              </w:rPr>
            </w:pPr>
            <w:r w:rsidRPr="00B93493">
              <w:rPr>
                <w:szCs w:val="22"/>
              </w:rPr>
              <w:t>–138</w:t>
            </w:r>
          </w:p>
        </w:tc>
        <w:tc>
          <w:tcPr>
            <w:tcW w:w="851" w:type="dxa"/>
            <w:tcBorders>
              <w:top w:val="single" w:sz="4" w:space="0" w:color="auto"/>
              <w:left w:val="single" w:sz="4" w:space="0" w:color="auto"/>
              <w:bottom w:val="single" w:sz="4" w:space="0" w:color="auto"/>
              <w:right w:val="single" w:sz="4" w:space="0" w:color="auto"/>
            </w:tcBorders>
          </w:tcPr>
          <w:p w14:paraId="320C18CC" w14:textId="77777777" w:rsidR="00CF04BC" w:rsidRPr="00B93493" w:rsidRDefault="00CF04BC" w:rsidP="002E7F54">
            <w:pPr>
              <w:pStyle w:val="Tabletext"/>
              <w:jc w:val="center"/>
              <w:rPr>
                <w:szCs w:val="22"/>
              </w:rPr>
            </w:pPr>
            <w:r w:rsidRPr="00B93493">
              <w:rPr>
                <w:szCs w:val="22"/>
              </w:rPr>
              <w:t>–146</w:t>
            </w:r>
          </w:p>
        </w:tc>
        <w:tc>
          <w:tcPr>
            <w:tcW w:w="851" w:type="dxa"/>
            <w:tcBorders>
              <w:top w:val="single" w:sz="4" w:space="0" w:color="auto"/>
              <w:left w:val="single" w:sz="4" w:space="0" w:color="auto"/>
              <w:bottom w:val="single" w:sz="4" w:space="0" w:color="auto"/>
              <w:right w:val="single" w:sz="4" w:space="0" w:color="auto"/>
            </w:tcBorders>
          </w:tcPr>
          <w:p w14:paraId="152006BB" w14:textId="77777777" w:rsidR="00CF04BC" w:rsidRPr="00B93493" w:rsidRDefault="00CF04BC" w:rsidP="002E7F54">
            <w:pPr>
              <w:pStyle w:val="Tabletext"/>
              <w:jc w:val="center"/>
              <w:rPr>
                <w:szCs w:val="22"/>
              </w:rPr>
            </w:pPr>
            <w:r w:rsidRPr="00B93493">
              <w:rPr>
                <w:szCs w:val="22"/>
              </w:rPr>
              <w:t>–115</w:t>
            </w:r>
          </w:p>
        </w:tc>
        <w:tc>
          <w:tcPr>
            <w:tcW w:w="851" w:type="dxa"/>
            <w:tcBorders>
              <w:top w:val="single" w:sz="4" w:space="0" w:color="auto"/>
              <w:left w:val="single" w:sz="4" w:space="0" w:color="auto"/>
              <w:bottom w:val="single" w:sz="4" w:space="0" w:color="auto"/>
              <w:right w:val="single" w:sz="4" w:space="0" w:color="auto"/>
            </w:tcBorders>
          </w:tcPr>
          <w:p w14:paraId="08AEE564" w14:textId="77777777" w:rsidR="00CF04BC" w:rsidRPr="00B93493" w:rsidRDefault="00CF04BC" w:rsidP="002E7F54">
            <w:pPr>
              <w:pStyle w:val="Tabletext"/>
              <w:jc w:val="center"/>
              <w:rPr>
                <w:szCs w:val="22"/>
              </w:rPr>
            </w:pPr>
            <w:r w:rsidRPr="00B93493">
              <w:rPr>
                <w:szCs w:val="22"/>
              </w:rPr>
              <w:t>–112</w:t>
            </w:r>
          </w:p>
        </w:tc>
        <w:tc>
          <w:tcPr>
            <w:tcW w:w="851" w:type="dxa"/>
            <w:tcBorders>
              <w:top w:val="single" w:sz="4" w:space="0" w:color="auto"/>
              <w:left w:val="single" w:sz="4" w:space="0" w:color="auto"/>
              <w:bottom w:val="single" w:sz="4" w:space="0" w:color="auto"/>
              <w:right w:val="single" w:sz="4" w:space="0" w:color="auto"/>
            </w:tcBorders>
          </w:tcPr>
          <w:p w14:paraId="38A2DC4F" w14:textId="77777777" w:rsidR="00CF04BC" w:rsidRPr="00B93493" w:rsidRDefault="00CF04BC" w:rsidP="002E7F54">
            <w:pPr>
              <w:pStyle w:val="Tabletext"/>
              <w:jc w:val="center"/>
              <w:rPr>
                <w:szCs w:val="22"/>
              </w:rPr>
            </w:pPr>
            <w:r w:rsidRPr="00B93493">
              <w:rPr>
                <w:szCs w:val="22"/>
              </w:rPr>
              <w:t>–110</w:t>
            </w:r>
          </w:p>
        </w:tc>
      </w:tr>
    </w:tbl>
    <w:p w14:paraId="74E0532C" w14:textId="77777777" w:rsidR="00CF04BC" w:rsidRPr="00B93493" w:rsidRDefault="00CF04BC" w:rsidP="00CF04BC">
      <w:pPr>
        <w:pStyle w:val="Tablefin"/>
      </w:pPr>
    </w:p>
    <w:p w14:paraId="5CE3C375" w14:textId="77777777" w:rsidR="00CF04BC" w:rsidRPr="00B93493" w:rsidRDefault="00CF04BC" w:rsidP="00CF04BC">
      <w:r w:rsidRPr="00B93493">
        <w:t xml:space="preserve">Table </w:t>
      </w:r>
      <w:r>
        <w:rPr>
          <w:rFonts w:hint="eastAsia"/>
          <w:lang w:eastAsia="zh-CN"/>
        </w:rPr>
        <w:t>12</w:t>
      </w:r>
      <w:r w:rsidRPr="00B93493">
        <w:t xml:space="preserve"> can be amended in future for new, more efficient, land mobile radiocommunications systems.</w:t>
      </w:r>
    </w:p>
    <w:p w14:paraId="28CE3EBD" w14:textId="77777777" w:rsidR="00CF04BC" w:rsidRPr="00B93493" w:rsidRDefault="00CF04BC" w:rsidP="00CF04BC">
      <w:pPr>
        <w:pStyle w:val="FigureNo"/>
      </w:pPr>
      <w:r w:rsidRPr="00B93493">
        <w:t>Figure 7</w:t>
      </w:r>
    </w:p>
    <w:p w14:paraId="0B49AD55" w14:textId="38A4A116" w:rsidR="00CF04BC" w:rsidRPr="00B93493" w:rsidRDefault="00CF04BC" w:rsidP="00CF04BC">
      <w:pPr>
        <w:pStyle w:val="Figuretitle"/>
      </w:pPr>
      <w:r w:rsidRPr="00B93493">
        <w:t xml:space="preserve">Service area radius calculation for frequencies below 1 000 MHz, </w:t>
      </w:r>
      <w:r w:rsidRPr="00B93493">
        <w:rPr>
          <w:rFonts w:ascii="Times New Roman"/>
          <w:bCs/>
          <w:i/>
          <w:iCs/>
        </w:rPr>
        <w:t>h</w:t>
      </w:r>
      <w:r w:rsidRPr="00B93493">
        <w:rPr>
          <w:i/>
          <w:iCs/>
          <w:vertAlign w:val="subscript"/>
        </w:rPr>
        <w:t>t</w:t>
      </w:r>
      <w:r w:rsidRPr="00B93493">
        <w:rPr>
          <w:i/>
          <w:iCs/>
        </w:rPr>
        <w:t xml:space="preserve"> </w:t>
      </w:r>
      <w:r w:rsidRPr="00B93493">
        <w:t>= 40 m</w:t>
      </w:r>
      <w:r w:rsidR="001379B9">
        <w:t xml:space="preserve"> </w:t>
      </w:r>
      <w:r w:rsidR="001379B9">
        <w:br/>
      </w:r>
      <w:r w:rsidRPr="00B93493">
        <w:rPr>
          <w:rFonts w:ascii="Times New Roman"/>
          <w:bCs/>
        </w:rPr>
        <w:t xml:space="preserve">1: </w:t>
      </w:r>
      <w:r w:rsidRPr="00B93493">
        <w:rPr>
          <w:rFonts w:ascii="Times New Roman"/>
          <w:bCs/>
          <w:i/>
          <w:iCs/>
        </w:rPr>
        <w:t>h</w:t>
      </w:r>
      <w:r w:rsidRPr="00B93493">
        <w:rPr>
          <w:i/>
          <w:iCs/>
          <w:vertAlign w:val="subscript"/>
        </w:rPr>
        <w:t>r</w:t>
      </w:r>
      <w:r w:rsidRPr="00B93493">
        <w:rPr>
          <w:i/>
          <w:iCs/>
        </w:rPr>
        <w:t xml:space="preserve"> </w:t>
      </w:r>
      <w:r w:rsidRPr="00B93493">
        <w:t>= 1.5 m,  </w:t>
      </w:r>
      <w:r w:rsidRPr="00B93493">
        <w:rPr>
          <w:rFonts w:ascii="Times New Roman"/>
          <w:bCs/>
        </w:rPr>
        <w:t xml:space="preserve">2: </w:t>
      </w:r>
      <w:r w:rsidRPr="00B93493">
        <w:rPr>
          <w:rFonts w:ascii="Times New Roman"/>
          <w:bCs/>
          <w:i/>
          <w:iCs/>
        </w:rPr>
        <w:t>h</w:t>
      </w:r>
      <w:r w:rsidRPr="00B93493">
        <w:rPr>
          <w:i/>
          <w:iCs/>
          <w:vertAlign w:val="subscript"/>
        </w:rPr>
        <w:t>r</w:t>
      </w:r>
      <w:r w:rsidRPr="00B93493">
        <w:rPr>
          <w:i/>
          <w:iCs/>
        </w:rPr>
        <w:t xml:space="preserve"> </w:t>
      </w:r>
      <w:r w:rsidRPr="00B93493">
        <w:t>= 10 m, 3: free space propagation</w:t>
      </w:r>
    </w:p>
    <w:p w14:paraId="248B5319" w14:textId="39C551D9" w:rsidR="00CF04BC" w:rsidRPr="00B93493" w:rsidRDefault="008D295D" w:rsidP="00CF04BC">
      <w:pPr>
        <w:pStyle w:val="Figure"/>
      </w:pPr>
      <w:r>
        <w:rPr>
          <w:noProof/>
        </w:rPr>
        <w:drawing>
          <wp:inline distT="0" distB="0" distL="0" distR="0" wp14:anchorId="34C27409" wp14:editId="0F158910">
            <wp:extent cx="4794885" cy="3172460"/>
            <wp:effectExtent l="0" t="0" r="5715" b="8890"/>
            <wp:docPr id="1589601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94885" cy="3172460"/>
                    </a:xfrm>
                    <a:prstGeom prst="rect">
                      <a:avLst/>
                    </a:prstGeom>
                    <a:noFill/>
                    <a:ln>
                      <a:noFill/>
                    </a:ln>
                  </pic:spPr>
                </pic:pic>
              </a:graphicData>
            </a:graphic>
          </wp:inline>
        </w:drawing>
      </w:r>
    </w:p>
    <w:p w14:paraId="0FFFA8EC" w14:textId="77777777" w:rsidR="00CF04BC" w:rsidRPr="00B93493" w:rsidRDefault="00CF04BC" w:rsidP="00CF04BC">
      <w:pPr>
        <w:pStyle w:val="FigureNo"/>
      </w:pPr>
      <w:r w:rsidRPr="00B93493">
        <w:t>Figure 8</w:t>
      </w:r>
    </w:p>
    <w:p w14:paraId="5E001A1C" w14:textId="7BCE9D5B" w:rsidR="00CF04BC" w:rsidRPr="00B93493" w:rsidRDefault="00CF04BC" w:rsidP="00CF04BC">
      <w:pPr>
        <w:pStyle w:val="Figuretitle"/>
      </w:pPr>
      <w:r w:rsidRPr="00B93493">
        <w:t xml:space="preserve">Service area radius calculation for frequencies below 1 000 MHz, </w:t>
      </w:r>
      <w:r w:rsidRPr="00B93493">
        <w:rPr>
          <w:rFonts w:ascii="Times New Roman"/>
          <w:bCs/>
          <w:i/>
          <w:iCs/>
        </w:rPr>
        <w:t>h</w:t>
      </w:r>
      <w:r w:rsidRPr="00B93493">
        <w:rPr>
          <w:i/>
          <w:iCs/>
          <w:vertAlign w:val="subscript"/>
        </w:rPr>
        <w:t>t</w:t>
      </w:r>
      <w:r w:rsidRPr="00B93493">
        <w:rPr>
          <w:i/>
          <w:iCs/>
        </w:rPr>
        <w:t xml:space="preserve"> </w:t>
      </w:r>
      <w:r w:rsidRPr="00B93493">
        <w:t>= 100 m</w:t>
      </w:r>
      <w:r w:rsidR="001379B9">
        <w:t xml:space="preserve"> </w:t>
      </w:r>
      <w:r w:rsidR="001379B9">
        <w:br/>
      </w:r>
      <w:r w:rsidRPr="00B93493">
        <w:rPr>
          <w:rFonts w:ascii="Times New Roman"/>
          <w:bCs/>
        </w:rPr>
        <w:t xml:space="preserve">1: </w:t>
      </w:r>
      <w:r w:rsidRPr="00B93493">
        <w:rPr>
          <w:rFonts w:ascii="Times New Roman"/>
          <w:bCs/>
          <w:i/>
          <w:iCs/>
        </w:rPr>
        <w:t>h</w:t>
      </w:r>
      <w:r w:rsidRPr="00B93493">
        <w:rPr>
          <w:i/>
          <w:iCs/>
          <w:vertAlign w:val="subscript"/>
        </w:rPr>
        <w:t>r</w:t>
      </w:r>
      <w:r w:rsidRPr="00B93493">
        <w:rPr>
          <w:i/>
          <w:iCs/>
        </w:rPr>
        <w:t xml:space="preserve"> </w:t>
      </w:r>
      <w:r w:rsidRPr="00B93493">
        <w:t>= 1.5 m,  </w:t>
      </w:r>
      <w:r w:rsidRPr="00B93493">
        <w:rPr>
          <w:rFonts w:ascii="Times New Roman"/>
          <w:bCs/>
        </w:rPr>
        <w:t xml:space="preserve">2: </w:t>
      </w:r>
      <w:r w:rsidRPr="00B93493">
        <w:rPr>
          <w:rFonts w:ascii="Times New Roman"/>
          <w:bCs/>
          <w:i/>
          <w:iCs/>
        </w:rPr>
        <w:t>h</w:t>
      </w:r>
      <w:r w:rsidRPr="00B93493">
        <w:rPr>
          <w:i/>
          <w:iCs/>
          <w:vertAlign w:val="subscript"/>
        </w:rPr>
        <w:t>r</w:t>
      </w:r>
      <w:r w:rsidRPr="00B93493">
        <w:rPr>
          <w:i/>
          <w:iCs/>
        </w:rPr>
        <w:t xml:space="preserve"> </w:t>
      </w:r>
      <w:r w:rsidRPr="00B93493">
        <w:t>= 10 m, 3: free space propagation</w:t>
      </w:r>
    </w:p>
    <w:p w14:paraId="44F67CBD" w14:textId="6B9045CD" w:rsidR="00CF04BC" w:rsidRPr="00B93493" w:rsidRDefault="008D295D" w:rsidP="00CF04BC">
      <w:pPr>
        <w:pStyle w:val="Figure"/>
      </w:pPr>
      <w:r>
        <w:rPr>
          <w:noProof/>
        </w:rPr>
        <w:drawing>
          <wp:inline distT="0" distB="0" distL="0" distR="0" wp14:anchorId="4A59977B" wp14:editId="272344DD">
            <wp:extent cx="4842510" cy="3172460"/>
            <wp:effectExtent l="0" t="0" r="0" b="8890"/>
            <wp:docPr id="2082551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42510" cy="3172460"/>
                    </a:xfrm>
                    <a:prstGeom prst="rect">
                      <a:avLst/>
                    </a:prstGeom>
                    <a:noFill/>
                    <a:ln>
                      <a:noFill/>
                    </a:ln>
                  </pic:spPr>
                </pic:pic>
              </a:graphicData>
            </a:graphic>
          </wp:inline>
        </w:drawing>
      </w:r>
    </w:p>
    <w:p w14:paraId="3F1C2CF6" w14:textId="77777777" w:rsidR="00CF04BC" w:rsidRPr="00B93493" w:rsidRDefault="00CF04BC" w:rsidP="00CF04BC">
      <w:pPr>
        <w:pStyle w:val="FigureNo"/>
      </w:pPr>
      <w:r w:rsidRPr="00B93493">
        <w:t>Figure 9</w:t>
      </w:r>
    </w:p>
    <w:p w14:paraId="36F5AC17" w14:textId="42F8D8A6" w:rsidR="00CF04BC" w:rsidRPr="00B93493" w:rsidRDefault="00CF04BC" w:rsidP="00CF04BC">
      <w:pPr>
        <w:pStyle w:val="Figuretitle"/>
      </w:pPr>
      <w:r w:rsidRPr="00B93493">
        <w:t xml:space="preserve">Service area radius calculation for frequencies below 1 500 MHz, </w:t>
      </w:r>
      <w:r w:rsidRPr="00B93493">
        <w:rPr>
          <w:rFonts w:ascii="Times New Roman"/>
          <w:bCs/>
          <w:i/>
          <w:iCs/>
        </w:rPr>
        <w:t>h</w:t>
      </w:r>
      <w:r w:rsidRPr="00B93493">
        <w:rPr>
          <w:i/>
          <w:iCs/>
          <w:vertAlign w:val="subscript"/>
        </w:rPr>
        <w:t>t</w:t>
      </w:r>
      <w:r w:rsidRPr="00B93493">
        <w:rPr>
          <w:i/>
          <w:iCs/>
        </w:rPr>
        <w:t xml:space="preserve"> </w:t>
      </w:r>
      <w:r w:rsidRPr="00B93493">
        <w:t>= 100 m</w:t>
      </w:r>
      <w:r w:rsidR="001379B9">
        <w:t xml:space="preserve"> </w:t>
      </w:r>
      <w:r w:rsidR="001379B9">
        <w:br/>
      </w:r>
      <w:r w:rsidRPr="00B93493">
        <w:rPr>
          <w:rFonts w:ascii="Times New Roman"/>
          <w:bCs/>
        </w:rPr>
        <w:t xml:space="preserve">1: </w:t>
      </w:r>
      <w:r w:rsidRPr="00B93493">
        <w:rPr>
          <w:rFonts w:ascii="Times New Roman"/>
          <w:bCs/>
          <w:i/>
          <w:iCs/>
        </w:rPr>
        <w:t>h</w:t>
      </w:r>
      <w:r w:rsidRPr="00B93493">
        <w:rPr>
          <w:i/>
          <w:iCs/>
          <w:vertAlign w:val="subscript"/>
        </w:rPr>
        <w:t>r</w:t>
      </w:r>
      <w:r w:rsidRPr="00B93493">
        <w:rPr>
          <w:i/>
          <w:iCs/>
        </w:rPr>
        <w:t xml:space="preserve"> </w:t>
      </w:r>
      <w:r w:rsidRPr="00B93493">
        <w:t>= 1.5 m,  </w:t>
      </w:r>
      <w:r w:rsidRPr="00B93493">
        <w:rPr>
          <w:rFonts w:ascii="Times New Roman"/>
          <w:bCs/>
        </w:rPr>
        <w:t xml:space="preserve">2: </w:t>
      </w:r>
      <w:r w:rsidRPr="00B93493">
        <w:rPr>
          <w:rFonts w:ascii="Times New Roman"/>
          <w:bCs/>
          <w:i/>
          <w:iCs/>
        </w:rPr>
        <w:t>h</w:t>
      </w:r>
      <w:r w:rsidRPr="00B93493">
        <w:rPr>
          <w:i/>
          <w:iCs/>
          <w:vertAlign w:val="subscript"/>
        </w:rPr>
        <w:t>r</w:t>
      </w:r>
      <w:r w:rsidRPr="00B93493">
        <w:rPr>
          <w:i/>
          <w:iCs/>
        </w:rPr>
        <w:t xml:space="preserve"> </w:t>
      </w:r>
      <w:r w:rsidRPr="00B93493">
        <w:t>= 10 m, 3: free space propagation</w:t>
      </w:r>
    </w:p>
    <w:p w14:paraId="09D7B637" w14:textId="2D6EFD3B" w:rsidR="00CF04BC" w:rsidRPr="00B93493" w:rsidRDefault="008D295D" w:rsidP="00CF04BC">
      <w:pPr>
        <w:pStyle w:val="Figure"/>
      </w:pPr>
      <w:r>
        <w:rPr>
          <w:noProof/>
        </w:rPr>
        <w:drawing>
          <wp:inline distT="0" distB="0" distL="0" distR="0" wp14:anchorId="7A283E21" wp14:editId="1E4DBB9D">
            <wp:extent cx="4730750" cy="3133090"/>
            <wp:effectExtent l="0" t="0" r="0" b="0"/>
            <wp:docPr id="549647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30750" cy="3133090"/>
                    </a:xfrm>
                    <a:prstGeom prst="rect">
                      <a:avLst/>
                    </a:prstGeom>
                    <a:noFill/>
                    <a:ln>
                      <a:noFill/>
                    </a:ln>
                  </pic:spPr>
                </pic:pic>
              </a:graphicData>
            </a:graphic>
          </wp:inline>
        </w:drawing>
      </w:r>
    </w:p>
    <w:p w14:paraId="337616E0" w14:textId="77777777" w:rsidR="00CF04BC" w:rsidRPr="00B93493" w:rsidRDefault="00CF04BC" w:rsidP="00CF04BC">
      <w:pPr>
        <w:pStyle w:val="FigureNo"/>
      </w:pPr>
      <w:r w:rsidRPr="00B93493">
        <w:t>Figure 10</w:t>
      </w:r>
    </w:p>
    <w:p w14:paraId="5458605F" w14:textId="6570BC81" w:rsidR="00CF04BC" w:rsidRPr="00B93493" w:rsidRDefault="00CF04BC" w:rsidP="00CF04BC">
      <w:pPr>
        <w:pStyle w:val="Figuretitle"/>
      </w:pPr>
      <w:r w:rsidRPr="00B93493">
        <w:t xml:space="preserve">Service area radius calculation for frequencies below 1 500 MHz, </w:t>
      </w:r>
      <w:r w:rsidRPr="00B93493">
        <w:rPr>
          <w:rFonts w:ascii="Times New Roman"/>
          <w:bCs/>
          <w:i/>
          <w:iCs/>
        </w:rPr>
        <w:t>h</w:t>
      </w:r>
      <w:r w:rsidRPr="00B93493">
        <w:rPr>
          <w:i/>
          <w:iCs/>
          <w:vertAlign w:val="subscript"/>
        </w:rPr>
        <w:t>t</w:t>
      </w:r>
      <w:r w:rsidRPr="00B93493">
        <w:rPr>
          <w:i/>
          <w:iCs/>
        </w:rPr>
        <w:t xml:space="preserve"> </w:t>
      </w:r>
      <w:r w:rsidRPr="00B93493">
        <w:t>= 100 m</w:t>
      </w:r>
      <w:r w:rsidR="001379B9">
        <w:t xml:space="preserve"> </w:t>
      </w:r>
      <w:r w:rsidR="001379B9">
        <w:br/>
      </w:r>
      <w:r w:rsidRPr="00B93493">
        <w:rPr>
          <w:rFonts w:ascii="Times New Roman"/>
          <w:bCs/>
        </w:rPr>
        <w:t xml:space="preserve">1: </w:t>
      </w:r>
      <w:r w:rsidRPr="00B93493">
        <w:rPr>
          <w:rFonts w:ascii="Times New Roman"/>
          <w:bCs/>
          <w:i/>
          <w:iCs/>
        </w:rPr>
        <w:t>h</w:t>
      </w:r>
      <w:r w:rsidRPr="00B93493">
        <w:rPr>
          <w:i/>
          <w:iCs/>
          <w:vertAlign w:val="subscript"/>
        </w:rPr>
        <w:t>r</w:t>
      </w:r>
      <w:r w:rsidRPr="00B93493">
        <w:rPr>
          <w:i/>
          <w:iCs/>
        </w:rPr>
        <w:t xml:space="preserve"> </w:t>
      </w:r>
      <w:r w:rsidRPr="00B93493">
        <w:t>= 1.5 m,  </w:t>
      </w:r>
      <w:r w:rsidRPr="00B93493">
        <w:rPr>
          <w:rFonts w:ascii="Times New Roman"/>
          <w:bCs/>
        </w:rPr>
        <w:t xml:space="preserve">2: </w:t>
      </w:r>
      <w:r w:rsidRPr="00B93493">
        <w:rPr>
          <w:rFonts w:ascii="Times New Roman"/>
          <w:bCs/>
          <w:i/>
          <w:iCs/>
        </w:rPr>
        <w:t>h</w:t>
      </w:r>
      <w:r w:rsidRPr="00B93493">
        <w:rPr>
          <w:i/>
          <w:iCs/>
          <w:vertAlign w:val="subscript"/>
        </w:rPr>
        <w:t>r</w:t>
      </w:r>
      <w:r w:rsidRPr="00B93493">
        <w:rPr>
          <w:i/>
          <w:iCs/>
        </w:rPr>
        <w:t xml:space="preserve"> </w:t>
      </w:r>
      <w:r w:rsidRPr="00B93493">
        <w:t>= 10 m, 3: free space propagation</w:t>
      </w:r>
    </w:p>
    <w:p w14:paraId="5D7603E9" w14:textId="382881DF" w:rsidR="00CF04BC" w:rsidRPr="00B93493" w:rsidRDefault="008D295D" w:rsidP="00CF04BC">
      <w:pPr>
        <w:pStyle w:val="Figure"/>
      </w:pPr>
      <w:r>
        <w:rPr>
          <w:noProof/>
        </w:rPr>
        <w:drawing>
          <wp:inline distT="0" distB="0" distL="0" distR="0" wp14:anchorId="432757D2" wp14:editId="08CC3D06">
            <wp:extent cx="4675505" cy="3148965"/>
            <wp:effectExtent l="0" t="0" r="0" b="0"/>
            <wp:docPr id="3071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75505" cy="3148965"/>
                    </a:xfrm>
                    <a:prstGeom prst="rect">
                      <a:avLst/>
                    </a:prstGeom>
                    <a:noFill/>
                    <a:ln>
                      <a:noFill/>
                    </a:ln>
                  </pic:spPr>
                </pic:pic>
              </a:graphicData>
            </a:graphic>
          </wp:inline>
        </w:drawing>
      </w:r>
    </w:p>
    <w:p w14:paraId="1380F4F6" w14:textId="77777777" w:rsidR="00CF04BC" w:rsidRPr="00B93493" w:rsidRDefault="00CF04BC" w:rsidP="00CF04BC">
      <w:pPr>
        <w:pStyle w:val="Headingb"/>
      </w:pPr>
      <w:bookmarkStart w:id="1879" w:name="_Toc462234085"/>
      <w:bookmarkStart w:id="1880" w:name="_Toc454284916"/>
      <w:r w:rsidRPr="00B93493">
        <w:t>b)</w:t>
      </w:r>
      <w:r w:rsidRPr="00B93493">
        <w:tab/>
        <w:t>Calculation procedures</w:t>
      </w:r>
      <w:bookmarkEnd w:id="1879"/>
      <w:bookmarkEnd w:id="1880"/>
    </w:p>
    <w:p w14:paraId="554249BF" w14:textId="77777777" w:rsidR="00CF04BC" w:rsidRPr="00B93493" w:rsidRDefault="00CF04BC" w:rsidP="00CF04BC">
      <w:r w:rsidRPr="00B93493">
        <w:t>Having got graphs presented at Figs 7 to 10 calculation procedure becomes a quite simple one. It is only necessary to insert into equation (45) required parameters, taken from the national frequency assignment database (or, in their absence, from Table 1</w:t>
      </w:r>
      <w:r>
        <w:rPr>
          <w:rFonts w:hint="eastAsia"/>
          <w:lang w:eastAsia="zh-CN"/>
        </w:rPr>
        <w:t>2</w:t>
      </w:r>
      <w:r w:rsidRPr="00B93493">
        <w:t xml:space="preserve">), and to read related service area radius </w:t>
      </w:r>
      <w:r w:rsidRPr="00B93493">
        <w:rPr>
          <w:i/>
        </w:rPr>
        <w:t>R</w:t>
      </w:r>
      <w:r w:rsidRPr="00B93493">
        <w:t xml:space="preserve"> for calculated value of parameter </w:t>
      </w:r>
      <w:r w:rsidRPr="00B93493">
        <w:rPr>
          <w:i/>
        </w:rPr>
        <w:t>z</w:t>
      </w:r>
      <w:r w:rsidRPr="00B93493">
        <w:t xml:space="preserve"> directly from Figs 7 and 8, depending on working frequency and antenna heights. Due to the fact, that for land mobile service, and especially for cellular systems, service areas of individual base stations are rather small ones, they will usually lie within only one zone of license fees category. Thereby service areas usually can be calculated by simple equation (31).</w:t>
      </w:r>
    </w:p>
    <w:p w14:paraId="6B14100E" w14:textId="212F9F1C" w:rsidR="00CF04BC" w:rsidRPr="00B93493" w:rsidRDefault="00CF04BC" w:rsidP="00CF04BC">
      <w:r w:rsidRPr="00B93493">
        <w:t>After determining service area value, procedure of used spectral resource calculation follows the same one, which is presented in § 4.7.1</w:t>
      </w:r>
      <w:r w:rsidR="00BD2851">
        <w:t xml:space="preserve"> </w:t>
      </w:r>
      <w:r w:rsidRPr="00B93493">
        <w:t>b).</w:t>
      </w:r>
    </w:p>
    <w:p w14:paraId="7BB8E9F6" w14:textId="77777777" w:rsidR="00CF04BC" w:rsidRPr="00B93493" w:rsidRDefault="00CF04BC" w:rsidP="00CF04BC">
      <w:pPr>
        <w:pStyle w:val="Heading4"/>
      </w:pPr>
      <w:r w:rsidRPr="00B93493">
        <w:t>4.7.4.2</w:t>
      </w:r>
      <w:r w:rsidRPr="00B93493">
        <w:tab/>
        <w:t>Example of calculations</w:t>
      </w:r>
    </w:p>
    <w:p w14:paraId="7FF46C63" w14:textId="77777777" w:rsidR="00CF04BC" w:rsidRPr="00B93493" w:rsidRDefault="00CF04BC" w:rsidP="00CF04BC">
      <w:pPr>
        <w:pStyle w:val="Headingb"/>
      </w:pPr>
      <w:bookmarkStart w:id="1881" w:name="_Toc454284917"/>
      <w:bookmarkStart w:id="1882" w:name="_Toc462234086"/>
      <w:r w:rsidRPr="00B93493">
        <w:t>a)</w:t>
      </w:r>
      <w:r w:rsidRPr="00B93493">
        <w:tab/>
        <w:t>Incoming parameters</w:t>
      </w:r>
      <w:bookmarkEnd w:id="1881"/>
      <w:bookmarkEnd w:id="1882"/>
    </w:p>
    <w:p w14:paraId="5EEF1311" w14:textId="77777777" w:rsidR="00CF04BC" w:rsidRPr="00B93493" w:rsidRDefault="00CF04BC" w:rsidP="00CF04BC">
      <w:r w:rsidRPr="00B93493">
        <w:t xml:space="preserve">Let us calculate a spectral resource used by a base station of GSM 900 MHz cellular system working with power 2.5 W without interruption 24 h per each day, without sharing, in a city with population 40 000 inhabitants (i.e. according to Table </w:t>
      </w:r>
      <w:r>
        <w:rPr>
          <w:rFonts w:hint="eastAsia"/>
          <w:lang w:eastAsia="zh-CN"/>
        </w:rPr>
        <w:t>2</w:t>
      </w:r>
      <w:r w:rsidRPr="00B93493">
        <w:t xml:space="preserve">, </w:t>
      </w:r>
      <w:r w:rsidRPr="00B93493">
        <w:rPr>
          <w:i/>
          <w:iCs/>
        </w:rPr>
        <w:t>b</w:t>
      </w:r>
      <w:r w:rsidRPr="00B93493">
        <w:rPr>
          <w:i/>
          <w:iCs/>
          <w:vertAlign w:val="subscript"/>
        </w:rPr>
        <w:t>j</w:t>
      </w:r>
      <w:r w:rsidRPr="00B93493">
        <w:t xml:space="preserve"> = 1.2). Overall frequency bands used for base – mobile and mobile – base transmissions are equal 0.8 MHz each. Transmitting and receiving antenna heights are 40 m and 1.5 m correspondently. Let us assume that other parameters correspond to Table 1</w:t>
      </w:r>
      <w:r>
        <w:rPr>
          <w:rFonts w:hint="eastAsia"/>
          <w:lang w:eastAsia="zh-CN"/>
        </w:rPr>
        <w:t>2</w:t>
      </w:r>
      <w:r w:rsidRPr="00B93493">
        <w:t>.</w:t>
      </w:r>
    </w:p>
    <w:p w14:paraId="14BB4BD2" w14:textId="77777777" w:rsidR="00CF04BC" w:rsidRPr="00B93493" w:rsidRDefault="00CF04BC" w:rsidP="00CF04BC">
      <w:pPr>
        <w:pStyle w:val="Headingb"/>
      </w:pPr>
      <w:bookmarkStart w:id="1883" w:name="_Toc454284918"/>
      <w:bookmarkStart w:id="1884" w:name="_Toc462234087"/>
      <w:r w:rsidRPr="00B93493">
        <w:t>b)</w:t>
      </w:r>
      <w:r w:rsidRPr="00B93493">
        <w:tab/>
        <w:t>Time and frequency resources used</w:t>
      </w:r>
      <w:bookmarkEnd w:id="1883"/>
      <w:bookmarkEnd w:id="1884"/>
    </w:p>
    <w:p w14:paraId="70586631" w14:textId="77777777" w:rsidR="00CF04BC" w:rsidRPr="00B93493" w:rsidRDefault="00CF04BC" w:rsidP="00CF04BC">
      <w:r w:rsidRPr="00B93493">
        <w:t>In accordance with equation (21), used time resource is:</w:t>
      </w:r>
    </w:p>
    <w:p w14:paraId="0A555AC4" w14:textId="77777777" w:rsidR="00CF04BC" w:rsidRPr="00B93493" w:rsidRDefault="00CF04BC" w:rsidP="00CF04BC">
      <w:pPr>
        <w:pStyle w:val="Equation"/>
      </w:pPr>
      <w:r w:rsidRPr="00B93493">
        <w:tab/>
      </w:r>
      <w:r w:rsidRPr="00B93493">
        <w:tab/>
      </w:r>
      <w:r w:rsidRPr="00B93493">
        <w:rPr>
          <w:i/>
        </w:rPr>
        <w:t>T</w:t>
      </w:r>
      <w:r w:rsidRPr="00B93493">
        <w:t xml:space="preserve"> = 24/24 (each day) = year</w:t>
      </w:r>
    </w:p>
    <w:p w14:paraId="0787D983" w14:textId="77777777" w:rsidR="00CF04BC" w:rsidRPr="00B93493" w:rsidRDefault="00CF04BC" w:rsidP="00CF04BC">
      <w:r w:rsidRPr="00B93493">
        <w:t xml:space="preserve">As far as the system within the same service area uses two sets of frequency bands, one for base – mobile and other for mobile – base transmissions, the overall used frequency resource, accepting in formula (25) </w:t>
      </w:r>
      <w:r w:rsidRPr="00B93493">
        <w:sym w:font="Symbol" w:char="F063"/>
      </w:r>
      <w:r w:rsidRPr="00B93493">
        <w:t xml:space="preserve"> = 1, can be found as:</w:t>
      </w:r>
    </w:p>
    <w:p w14:paraId="01B034EF" w14:textId="77777777" w:rsidR="00CF04BC" w:rsidRPr="00B93493" w:rsidRDefault="00CF04BC" w:rsidP="00CF04BC">
      <w:pPr>
        <w:pStyle w:val="Equation"/>
      </w:pPr>
      <w:r w:rsidRPr="00B93493">
        <w:tab/>
      </w:r>
      <w:r w:rsidRPr="00B93493">
        <w:tab/>
      </w:r>
      <w:r w:rsidRPr="00B93493">
        <w:rPr>
          <w:i/>
        </w:rPr>
        <w:t>F</w:t>
      </w:r>
      <w:r w:rsidRPr="00B93493">
        <w:t xml:space="preserve"> = 2 × 0.8 = 1.6 MHz</w:t>
      </w:r>
    </w:p>
    <w:p w14:paraId="5FEB6D18" w14:textId="77777777" w:rsidR="00CF04BC" w:rsidRPr="00B93493" w:rsidRDefault="00CF04BC" w:rsidP="00CF04BC">
      <w:pPr>
        <w:pStyle w:val="Headingb"/>
      </w:pPr>
      <w:bookmarkStart w:id="1885" w:name="_Toc454284919"/>
      <w:bookmarkStart w:id="1886" w:name="_Toc462234088"/>
      <w:r w:rsidRPr="00B93493">
        <w:t>c)</w:t>
      </w:r>
      <w:r w:rsidRPr="00B93493">
        <w:tab/>
        <w:t>Territorial resource used</w:t>
      </w:r>
      <w:bookmarkEnd w:id="1885"/>
      <w:bookmarkEnd w:id="1886"/>
    </w:p>
    <w:p w14:paraId="65C51B5E" w14:textId="285D353C" w:rsidR="00CF04BC" w:rsidRPr="00B93493" w:rsidRDefault="00CF04BC" w:rsidP="00CF04BC">
      <w:r w:rsidRPr="00B93493">
        <w:t>Substituting relevant data from § 4.7.1 and Table 1</w:t>
      </w:r>
      <w:r>
        <w:rPr>
          <w:rFonts w:hint="eastAsia"/>
          <w:lang w:eastAsia="zh-CN"/>
        </w:rPr>
        <w:t>2</w:t>
      </w:r>
      <w:r w:rsidRPr="00B93493">
        <w:t xml:space="preserve"> to equation (45) </w:t>
      </w:r>
      <w:r w:rsidR="00092428">
        <w:t>is obtained</w:t>
      </w:r>
      <w:r w:rsidRPr="00B93493">
        <w:t>:</w:t>
      </w:r>
    </w:p>
    <w:p w14:paraId="55B7DA56" w14:textId="77777777" w:rsidR="00CF04BC" w:rsidRPr="00B93493" w:rsidRDefault="00CF04BC" w:rsidP="00CF04BC">
      <w:pPr>
        <w:pStyle w:val="Equation"/>
        <w:rPr>
          <w:snapToGrid w:val="0"/>
        </w:rPr>
      </w:pPr>
      <w:r w:rsidRPr="00B93493">
        <w:rPr>
          <w:i/>
          <w:snapToGrid w:val="0"/>
        </w:rPr>
        <w:tab/>
      </w:r>
      <w:r w:rsidRPr="00B93493">
        <w:rPr>
          <w:i/>
          <w:snapToGrid w:val="0"/>
        </w:rPr>
        <w:tab/>
        <w:t>z</w:t>
      </w:r>
      <w:r w:rsidRPr="00B93493">
        <w:rPr>
          <w:snapToGrid w:val="0"/>
        </w:rPr>
        <w:t xml:space="preserve"> = 10 </w:t>
      </w:r>
      <w:r w:rsidRPr="00B93493">
        <w:rPr>
          <w:iCs/>
          <w:snapToGrid w:val="0"/>
        </w:rPr>
        <w:t>log</w:t>
      </w:r>
      <w:r w:rsidRPr="00B93493">
        <w:rPr>
          <w:snapToGrid w:val="0"/>
        </w:rPr>
        <w:t xml:space="preserve"> 2.5</w:t>
      </w:r>
      <w:r w:rsidRPr="00B93493">
        <w:rPr>
          <w:i/>
          <w:snapToGrid w:val="0"/>
        </w:rPr>
        <w:t xml:space="preserve"> + </w:t>
      </w:r>
      <w:r w:rsidRPr="00B93493">
        <w:rPr>
          <w:snapToGrid w:val="0"/>
        </w:rPr>
        <w:t>18 +</w:t>
      </w:r>
      <w:r w:rsidRPr="00B93493">
        <w:rPr>
          <w:i/>
          <w:snapToGrid w:val="0"/>
        </w:rPr>
        <w:t xml:space="preserve"> </w:t>
      </w:r>
      <w:r w:rsidRPr="00B93493">
        <w:rPr>
          <w:snapToGrid w:val="0"/>
        </w:rPr>
        <w:t>0</w:t>
      </w:r>
      <w:r w:rsidRPr="00B93493">
        <w:rPr>
          <w:i/>
          <w:snapToGrid w:val="0"/>
        </w:rPr>
        <w:t xml:space="preserve"> – </w:t>
      </w:r>
      <w:r w:rsidRPr="00B93493">
        <w:rPr>
          <w:snapToGrid w:val="0"/>
        </w:rPr>
        <w:t>(–138) = 160 dB</w:t>
      </w:r>
    </w:p>
    <w:p w14:paraId="093FF262" w14:textId="77777777" w:rsidR="00CF04BC" w:rsidRPr="00B93493" w:rsidRDefault="00CF04BC" w:rsidP="00CF04BC">
      <w:r w:rsidRPr="00B93493">
        <w:t xml:space="preserve">For this </w:t>
      </w:r>
      <w:r w:rsidRPr="00B93493">
        <w:rPr>
          <w:i/>
          <w:iCs/>
        </w:rPr>
        <w:t>z</w:t>
      </w:r>
      <w:r w:rsidRPr="00B93493">
        <w:t xml:space="preserve"> value from line 1 of Fig. 7 and formula (31) it follows:</w:t>
      </w:r>
    </w:p>
    <w:p w14:paraId="7542449C" w14:textId="77777777" w:rsidR="00CF04BC" w:rsidRPr="00B93493" w:rsidRDefault="00CF04BC" w:rsidP="00CF04BC">
      <w:pPr>
        <w:pStyle w:val="Equation"/>
      </w:pPr>
      <w:r w:rsidRPr="00B93493">
        <w:tab/>
      </w:r>
      <w:r w:rsidRPr="00B93493">
        <w:tab/>
      </w:r>
      <w:r w:rsidRPr="00B93493">
        <w:rPr>
          <w:i/>
          <w:iCs/>
        </w:rPr>
        <w:t>R</w:t>
      </w:r>
      <w:r w:rsidRPr="00B93493">
        <w:t xml:space="preserve"> = 10 km,   </w:t>
      </w:r>
      <w:r w:rsidRPr="00B93493">
        <w:rPr>
          <w:i/>
          <w:iCs/>
        </w:rPr>
        <w:t>S =</w:t>
      </w:r>
      <w:r w:rsidRPr="00B93493">
        <w:t xml:space="preserve"> 314 km</w:t>
      </w:r>
      <w:r w:rsidRPr="00B93493">
        <w:rPr>
          <w:vertAlign w:val="superscript"/>
        </w:rPr>
        <w:t>2</w:t>
      </w:r>
    </w:p>
    <w:p w14:paraId="0A4EF88E" w14:textId="77777777" w:rsidR="00CF04BC" w:rsidRPr="00B93493" w:rsidRDefault="00CF04BC" w:rsidP="00CF04BC">
      <w:r w:rsidRPr="00B93493">
        <w:t xml:space="preserve">From equation (22), taking into account relevant data from </w:t>
      </w:r>
      <w:r w:rsidRPr="003A4452">
        <w:t xml:space="preserve">Table </w:t>
      </w:r>
      <w:r w:rsidRPr="00BF109A">
        <w:rPr>
          <w:lang w:eastAsia="zh-CN"/>
        </w:rPr>
        <w:t>2</w:t>
      </w:r>
      <w:r w:rsidRPr="003A4452">
        <w:t>,</w:t>
      </w:r>
      <w:r w:rsidRPr="00B93493">
        <w:t xml:space="preserve"> it follows:</w:t>
      </w:r>
    </w:p>
    <w:p w14:paraId="12A21803" w14:textId="77777777" w:rsidR="00CF04BC" w:rsidRPr="00B93493" w:rsidRDefault="00CF04BC" w:rsidP="00CF04BC">
      <w:pPr>
        <w:pStyle w:val="Equation"/>
      </w:pPr>
      <w:r w:rsidRPr="00B93493">
        <w:tab/>
      </w:r>
      <w:r w:rsidRPr="00B93493">
        <w:tab/>
      </w:r>
      <w:r w:rsidRPr="00B93493">
        <w:rPr>
          <w:i/>
          <w:iCs/>
        </w:rPr>
        <w:t>S</w:t>
      </w:r>
      <w:r w:rsidRPr="00B93493">
        <w:rPr>
          <w:i/>
          <w:iCs/>
          <w:vertAlign w:val="subscript"/>
        </w:rPr>
        <w:t>i</w:t>
      </w:r>
      <w:r w:rsidRPr="00B93493">
        <w:t xml:space="preserve"> = 1.2 × 314 = 377 km</w:t>
      </w:r>
      <w:r w:rsidRPr="00B93493">
        <w:rPr>
          <w:vertAlign w:val="superscript"/>
        </w:rPr>
        <w:t>2</w:t>
      </w:r>
    </w:p>
    <w:p w14:paraId="6F7FD5F2" w14:textId="77777777" w:rsidR="00CF04BC" w:rsidRPr="00B93493" w:rsidRDefault="00CF04BC" w:rsidP="00CF04BC">
      <w:pPr>
        <w:pStyle w:val="Headingb"/>
      </w:pPr>
      <w:bookmarkStart w:id="1887" w:name="_Toc454284920"/>
      <w:bookmarkStart w:id="1888" w:name="_Toc462234089"/>
      <w:r w:rsidRPr="00B93493">
        <w:t>d)</w:t>
      </w:r>
      <w:r w:rsidRPr="00B93493">
        <w:tab/>
        <w:t>Spectral resource used</w:t>
      </w:r>
      <w:bookmarkEnd w:id="1887"/>
      <w:bookmarkEnd w:id="1888"/>
    </w:p>
    <w:p w14:paraId="163FA139" w14:textId="72704F78" w:rsidR="00CF04BC" w:rsidRPr="00B93493" w:rsidRDefault="00CF04BC" w:rsidP="00CF04BC">
      <w:r w:rsidRPr="00B93493">
        <w:t xml:space="preserve">Substituting values calculated in </w:t>
      </w:r>
      <w:r w:rsidR="00EF1A91">
        <w:t>b) and c) above</w:t>
      </w:r>
      <w:r w:rsidRPr="00B93493">
        <w:t xml:space="preserve"> to equation (20), using values of </w:t>
      </w:r>
      <w:r w:rsidRPr="00E3229E">
        <w:rPr>
          <w:spacing w:val="-2"/>
        </w:rPr>
        <w:t xml:space="preserve">weighting coefficients presented in Table </w:t>
      </w:r>
      <w:r w:rsidRPr="00E3229E">
        <w:rPr>
          <w:rFonts w:hint="eastAsia"/>
          <w:spacing w:val="-2"/>
          <w:lang w:eastAsia="zh-CN"/>
        </w:rPr>
        <w:t>3</w:t>
      </w:r>
      <w:r w:rsidRPr="00E3229E">
        <w:rPr>
          <w:spacing w:val="-2"/>
        </w:rPr>
        <w:t xml:space="preserve"> and taking into account non-sharing conditions (</w:t>
      </w:r>
      <w:r w:rsidRPr="00E3229E">
        <w:rPr>
          <w:spacing w:val="-2"/>
        </w:rPr>
        <w:sym w:font="Symbol" w:char="F062"/>
      </w:r>
      <w:r w:rsidRPr="00E3229E">
        <w:rPr>
          <w:spacing w:val="-2"/>
        </w:rPr>
        <w:t> = 1),</w:t>
      </w:r>
      <w:r w:rsidRPr="00B93493">
        <w:t xml:space="preserve"> </w:t>
      </w:r>
      <w:r w:rsidR="00EF1A91">
        <w:t>is obtained</w:t>
      </w:r>
      <w:r w:rsidRPr="00B93493">
        <w:t xml:space="preserve"> finally:</w:t>
      </w:r>
    </w:p>
    <w:p w14:paraId="2218C85F" w14:textId="77777777" w:rsidR="00CF04BC" w:rsidRPr="00B93493" w:rsidRDefault="00CF04BC" w:rsidP="00CF04BC">
      <w:pPr>
        <w:pStyle w:val="Equation"/>
      </w:pPr>
      <w:r w:rsidRPr="00B93493">
        <w:tab/>
      </w:r>
      <w:r w:rsidRPr="00B93493">
        <w:rPr>
          <w:i/>
        </w:rPr>
        <w:tab/>
        <w:t>W</w:t>
      </w:r>
      <w:r w:rsidRPr="00B93493">
        <w:t xml:space="preserve"> = 3 × 1.2 × 1 × 1 × 1 × 1.6 × 377 × 1 = 2</w:t>
      </w:r>
      <w:r w:rsidRPr="00B93493">
        <w:rPr>
          <w:rFonts w:ascii="Tms Rmn" w:hAnsi="Tms Rmn"/>
          <w:sz w:val="12"/>
        </w:rPr>
        <w:t> </w:t>
      </w:r>
      <w:r w:rsidRPr="00B93493">
        <w:t xml:space="preserve">172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p>
    <w:p w14:paraId="2BCBB4FC" w14:textId="77777777" w:rsidR="00CF04BC" w:rsidRPr="00B93493" w:rsidRDefault="00CF04BC" w:rsidP="00CF04BC">
      <w:pPr>
        <w:pStyle w:val="Heading3"/>
      </w:pPr>
      <w:bookmarkStart w:id="1889" w:name="_Toc289869007"/>
      <w:bookmarkStart w:id="1890" w:name="_Toc289933361"/>
      <w:bookmarkStart w:id="1891" w:name="_Toc291852924"/>
      <w:bookmarkStart w:id="1892" w:name="_Toc462234090"/>
      <w:bookmarkStart w:id="1893" w:name="_Toc392515910"/>
      <w:bookmarkStart w:id="1894" w:name="_Toc289932315"/>
      <w:bookmarkStart w:id="1895" w:name="_Toc289868847"/>
      <w:bookmarkStart w:id="1896" w:name="_Toc518394237"/>
      <w:bookmarkStart w:id="1897" w:name="_Toc182391556"/>
      <w:bookmarkStart w:id="1898" w:name="_Toc182391967"/>
      <w:r w:rsidRPr="00B93493">
        <w:t>4.7.5</w:t>
      </w:r>
      <w:r w:rsidRPr="00B93493">
        <w:tab/>
        <w:t>Maritime mobile radio service</w:t>
      </w:r>
      <w:bookmarkEnd w:id="1889"/>
      <w:bookmarkEnd w:id="1890"/>
      <w:bookmarkEnd w:id="1891"/>
      <w:bookmarkEnd w:id="1892"/>
      <w:bookmarkEnd w:id="1893"/>
      <w:bookmarkEnd w:id="1894"/>
      <w:bookmarkEnd w:id="1895"/>
      <w:bookmarkEnd w:id="1896"/>
      <w:bookmarkEnd w:id="1897"/>
      <w:bookmarkEnd w:id="1898"/>
    </w:p>
    <w:p w14:paraId="40EB0488" w14:textId="77777777" w:rsidR="00CF04BC" w:rsidRPr="00B93493" w:rsidRDefault="00CF04BC" w:rsidP="00CF04BC">
      <w:pPr>
        <w:pStyle w:val="Headingb"/>
      </w:pPr>
      <w:bookmarkStart w:id="1899" w:name="_Toc462234091"/>
      <w:bookmarkStart w:id="1900" w:name="_Toc454284922"/>
      <w:r w:rsidRPr="00B93493">
        <w:t>a)</w:t>
      </w:r>
      <w:r w:rsidRPr="00B93493">
        <w:tab/>
        <w:t>Background of calculation procedures</w:t>
      </w:r>
      <w:bookmarkEnd w:id="1899"/>
      <w:bookmarkEnd w:id="1900"/>
    </w:p>
    <w:p w14:paraId="1319BF35" w14:textId="77777777" w:rsidR="00CF04BC" w:rsidRPr="00B93493" w:rsidRDefault="00CF04BC" w:rsidP="00CF04BC">
      <w:r w:rsidRPr="00B93493">
        <w:t>For coast and ship stations of maritime mobile service working in VLF and HF frequency bands, proposed provisions for LF and HF broadcasting stations can be used taking into account limitations by national maritime economical border (usually 200 miles, i.e. 360 km). In cases of directional transmitting antennas applications, a “service sector” concept, given by Recommendation ITU</w:t>
      </w:r>
      <w:r w:rsidRPr="00B93493">
        <w:noBreakHyphen/>
        <w:t>R F.162-3, can be used.</w:t>
      </w:r>
    </w:p>
    <w:p w14:paraId="5DC91A03" w14:textId="77777777" w:rsidR="00CF04BC" w:rsidRPr="00B93493" w:rsidRDefault="00CF04BC" w:rsidP="00CF04BC">
      <w:pPr>
        <w:keepNext/>
        <w:keepLines/>
      </w:pPr>
      <w:r w:rsidRPr="00B93493">
        <w:t>Service areas of VHF coast and ship stations working in 156-174 MHz frequency bands (RR Appendix 18 are determined by propagation curves given in Annex 2 to Recommendation ITU</w:t>
      </w:r>
      <w:r w:rsidRPr="00B93493">
        <w:noBreakHyphen/>
        <w:t>R P.1546-4, i.e. on the same basis as for broadcasting. Technical characteristics of equipment are described in Recommendation ITU-R M.489-2.</w:t>
      </w:r>
    </w:p>
    <w:p w14:paraId="06F7C30E" w14:textId="77777777" w:rsidR="00CF04BC" w:rsidRPr="00B93493" w:rsidRDefault="00CF04BC" w:rsidP="00CF04BC">
      <w:r w:rsidRPr="00B93493">
        <w:t xml:space="preserve">For ship stations having omnidirectional antennas service areas, </w:t>
      </w:r>
      <w:r w:rsidRPr="00B93493">
        <w:rPr>
          <w:i/>
          <w:iCs/>
        </w:rPr>
        <w:t>s</w:t>
      </w:r>
      <w:r w:rsidRPr="00B93493">
        <w:t>, are calculated as:</w:t>
      </w:r>
    </w:p>
    <w:p w14:paraId="6A029B05" w14:textId="77777777" w:rsidR="00CF04BC" w:rsidRPr="00B93493" w:rsidRDefault="00CF04BC" w:rsidP="00CF04BC">
      <w:pPr>
        <w:pStyle w:val="Blanc"/>
      </w:pPr>
    </w:p>
    <w:p w14:paraId="0101EBBB" w14:textId="77777777" w:rsidR="00CF04BC" w:rsidRPr="00B93493" w:rsidRDefault="00CF04BC" w:rsidP="00CF04BC">
      <w:pPr>
        <w:pStyle w:val="Equation"/>
      </w:pPr>
      <w:r w:rsidRPr="00B93493">
        <w:tab/>
      </w:r>
      <w:r w:rsidRPr="00B93493">
        <w:tab/>
      </w:r>
      <w:r w:rsidRPr="00B93493">
        <w:rPr>
          <w:position w:val="-12"/>
        </w:rPr>
        <w:object w:dxaOrig="2397" w:dyaOrig="416" w14:anchorId="5DE8C361">
          <v:shape id="_x0000_i1052" type="#_x0000_t75" style="width:120.95pt;height:22.45pt" o:ole="">
            <v:imagedata r:id="rId85" o:title=""/>
          </v:shape>
          <o:OLEObject Type="Embed" ProgID="Equation.3" ShapeID="_x0000_i1052" DrawAspect="Content" ObjectID="_1812968334" r:id="rId86"/>
        </w:object>
      </w:r>
      <w:r w:rsidRPr="00B93493">
        <w:tab/>
        <w:t>(46)</w:t>
      </w:r>
    </w:p>
    <w:p w14:paraId="41BD2167" w14:textId="77777777" w:rsidR="00CF04BC" w:rsidRPr="00B93493" w:rsidRDefault="00CF04BC" w:rsidP="00CF04BC">
      <w:r w:rsidRPr="00B93493">
        <w:t>where:</w:t>
      </w:r>
    </w:p>
    <w:p w14:paraId="0FB7364D" w14:textId="77777777" w:rsidR="00CF04BC" w:rsidRPr="00D572F5" w:rsidRDefault="00CF04BC" w:rsidP="00CF04BC">
      <w:pPr>
        <w:pStyle w:val="Equationlegend"/>
      </w:pPr>
      <w:r w:rsidRPr="00B93493">
        <w:rPr>
          <w:i/>
          <w:iCs/>
        </w:rPr>
        <w:tab/>
        <w:t>R</w:t>
      </w:r>
      <w:r w:rsidRPr="00B93493">
        <w:rPr>
          <w:i/>
          <w:vertAlign w:val="subscript"/>
        </w:rPr>
        <w:t xml:space="preserve">s </w:t>
      </w:r>
      <w:r w:rsidRPr="00B93493">
        <w:t>:</w:t>
      </w:r>
      <w:r w:rsidRPr="00B93493">
        <w:rPr>
          <w:vertAlign w:val="subscript"/>
        </w:rPr>
        <w:tab/>
      </w:r>
      <w:r w:rsidRPr="00B93493">
        <w:t>radius of circular service area calculated from propagation curves of Recommend</w:t>
      </w:r>
      <w:r w:rsidRPr="00D572F5">
        <w:t>ation ITU-R P.1546-4 for 30-300 MHz frequency band, sea, 50% of time and 50% of locations (Fig. 4 of Recommendation ITU-R P.1546-4).</w:t>
      </w:r>
    </w:p>
    <w:p w14:paraId="02AAEAAA" w14:textId="47E738BD" w:rsidR="00CF04BC" w:rsidRPr="00B93493" w:rsidRDefault="00CF04BC" w:rsidP="00CF04BC">
      <w:r w:rsidRPr="00D572F5">
        <w:t>It is necessary to note, that for this particular case the curves are the same for cold and warm seas.</w:t>
      </w:r>
      <w:r w:rsidRPr="00B93493">
        <w:t xml:space="preserve"> Transmitting antenna heights are actual antenna heights above the sea level. For simplicity, receiving antenna heights for purposes of this particular calculation model are accepted as to be equal 10 m in all cases. However</w:t>
      </w:r>
      <w:r>
        <w:rPr>
          <w:rFonts w:hint="eastAsia"/>
          <w:lang w:eastAsia="zh-CN"/>
        </w:rPr>
        <w:t>,</w:t>
      </w:r>
      <w:r w:rsidRPr="00B93493">
        <w:t xml:space="preserve"> it should be noted that in reality, to provide equal communication conditions between coast and ship stations in both directions, receiving antennas of coast stations usually have the same heights than their transmitting antennas.</w:t>
      </w:r>
    </w:p>
    <w:p w14:paraId="71F92231" w14:textId="77777777" w:rsidR="00CF04BC" w:rsidRPr="00B93493" w:rsidRDefault="00CF04BC" w:rsidP="00CF04BC">
      <w:r w:rsidRPr="00B93493">
        <w:t xml:space="preserve">For coast stations it is accepted that one half of an occupied area, being a service one, with a radius </w:t>
      </w:r>
      <w:r w:rsidRPr="00B93493">
        <w:rPr>
          <w:i/>
          <w:iCs/>
        </w:rPr>
        <w:t>R</w:t>
      </w:r>
      <w:r w:rsidRPr="00B93493">
        <w:rPr>
          <w:i/>
          <w:iCs/>
          <w:vertAlign w:val="subscript"/>
        </w:rPr>
        <w:t>s</w:t>
      </w:r>
      <w:r w:rsidRPr="00B93493">
        <w:t xml:space="preserve"> lies at a surface of sea and the second half with a radius </w:t>
      </w:r>
      <w:r w:rsidRPr="00B93493">
        <w:rPr>
          <w:i/>
          <w:iCs/>
        </w:rPr>
        <w:t>R</w:t>
      </w:r>
      <w:r w:rsidRPr="00B93493">
        <w:rPr>
          <w:i/>
          <w:iCs/>
          <w:vertAlign w:val="subscript"/>
        </w:rPr>
        <w:t>l</w:t>
      </w:r>
      <w:r w:rsidRPr="00B93493">
        <w:t>, at a surface of land, i.e.:</w:t>
      </w:r>
    </w:p>
    <w:p w14:paraId="7DA1B8F8" w14:textId="77777777" w:rsidR="00CF04BC" w:rsidRPr="00B93493" w:rsidRDefault="00CF04BC" w:rsidP="00CF04BC">
      <w:pPr>
        <w:pStyle w:val="Blanc"/>
      </w:pPr>
    </w:p>
    <w:p w14:paraId="40420D16" w14:textId="77777777" w:rsidR="00CF04BC" w:rsidRPr="00B93493" w:rsidRDefault="00CF04BC" w:rsidP="00CF04BC">
      <w:pPr>
        <w:pStyle w:val="Equation"/>
      </w:pPr>
      <w:r w:rsidRPr="00B93493">
        <w:tab/>
      </w:r>
      <w:r w:rsidRPr="00B93493">
        <w:tab/>
      </w:r>
      <w:r w:rsidRPr="00B93493">
        <w:rPr>
          <w:position w:val="-12"/>
        </w:rPr>
        <w:object w:dxaOrig="3421" w:dyaOrig="416" w14:anchorId="459C3E93">
          <v:shape id="_x0000_i1053" type="#_x0000_t75" style="width:170.5pt;height:22.45pt" o:ole="">
            <v:imagedata r:id="rId87" o:title=""/>
          </v:shape>
          <o:OLEObject Type="Embed" ProgID="Equation.3" ShapeID="_x0000_i1053" DrawAspect="Content" ObjectID="_1812968335" r:id="rId88"/>
        </w:object>
      </w:r>
      <w:r w:rsidRPr="00B93493">
        <w:tab/>
        <w:t>(47)</w:t>
      </w:r>
    </w:p>
    <w:p w14:paraId="40FCDCBC" w14:textId="77777777" w:rsidR="00CF04BC" w:rsidRPr="00B93493" w:rsidRDefault="00CF04BC" w:rsidP="00CF04BC">
      <w:r w:rsidRPr="00B93493">
        <w:t>where:</w:t>
      </w:r>
    </w:p>
    <w:p w14:paraId="3FACE6AC" w14:textId="77777777" w:rsidR="00CF04BC" w:rsidRPr="00D572F5" w:rsidRDefault="00CF04BC" w:rsidP="00CF04BC">
      <w:pPr>
        <w:pStyle w:val="Equationlegend"/>
      </w:pPr>
      <w:r w:rsidRPr="00B93493">
        <w:rPr>
          <w:i/>
          <w:iCs/>
        </w:rPr>
        <w:tab/>
        <w:t>R</w:t>
      </w:r>
      <w:r w:rsidRPr="00B93493">
        <w:rPr>
          <w:i/>
          <w:iCs/>
          <w:vertAlign w:val="subscript"/>
        </w:rPr>
        <w:t xml:space="preserve">l </w:t>
      </w:r>
      <w:r w:rsidRPr="00B93493">
        <w:t>:</w:t>
      </w:r>
      <w:r w:rsidRPr="00B93493">
        <w:tab/>
        <w:t>radius of half-circular service area calculated from propagation curves of Recommendati</w:t>
      </w:r>
      <w:r w:rsidRPr="00D572F5">
        <w:t>on ITU-R P.1546-4 for 30-300 MHz frequency band, land, 50% of time and 50% of locations (Fig. 1 of Recommendation ITU-R P.1546</w:t>
      </w:r>
      <w:r w:rsidRPr="00D572F5">
        <w:noBreakHyphen/>
        <w:t>4, see Fig. 2).</w:t>
      </w:r>
    </w:p>
    <w:p w14:paraId="671A2E2C" w14:textId="77777777" w:rsidR="00CF04BC" w:rsidRPr="00B93493" w:rsidRDefault="00CF04BC" w:rsidP="00CF04BC">
      <w:r w:rsidRPr="00D572F5">
        <w:t>Effective antenna height calculations for land service area are provided similarly to broadcastin</w:t>
      </w:r>
      <w:r w:rsidRPr="00B93493">
        <w:t>g case.</w:t>
      </w:r>
    </w:p>
    <w:p w14:paraId="726A3815" w14:textId="77777777" w:rsidR="00CF04BC" w:rsidRPr="00B93493" w:rsidRDefault="00CF04BC" w:rsidP="00CF04BC">
      <w:pPr>
        <w:rPr>
          <w:i/>
        </w:rPr>
      </w:pPr>
      <w:r w:rsidRPr="00B93493">
        <w:t xml:space="preserve">Taking into account that maritime mobile service belongs to safety services its reliability should be sufficiently high. Taking this into account, minimal usable field strength at the border of service area is accepted to be 30 dB above receiver reference sensitivity (2.0 </w:t>
      </w:r>
      <w:r w:rsidRPr="00B93493">
        <w:rPr>
          <w:rFonts w:ascii="Symbol" w:hAnsi="Symbol"/>
        </w:rPr>
        <w:t></w:t>
      </w:r>
      <w:r w:rsidRPr="00B93493">
        <w:t xml:space="preserve">V in accordance with Recommendation ITU-R M.489-2), i.e. </w:t>
      </w:r>
      <w:r w:rsidRPr="00B93493">
        <w:rPr>
          <w:i/>
        </w:rPr>
        <w:t>E</w:t>
      </w:r>
      <w:r w:rsidRPr="00B93493">
        <w:rPr>
          <w:i/>
          <w:vertAlign w:val="subscript"/>
        </w:rPr>
        <w:t>mu</w:t>
      </w:r>
      <w:r w:rsidRPr="00B93493">
        <w:t> </w:t>
      </w:r>
      <w:r w:rsidRPr="00B93493">
        <w:rPr>
          <w:rFonts w:ascii="Symbol" w:hAnsi="Symbol"/>
          <w:i/>
        </w:rPr>
        <w:t></w:t>
      </w:r>
      <w:r w:rsidRPr="00B93493">
        <w:rPr>
          <w:i/>
        </w:rPr>
        <w:t> </w:t>
      </w:r>
      <w:r w:rsidRPr="00B93493">
        <w:t>36 dB(</w:t>
      </w:r>
      <w:r w:rsidRPr="00B93493">
        <w:rPr>
          <w:rFonts w:ascii="Symbol" w:hAnsi="Symbol"/>
        </w:rPr>
        <w:t></w:t>
      </w:r>
      <w:r w:rsidRPr="00B93493">
        <w:t>V/m)</w:t>
      </w:r>
      <w:r w:rsidRPr="00B93493">
        <w:rPr>
          <w:i/>
        </w:rPr>
        <w:t>.</w:t>
      </w:r>
    </w:p>
    <w:p w14:paraId="6FF65F42" w14:textId="67CC4A11" w:rsidR="00CF04BC" w:rsidRPr="00B93493" w:rsidRDefault="00CF04BC" w:rsidP="00CF04BC">
      <w:r w:rsidRPr="00B93493">
        <w:rPr>
          <w:iCs/>
        </w:rPr>
        <w:t>Based on the above parameters and assumptions and accepting all antennas gains equal to 6 dB, relevant service/occupied areas radiuses were calculated for different transmitter powers from 10 W to 50 W (maximal carrier power of coast stations in accordance with Recommendation ITU</w:t>
      </w:r>
      <w:r w:rsidRPr="00B93493">
        <w:rPr>
          <w:iCs/>
        </w:rPr>
        <w:noBreakHyphen/>
        <w:t>R</w:t>
      </w:r>
      <w:r w:rsidR="000973D9">
        <w:rPr>
          <w:iCs/>
        </w:rPr>
        <w:t xml:space="preserve"> </w:t>
      </w:r>
      <w:r w:rsidRPr="00B93493">
        <w:rPr>
          <w:iCs/>
        </w:rPr>
        <w:t>M.489</w:t>
      </w:r>
      <w:r w:rsidR="000973D9">
        <w:rPr>
          <w:iCs/>
        </w:rPr>
        <w:noBreakHyphen/>
      </w:r>
      <w:r w:rsidRPr="00B93493">
        <w:rPr>
          <w:iCs/>
        </w:rPr>
        <w:t xml:space="preserve">2) and various effective antenna heights presented in Recommendation </w:t>
      </w:r>
      <w:r w:rsidRPr="00B93493">
        <w:t>ITU</w:t>
      </w:r>
      <w:r w:rsidRPr="00B93493">
        <w:noBreakHyphen/>
        <w:t xml:space="preserve">R P.1546-4. Results of calculations are presented in Table </w:t>
      </w:r>
      <w:r>
        <w:rPr>
          <w:rFonts w:hint="eastAsia"/>
          <w:lang w:eastAsia="zh-CN"/>
        </w:rPr>
        <w:t>13</w:t>
      </w:r>
      <w:r w:rsidRPr="00B93493">
        <w:t>.</w:t>
      </w:r>
    </w:p>
    <w:p w14:paraId="59B15AE4" w14:textId="77777777" w:rsidR="00CF04BC" w:rsidRPr="00B93493" w:rsidRDefault="00CF04BC" w:rsidP="000973D9">
      <w:pPr>
        <w:pStyle w:val="TableNo"/>
        <w:keepLines/>
        <w:rPr>
          <w:lang w:eastAsia="zh-CN"/>
        </w:rPr>
      </w:pPr>
      <w:r w:rsidRPr="00B93493">
        <w:t xml:space="preserve">TABLE </w:t>
      </w:r>
      <w:r>
        <w:rPr>
          <w:rFonts w:hint="eastAsia"/>
          <w:lang w:eastAsia="zh-CN"/>
        </w:rPr>
        <w:t>13</w:t>
      </w:r>
    </w:p>
    <w:p w14:paraId="03F8B6AC" w14:textId="77777777" w:rsidR="00CF04BC" w:rsidRPr="00B93493" w:rsidRDefault="00CF04BC" w:rsidP="000973D9">
      <w:pPr>
        <w:pStyle w:val="Tabletitle"/>
        <w:keepLines/>
      </w:pPr>
      <w:r w:rsidRPr="00B93493">
        <w:t>Radiuses of occupied areas by sea and by land (km) for maritime radio</w:t>
      </w:r>
      <w:r w:rsidRPr="00B93493">
        <w:br/>
        <w:t>communications in 156-174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247"/>
        <w:gridCol w:w="1191"/>
        <w:gridCol w:w="1191"/>
        <w:gridCol w:w="1191"/>
        <w:gridCol w:w="1191"/>
        <w:gridCol w:w="1191"/>
        <w:gridCol w:w="1191"/>
      </w:tblGrid>
      <w:tr w:rsidR="00CF04BC" w:rsidRPr="00B93493" w14:paraId="4BAF6504" w14:textId="77777777" w:rsidTr="002E7F54">
        <w:trPr>
          <w:cantSplit/>
          <w:trHeight w:val="20"/>
          <w:jc w:val="center"/>
        </w:trPr>
        <w:tc>
          <w:tcPr>
            <w:tcW w:w="1247" w:type="dxa"/>
            <w:vAlign w:val="center"/>
          </w:tcPr>
          <w:p w14:paraId="77848FCA" w14:textId="77777777" w:rsidR="00CF04BC" w:rsidRPr="00B93493" w:rsidRDefault="00CF04BC" w:rsidP="000973D9">
            <w:pPr>
              <w:pStyle w:val="Tablehead"/>
              <w:keepLines/>
            </w:pPr>
          </w:p>
        </w:tc>
        <w:tc>
          <w:tcPr>
            <w:tcW w:w="8393" w:type="dxa"/>
            <w:gridSpan w:val="7"/>
            <w:vAlign w:val="center"/>
          </w:tcPr>
          <w:p w14:paraId="338D3823" w14:textId="77777777" w:rsidR="00CF04BC" w:rsidRPr="00B93493" w:rsidRDefault="00CF04BC" w:rsidP="000973D9">
            <w:pPr>
              <w:pStyle w:val="Tablehead"/>
              <w:keepLines/>
            </w:pPr>
            <w:r w:rsidRPr="00B93493">
              <w:rPr>
                <w:i/>
                <w:iCs/>
              </w:rPr>
              <w:t>H</w:t>
            </w:r>
            <w:r w:rsidRPr="00B93493">
              <w:rPr>
                <w:bCs/>
                <w:i/>
                <w:iCs/>
                <w:vertAlign w:val="subscript"/>
              </w:rPr>
              <w:t>ef</w:t>
            </w:r>
            <w:r w:rsidRPr="00B93493">
              <w:br/>
              <w:t>(m)</w:t>
            </w:r>
          </w:p>
        </w:tc>
      </w:tr>
      <w:tr w:rsidR="00CF04BC" w:rsidRPr="00B93493" w14:paraId="19FD98CD" w14:textId="77777777" w:rsidTr="002E7F54">
        <w:trPr>
          <w:cantSplit/>
          <w:trHeight w:val="20"/>
          <w:jc w:val="center"/>
        </w:trPr>
        <w:tc>
          <w:tcPr>
            <w:tcW w:w="1247" w:type="dxa"/>
            <w:vAlign w:val="center"/>
          </w:tcPr>
          <w:p w14:paraId="22C31D2D" w14:textId="77777777" w:rsidR="00CF04BC" w:rsidRPr="00B93493" w:rsidRDefault="00CF04BC" w:rsidP="000973D9">
            <w:pPr>
              <w:pStyle w:val="Tablehead"/>
              <w:keepLines/>
            </w:pPr>
            <w:r w:rsidRPr="00B93493">
              <w:t>P(W)</w:t>
            </w:r>
          </w:p>
        </w:tc>
        <w:tc>
          <w:tcPr>
            <w:tcW w:w="1247" w:type="dxa"/>
          </w:tcPr>
          <w:p w14:paraId="32430F34" w14:textId="77777777" w:rsidR="00CF04BC" w:rsidRPr="00B93493" w:rsidRDefault="00CF04BC" w:rsidP="000973D9">
            <w:pPr>
              <w:pStyle w:val="Tablehead"/>
              <w:keepLines/>
            </w:pPr>
            <w:r w:rsidRPr="00B93493">
              <w:t>Paths</w:t>
            </w:r>
          </w:p>
        </w:tc>
        <w:tc>
          <w:tcPr>
            <w:tcW w:w="1191" w:type="dxa"/>
            <w:vAlign w:val="center"/>
          </w:tcPr>
          <w:p w14:paraId="51AB1F26" w14:textId="77777777" w:rsidR="00CF04BC" w:rsidRPr="00B93493" w:rsidRDefault="00CF04BC" w:rsidP="000973D9">
            <w:pPr>
              <w:pStyle w:val="Tablehead"/>
              <w:keepLines/>
            </w:pPr>
            <w:r w:rsidRPr="00B93493">
              <w:t>10</w:t>
            </w:r>
          </w:p>
        </w:tc>
        <w:tc>
          <w:tcPr>
            <w:tcW w:w="1191" w:type="dxa"/>
            <w:vAlign w:val="center"/>
          </w:tcPr>
          <w:p w14:paraId="2CD6C5CE" w14:textId="77777777" w:rsidR="00CF04BC" w:rsidRPr="00B93493" w:rsidRDefault="00CF04BC" w:rsidP="000973D9">
            <w:pPr>
              <w:pStyle w:val="Tablehead"/>
              <w:keepLines/>
            </w:pPr>
            <w:r w:rsidRPr="00B93493">
              <w:t>20</w:t>
            </w:r>
          </w:p>
        </w:tc>
        <w:tc>
          <w:tcPr>
            <w:tcW w:w="1191" w:type="dxa"/>
            <w:vAlign w:val="center"/>
          </w:tcPr>
          <w:p w14:paraId="466F30E0" w14:textId="77777777" w:rsidR="00CF04BC" w:rsidRPr="00B93493" w:rsidRDefault="00CF04BC" w:rsidP="000973D9">
            <w:pPr>
              <w:pStyle w:val="Tablehead"/>
              <w:keepLines/>
            </w:pPr>
            <w:r w:rsidRPr="00B93493">
              <w:t>37.5</w:t>
            </w:r>
          </w:p>
        </w:tc>
        <w:tc>
          <w:tcPr>
            <w:tcW w:w="1191" w:type="dxa"/>
            <w:vAlign w:val="center"/>
          </w:tcPr>
          <w:p w14:paraId="32B2CE54" w14:textId="77777777" w:rsidR="00CF04BC" w:rsidRPr="00B93493" w:rsidRDefault="00CF04BC" w:rsidP="000973D9">
            <w:pPr>
              <w:pStyle w:val="Tablehead"/>
              <w:keepLines/>
            </w:pPr>
            <w:r w:rsidRPr="00B93493">
              <w:t>75</w:t>
            </w:r>
          </w:p>
        </w:tc>
        <w:tc>
          <w:tcPr>
            <w:tcW w:w="1191" w:type="dxa"/>
            <w:vAlign w:val="center"/>
          </w:tcPr>
          <w:p w14:paraId="10A234E6" w14:textId="77777777" w:rsidR="00CF04BC" w:rsidRPr="00B93493" w:rsidRDefault="00CF04BC" w:rsidP="000973D9">
            <w:pPr>
              <w:pStyle w:val="Tablehead"/>
              <w:keepLines/>
            </w:pPr>
            <w:r w:rsidRPr="00B93493">
              <w:t>150</w:t>
            </w:r>
          </w:p>
        </w:tc>
        <w:tc>
          <w:tcPr>
            <w:tcW w:w="1191" w:type="dxa"/>
            <w:vAlign w:val="center"/>
          </w:tcPr>
          <w:p w14:paraId="39D420DD" w14:textId="77777777" w:rsidR="00CF04BC" w:rsidRPr="00B93493" w:rsidRDefault="00CF04BC" w:rsidP="000973D9">
            <w:pPr>
              <w:pStyle w:val="Tablehead"/>
              <w:keepLines/>
            </w:pPr>
            <w:r w:rsidRPr="00B93493">
              <w:t>300</w:t>
            </w:r>
          </w:p>
        </w:tc>
      </w:tr>
      <w:tr w:rsidR="00CF04BC" w:rsidRPr="00B93493" w14:paraId="4465E6DB" w14:textId="77777777" w:rsidTr="002E7F54">
        <w:trPr>
          <w:cantSplit/>
          <w:trHeight w:val="20"/>
          <w:jc w:val="center"/>
        </w:trPr>
        <w:tc>
          <w:tcPr>
            <w:tcW w:w="1247" w:type="dxa"/>
          </w:tcPr>
          <w:p w14:paraId="30DBB422" w14:textId="77777777" w:rsidR="00CF04BC" w:rsidRPr="00B93493" w:rsidRDefault="00CF04BC" w:rsidP="000973D9">
            <w:pPr>
              <w:pStyle w:val="Tabletext"/>
              <w:keepNext/>
              <w:keepLines/>
              <w:jc w:val="center"/>
            </w:pPr>
            <w:r w:rsidRPr="00B93493">
              <w:t>10</w:t>
            </w:r>
          </w:p>
        </w:tc>
        <w:tc>
          <w:tcPr>
            <w:tcW w:w="1247" w:type="dxa"/>
          </w:tcPr>
          <w:p w14:paraId="779A5703" w14:textId="77777777" w:rsidR="00CF04BC" w:rsidRPr="00B93493" w:rsidRDefault="00CF04BC" w:rsidP="000973D9">
            <w:pPr>
              <w:pStyle w:val="Tabletext"/>
              <w:keepNext/>
              <w:keepLines/>
              <w:jc w:val="center"/>
            </w:pPr>
            <w:r w:rsidRPr="00B93493">
              <w:t>Land</w:t>
            </w:r>
          </w:p>
        </w:tc>
        <w:tc>
          <w:tcPr>
            <w:tcW w:w="1191" w:type="dxa"/>
          </w:tcPr>
          <w:p w14:paraId="7709060C" w14:textId="77777777" w:rsidR="00CF04BC" w:rsidRPr="00B93493" w:rsidRDefault="00CF04BC" w:rsidP="000973D9">
            <w:pPr>
              <w:pStyle w:val="Tabletext"/>
              <w:keepNext/>
              <w:keepLines/>
              <w:jc w:val="center"/>
            </w:pPr>
            <w:r w:rsidRPr="00B93493">
              <w:t>11</w:t>
            </w:r>
          </w:p>
        </w:tc>
        <w:tc>
          <w:tcPr>
            <w:tcW w:w="1191" w:type="dxa"/>
          </w:tcPr>
          <w:p w14:paraId="3039F338" w14:textId="77777777" w:rsidR="00CF04BC" w:rsidRPr="00B93493" w:rsidRDefault="00CF04BC" w:rsidP="000973D9">
            <w:pPr>
              <w:pStyle w:val="Tabletext"/>
              <w:keepNext/>
              <w:keepLines/>
              <w:jc w:val="center"/>
            </w:pPr>
            <w:r w:rsidRPr="00B93493">
              <w:t>14</w:t>
            </w:r>
          </w:p>
        </w:tc>
        <w:tc>
          <w:tcPr>
            <w:tcW w:w="1191" w:type="dxa"/>
          </w:tcPr>
          <w:p w14:paraId="3A3484BC" w14:textId="77777777" w:rsidR="00CF04BC" w:rsidRPr="00B93493" w:rsidRDefault="00CF04BC" w:rsidP="000973D9">
            <w:pPr>
              <w:pStyle w:val="Tabletext"/>
              <w:keepNext/>
              <w:keepLines/>
              <w:jc w:val="center"/>
            </w:pPr>
            <w:r w:rsidRPr="00B93493">
              <w:t>19</w:t>
            </w:r>
          </w:p>
        </w:tc>
        <w:tc>
          <w:tcPr>
            <w:tcW w:w="1191" w:type="dxa"/>
          </w:tcPr>
          <w:p w14:paraId="0BD4EE87" w14:textId="77777777" w:rsidR="00CF04BC" w:rsidRPr="00B93493" w:rsidRDefault="00CF04BC" w:rsidP="000973D9">
            <w:pPr>
              <w:pStyle w:val="Tabletext"/>
              <w:keepNext/>
              <w:keepLines/>
              <w:jc w:val="center"/>
            </w:pPr>
            <w:r w:rsidRPr="00B93493">
              <w:t>25</w:t>
            </w:r>
          </w:p>
        </w:tc>
        <w:tc>
          <w:tcPr>
            <w:tcW w:w="1191" w:type="dxa"/>
          </w:tcPr>
          <w:p w14:paraId="02CF5670" w14:textId="77777777" w:rsidR="00CF04BC" w:rsidRPr="00B93493" w:rsidRDefault="00CF04BC" w:rsidP="000973D9">
            <w:pPr>
              <w:pStyle w:val="Tabletext"/>
              <w:keepNext/>
              <w:keepLines/>
              <w:jc w:val="center"/>
            </w:pPr>
            <w:r w:rsidRPr="00B93493">
              <w:t>35</w:t>
            </w:r>
          </w:p>
        </w:tc>
        <w:tc>
          <w:tcPr>
            <w:tcW w:w="1191" w:type="dxa"/>
          </w:tcPr>
          <w:p w14:paraId="6733AC4D" w14:textId="77777777" w:rsidR="00CF04BC" w:rsidRPr="00B93493" w:rsidRDefault="00CF04BC" w:rsidP="000973D9">
            <w:pPr>
              <w:pStyle w:val="Tabletext"/>
              <w:keepNext/>
              <w:keepLines/>
              <w:jc w:val="center"/>
            </w:pPr>
            <w:r w:rsidRPr="00B93493">
              <w:t>48</w:t>
            </w:r>
          </w:p>
        </w:tc>
      </w:tr>
      <w:tr w:rsidR="00CF04BC" w:rsidRPr="00B93493" w14:paraId="195999A5" w14:textId="77777777" w:rsidTr="002E7F54">
        <w:trPr>
          <w:cantSplit/>
          <w:trHeight w:val="20"/>
          <w:jc w:val="center"/>
        </w:trPr>
        <w:tc>
          <w:tcPr>
            <w:tcW w:w="1247" w:type="dxa"/>
          </w:tcPr>
          <w:p w14:paraId="14564B15" w14:textId="77777777" w:rsidR="00CF04BC" w:rsidRPr="00B93493" w:rsidRDefault="00CF04BC" w:rsidP="000973D9">
            <w:pPr>
              <w:pStyle w:val="Tabletext"/>
              <w:keepNext/>
              <w:keepLines/>
              <w:jc w:val="center"/>
            </w:pPr>
          </w:p>
        </w:tc>
        <w:tc>
          <w:tcPr>
            <w:tcW w:w="1247" w:type="dxa"/>
          </w:tcPr>
          <w:p w14:paraId="4D8B3135" w14:textId="77777777" w:rsidR="00CF04BC" w:rsidRPr="00B93493" w:rsidRDefault="00CF04BC" w:rsidP="000973D9">
            <w:pPr>
              <w:pStyle w:val="Tabletext"/>
              <w:keepNext/>
              <w:keepLines/>
              <w:jc w:val="center"/>
            </w:pPr>
            <w:r w:rsidRPr="00B93493">
              <w:t>Sea</w:t>
            </w:r>
          </w:p>
        </w:tc>
        <w:tc>
          <w:tcPr>
            <w:tcW w:w="1191" w:type="dxa"/>
          </w:tcPr>
          <w:p w14:paraId="6FEB8A27" w14:textId="77777777" w:rsidR="00CF04BC" w:rsidRPr="00B93493" w:rsidRDefault="00CF04BC" w:rsidP="000973D9">
            <w:pPr>
              <w:pStyle w:val="Tabletext"/>
              <w:keepNext/>
              <w:keepLines/>
              <w:jc w:val="center"/>
            </w:pPr>
            <w:r w:rsidRPr="00B93493">
              <w:t>24</w:t>
            </w:r>
          </w:p>
        </w:tc>
        <w:tc>
          <w:tcPr>
            <w:tcW w:w="1191" w:type="dxa"/>
          </w:tcPr>
          <w:p w14:paraId="3A1FFA72" w14:textId="77777777" w:rsidR="00CF04BC" w:rsidRPr="00B93493" w:rsidRDefault="00CF04BC" w:rsidP="000973D9">
            <w:pPr>
              <w:pStyle w:val="Tabletext"/>
              <w:keepNext/>
              <w:keepLines/>
              <w:jc w:val="center"/>
            </w:pPr>
            <w:r w:rsidRPr="00B93493">
              <w:t>28</w:t>
            </w:r>
          </w:p>
        </w:tc>
        <w:tc>
          <w:tcPr>
            <w:tcW w:w="1191" w:type="dxa"/>
          </w:tcPr>
          <w:p w14:paraId="77D7C00D" w14:textId="77777777" w:rsidR="00CF04BC" w:rsidRPr="00B93493" w:rsidRDefault="00CF04BC" w:rsidP="000973D9">
            <w:pPr>
              <w:pStyle w:val="Tabletext"/>
              <w:keepNext/>
              <w:keepLines/>
              <w:jc w:val="center"/>
            </w:pPr>
            <w:r w:rsidRPr="00B93493">
              <w:t>35</w:t>
            </w:r>
          </w:p>
        </w:tc>
        <w:tc>
          <w:tcPr>
            <w:tcW w:w="1191" w:type="dxa"/>
          </w:tcPr>
          <w:p w14:paraId="2AEFAE5B" w14:textId="77777777" w:rsidR="00CF04BC" w:rsidRPr="00B93493" w:rsidRDefault="00CF04BC" w:rsidP="000973D9">
            <w:pPr>
              <w:pStyle w:val="Tabletext"/>
              <w:keepNext/>
              <w:keepLines/>
              <w:jc w:val="center"/>
            </w:pPr>
            <w:r w:rsidRPr="00B93493">
              <w:t>43</w:t>
            </w:r>
          </w:p>
        </w:tc>
        <w:tc>
          <w:tcPr>
            <w:tcW w:w="1191" w:type="dxa"/>
          </w:tcPr>
          <w:p w14:paraId="4800A7CF" w14:textId="77777777" w:rsidR="00CF04BC" w:rsidRPr="00B93493" w:rsidRDefault="00CF04BC" w:rsidP="000973D9">
            <w:pPr>
              <w:pStyle w:val="Tabletext"/>
              <w:keepNext/>
              <w:keepLines/>
              <w:jc w:val="center"/>
            </w:pPr>
            <w:r w:rsidRPr="00B93493">
              <w:t>53</w:t>
            </w:r>
          </w:p>
        </w:tc>
        <w:tc>
          <w:tcPr>
            <w:tcW w:w="1191" w:type="dxa"/>
          </w:tcPr>
          <w:p w14:paraId="5C32865E" w14:textId="77777777" w:rsidR="00CF04BC" w:rsidRPr="00B93493" w:rsidRDefault="00CF04BC" w:rsidP="000973D9">
            <w:pPr>
              <w:pStyle w:val="Tabletext"/>
              <w:keepNext/>
              <w:keepLines/>
              <w:jc w:val="center"/>
            </w:pPr>
            <w:r w:rsidRPr="00B93493">
              <w:t>68</w:t>
            </w:r>
          </w:p>
        </w:tc>
      </w:tr>
      <w:tr w:rsidR="00CF04BC" w:rsidRPr="00B93493" w14:paraId="41815DA3" w14:textId="77777777" w:rsidTr="002E7F54">
        <w:trPr>
          <w:cantSplit/>
          <w:trHeight w:val="20"/>
          <w:jc w:val="center"/>
        </w:trPr>
        <w:tc>
          <w:tcPr>
            <w:tcW w:w="1247" w:type="dxa"/>
          </w:tcPr>
          <w:p w14:paraId="1D680C16" w14:textId="77777777" w:rsidR="00CF04BC" w:rsidRPr="00B93493" w:rsidRDefault="00CF04BC" w:rsidP="000973D9">
            <w:pPr>
              <w:pStyle w:val="Tabletext"/>
              <w:keepNext/>
              <w:keepLines/>
              <w:jc w:val="center"/>
            </w:pPr>
            <w:r w:rsidRPr="00B93493">
              <w:t>20</w:t>
            </w:r>
          </w:p>
        </w:tc>
        <w:tc>
          <w:tcPr>
            <w:tcW w:w="1247" w:type="dxa"/>
          </w:tcPr>
          <w:p w14:paraId="3BA463DC" w14:textId="77777777" w:rsidR="00CF04BC" w:rsidRPr="00B93493" w:rsidRDefault="00CF04BC" w:rsidP="000973D9">
            <w:pPr>
              <w:pStyle w:val="Tabletext"/>
              <w:keepNext/>
              <w:keepLines/>
              <w:jc w:val="center"/>
            </w:pPr>
            <w:r w:rsidRPr="00B93493">
              <w:t>Land</w:t>
            </w:r>
          </w:p>
        </w:tc>
        <w:tc>
          <w:tcPr>
            <w:tcW w:w="1191" w:type="dxa"/>
          </w:tcPr>
          <w:p w14:paraId="2C97CDC8" w14:textId="77777777" w:rsidR="00CF04BC" w:rsidRPr="00B93493" w:rsidRDefault="00CF04BC" w:rsidP="000973D9">
            <w:pPr>
              <w:pStyle w:val="Tabletext"/>
              <w:keepNext/>
              <w:keepLines/>
              <w:jc w:val="center"/>
            </w:pPr>
            <w:r w:rsidRPr="00B93493">
              <w:t>13</w:t>
            </w:r>
          </w:p>
        </w:tc>
        <w:tc>
          <w:tcPr>
            <w:tcW w:w="1191" w:type="dxa"/>
          </w:tcPr>
          <w:p w14:paraId="56BE49D9" w14:textId="77777777" w:rsidR="00CF04BC" w:rsidRPr="00B93493" w:rsidRDefault="00CF04BC" w:rsidP="000973D9">
            <w:pPr>
              <w:pStyle w:val="Tabletext"/>
              <w:keepNext/>
              <w:keepLines/>
              <w:jc w:val="center"/>
            </w:pPr>
            <w:r w:rsidRPr="00B93493">
              <w:t>16</w:t>
            </w:r>
          </w:p>
        </w:tc>
        <w:tc>
          <w:tcPr>
            <w:tcW w:w="1191" w:type="dxa"/>
          </w:tcPr>
          <w:p w14:paraId="5D23DBA7" w14:textId="77777777" w:rsidR="00CF04BC" w:rsidRPr="00B93493" w:rsidRDefault="00CF04BC" w:rsidP="000973D9">
            <w:pPr>
              <w:pStyle w:val="Tabletext"/>
              <w:keepNext/>
              <w:keepLines/>
              <w:jc w:val="center"/>
            </w:pPr>
            <w:r w:rsidRPr="00B93493">
              <w:t>22</w:t>
            </w:r>
          </w:p>
        </w:tc>
        <w:tc>
          <w:tcPr>
            <w:tcW w:w="1191" w:type="dxa"/>
          </w:tcPr>
          <w:p w14:paraId="43AE7CFF" w14:textId="77777777" w:rsidR="00CF04BC" w:rsidRPr="00B93493" w:rsidRDefault="00CF04BC" w:rsidP="000973D9">
            <w:pPr>
              <w:pStyle w:val="Tabletext"/>
              <w:keepNext/>
              <w:keepLines/>
              <w:jc w:val="center"/>
            </w:pPr>
            <w:r w:rsidRPr="00B93493">
              <w:t>29</w:t>
            </w:r>
          </w:p>
        </w:tc>
        <w:tc>
          <w:tcPr>
            <w:tcW w:w="1191" w:type="dxa"/>
          </w:tcPr>
          <w:p w14:paraId="17FE089F" w14:textId="77777777" w:rsidR="00CF04BC" w:rsidRPr="00B93493" w:rsidRDefault="00CF04BC" w:rsidP="000973D9">
            <w:pPr>
              <w:pStyle w:val="Tabletext"/>
              <w:keepNext/>
              <w:keepLines/>
              <w:jc w:val="center"/>
            </w:pPr>
            <w:r w:rsidRPr="00B93493">
              <w:t>40</w:t>
            </w:r>
          </w:p>
        </w:tc>
        <w:tc>
          <w:tcPr>
            <w:tcW w:w="1191" w:type="dxa"/>
          </w:tcPr>
          <w:p w14:paraId="079D8844" w14:textId="77777777" w:rsidR="00CF04BC" w:rsidRPr="00B93493" w:rsidRDefault="00CF04BC" w:rsidP="000973D9">
            <w:pPr>
              <w:pStyle w:val="Tabletext"/>
              <w:keepNext/>
              <w:keepLines/>
              <w:jc w:val="center"/>
            </w:pPr>
            <w:r w:rsidRPr="00B93493">
              <w:t>53</w:t>
            </w:r>
          </w:p>
        </w:tc>
      </w:tr>
      <w:tr w:rsidR="00CF04BC" w:rsidRPr="00B93493" w14:paraId="3902F1E8" w14:textId="77777777" w:rsidTr="002E7F54">
        <w:trPr>
          <w:cantSplit/>
          <w:trHeight w:val="20"/>
          <w:jc w:val="center"/>
        </w:trPr>
        <w:tc>
          <w:tcPr>
            <w:tcW w:w="1247" w:type="dxa"/>
          </w:tcPr>
          <w:p w14:paraId="1AF21441" w14:textId="77777777" w:rsidR="00CF04BC" w:rsidRPr="00B93493" w:rsidRDefault="00CF04BC" w:rsidP="000973D9">
            <w:pPr>
              <w:pStyle w:val="Tabletext"/>
              <w:keepNext/>
              <w:keepLines/>
              <w:jc w:val="center"/>
            </w:pPr>
          </w:p>
        </w:tc>
        <w:tc>
          <w:tcPr>
            <w:tcW w:w="1247" w:type="dxa"/>
          </w:tcPr>
          <w:p w14:paraId="53FFB384" w14:textId="77777777" w:rsidR="00CF04BC" w:rsidRPr="00B93493" w:rsidRDefault="00CF04BC" w:rsidP="000973D9">
            <w:pPr>
              <w:pStyle w:val="Tabletext"/>
              <w:keepNext/>
              <w:keepLines/>
              <w:jc w:val="center"/>
            </w:pPr>
            <w:r w:rsidRPr="00B93493">
              <w:t>Sea</w:t>
            </w:r>
          </w:p>
        </w:tc>
        <w:tc>
          <w:tcPr>
            <w:tcW w:w="1191" w:type="dxa"/>
          </w:tcPr>
          <w:p w14:paraId="1396A7BF" w14:textId="77777777" w:rsidR="00CF04BC" w:rsidRPr="00B93493" w:rsidRDefault="00CF04BC" w:rsidP="000973D9">
            <w:pPr>
              <w:pStyle w:val="Tabletext"/>
              <w:keepNext/>
              <w:keepLines/>
              <w:jc w:val="center"/>
            </w:pPr>
            <w:r w:rsidRPr="00B93493">
              <w:t>27</w:t>
            </w:r>
          </w:p>
        </w:tc>
        <w:tc>
          <w:tcPr>
            <w:tcW w:w="1191" w:type="dxa"/>
          </w:tcPr>
          <w:p w14:paraId="15AE073B" w14:textId="77777777" w:rsidR="00CF04BC" w:rsidRPr="00B93493" w:rsidRDefault="00CF04BC" w:rsidP="000973D9">
            <w:pPr>
              <w:pStyle w:val="Tabletext"/>
              <w:keepNext/>
              <w:keepLines/>
              <w:jc w:val="center"/>
            </w:pPr>
            <w:r w:rsidRPr="00B93493">
              <w:t>31</w:t>
            </w:r>
          </w:p>
        </w:tc>
        <w:tc>
          <w:tcPr>
            <w:tcW w:w="1191" w:type="dxa"/>
          </w:tcPr>
          <w:p w14:paraId="505828CA" w14:textId="77777777" w:rsidR="00CF04BC" w:rsidRPr="00B93493" w:rsidRDefault="00CF04BC" w:rsidP="000973D9">
            <w:pPr>
              <w:pStyle w:val="Tabletext"/>
              <w:keepNext/>
              <w:keepLines/>
              <w:jc w:val="center"/>
            </w:pPr>
            <w:r w:rsidRPr="00B93493">
              <w:t>39</w:t>
            </w:r>
          </w:p>
        </w:tc>
        <w:tc>
          <w:tcPr>
            <w:tcW w:w="1191" w:type="dxa"/>
          </w:tcPr>
          <w:p w14:paraId="6121BCB9" w14:textId="77777777" w:rsidR="00CF04BC" w:rsidRPr="00B93493" w:rsidRDefault="00CF04BC" w:rsidP="000973D9">
            <w:pPr>
              <w:pStyle w:val="Tabletext"/>
              <w:keepNext/>
              <w:keepLines/>
              <w:jc w:val="center"/>
            </w:pPr>
            <w:r w:rsidRPr="00B93493">
              <w:t>47</w:t>
            </w:r>
          </w:p>
        </w:tc>
        <w:tc>
          <w:tcPr>
            <w:tcW w:w="1191" w:type="dxa"/>
          </w:tcPr>
          <w:p w14:paraId="66520243" w14:textId="77777777" w:rsidR="00CF04BC" w:rsidRPr="00B93493" w:rsidRDefault="00CF04BC" w:rsidP="000973D9">
            <w:pPr>
              <w:pStyle w:val="Tabletext"/>
              <w:keepNext/>
              <w:keepLines/>
              <w:jc w:val="center"/>
            </w:pPr>
            <w:r w:rsidRPr="00B93493">
              <w:t>59</w:t>
            </w:r>
          </w:p>
        </w:tc>
        <w:tc>
          <w:tcPr>
            <w:tcW w:w="1191" w:type="dxa"/>
          </w:tcPr>
          <w:p w14:paraId="732DA43F" w14:textId="77777777" w:rsidR="00CF04BC" w:rsidRPr="00B93493" w:rsidRDefault="00CF04BC" w:rsidP="000973D9">
            <w:pPr>
              <w:pStyle w:val="Tabletext"/>
              <w:keepNext/>
              <w:keepLines/>
              <w:jc w:val="center"/>
            </w:pPr>
            <w:r w:rsidRPr="00B93493">
              <w:t>74</w:t>
            </w:r>
          </w:p>
        </w:tc>
      </w:tr>
      <w:tr w:rsidR="00CF04BC" w:rsidRPr="00B93493" w14:paraId="346AE500" w14:textId="77777777" w:rsidTr="002E7F54">
        <w:trPr>
          <w:cantSplit/>
          <w:trHeight w:val="20"/>
          <w:jc w:val="center"/>
        </w:trPr>
        <w:tc>
          <w:tcPr>
            <w:tcW w:w="1247" w:type="dxa"/>
          </w:tcPr>
          <w:p w14:paraId="41073636" w14:textId="77777777" w:rsidR="00CF04BC" w:rsidRPr="00B93493" w:rsidRDefault="00CF04BC" w:rsidP="000973D9">
            <w:pPr>
              <w:pStyle w:val="Tabletext"/>
              <w:keepNext/>
              <w:keepLines/>
              <w:jc w:val="center"/>
            </w:pPr>
            <w:r w:rsidRPr="00B93493">
              <w:t>30</w:t>
            </w:r>
          </w:p>
        </w:tc>
        <w:tc>
          <w:tcPr>
            <w:tcW w:w="1247" w:type="dxa"/>
          </w:tcPr>
          <w:p w14:paraId="4CB782CB" w14:textId="77777777" w:rsidR="00CF04BC" w:rsidRPr="00B93493" w:rsidRDefault="00CF04BC" w:rsidP="000973D9">
            <w:pPr>
              <w:pStyle w:val="Tabletext"/>
              <w:keepNext/>
              <w:keepLines/>
              <w:jc w:val="center"/>
            </w:pPr>
            <w:r w:rsidRPr="00B93493">
              <w:t>Land</w:t>
            </w:r>
          </w:p>
        </w:tc>
        <w:tc>
          <w:tcPr>
            <w:tcW w:w="1191" w:type="dxa"/>
          </w:tcPr>
          <w:p w14:paraId="37218308" w14:textId="77777777" w:rsidR="00CF04BC" w:rsidRPr="00B93493" w:rsidRDefault="00CF04BC" w:rsidP="000973D9">
            <w:pPr>
              <w:pStyle w:val="Tabletext"/>
              <w:keepNext/>
              <w:keepLines/>
              <w:jc w:val="center"/>
            </w:pPr>
            <w:r w:rsidRPr="00B93493">
              <w:t>14</w:t>
            </w:r>
          </w:p>
        </w:tc>
        <w:tc>
          <w:tcPr>
            <w:tcW w:w="1191" w:type="dxa"/>
          </w:tcPr>
          <w:p w14:paraId="1BACA938" w14:textId="77777777" w:rsidR="00CF04BC" w:rsidRPr="00B93493" w:rsidRDefault="00CF04BC" w:rsidP="000973D9">
            <w:pPr>
              <w:pStyle w:val="Tabletext"/>
              <w:keepNext/>
              <w:keepLines/>
              <w:jc w:val="center"/>
            </w:pPr>
            <w:r w:rsidRPr="00B93493">
              <w:t>17</w:t>
            </w:r>
          </w:p>
        </w:tc>
        <w:tc>
          <w:tcPr>
            <w:tcW w:w="1191" w:type="dxa"/>
          </w:tcPr>
          <w:p w14:paraId="49E47E9E" w14:textId="77777777" w:rsidR="00CF04BC" w:rsidRPr="00B93493" w:rsidRDefault="00CF04BC" w:rsidP="000973D9">
            <w:pPr>
              <w:pStyle w:val="Tabletext"/>
              <w:keepNext/>
              <w:keepLines/>
              <w:jc w:val="center"/>
            </w:pPr>
            <w:r w:rsidRPr="00B93493">
              <w:t>24</w:t>
            </w:r>
          </w:p>
        </w:tc>
        <w:tc>
          <w:tcPr>
            <w:tcW w:w="1191" w:type="dxa"/>
          </w:tcPr>
          <w:p w14:paraId="5DDA52DB" w14:textId="77777777" w:rsidR="00CF04BC" w:rsidRPr="00B93493" w:rsidRDefault="00CF04BC" w:rsidP="000973D9">
            <w:pPr>
              <w:pStyle w:val="Tabletext"/>
              <w:keepNext/>
              <w:keepLines/>
              <w:jc w:val="center"/>
            </w:pPr>
            <w:r w:rsidRPr="00B93493">
              <w:t>32</w:t>
            </w:r>
          </w:p>
        </w:tc>
        <w:tc>
          <w:tcPr>
            <w:tcW w:w="1191" w:type="dxa"/>
          </w:tcPr>
          <w:p w14:paraId="1BA98523" w14:textId="77777777" w:rsidR="00CF04BC" w:rsidRPr="00B93493" w:rsidRDefault="00CF04BC" w:rsidP="000973D9">
            <w:pPr>
              <w:pStyle w:val="Tabletext"/>
              <w:keepNext/>
              <w:keepLines/>
              <w:jc w:val="center"/>
            </w:pPr>
            <w:r w:rsidRPr="00B93493">
              <w:t>43</w:t>
            </w:r>
          </w:p>
        </w:tc>
        <w:tc>
          <w:tcPr>
            <w:tcW w:w="1191" w:type="dxa"/>
          </w:tcPr>
          <w:p w14:paraId="51654091" w14:textId="77777777" w:rsidR="00CF04BC" w:rsidRPr="00B93493" w:rsidRDefault="00CF04BC" w:rsidP="000973D9">
            <w:pPr>
              <w:pStyle w:val="Tabletext"/>
              <w:keepNext/>
              <w:keepLines/>
              <w:jc w:val="center"/>
            </w:pPr>
            <w:r w:rsidRPr="00B93493">
              <w:t>57</w:t>
            </w:r>
          </w:p>
        </w:tc>
      </w:tr>
      <w:tr w:rsidR="00CF04BC" w:rsidRPr="00B93493" w14:paraId="66A5009C" w14:textId="77777777" w:rsidTr="002E7F54">
        <w:trPr>
          <w:cantSplit/>
          <w:trHeight w:val="20"/>
          <w:jc w:val="center"/>
        </w:trPr>
        <w:tc>
          <w:tcPr>
            <w:tcW w:w="1247" w:type="dxa"/>
          </w:tcPr>
          <w:p w14:paraId="03E0012D" w14:textId="77777777" w:rsidR="00CF04BC" w:rsidRPr="00B93493" w:rsidRDefault="00CF04BC" w:rsidP="000973D9">
            <w:pPr>
              <w:pStyle w:val="Tabletext"/>
              <w:keepNext/>
              <w:keepLines/>
              <w:jc w:val="center"/>
            </w:pPr>
          </w:p>
        </w:tc>
        <w:tc>
          <w:tcPr>
            <w:tcW w:w="1247" w:type="dxa"/>
          </w:tcPr>
          <w:p w14:paraId="4399DC76" w14:textId="77777777" w:rsidR="00CF04BC" w:rsidRPr="00B93493" w:rsidRDefault="00CF04BC" w:rsidP="000973D9">
            <w:pPr>
              <w:pStyle w:val="Tabletext"/>
              <w:keepNext/>
              <w:keepLines/>
              <w:jc w:val="center"/>
            </w:pPr>
            <w:r w:rsidRPr="00B93493">
              <w:t>Sea</w:t>
            </w:r>
          </w:p>
        </w:tc>
        <w:tc>
          <w:tcPr>
            <w:tcW w:w="1191" w:type="dxa"/>
          </w:tcPr>
          <w:p w14:paraId="00AB6ECB" w14:textId="77777777" w:rsidR="00CF04BC" w:rsidRPr="00B93493" w:rsidRDefault="00CF04BC" w:rsidP="000973D9">
            <w:pPr>
              <w:pStyle w:val="Tabletext"/>
              <w:keepNext/>
              <w:keepLines/>
              <w:jc w:val="center"/>
            </w:pPr>
            <w:r w:rsidRPr="00B93493">
              <w:t>29</w:t>
            </w:r>
          </w:p>
        </w:tc>
        <w:tc>
          <w:tcPr>
            <w:tcW w:w="1191" w:type="dxa"/>
          </w:tcPr>
          <w:p w14:paraId="4BC5FFA4" w14:textId="77777777" w:rsidR="00CF04BC" w:rsidRPr="00B93493" w:rsidRDefault="00CF04BC" w:rsidP="000973D9">
            <w:pPr>
              <w:pStyle w:val="Tabletext"/>
              <w:keepNext/>
              <w:keepLines/>
              <w:jc w:val="center"/>
            </w:pPr>
            <w:r w:rsidRPr="00B93493">
              <w:t>34</w:t>
            </w:r>
          </w:p>
        </w:tc>
        <w:tc>
          <w:tcPr>
            <w:tcW w:w="1191" w:type="dxa"/>
          </w:tcPr>
          <w:p w14:paraId="05ED22A1" w14:textId="77777777" w:rsidR="00CF04BC" w:rsidRPr="00B93493" w:rsidRDefault="00CF04BC" w:rsidP="000973D9">
            <w:pPr>
              <w:pStyle w:val="Tabletext"/>
              <w:keepNext/>
              <w:keepLines/>
              <w:jc w:val="center"/>
            </w:pPr>
            <w:r w:rsidRPr="00B93493">
              <w:t>42</w:t>
            </w:r>
          </w:p>
        </w:tc>
        <w:tc>
          <w:tcPr>
            <w:tcW w:w="1191" w:type="dxa"/>
          </w:tcPr>
          <w:p w14:paraId="75563694" w14:textId="77777777" w:rsidR="00CF04BC" w:rsidRPr="00B93493" w:rsidRDefault="00CF04BC" w:rsidP="000973D9">
            <w:pPr>
              <w:pStyle w:val="Tabletext"/>
              <w:keepNext/>
              <w:keepLines/>
              <w:jc w:val="center"/>
            </w:pPr>
            <w:r w:rsidRPr="00B93493">
              <w:t>51</w:t>
            </w:r>
          </w:p>
        </w:tc>
        <w:tc>
          <w:tcPr>
            <w:tcW w:w="1191" w:type="dxa"/>
          </w:tcPr>
          <w:p w14:paraId="0778BF89" w14:textId="77777777" w:rsidR="00CF04BC" w:rsidRPr="00B93493" w:rsidRDefault="00CF04BC" w:rsidP="000973D9">
            <w:pPr>
              <w:pStyle w:val="Tabletext"/>
              <w:keepNext/>
              <w:keepLines/>
              <w:jc w:val="center"/>
            </w:pPr>
            <w:r w:rsidRPr="00B93493">
              <w:t>62</w:t>
            </w:r>
          </w:p>
        </w:tc>
        <w:tc>
          <w:tcPr>
            <w:tcW w:w="1191" w:type="dxa"/>
          </w:tcPr>
          <w:p w14:paraId="3E58904F" w14:textId="77777777" w:rsidR="00CF04BC" w:rsidRPr="00B93493" w:rsidRDefault="00CF04BC" w:rsidP="000973D9">
            <w:pPr>
              <w:pStyle w:val="Tabletext"/>
              <w:keepNext/>
              <w:keepLines/>
              <w:jc w:val="center"/>
            </w:pPr>
            <w:r w:rsidRPr="00B93493">
              <w:t>77</w:t>
            </w:r>
          </w:p>
        </w:tc>
      </w:tr>
      <w:tr w:rsidR="00CF04BC" w:rsidRPr="00B93493" w14:paraId="104E3468" w14:textId="77777777" w:rsidTr="002E7F54">
        <w:trPr>
          <w:cantSplit/>
          <w:trHeight w:val="20"/>
          <w:jc w:val="center"/>
        </w:trPr>
        <w:tc>
          <w:tcPr>
            <w:tcW w:w="1247" w:type="dxa"/>
          </w:tcPr>
          <w:p w14:paraId="63155FAC" w14:textId="77777777" w:rsidR="00CF04BC" w:rsidRPr="00B93493" w:rsidRDefault="00CF04BC" w:rsidP="002E7F54">
            <w:pPr>
              <w:pStyle w:val="Tabletext"/>
              <w:jc w:val="center"/>
            </w:pPr>
            <w:r w:rsidRPr="00B93493">
              <w:t>40</w:t>
            </w:r>
          </w:p>
        </w:tc>
        <w:tc>
          <w:tcPr>
            <w:tcW w:w="1247" w:type="dxa"/>
          </w:tcPr>
          <w:p w14:paraId="4604451E" w14:textId="77777777" w:rsidR="00CF04BC" w:rsidRPr="00B93493" w:rsidRDefault="00CF04BC" w:rsidP="002E7F54">
            <w:pPr>
              <w:pStyle w:val="Tabletext"/>
              <w:jc w:val="center"/>
            </w:pPr>
            <w:r w:rsidRPr="00B93493">
              <w:t>Land</w:t>
            </w:r>
          </w:p>
        </w:tc>
        <w:tc>
          <w:tcPr>
            <w:tcW w:w="1191" w:type="dxa"/>
          </w:tcPr>
          <w:p w14:paraId="2CDC5E80" w14:textId="77777777" w:rsidR="00CF04BC" w:rsidRPr="00B93493" w:rsidRDefault="00CF04BC" w:rsidP="002E7F54">
            <w:pPr>
              <w:pStyle w:val="Tabletext"/>
              <w:jc w:val="center"/>
            </w:pPr>
            <w:r w:rsidRPr="00B93493">
              <w:t>14</w:t>
            </w:r>
          </w:p>
        </w:tc>
        <w:tc>
          <w:tcPr>
            <w:tcW w:w="1191" w:type="dxa"/>
          </w:tcPr>
          <w:p w14:paraId="1D221CBC" w14:textId="77777777" w:rsidR="00CF04BC" w:rsidRPr="00B93493" w:rsidRDefault="00CF04BC" w:rsidP="002E7F54">
            <w:pPr>
              <w:pStyle w:val="Tabletext"/>
              <w:jc w:val="center"/>
            </w:pPr>
            <w:r w:rsidRPr="00B93493">
              <w:t>19</w:t>
            </w:r>
          </w:p>
        </w:tc>
        <w:tc>
          <w:tcPr>
            <w:tcW w:w="1191" w:type="dxa"/>
          </w:tcPr>
          <w:p w14:paraId="40B50FAB" w14:textId="77777777" w:rsidR="00CF04BC" w:rsidRPr="00B93493" w:rsidRDefault="00CF04BC" w:rsidP="002E7F54">
            <w:pPr>
              <w:pStyle w:val="Tabletext"/>
              <w:jc w:val="center"/>
            </w:pPr>
            <w:r w:rsidRPr="00B93493">
              <w:t>25</w:t>
            </w:r>
          </w:p>
        </w:tc>
        <w:tc>
          <w:tcPr>
            <w:tcW w:w="1191" w:type="dxa"/>
          </w:tcPr>
          <w:p w14:paraId="7D26F5E0" w14:textId="77777777" w:rsidR="00CF04BC" w:rsidRPr="00B93493" w:rsidRDefault="00CF04BC" w:rsidP="002E7F54">
            <w:pPr>
              <w:pStyle w:val="Tabletext"/>
              <w:jc w:val="center"/>
            </w:pPr>
            <w:r w:rsidRPr="00B93493">
              <w:t>34</w:t>
            </w:r>
          </w:p>
        </w:tc>
        <w:tc>
          <w:tcPr>
            <w:tcW w:w="1191" w:type="dxa"/>
          </w:tcPr>
          <w:p w14:paraId="5AB37BA6" w14:textId="77777777" w:rsidR="00CF04BC" w:rsidRPr="00B93493" w:rsidRDefault="00CF04BC" w:rsidP="002E7F54">
            <w:pPr>
              <w:pStyle w:val="Tabletext"/>
              <w:jc w:val="center"/>
            </w:pPr>
            <w:r w:rsidRPr="00B93493">
              <w:t>45</w:t>
            </w:r>
          </w:p>
        </w:tc>
        <w:tc>
          <w:tcPr>
            <w:tcW w:w="1191" w:type="dxa"/>
          </w:tcPr>
          <w:p w14:paraId="329B7116" w14:textId="77777777" w:rsidR="00CF04BC" w:rsidRPr="00B93493" w:rsidRDefault="00CF04BC" w:rsidP="002E7F54">
            <w:pPr>
              <w:pStyle w:val="Tabletext"/>
              <w:jc w:val="center"/>
            </w:pPr>
            <w:r w:rsidRPr="00B93493">
              <w:t>59</w:t>
            </w:r>
          </w:p>
        </w:tc>
      </w:tr>
      <w:tr w:rsidR="00CF04BC" w:rsidRPr="00B93493" w14:paraId="23D18603" w14:textId="77777777" w:rsidTr="002E7F54">
        <w:trPr>
          <w:cantSplit/>
          <w:trHeight w:val="20"/>
          <w:jc w:val="center"/>
        </w:trPr>
        <w:tc>
          <w:tcPr>
            <w:tcW w:w="1247" w:type="dxa"/>
          </w:tcPr>
          <w:p w14:paraId="233D4456" w14:textId="77777777" w:rsidR="00CF04BC" w:rsidRPr="00B93493" w:rsidRDefault="00CF04BC" w:rsidP="002E7F54">
            <w:pPr>
              <w:pStyle w:val="Tabletext"/>
              <w:jc w:val="center"/>
            </w:pPr>
          </w:p>
        </w:tc>
        <w:tc>
          <w:tcPr>
            <w:tcW w:w="1247" w:type="dxa"/>
          </w:tcPr>
          <w:p w14:paraId="007366D2" w14:textId="77777777" w:rsidR="00CF04BC" w:rsidRPr="00B93493" w:rsidRDefault="00CF04BC" w:rsidP="002E7F54">
            <w:pPr>
              <w:pStyle w:val="Tabletext"/>
              <w:jc w:val="center"/>
            </w:pPr>
            <w:r w:rsidRPr="00B93493">
              <w:t>Sea</w:t>
            </w:r>
          </w:p>
        </w:tc>
        <w:tc>
          <w:tcPr>
            <w:tcW w:w="1191" w:type="dxa"/>
          </w:tcPr>
          <w:p w14:paraId="663C3604" w14:textId="77777777" w:rsidR="00CF04BC" w:rsidRPr="00B93493" w:rsidRDefault="00CF04BC" w:rsidP="002E7F54">
            <w:pPr>
              <w:pStyle w:val="Tabletext"/>
              <w:jc w:val="center"/>
            </w:pPr>
            <w:r w:rsidRPr="00B93493">
              <w:t>30</w:t>
            </w:r>
          </w:p>
        </w:tc>
        <w:tc>
          <w:tcPr>
            <w:tcW w:w="1191" w:type="dxa"/>
          </w:tcPr>
          <w:p w14:paraId="2EF12C58" w14:textId="77777777" w:rsidR="00CF04BC" w:rsidRPr="00B93493" w:rsidRDefault="00CF04BC" w:rsidP="002E7F54">
            <w:pPr>
              <w:pStyle w:val="Tabletext"/>
              <w:jc w:val="center"/>
            </w:pPr>
            <w:r w:rsidRPr="00B93493">
              <w:t>36</w:t>
            </w:r>
          </w:p>
        </w:tc>
        <w:tc>
          <w:tcPr>
            <w:tcW w:w="1191" w:type="dxa"/>
          </w:tcPr>
          <w:p w14:paraId="753EF8B1" w14:textId="77777777" w:rsidR="00CF04BC" w:rsidRPr="00B93493" w:rsidRDefault="00CF04BC" w:rsidP="002E7F54">
            <w:pPr>
              <w:pStyle w:val="Tabletext"/>
              <w:jc w:val="center"/>
            </w:pPr>
            <w:r w:rsidRPr="00B93493">
              <w:t>44</w:t>
            </w:r>
          </w:p>
        </w:tc>
        <w:tc>
          <w:tcPr>
            <w:tcW w:w="1191" w:type="dxa"/>
          </w:tcPr>
          <w:p w14:paraId="0BD79E82" w14:textId="77777777" w:rsidR="00CF04BC" w:rsidRPr="00B93493" w:rsidRDefault="00CF04BC" w:rsidP="002E7F54">
            <w:pPr>
              <w:pStyle w:val="Tabletext"/>
              <w:jc w:val="center"/>
            </w:pPr>
            <w:r w:rsidRPr="00B93493">
              <w:t>53</w:t>
            </w:r>
          </w:p>
        </w:tc>
        <w:tc>
          <w:tcPr>
            <w:tcW w:w="1191" w:type="dxa"/>
          </w:tcPr>
          <w:p w14:paraId="69E88C9C" w14:textId="77777777" w:rsidR="00CF04BC" w:rsidRPr="00B93493" w:rsidRDefault="00CF04BC" w:rsidP="002E7F54">
            <w:pPr>
              <w:pStyle w:val="Tabletext"/>
              <w:jc w:val="center"/>
            </w:pPr>
            <w:r w:rsidRPr="00B93493">
              <w:t>64</w:t>
            </w:r>
          </w:p>
        </w:tc>
        <w:tc>
          <w:tcPr>
            <w:tcW w:w="1191" w:type="dxa"/>
          </w:tcPr>
          <w:p w14:paraId="19671D08" w14:textId="77777777" w:rsidR="00CF04BC" w:rsidRPr="00B93493" w:rsidRDefault="00CF04BC" w:rsidP="002E7F54">
            <w:pPr>
              <w:pStyle w:val="Tabletext"/>
              <w:jc w:val="center"/>
            </w:pPr>
            <w:r w:rsidRPr="00B93493">
              <w:t>80</w:t>
            </w:r>
          </w:p>
        </w:tc>
      </w:tr>
      <w:tr w:rsidR="00CF04BC" w:rsidRPr="00B93493" w14:paraId="7E28D656" w14:textId="77777777" w:rsidTr="002E7F54">
        <w:trPr>
          <w:cantSplit/>
          <w:trHeight w:val="20"/>
          <w:jc w:val="center"/>
        </w:trPr>
        <w:tc>
          <w:tcPr>
            <w:tcW w:w="1247" w:type="dxa"/>
          </w:tcPr>
          <w:p w14:paraId="380EED38" w14:textId="77777777" w:rsidR="00CF04BC" w:rsidRPr="00B93493" w:rsidRDefault="00CF04BC" w:rsidP="002E7F54">
            <w:pPr>
              <w:pStyle w:val="Tabletext"/>
              <w:jc w:val="center"/>
            </w:pPr>
            <w:r w:rsidRPr="00B93493">
              <w:t>50</w:t>
            </w:r>
          </w:p>
        </w:tc>
        <w:tc>
          <w:tcPr>
            <w:tcW w:w="1247" w:type="dxa"/>
          </w:tcPr>
          <w:p w14:paraId="2FAF45CD" w14:textId="77777777" w:rsidR="00CF04BC" w:rsidRPr="00B93493" w:rsidRDefault="00CF04BC" w:rsidP="002E7F54">
            <w:pPr>
              <w:pStyle w:val="Tabletext"/>
              <w:jc w:val="center"/>
            </w:pPr>
            <w:r w:rsidRPr="00B93493">
              <w:t>Land</w:t>
            </w:r>
          </w:p>
        </w:tc>
        <w:tc>
          <w:tcPr>
            <w:tcW w:w="1191" w:type="dxa"/>
          </w:tcPr>
          <w:p w14:paraId="721595BF" w14:textId="77777777" w:rsidR="00CF04BC" w:rsidRPr="00B93493" w:rsidRDefault="00CF04BC" w:rsidP="002E7F54">
            <w:pPr>
              <w:pStyle w:val="Tabletext"/>
              <w:jc w:val="center"/>
            </w:pPr>
            <w:r w:rsidRPr="00B93493">
              <w:t>15</w:t>
            </w:r>
          </w:p>
        </w:tc>
        <w:tc>
          <w:tcPr>
            <w:tcW w:w="1191" w:type="dxa"/>
          </w:tcPr>
          <w:p w14:paraId="411EBD25" w14:textId="77777777" w:rsidR="00CF04BC" w:rsidRPr="00B93493" w:rsidRDefault="00CF04BC" w:rsidP="002E7F54">
            <w:pPr>
              <w:pStyle w:val="Tabletext"/>
              <w:jc w:val="center"/>
            </w:pPr>
            <w:r w:rsidRPr="00B93493">
              <w:t>19</w:t>
            </w:r>
          </w:p>
        </w:tc>
        <w:tc>
          <w:tcPr>
            <w:tcW w:w="1191" w:type="dxa"/>
          </w:tcPr>
          <w:p w14:paraId="534AF88D" w14:textId="77777777" w:rsidR="00CF04BC" w:rsidRPr="00B93493" w:rsidRDefault="00CF04BC" w:rsidP="002E7F54">
            <w:pPr>
              <w:pStyle w:val="Tabletext"/>
              <w:jc w:val="center"/>
            </w:pPr>
            <w:r w:rsidRPr="00B93493">
              <w:t>27</w:t>
            </w:r>
          </w:p>
        </w:tc>
        <w:tc>
          <w:tcPr>
            <w:tcW w:w="1191" w:type="dxa"/>
          </w:tcPr>
          <w:p w14:paraId="7E2E1754" w14:textId="77777777" w:rsidR="00CF04BC" w:rsidRPr="00B93493" w:rsidRDefault="00CF04BC" w:rsidP="002E7F54">
            <w:pPr>
              <w:pStyle w:val="Tabletext"/>
              <w:jc w:val="center"/>
            </w:pPr>
            <w:r w:rsidRPr="00B93493">
              <w:t>35</w:t>
            </w:r>
          </w:p>
        </w:tc>
        <w:tc>
          <w:tcPr>
            <w:tcW w:w="1191" w:type="dxa"/>
          </w:tcPr>
          <w:p w14:paraId="4941F71D" w14:textId="77777777" w:rsidR="00CF04BC" w:rsidRPr="00B93493" w:rsidRDefault="00CF04BC" w:rsidP="002E7F54">
            <w:pPr>
              <w:pStyle w:val="Tabletext"/>
              <w:jc w:val="center"/>
            </w:pPr>
            <w:r w:rsidRPr="00B93493">
              <w:t>47</w:t>
            </w:r>
          </w:p>
        </w:tc>
        <w:tc>
          <w:tcPr>
            <w:tcW w:w="1191" w:type="dxa"/>
          </w:tcPr>
          <w:p w14:paraId="02B1E848" w14:textId="77777777" w:rsidR="00CF04BC" w:rsidRPr="00B93493" w:rsidRDefault="00CF04BC" w:rsidP="002E7F54">
            <w:pPr>
              <w:pStyle w:val="Tabletext"/>
              <w:jc w:val="center"/>
            </w:pPr>
            <w:r w:rsidRPr="00B93493">
              <w:t>61</w:t>
            </w:r>
          </w:p>
        </w:tc>
      </w:tr>
      <w:tr w:rsidR="00CF04BC" w:rsidRPr="00B93493" w14:paraId="022D4258" w14:textId="77777777" w:rsidTr="002E7F54">
        <w:trPr>
          <w:cantSplit/>
          <w:trHeight w:val="20"/>
          <w:jc w:val="center"/>
        </w:trPr>
        <w:tc>
          <w:tcPr>
            <w:tcW w:w="1247" w:type="dxa"/>
          </w:tcPr>
          <w:p w14:paraId="7FB3ACAF" w14:textId="77777777" w:rsidR="00CF04BC" w:rsidRPr="00B93493" w:rsidRDefault="00CF04BC" w:rsidP="002E7F54">
            <w:pPr>
              <w:pStyle w:val="Tabletext"/>
              <w:jc w:val="center"/>
            </w:pPr>
          </w:p>
        </w:tc>
        <w:tc>
          <w:tcPr>
            <w:tcW w:w="1247" w:type="dxa"/>
          </w:tcPr>
          <w:p w14:paraId="2AF4A7B1" w14:textId="77777777" w:rsidR="00CF04BC" w:rsidRPr="00B93493" w:rsidRDefault="00CF04BC" w:rsidP="002E7F54">
            <w:pPr>
              <w:pStyle w:val="Tabletext"/>
              <w:jc w:val="center"/>
            </w:pPr>
            <w:r w:rsidRPr="00B93493">
              <w:t>Sea</w:t>
            </w:r>
          </w:p>
        </w:tc>
        <w:tc>
          <w:tcPr>
            <w:tcW w:w="1191" w:type="dxa"/>
          </w:tcPr>
          <w:p w14:paraId="06D1FD5B" w14:textId="77777777" w:rsidR="00CF04BC" w:rsidRPr="00B93493" w:rsidRDefault="00CF04BC" w:rsidP="002E7F54">
            <w:pPr>
              <w:pStyle w:val="Tabletext"/>
              <w:jc w:val="center"/>
            </w:pPr>
            <w:r w:rsidRPr="00B93493">
              <w:t>32</w:t>
            </w:r>
          </w:p>
        </w:tc>
        <w:tc>
          <w:tcPr>
            <w:tcW w:w="1191" w:type="dxa"/>
          </w:tcPr>
          <w:p w14:paraId="40F14D8C" w14:textId="77777777" w:rsidR="00CF04BC" w:rsidRPr="00B93493" w:rsidRDefault="00CF04BC" w:rsidP="002E7F54">
            <w:pPr>
              <w:pStyle w:val="Tabletext"/>
              <w:jc w:val="center"/>
            </w:pPr>
            <w:r w:rsidRPr="00B93493">
              <w:t>37</w:t>
            </w:r>
          </w:p>
        </w:tc>
        <w:tc>
          <w:tcPr>
            <w:tcW w:w="1191" w:type="dxa"/>
          </w:tcPr>
          <w:p w14:paraId="0438C443" w14:textId="77777777" w:rsidR="00CF04BC" w:rsidRPr="00B93493" w:rsidRDefault="00CF04BC" w:rsidP="002E7F54">
            <w:pPr>
              <w:pStyle w:val="Tabletext"/>
              <w:jc w:val="center"/>
            </w:pPr>
            <w:r w:rsidRPr="00B93493">
              <w:t>45</w:t>
            </w:r>
          </w:p>
        </w:tc>
        <w:tc>
          <w:tcPr>
            <w:tcW w:w="1191" w:type="dxa"/>
          </w:tcPr>
          <w:p w14:paraId="10CDEDFF" w14:textId="77777777" w:rsidR="00CF04BC" w:rsidRPr="00B93493" w:rsidRDefault="00CF04BC" w:rsidP="002E7F54">
            <w:pPr>
              <w:pStyle w:val="Tabletext"/>
              <w:jc w:val="center"/>
            </w:pPr>
            <w:r w:rsidRPr="00B93493">
              <w:t>55</w:t>
            </w:r>
          </w:p>
        </w:tc>
        <w:tc>
          <w:tcPr>
            <w:tcW w:w="1191" w:type="dxa"/>
          </w:tcPr>
          <w:p w14:paraId="47301731" w14:textId="77777777" w:rsidR="00CF04BC" w:rsidRPr="00B93493" w:rsidRDefault="00CF04BC" w:rsidP="002E7F54">
            <w:pPr>
              <w:pStyle w:val="Tabletext"/>
              <w:jc w:val="center"/>
            </w:pPr>
            <w:r w:rsidRPr="00B93493">
              <w:t>66</w:t>
            </w:r>
          </w:p>
        </w:tc>
        <w:tc>
          <w:tcPr>
            <w:tcW w:w="1191" w:type="dxa"/>
          </w:tcPr>
          <w:p w14:paraId="1AF69E8D" w14:textId="77777777" w:rsidR="00CF04BC" w:rsidRPr="00B93493" w:rsidRDefault="00CF04BC" w:rsidP="002E7F54">
            <w:pPr>
              <w:pStyle w:val="Tabletext"/>
              <w:jc w:val="center"/>
            </w:pPr>
            <w:r w:rsidRPr="00B93493">
              <w:t>82</w:t>
            </w:r>
          </w:p>
        </w:tc>
      </w:tr>
    </w:tbl>
    <w:p w14:paraId="1D56E983" w14:textId="77777777" w:rsidR="00CF04BC" w:rsidRPr="00B93493" w:rsidRDefault="00CF04BC" w:rsidP="00CF04BC">
      <w:pPr>
        <w:pStyle w:val="Tablefin"/>
      </w:pPr>
    </w:p>
    <w:p w14:paraId="2A48FB45" w14:textId="41408D2D" w:rsidR="00CF04BC" w:rsidRPr="00B93493" w:rsidRDefault="00CF04BC" w:rsidP="00CF04BC">
      <w:r w:rsidRPr="00B93493">
        <w:t>It is necessary to note that a land half-circle area of a coast station is only occupied but not service one because there are no ship stations there. Therefore</w:t>
      </w:r>
      <w:r>
        <w:rPr>
          <w:rFonts w:hint="eastAsia"/>
          <w:lang w:eastAsia="zh-CN"/>
        </w:rPr>
        <w:t>,</w:t>
      </w:r>
      <w:r w:rsidRPr="00B93493">
        <w:t xml:space="preserve"> its subdivision to different zones belonging to different license fees categories (like it is presented in </w:t>
      </w:r>
      <w:bookmarkStart w:id="1901" w:name="OLE_LINK1"/>
      <w:bookmarkStart w:id="1902" w:name="OLE_LINK2"/>
      <w:r w:rsidRPr="00B93493">
        <w:t>§ 4.7.1</w:t>
      </w:r>
      <w:bookmarkEnd w:id="1901"/>
      <w:bookmarkEnd w:id="1902"/>
      <w:r w:rsidR="006C0CF6">
        <w:t xml:space="preserve"> </w:t>
      </w:r>
      <w:r w:rsidRPr="00B93493">
        <w:t xml:space="preserve">c)) can be eliminated and the only one category, corresponding to the largest occupied area, can be used. Moreover, an administration may decide not to include this land half-circle area to territorial resource used. In this case radius </w:t>
      </w:r>
      <w:r w:rsidRPr="00B93493">
        <w:rPr>
          <w:i/>
          <w:iCs/>
        </w:rPr>
        <w:t>R</w:t>
      </w:r>
      <w:r w:rsidRPr="00B93493">
        <w:rPr>
          <w:i/>
          <w:iCs/>
          <w:vertAlign w:val="subscript"/>
        </w:rPr>
        <w:t xml:space="preserve">l </w:t>
      </w:r>
      <w:r w:rsidRPr="00B93493">
        <w:t xml:space="preserve"> in equation (47) should be equal zero.</w:t>
      </w:r>
    </w:p>
    <w:p w14:paraId="4CDC44C8" w14:textId="77777777" w:rsidR="00CF04BC" w:rsidRPr="00B93493" w:rsidRDefault="00CF04BC" w:rsidP="00CF04BC">
      <w:r w:rsidRPr="00B93493">
        <w:t>For coast stations situated along rivers or and rather narrow lakes the whole circular service/ occupied are is calculated by land propagation paths radius, i.e.:</w:t>
      </w:r>
    </w:p>
    <w:p w14:paraId="394787C5" w14:textId="149FEF5E" w:rsidR="00CF04BC" w:rsidRPr="00B93493" w:rsidRDefault="00EF1A91" w:rsidP="00CF04BC">
      <w:pPr>
        <w:pStyle w:val="Equation"/>
      </w:pPr>
      <w:r>
        <w:tab/>
      </w:r>
      <w:r w:rsidR="00CF04BC" w:rsidRPr="00B93493">
        <w:tab/>
      </w:r>
      <m:oMath>
        <m:r>
          <w:rPr>
            <w:rFonts w:ascii="Cambria Math" w:hAnsi="Cambria Math"/>
          </w:rPr>
          <m:t>S=</m:t>
        </m:r>
        <m:r>
          <m:rPr>
            <m:sty m:val="p"/>
          </m:rP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l</m:t>
            </m:r>
          </m:sub>
          <m:sup>
            <m:r>
              <w:rPr>
                <w:rFonts w:ascii="Cambria Math" w:hAnsi="Cambria Math"/>
              </w:rPr>
              <m:t>2</m:t>
            </m:r>
          </m:sup>
        </m:sSubSup>
      </m:oMath>
      <w:r>
        <w:t xml:space="preserve">       km</w:t>
      </w:r>
      <w:r w:rsidRPr="00EF1A91">
        <w:rPr>
          <w:vertAlign w:val="superscript"/>
        </w:rPr>
        <w:t>2</w:t>
      </w:r>
      <w:r w:rsidR="00CF04BC" w:rsidRPr="00B93493">
        <w:tab/>
        <w:t>(48)</w:t>
      </w:r>
    </w:p>
    <w:p w14:paraId="0830659D" w14:textId="77777777" w:rsidR="00CF04BC" w:rsidRPr="00B93493" w:rsidRDefault="00CF04BC" w:rsidP="00CF04BC">
      <w:pPr>
        <w:pStyle w:val="Headingb"/>
      </w:pPr>
      <w:bookmarkStart w:id="1903" w:name="_Toc454284923"/>
      <w:bookmarkStart w:id="1904" w:name="_Toc462234092"/>
      <w:r w:rsidRPr="00B93493">
        <w:t>b)</w:t>
      </w:r>
      <w:r w:rsidRPr="00B93493">
        <w:tab/>
        <w:t>Calculation procedures</w:t>
      </w:r>
      <w:bookmarkEnd w:id="1903"/>
      <w:bookmarkEnd w:id="1904"/>
    </w:p>
    <w:p w14:paraId="43B6F1BB" w14:textId="10A6347E" w:rsidR="00CF04BC" w:rsidRPr="00B93493" w:rsidRDefault="00CF04BC" w:rsidP="00CF04BC">
      <w:r w:rsidRPr="00B93493">
        <w:t>Using known transmitter power and its antenna height above the sea level, relevant service area radius by see can be determined directly from Table 1</w:t>
      </w:r>
      <w:r>
        <w:rPr>
          <w:rFonts w:hint="eastAsia"/>
          <w:lang w:eastAsia="zh-CN"/>
        </w:rPr>
        <w:t>3</w:t>
      </w:r>
      <w:r w:rsidRPr="00B93493">
        <w:t xml:space="preserve">. The usual procedure of linear interpolation can be used for intermediate power and height values. Based on this radius service area for a ship station or see half-circle service area for a coast station can be calculated by equations (46) or (47). For determination of a land half-circle radius for the coast station, antenna effective height against the terrain should be firstly calculated in accordance with methodology presented in </w:t>
      </w:r>
      <w:r w:rsidR="00BD2851">
        <w:t>a</w:t>
      </w:r>
      <w:r w:rsidRPr="00B93493">
        <w:t>). For this particular application, the procedure can be simplified by calculation of effective terrain height only in one direction to be perpendicular to a generalized shoreline (see example below). After determination by Table 1</w:t>
      </w:r>
      <w:r>
        <w:rPr>
          <w:rFonts w:hint="eastAsia"/>
          <w:lang w:eastAsia="zh-CN"/>
        </w:rPr>
        <w:t>3</w:t>
      </w:r>
      <w:r w:rsidRPr="00B93493">
        <w:t xml:space="preserve"> of relevant land half-circle radius, overall service/occupied area then can be calculated by equation (47).</w:t>
      </w:r>
    </w:p>
    <w:p w14:paraId="5C646787" w14:textId="77777777" w:rsidR="00CF04BC" w:rsidRPr="00B93493" w:rsidRDefault="00CF04BC" w:rsidP="00CF04BC">
      <w:pPr>
        <w:pStyle w:val="Heading4"/>
      </w:pPr>
      <w:r w:rsidRPr="00B93493">
        <w:t>4.7.5.1</w:t>
      </w:r>
      <w:r w:rsidRPr="00B93493">
        <w:tab/>
        <w:t>Example of calculations</w:t>
      </w:r>
    </w:p>
    <w:p w14:paraId="12E482A8" w14:textId="77777777" w:rsidR="00CF04BC" w:rsidRPr="00B93493" w:rsidRDefault="00CF04BC" w:rsidP="00CF04BC">
      <w:pPr>
        <w:pStyle w:val="Headingb"/>
      </w:pPr>
      <w:bookmarkStart w:id="1905" w:name="_Toc454284924"/>
      <w:bookmarkStart w:id="1906" w:name="_Toc462234093"/>
      <w:r w:rsidRPr="00B93493">
        <w:t>a)</w:t>
      </w:r>
      <w:r w:rsidRPr="00B93493">
        <w:tab/>
        <w:t>Incoming parameters</w:t>
      </w:r>
      <w:bookmarkEnd w:id="1905"/>
      <w:bookmarkEnd w:id="1906"/>
    </w:p>
    <w:p w14:paraId="63752DFD" w14:textId="3D3B32F7" w:rsidR="00CF04BC" w:rsidRPr="00B93493" w:rsidRDefault="00CF04BC" w:rsidP="00CF04BC">
      <w:r w:rsidRPr="00B93493">
        <w:t xml:space="preserve">Let us calculate a spectral resource used by a VHF coast station situated in rural but highly developed area (let coefficient </w:t>
      </w:r>
      <w:r w:rsidRPr="00B93493">
        <w:rPr>
          <w:i/>
          <w:iCs/>
        </w:rPr>
        <w:t>b</w:t>
      </w:r>
      <w:r w:rsidRPr="00B93493">
        <w:rPr>
          <w:i/>
          <w:iCs/>
          <w:vertAlign w:val="subscript"/>
        </w:rPr>
        <w:t xml:space="preserve">j </w:t>
      </w:r>
      <w:r w:rsidRPr="00B93493">
        <w:t xml:space="preserve">= 1 in Table </w:t>
      </w:r>
      <w:r>
        <w:rPr>
          <w:rFonts w:hint="eastAsia"/>
          <w:lang w:eastAsia="zh-CN"/>
        </w:rPr>
        <w:t>2</w:t>
      </w:r>
      <w:r w:rsidRPr="00B93493">
        <w:t>) near the shoreline generally stretched in East to West direction, see is southward. Let us assume that transmitting antenna, having mast height 30 m, situated at the top of a hill with ground height 270 m above the sea level. Terrain situation around the transmitter corresponds to example presented in b), i.e. effective height of the ground between distances of 3 and 15 km in the northern direction from the transmitter, calculated from column “North” of Table</w:t>
      </w:r>
      <w:r w:rsidR="000973D9">
        <w:t> </w:t>
      </w:r>
      <w:r w:rsidRPr="00B93493">
        <w:t>1</w:t>
      </w:r>
      <w:r>
        <w:rPr>
          <w:rFonts w:hint="eastAsia"/>
          <w:lang w:eastAsia="zh-CN"/>
        </w:rPr>
        <w:t>1</w:t>
      </w:r>
      <w:r w:rsidRPr="00B93493">
        <w:t>, equals to 265 m. In accordance with § 4.7.1</w:t>
      </w:r>
      <w:r w:rsidR="006C0CF6">
        <w:t xml:space="preserve"> </w:t>
      </w:r>
      <w:r w:rsidRPr="00B93493">
        <w:t xml:space="preserve">b) for this application it represents average level of the ground, </w:t>
      </w:r>
      <w:r w:rsidRPr="00B93493">
        <w:rPr>
          <w:i/>
        </w:rPr>
        <w:t>h</w:t>
      </w:r>
      <w:r w:rsidRPr="00B93493">
        <w:rPr>
          <w:i/>
          <w:vertAlign w:val="subscript"/>
        </w:rPr>
        <w:t>av</w:t>
      </w:r>
      <w:r w:rsidRPr="00B93493">
        <w:t>, in equation (30).</w:t>
      </w:r>
    </w:p>
    <w:p w14:paraId="21721D47" w14:textId="77777777" w:rsidR="00CF04BC" w:rsidRPr="00B93493" w:rsidRDefault="00CF04BC" w:rsidP="00CF04BC">
      <w:pPr>
        <w:rPr>
          <w:b/>
          <w:bCs/>
        </w:rPr>
      </w:pPr>
      <w:r w:rsidRPr="00B93493">
        <w:t xml:space="preserve">Let us further assume that the transmitter power is 50 W and it works around the clock. Modulation conditions correspond to Recommendation ITU-R M.489-2: class of emission F3E, deviation </w:t>
      </w:r>
      <w:r w:rsidRPr="00B93493">
        <w:sym w:font="Symbol" w:char="F0B1"/>
      </w:r>
      <w:r w:rsidRPr="00B93493">
        <w:t>5 kHz, necessary bandwidth 16 kHz. That also corresponds to Recommendation ITU</w:t>
      </w:r>
      <w:r w:rsidRPr="00B93493">
        <w:noBreakHyphen/>
        <w:t>R SM.1138</w:t>
      </w:r>
      <w:r w:rsidRPr="00B93493">
        <w:noBreakHyphen/>
        <w:t>2 under Section III-A “Frequency modulation”, Item 2 “Telephony (commercial quality)” (class of emission F3E).</w:t>
      </w:r>
    </w:p>
    <w:p w14:paraId="31D9E285" w14:textId="77777777" w:rsidR="00CF04BC" w:rsidRPr="00B93493" w:rsidRDefault="00CF04BC" w:rsidP="00CF04BC">
      <w:pPr>
        <w:pStyle w:val="Headingb"/>
        <w:rPr>
          <w:rFonts w:eastAsia="SimSun"/>
        </w:rPr>
      </w:pPr>
      <w:bookmarkStart w:id="1907" w:name="_Toc462234094"/>
      <w:bookmarkStart w:id="1908" w:name="_Toc454284925"/>
      <w:r w:rsidRPr="00B93493">
        <w:rPr>
          <w:rFonts w:eastAsia="SimSun"/>
        </w:rPr>
        <w:t>b)</w:t>
      </w:r>
      <w:r w:rsidRPr="00B93493">
        <w:rPr>
          <w:rFonts w:eastAsia="SimSun"/>
        </w:rPr>
        <w:tab/>
        <w:t>Time and frequency resources used</w:t>
      </w:r>
      <w:bookmarkEnd w:id="1907"/>
      <w:bookmarkEnd w:id="1908"/>
    </w:p>
    <w:p w14:paraId="0ED3C4DD" w14:textId="77777777" w:rsidR="00CF04BC" w:rsidRPr="00B93493" w:rsidRDefault="00CF04BC" w:rsidP="00CF04BC">
      <w:r w:rsidRPr="00B93493">
        <w:t>In accordance with equation (21), used time resource is:</w:t>
      </w:r>
    </w:p>
    <w:p w14:paraId="6D33FCC4" w14:textId="77777777" w:rsidR="00CF04BC" w:rsidRPr="00B93493" w:rsidRDefault="00CF04BC" w:rsidP="00CF04BC">
      <w:pPr>
        <w:pStyle w:val="Blanc"/>
      </w:pPr>
    </w:p>
    <w:p w14:paraId="7E74EB07" w14:textId="77777777" w:rsidR="00CF04BC" w:rsidRPr="00B93493" w:rsidRDefault="00CF04BC" w:rsidP="00CF04BC">
      <w:pPr>
        <w:pStyle w:val="Equation"/>
      </w:pPr>
      <w:r w:rsidRPr="00B93493">
        <w:tab/>
      </w:r>
      <w:r w:rsidRPr="00B93493">
        <w:tab/>
      </w:r>
      <w:r w:rsidRPr="00B93493">
        <w:rPr>
          <w:i/>
        </w:rPr>
        <w:t>T</w:t>
      </w:r>
      <w:r w:rsidRPr="00B93493">
        <w:t xml:space="preserve"> = 24/24 (each day) = 1 year</w:t>
      </w:r>
    </w:p>
    <w:p w14:paraId="6669673F" w14:textId="77777777" w:rsidR="00CF04BC" w:rsidRPr="00B93493" w:rsidRDefault="00CF04BC" w:rsidP="00CF04BC">
      <w:pPr>
        <w:pStyle w:val="Blanc"/>
      </w:pPr>
    </w:p>
    <w:p w14:paraId="74AAD7E4" w14:textId="77777777" w:rsidR="00CF04BC" w:rsidRPr="00B93493" w:rsidRDefault="00CF04BC" w:rsidP="00CF04BC">
      <w:r w:rsidRPr="00B93493">
        <w:t>Used frequency resource, accepting in equation (24) </w:t>
      </w:r>
      <w:r w:rsidRPr="00B93493">
        <w:sym w:font="Symbol" w:char="F063"/>
      </w:r>
      <w:r w:rsidRPr="00B93493">
        <w:t xml:space="preserve"> = 1, can be found as:</w:t>
      </w:r>
    </w:p>
    <w:p w14:paraId="59293745" w14:textId="77777777" w:rsidR="00CF04BC" w:rsidRPr="00B93493" w:rsidRDefault="00CF04BC" w:rsidP="00CF04BC">
      <w:pPr>
        <w:pStyle w:val="Blanc"/>
      </w:pPr>
    </w:p>
    <w:p w14:paraId="1D3A2C35" w14:textId="77777777" w:rsidR="00CF04BC" w:rsidRPr="00B93493" w:rsidRDefault="00CF04BC" w:rsidP="00CF04BC">
      <w:pPr>
        <w:pStyle w:val="Equation"/>
      </w:pPr>
      <w:r w:rsidRPr="00B93493">
        <w:tab/>
      </w:r>
      <w:r w:rsidRPr="00B93493">
        <w:tab/>
      </w:r>
      <w:r w:rsidRPr="00B93493">
        <w:rPr>
          <w:i/>
        </w:rPr>
        <w:t>F</w:t>
      </w:r>
      <w:r w:rsidRPr="00B93493">
        <w:t xml:space="preserve"> =  0.016 MHz</w:t>
      </w:r>
    </w:p>
    <w:p w14:paraId="5BBEB46F" w14:textId="77777777" w:rsidR="00CF04BC" w:rsidRPr="00B93493" w:rsidRDefault="00CF04BC" w:rsidP="00CF04BC">
      <w:pPr>
        <w:pStyle w:val="Blanc"/>
      </w:pPr>
    </w:p>
    <w:p w14:paraId="3E1CF598" w14:textId="77777777" w:rsidR="00CF04BC" w:rsidRPr="00B93493" w:rsidRDefault="00CF04BC" w:rsidP="00CF04BC">
      <w:pPr>
        <w:pStyle w:val="Headingb"/>
        <w:rPr>
          <w:rFonts w:eastAsia="SimSun"/>
        </w:rPr>
      </w:pPr>
      <w:bookmarkStart w:id="1909" w:name="_Toc462234095"/>
      <w:bookmarkStart w:id="1910" w:name="_Toc454284926"/>
      <w:r w:rsidRPr="00B93493">
        <w:rPr>
          <w:rFonts w:eastAsia="SimSun"/>
        </w:rPr>
        <w:t>c)</w:t>
      </w:r>
      <w:r w:rsidRPr="00B93493">
        <w:rPr>
          <w:rFonts w:eastAsia="SimSun"/>
        </w:rPr>
        <w:tab/>
        <w:t>Territorial resource used</w:t>
      </w:r>
      <w:bookmarkEnd w:id="1909"/>
      <w:bookmarkEnd w:id="1910"/>
    </w:p>
    <w:p w14:paraId="780697F0" w14:textId="77777777" w:rsidR="00CF04BC" w:rsidRPr="00B93493" w:rsidRDefault="00CF04BC" w:rsidP="00CF04BC">
      <w:r w:rsidRPr="00B93493">
        <w:rPr>
          <w:szCs w:val="24"/>
        </w:rPr>
        <w:t>Following approach and data presented for</w:t>
      </w:r>
      <w:r w:rsidRPr="00B93493">
        <w:t xml:space="preserve"> effective antenna height for sea propagation paths equals to sum of antenna mast and site ground heights, i.e. (see also b)):</w:t>
      </w:r>
    </w:p>
    <w:p w14:paraId="2FFFDC95" w14:textId="77777777" w:rsidR="00CF04BC" w:rsidRPr="00B93493" w:rsidRDefault="00CF04BC" w:rsidP="00CF04BC">
      <w:pPr>
        <w:pStyle w:val="Blanc"/>
      </w:pPr>
    </w:p>
    <w:p w14:paraId="05BE067E" w14:textId="77777777" w:rsidR="00CF04BC" w:rsidRPr="00B93493" w:rsidRDefault="00CF04BC" w:rsidP="00CF04BC">
      <w:pPr>
        <w:pStyle w:val="Equation"/>
      </w:pPr>
      <w:r w:rsidRPr="00B93493">
        <w:tab/>
      </w:r>
      <w:r w:rsidRPr="00B93493">
        <w:tab/>
      </w:r>
      <w:r w:rsidRPr="00B93493">
        <w:rPr>
          <w:i/>
        </w:rPr>
        <w:t>h</w:t>
      </w:r>
      <w:r w:rsidRPr="00B93493">
        <w:rPr>
          <w:i/>
          <w:vertAlign w:val="subscript"/>
        </w:rPr>
        <w:t>ef</w:t>
      </w:r>
      <w:r w:rsidRPr="00B93493">
        <w:t xml:space="preserve"> = </w:t>
      </w:r>
      <w:r w:rsidRPr="00B93493">
        <w:rPr>
          <w:i/>
        </w:rPr>
        <w:t>h</w:t>
      </w:r>
      <w:r w:rsidRPr="00B93493">
        <w:rPr>
          <w:i/>
          <w:vertAlign w:val="subscript"/>
        </w:rPr>
        <w:t>s</w:t>
      </w:r>
      <w:r w:rsidRPr="00B93493">
        <w:t xml:space="preserve"> = 30 + 230 = 300 m</w:t>
      </w:r>
    </w:p>
    <w:p w14:paraId="660BB263" w14:textId="77777777" w:rsidR="00CF04BC" w:rsidRPr="00B93493" w:rsidRDefault="00CF04BC" w:rsidP="00CF04BC">
      <w:pPr>
        <w:pStyle w:val="Blanc"/>
      </w:pPr>
    </w:p>
    <w:p w14:paraId="69C77D05" w14:textId="77777777" w:rsidR="00CF04BC" w:rsidRPr="00B93493" w:rsidRDefault="00CF04BC" w:rsidP="00CF04BC">
      <w:r w:rsidRPr="00B93493">
        <w:t>From Table 1</w:t>
      </w:r>
      <w:r>
        <w:rPr>
          <w:rFonts w:hint="eastAsia"/>
          <w:lang w:eastAsia="zh-CN"/>
        </w:rPr>
        <w:t>3</w:t>
      </w:r>
      <w:r w:rsidRPr="00B93493">
        <w:t xml:space="preserve"> for transmitter with power 50 W and antenna height 300 m, sea propagation paths, it follows: </w:t>
      </w:r>
      <w:r w:rsidRPr="00B93493">
        <w:rPr>
          <w:i/>
        </w:rPr>
        <w:t>R</w:t>
      </w:r>
      <w:r w:rsidRPr="00B93493">
        <w:rPr>
          <w:i/>
          <w:vertAlign w:val="subscript"/>
        </w:rPr>
        <w:t>s</w:t>
      </w:r>
      <w:r w:rsidRPr="00B93493">
        <w:t xml:space="preserve"> = 82 km.</w:t>
      </w:r>
    </w:p>
    <w:p w14:paraId="251408BA" w14:textId="77777777" w:rsidR="00CF04BC" w:rsidRPr="00B93493" w:rsidRDefault="00CF04BC" w:rsidP="00CF04BC">
      <w:r w:rsidRPr="00B93493">
        <w:t>For land propagation paths in accordance with data and equation (30):</w:t>
      </w:r>
    </w:p>
    <w:p w14:paraId="0C9F8E3B" w14:textId="77777777" w:rsidR="00CF04BC" w:rsidRPr="00B93493" w:rsidRDefault="00CF04BC" w:rsidP="00CF04BC">
      <w:pPr>
        <w:pStyle w:val="Blanc"/>
      </w:pPr>
    </w:p>
    <w:p w14:paraId="60202BEC" w14:textId="77777777" w:rsidR="00CF04BC" w:rsidRPr="00B93493" w:rsidRDefault="00CF04BC" w:rsidP="00CF04BC">
      <w:pPr>
        <w:pStyle w:val="Equation"/>
      </w:pPr>
      <w:r w:rsidRPr="00B93493">
        <w:rPr>
          <w:i/>
        </w:rPr>
        <w:tab/>
      </w:r>
      <w:r w:rsidRPr="00B93493">
        <w:rPr>
          <w:i/>
        </w:rPr>
        <w:tab/>
        <w:t>h</w:t>
      </w:r>
      <w:r w:rsidRPr="00B93493">
        <w:rPr>
          <w:i/>
          <w:vertAlign w:val="subscript"/>
        </w:rPr>
        <w:t>ef</w:t>
      </w:r>
      <w:r w:rsidRPr="00B93493">
        <w:t xml:space="preserve"> = 300 m – 265 m = 35 m </w:t>
      </w:r>
      <w:r w:rsidRPr="00B93493">
        <w:rPr>
          <w:position w:val="-4"/>
        </w:rPr>
        <w:object w:dxaOrig="191" w:dyaOrig="191" w14:anchorId="65CBBC04">
          <v:shape id="_x0000_i1054" type="#_x0000_t75" style="width:8.65pt;height:8.65pt" o:ole="">
            <v:imagedata r:id="rId89" o:title=""/>
          </v:shape>
          <o:OLEObject Type="Embed" ProgID="Equation.3" ShapeID="_x0000_i1054" DrawAspect="Content" ObjectID="_1812968336" r:id="rId90"/>
        </w:object>
      </w:r>
      <w:r w:rsidRPr="00B93493">
        <w:t xml:space="preserve"> 37.5 m</w:t>
      </w:r>
    </w:p>
    <w:p w14:paraId="4D41E94E" w14:textId="77777777" w:rsidR="00CF04BC" w:rsidRPr="00B93493" w:rsidRDefault="00CF04BC" w:rsidP="00CF04BC">
      <w:pPr>
        <w:pStyle w:val="Blanc"/>
      </w:pPr>
    </w:p>
    <w:p w14:paraId="74A036BD" w14:textId="77777777" w:rsidR="00CF04BC" w:rsidRPr="00B93493" w:rsidRDefault="00CF04BC" w:rsidP="00CF04BC">
      <w:r w:rsidRPr="00B93493">
        <w:t>From Table 1</w:t>
      </w:r>
      <w:r>
        <w:rPr>
          <w:rFonts w:hint="eastAsia"/>
          <w:lang w:eastAsia="zh-CN"/>
        </w:rPr>
        <w:t>3</w:t>
      </w:r>
      <w:r w:rsidRPr="00B93493">
        <w:t xml:space="preserve"> for transmitter with power 50 W and antenna height 37.5 m, land propagation paths, it follows: </w:t>
      </w:r>
      <w:r w:rsidRPr="00B93493">
        <w:rPr>
          <w:i/>
        </w:rPr>
        <w:t>R</w:t>
      </w:r>
      <w:r w:rsidRPr="00B93493">
        <w:rPr>
          <w:i/>
          <w:vertAlign w:val="subscript"/>
        </w:rPr>
        <w:t>l</w:t>
      </w:r>
      <w:r w:rsidRPr="00B93493">
        <w:t xml:space="preserve"> = 27 km.</w:t>
      </w:r>
    </w:p>
    <w:p w14:paraId="4160F5F5" w14:textId="0A11835D" w:rsidR="00CF04BC" w:rsidRPr="00B93493" w:rsidRDefault="00CF04BC" w:rsidP="00CF04BC">
      <w:r w:rsidRPr="00B93493">
        <w:t xml:space="preserve">Substituting calculated radiuses to equation (47) </w:t>
      </w:r>
      <w:r w:rsidR="00092428">
        <w:t>is obtained</w:t>
      </w:r>
      <w:r w:rsidRPr="00B93493">
        <w:t>:</w:t>
      </w:r>
    </w:p>
    <w:p w14:paraId="3FC8973D" w14:textId="77777777" w:rsidR="00CF04BC" w:rsidRPr="00B93493" w:rsidRDefault="00CF04BC" w:rsidP="00CF04BC">
      <w:pPr>
        <w:pStyle w:val="Blanc"/>
      </w:pPr>
    </w:p>
    <w:p w14:paraId="0D5ED3D5" w14:textId="77777777" w:rsidR="00CF04BC" w:rsidRPr="00B93493" w:rsidRDefault="00CF04BC" w:rsidP="00CF04BC">
      <w:pPr>
        <w:pStyle w:val="Equation"/>
      </w:pPr>
      <w:r w:rsidRPr="00B93493">
        <w:tab/>
      </w:r>
      <w:r w:rsidRPr="00B93493">
        <w:tab/>
        <w:t xml:space="preserve">S = 0.5 </w:t>
      </w:r>
      <w:r w:rsidRPr="00B93493">
        <w:rPr>
          <w:szCs w:val="24"/>
        </w:rPr>
        <w:sym w:font="Symbol" w:char="F070"/>
      </w:r>
      <w:r w:rsidRPr="00B93493">
        <w:t xml:space="preserve"> (82</w:t>
      </w:r>
      <w:r w:rsidRPr="00B93493">
        <w:rPr>
          <w:szCs w:val="24"/>
          <w:vertAlign w:val="superscript"/>
        </w:rPr>
        <w:t>2</w:t>
      </w:r>
      <w:r w:rsidRPr="00B93493">
        <w:t xml:space="preserve"> </w:t>
      </w:r>
      <w:r w:rsidRPr="00B93493">
        <w:rPr>
          <w:szCs w:val="24"/>
        </w:rPr>
        <w:sym w:font="Symbol" w:char="F02B"/>
      </w:r>
      <w:r w:rsidRPr="00B93493">
        <w:t xml:space="preserve"> 27</w:t>
      </w:r>
      <w:r w:rsidRPr="00B93493">
        <w:rPr>
          <w:szCs w:val="24"/>
          <w:vertAlign w:val="superscript"/>
        </w:rPr>
        <w:t>2</w:t>
      </w:r>
      <w:r w:rsidRPr="00B93493">
        <w:t>) = 11 701 km</w:t>
      </w:r>
      <w:r w:rsidRPr="00B93493">
        <w:rPr>
          <w:szCs w:val="24"/>
          <w:vertAlign w:val="superscript"/>
        </w:rPr>
        <w:t>2</w:t>
      </w:r>
    </w:p>
    <w:p w14:paraId="09F14F99" w14:textId="77777777" w:rsidR="00CF04BC" w:rsidRPr="00B93493" w:rsidRDefault="00CF04BC" w:rsidP="00CF04BC">
      <w:pPr>
        <w:pStyle w:val="Blanc"/>
      </w:pPr>
    </w:p>
    <w:p w14:paraId="0987636C" w14:textId="77777777" w:rsidR="00CF04BC" w:rsidRPr="00B93493" w:rsidRDefault="00CF04BC" w:rsidP="00CF04BC">
      <w:r w:rsidRPr="00B93493">
        <w:t xml:space="preserve">and, taking into account that </w:t>
      </w:r>
      <w:r w:rsidRPr="00B93493">
        <w:rPr>
          <w:i/>
          <w:iCs/>
        </w:rPr>
        <w:t>b</w:t>
      </w:r>
      <w:r w:rsidRPr="00B93493">
        <w:rPr>
          <w:i/>
          <w:iCs/>
          <w:vertAlign w:val="subscript"/>
        </w:rPr>
        <w:t>j</w:t>
      </w:r>
      <w:r w:rsidRPr="00B93493">
        <w:t xml:space="preserve"> = 1, from equation (22) it follows:</w:t>
      </w:r>
    </w:p>
    <w:p w14:paraId="29FDDA9C" w14:textId="77777777" w:rsidR="00CF04BC" w:rsidRPr="00B93493" w:rsidRDefault="00CF04BC" w:rsidP="00CF04BC">
      <w:pPr>
        <w:pStyle w:val="Blanc"/>
      </w:pPr>
    </w:p>
    <w:p w14:paraId="0AB86B3E" w14:textId="77777777" w:rsidR="00CF04BC" w:rsidRPr="00B93493" w:rsidRDefault="00CF04BC" w:rsidP="00CF04BC">
      <w:pPr>
        <w:pStyle w:val="Equation"/>
      </w:pPr>
      <w:r w:rsidRPr="00B93493">
        <w:rPr>
          <w:i/>
          <w:iCs/>
        </w:rPr>
        <w:tab/>
      </w:r>
      <w:r w:rsidRPr="00B93493">
        <w:rPr>
          <w:i/>
          <w:iCs/>
        </w:rPr>
        <w:tab/>
        <w:t>S</w:t>
      </w:r>
      <w:r w:rsidRPr="00B93493">
        <w:t> = </w:t>
      </w:r>
      <w:r w:rsidRPr="00B93493">
        <w:rPr>
          <w:i/>
          <w:iCs/>
        </w:rPr>
        <w:t>s</w:t>
      </w:r>
      <w:r w:rsidRPr="00B93493">
        <w:t> = 11</w:t>
      </w:r>
      <w:r w:rsidRPr="00B93493">
        <w:rPr>
          <w:rFonts w:ascii="Tms Rmn" w:hAnsi="Tms Rmn"/>
          <w:sz w:val="12"/>
        </w:rPr>
        <w:t> </w:t>
      </w:r>
      <w:r w:rsidRPr="00B93493">
        <w:t xml:space="preserve">701 </w:t>
      </w:r>
      <w:r w:rsidRPr="00B93493">
        <w:rPr>
          <w:bCs/>
        </w:rPr>
        <w:t>km</w:t>
      </w:r>
      <w:r w:rsidRPr="00B93493">
        <w:rPr>
          <w:vertAlign w:val="superscript"/>
        </w:rPr>
        <w:t>2</w:t>
      </w:r>
    </w:p>
    <w:p w14:paraId="5FF6D175" w14:textId="77777777" w:rsidR="00CF04BC" w:rsidRPr="00B93493" w:rsidRDefault="00CF04BC" w:rsidP="00CF04BC">
      <w:pPr>
        <w:pStyle w:val="Blanc"/>
      </w:pPr>
    </w:p>
    <w:p w14:paraId="1ACE6E97" w14:textId="77777777" w:rsidR="00CF04BC" w:rsidRPr="00B93493" w:rsidRDefault="00CF04BC" w:rsidP="00CF04BC">
      <w:pPr>
        <w:pStyle w:val="Headingb"/>
        <w:rPr>
          <w:rFonts w:eastAsia="SimSun"/>
        </w:rPr>
      </w:pPr>
      <w:bookmarkStart w:id="1911" w:name="_Toc454284927"/>
      <w:bookmarkStart w:id="1912" w:name="_Toc462234096"/>
      <w:r w:rsidRPr="00B93493">
        <w:rPr>
          <w:rFonts w:eastAsia="SimSun"/>
        </w:rPr>
        <w:t>d)</w:t>
      </w:r>
      <w:r w:rsidRPr="00B93493">
        <w:rPr>
          <w:rFonts w:eastAsia="SimSun"/>
        </w:rPr>
        <w:tab/>
        <w:t>Spectral resource used</w:t>
      </w:r>
      <w:bookmarkEnd w:id="1911"/>
      <w:bookmarkEnd w:id="1912"/>
    </w:p>
    <w:p w14:paraId="7C755EB5" w14:textId="5C046B68" w:rsidR="00CF04BC" w:rsidRPr="00B93493" w:rsidRDefault="00CF04BC" w:rsidP="00CF04BC">
      <w:r w:rsidRPr="00B93493">
        <w:t>Substituting values calculated to equation (20), using values of weighting coefficients presented in Table</w:t>
      </w:r>
      <w:r w:rsidR="00274DB9">
        <w:t> </w:t>
      </w:r>
      <w:r>
        <w:rPr>
          <w:rFonts w:hint="eastAsia"/>
          <w:lang w:eastAsia="zh-CN"/>
        </w:rPr>
        <w:t>3</w:t>
      </w:r>
      <w:r w:rsidRPr="00B93493">
        <w:t xml:space="preserve"> and taking into account non-sharing conditions (</w:t>
      </w:r>
      <w:r w:rsidRPr="00B93493">
        <w:rPr>
          <w:rFonts w:ascii="Symbol" w:hAnsi="Symbol"/>
        </w:rPr>
        <w:t></w:t>
      </w:r>
      <w:r w:rsidRPr="00B93493">
        <w:t> </w:t>
      </w:r>
      <w:r w:rsidRPr="00B93493">
        <w:rPr>
          <w:rFonts w:ascii="Symbol" w:hAnsi="Symbol"/>
        </w:rPr>
        <w:t></w:t>
      </w:r>
      <w:r w:rsidRPr="00B93493">
        <w:t xml:space="preserve"> 1), </w:t>
      </w:r>
      <w:r w:rsidR="00092428">
        <w:t>is obtained</w:t>
      </w:r>
      <w:r w:rsidRPr="00B93493">
        <w:t>:</w:t>
      </w:r>
    </w:p>
    <w:p w14:paraId="3DBF4D60" w14:textId="77777777" w:rsidR="00CF04BC" w:rsidRPr="00B93493" w:rsidRDefault="00CF04BC" w:rsidP="00CF04BC">
      <w:pPr>
        <w:pStyle w:val="Blanc"/>
      </w:pPr>
    </w:p>
    <w:p w14:paraId="6F082D05" w14:textId="77777777" w:rsidR="00CF04BC" w:rsidRPr="00B93493" w:rsidRDefault="00CF04BC" w:rsidP="00CF04BC">
      <w:pPr>
        <w:pStyle w:val="Equation"/>
      </w:pPr>
      <w:r w:rsidRPr="00B93493">
        <w:rPr>
          <w:i/>
        </w:rPr>
        <w:tab/>
        <w:t>W</w:t>
      </w:r>
      <w:r w:rsidRPr="00B93493">
        <w:t> </w:t>
      </w:r>
      <w:r w:rsidRPr="00B93493">
        <w:rPr>
          <w:rFonts w:ascii="Symbol" w:hAnsi="Symbol"/>
        </w:rPr>
        <w:t></w:t>
      </w:r>
      <w:r w:rsidRPr="00B93493">
        <w:t> 1 × 0.2 × 0.1 × 1 × 1 × 0016 × 11</w:t>
      </w:r>
      <w:r w:rsidRPr="00B93493">
        <w:rPr>
          <w:rFonts w:ascii="Tms Rmn" w:hAnsi="Tms Rmn"/>
          <w:sz w:val="12"/>
        </w:rPr>
        <w:t> </w:t>
      </w:r>
      <w:r w:rsidRPr="00B93493">
        <w:t xml:space="preserve">701 × 1 = 3.7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p>
    <w:p w14:paraId="27B40E28" w14:textId="77777777" w:rsidR="00CF04BC" w:rsidRPr="00B93493" w:rsidRDefault="00CF04BC" w:rsidP="00CF04BC">
      <w:pPr>
        <w:pStyle w:val="Heading3"/>
        <w:rPr>
          <w:rFonts w:eastAsia="SimSun"/>
          <w:lang w:eastAsia="zh-CN"/>
        </w:rPr>
      </w:pPr>
      <w:bookmarkStart w:id="1913" w:name="_Toc289933362"/>
      <w:bookmarkStart w:id="1914" w:name="_Toc462234097"/>
      <w:bookmarkStart w:id="1915" w:name="_Toc289868848"/>
      <w:bookmarkStart w:id="1916" w:name="_Toc392515911"/>
      <w:bookmarkStart w:id="1917" w:name="_Toc518394238"/>
      <w:bookmarkStart w:id="1918" w:name="_Toc291852925"/>
      <w:bookmarkStart w:id="1919" w:name="_Toc289869008"/>
      <w:bookmarkStart w:id="1920" w:name="_Toc289932316"/>
      <w:bookmarkStart w:id="1921" w:name="_Toc182391557"/>
      <w:bookmarkStart w:id="1922" w:name="_Toc182391968"/>
      <w:r w:rsidRPr="00B93493">
        <w:rPr>
          <w:rFonts w:eastAsia="SimSun"/>
          <w:lang w:eastAsia="zh-CN"/>
        </w:rPr>
        <w:t>4.7.6</w:t>
      </w:r>
      <w:r w:rsidRPr="00B93493">
        <w:rPr>
          <w:rFonts w:eastAsia="SimSun"/>
          <w:lang w:eastAsia="zh-CN"/>
        </w:rPr>
        <w:tab/>
        <w:t>Aeronautical mobile, radionavigation and radiolocation services</w:t>
      </w:r>
      <w:bookmarkEnd w:id="1913"/>
      <w:bookmarkEnd w:id="1914"/>
      <w:bookmarkEnd w:id="1915"/>
      <w:bookmarkEnd w:id="1916"/>
      <w:bookmarkEnd w:id="1917"/>
      <w:bookmarkEnd w:id="1918"/>
      <w:bookmarkEnd w:id="1919"/>
      <w:bookmarkEnd w:id="1920"/>
      <w:bookmarkEnd w:id="1921"/>
      <w:bookmarkEnd w:id="1922"/>
    </w:p>
    <w:p w14:paraId="418FD964" w14:textId="77777777" w:rsidR="00CF04BC" w:rsidRPr="00B93493" w:rsidRDefault="00CF04BC" w:rsidP="00CF04BC">
      <w:pPr>
        <w:pStyle w:val="Headingb"/>
      </w:pPr>
      <w:bookmarkStart w:id="1923" w:name="_Toc454284929"/>
      <w:bookmarkStart w:id="1924" w:name="_Toc462234098"/>
      <w:r w:rsidRPr="00B93493">
        <w:t>a)</w:t>
      </w:r>
      <w:r w:rsidRPr="00B93493">
        <w:tab/>
        <w:t>Calculation procedures</w:t>
      </w:r>
      <w:bookmarkEnd w:id="1923"/>
      <w:bookmarkEnd w:id="1924"/>
    </w:p>
    <w:p w14:paraId="4693A865" w14:textId="77777777" w:rsidR="00CF04BC" w:rsidRPr="00B93493" w:rsidRDefault="00CF04BC" w:rsidP="00CF04BC">
      <w:r w:rsidRPr="00B93493">
        <w:t xml:space="preserve">Common feature of these services is the fact that they provide radio communication (or location) operations with highly flying aircrafts. It leads to large service areas which borders are determined by distances up to radio horizon. If refraction of radio waves in the Earth’s atmosphere is taken into account, a distance up to a radio horizon, </w:t>
      </w:r>
      <w:r w:rsidRPr="00B93493">
        <w:rPr>
          <w:i/>
          <w:iCs/>
        </w:rPr>
        <w:t>R</w:t>
      </w:r>
      <w:r w:rsidRPr="00B93493">
        <w:rPr>
          <w:i/>
          <w:iCs/>
          <w:vertAlign w:val="subscript"/>
        </w:rPr>
        <w:t>g</w:t>
      </w:r>
      <w:r w:rsidRPr="00B93493">
        <w:t>,</w:t>
      </w:r>
      <w:r w:rsidRPr="00B93493">
        <w:rPr>
          <w:i/>
          <w:iCs/>
        </w:rPr>
        <w:t xml:space="preserve"> </w:t>
      </w:r>
      <w:r w:rsidRPr="00B93493">
        <w:t xml:space="preserve">can be calculated by formula: </w:t>
      </w:r>
    </w:p>
    <w:p w14:paraId="29B00714" w14:textId="77777777" w:rsidR="00CF04BC" w:rsidRPr="00B93493" w:rsidRDefault="00CF04BC" w:rsidP="00CF04BC">
      <w:pPr>
        <w:pStyle w:val="Blanc"/>
      </w:pPr>
    </w:p>
    <w:p w14:paraId="694FBBCC" w14:textId="7B8F5F54" w:rsidR="00EF1A91" w:rsidRDefault="00CF04BC" w:rsidP="00CF04BC">
      <w:pPr>
        <w:pStyle w:val="Equation"/>
      </w:pPr>
      <w:r w:rsidRPr="00B93493">
        <w:tab/>
      </w:r>
      <w:r w:rsidR="00EF1A91">
        <w:tab/>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=4.14</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t</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m:t>
                    </m:r>
                  </m:sub>
                </m:sSub>
              </m:e>
            </m:rad>
          </m:e>
        </m:d>
      </m:oMath>
      <w:r w:rsidR="00EF1A91">
        <w:t xml:space="preserve">            km</w:t>
      </w:r>
      <w:r w:rsidR="00200C03">
        <w:tab/>
      </w:r>
      <w:r w:rsidR="00200C03" w:rsidRPr="00B93493">
        <w:t>(49)</w:t>
      </w:r>
    </w:p>
    <w:p w14:paraId="333293F0" w14:textId="77777777" w:rsidR="00CF04BC" w:rsidRPr="00B93493" w:rsidRDefault="00CF04BC" w:rsidP="00CF04BC">
      <w:r w:rsidRPr="00B93493">
        <w:t>where:</w:t>
      </w:r>
    </w:p>
    <w:p w14:paraId="36623927" w14:textId="77777777" w:rsidR="00CF04BC" w:rsidRPr="00B93493" w:rsidRDefault="00CF04BC" w:rsidP="00CF04BC">
      <w:pPr>
        <w:pStyle w:val="Equationlegend"/>
      </w:pPr>
      <w:r w:rsidRPr="00B93493">
        <w:rPr>
          <w:i/>
          <w:iCs/>
        </w:rPr>
        <w:tab/>
        <w:t>h</w:t>
      </w:r>
      <w:r w:rsidRPr="00B93493">
        <w:rPr>
          <w:i/>
          <w:iCs/>
          <w:vertAlign w:val="subscript"/>
        </w:rPr>
        <w:t xml:space="preserve">t </w:t>
      </w:r>
      <w:r w:rsidRPr="00B93493">
        <w:t>:</w:t>
      </w:r>
      <w:r w:rsidRPr="00B93493">
        <w:tab/>
        <w:t>height of transmitting antenna above the averaged ground surface (at the ground or at the aircraft) (m)</w:t>
      </w:r>
    </w:p>
    <w:p w14:paraId="71375446" w14:textId="77777777" w:rsidR="00CF04BC" w:rsidRPr="00B93493" w:rsidRDefault="00CF04BC" w:rsidP="00CF04BC">
      <w:pPr>
        <w:pStyle w:val="Equationlegend"/>
      </w:pPr>
      <w:r w:rsidRPr="00B93493">
        <w:rPr>
          <w:i/>
          <w:iCs/>
        </w:rPr>
        <w:tab/>
        <w:t>h</w:t>
      </w:r>
      <w:r w:rsidRPr="00B93493">
        <w:rPr>
          <w:i/>
          <w:iCs/>
          <w:vertAlign w:val="subscript"/>
        </w:rPr>
        <w:t xml:space="preserve">r </w:t>
      </w:r>
      <w:r w:rsidRPr="00B93493">
        <w:t>:</w:t>
      </w:r>
      <w:r w:rsidRPr="00B93493">
        <w:tab/>
        <w:t>height of receiving antenna above the averaged ground surface (at the ground or at the aircraft) (m).</w:t>
      </w:r>
    </w:p>
    <w:p w14:paraId="72A8E9BA" w14:textId="77777777" w:rsidR="00CF04BC" w:rsidRPr="00B93493" w:rsidRDefault="00CF04BC" w:rsidP="00CF04BC">
      <w:r w:rsidRPr="00B93493">
        <w:t>With height of the aircraft, 10</w:t>
      </w:r>
      <w:r w:rsidRPr="00B93493">
        <w:rPr>
          <w:rFonts w:ascii="Tms Rmn" w:hAnsi="Tms Rmn"/>
          <w:sz w:val="12"/>
        </w:rPr>
        <w:t> </w:t>
      </w:r>
      <w:r w:rsidRPr="00B93493">
        <w:t xml:space="preserve">000 m and terrestrial antenna height, 15 m, equation (48) gives radio horizon distance equals 429 km. Beyond the radio horizon the field strength sharply drops, as it is clearly demonstrated by curves of Recommendation </w:t>
      </w:r>
      <w:r w:rsidRPr="00ED4324">
        <w:t>ITU-R P.528-2</w:t>
      </w:r>
      <w:r w:rsidRPr="00B93493">
        <w:t>. Therefore, in the given particular case, service area radius is accepted as to be equal to the distance up to the radio horizon irrespective to transmitter power and receiver sensitivity. The last parameters mainly determine only reliability of radio communication in the vicinity of service area borders in real influence environment that is very important for these of services as to be safety ones. Omnidirectional antennas are widely used. In case of directional transmitting antennas applications (mainly in radionavigation and sectorial radiolocation), a “service sector” concept, given by Recommendation ITU-R F.162-3, can be used.</w:t>
      </w:r>
    </w:p>
    <w:p w14:paraId="551B7EC7" w14:textId="77777777" w:rsidR="00CF04BC" w:rsidRPr="00B93493" w:rsidRDefault="00CF04BC" w:rsidP="00CF04BC">
      <w:r w:rsidRPr="00B93493">
        <w:t>Taking into account that spectral resource used for these services, as to be safety ones, will not be too high, for simplicity reasons subdivision of the service area to different zones belonging to different license fees categories can be eliminated and the only one category, corresponding to the largest occupied area, can be used.</w:t>
      </w:r>
    </w:p>
    <w:p w14:paraId="1ADB7C06" w14:textId="77777777" w:rsidR="00CF04BC" w:rsidRPr="00B93493" w:rsidRDefault="00CF04BC" w:rsidP="00CF04BC">
      <w:r w:rsidRPr="00B93493">
        <w:t>Given approach to the determination of service areas for aeronautical mobile, radionavigation and radiolocation services is proposed to be use for purposes of this calculation Model. The same approach can be accepted and for maritime radionavigation and radiolocation applications by using in equation (49) a target height equals about 10 m.</w:t>
      </w:r>
    </w:p>
    <w:p w14:paraId="7131C2F3" w14:textId="77777777" w:rsidR="00CF04BC" w:rsidRPr="00B93493" w:rsidRDefault="00CF04BC" w:rsidP="00CF04BC">
      <w:pPr>
        <w:pStyle w:val="Heading3"/>
        <w:rPr>
          <w:rFonts w:eastAsia="SimSun"/>
          <w:lang w:eastAsia="zh-CN"/>
        </w:rPr>
      </w:pPr>
      <w:bookmarkStart w:id="1925" w:name="_Toc289932317"/>
      <w:bookmarkStart w:id="1926" w:name="_Toc518394239"/>
      <w:bookmarkStart w:id="1927" w:name="_Toc291852926"/>
      <w:bookmarkStart w:id="1928" w:name="_Toc462234099"/>
      <w:bookmarkStart w:id="1929" w:name="_Toc392515912"/>
      <w:bookmarkStart w:id="1930" w:name="_Toc289869009"/>
      <w:bookmarkStart w:id="1931" w:name="_Toc289868849"/>
      <w:bookmarkStart w:id="1932" w:name="_Toc289933363"/>
      <w:bookmarkStart w:id="1933" w:name="_Toc182391558"/>
      <w:bookmarkStart w:id="1934" w:name="_Toc182391969"/>
      <w:r w:rsidRPr="00B93493">
        <w:rPr>
          <w:rFonts w:eastAsia="SimSun"/>
          <w:lang w:eastAsia="zh-CN"/>
        </w:rPr>
        <w:t>4.7.7</w:t>
      </w:r>
      <w:r w:rsidRPr="00B93493">
        <w:rPr>
          <w:rFonts w:eastAsia="SimSun"/>
          <w:lang w:eastAsia="zh-CN"/>
        </w:rPr>
        <w:tab/>
        <w:t>Examples of calculations</w:t>
      </w:r>
      <w:bookmarkEnd w:id="1925"/>
      <w:bookmarkEnd w:id="1926"/>
      <w:bookmarkEnd w:id="1927"/>
      <w:bookmarkEnd w:id="1928"/>
      <w:bookmarkEnd w:id="1929"/>
      <w:bookmarkEnd w:id="1930"/>
      <w:bookmarkEnd w:id="1931"/>
      <w:bookmarkEnd w:id="1932"/>
      <w:bookmarkEnd w:id="1933"/>
      <w:bookmarkEnd w:id="1934"/>
    </w:p>
    <w:p w14:paraId="1D10DD24" w14:textId="77777777" w:rsidR="00CF04BC" w:rsidRPr="00B93493" w:rsidRDefault="00CF04BC" w:rsidP="00CF04BC">
      <w:pPr>
        <w:pStyle w:val="Heading4"/>
      </w:pPr>
      <w:r w:rsidRPr="00B93493">
        <w:t>4.7.7.1</w:t>
      </w:r>
      <w:r w:rsidRPr="00B93493">
        <w:tab/>
        <w:t>Aeronautical radio communications</w:t>
      </w:r>
    </w:p>
    <w:p w14:paraId="2B00611B" w14:textId="77777777" w:rsidR="00CF04BC" w:rsidRPr="00B93493" w:rsidRDefault="00CF04BC" w:rsidP="00CF04BC">
      <w:pPr>
        <w:pStyle w:val="Headingb"/>
      </w:pPr>
      <w:bookmarkStart w:id="1935" w:name="_Toc462234100"/>
      <w:bookmarkStart w:id="1936" w:name="_Toc454284931"/>
      <w:r w:rsidRPr="00B93493">
        <w:t>a)</w:t>
      </w:r>
      <w:r w:rsidRPr="00B93493">
        <w:tab/>
        <w:t>Incoming parameters</w:t>
      </w:r>
      <w:bookmarkEnd w:id="1935"/>
      <w:bookmarkEnd w:id="1936"/>
    </w:p>
    <w:p w14:paraId="489A1709" w14:textId="2F6E6E0F" w:rsidR="00CF04BC" w:rsidRPr="00B93493" w:rsidRDefault="00CF04BC" w:rsidP="00CF04BC">
      <w:r w:rsidRPr="00B93493">
        <w:t xml:space="preserve">Let us calculate a spectral resource used by an aeronautical radiocommunication station working around the clock in 118-136 MHz band. Omnidirectional transmitting antenna height is 15 m and communications are provided with aircrafts flying at 10 000 m and higher, i.e. in accordance with </w:t>
      </w:r>
      <w:r w:rsidRPr="00B93493">
        <w:rPr>
          <w:i/>
          <w:iCs/>
          <w:color w:val="000000"/>
        </w:rPr>
        <w:t>R</w:t>
      </w:r>
      <w:r w:rsidRPr="00B93493">
        <w:rPr>
          <w:i/>
          <w:iCs/>
          <w:color w:val="000000"/>
          <w:vertAlign w:val="subscript"/>
        </w:rPr>
        <w:t xml:space="preserve">g </w:t>
      </w:r>
      <w:r w:rsidRPr="00B93493">
        <w:rPr>
          <w:rFonts w:ascii="Symbol" w:hAnsi="Symbol"/>
          <w:color w:val="000000"/>
        </w:rPr>
        <w:t></w:t>
      </w:r>
      <w:r w:rsidRPr="00B93493">
        <w:rPr>
          <w:color w:val="000000"/>
        </w:rPr>
        <w:t xml:space="preserve"> 429 km. </w:t>
      </w:r>
      <w:r w:rsidRPr="00B93493">
        <w:t xml:space="preserve">Let the largest occupied area lies in rural zone categorized by Table </w:t>
      </w:r>
      <w:r>
        <w:rPr>
          <w:rFonts w:hint="eastAsia"/>
          <w:lang w:eastAsia="zh-CN"/>
        </w:rPr>
        <w:t>2</w:t>
      </w:r>
      <w:r w:rsidR="00274DB9">
        <w:rPr>
          <w:lang w:eastAsia="zh-CN"/>
        </w:rPr>
        <w:t xml:space="preserve"> </w:t>
      </w:r>
      <w:r w:rsidRPr="00B93493">
        <w:t>as 0.8. Usual double-side AM is used (class of emission A3E), commercial quality.</w:t>
      </w:r>
    </w:p>
    <w:p w14:paraId="5A728005" w14:textId="77777777" w:rsidR="00CF04BC" w:rsidRPr="00B93493" w:rsidRDefault="00CF04BC" w:rsidP="00CF04BC">
      <w:pPr>
        <w:pStyle w:val="Headingb"/>
        <w:rPr>
          <w:rFonts w:eastAsia="SimSun"/>
        </w:rPr>
      </w:pPr>
      <w:bookmarkStart w:id="1937" w:name="_Toc454284932"/>
      <w:bookmarkStart w:id="1938" w:name="_Toc462234101"/>
      <w:r w:rsidRPr="00B93493">
        <w:rPr>
          <w:rFonts w:eastAsia="SimSun"/>
        </w:rPr>
        <w:t>b)</w:t>
      </w:r>
      <w:r w:rsidRPr="00B93493">
        <w:rPr>
          <w:rFonts w:eastAsia="SimSun"/>
        </w:rPr>
        <w:tab/>
        <w:t>Time and frequency resources used</w:t>
      </w:r>
      <w:bookmarkEnd w:id="1937"/>
      <w:bookmarkEnd w:id="1938"/>
    </w:p>
    <w:p w14:paraId="75A63227" w14:textId="77777777" w:rsidR="00CF04BC" w:rsidRPr="00B93493" w:rsidRDefault="00CF04BC" w:rsidP="00CF04BC">
      <w:r w:rsidRPr="00B93493">
        <w:t>In accordance with equation (21), used time resource is:</w:t>
      </w:r>
    </w:p>
    <w:p w14:paraId="03DF096B" w14:textId="77777777" w:rsidR="00CF04BC" w:rsidRPr="00B93493" w:rsidRDefault="00CF04BC" w:rsidP="00CF04BC">
      <w:pPr>
        <w:pStyle w:val="Blanc"/>
      </w:pPr>
    </w:p>
    <w:p w14:paraId="1E78FC1B" w14:textId="77777777" w:rsidR="00CF04BC" w:rsidRPr="00B93493" w:rsidRDefault="00CF04BC" w:rsidP="00CF04BC">
      <w:pPr>
        <w:pStyle w:val="Equation"/>
      </w:pPr>
      <w:r w:rsidRPr="00B93493">
        <w:tab/>
      </w:r>
      <w:r w:rsidRPr="00B93493">
        <w:tab/>
      </w:r>
      <w:r w:rsidRPr="00B93493">
        <w:rPr>
          <w:i/>
        </w:rPr>
        <w:t>T</w:t>
      </w:r>
      <w:r w:rsidRPr="00B93493">
        <w:t xml:space="preserve"> = 24/24 (each day) </w:t>
      </w:r>
      <w:r w:rsidRPr="00B93493">
        <w:rPr>
          <w:rFonts w:ascii="Symbol" w:hAnsi="Symbol"/>
        </w:rPr>
        <w:t></w:t>
      </w:r>
      <w:r w:rsidRPr="00B93493">
        <w:t xml:space="preserve"> 1 year</w:t>
      </w:r>
    </w:p>
    <w:p w14:paraId="226C4E0F" w14:textId="77777777" w:rsidR="00CF04BC" w:rsidRPr="00B93493" w:rsidRDefault="00CF04BC" w:rsidP="00CF04BC">
      <w:r w:rsidRPr="00B93493">
        <w:t xml:space="preserve">Following Recommendation </w:t>
      </w:r>
      <w:r w:rsidRPr="00BD69CD">
        <w:t>ITU-R SM.1138-2</w:t>
      </w:r>
      <w:r w:rsidRPr="00B93493">
        <w:t xml:space="preserve">, “Amplitude modulation”, Item 2 “Telephony (commercial quality)”, double-sideband (class of emission A3E), related necessary bandwidth is 6 kHz. Therefore, used frequency resource, accepting in equation (24) </w:t>
      </w:r>
      <w:r w:rsidRPr="00B93493">
        <w:sym w:font="Symbol" w:char="F063"/>
      </w:r>
      <w:r w:rsidRPr="00B93493">
        <w:t> = 1, can be found as:</w:t>
      </w:r>
    </w:p>
    <w:p w14:paraId="2FFB5C68" w14:textId="77777777" w:rsidR="00CF04BC" w:rsidRPr="00B93493" w:rsidRDefault="00CF04BC" w:rsidP="00CF04BC">
      <w:pPr>
        <w:pStyle w:val="Blanc"/>
      </w:pPr>
    </w:p>
    <w:p w14:paraId="5914DC25" w14:textId="77777777" w:rsidR="00CF04BC" w:rsidRPr="00B93493" w:rsidRDefault="00CF04BC" w:rsidP="00CF04BC">
      <w:pPr>
        <w:pStyle w:val="Equation"/>
      </w:pPr>
      <w:r w:rsidRPr="00B93493">
        <w:tab/>
      </w:r>
      <w:r w:rsidRPr="00B93493">
        <w:tab/>
      </w:r>
      <w:r w:rsidRPr="00B93493">
        <w:rPr>
          <w:i/>
        </w:rPr>
        <w:t>F</w:t>
      </w:r>
      <w:r w:rsidRPr="00B93493">
        <w:t xml:space="preserve"> </w:t>
      </w:r>
      <w:r w:rsidRPr="00B93493">
        <w:rPr>
          <w:rFonts w:ascii="Symbol" w:hAnsi="Symbol"/>
        </w:rPr>
        <w:t></w:t>
      </w:r>
      <w:r w:rsidRPr="00B93493">
        <w:t xml:space="preserve"> 0.006 MHz</w:t>
      </w:r>
    </w:p>
    <w:p w14:paraId="104E5388" w14:textId="77777777" w:rsidR="00CF04BC" w:rsidRPr="00B93493" w:rsidRDefault="00CF04BC" w:rsidP="00CF04BC">
      <w:pPr>
        <w:pStyle w:val="Blanc"/>
      </w:pPr>
    </w:p>
    <w:p w14:paraId="27E744F3" w14:textId="77777777" w:rsidR="00CF04BC" w:rsidRPr="00B93493" w:rsidRDefault="00CF04BC" w:rsidP="00CF04BC">
      <w:pPr>
        <w:pStyle w:val="Headingb"/>
        <w:rPr>
          <w:rFonts w:eastAsia="SimSun"/>
        </w:rPr>
      </w:pPr>
      <w:bookmarkStart w:id="1939" w:name="_Toc462234102"/>
      <w:bookmarkStart w:id="1940" w:name="_Toc454284933"/>
      <w:r w:rsidRPr="00B93493">
        <w:rPr>
          <w:rFonts w:eastAsia="SimSun"/>
        </w:rPr>
        <w:t>c)</w:t>
      </w:r>
      <w:r w:rsidRPr="00B93493">
        <w:rPr>
          <w:rFonts w:eastAsia="SimSun"/>
        </w:rPr>
        <w:tab/>
        <w:t>Territorial resource used</w:t>
      </w:r>
      <w:bookmarkEnd w:id="1939"/>
      <w:bookmarkEnd w:id="1940"/>
    </w:p>
    <w:p w14:paraId="6E4CEF1F" w14:textId="01476F48" w:rsidR="00CF04BC" w:rsidRPr="00B93493" w:rsidRDefault="00CF04BC" w:rsidP="00CF04BC">
      <w:r w:rsidRPr="00B93493">
        <w:t xml:space="preserve">Substituting </w:t>
      </w:r>
      <w:r w:rsidRPr="00B93493">
        <w:rPr>
          <w:i/>
          <w:iCs/>
        </w:rPr>
        <w:t>R</w:t>
      </w:r>
      <w:r w:rsidRPr="00B93493">
        <w:rPr>
          <w:i/>
          <w:iCs/>
          <w:vertAlign w:val="subscript"/>
        </w:rPr>
        <w:t xml:space="preserve">g </w:t>
      </w:r>
      <w:r w:rsidRPr="00B93493">
        <w:rPr>
          <w:rFonts w:ascii="Symbol" w:hAnsi="Symbol"/>
        </w:rPr>
        <w:t></w:t>
      </w:r>
      <w:r w:rsidRPr="00B93493">
        <w:t xml:space="preserve"> 429 km into equation (31) </w:t>
      </w:r>
      <w:r w:rsidR="00092428">
        <w:t>is obtained</w:t>
      </w:r>
      <w:r w:rsidRPr="00B93493">
        <w:t>:</w:t>
      </w:r>
    </w:p>
    <w:p w14:paraId="187E7818" w14:textId="77777777" w:rsidR="00CF04BC" w:rsidRPr="00B93493" w:rsidRDefault="00CF04BC" w:rsidP="00CF04BC">
      <w:pPr>
        <w:pStyle w:val="Blanc"/>
      </w:pPr>
    </w:p>
    <w:p w14:paraId="46D1DFB3" w14:textId="77777777" w:rsidR="00CF04BC" w:rsidRPr="00B93493" w:rsidRDefault="00CF04BC" w:rsidP="00CF04BC">
      <w:pPr>
        <w:pStyle w:val="Equation"/>
      </w:pPr>
      <w:r w:rsidRPr="00B93493">
        <w:rPr>
          <w:i/>
          <w:iCs/>
        </w:rPr>
        <w:tab/>
      </w:r>
      <w:r w:rsidRPr="00B93493">
        <w:rPr>
          <w:i/>
          <w:iCs/>
        </w:rPr>
        <w:tab/>
        <w:t>s</w:t>
      </w:r>
      <w:r w:rsidRPr="00B93493">
        <w:t xml:space="preserve"> </w:t>
      </w:r>
      <w:r w:rsidRPr="00B93493">
        <w:rPr>
          <w:rFonts w:ascii="Symbol" w:hAnsi="Symbol"/>
        </w:rPr>
        <w:t></w:t>
      </w:r>
      <w:r w:rsidRPr="00B93493">
        <w:t xml:space="preserve"> </w:t>
      </w:r>
      <w:r w:rsidRPr="00B93493">
        <w:sym w:font="Symbol" w:char="F070"/>
      </w:r>
      <w:r w:rsidRPr="00B93493">
        <w:t xml:space="preserve"> </w:t>
      </w:r>
      <w:r w:rsidRPr="00B93493">
        <w:sym w:font="Symbol" w:char="F0D7"/>
      </w:r>
      <w:r w:rsidRPr="00B93493">
        <w:t xml:space="preserve"> 429</w:t>
      </w:r>
      <w:r w:rsidRPr="00B93493">
        <w:rPr>
          <w:vertAlign w:val="superscript"/>
        </w:rPr>
        <w:t>2</w:t>
      </w:r>
      <w:r w:rsidRPr="00B93493">
        <w:t xml:space="preserve"> = 578</w:t>
      </w:r>
      <w:r w:rsidRPr="00B93493">
        <w:rPr>
          <w:rFonts w:ascii="Tms Rmn" w:hAnsi="Tms Rmn"/>
          <w:sz w:val="12"/>
        </w:rPr>
        <w:t> </w:t>
      </w:r>
      <w:r w:rsidRPr="00B93493">
        <w:t xml:space="preserve">182 </w:t>
      </w:r>
      <w:r w:rsidRPr="00B93493">
        <w:rPr>
          <w:bCs/>
        </w:rPr>
        <w:t>km</w:t>
      </w:r>
      <w:r w:rsidRPr="00B93493">
        <w:rPr>
          <w:bCs/>
          <w:vertAlign w:val="superscript"/>
        </w:rPr>
        <w:t>2</w:t>
      </w:r>
    </w:p>
    <w:p w14:paraId="7C7FAB98" w14:textId="77777777" w:rsidR="00CF04BC" w:rsidRPr="00B93493" w:rsidRDefault="00CF04BC" w:rsidP="00CF04BC">
      <w:pPr>
        <w:pStyle w:val="Blanc"/>
      </w:pPr>
    </w:p>
    <w:p w14:paraId="48E6D0B1" w14:textId="77777777" w:rsidR="00CF04BC" w:rsidRPr="00B93493" w:rsidRDefault="00CF04BC" w:rsidP="00CF04BC">
      <w:r w:rsidRPr="00B93493">
        <w:t xml:space="preserve">and, taking into account that </w:t>
      </w:r>
      <w:r w:rsidRPr="00B93493">
        <w:rPr>
          <w:i/>
          <w:iCs/>
        </w:rPr>
        <w:t>b</w:t>
      </w:r>
      <w:r w:rsidRPr="00B93493">
        <w:rPr>
          <w:i/>
          <w:iCs/>
          <w:vertAlign w:val="subscript"/>
        </w:rPr>
        <w:t>j</w:t>
      </w:r>
      <w:r w:rsidRPr="00B93493">
        <w:t xml:space="preserve"> = 0.8, from equation (22) it follows:</w:t>
      </w:r>
    </w:p>
    <w:p w14:paraId="59E0F47C" w14:textId="77777777" w:rsidR="00CF04BC" w:rsidRPr="00B93493" w:rsidRDefault="00CF04BC" w:rsidP="00CF04BC">
      <w:pPr>
        <w:pStyle w:val="Blanc"/>
      </w:pPr>
    </w:p>
    <w:p w14:paraId="26101F40" w14:textId="77777777" w:rsidR="00CF04BC" w:rsidRPr="00B93493" w:rsidRDefault="00CF04BC" w:rsidP="00CF04BC">
      <w:pPr>
        <w:pStyle w:val="Equation"/>
      </w:pPr>
      <w:r w:rsidRPr="00B93493">
        <w:rPr>
          <w:i/>
          <w:iCs/>
        </w:rPr>
        <w:tab/>
      </w:r>
      <w:r w:rsidRPr="00B93493">
        <w:rPr>
          <w:i/>
          <w:iCs/>
        </w:rPr>
        <w:tab/>
        <w:t>S</w:t>
      </w:r>
      <w:r w:rsidRPr="00B93493">
        <w:t xml:space="preserve"> = 0.8 × </w:t>
      </w:r>
      <w:r w:rsidRPr="00B93493">
        <w:rPr>
          <w:color w:val="000000"/>
        </w:rPr>
        <w:t>578</w:t>
      </w:r>
      <w:r w:rsidRPr="00B93493">
        <w:rPr>
          <w:rFonts w:ascii="Tms Rmn" w:hAnsi="Tms Rmn"/>
          <w:color w:val="000000"/>
          <w:sz w:val="12"/>
        </w:rPr>
        <w:t> </w:t>
      </w:r>
      <w:r w:rsidRPr="00B93493">
        <w:rPr>
          <w:color w:val="000000"/>
        </w:rPr>
        <w:t>182 = 462</w:t>
      </w:r>
      <w:r w:rsidRPr="00B93493">
        <w:rPr>
          <w:rFonts w:ascii="Tms Rmn" w:hAnsi="Tms Rmn"/>
          <w:color w:val="000000"/>
          <w:sz w:val="12"/>
        </w:rPr>
        <w:t> </w:t>
      </w:r>
      <w:r w:rsidRPr="00B93493">
        <w:rPr>
          <w:color w:val="000000"/>
        </w:rPr>
        <w:t xml:space="preserve">546 </w:t>
      </w:r>
      <w:r w:rsidRPr="00B93493">
        <w:rPr>
          <w:bCs/>
        </w:rPr>
        <w:t>km</w:t>
      </w:r>
      <w:r w:rsidRPr="00B93493">
        <w:rPr>
          <w:bCs/>
          <w:vertAlign w:val="superscript"/>
        </w:rPr>
        <w:t>2</w:t>
      </w:r>
    </w:p>
    <w:p w14:paraId="538BAACC" w14:textId="77777777" w:rsidR="00CF04BC" w:rsidRPr="00B93493" w:rsidRDefault="00CF04BC" w:rsidP="00CF04BC">
      <w:pPr>
        <w:pStyle w:val="Blanc"/>
      </w:pPr>
    </w:p>
    <w:p w14:paraId="30243811" w14:textId="77777777" w:rsidR="00CF04BC" w:rsidRPr="00B93493" w:rsidRDefault="00CF04BC" w:rsidP="00CF04BC">
      <w:pPr>
        <w:pStyle w:val="Headingb"/>
      </w:pPr>
      <w:bookmarkStart w:id="1941" w:name="_Toc454284934"/>
      <w:bookmarkStart w:id="1942" w:name="_Toc462234103"/>
      <w:r w:rsidRPr="00B93493">
        <w:t>d)</w:t>
      </w:r>
      <w:r w:rsidRPr="00B93493">
        <w:tab/>
        <w:t>Spectral resource used</w:t>
      </w:r>
      <w:bookmarkEnd w:id="1941"/>
      <w:bookmarkEnd w:id="1942"/>
    </w:p>
    <w:p w14:paraId="7887A37D" w14:textId="4582E286" w:rsidR="00CF04BC" w:rsidRPr="00B93493" w:rsidRDefault="00CF04BC" w:rsidP="00CF04BC">
      <w:r w:rsidRPr="00B93493">
        <w:t xml:space="preserve">Substituting values calculated in b) and c) </w:t>
      </w:r>
      <w:r w:rsidR="0082305E">
        <w:t xml:space="preserve">above </w:t>
      </w:r>
      <w:r w:rsidRPr="00B93493">
        <w:t xml:space="preserve">to equation (20), using values of weighting coefficients presented in Table </w:t>
      </w:r>
      <w:r>
        <w:rPr>
          <w:rFonts w:hint="eastAsia"/>
          <w:lang w:eastAsia="zh-CN"/>
        </w:rPr>
        <w:t>3</w:t>
      </w:r>
      <w:r w:rsidRPr="00B93493">
        <w:t xml:space="preserve"> and taking into account non-sharing conditions (</w:t>
      </w:r>
      <w:r w:rsidRPr="00B93493">
        <w:sym w:font="Symbol" w:char="F062"/>
      </w:r>
      <w:r w:rsidRPr="00B93493">
        <w:t xml:space="preserve"> = 1), </w:t>
      </w:r>
      <w:r w:rsidR="00092428">
        <w:t>is obtained</w:t>
      </w:r>
      <w:r w:rsidRPr="00B93493">
        <w:t>:</w:t>
      </w:r>
    </w:p>
    <w:p w14:paraId="0697DEE9" w14:textId="77777777" w:rsidR="00CF04BC" w:rsidRPr="00B93493" w:rsidRDefault="00CF04BC" w:rsidP="00CF04BC">
      <w:pPr>
        <w:pStyle w:val="Blanc"/>
      </w:pPr>
    </w:p>
    <w:p w14:paraId="0B4F44B9" w14:textId="77777777" w:rsidR="00CF04BC" w:rsidRPr="00B93493" w:rsidRDefault="00CF04BC" w:rsidP="00CF04BC">
      <w:pPr>
        <w:pStyle w:val="Equation"/>
      </w:pPr>
      <w:r w:rsidRPr="00B93493">
        <w:rPr>
          <w:i/>
        </w:rPr>
        <w:tab/>
      </w:r>
      <w:r w:rsidRPr="00B93493">
        <w:rPr>
          <w:i/>
        </w:rPr>
        <w:tab/>
        <w:t>W</w:t>
      </w:r>
      <w:r w:rsidRPr="00B93493">
        <w:t xml:space="preserve"> = 0.1 × 0.2 × 0.1 × 0.8 × 1 × 0.006 × 462</w:t>
      </w:r>
      <w:r w:rsidRPr="00B93493">
        <w:rPr>
          <w:rFonts w:ascii="Tms Rmn" w:hAnsi="Tms Rmn"/>
          <w:sz w:val="12"/>
        </w:rPr>
        <w:t> </w:t>
      </w:r>
      <w:r w:rsidRPr="00B93493">
        <w:t xml:space="preserve">546 × 1 = 4.4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p>
    <w:p w14:paraId="7B0C29E5" w14:textId="77777777" w:rsidR="00CF04BC" w:rsidRPr="00B93493" w:rsidRDefault="00CF04BC" w:rsidP="00CF04BC">
      <w:pPr>
        <w:pStyle w:val="Heading4"/>
        <w:rPr>
          <w:rFonts w:eastAsia="SimSun"/>
          <w:lang w:eastAsia="zh-CN"/>
        </w:rPr>
      </w:pPr>
      <w:r w:rsidRPr="00B93493">
        <w:rPr>
          <w:rFonts w:eastAsia="SimSun"/>
          <w:lang w:eastAsia="zh-CN"/>
        </w:rPr>
        <w:t>4.7.7.2</w:t>
      </w:r>
      <w:r w:rsidRPr="00B93493">
        <w:rPr>
          <w:rFonts w:eastAsia="SimSun"/>
          <w:lang w:eastAsia="zh-CN"/>
        </w:rPr>
        <w:tab/>
        <w:t>Primary radars</w:t>
      </w:r>
    </w:p>
    <w:p w14:paraId="1CB03B57" w14:textId="77777777" w:rsidR="00CF04BC" w:rsidRPr="00B93493" w:rsidRDefault="00CF04BC" w:rsidP="00CF04BC">
      <w:pPr>
        <w:pStyle w:val="Headingb"/>
      </w:pPr>
      <w:bookmarkStart w:id="1943" w:name="_Toc454284935"/>
      <w:bookmarkStart w:id="1944" w:name="_Toc462234104"/>
      <w:r w:rsidRPr="00B93493">
        <w:t>a)</w:t>
      </w:r>
      <w:r w:rsidRPr="00B93493">
        <w:tab/>
        <w:t>Incoming parameters</w:t>
      </w:r>
      <w:bookmarkEnd w:id="1943"/>
      <w:bookmarkEnd w:id="1944"/>
    </w:p>
    <w:p w14:paraId="2FE149E7" w14:textId="77777777" w:rsidR="00CF04BC" w:rsidRPr="00B93493" w:rsidRDefault="00CF04BC" w:rsidP="00CF04BC">
      <w:r w:rsidRPr="00B93493">
        <w:t xml:space="preserve">Let us calculate a spectral resource used by an aeronautical primary radar working around the clock with circularly rotating antenna of 15 m height and set aside for locating aircrafts flying at 10 000 m and higher. It means that in accordance with </w:t>
      </w:r>
      <w:r w:rsidRPr="00B93493">
        <w:rPr>
          <w:i/>
          <w:iCs/>
          <w:color w:val="000000"/>
        </w:rPr>
        <w:t>R</w:t>
      </w:r>
      <w:r w:rsidRPr="00B93493">
        <w:rPr>
          <w:i/>
          <w:iCs/>
          <w:color w:val="000000"/>
          <w:vertAlign w:val="subscript"/>
        </w:rPr>
        <w:t xml:space="preserve">g </w:t>
      </w:r>
      <w:r w:rsidRPr="00B93493">
        <w:t>=</w:t>
      </w:r>
      <w:r w:rsidRPr="00B93493">
        <w:rPr>
          <w:color w:val="000000"/>
        </w:rPr>
        <w:t xml:space="preserve"> 429 km. </w:t>
      </w:r>
      <w:r w:rsidRPr="00B93493">
        <w:t xml:space="preserve">Let the largest occupied area lies in rural zone categorized by Table </w:t>
      </w:r>
      <w:r>
        <w:rPr>
          <w:rFonts w:hint="eastAsia"/>
          <w:lang w:eastAsia="zh-CN"/>
        </w:rPr>
        <w:t>2</w:t>
      </w:r>
      <w:r w:rsidRPr="00B93493">
        <w:t xml:space="preserve"> as 0.5. Radar uses shaped radio pulses with a half-amplitude duration equals 1 </w:t>
      </w:r>
      <w:r w:rsidRPr="00B93493">
        <w:sym w:font="Symbol" w:char="F06D"/>
      </w:r>
      <w:r w:rsidRPr="00B93493">
        <w:t>s.</w:t>
      </w:r>
    </w:p>
    <w:p w14:paraId="70DCFFD4" w14:textId="77777777" w:rsidR="00CF04BC" w:rsidRPr="00B93493" w:rsidRDefault="00CF04BC" w:rsidP="00CF04BC">
      <w:pPr>
        <w:pStyle w:val="Headingb"/>
      </w:pPr>
      <w:bookmarkStart w:id="1945" w:name="_Toc462234105"/>
      <w:bookmarkStart w:id="1946" w:name="_Toc454284936"/>
      <w:r w:rsidRPr="00B93493">
        <w:t>b)</w:t>
      </w:r>
      <w:r w:rsidRPr="00B93493">
        <w:tab/>
        <w:t>Time and frequency resources used</w:t>
      </w:r>
      <w:bookmarkEnd w:id="1945"/>
      <w:bookmarkEnd w:id="1946"/>
    </w:p>
    <w:p w14:paraId="694F4AD8" w14:textId="77777777" w:rsidR="00CF04BC" w:rsidRPr="00B93493" w:rsidRDefault="00CF04BC" w:rsidP="00CF04BC">
      <w:r w:rsidRPr="00B93493">
        <w:t>In accordance with equation (21), used time resource is:</w:t>
      </w:r>
    </w:p>
    <w:p w14:paraId="21F730CA" w14:textId="77777777" w:rsidR="00CF04BC" w:rsidRPr="00B93493" w:rsidRDefault="00CF04BC" w:rsidP="00CF04BC">
      <w:pPr>
        <w:pStyle w:val="Blanc"/>
      </w:pPr>
    </w:p>
    <w:p w14:paraId="23177393" w14:textId="77777777" w:rsidR="00CF04BC" w:rsidRPr="00B93493" w:rsidRDefault="00CF04BC" w:rsidP="00CF04BC">
      <w:pPr>
        <w:pStyle w:val="Equation"/>
      </w:pPr>
      <w:r w:rsidRPr="00B93493">
        <w:tab/>
      </w:r>
      <w:r w:rsidRPr="00B93493">
        <w:tab/>
      </w:r>
      <w:r w:rsidRPr="00B93493">
        <w:rPr>
          <w:i/>
        </w:rPr>
        <w:t>T</w:t>
      </w:r>
      <w:r w:rsidRPr="00B93493">
        <w:t xml:space="preserve"> = 24/24 (each day) = 1 year</w:t>
      </w:r>
    </w:p>
    <w:p w14:paraId="55B99F19" w14:textId="77777777" w:rsidR="00CF04BC" w:rsidRPr="00B93493" w:rsidRDefault="00CF04BC" w:rsidP="00CF04BC">
      <w:pPr>
        <w:pStyle w:val="Blanc"/>
      </w:pPr>
    </w:p>
    <w:p w14:paraId="4D1973F9" w14:textId="77777777" w:rsidR="00CF04BC" w:rsidRPr="00B93493" w:rsidRDefault="00CF04BC" w:rsidP="00CF04BC">
      <w:r w:rsidRPr="00B93493">
        <w:t>Following Recommendation</w:t>
      </w:r>
      <w:r w:rsidRPr="00BD69CD">
        <w:t xml:space="preserve"> ITU-R SM.1138-2 </w:t>
      </w:r>
      <w:r w:rsidRPr="00B93493">
        <w:t xml:space="preserve">“Pulse modulation”, Item 1“Radar”, primary radar (class of emission P0N), related necessary bandwidth is 3 MHz. Therefore, used frequency resource, accepting in equation (24) </w:t>
      </w:r>
      <w:r w:rsidRPr="00B93493">
        <w:sym w:font="Symbol" w:char="F063"/>
      </w:r>
      <w:r w:rsidRPr="00B93493">
        <w:t> = 0.1, can be found as:</w:t>
      </w:r>
    </w:p>
    <w:p w14:paraId="6482F4E4" w14:textId="77777777" w:rsidR="00CF04BC" w:rsidRPr="00B93493" w:rsidRDefault="00CF04BC" w:rsidP="00CF04BC">
      <w:pPr>
        <w:pStyle w:val="Blanc"/>
      </w:pPr>
    </w:p>
    <w:p w14:paraId="0EF9BC14" w14:textId="77777777" w:rsidR="00CF04BC" w:rsidRPr="00B93493" w:rsidRDefault="00CF04BC" w:rsidP="00CF04BC">
      <w:pPr>
        <w:pStyle w:val="Equation"/>
      </w:pPr>
      <w:r w:rsidRPr="00B93493">
        <w:rPr>
          <w:i/>
        </w:rPr>
        <w:tab/>
      </w:r>
      <w:r w:rsidRPr="00B93493">
        <w:rPr>
          <w:i/>
        </w:rPr>
        <w:tab/>
        <w:t>F</w:t>
      </w:r>
      <w:r w:rsidRPr="00B93493">
        <w:t xml:space="preserve"> </w:t>
      </w:r>
      <w:r w:rsidRPr="00B93493">
        <w:rPr>
          <w:rFonts w:ascii="Symbol" w:hAnsi="Symbol"/>
        </w:rPr>
        <w:t></w:t>
      </w:r>
      <w:r w:rsidRPr="00B93493">
        <w:t xml:space="preserve"> 0.1 × 3 = 0.3 MHz</w:t>
      </w:r>
    </w:p>
    <w:p w14:paraId="1DB0F84D" w14:textId="77777777" w:rsidR="00CF04BC" w:rsidRPr="00B93493" w:rsidRDefault="00CF04BC" w:rsidP="00CF04BC">
      <w:pPr>
        <w:pStyle w:val="Blanc"/>
      </w:pPr>
    </w:p>
    <w:p w14:paraId="29325BD2" w14:textId="77777777" w:rsidR="00CF04BC" w:rsidRPr="00B93493" w:rsidRDefault="00CF04BC" w:rsidP="00CF04BC">
      <w:pPr>
        <w:pStyle w:val="Headingb"/>
      </w:pPr>
      <w:bookmarkStart w:id="1947" w:name="_Toc454284937"/>
      <w:bookmarkStart w:id="1948" w:name="_Toc462234106"/>
      <w:r w:rsidRPr="00B93493">
        <w:t>c)</w:t>
      </w:r>
      <w:r w:rsidRPr="00B93493">
        <w:tab/>
        <w:t>Territorial resource used</w:t>
      </w:r>
      <w:bookmarkEnd w:id="1947"/>
      <w:bookmarkEnd w:id="1948"/>
    </w:p>
    <w:p w14:paraId="0BF94376" w14:textId="6A8C556F" w:rsidR="00CF04BC" w:rsidRPr="00B93493" w:rsidRDefault="00CF04BC" w:rsidP="00CF04BC">
      <w:r w:rsidRPr="00B93493">
        <w:t xml:space="preserve">Substituting </w:t>
      </w:r>
      <w:r w:rsidRPr="00B93493">
        <w:rPr>
          <w:i/>
          <w:iCs/>
        </w:rPr>
        <w:t>R</w:t>
      </w:r>
      <w:r w:rsidRPr="00B93493">
        <w:rPr>
          <w:i/>
          <w:iCs/>
          <w:vertAlign w:val="subscript"/>
        </w:rPr>
        <w:t xml:space="preserve">g </w:t>
      </w:r>
      <w:r w:rsidRPr="00B93493">
        <w:t xml:space="preserve">= 429 km to equation (31) </w:t>
      </w:r>
      <w:r w:rsidR="00092428">
        <w:t>is obtained</w:t>
      </w:r>
      <w:r w:rsidRPr="00B93493">
        <w:t>:</w:t>
      </w:r>
    </w:p>
    <w:p w14:paraId="749DB3DF" w14:textId="77777777" w:rsidR="00CF04BC" w:rsidRPr="00B93493" w:rsidRDefault="00CF04BC" w:rsidP="00CF04BC">
      <w:pPr>
        <w:pStyle w:val="Blanc"/>
      </w:pPr>
    </w:p>
    <w:p w14:paraId="610A6014" w14:textId="77777777" w:rsidR="00CF04BC" w:rsidRPr="00B93493" w:rsidRDefault="00CF04BC" w:rsidP="00CF04BC">
      <w:pPr>
        <w:pStyle w:val="Equation"/>
      </w:pPr>
      <w:r w:rsidRPr="00B93493">
        <w:rPr>
          <w:i/>
          <w:iCs/>
        </w:rPr>
        <w:tab/>
      </w:r>
      <w:r w:rsidRPr="00B93493">
        <w:rPr>
          <w:i/>
          <w:iCs/>
        </w:rPr>
        <w:tab/>
        <w:t>s</w:t>
      </w:r>
      <w:r w:rsidRPr="00B93493">
        <w:t xml:space="preserve"> = </w:t>
      </w:r>
      <w:r w:rsidRPr="00B93493">
        <w:sym w:font="Symbol" w:char="F070"/>
      </w:r>
      <w:r w:rsidRPr="00B93493">
        <w:t xml:space="preserve"> </w:t>
      </w:r>
      <w:r w:rsidRPr="00B93493">
        <w:sym w:font="Symbol" w:char="F0D7"/>
      </w:r>
      <w:r w:rsidRPr="00B93493">
        <w:t xml:space="preserve"> 429</w:t>
      </w:r>
      <w:r w:rsidRPr="00B93493">
        <w:rPr>
          <w:vertAlign w:val="superscript"/>
        </w:rPr>
        <w:t xml:space="preserve">2 </w:t>
      </w:r>
      <w:r w:rsidRPr="00B93493">
        <w:t>= 578</w:t>
      </w:r>
      <w:r w:rsidRPr="00B93493">
        <w:rPr>
          <w:rFonts w:ascii="Tms Rmn" w:hAnsi="Tms Rmn"/>
          <w:sz w:val="12"/>
        </w:rPr>
        <w:t> </w:t>
      </w:r>
      <w:r w:rsidRPr="00B93493">
        <w:t xml:space="preserve">182 </w:t>
      </w:r>
      <w:r w:rsidRPr="00B93493">
        <w:rPr>
          <w:bCs/>
        </w:rPr>
        <w:t>km</w:t>
      </w:r>
      <w:r w:rsidRPr="00B93493">
        <w:rPr>
          <w:bCs/>
          <w:vertAlign w:val="superscript"/>
        </w:rPr>
        <w:t>2</w:t>
      </w:r>
    </w:p>
    <w:p w14:paraId="6614D906" w14:textId="77777777" w:rsidR="00CF04BC" w:rsidRPr="00B93493" w:rsidRDefault="00CF04BC" w:rsidP="00CF04BC">
      <w:pPr>
        <w:keepNext/>
        <w:keepLines/>
      </w:pPr>
      <w:r w:rsidRPr="00B93493">
        <w:t xml:space="preserve">and, taking into account that </w:t>
      </w:r>
      <w:r w:rsidRPr="00B93493">
        <w:rPr>
          <w:i/>
          <w:iCs/>
        </w:rPr>
        <w:t>b</w:t>
      </w:r>
      <w:r w:rsidRPr="00B93493">
        <w:rPr>
          <w:i/>
          <w:iCs/>
          <w:vertAlign w:val="subscript"/>
        </w:rPr>
        <w:t>j</w:t>
      </w:r>
      <w:r w:rsidRPr="00B93493">
        <w:t xml:space="preserve"> = 0.5, from equation (22) it follows:</w:t>
      </w:r>
    </w:p>
    <w:p w14:paraId="48D69B63" w14:textId="77777777" w:rsidR="00CF04BC" w:rsidRPr="00B93493" w:rsidRDefault="00CF04BC" w:rsidP="00CF04BC">
      <w:pPr>
        <w:pStyle w:val="Blanc"/>
      </w:pPr>
    </w:p>
    <w:p w14:paraId="6C14077E" w14:textId="77777777" w:rsidR="00CF04BC" w:rsidRPr="00B93493" w:rsidRDefault="00CF04BC" w:rsidP="00CF04BC">
      <w:pPr>
        <w:pStyle w:val="Equation"/>
        <w:keepNext/>
        <w:keepLines/>
      </w:pPr>
      <w:r w:rsidRPr="00B93493">
        <w:rPr>
          <w:i/>
          <w:iCs/>
        </w:rPr>
        <w:tab/>
      </w:r>
      <w:r w:rsidRPr="00B93493">
        <w:rPr>
          <w:i/>
          <w:iCs/>
        </w:rPr>
        <w:tab/>
        <w:t>S</w:t>
      </w:r>
      <w:r w:rsidRPr="00B93493">
        <w:t xml:space="preserve"> </w:t>
      </w:r>
      <w:r w:rsidRPr="00B93493">
        <w:rPr>
          <w:rFonts w:ascii="Symbol" w:hAnsi="Symbol"/>
        </w:rPr>
        <w:t></w:t>
      </w:r>
      <w:r w:rsidRPr="00B93493">
        <w:t xml:space="preserve"> 0.5 × </w:t>
      </w:r>
      <w:r w:rsidRPr="00B93493">
        <w:rPr>
          <w:color w:val="000000"/>
        </w:rPr>
        <w:t>578</w:t>
      </w:r>
      <w:r w:rsidRPr="00B93493">
        <w:rPr>
          <w:rFonts w:ascii="Tms Rmn" w:hAnsi="Tms Rmn"/>
          <w:color w:val="000000"/>
          <w:sz w:val="12"/>
        </w:rPr>
        <w:t> </w:t>
      </w:r>
      <w:r w:rsidRPr="00B93493">
        <w:rPr>
          <w:color w:val="000000"/>
        </w:rPr>
        <w:t xml:space="preserve">182 </w:t>
      </w:r>
      <w:r w:rsidRPr="00B93493">
        <w:rPr>
          <w:rFonts w:ascii="Symbol" w:hAnsi="Symbol"/>
          <w:color w:val="000000"/>
        </w:rPr>
        <w:t></w:t>
      </w:r>
      <w:r w:rsidRPr="00B93493">
        <w:rPr>
          <w:color w:val="000000"/>
        </w:rPr>
        <w:t xml:space="preserve"> 289</w:t>
      </w:r>
      <w:r w:rsidRPr="00B93493">
        <w:rPr>
          <w:rFonts w:ascii="Tms Rmn" w:hAnsi="Tms Rmn"/>
          <w:color w:val="000000"/>
          <w:sz w:val="12"/>
        </w:rPr>
        <w:t> </w:t>
      </w:r>
      <w:r w:rsidRPr="00B93493">
        <w:rPr>
          <w:color w:val="000000"/>
        </w:rPr>
        <w:t xml:space="preserve">091 </w:t>
      </w:r>
      <w:r w:rsidRPr="00B93493">
        <w:rPr>
          <w:bCs/>
        </w:rPr>
        <w:t>km</w:t>
      </w:r>
      <w:r w:rsidRPr="00B93493">
        <w:rPr>
          <w:vertAlign w:val="superscript"/>
        </w:rPr>
        <w:t>2</w:t>
      </w:r>
    </w:p>
    <w:p w14:paraId="57706781" w14:textId="77777777" w:rsidR="00CF04BC" w:rsidRPr="00B93493" w:rsidRDefault="00CF04BC" w:rsidP="00CF04BC">
      <w:pPr>
        <w:pStyle w:val="Blanc"/>
      </w:pPr>
    </w:p>
    <w:p w14:paraId="0E3FAE16" w14:textId="77777777" w:rsidR="00CF04BC" w:rsidRPr="00B93493" w:rsidRDefault="00CF04BC" w:rsidP="00CF04BC">
      <w:pPr>
        <w:pStyle w:val="Headingb"/>
      </w:pPr>
      <w:bookmarkStart w:id="1949" w:name="_Toc462234107"/>
      <w:bookmarkStart w:id="1950" w:name="_Toc454284938"/>
      <w:r w:rsidRPr="00B93493">
        <w:t>d)</w:t>
      </w:r>
      <w:r w:rsidRPr="00B93493">
        <w:tab/>
        <w:t>Spectral resource used</w:t>
      </w:r>
      <w:bookmarkEnd w:id="1949"/>
      <w:bookmarkEnd w:id="1950"/>
    </w:p>
    <w:p w14:paraId="3C063CE3" w14:textId="1E8B3A9E" w:rsidR="00CF04BC" w:rsidRPr="00B93493" w:rsidRDefault="00CF04BC" w:rsidP="00CF04BC">
      <w:r w:rsidRPr="00B93493">
        <w:t xml:space="preserve">Substituting values calculated in </w:t>
      </w:r>
      <w:r w:rsidR="00200C03">
        <w:t>b) and c) above</w:t>
      </w:r>
      <w:r w:rsidRPr="00B93493">
        <w:t xml:space="preserve"> to equation (20), using values of weighting coefficients presented in Table</w:t>
      </w:r>
      <w:r w:rsidR="00274DB9">
        <w:t xml:space="preserve"> </w:t>
      </w:r>
      <w:r>
        <w:rPr>
          <w:rFonts w:hint="eastAsia"/>
          <w:lang w:eastAsia="zh-CN"/>
        </w:rPr>
        <w:t>3</w:t>
      </w:r>
      <w:r w:rsidRPr="00B93493">
        <w:t xml:space="preserve"> and taking into account non-sharing conditions (</w:t>
      </w:r>
      <w:r w:rsidRPr="00B93493">
        <w:sym w:font="Symbol" w:char="F062"/>
      </w:r>
      <w:r w:rsidRPr="00B93493">
        <w:t xml:space="preserve"> = 1), </w:t>
      </w:r>
      <w:r w:rsidR="00092428">
        <w:t>is obtained</w:t>
      </w:r>
      <w:r w:rsidRPr="00B93493">
        <w:t>:</w:t>
      </w:r>
    </w:p>
    <w:p w14:paraId="565AA176" w14:textId="77777777" w:rsidR="00CF04BC" w:rsidRPr="00B93493" w:rsidRDefault="00CF04BC" w:rsidP="00CF04BC">
      <w:pPr>
        <w:pStyle w:val="Blanc"/>
      </w:pPr>
    </w:p>
    <w:p w14:paraId="6DF11344" w14:textId="77777777" w:rsidR="00CF04BC" w:rsidRPr="00B93493" w:rsidRDefault="00CF04BC" w:rsidP="00CF04BC">
      <w:pPr>
        <w:pStyle w:val="Equation"/>
      </w:pPr>
      <w:r w:rsidRPr="00B93493">
        <w:rPr>
          <w:i/>
        </w:rPr>
        <w:tab/>
        <w:t>W</w:t>
      </w:r>
      <w:r w:rsidRPr="00B93493">
        <w:t xml:space="preserve"> = 0.1 × 0.02 × 0.1 × 0.2 × 1 × 0.3 × 289</w:t>
      </w:r>
      <w:r w:rsidRPr="00B93493">
        <w:rPr>
          <w:rFonts w:ascii="Tms Rmn" w:hAnsi="Tms Rmn"/>
          <w:sz w:val="12"/>
        </w:rPr>
        <w:t> </w:t>
      </w:r>
      <w:r w:rsidRPr="00B93493">
        <w:t xml:space="preserve">091 × 1 = 3.5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p>
    <w:p w14:paraId="547D0B04" w14:textId="77777777" w:rsidR="00CF04BC" w:rsidRPr="00B93493" w:rsidRDefault="00CF04BC" w:rsidP="00CF04BC">
      <w:pPr>
        <w:pStyle w:val="Blanc"/>
      </w:pPr>
    </w:p>
    <w:p w14:paraId="5C1C8745" w14:textId="77777777" w:rsidR="00CF04BC" w:rsidRPr="00B93493" w:rsidRDefault="00CF04BC" w:rsidP="00CF04BC">
      <w:pPr>
        <w:pStyle w:val="Heading4"/>
      </w:pPr>
      <w:r w:rsidRPr="00B93493">
        <w:rPr>
          <w:rFonts w:eastAsia="SimSun"/>
          <w:lang w:eastAsia="zh-CN"/>
        </w:rPr>
        <w:t>4.7.7.3</w:t>
      </w:r>
      <w:r w:rsidRPr="00B93493">
        <w:rPr>
          <w:rFonts w:eastAsia="SimSun"/>
          <w:lang w:eastAsia="zh-CN"/>
        </w:rPr>
        <w:tab/>
      </w:r>
      <w:r w:rsidRPr="00B93493">
        <w:t>Fixed radio services</w:t>
      </w:r>
    </w:p>
    <w:p w14:paraId="4D7E54B5" w14:textId="77777777" w:rsidR="00CF04BC" w:rsidRPr="00B93493" w:rsidRDefault="00CF04BC" w:rsidP="00CF04BC">
      <w:pPr>
        <w:pStyle w:val="Headingb"/>
      </w:pPr>
      <w:bookmarkStart w:id="1951" w:name="_Toc454284939"/>
      <w:bookmarkStart w:id="1952" w:name="_Toc462234108"/>
      <w:r w:rsidRPr="00B93493">
        <w:rPr>
          <w:rFonts w:eastAsia="SimSun"/>
        </w:rPr>
        <w:t>a)</w:t>
      </w:r>
      <w:r w:rsidRPr="00B93493">
        <w:rPr>
          <w:rFonts w:eastAsia="SimSun"/>
        </w:rPr>
        <w:tab/>
      </w:r>
      <w:r w:rsidRPr="00B93493">
        <w:t>Calculation procedures</w:t>
      </w:r>
      <w:bookmarkEnd w:id="1951"/>
      <w:bookmarkEnd w:id="1952"/>
    </w:p>
    <w:p w14:paraId="02847A26" w14:textId="65AC23F1" w:rsidR="00CF04BC" w:rsidRPr="00B93493" w:rsidRDefault="00CF04BC" w:rsidP="00CF04BC">
      <w:r w:rsidRPr="00B93493">
        <w:t>All fixed radiocommunications, HF radio links and UHF/SHF radio relay links (RRL), nowadays use directional and highly directional antennas. Taking this into account, for calculation of area occupied by an emission a “service sector” concept, given by Recommendation ITU-R F.162-3, can be used. This Recommendation states that for HF fixed links the service sector is very close to twice the angular width of the main beam measured to the half-power (</w:t>
      </w:r>
      <w:r w:rsidR="00BD100F">
        <w:t>−</w:t>
      </w:r>
      <w:r w:rsidRPr="00B93493">
        <w:t>3 dB) point. Taking into account the same physical background, for purposes of the given license fee calculation Model, this concept is accepted for RRL links and for all other radio applications when directional antennas are used.</w:t>
      </w:r>
    </w:p>
    <w:p w14:paraId="2F4EC7D7" w14:textId="3336BFEC" w:rsidR="00CF04BC" w:rsidRPr="00B93493" w:rsidRDefault="00CF04BC" w:rsidP="00CF04BC">
      <w:r w:rsidRPr="00B93493">
        <w:t>Therefore, if relevant antenna beam-width is known (from the national frequency assignment database or, on special request, from the operator or user) relevant emission occupied area can be determined as</w:t>
      </w:r>
      <w:r w:rsidR="00092428">
        <w:t>:</w:t>
      </w:r>
    </w:p>
    <w:p w14:paraId="7C555A3F" w14:textId="77777777" w:rsidR="00CF04BC" w:rsidRPr="00B93493" w:rsidRDefault="00CF04BC" w:rsidP="00CF04BC">
      <w:pPr>
        <w:pStyle w:val="Blanc"/>
      </w:pPr>
    </w:p>
    <w:p w14:paraId="7250CFA3" w14:textId="110CF6E4" w:rsidR="00200C03" w:rsidRDefault="00CF04BC" w:rsidP="00CF04BC">
      <w:pPr>
        <w:pStyle w:val="Equation"/>
      </w:pPr>
      <w:r w:rsidRPr="00B93493">
        <w:tab/>
      </w:r>
      <w:r w:rsidR="00200C03">
        <w:tab/>
      </w:r>
      <m:oMath>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2</m:t>
            </m:r>
            <m:r>
              <m:rPr>
                <m:sty m:val="p"/>
              </m:rPr>
              <w:rPr>
                <w:rFonts w:ascii="Cambria Math" w:hAnsi="Cambria Math"/>
              </w:rPr>
              <m:t>θ</m:t>
            </m:r>
          </m:num>
          <m:den>
            <m:r>
              <w:rPr>
                <w:rFonts w:ascii="Cambria Math" w:hAnsi="Cambria Math"/>
              </w:rPr>
              <m:t>360</m:t>
            </m:r>
          </m:den>
        </m:f>
        <m:r>
          <w:rPr>
            <w:rFonts w:ascii="Cambria Math" w:hAnsi="Cambria Math"/>
          </w:rPr>
          <m:t>∙</m:t>
        </m:r>
        <m:r>
          <m:rPr>
            <m:sty m:val="p"/>
          </m:rPr>
          <w:rPr>
            <w:rFonts w:ascii="Cambria Math" w:hAnsi="Cambria Math"/>
          </w:rPr>
          <m:t>π</m:t>
        </m:r>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c</m:t>
            </m:r>
          </m:sub>
          <m:sup>
            <m:r>
              <w:rPr>
                <w:rFonts w:ascii="Cambria Math" w:hAnsi="Cambria Math"/>
              </w:rPr>
              <m:t>2</m:t>
            </m:r>
          </m:sup>
        </m:sSubSup>
        <m:r>
          <w:rPr>
            <w:rFonts w:ascii="Cambria Math" w:hAnsi="Cambria Math"/>
          </w:rPr>
          <m:t>=</m:t>
        </m:r>
        <m:f>
          <m:fPr>
            <m:ctrlPr>
              <w:rPr>
                <w:rFonts w:ascii="Cambria Math" w:hAnsi="Cambria Math"/>
                <w:i/>
              </w:rPr>
            </m:ctrlPr>
          </m:fPr>
          <m:num>
            <m:r>
              <m:rPr>
                <m:sty m:val="p"/>
              </m:rPr>
              <w:rPr>
                <w:rFonts w:ascii="Cambria Math" w:hAnsi="Cambria Math"/>
              </w:rPr>
              <m:t>θ</m:t>
            </m:r>
          </m:num>
          <m:den>
            <m:r>
              <w:rPr>
                <w:rFonts w:ascii="Cambria Math" w:hAnsi="Cambria Math"/>
              </w:rPr>
              <m:t>180</m:t>
            </m:r>
          </m:den>
        </m:f>
        <m:r>
          <w:rPr>
            <w:rFonts w:ascii="Cambria Math" w:hAnsi="Cambria Math"/>
          </w:rPr>
          <m:t>∙</m:t>
        </m:r>
        <m:r>
          <m:rPr>
            <m:sty m:val="p"/>
          </m:rPr>
          <w:rPr>
            <w:rFonts w:ascii="Cambria Math" w:hAnsi="Cambria Math"/>
          </w:rPr>
          <m:t>π</m:t>
        </m:r>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c</m:t>
            </m:r>
          </m:sub>
          <m:sup>
            <m:r>
              <w:rPr>
                <w:rFonts w:ascii="Cambria Math" w:hAnsi="Cambria Math"/>
              </w:rPr>
              <m:t>2</m:t>
            </m:r>
          </m:sup>
        </m:sSubSup>
      </m:oMath>
      <w:r w:rsidR="00200C03">
        <w:tab/>
        <w:t>(50)</w:t>
      </w:r>
    </w:p>
    <w:p w14:paraId="0E92C531" w14:textId="77777777" w:rsidR="00CF04BC" w:rsidRPr="00B93493" w:rsidRDefault="00CF04BC" w:rsidP="00CF04BC">
      <w:pPr>
        <w:pStyle w:val="Blanc"/>
      </w:pPr>
    </w:p>
    <w:p w14:paraId="2FA3B168" w14:textId="77777777" w:rsidR="00CF04BC" w:rsidRPr="00B93493" w:rsidRDefault="00CF04BC" w:rsidP="00CF04BC">
      <w:r w:rsidRPr="00B93493">
        <w:t>where:</w:t>
      </w:r>
    </w:p>
    <w:p w14:paraId="35D9BCFF" w14:textId="77777777" w:rsidR="00CF04BC" w:rsidRPr="00B93493" w:rsidRDefault="00CF04BC" w:rsidP="00CF04BC">
      <w:pPr>
        <w:pStyle w:val="Equationlegend"/>
      </w:pPr>
      <w:r w:rsidRPr="00B93493">
        <w:rPr>
          <w:i/>
          <w:iCs/>
        </w:rPr>
        <w:tab/>
        <w:t>S</w:t>
      </w:r>
      <w:r w:rsidRPr="00B93493">
        <w:rPr>
          <w:i/>
          <w:iCs/>
          <w:vertAlign w:val="subscript"/>
        </w:rPr>
        <w:t>o</w:t>
      </w:r>
      <w:r w:rsidRPr="00B93493">
        <w:rPr>
          <w:sz w:val="12"/>
        </w:rPr>
        <w:t> </w:t>
      </w:r>
      <w:r w:rsidRPr="00B93493">
        <w:t>:</w:t>
      </w:r>
      <w:r w:rsidRPr="00B93493">
        <w:tab/>
        <w:t>area occupied by an emission (km</w:t>
      </w:r>
      <w:r w:rsidRPr="00B93493">
        <w:rPr>
          <w:vertAlign w:val="superscript"/>
        </w:rPr>
        <w:t>2</w:t>
      </w:r>
      <w:r w:rsidRPr="00B93493">
        <w:t>)</w:t>
      </w:r>
    </w:p>
    <w:p w14:paraId="7D3450C9" w14:textId="77777777" w:rsidR="00CF04BC" w:rsidRPr="00B93493" w:rsidRDefault="00CF04BC" w:rsidP="00CF04BC">
      <w:pPr>
        <w:pStyle w:val="Equationlegend"/>
      </w:pPr>
      <w:r w:rsidRPr="00B93493">
        <w:tab/>
      </w:r>
      <w:r w:rsidRPr="00B93493">
        <w:sym w:font="Symbol" w:char="F071"/>
      </w:r>
      <w:r w:rsidRPr="00B93493">
        <w:rPr>
          <w:sz w:val="12"/>
        </w:rPr>
        <w:t> </w:t>
      </w:r>
      <w:r w:rsidRPr="00B93493">
        <w:t>:</w:t>
      </w:r>
      <w:r w:rsidRPr="00B93493">
        <w:tab/>
        <w:t>antenna beam-width (degrees)</w:t>
      </w:r>
    </w:p>
    <w:p w14:paraId="5B0C1A2A" w14:textId="77777777" w:rsidR="00CF04BC" w:rsidRPr="00B93493" w:rsidRDefault="00CF04BC" w:rsidP="00CF04BC">
      <w:pPr>
        <w:pStyle w:val="Equationlegend"/>
      </w:pPr>
      <w:r w:rsidRPr="00B93493">
        <w:tab/>
      </w:r>
      <w:r w:rsidRPr="00B93493">
        <w:rPr>
          <w:i/>
          <w:iCs/>
        </w:rPr>
        <w:t>L</w:t>
      </w:r>
      <w:r w:rsidRPr="00B93493">
        <w:rPr>
          <w:i/>
          <w:iCs/>
          <w:vertAlign w:val="subscript"/>
        </w:rPr>
        <w:t>c</w:t>
      </w:r>
      <w:r w:rsidRPr="00B93493">
        <w:rPr>
          <w:sz w:val="12"/>
        </w:rPr>
        <w:t> </w:t>
      </w:r>
      <w:r w:rsidRPr="00B93493">
        <w:t>:</w:t>
      </w:r>
      <w:r w:rsidRPr="00B93493">
        <w:tab/>
        <w:t>length of the radio link (km).</w:t>
      </w:r>
    </w:p>
    <w:p w14:paraId="7A54B3DE" w14:textId="77777777" w:rsidR="00CF04BC" w:rsidRPr="00B93493" w:rsidRDefault="00CF04BC" w:rsidP="00CF04BC">
      <w:pPr>
        <w:pStyle w:val="Normalaftertitle"/>
      </w:pPr>
      <w:r w:rsidRPr="00B93493">
        <w:t xml:space="preserve">Fixed radio links, especially RRL, usually are planned very carefully, planning methods are sophisticated and significant fading allowances are usually used. Taking this into account and aiming to avoid complicated calculations, for purposes of the given model it is proposed to use exact distance between relevant transmitter and receiver as the length of the radio link </w:t>
      </w:r>
      <w:r w:rsidRPr="00B93493">
        <w:rPr>
          <w:i/>
          <w:iCs/>
        </w:rPr>
        <w:t>L</w:t>
      </w:r>
      <w:r w:rsidRPr="00B93493">
        <w:rPr>
          <w:i/>
          <w:iCs/>
          <w:vertAlign w:val="subscript"/>
        </w:rPr>
        <w:t>c</w:t>
      </w:r>
      <w:r w:rsidRPr="00B93493">
        <w:t>. For RRL it will be one hop between two RRL stations.</w:t>
      </w:r>
    </w:p>
    <w:p w14:paraId="1E853A18" w14:textId="77777777" w:rsidR="00CF04BC" w:rsidRPr="00B93493" w:rsidRDefault="00CF04BC" w:rsidP="00CF04BC">
      <w:pPr>
        <w:widowControl w:val="0"/>
      </w:pPr>
      <w:r w:rsidRPr="00B93493">
        <w:t xml:space="preserve">On determination of </w:t>
      </w:r>
      <w:r w:rsidRPr="00B93493">
        <w:rPr>
          <w:i/>
        </w:rPr>
        <w:t>S</w:t>
      </w:r>
      <w:r w:rsidRPr="00B93493">
        <w:rPr>
          <w:i/>
          <w:vertAlign w:val="subscript"/>
        </w:rPr>
        <w:t>o</w:t>
      </w:r>
      <w:r w:rsidRPr="00B93493">
        <w:t xml:space="preserve">, related territorial resource can be calculated in accordance with equation (22). Provisions concerning coverage of several zones belonging to different license fees categories are the same although here influence of this factor is considerable smaller, especially for RRL, due to considerably smaller values of sector widths. Nevertheless, if an administration likes to increase calculation accuracy, the following equation is applicable for the case when a service sector crosses two areas in approximately perpendicular direction at a distance </w:t>
      </w:r>
      <w:r w:rsidRPr="00B93493">
        <w:rPr>
          <w:i/>
          <w:iCs/>
        </w:rPr>
        <w:t>L</w:t>
      </w:r>
      <w:r w:rsidRPr="00B93493">
        <w:rPr>
          <w:i/>
          <w:iCs/>
          <w:vertAlign w:val="subscript"/>
        </w:rPr>
        <w:t>b</w:t>
      </w:r>
      <w:r w:rsidRPr="00B93493">
        <w:t xml:space="preserve"> from the transmitter:</w:t>
      </w:r>
    </w:p>
    <w:p w14:paraId="78127AAA" w14:textId="77777777" w:rsidR="00CF04BC" w:rsidRPr="00B93493" w:rsidRDefault="00CF04BC" w:rsidP="00CF04BC">
      <w:pPr>
        <w:pStyle w:val="Equation"/>
      </w:pPr>
      <w:r>
        <w:tab/>
      </w:r>
      <w:r w:rsidRPr="00B93493">
        <w:tab/>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θ</m:t>
            </m:r>
          </m:num>
          <m:den>
            <m:r>
              <w:rPr>
                <w:rFonts w:ascii="Cambria Math" w:hAnsi="Cambria Math"/>
              </w:rPr>
              <m:t>180</m:t>
            </m:r>
          </m:den>
        </m:f>
        <m:r>
          <w:rPr>
            <w:rFonts w:ascii="Cambria Math" w:hAnsi="Cambria Math"/>
          </w:rPr>
          <m:t>∙</m:t>
        </m:r>
        <m:r>
          <m:rPr>
            <m:sty m:val="p"/>
          </m:rPr>
          <w:rPr>
            <w:rFonts w:ascii="Cambria Math" w:hAnsi="Cambria Math"/>
          </w:rPr>
          <m:t>π</m:t>
        </m:r>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b</m:t>
            </m:r>
          </m:sub>
          <m:sup>
            <m:r>
              <w:rPr>
                <w:rFonts w:ascii="Cambria Math" w:hAnsi="Cambria Math"/>
              </w:rPr>
              <m:t>2</m:t>
            </m:r>
          </m:sup>
        </m:sSubSup>
      </m:oMath>
    </w:p>
    <w:p w14:paraId="77F8C4B0" w14:textId="77777777" w:rsidR="00CF04BC" w:rsidRPr="00B93493" w:rsidRDefault="00CF04BC" w:rsidP="00CF04BC">
      <w:pPr>
        <w:pStyle w:val="Equation"/>
      </w:pPr>
      <w:r>
        <w:tab/>
      </w:r>
      <w:r w:rsidRPr="00B93493">
        <w:tab/>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r>
              <m:rPr>
                <m:sty m:val="p"/>
              </m:rPr>
              <w:rPr>
                <w:rFonts w:ascii="Cambria Math" w:hAnsi="Cambria Math"/>
              </w:rPr>
              <m:t>θ</m:t>
            </m:r>
          </m:num>
          <m:den>
            <m:r>
              <w:rPr>
                <w:rFonts w:ascii="Cambria Math" w:hAnsi="Cambria Math"/>
              </w:rPr>
              <m:t>180</m:t>
            </m:r>
          </m:den>
        </m:f>
        <m:r>
          <w:rPr>
            <w:rFonts w:ascii="Cambria Math" w:hAnsi="Cambria Math"/>
          </w:rPr>
          <m:t>∙</m:t>
        </m:r>
        <m:r>
          <m:rPr>
            <m:sty m:val="p"/>
          </m:rPr>
          <w:rPr>
            <w:rFonts w:ascii="Cambria Math" w:hAnsi="Cambria Math"/>
          </w:rPr>
          <m:t>π</m:t>
        </m:r>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L</m:t>
                </m:r>
              </m:e>
              <m:sub>
                <m:r>
                  <w:rPr>
                    <w:rFonts w:ascii="Cambria Math" w:hAnsi="Cambria Math"/>
                  </w:rPr>
                  <m:t>c</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b</m:t>
                </m:r>
              </m:sub>
              <m:sup>
                <m:r>
                  <w:rPr>
                    <w:rFonts w:ascii="Cambria Math" w:hAnsi="Cambria Math"/>
                  </w:rPr>
                  <m:t>2</m:t>
                </m:r>
              </m:sup>
            </m:sSubSup>
          </m:e>
        </m:d>
      </m:oMath>
    </w:p>
    <w:p w14:paraId="1D9E9ABC" w14:textId="77777777" w:rsidR="00CF04BC" w:rsidRPr="00B93493" w:rsidRDefault="00CF04BC" w:rsidP="00CF04BC">
      <w:pPr>
        <w:pStyle w:val="Blanc"/>
      </w:pPr>
    </w:p>
    <w:p w14:paraId="68A2EF71" w14:textId="77777777" w:rsidR="00CF04BC" w:rsidRPr="00B93493" w:rsidRDefault="00CF04BC" w:rsidP="00CF04BC">
      <w:r w:rsidRPr="00B93493">
        <w:t xml:space="preserve">In accordance with the concept presented in § 4.7.1, for overseas HF communications </w:t>
      </w:r>
      <w:r w:rsidRPr="00B93493">
        <w:rPr>
          <w:i/>
          <w:iCs/>
        </w:rPr>
        <w:t>L</w:t>
      </w:r>
      <w:r w:rsidRPr="00B93493">
        <w:rPr>
          <w:i/>
          <w:iCs/>
          <w:vertAlign w:val="subscript"/>
        </w:rPr>
        <w:t>c</w:t>
      </w:r>
      <w:r w:rsidRPr="00B93493">
        <w:t xml:space="preserve"> is determined by the distance from the transmitter to the country border in the direction of the transmission.</w:t>
      </w:r>
    </w:p>
    <w:p w14:paraId="4DC8B763" w14:textId="77777777" w:rsidR="00CF04BC" w:rsidRPr="00B93493" w:rsidRDefault="00CF04BC" w:rsidP="00CF04BC">
      <w:r w:rsidRPr="00B93493">
        <w:t>Frequency and time resources and, then, spectral resource are calculated similarly to other cases above. As far as multi-station RRL can carry different numbers of channels at different hops due to branching and hop-lengths are different, spectral resources are calculated separately for each hop and then all values are summed.</w:t>
      </w:r>
    </w:p>
    <w:p w14:paraId="28303C0A" w14:textId="77777777" w:rsidR="00CF04BC" w:rsidRPr="00B93493" w:rsidRDefault="00CF04BC" w:rsidP="00CF04BC">
      <w:pPr>
        <w:pStyle w:val="Heading4"/>
      </w:pPr>
      <w:r w:rsidRPr="00B93493">
        <w:rPr>
          <w:rFonts w:eastAsia="SimSun"/>
          <w:lang w:eastAsia="zh-CN"/>
        </w:rPr>
        <w:t>4.7.7.4</w:t>
      </w:r>
      <w:r w:rsidRPr="00B93493">
        <w:rPr>
          <w:rFonts w:eastAsia="SimSun"/>
          <w:lang w:eastAsia="zh-CN"/>
        </w:rPr>
        <w:tab/>
      </w:r>
      <w:r w:rsidRPr="00B93493">
        <w:t>Example of calculations</w:t>
      </w:r>
    </w:p>
    <w:p w14:paraId="5D7C14C3" w14:textId="77777777" w:rsidR="00CF04BC" w:rsidRPr="00B93493" w:rsidRDefault="00CF04BC" w:rsidP="00CF04BC">
      <w:pPr>
        <w:pStyle w:val="Headingb"/>
      </w:pPr>
      <w:bookmarkStart w:id="1953" w:name="_Toc454284940"/>
      <w:bookmarkStart w:id="1954" w:name="_Toc462234109"/>
      <w:r w:rsidRPr="00B93493">
        <w:t>a)</w:t>
      </w:r>
      <w:r w:rsidRPr="00B93493">
        <w:tab/>
        <w:t>Incoming parameters</w:t>
      </w:r>
      <w:bookmarkEnd w:id="1953"/>
      <w:bookmarkEnd w:id="1954"/>
    </w:p>
    <w:p w14:paraId="7C356177" w14:textId="5BB6C578" w:rsidR="00CF04BC" w:rsidRPr="00B93493" w:rsidRDefault="00CF04BC" w:rsidP="00CF04BC">
      <w:r w:rsidRPr="00B93493">
        <w:t>Let us calculate a spectral resource used by one hop of a RRL in 2 GHz frequency band. Hop-length is 45 km, antenna beam-widths of both stations are 1.5</w:t>
      </w:r>
      <w:r w:rsidRPr="00B93493">
        <w:rPr>
          <w:szCs w:val="24"/>
        </w:rPr>
        <w:sym w:font="Symbol" w:char="F0B0"/>
      </w:r>
      <w:r w:rsidRPr="00B93493">
        <w:t xml:space="preserve"> each (and it corresponds to</w:t>
      </w:r>
      <w:r w:rsidR="00C718C5">
        <w:t xml:space="preserve"> </w:t>
      </w:r>
      <w:r w:rsidR="00C718C5" w:rsidRPr="00C718C5">
        <w:rPr>
          <w:i/>
          <w:iCs/>
        </w:rPr>
        <w:t>G</w:t>
      </w:r>
      <w:r w:rsidR="00C718C5">
        <w:t xml:space="preserve"> </w:t>
      </w:r>
      <w:r w:rsidR="00C718C5">
        <w:sym w:font="Symbol" w:char="F0BB"/>
      </w:r>
      <w:r w:rsidRPr="00B93493">
        <w:t xml:space="preserve"> 40 dB). This hop lies within one zone categorized by Table </w:t>
      </w:r>
      <w:r>
        <w:rPr>
          <w:rFonts w:hint="eastAsia"/>
          <w:lang w:eastAsia="zh-CN"/>
        </w:rPr>
        <w:t>2</w:t>
      </w:r>
      <w:r w:rsidRPr="00B93493">
        <w:t xml:space="preserve"> as 0.4 and carries 960 telephone channels in both directions with parameters corresponding those indicated in Recommendation ITU</w:t>
      </w:r>
      <w:r w:rsidRPr="00B93493">
        <w:noBreakHyphen/>
        <w:t>R SM.1138-2 “Frequency modulation”, subsection 5 “Composite emissions”, RRL with 960 channels.</w:t>
      </w:r>
    </w:p>
    <w:p w14:paraId="26E91043" w14:textId="77777777" w:rsidR="00CF04BC" w:rsidRPr="00B93493" w:rsidRDefault="00CF04BC" w:rsidP="00CF04BC">
      <w:pPr>
        <w:pStyle w:val="Headingb"/>
      </w:pPr>
      <w:bookmarkStart w:id="1955" w:name="_Toc462234110"/>
      <w:bookmarkStart w:id="1956" w:name="_Toc454284941"/>
      <w:r w:rsidRPr="00B93493">
        <w:t>b)</w:t>
      </w:r>
      <w:r w:rsidRPr="00B93493">
        <w:tab/>
        <w:t>Time and frequency resources used</w:t>
      </w:r>
      <w:bookmarkEnd w:id="1955"/>
      <w:bookmarkEnd w:id="1956"/>
    </w:p>
    <w:p w14:paraId="5621A1E5" w14:textId="77777777" w:rsidR="00CF04BC" w:rsidRPr="00B93493" w:rsidRDefault="00CF04BC" w:rsidP="00CF04BC">
      <w:r w:rsidRPr="00B93493">
        <w:t>Taking into account principally continuous mode of RRL operation, from equation (21) it follows:</w:t>
      </w:r>
    </w:p>
    <w:p w14:paraId="634CB9F0" w14:textId="77777777" w:rsidR="00CF04BC" w:rsidRPr="00B93493" w:rsidRDefault="00CF04BC" w:rsidP="00CF04BC">
      <w:pPr>
        <w:pStyle w:val="Blanc"/>
      </w:pPr>
    </w:p>
    <w:p w14:paraId="11860DAC" w14:textId="77777777" w:rsidR="00CF04BC" w:rsidRPr="00B93493" w:rsidRDefault="00CF04BC" w:rsidP="00CF04BC">
      <w:pPr>
        <w:pStyle w:val="Equation"/>
      </w:pPr>
      <w:r w:rsidRPr="00B93493">
        <w:tab/>
      </w:r>
      <w:r w:rsidRPr="00B93493">
        <w:tab/>
      </w:r>
      <w:r w:rsidRPr="00B93493">
        <w:rPr>
          <w:i/>
        </w:rPr>
        <w:t>T</w:t>
      </w:r>
      <w:r w:rsidRPr="00B93493">
        <w:t xml:space="preserve"> = 24/24 (each day) = 1 year</w:t>
      </w:r>
    </w:p>
    <w:p w14:paraId="5EC73F06" w14:textId="77777777" w:rsidR="00CF04BC" w:rsidRPr="00B93493" w:rsidRDefault="00CF04BC" w:rsidP="00CF04BC">
      <w:pPr>
        <w:pStyle w:val="Blanc"/>
      </w:pPr>
    </w:p>
    <w:p w14:paraId="1CC9A438" w14:textId="63E4ED6D" w:rsidR="00CF04BC" w:rsidRPr="00B93493" w:rsidRDefault="00CF04BC" w:rsidP="00CF04BC">
      <w:r w:rsidRPr="00B93493">
        <w:t>In accordance with data, presented in above</w:t>
      </w:r>
      <w:r w:rsidR="00C718C5">
        <w:t>-</w:t>
      </w:r>
      <w:r w:rsidRPr="00B93493">
        <w:t>mentioned subsection of Recommendation ITU</w:t>
      </w:r>
      <w:r w:rsidRPr="00B93493">
        <w:noBreakHyphen/>
        <w:t xml:space="preserve">R SM.1138-2, </w:t>
      </w:r>
      <w:r w:rsidRPr="00B93493">
        <w:rPr>
          <w:i/>
        </w:rPr>
        <w:t>B</w:t>
      </w:r>
      <w:r w:rsidRPr="00B93493">
        <w:rPr>
          <w:i/>
          <w:vertAlign w:val="subscript"/>
        </w:rPr>
        <w:t>n</w:t>
      </w:r>
      <w:r w:rsidRPr="00B93493">
        <w:t xml:space="preserve"> = 16.32 MHz (for both transmission directions). Therefore</w:t>
      </w:r>
      <w:r>
        <w:rPr>
          <w:rFonts w:hint="eastAsia"/>
          <w:lang w:eastAsia="zh-CN"/>
        </w:rPr>
        <w:t>,</w:t>
      </w:r>
      <w:r w:rsidRPr="00B93493">
        <w:t xml:space="preserve"> the overall used frequency resource, accepting in equation (24)</w:t>
      </w:r>
      <w:r w:rsidRPr="00B93493">
        <w:fldChar w:fldCharType="begin"/>
      </w:r>
      <w:r w:rsidRPr="00B93493">
        <w:fldChar w:fldCharType="end"/>
      </w:r>
      <w:r w:rsidRPr="00B93493">
        <w:t>, can be found as:</w:t>
      </w:r>
    </w:p>
    <w:p w14:paraId="7EADC66A" w14:textId="77777777" w:rsidR="00CF04BC" w:rsidRPr="00B93493" w:rsidRDefault="00CF04BC" w:rsidP="00CF04BC">
      <w:pPr>
        <w:pStyle w:val="Blanc"/>
      </w:pPr>
    </w:p>
    <w:p w14:paraId="6BA1DB0C" w14:textId="77777777" w:rsidR="00CF04BC" w:rsidRPr="00B93493" w:rsidRDefault="00CF04BC" w:rsidP="00CF04BC">
      <w:pPr>
        <w:pStyle w:val="Equation"/>
      </w:pPr>
      <w:r w:rsidRPr="00B93493">
        <w:rPr>
          <w:i/>
        </w:rPr>
        <w:tab/>
      </w:r>
      <w:r w:rsidRPr="00B93493">
        <w:rPr>
          <w:i/>
        </w:rPr>
        <w:tab/>
        <w:t>F</w:t>
      </w:r>
      <w:r w:rsidRPr="00B93493">
        <w:t xml:space="preserve"> = 2 × 16.3 = 32.6 MHz</w:t>
      </w:r>
    </w:p>
    <w:p w14:paraId="3B5D5605" w14:textId="77777777" w:rsidR="00CF04BC" w:rsidRPr="00B93493" w:rsidRDefault="00CF04BC" w:rsidP="00CF04BC">
      <w:pPr>
        <w:pStyle w:val="Blanc"/>
      </w:pPr>
    </w:p>
    <w:p w14:paraId="06B9BEA2" w14:textId="77777777" w:rsidR="00CF04BC" w:rsidRPr="00B93493" w:rsidRDefault="00CF04BC" w:rsidP="00CF04BC">
      <w:pPr>
        <w:pStyle w:val="Headingb"/>
      </w:pPr>
      <w:bookmarkStart w:id="1957" w:name="_Toc454284942"/>
      <w:bookmarkStart w:id="1958" w:name="_Toc462234111"/>
      <w:r w:rsidRPr="00B93493">
        <w:t>c)</w:t>
      </w:r>
      <w:r w:rsidRPr="00B93493">
        <w:tab/>
        <w:t>Territorial resource used</w:t>
      </w:r>
      <w:bookmarkEnd w:id="1957"/>
      <w:bookmarkEnd w:id="1958"/>
    </w:p>
    <w:p w14:paraId="1ED304E6" w14:textId="5A2311E9" w:rsidR="00CF04BC" w:rsidRPr="00B93493" w:rsidRDefault="00CF04BC" w:rsidP="00CF04BC">
      <w:r w:rsidRPr="00B93493">
        <w:t xml:space="preserve">Substituting relevant data from </w:t>
      </w:r>
      <w:r w:rsidR="00200C03">
        <w:t>a) above</w:t>
      </w:r>
      <w:r w:rsidRPr="00B93493">
        <w:t xml:space="preserve"> to equation (50) </w:t>
      </w:r>
      <w:r w:rsidR="00200C03">
        <w:t>is obtained</w:t>
      </w:r>
      <w:r w:rsidRPr="00B93493">
        <w:t>:</w:t>
      </w:r>
    </w:p>
    <w:p w14:paraId="206FC04D" w14:textId="77777777" w:rsidR="00CF04BC" w:rsidRPr="00B93493" w:rsidRDefault="00CF04BC" w:rsidP="00CF04BC">
      <w:pPr>
        <w:pStyle w:val="Blanc"/>
      </w:pPr>
    </w:p>
    <w:p w14:paraId="7A310E27" w14:textId="395C8B5F" w:rsidR="00CF04BC" w:rsidRPr="00B93493" w:rsidRDefault="00CF04BC" w:rsidP="00CF04BC">
      <w:pPr>
        <w:pStyle w:val="Equation"/>
      </w:pPr>
      <w:r w:rsidRPr="00B93493">
        <w:rPr>
          <w:i/>
          <w:iCs/>
        </w:rPr>
        <w:tab/>
      </w:r>
      <w:r w:rsidRPr="00B93493">
        <w:rPr>
          <w:i/>
          <w:iCs/>
        </w:rPr>
        <w:tab/>
      </w:r>
      <w:r w:rsidR="00200C03" w:rsidRPr="00B93493">
        <w:rPr>
          <w:i/>
          <w:iCs/>
        </w:rPr>
        <w:t>S</w:t>
      </w:r>
      <w:r w:rsidRPr="00B93493">
        <w:rPr>
          <w:i/>
          <w:iCs/>
          <w:vertAlign w:val="subscript"/>
        </w:rPr>
        <w:t>o</w:t>
      </w:r>
      <w:r w:rsidRPr="00B93493">
        <w:t xml:space="preserve"> = (1.5/180) × 3.14 × 45</w:t>
      </w:r>
      <w:r w:rsidRPr="00B93493">
        <w:rPr>
          <w:vertAlign w:val="superscript"/>
        </w:rPr>
        <w:t>2</w:t>
      </w:r>
      <w:r w:rsidRPr="00B93493">
        <w:t xml:space="preserve"> = 53 km</w:t>
      </w:r>
      <w:r w:rsidRPr="00B93493">
        <w:rPr>
          <w:vertAlign w:val="superscript"/>
        </w:rPr>
        <w:t>2</w:t>
      </w:r>
    </w:p>
    <w:p w14:paraId="46F8F99C" w14:textId="77777777" w:rsidR="00CF04BC" w:rsidRPr="00B93493" w:rsidRDefault="00CF04BC" w:rsidP="00CF04BC">
      <w:pPr>
        <w:keepNext/>
        <w:keepLines/>
      </w:pPr>
      <w:r w:rsidRPr="00B93493">
        <w:t>From equation (22), taking into account the zone category, it follows:</w:t>
      </w:r>
    </w:p>
    <w:p w14:paraId="588CB0DC" w14:textId="77777777" w:rsidR="00CF04BC" w:rsidRPr="00B93493" w:rsidRDefault="00CF04BC" w:rsidP="00CF04BC">
      <w:pPr>
        <w:pStyle w:val="Blanc"/>
      </w:pPr>
    </w:p>
    <w:p w14:paraId="2869C3F0" w14:textId="77777777" w:rsidR="00CF04BC" w:rsidRPr="00B93493" w:rsidRDefault="00CF04BC" w:rsidP="00CF04BC">
      <w:pPr>
        <w:pStyle w:val="Equation"/>
      </w:pPr>
      <w:r w:rsidRPr="00B93493">
        <w:rPr>
          <w:i/>
          <w:iCs/>
        </w:rPr>
        <w:tab/>
      </w:r>
      <w:r w:rsidRPr="00B93493">
        <w:rPr>
          <w:i/>
          <w:iCs/>
        </w:rPr>
        <w:tab/>
        <w:t>S</w:t>
      </w:r>
      <w:r w:rsidRPr="00B93493">
        <w:t xml:space="preserve"> = 0.4 × 53 = 21 km</w:t>
      </w:r>
      <w:r w:rsidRPr="00B93493">
        <w:rPr>
          <w:vertAlign w:val="superscript"/>
        </w:rPr>
        <w:t>2</w:t>
      </w:r>
    </w:p>
    <w:p w14:paraId="7C8E83C2" w14:textId="77777777" w:rsidR="00CF04BC" w:rsidRPr="00B93493" w:rsidRDefault="00CF04BC" w:rsidP="00CF04BC">
      <w:pPr>
        <w:pStyle w:val="Blanc"/>
      </w:pPr>
    </w:p>
    <w:p w14:paraId="0261A4D0" w14:textId="77777777" w:rsidR="00CF04BC" w:rsidRPr="00B93493" w:rsidRDefault="00CF04BC" w:rsidP="00CF04BC">
      <w:pPr>
        <w:pStyle w:val="Headingb"/>
      </w:pPr>
      <w:bookmarkStart w:id="1959" w:name="_Toc462234112"/>
      <w:bookmarkStart w:id="1960" w:name="_Toc454284943"/>
      <w:r w:rsidRPr="00B93493">
        <w:t>d)</w:t>
      </w:r>
      <w:r w:rsidRPr="00B93493">
        <w:tab/>
        <w:t>Spectral resource used</w:t>
      </w:r>
      <w:bookmarkEnd w:id="1959"/>
      <w:bookmarkEnd w:id="1960"/>
    </w:p>
    <w:p w14:paraId="76FC7270" w14:textId="0407FDCF" w:rsidR="00CF04BC" w:rsidRPr="00B93493" w:rsidRDefault="00CF04BC" w:rsidP="00CF04BC">
      <w:r w:rsidRPr="00B93493">
        <w:t xml:space="preserve">Substituting values calculated in b) and c) </w:t>
      </w:r>
      <w:r w:rsidR="00200C03">
        <w:t xml:space="preserve">above </w:t>
      </w:r>
      <w:r w:rsidRPr="00B93493">
        <w:t xml:space="preserve">to equation (20), using values of weighting coefficients presented in Table </w:t>
      </w:r>
      <w:r>
        <w:rPr>
          <w:rFonts w:hint="eastAsia"/>
          <w:lang w:eastAsia="zh-CN"/>
        </w:rPr>
        <w:t>3</w:t>
      </w:r>
      <w:r w:rsidR="005D2CE0">
        <w:rPr>
          <w:lang w:eastAsia="zh-CN"/>
        </w:rPr>
        <w:t xml:space="preserve"> </w:t>
      </w:r>
      <w:r w:rsidRPr="00B93493">
        <w:t>and taking into account non-sharing conditions (</w:t>
      </w:r>
      <w:r w:rsidRPr="00B93493">
        <w:sym w:font="Symbol" w:char="F062"/>
      </w:r>
      <w:r w:rsidRPr="00B93493">
        <w:t xml:space="preserve"> = 1), </w:t>
      </w:r>
      <w:r w:rsidR="00200C03">
        <w:t>is</w:t>
      </w:r>
      <w:r w:rsidRPr="00B93493">
        <w:t xml:space="preserve"> finally</w:t>
      </w:r>
      <w:r w:rsidR="00200C03">
        <w:t xml:space="preserve"> obtained</w:t>
      </w:r>
      <w:r w:rsidRPr="00B93493">
        <w:t>:</w:t>
      </w:r>
    </w:p>
    <w:p w14:paraId="4DBF1957" w14:textId="77777777" w:rsidR="00CF04BC" w:rsidRPr="00B93493" w:rsidRDefault="00CF04BC" w:rsidP="00CF04BC">
      <w:pPr>
        <w:pStyle w:val="Blanc"/>
      </w:pPr>
    </w:p>
    <w:p w14:paraId="373C09AE" w14:textId="77777777" w:rsidR="00CF04BC" w:rsidRPr="00B93493" w:rsidRDefault="00CF04BC" w:rsidP="00CF04BC">
      <w:pPr>
        <w:pStyle w:val="Equation"/>
      </w:pPr>
      <w:r w:rsidRPr="00B93493">
        <w:rPr>
          <w:i/>
        </w:rPr>
        <w:tab/>
        <w:t>W</w:t>
      </w:r>
      <w:r w:rsidRPr="00B93493">
        <w:t xml:space="preserve"> = 0.1 × 0.1 × 1 × 0.2 × 1 × 32.6 × 21 × 1 = 1.4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p>
    <w:p w14:paraId="154C2158" w14:textId="77777777" w:rsidR="00CF04BC" w:rsidRPr="00B93493" w:rsidRDefault="00CF04BC" w:rsidP="00CF04BC">
      <w:pPr>
        <w:pStyle w:val="Heading3"/>
      </w:pPr>
      <w:bookmarkStart w:id="1961" w:name="_Toc392515913"/>
      <w:bookmarkStart w:id="1962" w:name="_Toc289869010"/>
      <w:bookmarkStart w:id="1963" w:name="_Toc291852927"/>
      <w:bookmarkStart w:id="1964" w:name="_Toc289933364"/>
      <w:bookmarkStart w:id="1965" w:name="_Toc289932318"/>
      <w:bookmarkStart w:id="1966" w:name="_Toc518394240"/>
      <w:bookmarkStart w:id="1967" w:name="_Toc462234113"/>
      <w:bookmarkStart w:id="1968" w:name="_Toc289868850"/>
      <w:bookmarkStart w:id="1969" w:name="_Toc182391559"/>
      <w:bookmarkStart w:id="1970" w:name="_Toc182391970"/>
      <w:r w:rsidRPr="00B93493">
        <w:t>4.7.8</w:t>
      </w:r>
      <w:r w:rsidRPr="00B93493">
        <w:tab/>
        <w:t>Earth stations of satellite communications</w:t>
      </w:r>
      <w:bookmarkEnd w:id="1961"/>
      <w:bookmarkEnd w:id="1962"/>
      <w:bookmarkEnd w:id="1963"/>
      <w:bookmarkEnd w:id="1964"/>
      <w:bookmarkEnd w:id="1965"/>
      <w:bookmarkEnd w:id="1966"/>
      <w:bookmarkEnd w:id="1967"/>
      <w:bookmarkEnd w:id="1968"/>
      <w:bookmarkEnd w:id="1969"/>
      <w:bookmarkEnd w:id="1970"/>
    </w:p>
    <w:p w14:paraId="24A7EB3C" w14:textId="77777777" w:rsidR="00CF04BC" w:rsidRPr="00B93493" w:rsidRDefault="00CF04BC" w:rsidP="00CF04BC">
      <w:pPr>
        <w:pStyle w:val="Heading4"/>
      </w:pPr>
      <w:r w:rsidRPr="00B93493">
        <w:t>4.7.8.1</w:t>
      </w:r>
      <w:r w:rsidRPr="00B93493">
        <w:tab/>
        <w:t>Calculation procedures</w:t>
      </w:r>
    </w:p>
    <w:p w14:paraId="58F83476" w14:textId="77777777" w:rsidR="00CF04BC" w:rsidRPr="00B93493" w:rsidRDefault="00CF04BC" w:rsidP="00CF04BC">
      <w:r w:rsidRPr="00B93493">
        <w:t>Similarly to the case of fixed radio communication services presented in § 4.7.7.3, for the calculation of occupied areas a “service sector” concept, given by Recommendation ITU</w:t>
      </w:r>
      <w:r w:rsidRPr="00B93493">
        <w:noBreakHyphen/>
        <w:t>R F.162-3 is proposed to be used.</w:t>
      </w:r>
    </w:p>
    <w:p w14:paraId="450180A3" w14:textId="77777777" w:rsidR="00CF04BC" w:rsidRPr="00B93493" w:rsidRDefault="00CF04BC" w:rsidP="00CF04BC">
      <w:r w:rsidRPr="00B93493">
        <w:t>As it was already indicated, due to great difficulties in exact calculation of occupied areas of Earth stations of satellite communication systems, it is proposed to determine them on the basis of coordination distances agreed during the process of coordination and notification of frequency and orbital assignments in the ITU-R. If these are not available universal coordination distances of 350 km for VSATs and 750 km for other stations are proposed to be used. In some cases</w:t>
      </w:r>
      <w:r>
        <w:rPr>
          <w:rFonts w:hint="eastAsia"/>
          <w:lang w:eastAsia="zh-CN"/>
        </w:rPr>
        <w:t>,</w:t>
      </w:r>
      <w:r w:rsidRPr="00B93493">
        <w:t xml:space="preserve"> values agreed between administration and operator can also be used.</w:t>
      </w:r>
    </w:p>
    <w:p w14:paraId="65B0CB06" w14:textId="77777777" w:rsidR="00CF04BC" w:rsidRPr="00B93493" w:rsidRDefault="00CF04BC" w:rsidP="00CF04BC">
      <w:r w:rsidRPr="00B93493">
        <w:t>Occupied (necessary) bandwidth of an emission, or a bandwidth of a received signal, due to their absence in Recommendation</w:t>
      </w:r>
      <w:r w:rsidRPr="00BD69CD">
        <w:t xml:space="preserve"> ITU-R SM.1138-2</w:t>
      </w:r>
      <w:r w:rsidRPr="00B93493">
        <w:t>, should be taken from related frequency assignment data, stored in a national spectrum management database or received from an operator on a special request.</w:t>
      </w:r>
    </w:p>
    <w:p w14:paraId="4A698EE7" w14:textId="77777777" w:rsidR="00CF04BC" w:rsidRPr="00B93493" w:rsidRDefault="00CF04BC" w:rsidP="00E91654">
      <w:pPr>
        <w:pStyle w:val="Heading4"/>
      </w:pPr>
      <w:r w:rsidRPr="00B93493">
        <w:t>4.7.8.2</w:t>
      </w:r>
      <w:r w:rsidRPr="00B93493">
        <w:tab/>
        <w:t>Examples of calculations</w:t>
      </w:r>
    </w:p>
    <w:p w14:paraId="4E9C1912" w14:textId="62A3C564" w:rsidR="00CF04BC" w:rsidRPr="00B93493" w:rsidRDefault="00CF04BC" w:rsidP="00200C03">
      <w:pPr>
        <w:pStyle w:val="Heading5"/>
      </w:pPr>
      <w:r w:rsidRPr="00B93493">
        <w:t>4.7.8.</w:t>
      </w:r>
      <w:r w:rsidR="00200C03">
        <w:t>2.1</w:t>
      </w:r>
      <w:r w:rsidRPr="00B93493">
        <w:tab/>
        <w:t>Transmitting earth station</w:t>
      </w:r>
    </w:p>
    <w:p w14:paraId="557AA99F" w14:textId="77777777" w:rsidR="00CF04BC" w:rsidRPr="00B93493" w:rsidRDefault="00CF04BC" w:rsidP="00CF04BC">
      <w:pPr>
        <w:pStyle w:val="Headingb"/>
      </w:pPr>
      <w:bookmarkStart w:id="1971" w:name="_Toc454284945"/>
      <w:bookmarkStart w:id="1972" w:name="_Toc462234114"/>
      <w:r w:rsidRPr="00B93493">
        <w:t>a)</w:t>
      </w:r>
      <w:r w:rsidRPr="00B93493">
        <w:tab/>
        <w:t>Incoming parameters</w:t>
      </w:r>
      <w:bookmarkEnd w:id="1971"/>
      <w:bookmarkEnd w:id="1972"/>
    </w:p>
    <w:p w14:paraId="5DCA09AF" w14:textId="77777777" w:rsidR="00CF04BC" w:rsidRPr="00B93493" w:rsidRDefault="00CF04BC" w:rsidP="00CF04BC">
      <w:r w:rsidRPr="00B93493">
        <w:t>Let us calculate a spectral resource used by an earth station providing feeder link for non-GSO satellites operating in the mobile-satellite service. Due to absence of more detailed data, coordination distance is accepted as to be 750 km. The station is situated in rural area and its antenna beam-widths is 0.5</w:t>
      </w:r>
      <w:r w:rsidRPr="00B93493">
        <w:rPr>
          <w:vertAlign w:val="superscript"/>
        </w:rPr>
        <w:t>o</w:t>
      </w:r>
      <w:r w:rsidRPr="00B93493">
        <w:t xml:space="preserve">. Occupied area of the emission lies within one zone categorized by Table </w:t>
      </w:r>
      <w:r>
        <w:rPr>
          <w:rFonts w:hint="eastAsia"/>
          <w:lang w:eastAsia="zh-CN"/>
        </w:rPr>
        <w:t>2</w:t>
      </w:r>
      <w:r w:rsidRPr="00B93493">
        <w:t xml:space="preserve"> as 0.2. Let us assume that, in accordance with relevant frequency assignment recorded in the national spectrum management database, the bandwidth of the emission is 200 MHz.</w:t>
      </w:r>
    </w:p>
    <w:p w14:paraId="2AE25F02" w14:textId="77777777" w:rsidR="00CF04BC" w:rsidRPr="00B93493" w:rsidRDefault="00CF04BC" w:rsidP="00CF04BC">
      <w:pPr>
        <w:pStyle w:val="Headingb"/>
      </w:pPr>
      <w:bookmarkStart w:id="1973" w:name="_Toc454284946"/>
      <w:bookmarkStart w:id="1974" w:name="_Toc462234115"/>
      <w:r w:rsidRPr="00B93493">
        <w:t>b)</w:t>
      </w:r>
      <w:r w:rsidRPr="00B93493">
        <w:tab/>
        <w:t>Time and frequency resources used</w:t>
      </w:r>
      <w:bookmarkEnd w:id="1973"/>
      <w:bookmarkEnd w:id="1974"/>
    </w:p>
    <w:p w14:paraId="4963A0CC" w14:textId="77777777" w:rsidR="00CF04BC" w:rsidRPr="00B93493" w:rsidRDefault="00CF04BC" w:rsidP="00CF04BC">
      <w:r w:rsidRPr="00B93493">
        <w:t>Taking into account principally continuous mode of feeder link operation, from equation (21) it follows:</w:t>
      </w:r>
    </w:p>
    <w:p w14:paraId="0E1CA07B" w14:textId="77777777" w:rsidR="00CF04BC" w:rsidRPr="00B93493" w:rsidRDefault="00CF04BC" w:rsidP="00CF04BC">
      <w:pPr>
        <w:pStyle w:val="Blanc"/>
      </w:pPr>
    </w:p>
    <w:p w14:paraId="7B455783" w14:textId="77777777" w:rsidR="00CF04BC" w:rsidRPr="00B93493" w:rsidRDefault="00CF04BC" w:rsidP="00CF04BC">
      <w:pPr>
        <w:pStyle w:val="Equation"/>
      </w:pPr>
      <w:r w:rsidRPr="00B93493">
        <w:tab/>
      </w:r>
      <w:r w:rsidRPr="00B93493">
        <w:tab/>
      </w:r>
      <w:r w:rsidRPr="00B93493">
        <w:rPr>
          <w:i/>
        </w:rPr>
        <w:t>T</w:t>
      </w:r>
      <w:r w:rsidRPr="00B93493">
        <w:t xml:space="preserve"> = 24/24 (each day) = 1 year</w:t>
      </w:r>
    </w:p>
    <w:p w14:paraId="2E3B2BB6" w14:textId="77777777" w:rsidR="00CF04BC" w:rsidRPr="00B93493" w:rsidRDefault="00CF04BC" w:rsidP="00CF04BC">
      <w:pPr>
        <w:pStyle w:val="Blanc"/>
      </w:pPr>
    </w:p>
    <w:p w14:paraId="2F08A6FB" w14:textId="71DA0BB6" w:rsidR="00CF04BC" w:rsidRPr="00B93493" w:rsidRDefault="00CF04BC" w:rsidP="00CF04BC">
      <w:r w:rsidRPr="00B93493">
        <w:t xml:space="preserve">In accordance with data presented in </w:t>
      </w:r>
      <w:r w:rsidR="00200C03">
        <w:t>a) above, the</w:t>
      </w:r>
      <w:r w:rsidRPr="00B93493">
        <w:t xml:space="preserve"> used frequency resource, accepting in equation (24) </w:t>
      </w:r>
      <w:r w:rsidRPr="00B93493">
        <w:sym w:font="Symbol" w:char="F063"/>
      </w:r>
      <w:r w:rsidRPr="00B93493">
        <w:t> = 1, can be found as:</w:t>
      </w:r>
    </w:p>
    <w:p w14:paraId="79FAB80F" w14:textId="77777777" w:rsidR="00CF04BC" w:rsidRPr="00B93493" w:rsidRDefault="00CF04BC" w:rsidP="00CF04BC">
      <w:pPr>
        <w:pStyle w:val="Blanc"/>
      </w:pPr>
    </w:p>
    <w:p w14:paraId="2273FF3A" w14:textId="77777777" w:rsidR="00CF04BC" w:rsidRPr="00B93493" w:rsidRDefault="00CF04BC" w:rsidP="00CF04BC">
      <w:pPr>
        <w:pStyle w:val="Equation"/>
      </w:pPr>
      <w:r w:rsidRPr="00B93493">
        <w:tab/>
      </w:r>
      <w:r w:rsidRPr="00B93493">
        <w:tab/>
      </w:r>
      <w:r w:rsidRPr="00B93493">
        <w:rPr>
          <w:i/>
        </w:rPr>
        <w:t>F</w:t>
      </w:r>
      <w:r w:rsidRPr="00B93493">
        <w:t xml:space="preserve"> </w:t>
      </w:r>
      <w:r w:rsidRPr="00B93493">
        <w:rPr>
          <w:rFonts w:ascii="Symbol" w:hAnsi="Symbol"/>
        </w:rPr>
        <w:t></w:t>
      </w:r>
      <w:r w:rsidRPr="00B93493">
        <w:t xml:space="preserve"> 200 MHz</w:t>
      </w:r>
    </w:p>
    <w:p w14:paraId="57131D93" w14:textId="77777777" w:rsidR="00CF04BC" w:rsidRPr="00B93493" w:rsidRDefault="00CF04BC" w:rsidP="00CF04BC">
      <w:pPr>
        <w:pStyle w:val="Headingb"/>
      </w:pPr>
      <w:bookmarkStart w:id="1975" w:name="_Toc454284947"/>
      <w:bookmarkStart w:id="1976" w:name="_Toc462234116"/>
      <w:r w:rsidRPr="00B93493">
        <w:t>c)</w:t>
      </w:r>
      <w:r w:rsidRPr="00B93493">
        <w:tab/>
        <w:t>Territorial resource used</w:t>
      </w:r>
      <w:bookmarkEnd w:id="1975"/>
      <w:bookmarkEnd w:id="1976"/>
    </w:p>
    <w:p w14:paraId="13627183" w14:textId="504C1916" w:rsidR="00CF04BC" w:rsidRPr="00B93493" w:rsidRDefault="00CF04BC" w:rsidP="00CF04BC">
      <w:r w:rsidRPr="00B93493">
        <w:t xml:space="preserve">Substituting related data to equation (50), where </w:t>
      </w:r>
      <w:r w:rsidRPr="00B93493">
        <w:rPr>
          <w:i/>
        </w:rPr>
        <w:t>L</w:t>
      </w:r>
      <w:r w:rsidRPr="00B93493">
        <w:rPr>
          <w:i/>
          <w:vertAlign w:val="subscript"/>
        </w:rPr>
        <w:t>c</w:t>
      </w:r>
      <w:r w:rsidRPr="00B93493">
        <w:t xml:space="preserve"> represents coordination distance, </w:t>
      </w:r>
      <w:r w:rsidR="00200C03">
        <w:t>is obtained</w:t>
      </w:r>
      <w:r w:rsidRPr="00B93493">
        <w:t>:</w:t>
      </w:r>
    </w:p>
    <w:p w14:paraId="42A971A7" w14:textId="475FB65E" w:rsidR="00CF04BC" w:rsidRPr="00B93493" w:rsidRDefault="00CF04BC" w:rsidP="00CF04BC">
      <w:pPr>
        <w:pStyle w:val="Equation"/>
      </w:pPr>
      <w:r w:rsidRPr="00B93493">
        <w:rPr>
          <w:i/>
          <w:iCs/>
        </w:rPr>
        <w:tab/>
      </w:r>
      <w:r w:rsidRPr="00B93493">
        <w:rPr>
          <w:i/>
          <w:iCs/>
        </w:rPr>
        <w:tab/>
      </w:r>
      <w:r w:rsidR="00200C03" w:rsidRPr="00B93493">
        <w:rPr>
          <w:i/>
          <w:iCs/>
        </w:rPr>
        <w:t>S</w:t>
      </w:r>
      <w:r w:rsidRPr="00B93493">
        <w:rPr>
          <w:i/>
          <w:iCs/>
          <w:vertAlign w:val="subscript"/>
        </w:rPr>
        <w:t>o</w:t>
      </w:r>
      <w:r w:rsidRPr="00B93493">
        <w:t xml:space="preserve"> </w:t>
      </w:r>
      <w:r w:rsidRPr="00B93493">
        <w:rPr>
          <w:rFonts w:ascii="Symbol" w:hAnsi="Symbol"/>
        </w:rPr>
        <w:t></w:t>
      </w:r>
      <w:r w:rsidRPr="00B93493">
        <w:t xml:space="preserve"> (0.5/180) </w:t>
      </w:r>
      <w:r w:rsidRPr="00B93493">
        <w:rPr>
          <w:rFonts w:ascii="Symbol" w:hAnsi="Symbol"/>
        </w:rPr>
        <w:t></w:t>
      </w:r>
      <w:r w:rsidRPr="00B93493">
        <w:t> </w:t>
      </w:r>
      <w:r w:rsidRPr="00B93493">
        <w:rPr>
          <w:rFonts w:ascii="Symbol" w:hAnsi="Symbol"/>
        </w:rPr>
        <w:t></w:t>
      </w:r>
      <w:r w:rsidRPr="00B93493">
        <w:t> </w:t>
      </w:r>
      <w:r w:rsidRPr="00B93493">
        <w:rPr>
          <w:rFonts w:ascii="Symbol" w:hAnsi="Symbol"/>
        </w:rPr>
        <w:t></w:t>
      </w:r>
      <w:r w:rsidRPr="00B93493">
        <w:t> 750</w:t>
      </w:r>
      <w:r w:rsidRPr="00B93493">
        <w:rPr>
          <w:vertAlign w:val="superscript"/>
        </w:rPr>
        <w:t>2</w:t>
      </w:r>
      <w:r w:rsidRPr="00B93493">
        <w:t xml:space="preserve"> </w:t>
      </w:r>
      <w:r w:rsidRPr="00B93493">
        <w:rPr>
          <w:rFonts w:ascii="Symbol" w:hAnsi="Symbol"/>
        </w:rPr>
        <w:t></w:t>
      </w:r>
      <w:r w:rsidRPr="00B93493">
        <w:t xml:space="preserve"> 4</w:t>
      </w:r>
      <w:r w:rsidRPr="00B93493">
        <w:rPr>
          <w:rFonts w:ascii="Tms Rmn" w:hAnsi="Tms Rmn"/>
          <w:sz w:val="12"/>
        </w:rPr>
        <w:t> </w:t>
      </w:r>
      <w:r w:rsidRPr="00B93493">
        <w:t>909 km</w:t>
      </w:r>
      <w:r w:rsidRPr="00B93493">
        <w:rPr>
          <w:vertAlign w:val="superscript"/>
        </w:rPr>
        <w:t>2</w:t>
      </w:r>
    </w:p>
    <w:p w14:paraId="7979DCF2" w14:textId="77777777" w:rsidR="00CF04BC" w:rsidRPr="00B93493" w:rsidRDefault="00CF04BC" w:rsidP="00CF04BC">
      <w:r w:rsidRPr="00B93493">
        <w:t>From equation (22), taking into account the zone category, it follows:</w:t>
      </w:r>
    </w:p>
    <w:p w14:paraId="531E227B" w14:textId="77777777" w:rsidR="00CF04BC" w:rsidRPr="00B93493" w:rsidRDefault="00CF04BC" w:rsidP="00CF04BC">
      <w:pPr>
        <w:pStyle w:val="Blanc"/>
      </w:pPr>
    </w:p>
    <w:p w14:paraId="461D982F" w14:textId="77777777" w:rsidR="00CF04BC" w:rsidRPr="00B93493" w:rsidRDefault="00CF04BC" w:rsidP="00CF04BC">
      <w:pPr>
        <w:pStyle w:val="Equation"/>
      </w:pPr>
      <w:r w:rsidRPr="00B93493">
        <w:rPr>
          <w:i/>
          <w:iCs/>
        </w:rPr>
        <w:tab/>
      </w:r>
      <w:r w:rsidRPr="00B93493">
        <w:rPr>
          <w:i/>
          <w:iCs/>
        </w:rPr>
        <w:tab/>
        <w:t>S</w:t>
      </w:r>
      <w:r w:rsidRPr="00B93493">
        <w:t xml:space="preserve"> = 0.2 × 4</w:t>
      </w:r>
      <w:r w:rsidRPr="00B93493">
        <w:rPr>
          <w:rFonts w:ascii="Tms Rmn" w:hAnsi="Tms Rmn"/>
          <w:sz w:val="12"/>
        </w:rPr>
        <w:t> </w:t>
      </w:r>
      <w:r w:rsidRPr="00B93493">
        <w:t>909 = 982 km</w:t>
      </w:r>
      <w:r w:rsidRPr="00B93493">
        <w:rPr>
          <w:vertAlign w:val="superscript"/>
        </w:rPr>
        <w:t>2</w:t>
      </w:r>
    </w:p>
    <w:p w14:paraId="78641232" w14:textId="77777777" w:rsidR="00CF04BC" w:rsidRPr="00B93493" w:rsidRDefault="00CF04BC" w:rsidP="00CF04BC">
      <w:pPr>
        <w:pStyle w:val="Headingb"/>
      </w:pPr>
      <w:bookmarkStart w:id="1977" w:name="_Toc462234117"/>
      <w:bookmarkStart w:id="1978" w:name="_Toc454284948"/>
      <w:r w:rsidRPr="00B93493">
        <w:t>d)</w:t>
      </w:r>
      <w:r w:rsidRPr="00B93493">
        <w:tab/>
        <w:t>Spectral resource used</w:t>
      </w:r>
      <w:bookmarkEnd w:id="1977"/>
      <w:bookmarkEnd w:id="1978"/>
    </w:p>
    <w:p w14:paraId="321B012D" w14:textId="61BDB16E" w:rsidR="00CF04BC" w:rsidRPr="00B93493" w:rsidRDefault="00CF04BC" w:rsidP="00CF04BC">
      <w:r w:rsidRPr="00B93493">
        <w:t xml:space="preserve">Substituting values calculated to equation (20), using values of weighting coefficients presented in Table </w:t>
      </w:r>
      <w:r>
        <w:rPr>
          <w:rFonts w:hint="eastAsia"/>
          <w:lang w:eastAsia="zh-CN"/>
        </w:rPr>
        <w:t>3</w:t>
      </w:r>
      <w:r w:rsidRPr="00B93493">
        <w:t xml:space="preserve"> and taking into account non-sharing conditions (</w:t>
      </w:r>
      <w:r w:rsidRPr="00B93493">
        <w:sym w:font="Symbol" w:char="F062"/>
      </w:r>
      <w:r w:rsidRPr="00B93493">
        <w:t xml:space="preserve"> = 1), </w:t>
      </w:r>
      <w:r w:rsidR="00200C03">
        <w:t>is</w:t>
      </w:r>
      <w:r w:rsidRPr="00B93493">
        <w:t xml:space="preserve"> </w:t>
      </w:r>
      <w:r w:rsidR="00200C03">
        <w:t>obtained</w:t>
      </w:r>
      <w:r w:rsidRPr="00B93493">
        <w:t>:</w:t>
      </w:r>
    </w:p>
    <w:p w14:paraId="5108DC4F" w14:textId="77777777" w:rsidR="00CF04BC" w:rsidRPr="00B93493" w:rsidRDefault="00CF04BC" w:rsidP="00CF04BC">
      <w:pPr>
        <w:pStyle w:val="Equation"/>
        <w:rPr>
          <w:i/>
        </w:rPr>
      </w:pPr>
      <w:r w:rsidRPr="00B93493">
        <w:rPr>
          <w:i/>
        </w:rPr>
        <w:tab/>
        <w:t>W</w:t>
      </w:r>
      <w:r w:rsidRPr="00B93493">
        <w:t xml:space="preserve"> = 1.4 × 0.1 × 0.1 × 0.2 × 1 × 200 × 982 × 1 = 550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p>
    <w:p w14:paraId="5BF8AF0B" w14:textId="2FC068C7" w:rsidR="00CF04BC" w:rsidRPr="00B93493" w:rsidRDefault="00CF04BC" w:rsidP="00200C03">
      <w:pPr>
        <w:pStyle w:val="Heading5"/>
      </w:pPr>
      <w:r w:rsidRPr="00B93493">
        <w:t>4.7.8.</w:t>
      </w:r>
      <w:r w:rsidR="00200C03">
        <w:t>2.2</w:t>
      </w:r>
      <w:r w:rsidRPr="00B93493">
        <w:tab/>
        <w:t>Receiving earth station</w:t>
      </w:r>
    </w:p>
    <w:p w14:paraId="6E602BDC" w14:textId="77777777" w:rsidR="00CF04BC" w:rsidRPr="00B93493" w:rsidRDefault="00CF04BC" w:rsidP="00CF04BC">
      <w:pPr>
        <w:pStyle w:val="Headingb"/>
      </w:pPr>
      <w:bookmarkStart w:id="1979" w:name="_Toc454284949"/>
      <w:bookmarkStart w:id="1980" w:name="_Toc462234118"/>
      <w:r w:rsidRPr="00B93493">
        <w:t>a)</w:t>
      </w:r>
      <w:r w:rsidRPr="00B93493">
        <w:tab/>
        <w:t>Incoming parameters</w:t>
      </w:r>
      <w:bookmarkEnd w:id="1979"/>
      <w:bookmarkEnd w:id="1980"/>
    </w:p>
    <w:p w14:paraId="7A7F8237" w14:textId="0AC5B533" w:rsidR="00CF04BC" w:rsidRPr="00B93493" w:rsidRDefault="00CF04BC" w:rsidP="00CF04BC">
      <w:r w:rsidRPr="00B93493">
        <w:t xml:space="preserve">Let us calculate a spectral resource used by a receiving VSAT earth station working around the clock. Due to absence more detailed data, coordination distance is taken as 350 km. </w:t>
      </w:r>
      <w:r w:rsidRPr="00B93493">
        <w:rPr>
          <w:color w:val="000000"/>
        </w:rPr>
        <w:t xml:space="preserve">The </w:t>
      </w:r>
      <w:r w:rsidRPr="00B93493">
        <w:t>station is situated in rural area and its antenna beam-widths is 1</w:t>
      </w:r>
      <w:r w:rsidRPr="00B93493">
        <w:rPr>
          <w:vertAlign w:val="superscript"/>
        </w:rPr>
        <w:t>o</w:t>
      </w:r>
      <w:r w:rsidRPr="00B93493">
        <w:t>. Occupied area of the emission lies within one zone categorized by Table</w:t>
      </w:r>
      <w:r>
        <w:t xml:space="preserve"> </w:t>
      </w:r>
      <w:r>
        <w:rPr>
          <w:rFonts w:hint="eastAsia"/>
          <w:lang w:eastAsia="zh-CN"/>
        </w:rPr>
        <w:t>2</w:t>
      </w:r>
      <w:r w:rsidRPr="00B93493">
        <w:t xml:space="preserve"> as 0.3. Let us assume that, in accordance with relevant frequency assignment recorded in the national spectrum management database, the bandwidth of the received signal is 30</w:t>
      </w:r>
      <w:r w:rsidR="005D2CE0">
        <w:t> </w:t>
      </w:r>
      <w:r w:rsidRPr="00B93493">
        <w:t>MHz.</w:t>
      </w:r>
    </w:p>
    <w:p w14:paraId="08B37C62" w14:textId="77777777" w:rsidR="00CF04BC" w:rsidRPr="00B93493" w:rsidRDefault="00CF04BC" w:rsidP="00CF04BC">
      <w:pPr>
        <w:pStyle w:val="Headingb"/>
      </w:pPr>
      <w:bookmarkStart w:id="1981" w:name="_Toc454284950"/>
      <w:bookmarkStart w:id="1982" w:name="_Toc462234119"/>
      <w:r w:rsidRPr="00B93493">
        <w:t>b)</w:t>
      </w:r>
      <w:r w:rsidRPr="00B93493">
        <w:tab/>
        <w:t>Time and frequency resources used</w:t>
      </w:r>
      <w:bookmarkEnd w:id="1981"/>
      <w:bookmarkEnd w:id="1982"/>
    </w:p>
    <w:p w14:paraId="68B76D94" w14:textId="77777777" w:rsidR="00CF04BC" w:rsidRPr="00B93493" w:rsidRDefault="00CF04BC" w:rsidP="00CF04BC">
      <w:r w:rsidRPr="00B93493">
        <w:t>Assuming continuous mode of the station operation, from equation (21) it follows:</w:t>
      </w:r>
    </w:p>
    <w:p w14:paraId="5FF3A686" w14:textId="77777777" w:rsidR="00CF04BC" w:rsidRPr="00B93493" w:rsidRDefault="00CF04BC" w:rsidP="00CF04BC">
      <w:pPr>
        <w:pStyle w:val="Equation"/>
      </w:pPr>
      <w:r w:rsidRPr="00B93493">
        <w:tab/>
      </w:r>
      <w:r w:rsidRPr="00B93493">
        <w:tab/>
      </w:r>
      <w:r w:rsidRPr="00B93493">
        <w:rPr>
          <w:i/>
        </w:rPr>
        <w:t>T</w:t>
      </w:r>
      <w:r w:rsidRPr="00B93493">
        <w:t xml:space="preserve"> = 24/24 (each day) = 1 year</w:t>
      </w:r>
    </w:p>
    <w:p w14:paraId="214841C4" w14:textId="77777777" w:rsidR="00CF04BC" w:rsidRPr="00B93493" w:rsidRDefault="00CF04BC" w:rsidP="00CF04BC">
      <w:r w:rsidRPr="00B93493">
        <w:t xml:space="preserve">In accordance with used frequency resource, accepting in equation (24) </w:t>
      </w:r>
      <w:r w:rsidRPr="00B93493">
        <w:sym w:font="Symbol" w:char="F063"/>
      </w:r>
      <w:r w:rsidRPr="00B93493">
        <w:t> = 1, can be found as:</w:t>
      </w:r>
    </w:p>
    <w:p w14:paraId="6C0FC2EF" w14:textId="77777777" w:rsidR="00CF04BC" w:rsidRPr="00B93493" w:rsidRDefault="00CF04BC" w:rsidP="00CF04BC">
      <w:pPr>
        <w:pStyle w:val="Blanc"/>
      </w:pPr>
    </w:p>
    <w:p w14:paraId="33B636A6" w14:textId="77777777" w:rsidR="00CF04BC" w:rsidRPr="00B93493" w:rsidRDefault="00CF04BC" w:rsidP="00CF04BC">
      <w:pPr>
        <w:pStyle w:val="Equation"/>
      </w:pPr>
      <w:r w:rsidRPr="00B93493">
        <w:tab/>
      </w:r>
      <w:r w:rsidRPr="00B93493">
        <w:tab/>
      </w:r>
      <w:r w:rsidRPr="00B93493">
        <w:rPr>
          <w:i/>
        </w:rPr>
        <w:t>F</w:t>
      </w:r>
      <w:r w:rsidRPr="00B93493">
        <w:t xml:space="preserve"> = 30 MHz</w:t>
      </w:r>
    </w:p>
    <w:p w14:paraId="705B4077" w14:textId="77777777" w:rsidR="00CF04BC" w:rsidRPr="00B93493" w:rsidRDefault="00CF04BC" w:rsidP="00CF04BC">
      <w:pPr>
        <w:pStyle w:val="Blanc"/>
      </w:pPr>
    </w:p>
    <w:p w14:paraId="77C4FDFA" w14:textId="77777777" w:rsidR="00CF04BC" w:rsidRPr="00B93493" w:rsidRDefault="00CF04BC" w:rsidP="00CF04BC">
      <w:pPr>
        <w:pStyle w:val="Headingb"/>
      </w:pPr>
      <w:bookmarkStart w:id="1983" w:name="_Toc454284951"/>
      <w:bookmarkStart w:id="1984" w:name="_Toc462234120"/>
      <w:r w:rsidRPr="00B93493">
        <w:t>c)</w:t>
      </w:r>
      <w:r w:rsidRPr="00B93493">
        <w:tab/>
        <w:t>Territorial resource used</w:t>
      </w:r>
      <w:bookmarkEnd w:id="1983"/>
      <w:bookmarkEnd w:id="1984"/>
    </w:p>
    <w:p w14:paraId="5B505DA0" w14:textId="43ACE4EC" w:rsidR="00CF04BC" w:rsidRPr="00B93493" w:rsidRDefault="00CF04BC" w:rsidP="00CF04BC">
      <w:r w:rsidRPr="00B93493">
        <w:t xml:space="preserve">Substituting related data to equation (50), where </w:t>
      </w:r>
      <w:r w:rsidRPr="00B93493">
        <w:rPr>
          <w:i/>
        </w:rPr>
        <w:t>L</w:t>
      </w:r>
      <w:r w:rsidRPr="00B93493">
        <w:rPr>
          <w:i/>
          <w:vertAlign w:val="subscript"/>
        </w:rPr>
        <w:t>c</w:t>
      </w:r>
      <w:r w:rsidRPr="00B93493">
        <w:t xml:space="preserve"> represents coordination distance, </w:t>
      </w:r>
      <w:r w:rsidR="00092428">
        <w:t>is obtained</w:t>
      </w:r>
      <w:r w:rsidRPr="00B93493">
        <w:t>:</w:t>
      </w:r>
    </w:p>
    <w:p w14:paraId="35249C11" w14:textId="77777777" w:rsidR="00CF04BC" w:rsidRPr="00B93493" w:rsidRDefault="00CF04BC" w:rsidP="00CF04BC">
      <w:pPr>
        <w:pStyle w:val="Blanc"/>
      </w:pPr>
    </w:p>
    <w:p w14:paraId="588402F4" w14:textId="77777777" w:rsidR="00CF04BC" w:rsidRPr="00B93493" w:rsidRDefault="00CF04BC" w:rsidP="00CF04BC">
      <w:pPr>
        <w:pStyle w:val="Equation"/>
      </w:pPr>
      <w:r w:rsidRPr="00B93493">
        <w:rPr>
          <w:i/>
          <w:iCs/>
        </w:rPr>
        <w:tab/>
      </w:r>
      <w:r w:rsidRPr="00B93493">
        <w:rPr>
          <w:i/>
          <w:iCs/>
        </w:rPr>
        <w:tab/>
        <w:t>s</w:t>
      </w:r>
      <w:r w:rsidRPr="00B93493">
        <w:rPr>
          <w:i/>
          <w:iCs/>
          <w:vertAlign w:val="subscript"/>
        </w:rPr>
        <w:t>o</w:t>
      </w:r>
      <w:r w:rsidRPr="00B93493">
        <w:t xml:space="preserve"> = (1/180) × </w:t>
      </w:r>
      <w:r w:rsidRPr="00B93493">
        <w:rPr>
          <w:rFonts w:ascii="Symbol" w:hAnsi="Symbol"/>
        </w:rPr>
        <w:t></w:t>
      </w:r>
      <w:r w:rsidRPr="00B93493">
        <w:t> × 350</w:t>
      </w:r>
      <w:r w:rsidRPr="00B93493">
        <w:rPr>
          <w:vertAlign w:val="superscript"/>
        </w:rPr>
        <w:t>2</w:t>
      </w:r>
      <w:r w:rsidRPr="00B93493">
        <w:t xml:space="preserve"> = 2</w:t>
      </w:r>
      <w:r w:rsidRPr="00B93493">
        <w:rPr>
          <w:rFonts w:ascii="Tms Rmn" w:hAnsi="Tms Rmn"/>
          <w:sz w:val="12"/>
        </w:rPr>
        <w:t> </w:t>
      </w:r>
      <w:r w:rsidRPr="00B93493">
        <w:t>138 km</w:t>
      </w:r>
      <w:r w:rsidRPr="00B93493">
        <w:rPr>
          <w:vertAlign w:val="superscript"/>
        </w:rPr>
        <w:t>2</w:t>
      </w:r>
    </w:p>
    <w:p w14:paraId="5B722F1E" w14:textId="77777777" w:rsidR="00CF04BC" w:rsidRPr="00B93493" w:rsidRDefault="00CF04BC" w:rsidP="00CF04BC">
      <w:pPr>
        <w:pStyle w:val="Blanc"/>
      </w:pPr>
    </w:p>
    <w:p w14:paraId="468681FE" w14:textId="77777777" w:rsidR="00CF04BC" w:rsidRPr="00B93493" w:rsidRDefault="00CF04BC" w:rsidP="00CF04BC">
      <w:r w:rsidRPr="00B93493">
        <w:t>From equation (22), taking into account the zone category, it follows:</w:t>
      </w:r>
    </w:p>
    <w:p w14:paraId="3135BCEC" w14:textId="77777777" w:rsidR="00CF04BC" w:rsidRPr="00B93493" w:rsidRDefault="00CF04BC" w:rsidP="00CF04BC">
      <w:pPr>
        <w:pStyle w:val="Blanc"/>
      </w:pPr>
    </w:p>
    <w:p w14:paraId="759D86CB" w14:textId="77777777" w:rsidR="00CF04BC" w:rsidRPr="00B93493" w:rsidRDefault="00CF04BC" w:rsidP="00CF04BC">
      <w:pPr>
        <w:pStyle w:val="Equation"/>
      </w:pPr>
      <w:r w:rsidRPr="00B93493">
        <w:rPr>
          <w:i/>
          <w:iCs/>
        </w:rPr>
        <w:tab/>
      </w:r>
      <w:r w:rsidRPr="00B93493">
        <w:rPr>
          <w:i/>
          <w:iCs/>
        </w:rPr>
        <w:tab/>
        <w:t>S</w:t>
      </w:r>
      <w:r w:rsidRPr="00B93493">
        <w:t xml:space="preserve"> = 0.3 × 2</w:t>
      </w:r>
      <w:r w:rsidRPr="00B93493">
        <w:rPr>
          <w:rFonts w:ascii="Tms Rmn" w:hAnsi="Tms Rmn"/>
          <w:sz w:val="12"/>
        </w:rPr>
        <w:t> </w:t>
      </w:r>
      <w:r w:rsidRPr="00B93493">
        <w:t>138 = 641 km</w:t>
      </w:r>
      <w:r w:rsidRPr="00B93493">
        <w:rPr>
          <w:vertAlign w:val="superscript"/>
        </w:rPr>
        <w:t>2</w:t>
      </w:r>
    </w:p>
    <w:p w14:paraId="37490A84" w14:textId="77777777" w:rsidR="00CF04BC" w:rsidRPr="00B93493" w:rsidRDefault="00CF04BC" w:rsidP="00CF04BC">
      <w:pPr>
        <w:pStyle w:val="Blanc"/>
      </w:pPr>
    </w:p>
    <w:p w14:paraId="08252BAB" w14:textId="77777777" w:rsidR="00CF04BC" w:rsidRPr="00B93493" w:rsidRDefault="00CF04BC" w:rsidP="00CF04BC">
      <w:pPr>
        <w:pStyle w:val="Headingb"/>
      </w:pPr>
      <w:bookmarkStart w:id="1985" w:name="_Toc462234121"/>
      <w:bookmarkStart w:id="1986" w:name="_Toc454284952"/>
      <w:r w:rsidRPr="00B93493">
        <w:t>d)</w:t>
      </w:r>
      <w:r w:rsidRPr="00B93493">
        <w:tab/>
        <w:t>Spectral resource used</w:t>
      </w:r>
      <w:bookmarkEnd w:id="1985"/>
      <w:bookmarkEnd w:id="1986"/>
    </w:p>
    <w:p w14:paraId="1508FE10" w14:textId="2E978791" w:rsidR="00CF04BC" w:rsidRPr="00B93493" w:rsidRDefault="00CF04BC" w:rsidP="00CF04BC">
      <w:r w:rsidRPr="00B93493">
        <w:t xml:space="preserve">Substituting values to equation (20), using values of weighting coefficients presented in Table </w:t>
      </w:r>
      <w:r>
        <w:rPr>
          <w:rFonts w:hint="eastAsia"/>
          <w:lang w:eastAsia="zh-CN"/>
        </w:rPr>
        <w:t>3</w:t>
      </w:r>
      <w:r w:rsidRPr="00B93493">
        <w:t xml:space="preserve"> and taking into account non-sharing conditions (</w:t>
      </w:r>
      <w:r w:rsidRPr="00B93493">
        <w:sym w:font="Symbol" w:char="F062"/>
      </w:r>
      <w:r w:rsidRPr="00B93493">
        <w:t xml:space="preserve"> = 1), </w:t>
      </w:r>
      <w:r w:rsidR="00200C03">
        <w:t>is obtained</w:t>
      </w:r>
      <w:r w:rsidRPr="00B93493">
        <w:t>:</w:t>
      </w:r>
    </w:p>
    <w:p w14:paraId="15077578" w14:textId="77777777" w:rsidR="00CF04BC" w:rsidRPr="00B93493" w:rsidRDefault="00CF04BC" w:rsidP="00CF04BC">
      <w:pPr>
        <w:pStyle w:val="Blanc"/>
      </w:pPr>
    </w:p>
    <w:p w14:paraId="5A324546" w14:textId="77777777" w:rsidR="00CF04BC" w:rsidRPr="00B93493" w:rsidRDefault="00CF04BC" w:rsidP="00CF04BC">
      <w:pPr>
        <w:pStyle w:val="Equation"/>
        <w:rPr>
          <w:i/>
        </w:rPr>
      </w:pPr>
      <w:r w:rsidRPr="00B93493">
        <w:rPr>
          <w:i/>
        </w:rPr>
        <w:tab/>
      </w:r>
      <w:r w:rsidRPr="00B93493">
        <w:rPr>
          <w:i/>
        </w:rPr>
        <w:tab/>
        <w:t>W</w:t>
      </w:r>
      <w:r w:rsidRPr="00B93493">
        <w:t xml:space="preserve"> = 14 × 0.1 × 0.1 × 0.2 × 1 × 30 × 641 × 1 = 54           MHz </w:t>
      </w:r>
      <w:r w:rsidRPr="00B93493">
        <w:rPr>
          <w:szCs w:val="24"/>
        </w:rPr>
        <w:sym w:font="Symbol" w:char="F0D7"/>
      </w:r>
      <w:r w:rsidRPr="00B93493">
        <w:t xml:space="preserve"> km</w:t>
      </w:r>
      <w:r w:rsidRPr="00B93493">
        <w:rPr>
          <w:vertAlign w:val="superscript"/>
        </w:rPr>
        <w:t>2</w:t>
      </w:r>
      <w:r w:rsidRPr="00B93493">
        <w:t xml:space="preserve"> </w:t>
      </w:r>
      <w:r w:rsidRPr="00B93493">
        <w:rPr>
          <w:szCs w:val="24"/>
        </w:rPr>
        <w:sym w:font="Symbol" w:char="F0D7"/>
      </w:r>
      <w:r w:rsidRPr="00B93493">
        <w:t xml:space="preserve"> 1 year</w:t>
      </w:r>
    </w:p>
    <w:p w14:paraId="55986F9C" w14:textId="77777777" w:rsidR="00CF04BC" w:rsidRPr="00B93493" w:rsidRDefault="00CF04BC" w:rsidP="00CF04BC">
      <w:pPr>
        <w:pStyle w:val="Headingb"/>
      </w:pPr>
      <w:bookmarkStart w:id="1987" w:name="_Toc454284953"/>
      <w:bookmarkStart w:id="1988" w:name="_Toc462234122"/>
      <w:r w:rsidRPr="00B93493">
        <w:t>e)</w:t>
      </w:r>
      <w:r w:rsidRPr="00B93493">
        <w:tab/>
        <w:t>Summary of calculation results</w:t>
      </w:r>
      <w:bookmarkEnd w:id="1987"/>
      <w:bookmarkEnd w:id="1988"/>
    </w:p>
    <w:p w14:paraId="53FEA410" w14:textId="77777777" w:rsidR="00CF04BC" w:rsidRPr="00B93493" w:rsidRDefault="00CF04BC" w:rsidP="00CF04BC">
      <w:r w:rsidRPr="00B93493">
        <w:t xml:space="preserve">Summary of calculation results for the purpose of comparison and for general orientation is presented in Table </w:t>
      </w:r>
      <w:r>
        <w:rPr>
          <w:rFonts w:hint="eastAsia"/>
          <w:lang w:eastAsia="zh-CN"/>
        </w:rPr>
        <w:t>14</w:t>
      </w:r>
      <w:r w:rsidRPr="00B93493">
        <w:t>.</w:t>
      </w:r>
    </w:p>
    <w:p w14:paraId="6AE8E555" w14:textId="77777777" w:rsidR="00CF04BC" w:rsidRPr="00B93493" w:rsidRDefault="00CF04BC" w:rsidP="00CF04BC">
      <w:pPr>
        <w:overflowPunct/>
        <w:autoSpaceDE/>
        <w:autoSpaceDN/>
        <w:adjustRightInd/>
        <w:spacing w:before="0"/>
        <w:textAlignment w:val="auto"/>
      </w:pPr>
    </w:p>
    <w:p w14:paraId="03B2E0D3" w14:textId="77777777" w:rsidR="00CF04BC" w:rsidRPr="00B93493" w:rsidRDefault="00CF04BC" w:rsidP="00CF04BC">
      <w:pPr>
        <w:pStyle w:val="TableNo"/>
        <w:rPr>
          <w:lang w:eastAsia="zh-CN"/>
        </w:rPr>
      </w:pPr>
      <w:r w:rsidRPr="00B93493">
        <w:t>TABLE 1</w:t>
      </w:r>
      <w:r>
        <w:rPr>
          <w:rFonts w:hint="eastAsia"/>
          <w:lang w:eastAsia="zh-CN"/>
        </w:rPr>
        <w:t>4</w:t>
      </w:r>
    </w:p>
    <w:p w14:paraId="0067A458" w14:textId="77777777" w:rsidR="00CF04BC" w:rsidRPr="00B93493" w:rsidRDefault="00CF04BC" w:rsidP="00CF04BC">
      <w:pPr>
        <w:pStyle w:val="Tabletitle"/>
      </w:pPr>
      <w:r w:rsidRPr="00B93493">
        <w:t>Summary of calculation results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6057"/>
        <w:gridCol w:w="2480"/>
      </w:tblGrid>
      <w:tr w:rsidR="00CF04BC" w:rsidRPr="00B93493" w14:paraId="58D51DEA" w14:textId="77777777" w:rsidTr="002E7F54">
        <w:trPr>
          <w:jc w:val="center"/>
        </w:trPr>
        <w:tc>
          <w:tcPr>
            <w:tcW w:w="1244" w:type="dxa"/>
            <w:vAlign w:val="center"/>
          </w:tcPr>
          <w:p w14:paraId="23188575" w14:textId="77777777" w:rsidR="00CF04BC" w:rsidRPr="00B93493" w:rsidRDefault="00CF04BC" w:rsidP="002E7F54">
            <w:pPr>
              <w:pStyle w:val="Tablehead"/>
              <w:rPr>
                <w:szCs w:val="22"/>
              </w:rPr>
            </w:pPr>
            <w:r w:rsidRPr="00B93493">
              <w:rPr>
                <w:szCs w:val="22"/>
              </w:rPr>
              <w:t>Section</w:t>
            </w:r>
          </w:p>
        </w:tc>
        <w:tc>
          <w:tcPr>
            <w:tcW w:w="6057" w:type="dxa"/>
            <w:vAlign w:val="center"/>
          </w:tcPr>
          <w:p w14:paraId="7EC4A9E6" w14:textId="77777777" w:rsidR="00CF04BC" w:rsidRPr="00B93493" w:rsidRDefault="00CF04BC" w:rsidP="002E7F54">
            <w:pPr>
              <w:pStyle w:val="Tablehead"/>
              <w:rPr>
                <w:szCs w:val="22"/>
              </w:rPr>
            </w:pPr>
            <w:r w:rsidRPr="00B93493">
              <w:rPr>
                <w:szCs w:val="22"/>
              </w:rPr>
              <w:t>Radio service, transmitter power</w:t>
            </w:r>
            <w:r w:rsidRPr="00B93493">
              <w:rPr>
                <w:szCs w:val="22"/>
              </w:rPr>
              <w:br/>
              <w:t>or radio link characteristic</w:t>
            </w:r>
          </w:p>
        </w:tc>
        <w:tc>
          <w:tcPr>
            <w:tcW w:w="2480" w:type="dxa"/>
            <w:vAlign w:val="center"/>
          </w:tcPr>
          <w:p w14:paraId="59B6E752" w14:textId="77777777" w:rsidR="00CF04BC" w:rsidRPr="00B93493" w:rsidRDefault="00CF04BC" w:rsidP="002E7F54">
            <w:pPr>
              <w:pStyle w:val="Tablehead"/>
              <w:rPr>
                <w:szCs w:val="22"/>
              </w:rPr>
            </w:pPr>
            <w:r w:rsidRPr="00B93493">
              <w:rPr>
                <w:szCs w:val="22"/>
              </w:rPr>
              <w:t>Spectral resource used</w:t>
            </w:r>
            <w:r w:rsidRPr="00B93493">
              <w:rPr>
                <w:szCs w:val="22"/>
              </w:rPr>
              <w:br/>
              <w:t xml:space="preserve">(MHz </w:t>
            </w:r>
            <w:r w:rsidRPr="00B93493">
              <w:t>–</w:t>
            </w:r>
            <w:r w:rsidRPr="00B93493">
              <w:rPr>
                <w:szCs w:val="22"/>
              </w:rPr>
              <w:t xml:space="preserve"> km</w:t>
            </w:r>
            <w:r w:rsidRPr="00B93493">
              <w:rPr>
                <w:szCs w:val="22"/>
                <w:vertAlign w:val="superscript"/>
              </w:rPr>
              <w:t>2</w:t>
            </w:r>
            <w:r w:rsidRPr="00B93493">
              <w:rPr>
                <w:szCs w:val="22"/>
              </w:rPr>
              <w:t xml:space="preserve"> </w:t>
            </w:r>
            <w:r w:rsidRPr="00B93493">
              <w:t>–</w:t>
            </w:r>
            <w:r w:rsidRPr="00B93493">
              <w:rPr>
                <w:szCs w:val="22"/>
              </w:rPr>
              <w:t xml:space="preserve"> 1 year)</w:t>
            </w:r>
          </w:p>
        </w:tc>
      </w:tr>
      <w:tr w:rsidR="00CF04BC" w:rsidRPr="00B93493" w14:paraId="63F3BD6A" w14:textId="77777777" w:rsidTr="002E7F54">
        <w:trPr>
          <w:jc w:val="center"/>
        </w:trPr>
        <w:tc>
          <w:tcPr>
            <w:tcW w:w="1244" w:type="dxa"/>
          </w:tcPr>
          <w:p w14:paraId="02E96DC8" w14:textId="77777777" w:rsidR="00CF04BC" w:rsidRPr="00B93493" w:rsidRDefault="00CF04BC" w:rsidP="002E7F54">
            <w:pPr>
              <w:pStyle w:val="Tabletext"/>
            </w:pPr>
            <w:r w:rsidRPr="00B93493">
              <w:t>1.2.1.2</w:t>
            </w:r>
          </w:p>
        </w:tc>
        <w:tc>
          <w:tcPr>
            <w:tcW w:w="6057" w:type="dxa"/>
          </w:tcPr>
          <w:p w14:paraId="502547FB" w14:textId="77777777" w:rsidR="00CF04BC" w:rsidRPr="00B93493" w:rsidRDefault="00CF04BC" w:rsidP="002E7F54">
            <w:pPr>
              <w:pStyle w:val="Tabletext"/>
            </w:pPr>
            <w:r w:rsidRPr="00B93493">
              <w:t>FM sound broadcasting, 1.5 kW</w:t>
            </w:r>
          </w:p>
        </w:tc>
        <w:tc>
          <w:tcPr>
            <w:tcW w:w="2480" w:type="dxa"/>
          </w:tcPr>
          <w:p w14:paraId="4147361D"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rPr>
            </w:pPr>
            <w:r w:rsidRPr="00B93493">
              <w:rPr>
                <w:szCs w:val="22"/>
              </w:rPr>
              <w:t>2 430</w:t>
            </w:r>
          </w:p>
        </w:tc>
      </w:tr>
      <w:tr w:rsidR="00CF04BC" w:rsidRPr="00B93493" w14:paraId="024334B9" w14:textId="77777777" w:rsidTr="002E7F54">
        <w:trPr>
          <w:jc w:val="center"/>
        </w:trPr>
        <w:tc>
          <w:tcPr>
            <w:tcW w:w="1244" w:type="dxa"/>
          </w:tcPr>
          <w:p w14:paraId="18B68545" w14:textId="77777777" w:rsidR="00CF04BC" w:rsidRPr="00B93493" w:rsidRDefault="00CF04BC" w:rsidP="002E7F54">
            <w:pPr>
              <w:pStyle w:val="Tabletext"/>
            </w:pPr>
            <w:r w:rsidRPr="00B93493">
              <w:t>1.3.1.3</w:t>
            </w:r>
          </w:p>
        </w:tc>
        <w:tc>
          <w:tcPr>
            <w:tcW w:w="6057" w:type="dxa"/>
          </w:tcPr>
          <w:p w14:paraId="2D2361EA" w14:textId="77777777" w:rsidR="00CF04BC" w:rsidRPr="00B93493" w:rsidRDefault="00CF04BC" w:rsidP="002E7F54">
            <w:pPr>
              <w:pStyle w:val="Tabletext"/>
            </w:pPr>
            <w:r w:rsidRPr="00B93493">
              <w:t>Land mobile service, GSM base station, 2.5 W</w:t>
            </w:r>
          </w:p>
        </w:tc>
        <w:tc>
          <w:tcPr>
            <w:tcW w:w="2480" w:type="dxa"/>
          </w:tcPr>
          <w:p w14:paraId="41700A2D"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rPr>
            </w:pPr>
            <w:r w:rsidRPr="00B93493">
              <w:rPr>
                <w:szCs w:val="22"/>
              </w:rPr>
              <w:t>2 172</w:t>
            </w:r>
          </w:p>
        </w:tc>
      </w:tr>
      <w:tr w:rsidR="00CF04BC" w:rsidRPr="00B93493" w14:paraId="03352E40" w14:textId="77777777" w:rsidTr="002E7F54">
        <w:trPr>
          <w:jc w:val="center"/>
        </w:trPr>
        <w:tc>
          <w:tcPr>
            <w:tcW w:w="1244" w:type="dxa"/>
          </w:tcPr>
          <w:p w14:paraId="674A3E8C" w14:textId="77777777" w:rsidR="00CF04BC" w:rsidRPr="00B93493" w:rsidRDefault="00CF04BC" w:rsidP="002E7F54">
            <w:pPr>
              <w:pStyle w:val="Tabletext"/>
            </w:pPr>
            <w:r w:rsidRPr="00B93493">
              <w:t>1.3.2.3</w:t>
            </w:r>
          </w:p>
        </w:tc>
        <w:tc>
          <w:tcPr>
            <w:tcW w:w="6057" w:type="dxa"/>
          </w:tcPr>
          <w:p w14:paraId="264E7A8C" w14:textId="77777777" w:rsidR="00CF04BC" w:rsidRPr="00B93493" w:rsidRDefault="00CF04BC" w:rsidP="002E7F54">
            <w:pPr>
              <w:pStyle w:val="Tabletext"/>
            </w:pPr>
            <w:r w:rsidRPr="00B93493">
              <w:t>Maritime mobile service, coast station, 50 W</w:t>
            </w:r>
          </w:p>
        </w:tc>
        <w:tc>
          <w:tcPr>
            <w:tcW w:w="2480" w:type="dxa"/>
          </w:tcPr>
          <w:p w14:paraId="2BC016BD"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rPr>
            </w:pPr>
            <w:r w:rsidRPr="00B93493">
              <w:rPr>
                <w:szCs w:val="22"/>
              </w:rPr>
              <w:t>3.7</w:t>
            </w:r>
          </w:p>
        </w:tc>
      </w:tr>
      <w:tr w:rsidR="00CF04BC" w:rsidRPr="00B93493" w14:paraId="01B209F3" w14:textId="77777777" w:rsidTr="002E7F54">
        <w:trPr>
          <w:jc w:val="center"/>
        </w:trPr>
        <w:tc>
          <w:tcPr>
            <w:tcW w:w="1244" w:type="dxa"/>
          </w:tcPr>
          <w:p w14:paraId="2A3BFBB5" w14:textId="77777777" w:rsidR="00CF04BC" w:rsidRPr="00B93493" w:rsidRDefault="00CF04BC" w:rsidP="002E7F54">
            <w:pPr>
              <w:pStyle w:val="Tabletext"/>
            </w:pPr>
            <w:r w:rsidRPr="00B93493">
              <w:t>1.3.3.2.1</w:t>
            </w:r>
          </w:p>
        </w:tc>
        <w:tc>
          <w:tcPr>
            <w:tcW w:w="6057" w:type="dxa"/>
          </w:tcPr>
          <w:p w14:paraId="5A3419E8" w14:textId="77777777" w:rsidR="00CF04BC" w:rsidRPr="00B93493" w:rsidRDefault="00CF04BC" w:rsidP="002E7F54">
            <w:pPr>
              <w:pStyle w:val="Tabletext"/>
            </w:pPr>
            <w:r w:rsidRPr="00B93493">
              <w:t>Aeronautical radiocommunication aircraft height 10 000 m</w:t>
            </w:r>
          </w:p>
        </w:tc>
        <w:tc>
          <w:tcPr>
            <w:tcW w:w="2480" w:type="dxa"/>
          </w:tcPr>
          <w:p w14:paraId="1BD2D13E"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rPr>
            </w:pPr>
            <w:r w:rsidRPr="00B93493">
              <w:rPr>
                <w:szCs w:val="22"/>
              </w:rPr>
              <w:t>4.4</w:t>
            </w:r>
          </w:p>
        </w:tc>
      </w:tr>
      <w:tr w:rsidR="00CF04BC" w:rsidRPr="00B93493" w14:paraId="2D101564" w14:textId="77777777" w:rsidTr="002E7F54">
        <w:trPr>
          <w:jc w:val="center"/>
        </w:trPr>
        <w:tc>
          <w:tcPr>
            <w:tcW w:w="1244" w:type="dxa"/>
          </w:tcPr>
          <w:p w14:paraId="26345B43" w14:textId="77777777" w:rsidR="00CF04BC" w:rsidRPr="00B93493" w:rsidRDefault="00CF04BC" w:rsidP="002E7F54">
            <w:pPr>
              <w:pStyle w:val="Tabletext"/>
            </w:pPr>
            <w:r w:rsidRPr="00B93493">
              <w:t>1.3.3.2.2</w:t>
            </w:r>
          </w:p>
        </w:tc>
        <w:tc>
          <w:tcPr>
            <w:tcW w:w="6057" w:type="dxa"/>
          </w:tcPr>
          <w:p w14:paraId="419DE4B8" w14:textId="77777777" w:rsidR="00CF04BC" w:rsidRPr="00B93493" w:rsidRDefault="00CF04BC" w:rsidP="002E7F54">
            <w:pPr>
              <w:pStyle w:val="Tabletext"/>
            </w:pPr>
            <w:r w:rsidRPr="00B93493">
              <w:t>Primary radar, aircraft height 10 000 m</w:t>
            </w:r>
          </w:p>
        </w:tc>
        <w:tc>
          <w:tcPr>
            <w:tcW w:w="2480" w:type="dxa"/>
          </w:tcPr>
          <w:p w14:paraId="615C4D58"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rPr>
            </w:pPr>
            <w:r w:rsidRPr="00B93493">
              <w:rPr>
                <w:szCs w:val="22"/>
              </w:rPr>
              <w:t>3.5</w:t>
            </w:r>
          </w:p>
        </w:tc>
      </w:tr>
      <w:tr w:rsidR="00CF04BC" w:rsidRPr="00B93493" w14:paraId="70B88634" w14:textId="77777777" w:rsidTr="002E7F54">
        <w:trPr>
          <w:jc w:val="center"/>
        </w:trPr>
        <w:tc>
          <w:tcPr>
            <w:tcW w:w="1244" w:type="dxa"/>
          </w:tcPr>
          <w:p w14:paraId="5D1170CC" w14:textId="77777777" w:rsidR="00CF04BC" w:rsidRPr="00B93493" w:rsidRDefault="00CF04BC" w:rsidP="002E7F54">
            <w:pPr>
              <w:pStyle w:val="Tabletext"/>
            </w:pPr>
            <w:r w:rsidRPr="00B93493">
              <w:t>1.4.2</w:t>
            </w:r>
          </w:p>
        </w:tc>
        <w:tc>
          <w:tcPr>
            <w:tcW w:w="6057" w:type="dxa"/>
          </w:tcPr>
          <w:p w14:paraId="0121294A" w14:textId="77777777" w:rsidR="00CF04BC" w:rsidRPr="00B93493" w:rsidRDefault="00CF04BC" w:rsidP="002E7F54">
            <w:pPr>
              <w:pStyle w:val="Tabletext"/>
            </w:pPr>
            <w:r w:rsidRPr="00B93493">
              <w:t>Fixed service, microwave link, hop-length 45 km</w:t>
            </w:r>
          </w:p>
        </w:tc>
        <w:tc>
          <w:tcPr>
            <w:tcW w:w="2480" w:type="dxa"/>
          </w:tcPr>
          <w:p w14:paraId="7039B3ED"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rPr>
            </w:pPr>
            <w:r w:rsidRPr="00B93493">
              <w:rPr>
                <w:szCs w:val="22"/>
              </w:rPr>
              <w:t>1.4</w:t>
            </w:r>
          </w:p>
        </w:tc>
      </w:tr>
      <w:tr w:rsidR="00CF04BC" w:rsidRPr="00B93493" w14:paraId="59EEA7A9" w14:textId="77777777" w:rsidTr="002E7F54">
        <w:trPr>
          <w:jc w:val="center"/>
        </w:trPr>
        <w:tc>
          <w:tcPr>
            <w:tcW w:w="1244" w:type="dxa"/>
          </w:tcPr>
          <w:p w14:paraId="72016F0D" w14:textId="77777777" w:rsidR="00CF04BC" w:rsidRPr="00B93493" w:rsidRDefault="00CF04BC" w:rsidP="002E7F54">
            <w:pPr>
              <w:pStyle w:val="Tabletext"/>
            </w:pPr>
            <w:r w:rsidRPr="00B93493">
              <w:t>1.5.2.1</w:t>
            </w:r>
          </w:p>
        </w:tc>
        <w:tc>
          <w:tcPr>
            <w:tcW w:w="6057" w:type="dxa"/>
          </w:tcPr>
          <w:p w14:paraId="3C0E30CC" w14:textId="77777777" w:rsidR="00CF04BC" w:rsidRPr="00B93493" w:rsidRDefault="00CF04BC" w:rsidP="002E7F54">
            <w:pPr>
              <w:pStyle w:val="Tabletext"/>
            </w:pPr>
            <w:r w:rsidRPr="00B93493">
              <w:t>Transmitting earth station, MSS feeder link</w:t>
            </w:r>
          </w:p>
        </w:tc>
        <w:tc>
          <w:tcPr>
            <w:tcW w:w="2480" w:type="dxa"/>
          </w:tcPr>
          <w:p w14:paraId="0772CB51"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rPr>
            </w:pPr>
            <w:r w:rsidRPr="00B93493">
              <w:rPr>
                <w:szCs w:val="22"/>
              </w:rPr>
              <w:t>550</w:t>
            </w:r>
          </w:p>
        </w:tc>
      </w:tr>
      <w:tr w:rsidR="00CF04BC" w:rsidRPr="00B93493" w14:paraId="05B403BE" w14:textId="77777777" w:rsidTr="002E7F54">
        <w:trPr>
          <w:jc w:val="center"/>
        </w:trPr>
        <w:tc>
          <w:tcPr>
            <w:tcW w:w="1244" w:type="dxa"/>
          </w:tcPr>
          <w:p w14:paraId="33A2D1F1" w14:textId="77777777" w:rsidR="00CF04BC" w:rsidRPr="00B93493" w:rsidRDefault="00CF04BC" w:rsidP="002E7F54">
            <w:pPr>
              <w:pStyle w:val="Tabletext"/>
            </w:pPr>
            <w:r w:rsidRPr="00B93493">
              <w:t>1.5.2.2</w:t>
            </w:r>
          </w:p>
        </w:tc>
        <w:tc>
          <w:tcPr>
            <w:tcW w:w="6057" w:type="dxa"/>
          </w:tcPr>
          <w:p w14:paraId="085CD256" w14:textId="77777777" w:rsidR="00CF04BC" w:rsidRPr="00B93493" w:rsidRDefault="00CF04BC" w:rsidP="002E7F54">
            <w:pPr>
              <w:pStyle w:val="Tabletext"/>
            </w:pPr>
            <w:r w:rsidRPr="00B93493">
              <w:t>Receiving VSAT earth station</w:t>
            </w:r>
          </w:p>
        </w:tc>
        <w:tc>
          <w:tcPr>
            <w:tcW w:w="2480" w:type="dxa"/>
          </w:tcPr>
          <w:p w14:paraId="6BFDE12A" w14:textId="77777777" w:rsidR="00CF04BC" w:rsidRPr="00B93493" w:rsidRDefault="00CF04BC" w:rsidP="002E7F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rPr>
            </w:pPr>
            <w:r w:rsidRPr="00B93493">
              <w:rPr>
                <w:szCs w:val="22"/>
              </w:rPr>
              <w:t>54</w:t>
            </w:r>
          </w:p>
        </w:tc>
      </w:tr>
    </w:tbl>
    <w:p w14:paraId="660050AF" w14:textId="77777777" w:rsidR="00CF04BC" w:rsidRPr="00B93493" w:rsidRDefault="00CF04BC" w:rsidP="00CF04BC">
      <w:pPr>
        <w:pStyle w:val="Tablefin"/>
      </w:pPr>
    </w:p>
    <w:p w14:paraId="35244069" w14:textId="77777777" w:rsidR="00CF04BC" w:rsidRPr="00B93493" w:rsidRDefault="00CF04BC" w:rsidP="00CF04BC">
      <w:pPr>
        <w:pStyle w:val="Heading2"/>
      </w:pPr>
      <w:bookmarkStart w:id="1989" w:name="_Toc518394241"/>
      <w:bookmarkStart w:id="1990" w:name="_Toc182391560"/>
      <w:bookmarkStart w:id="1991" w:name="_Toc182391971"/>
      <w:bookmarkStart w:id="1992" w:name="_Toc201822289"/>
      <w:bookmarkStart w:id="1993" w:name="_Toc459792655"/>
      <w:bookmarkStart w:id="1994" w:name="_Toc459793821"/>
      <w:bookmarkStart w:id="1995" w:name="_Toc394385981"/>
      <w:bookmarkStart w:id="1996" w:name="_Toc459793963"/>
      <w:bookmarkStart w:id="1997" w:name="_Toc394386068"/>
      <w:bookmarkStart w:id="1998" w:name="_Toc459746722"/>
      <w:bookmarkStart w:id="1999" w:name="_Toc395503172"/>
      <w:bookmarkStart w:id="2000" w:name="_Toc459970425"/>
      <w:r w:rsidRPr="00B93493">
        <w:t>4.8</w:t>
      </w:r>
      <w:r w:rsidRPr="00B93493">
        <w:tab/>
        <w:t>Opportunity cost and administrative incentive pricing</w:t>
      </w:r>
      <w:r w:rsidRPr="00B93493">
        <w:rPr>
          <w:rStyle w:val="FootnoteAnchor"/>
        </w:rPr>
        <w:footnoteReference w:id="4"/>
      </w:r>
      <w:r w:rsidRPr="00B93493">
        <w:t>: simple, functional and linear equations</w:t>
      </w:r>
      <w:bookmarkEnd w:id="1989"/>
      <w:bookmarkEnd w:id="1990"/>
      <w:bookmarkEnd w:id="1991"/>
      <w:bookmarkEnd w:id="1992"/>
    </w:p>
    <w:p w14:paraId="4AC7D921" w14:textId="77777777" w:rsidR="00CF04BC" w:rsidRPr="00B93493" w:rsidRDefault="00CF04BC" w:rsidP="00CF04BC">
      <w:r w:rsidRPr="00B93493">
        <w:t>As specified in § 2.3.4.4, opportunity cost in the case of spectrum means the alternative value that is foregone when a section of frequency spectrum is assigned to a particular user. This model promotes the efficient use of the RF and can favour broadband coverage and capacity in the rural areas. This logical model takes care of the spectrum utilization fees only, and details the application and spectrum access fees of the different radio services. The spectrum access fees are levied one time during the initial application process and are reiterated annually. As specified in §</w:t>
      </w:r>
      <w:r>
        <w:t> </w:t>
      </w:r>
      <w:r w:rsidRPr="00B93493">
        <w:t>5.2.8, the model is also administrative incentive pricing (AIP) to help spectrum users (and their suppliers) make more efficient decisions concerning their use of spectrum. The model is general and provides specific values. Administrations may choose different modifiers.</w:t>
      </w:r>
    </w:p>
    <w:p w14:paraId="6FE1B0C9" w14:textId="77777777" w:rsidR="00CF04BC" w:rsidRPr="00B93493" w:rsidRDefault="00CF04BC" w:rsidP="00CF04BC">
      <w:pPr>
        <w:pStyle w:val="Heading3"/>
      </w:pPr>
      <w:bookmarkStart w:id="2001" w:name="_Toc518394242"/>
      <w:bookmarkStart w:id="2002" w:name="_Toc182391561"/>
      <w:bookmarkStart w:id="2003" w:name="_Toc182391972"/>
      <w:r w:rsidRPr="00B93493">
        <w:t>4.8.1</w:t>
      </w:r>
      <w:r w:rsidRPr="00B93493">
        <w:tab/>
      </w:r>
      <w:bookmarkStart w:id="2004" w:name="_Toc484727740"/>
      <w:r w:rsidRPr="00B93493">
        <w:t>The pricing formula and parameters</w:t>
      </w:r>
      <w:bookmarkEnd w:id="2001"/>
      <w:bookmarkEnd w:id="2002"/>
      <w:bookmarkEnd w:id="2003"/>
      <w:bookmarkEnd w:id="2004"/>
    </w:p>
    <w:p w14:paraId="4047FB24" w14:textId="77777777" w:rsidR="00CF04BC" w:rsidRPr="00B93493" w:rsidRDefault="00CF04BC" w:rsidP="00CF04BC">
      <w:r w:rsidRPr="00B93493">
        <w:t>For all services, it is an opportunity cost and AIP fee formula, represented by the following general, simple, functional and linear (with bandwidth) form:</w:t>
      </w:r>
    </w:p>
    <w:p w14:paraId="47A1CB0A" w14:textId="438555AB" w:rsidR="00200C03" w:rsidRDefault="00CF04BC" w:rsidP="00CF04BC">
      <w:pPr>
        <w:pStyle w:val="Equation"/>
      </w:pPr>
      <w:r w:rsidRPr="00B93493">
        <w:tab/>
      </w:r>
      <w:r w:rsidR="00200C03">
        <w:tab/>
      </w:r>
      <m:oMath>
        <m:r>
          <w:rPr>
            <w:rFonts w:ascii="Cambria Math" w:hAnsi="Cambria Math"/>
          </w:rPr>
          <m:t>Cost=</m:t>
        </m:r>
        <m:r>
          <m:rPr>
            <m:sty m:val="p"/>
          </m:rPr>
          <w:rPr>
            <w:rFonts w:ascii="Cambria Math" w:hAnsi="Cambria Math"/>
          </w:rPr>
          <m:t>α</m:t>
        </m:r>
        <m:r>
          <w:rPr>
            <w:rFonts w:ascii="Cambria Math" w:hAnsi="Cambria Math"/>
          </w:rPr>
          <m:t>×F×B×</m:t>
        </m:r>
        <m:r>
          <m:rPr>
            <m:sty m:val="p"/>
          </m:rPr>
          <w:rPr>
            <w:rFonts w:ascii="Cambria Math" w:hAnsi="Cambria Math"/>
          </w:rPr>
          <m:t>ρ</m:t>
        </m:r>
        <m:r>
          <w:rPr>
            <w:rFonts w:ascii="Cambria Math" w:hAnsi="Cambria Math"/>
          </w:rPr>
          <m:t>×l×</m:t>
        </m:r>
        <m:sSub>
          <m:sSubPr>
            <m:ctrlPr>
              <w:rPr>
                <w:rFonts w:ascii="Cambria Math" w:hAnsi="Cambria Math"/>
                <w:i/>
              </w:rPr>
            </m:ctrlPr>
          </m:sSubPr>
          <m:e>
            <m:r>
              <w:rPr>
                <w:rFonts w:ascii="Cambria Math" w:hAnsi="Cambria Math"/>
              </w:rPr>
              <m:t>M</m:t>
            </m:r>
          </m:e>
          <m:sub>
            <m:r>
              <w:rPr>
                <w:rFonts w:ascii="Cambria Math" w:hAnsi="Cambria Math"/>
              </w:rPr>
              <m:t>pub</m:t>
            </m:r>
          </m:sub>
        </m:sSub>
      </m:oMath>
      <w:r w:rsidR="00200C03">
        <w:tab/>
        <w:t>(51)</w:t>
      </w:r>
    </w:p>
    <w:p w14:paraId="08789ACE" w14:textId="77777777" w:rsidR="00CF04BC" w:rsidRPr="00B93493" w:rsidRDefault="00CF04BC" w:rsidP="00CF04BC">
      <w:r w:rsidRPr="00B93493">
        <w:t>Dividing the two parts of the equation by the bandwidth B, the following fee formula per MHz is obtained:</w:t>
      </w:r>
    </w:p>
    <w:p w14:paraId="1ABE7168" w14:textId="55914135" w:rsidR="00200C03" w:rsidRPr="00200C03" w:rsidRDefault="00200C03" w:rsidP="00CF04BC">
      <w:pPr>
        <w:pStyle w:val="Equation"/>
      </w:pPr>
      <w:r>
        <w:tab/>
      </w:r>
      <w:r w:rsidR="00CF04BC" w:rsidRPr="00B93493">
        <w:tab/>
      </w:r>
      <m:oMath>
        <m:f>
          <m:fPr>
            <m:ctrlPr>
              <w:rPr>
                <w:rFonts w:ascii="Cambria Math" w:hAnsi="Cambria Math"/>
                <w:i/>
              </w:rPr>
            </m:ctrlPr>
          </m:fPr>
          <m:num>
            <m:r>
              <w:rPr>
                <w:rFonts w:ascii="Cambria Math" w:hAnsi="Cambria Math"/>
              </w:rPr>
              <m:t>Cost</m:t>
            </m:r>
          </m:num>
          <m:den>
            <m:r>
              <w:rPr>
                <w:rFonts w:ascii="Cambria Math" w:hAnsi="Cambria Math"/>
              </w:rPr>
              <m:t>B</m:t>
            </m:r>
          </m:den>
        </m:f>
        <m:r>
          <w:rPr>
            <w:rFonts w:ascii="Cambria Math" w:hAnsi="Cambria Math"/>
          </w:rPr>
          <m:t>=</m:t>
        </m:r>
        <m:r>
          <m:rPr>
            <m:sty m:val="p"/>
          </m:rPr>
          <w:rPr>
            <w:rFonts w:ascii="Cambria Math" w:hAnsi="Cambria Math"/>
          </w:rPr>
          <m:t>α</m:t>
        </m:r>
        <m:r>
          <w:rPr>
            <w:rFonts w:ascii="Cambria Math" w:hAnsi="Cambria Math"/>
          </w:rPr>
          <m:t>×F×</m:t>
        </m:r>
        <m:r>
          <m:rPr>
            <m:sty m:val="p"/>
          </m:rPr>
          <w:rPr>
            <w:rFonts w:ascii="Cambria Math" w:hAnsi="Cambria Math"/>
          </w:rPr>
          <m:t>ρ</m:t>
        </m:r>
        <m:r>
          <w:rPr>
            <w:rFonts w:ascii="Cambria Math" w:hAnsi="Cambria Math"/>
          </w:rPr>
          <m:t>×</m:t>
        </m:r>
        <m:r>
          <m:rPr>
            <m:sty m:val="p"/>
          </m:rPr>
          <w:rPr>
            <w:rFonts w:ascii="Cambria Math" w:hAnsi="Cambria Math"/>
          </w:rPr>
          <m:t>σ</m:t>
        </m:r>
        <m:r>
          <w:rPr>
            <w:rFonts w:ascii="Cambria Math" w:hAnsi="Cambria Math"/>
          </w:rPr>
          <m:t>×l×</m:t>
        </m:r>
        <m:sSub>
          <m:sSubPr>
            <m:ctrlPr>
              <w:rPr>
                <w:rFonts w:ascii="Cambria Math" w:hAnsi="Cambria Math"/>
                <w:i/>
              </w:rPr>
            </m:ctrlPr>
          </m:sSubPr>
          <m:e>
            <m:r>
              <w:rPr>
                <w:rFonts w:ascii="Cambria Math" w:hAnsi="Cambria Math"/>
              </w:rPr>
              <m:t>M</m:t>
            </m:r>
          </m:e>
          <m:sub>
            <m:r>
              <w:rPr>
                <w:rFonts w:ascii="Cambria Math" w:hAnsi="Cambria Math"/>
              </w:rPr>
              <m:t>pub</m:t>
            </m:r>
          </m:sub>
        </m:sSub>
      </m:oMath>
      <w:r>
        <w:tab/>
        <w:t>(52)</w:t>
      </w:r>
    </w:p>
    <w:p w14:paraId="07D3848C" w14:textId="77777777" w:rsidR="00CF04BC" w:rsidRPr="00B93493" w:rsidRDefault="00CF04BC" w:rsidP="00CF04BC">
      <w:r w:rsidRPr="00B93493">
        <w:t xml:space="preserve">Except Cost unit in the national currency (cur), </w:t>
      </w:r>
      <w:r w:rsidRPr="00B93493">
        <w:rPr>
          <w:sz w:val="28"/>
          <w:szCs w:val="28"/>
        </w:rPr>
        <w:t>α</w:t>
      </w:r>
      <w:r w:rsidRPr="00B93493">
        <w:rPr>
          <w:i/>
          <w:iCs/>
          <w:sz w:val="28"/>
          <w:szCs w:val="28"/>
        </w:rPr>
        <w:t xml:space="preserve"> </w:t>
      </w:r>
      <w:r w:rsidRPr="00B93493">
        <w:t xml:space="preserve">(cur/MHz) and </w:t>
      </w:r>
      <w:r w:rsidRPr="00B93493">
        <w:rPr>
          <w:i/>
          <w:iCs/>
        </w:rPr>
        <w:t>B</w:t>
      </w:r>
      <w:r w:rsidRPr="00B93493">
        <w:t xml:space="preserve"> (MHz), all Except Cost unit in the national currency (cur), </w:t>
      </w:r>
      <w:r w:rsidRPr="00B93493">
        <w:rPr>
          <w:sz w:val="28"/>
          <w:szCs w:val="28"/>
        </w:rPr>
        <w:t>α</w:t>
      </w:r>
      <w:r w:rsidRPr="00B93493">
        <w:rPr>
          <w:i/>
          <w:iCs/>
          <w:sz w:val="28"/>
          <w:szCs w:val="28"/>
        </w:rPr>
        <w:t xml:space="preserve"> </w:t>
      </w:r>
      <w:r w:rsidRPr="00B93493">
        <w:t xml:space="preserve">(cur/MHz) and </w:t>
      </w:r>
      <w:r w:rsidRPr="00B93493">
        <w:rPr>
          <w:i/>
          <w:iCs/>
        </w:rPr>
        <w:t>B</w:t>
      </w:r>
      <w:r w:rsidRPr="00B93493">
        <w:t xml:space="preserve"> (MHz), all parameters serve as modifiers</w:t>
      </w:r>
      <w:r w:rsidRPr="00B93493">
        <w:rPr>
          <w:rStyle w:val="FootnoteAnchor"/>
        </w:rPr>
        <w:footnoteReference w:id="5"/>
      </w:r>
      <w:r w:rsidRPr="00B93493">
        <w:t>. The Model determines the fees only for transmitters; i.e. VSAT earth stations operators pay only for their transmitters’ bandwidth; FM and TV receivers don’t pay spectrum utilization fee (SUF).</w:t>
      </w:r>
    </w:p>
    <w:p w14:paraId="5890B537" w14:textId="77777777" w:rsidR="00CF04BC" w:rsidRPr="00B93493" w:rsidRDefault="00CF04BC" w:rsidP="00CF04BC">
      <w:r w:rsidRPr="00B93493">
        <w:t xml:space="preserve">Following are the definitions of all parameters: </w:t>
      </w:r>
    </w:p>
    <w:p w14:paraId="4284EE53" w14:textId="77777777" w:rsidR="00CF04BC" w:rsidRPr="00B93493" w:rsidRDefault="00CF04BC" w:rsidP="00CF04BC">
      <w:pPr>
        <w:tabs>
          <w:tab w:val="right" w:pos="1871"/>
          <w:tab w:val="left" w:pos="2041"/>
        </w:tabs>
        <w:spacing w:before="360"/>
        <w:ind w:left="2041" w:hanging="2041"/>
      </w:pPr>
      <w:r w:rsidRPr="00B93493">
        <w:rPr>
          <w:b/>
          <w:bCs/>
          <w:i/>
          <w:iCs/>
          <w:szCs w:val="24"/>
        </w:rPr>
        <w:tab/>
      </w:r>
      <w:r w:rsidRPr="00B93493">
        <w:rPr>
          <w:i/>
          <w:iCs/>
          <w:szCs w:val="24"/>
        </w:rPr>
        <w:t>Cost</w:t>
      </w:r>
      <w:r w:rsidRPr="00B93493">
        <w:rPr>
          <w:i/>
          <w:iCs/>
          <w:sz w:val="28"/>
          <w:szCs w:val="28"/>
        </w:rPr>
        <w:t xml:space="preserve"> </w:t>
      </w:r>
      <w:r w:rsidRPr="00B93493">
        <w:t>(cur):</w:t>
      </w:r>
      <w:r w:rsidRPr="00B93493">
        <w:tab/>
        <w:t>spectrum cost in national currency</w:t>
      </w:r>
    </w:p>
    <w:p w14:paraId="00B7BCD9" w14:textId="77777777" w:rsidR="00CF04BC" w:rsidRPr="00B93493" w:rsidRDefault="00CF04BC" w:rsidP="00CF04BC">
      <w:pPr>
        <w:pStyle w:val="Equationlegend"/>
      </w:pPr>
      <w:r w:rsidRPr="00B93493">
        <w:rPr>
          <w:b/>
          <w:i/>
          <w:iCs/>
        </w:rPr>
        <w:tab/>
      </w:r>
      <w:r w:rsidRPr="00B93493">
        <w:rPr>
          <w:bCs/>
          <w:i/>
          <w:iCs/>
        </w:rPr>
        <w:t>B</w:t>
      </w:r>
      <w:r w:rsidRPr="00B93493">
        <w:rPr>
          <w:bCs/>
        </w:rPr>
        <w:t xml:space="preserve"> (MHz): </w:t>
      </w:r>
      <w:r w:rsidRPr="00B93493">
        <w:rPr>
          <w:bCs/>
        </w:rPr>
        <w:tab/>
      </w:r>
      <w:r w:rsidRPr="00B93493">
        <w:t>total assigned bandwidth</w:t>
      </w:r>
    </w:p>
    <w:p w14:paraId="23D48A61" w14:textId="77777777" w:rsidR="00CF04BC" w:rsidRPr="00B93493" w:rsidRDefault="00CF04BC" w:rsidP="00CF04BC">
      <w:pPr>
        <w:pStyle w:val="Equationlegend"/>
        <w:rPr>
          <w:sz w:val="16"/>
          <w:szCs w:val="16"/>
        </w:rPr>
      </w:pPr>
      <w:r w:rsidRPr="00B93493">
        <w:rPr>
          <w:b/>
          <w:bCs/>
          <w:i/>
          <w:iCs/>
          <w:sz w:val="28"/>
          <w:szCs w:val="28"/>
        </w:rPr>
        <w:tab/>
      </w:r>
      <w:r w:rsidRPr="00B93493">
        <w:rPr>
          <w:sz w:val="28"/>
          <w:szCs w:val="28"/>
        </w:rPr>
        <w:t xml:space="preserve">α </w:t>
      </w:r>
      <w:r w:rsidRPr="00B93493">
        <w:t>(cur/MHz):</w:t>
      </w:r>
      <w:r w:rsidRPr="00B93493">
        <w:tab/>
        <w:t>basic price unit. Based on the market dynamics, the country’s vision of the ICT sector and international best practice.</w:t>
      </w:r>
      <w:r w:rsidRPr="00B93493">
        <w:rPr>
          <w:i/>
          <w:iCs/>
        </w:rPr>
        <w:t xml:space="preserve"> </w:t>
      </w:r>
      <w:r w:rsidRPr="00B93493">
        <w:t>α</w:t>
      </w:r>
      <w:r w:rsidRPr="00B93493">
        <w:rPr>
          <w:i/>
          <w:iCs/>
        </w:rPr>
        <w:t xml:space="preserve"> </w:t>
      </w:r>
      <w:r w:rsidRPr="00B93493">
        <w:t>is the value of 1 MHz for cellular service below 6 000 MHz</w:t>
      </w:r>
    </w:p>
    <w:p w14:paraId="2BCD71E6" w14:textId="77777777" w:rsidR="00CF04BC" w:rsidRPr="00B93493" w:rsidRDefault="00CF04BC" w:rsidP="00CF04BC">
      <w:pPr>
        <w:pStyle w:val="Equationlegend"/>
      </w:pPr>
      <w:r w:rsidRPr="00B93493">
        <w:rPr>
          <w:b/>
          <w:bCs/>
          <w:i/>
          <w:iCs/>
        </w:rPr>
        <w:tab/>
      </w:r>
      <w:r w:rsidRPr="00B93493">
        <w:rPr>
          <w:i/>
          <w:iCs/>
        </w:rPr>
        <w:t>F</w:t>
      </w:r>
      <w:r w:rsidRPr="00B93493">
        <w:t xml:space="preserve">: </w:t>
      </w:r>
      <w:r w:rsidRPr="00B93493">
        <w:tab/>
        <w:t xml:space="preserve">depends solely on centre frequency; </w:t>
      </w:r>
      <w:r w:rsidRPr="00B93493">
        <w:rPr>
          <w:i/>
          <w:iCs/>
        </w:rPr>
        <w:t>F</w:t>
      </w:r>
      <w:r w:rsidRPr="00B93493">
        <w:t xml:space="preserve"> equals 1 for frequencies below 6 000 MHz and 6 000/</w:t>
      </w:r>
      <w:r w:rsidRPr="00B93493">
        <w:rPr>
          <w:i/>
          <w:iCs/>
          <w:sz w:val="28"/>
        </w:rPr>
        <w:t xml:space="preserve">f </w:t>
      </w:r>
      <w:r w:rsidRPr="00B93493">
        <w:t xml:space="preserve">for higher frequencies. </w:t>
      </w:r>
      <w:r w:rsidRPr="00B93493">
        <w:rPr>
          <w:i/>
          <w:iCs/>
        </w:rPr>
        <w:t>F</w:t>
      </w:r>
      <w:r w:rsidRPr="00B93493">
        <w:t xml:space="preserve"> is uncorrelated to the service</w:t>
      </w:r>
    </w:p>
    <w:p w14:paraId="03974E8D" w14:textId="77777777" w:rsidR="00CF04BC" w:rsidRPr="00B93493" w:rsidRDefault="00CF04BC" w:rsidP="00CF04BC">
      <w:pPr>
        <w:pStyle w:val="Equationlegend"/>
        <w:rPr>
          <w:rFonts w:ascii="Garamond" w:hAnsi="Garamond"/>
        </w:rPr>
      </w:pPr>
      <w:r w:rsidRPr="00B93493">
        <w:rPr>
          <w:b/>
          <w:bCs/>
          <w:i/>
          <w:iCs/>
          <w:sz w:val="28"/>
          <w:szCs w:val="28"/>
        </w:rPr>
        <w:tab/>
      </w:r>
      <w:r w:rsidRPr="00B93493">
        <w:rPr>
          <w:sz w:val="28"/>
          <w:szCs w:val="28"/>
        </w:rPr>
        <w:t>ρ</w:t>
      </w:r>
      <w:r w:rsidRPr="00B93493">
        <w:t>:</w:t>
      </w:r>
      <w:r w:rsidRPr="00B93493">
        <w:rPr>
          <w:rFonts w:ascii="Garamond" w:hAnsi="Garamond"/>
        </w:rPr>
        <w:tab/>
      </w:r>
      <w:r w:rsidRPr="00B93493">
        <w:rPr>
          <w:szCs w:val="24"/>
        </w:rPr>
        <w:t xml:space="preserve">regional factor; </w:t>
      </w:r>
      <w:r w:rsidRPr="00B93493">
        <w:t>equals</w:t>
      </w:r>
      <w:r w:rsidRPr="00B93493">
        <w:rPr>
          <w:szCs w:val="24"/>
        </w:rPr>
        <w:t xml:space="preserve"> 1 for national license, and proportional (less than 1) to the number of administrative areas (regions, provinces) covered by non-national license</w:t>
      </w:r>
    </w:p>
    <w:p w14:paraId="5EAD25B7" w14:textId="77777777" w:rsidR="00CF04BC" w:rsidRPr="00B93493" w:rsidRDefault="00CF04BC" w:rsidP="00CF04BC">
      <w:pPr>
        <w:pStyle w:val="Equationlegend"/>
      </w:pPr>
      <w:r w:rsidRPr="00B93493">
        <w:rPr>
          <w:b/>
          <w:bCs/>
          <w:i/>
          <w:iCs/>
          <w:sz w:val="28"/>
          <w:szCs w:val="28"/>
        </w:rPr>
        <w:tab/>
      </w:r>
      <w:r w:rsidRPr="00B93493">
        <w:rPr>
          <w:sz w:val="28"/>
          <w:szCs w:val="28"/>
        </w:rPr>
        <w:t>σ</w:t>
      </w:r>
      <w:r w:rsidRPr="00B93493">
        <w:t>:</w:t>
      </w:r>
      <w:r w:rsidRPr="00B93493">
        <w:tab/>
        <w:t xml:space="preserve">operator’s sharing factor; equals to one for exclusive RF. As two or more operators may share the same RF, particularly, point to point (PtP) links, </w:t>
      </w:r>
      <w:r w:rsidRPr="00B93493">
        <w:rPr>
          <w:sz w:val="28"/>
          <w:szCs w:val="28"/>
        </w:rPr>
        <w:t>σ</w:t>
      </w:r>
      <w:r w:rsidRPr="00B93493">
        <w:t xml:space="preserve"> might be less than 1; 1/2 for two users sharing same RF, 1/3 for three, etc.</w:t>
      </w:r>
      <w:r w:rsidRPr="00B93493">
        <w:rPr>
          <w:rStyle w:val="FootnoteAnchor"/>
        </w:rPr>
        <w:footnoteReference w:id="6"/>
      </w:r>
    </w:p>
    <w:p w14:paraId="338CBF4D" w14:textId="77777777" w:rsidR="00CF04BC" w:rsidRPr="00B93493" w:rsidRDefault="00CF04BC" w:rsidP="00CF04BC">
      <w:pPr>
        <w:pStyle w:val="Equationlegend"/>
      </w:pPr>
      <w:r w:rsidRPr="00B93493">
        <w:rPr>
          <w:b/>
          <w:bCs/>
          <w:i/>
          <w:iCs/>
          <w:sz w:val="28"/>
          <w:szCs w:val="28"/>
        </w:rPr>
        <w:tab/>
      </w:r>
      <w:r w:rsidRPr="00B93493">
        <w:rPr>
          <w:i/>
          <w:iCs/>
          <w:sz w:val="28"/>
          <w:szCs w:val="28"/>
        </w:rPr>
        <w:t>l</w:t>
      </w:r>
      <w:r w:rsidRPr="00B93493">
        <w:t>:</w:t>
      </w:r>
      <w:r w:rsidRPr="00B93493">
        <w:tab/>
      </w:r>
      <w:r w:rsidRPr="00B93493">
        <w:rPr>
          <w:szCs w:val="24"/>
        </w:rPr>
        <w:t xml:space="preserve">site location: urban or rural (site outside the urban area) areas. It defines the socio-economic development within different districts and classifies different fees. </w:t>
      </w:r>
      <w:r w:rsidRPr="00B93493">
        <w:rPr>
          <w:i/>
          <w:iCs/>
          <w:szCs w:val="24"/>
        </w:rPr>
        <w:t>l</w:t>
      </w:r>
      <w:r w:rsidRPr="00B93493">
        <w:rPr>
          <w:szCs w:val="24"/>
        </w:rPr>
        <w:t xml:space="preserve"> may get two values, e.g. full price in urban; 25% full price in rural areas. Administrations may decide other value, or provide additional classes like remote, etc.</w:t>
      </w:r>
    </w:p>
    <w:p w14:paraId="3993B8A7" w14:textId="77777777" w:rsidR="00CF04BC" w:rsidRPr="00B93493" w:rsidRDefault="00CF04BC" w:rsidP="00CF04BC">
      <w:pPr>
        <w:pStyle w:val="Equationlegend"/>
      </w:pPr>
      <w:r w:rsidRPr="00B93493">
        <w:rPr>
          <w:b/>
          <w:bCs/>
          <w:i/>
          <w:iCs/>
          <w:sz w:val="28"/>
          <w:szCs w:val="28"/>
        </w:rPr>
        <w:tab/>
      </w:r>
      <w:r w:rsidRPr="00B93493">
        <w:rPr>
          <w:i/>
          <w:iCs/>
          <w:sz w:val="28"/>
          <w:szCs w:val="28"/>
        </w:rPr>
        <w:t>M</w:t>
      </w:r>
      <w:r w:rsidRPr="00B93493">
        <w:rPr>
          <w:i/>
          <w:iCs/>
          <w:sz w:val="28"/>
          <w:szCs w:val="28"/>
          <w:vertAlign w:val="subscript"/>
        </w:rPr>
        <w:t>pub</w:t>
      </w:r>
      <w:r w:rsidRPr="00B93493">
        <w:t>:</w:t>
      </w:r>
      <w:r w:rsidRPr="00B93493">
        <w:tab/>
      </w:r>
      <w:r w:rsidRPr="00B93493">
        <w:rPr>
          <w:szCs w:val="24"/>
        </w:rPr>
        <w:t xml:space="preserve">The public moderator to takes into account a differentiation among services. </w:t>
      </w:r>
      <w:r w:rsidRPr="00B93493">
        <w:rPr>
          <w:i/>
          <w:iCs/>
          <w:szCs w:val="24"/>
        </w:rPr>
        <w:t>M</w:t>
      </w:r>
      <w:r w:rsidRPr="00B93493">
        <w:rPr>
          <w:i/>
          <w:iCs/>
          <w:szCs w:val="24"/>
          <w:vertAlign w:val="subscript"/>
        </w:rPr>
        <w:t>pub</w:t>
      </w:r>
      <w:r w:rsidRPr="00B93493">
        <w:rPr>
          <w:i/>
          <w:iCs/>
          <w:szCs w:val="24"/>
        </w:rPr>
        <w:t xml:space="preserve"> </w:t>
      </w:r>
      <w:r w:rsidRPr="00B93493">
        <w:rPr>
          <w:szCs w:val="24"/>
        </w:rPr>
        <w:t>actually defines the fees.</w:t>
      </w:r>
      <w:r w:rsidRPr="00B93493">
        <w:t xml:space="preserve"> </w:t>
      </w:r>
      <w:r w:rsidRPr="00B93493">
        <w:rPr>
          <w:i/>
          <w:iCs/>
          <w:szCs w:val="24"/>
        </w:rPr>
        <w:t>M</w:t>
      </w:r>
      <w:r w:rsidRPr="00B93493">
        <w:rPr>
          <w:i/>
          <w:iCs/>
          <w:szCs w:val="24"/>
          <w:vertAlign w:val="subscript"/>
        </w:rPr>
        <w:t>pub</w:t>
      </w:r>
      <w:r w:rsidRPr="00B93493">
        <w:rPr>
          <w:szCs w:val="24"/>
        </w:rPr>
        <w:t xml:space="preserve"> equals 1 for the cellular service. For other services, </w:t>
      </w:r>
      <w:r w:rsidRPr="00B93493">
        <w:rPr>
          <w:i/>
          <w:iCs/>
          <w:sz w:val="28"/>
          <w:szCs w:val="28"/>
        </w:rPr>
        <w:t>M</w:t>
      </w:r>
      <w:r w:rsidRPr="00B93493">
        <w:rPr>
          <w:i/>
          <w:iCs/>
          <w:sz w:val="28"/>
          <w:szCs w:val="28"/>
          <w:vertAlign w:val="subscript"/>
        </w:rPr>
        <w:t>pub</w:t>
      </w:r>
      <w:r w:rsidRPr="00B93493">
        <w:rPr>
          <w:b/>
        </w:rPr>
        <w:t xml:space="preserve"> </w:t>
      </w:r>
      <w:r w:rsidRPr="00B93493">
        <w:rPr>
          <w:szCs w:val="24"/>
        </w:rPr>
        <w:t>numbers are arbitrary and predetermine the annual cost of the service. For example, for free-to-air television</w:t>
      </w:r>
      <w:r w:rsidRPr="00B93493">
        <w:rPr>
          <w:b/>
          <w:bCs/>
        </w:rPr>
        <w:t xml:space="preserve"> </w:t>
      </w:r>
      <w:r w:rsidRPr="00B93493">
        <w:rPr>
          <w:i/>
          <w:iCs/>
          <w:szCs w:val="24"/>
        </w:rPr>
        <w:t>M</w:t>
      </w:r>
      <w:r w:rsidRPr="00B93493">
        <w:rPr>
          <w:i/>
          <w:iCs/>
          <w:szCs w:val="24"/>
          <w:vertAlign w:val="subscript"/>
        </w:rPr>
        <w:t>pub</w:t>
      </w:r>
      <w:r w:rsidRPr="00B93493">
        <w:rPr>
          <w:szCs w:val="24"/>
        </w:rPr>
        <w:t xml:space="preserve"> may be significantly lower. </w:t>
      </w:r>
      <w:r w:rsidRPr="00B93493">
        <w:rPr>
          <w:i/>
          <w:iCs/>
          <w:sz w:val="28"/>
          <w:szCs w:val="28"/>
        </w:rPr>
        <w:t>M</w:t>
      </w:r>
      <w:r w:rsidRPr="00B93493">
        <w:rPr>
          <w:i/>
          <w:iCs/>
          <w:sz w:val="28"/>
          <w:szCs w:val="28"/>
          <w:vertAlign w:val="subscript"/>
        </w:rPr>
        <w:t>pub</w:t>
      </w:r>
      <w:r w:rsidRPr="00B93493">
        <w:rPr>
          <w:szCs w:val="24"/>
        </w:rPr>
        <w:t xml:space="preserve"> serves as framework for holding the values of different services.</w:t>
      </w:r>
    </w:p>
    <w:p w14:paraId="731FA3AD" w14:textId="77777777" w:rsidR="00CF04BC" w:rsidRPr="00B93493" w:rsidRDefault="00CF04BC" w:rsidP="00CF04BC">
      <w:r w:rsidRPr="00B93493">
        <w:t xml:space="preserve">The specific values of </w:t>
      </w:r>
      <w:r w:rsidRPr="00B93493">
        <w:rPr>
          <w:i/>
          <w:iCs/>
        </w:rPr>
        <w:t>α</w:t>
      </w:r>
      <w:r w:rsidRPr="00B93493">
        <w:t xml:space="preserve">, </w:t>
      </w:r>
      <w:r w:rsidRPr="00B93493">
        <w:rPr>
          <w:i/>
          <w:iCs/>
        </w:rPr>
        <w:t>l</w:t>
      </w:r>
      <w:r w:rsidRPr="00B93493">
        <w:t xml:space="preserve"> and </w:t>
      </w:r>
      <w:r w:rsidRPr="00B93493">
        <w:rPr>
          <w:i/>
          <w:iCs/>
        </w:rPr>
        <w:t>M</w:t>
      </w:r>
      <w:r w:rsidRPr="00B93493">
        <w:rPr>
          <w:i/>
          <w:iCs/>
          <w:vertAlign w:val="subscript"/>
        </w:rPr>
        <w:t>pub</w:t>
      </w:r>
      <w:r w:rsidRPr="00B93493">
        <w:t xml:space="preserve"> are subjective</w:t>
      </w:r>
      <w:r w:rsidRPr="00B93493">
        <w:rPr>
          <w:rStyle w:val="FootnoteAnchor"/>
        </w:rPr>
        <w:footnoteReference w:id="7"/>
      </w:r>
      <w:r w:rsidRPr="00B93493">
        <w:t xml:space="preserve"> and defined by the regulator.</w:t>
      </w:r>
    </w:p>
    <w:p w14:paraId="1FD708DA" w14:textId="77777777" w:rsidR="00CF04BC" w:rsidRPr="00B93493" w:rsidRDefault="00CF04BC" w:rsidP="00CF04BC">
      <w:pPr>
        <w:pStyle w:val="Heading3"/>
      </w:pPr>
      <w:bookmarkStart w:id="2005" w:name="_Toc518394243"/>
      <w:bookmarkStart w:id="2006" w:name="_Toc182391562"/>
      <w:bookmarkStart w:id="2007" w:name="_Toc182391973"/>
      <w:r w:rsidRPr="00B93493">
        <w:t>4.8.2</w:t>
      </w:r>
      <w:r w:rsidRPr="00B93493">
        <w:tab/>
        <w:t>Higher RF – lower fees, for all services</w:t>
      </w:r>
      <w:bookmarkEnd w:id="2005"/>
      <w:bookmarkEnd w:id="2006"/>
      <w:bookmarkEnd w:id="2007"/>
    </w:p>
    <w:p w14:paraId="177B6758" w14:textId="77777777" w:rsidR="00CF04BC" w:rsidRPr="005D2CE0" w:rsidRDefault="00CF04BC" w:rsidP="00CF04BC">
      <w:r w:rsidRPr="005D2CE0">
        <w:t xml:space="preserve">Recommendation </w:t>
      </w:r>
      <w:hyperlink r:id="rId91">
        <w:r w:rsidRPr="005D2CE0">
          <w:rPr>
            <w:rStyle w:val="InternetLink"/>
            <w:color w:val="auto"/>
            <w:u w:val="none"/>
          </w:rPr>
          <w:t>ITU-R P.2040</w:t>
        </w:r>
      </w:hyperlink>
      <w:r w:rsidRPr="005D2CE0">
        <w:t xml:space="preserve"> – Effects of building materials and structures on radiowave propagation above about 100 MHz, Recommendation </w:t>
      </w:r>
      <w:hyperlink r:id="rId92">
        <w:r w:rsidRPr="005D2CE0">
          <w:rPr>
            <w:rStyle w:val="InternetLink"/>
            <w:color w:val="auto"/>
            <w:u w:val="none"/>
          </w:rPr>
          <w:t>ITU-R P.2109</w:t>
        </w:r>
      </w:hyperlink>
      <w:r w:rsidRPr="005D2CE0">
        <w:t xml:space="preserve"> – Prediction of building entry loss, and Report </w:t>
      </w:r>
      <w:hyperlink r:id="rId93">
        <w:r w:rsidRPr="005D2CE0">
          <w:rPr>
            <w:rStyle w:val="InternetLink"/>
            <w:color w:val="auto"/>
            <w:u w:val="none"/>
          </w:rPr>
          <w:t>ITU-R P.2346</w:t>
        </w:r>
      </w:hyperlink>
      <w:r w:rsidRPr="005D2CE0">
        <w:t xml:space="preserve"> – Compilation of measurement data relating to building entry loss, explain why above 6 000 MHz the building materials attenuate the signal and may obligate a line of sight between the transmitter and receiver. The publication Radio Spectrum Management: Policies, Regulations and Techniques [9], section 5.6.8 specifies that practically before fifth generation, cellular land mobile networks operate below 6 000 MHz</w:t>
      </w:r>
      <w:r w:rsidRPr="005D2CE0">
        <w:rPr>
          <w:rStyle w:val="FootnoteAnchor"/>
        </w:rPr>
        <w:footnoteReference w:id="8"/>
      </w:r>
      <w:r w:rsidRPr="005D2CE0">
        <w:t>.</w:t>
      </w:r>
    </w:p>
    <w:p w14:paraId="74384DC4" w14:textId="77777777" w:rsidR="00CF04BC" w:rsidRPr="00B93493" w:rsidRDefault="00CF04BC" w:rsidP="00CF04BC">
      <w:r w:rsidRPr="005D2CE0">
        <w:t xml:space="preserve">At frequencies below 6 000 MHz, the propagation properties provide advantageous coverage and penetration. Moreover, below 6 000 MHz, there are less frequencies available, relative to higher frequencies. Consequently, these bands are considered subject to excess demand. The model does not </w:t>
      </w:r>
      <w:r w:rsidRPr="00B93493">
        <w:t xml:space="preserve">distinguish between the different cellular bands below 6 000 MHz: the advantage at lower RF (coverage) is compensated by the provision of more bandwidth (capacity). From a technical perceptive, all frequency bands are suitable (both the low frequency and high frequency bands) for short links. This is a spectrum management incentive introduced into the fee structure, to ensure ongoing availability of these lower frequency bands mainly for cellular and broadcasting (audio and video) and PtP longer links, which can only be accommodated in lower frequencies. The price incentives are aimed at encouraging efficient choices about frequency requirements. So, </w:t>
      </w:r>
      <w:r w:rsidRPr="00B93493">
        <w:rPr>
          <w:color w:val="000000"/>
        </w:rPr>
        <w:t xml:space="preserve">the lower frequency bands may serve greater distances and ‘bypass’ topographical obstacles. The relatively short distances can be facilitated in higher frequency bands. Hence, to ensure the ongoing availability of these lower frequency bands, operators are encouraged, through the factor </w:t>
      </w:r>
      <w:r w:rsidRPr="00B93493">
        <w:rPr>
          <w:i/>
          <w:iCs/>
          <w:color w:val="000000"/>
        </w:rPr>
        <w:t>F</w:t>
      </w:r>
      <w:r w:rsidRPr="00B93493">
        <w:rPr>
          <w:b/>
          <w:bCs/>
          <w:i/>
          <w:iCs/>
          <w:color w:val="000000"/>
        </w:rPr>
        <w:t xml:space="preserve"> </w:t>
      </w:r>
      <w:r w:rsidRPr="00B93493">
        <w:rPr>
          <w:color w:val="000000"/>
        </w:rPr>
        <w:t xml:space="preserve">in the fee formula, to select the highest frequency band available, relative to the physical distance to cover. Factor </w:t>
      </w:r>
      <w:r w:rsidRPr="00B93493">
        <w:rPr>
          <w:i/>
          <w:iCs/>
          <w:color w:val="000000"/>
        </w:rPr>
        <w:t>F</w:t>
      </w:r>
      <w:r w:rsidRPr="00B93493">
        <w:t xml:space="preserve"> provides incentives for potential users to use higher frequency bands when contemplating new licenses, to optimize the use of spectrum. </w:t>
      </w:r>
    </w:p>
    <w:p w14:paraId="2F0C5E40" w14:textId="77777777" w:rsidR="00CF04BC" w:rsidRPr="00B93493" w:rsidRDefault="00CF04BC" w:rsidP="00CF04BC">
      <w:pPr>
        <w:pStyle w:val="Heading3"/>
      </w:pPr>
      <w:bookmarkStart w:id="2008" w:name="_Ref484715111"/>
      <w:bookmarkStart w:id="2009" w:name="_Toc518394244"/>
      <w:bookmarkStart w:id="2010" w:name="_Toc182391563"/>
      <w:bookmarkStart w:id="2011" w:name="_Toc182391974"/>
      <w:r w:rsidRPr="00B93493">
        <w:t>4.8.3</w:t>
      </w:r>
      <w:r w:rsidRPr="00B93493">
        <w:tab/>
        <w:t xml:space="preserve">The values of </w:t>
      </w:r>
      <w:bookmarkEnd w:id="2008"/>
      <w:r w:rsidRPr="00B93493">
        <w:t>F for all type of services</w:t>
      </w:r>
      <w:bookmarkEnd w:id="2009"/>
      <w:bookmarkEnd w:id="2010"/>
      <w:bookmarkEnd w:id="2011"/>
    </w:p>
    <w:p w14:paraId="08889572" w14:textId="77777777" w:rsidR="00CF04BC" w:rsidRPr="00B93493" w:rsidRDefault="00CF04BC" w:rsidP="00CF04BC">
      <w:r w:rsidRPr="00B93493">
        <w:rPr>
          <w:i/>
          <w:iCs/>
        </w:rPr>
        <w:t xml:space="preserve">F </w:t>
      </w:r>
      <w:r w:rsidRPr="00B93493">
        <w:t>depends solely on frequencies:</w:t>
      </w:r>
    </w:p>
    <w:p w14:paraId="7AD9E1DF" w14:textId="77777777" w:rsidR="00CF04BC" w:rsidRPr="00B93493" w:rsidRDefault="00CF04BC" w:rsidP="00CF04BC">
      <w:pPr>
        <w:pStyle w:val="enumlev1"/>
      </w:pPr>
      <w:r w:rsidRPr="00B93493">
        <w:rPr>
          <w:i/>
          <w:iCs/>
        </w:rPr>
        <w:t>–</w:t>
      </w:r>
      <w:r w:rsidRPr="00B93493">
        <w:rPr>
          <w:i/>
          <w:iCs/>
        </w:rPr>
        <w:tab/>
        <w:t>F</w:t>
      </w:r>
      <w:r w:rsidRPr="00B93493">
        <w:t xml:space="preserve"> equals 1 for frequencies and all services below 6 000 MHz </w:t>
      </w:r>
    </w:p>
    <w:p w14:paraId="13BB0F57" w14:textId="77777777" w:rsidR="00CF04BC" w:rsidRPr="00B93493" w:rsidRDefault="00CF04BC" w:rsidP="00CF04BC">
      <w:pPr>
        <w:pStyle w:val="enumlev1"/>
      </w:pPr>
      <w:r w:rsidRPr="00B93493">
        <w:rPr>
          <w:i/>
          <w:iCs/>
        </w:rPr>
        <w:t>–</w:t>
      </w:r>
      <w:r w:rsidRPr="00B93493">
        <w:rPr>
          <w:i/>
          <w:iCs/>
        </w:rPr>
        <w:tab/>
        <w:t>F </w:t>
      </w:r>
      <w:r w:rsidRPr="00B93493">
        <w:t>= 6 000/</w:t>
      </w:r>
      <w:r w:rsidRPr="00B93493">
        <w:rPr>
          <w:i/>
          <w:iCs/>
          <w:sz w:val="28"/>
        </w:rPr>
        <w:t>f</w:t>
      </w:r>
      <w:r w:rsidRPr="00B93493">
        <w:rPr>
          <w:sz w:val="28"/>
        </w:rPr>
        <w:t xml:space="preserve"> </w:t>
      </w:r>
      <w:r w:rsidRPr="00B93493">
        <w:t>(MHz) for frequencies (</w:t>
      </w:r>
      <w:r w:rsidRPr="00B93493">
        <w:rPr>
          <w:i/>
          <w:iCs/>
          <w:sz w:val="28"/>
        </w:rPr>
        <w:t xml:space="preserve">f </w:t>
      </w:r>
      <w:r w:rsidRPr="00B93493">
        <w:t xml:space="preserve">) above 6 000 MHz. </w:t>
      </w:r>
    </w:p>
    <w:p w14:paraId="0A4842AB" w14:textId="77777777" w:rsidR="00CF04BC" w:rsidRPr="00B93493" w:rsidRDefault="00CF04BC" w:rsidP="00CF04BC">
      <w:r w:rsidRPr="00B93493">
        <w:t>The following sections detail the fees.</w:t>
      </w:r>
    </w:p>
    <w:p w14:paraId="1132473B" w14:textId="77777777" w:rsidR="00CF04BC" w:rsidRPr="00B93493" w:rsidRDefault="00CF04BC" w:rsidP="00CF04BC">
      <w:pPr>
        <w:pStyle w:val="Heading4"/>
      </w:pPr>
      <w:bookmarkStart w:id="2012" w:name="_Ref484717119"/>
      <w:bookmarkStart w:id="2013" w:name="_Ref473645296"/>
      <w:bookmarkEnd w:id="2012"/>
      <w:bookmarkEnd w:id="2013"/>
      <w:r w:rsidRPr="00B93493">
        <w:t>4.8.3.1</w:t>
      </w:r>
      <w:r w:rsidRPr="00B93493">
        <w:tab/>
        <w:t>Fees for all applications operating below 6 000 MHz</w:t>
      </w:r>
    </w:p>
    <w:p w14:paraId="50E3633F" w14:textId="77777777" w:rsidR="00CF04BC" w:rsidRPr="00B93493" w:rsidRDefault="00CF04BC" w:rsidP="00CF04BC">
      <m:oMath>
        <m:r>
          <w:rPr>
            <w:rFonts w:ascii="Cambria Math" w:hAnsi="Cambria Math"/>
          </w:rPr>
          <m:t>F</m:t>
        </m:r>
      </m:oMath>
      <w:r w:rsidRPr="00B93493">
        <w:t xml:space="preserve"> depends on frequency, while </w:t>
      </w:r>
      <w:r w:rsidRPr="00B93493">
        <w:rPr>
          <w:i/>
          <w:iCs/>
        </w:rPr>
        <w:t>M</w:t>
      </w:r>
      <w:r w:rsidRPr="00B93493">
        <w:rPr>
          <w:i/>
          <w:iCs/>
          <w:vertAlign w:val="subscript"/>
        </w:rPr>
        <w:t>pub</w:t>
      </w:r>
      <w:r w:rsidRPr="00B93493">
        <w:t xml:space="preserve"> takes into account the service. Therefore, administrations may differentiate, as an example, between broadcasting and cellular by different values of </w:t>
      </w:r>
      <w:r w:rsidRPr="00B93493">
        <w:rPr>
          <w:i/>
          <w:iCs/>
        </w:rPr>
        <w:t>M</w:t>
      </w:r>
      <w:r w:rsidRPr="00B93493">
        <w:rPr>
          <w:i/>
          <w:iCs/>
          <w:vertAlign w:val="subscript"/>
        </w:rPr>
        <w:t>pub</w:t>
      </w:r>
      <w:r w:rsidRPr="00B93493">
        <w:t xml:space="preserve">. </w:t>
      </w:r>
    </w:p>
    <w:p w14:paraId="28311186" w14:textId="5D4CA1C3" w:rsidR="00200C03" w:rsidRDefault="00CF04BC" w:rsidP="00CF04BC">
      <w:pPr>
        <w:pStyle w:val="Equation"/>
      </w:pPr>
      <w:r w:rsidRPr="00B93493">
        <w:tab/>
      </w:r>
      <w:r w:rsidR="00200C03">
        <w:tab/>
      </w:r>
      <m:oMath>
        <m:f>
          <m:fPr>
            <m:ctrlPr>
              <w:rPr>
                <w:rFonts w:ascii="Cambria Math" w:hAnsi="Cambria Math"/>
                <w:i/>
              </w:rPr>
            </m:ctrlPr>
          </m:fPr>
          <m:num>
            <m:r>
              <w:rPr>
                <w:rFonts w:ascii="Cambria Math" w:hAnsi="Cambria Math"/>
              </w:rPr>
              <m:t>Cost</m:t>
            </m:r>
          </m:num>
          <m:den>
            <m:r>
              <w:rPr>
                <w:rFonts w:ascii="Cambria Math" w:hAnsi="Cambria Math"/>
              </w:rPr>
              <m:t>B</m:t>
            </m:r>
          </m:den>
        </m:f>
        <m:r>
          <w:rPr>
            <w:rFonts w:ascii="Cambria Math" w:hAnsi="Cambria Math"/>
          </w:rPr>
          <m:t>=</m:t>
        </m:r>
        <m:r>
          <m:rPr>
            <m:sty m:val="p"/>
          </m:rPr>
          <w:rPr>
            <w:rFonts w:ascii="Cambria Math" w:hAnsi="Cambria Math"/>
          </w:rPr>
          <m:t>α</m:t>
        </m:r>
        <m:r>
          <w:rPr>
            <w:rFonts w:ascii="Cambria Math" w:hAnsi="Cambria Math"/>
          </w:rPr>
          <m:t>×F×</m:t>
        </m:r>
        <m:r>
          <m:rPr>
            <m:sty m:val="p"/>
          </m:rPr>
          <w:rPr>
            <w:rFonts w:ascii="Cambria Math" w:hAnsi="Cambria Math"/>
          </w:rPr>
          <m:t>ρ</m:t>
        </m:r>
        <m:r>
          <w:rPr>
            <w:rFonts w:ascii="Cambria Math" w:hAnsi="Cambria Math"/>
          </w:rPr>
          <m:t>×</m:t>
        </m:r>
        <m:r>
          <m:rPr>
            <m:sty m:val="p"/>
          </m:rPr>
          <w:rPr>
            <w:rFonts w:ascii="Cambria Math" w:hAnsi="Cambria Math"/>
          </w:rPr>
          <m:t>σ</m:t>
        </m:r>
        <m:r>
          <w:rPr>
            <w:rFonts w:ascii="Cambria Math" w:hAnsi="Cambria Math"/>
          </w:rPr>
          <m:t>×l×</m:t>
        </m:r>
        <m:sSub>
          <m:sSubPr>
            <m:ctrlPr>
              <w:rPr>
                <w:rFonts w:ascii="Cambria Math" w:hAnsi="Cambria Math"/>
                <w:i/>
              </w:rPr>
            </m:ctrlPr>
          </m:sSubPr>
          <m:e>
            <m:r>
              <w:rPr>
                <w:rFonts w:ascii="Cambria Math" w:hAnsi="Cambria Math"/>
              </w:rPr>
              <m:t>M</m:t>
            </m:r>
          </m:e>
          <m:sub>
            <m:r>
              <w:rPr>
                <w:rFonts w:ascii="Cambria Math" w:hAnsi="Cambria Math"/>
              </w:rPr>
              <m:t>pub</m:t>
            </m:r>
          </m:sub>
        </m:sSub>
        <m:r>
          <w:rPr>
            <w:rFonts w:ascii="Cambria Math" w:hAnsi="Cambria Math"/>
          </w:rPr>
          <m:t>=</m:t>
        </m:r>
        <m:r>
          <m:rPr>
            <m:sty m:val="p"/>
          </m:rPr>
          <w:rPr>
            <w:rFonts w:ascii="Cambria Math" w:hAnsi="Cambria Math"/>
          </w:rPr>
          <m:t>α</m:t>
        </m:r>
        <m:r>
          <w:rPr>
            <w:rFonts w:ascii="Cambria Math" w:hAnsi="Cambria Math"/>
          </w:rPr>
          <m:t>×1×</m:t>
        </m:r>
        <m:r>
          <m:rPr>
            <m:sty m:val="p"/>
          </m:rPr>
          <w:rPr>
            <w:rFonts w:ascii="Cambria Math" w:hAnsi="Cambria Math"/>
          </w:rPr>
          <m:t>ρ</m:t>
        </m:r>
        <m:r>
          <w:rPr>
            <w:rFonts w:ascii="Cambria Math" w:hAnsi="Cambria Math"/>
          </w:rPr>
          <m:t>×</m:t>
        </m:r>
        <m:r>
          <m:rPr>
            <m:sty m:val="p"/>
          </m:rPr>
          <w:rPr>
            <w:rFonts w:ascii="Cambria Math" w:hAnsi="Cambria Math"/>
          </w:rPr>
          <m:t>σ</m:t>
        </m:r>
        <m:r>
          <w:rPr>
            <w:rFonts w:ascii="Cambria Math" w:hAnsi="Cambria Math"/>
          </w:rPr>
          <m:t>×l×</m:t>
        </m:r>
        <m:sSub>
          <m:sSubPr>
            <m:ctrlPr>
              <w:rPr>
                <w:rFonts w:ascii="Cambria Math" w:hAnsi="Cambria Math"/>
                <w:i/>
              </w:rPr>
            </m:ctrlPr>
          </m:sSubPr>
          <m:e>
            <m:r>
              <w:rPr>
                <w:rFonts w:ascii="Cambria Math" w:hAnsi="Cambria Math"/>
              </w:rPr>
              <m:t>M</m:t>
            </m:r>
          </m:e>
          <m:sub>
            <m:r>
              <w:rPr>
                <w:rFonts w:ascii="Cambria Math" w:hAnsi="Cambria Math"/>
              </w:rPr>
              <m:t>pub</m:t>
            </m:r>
          </m:sub>
        </m:sSub>
        <m:r>
          <w:rPr>
            <w:rFonts w:ascii="Cambria Math" w:hAnsi="Cambria Math"/>
          </w:rPr>
          <m:t>=</m:t>
        </m:r>
        <m:r>
          <m:rPr>
            <m:sty m:val="p"/>
          </m:rPr>
          <w:rPr>
            <w:rFonts w:ascii="Cambria Math" w:hAnsi="Cambria Math"/>
          </w:rPr>
          <m:t>α</m:t>
        </m:r>
        <m:r>
          <w:rPr>
            <w:rFonts w:ascii="Cambria Math" w:hAnsi="Cambria Math"/>
          </w:rPr>
          <m:t>×</m:t>
        </m:r>
        <m:r>
          <m:rPr>
            <m:sty m:val="p"/>
          </m:rPr>
          <w:rPr>
            <w:rFonts w:ascii="Cambria Math" w:hAnsi="Cambria Math"/>
          </w:rPr>
          <m:t>ρ</m:t>
        </m:r>
        <m:r>
          <w:rPr>
            <w:rFonts w:ascii="Cambria Math" w:hAnsi="Cambria Math"/>
          </w:rPr>
          <m:t>×</m:t>
        </m:r>
        <m:r>
          <m:rPr>
            <m:sty m:val="p"/>
          </m:rPr>
          <w:rPr>
            <w:rFonts w:ascii="Cambria Math" w:hAnsi="Cambria Math"/>
          </w:rPr>
          <m:t>σ</m:t>
        </m:r>
        <m:r>
          <w:rPr>
            <w:rFonts w:ascii="Cambria Math" w:hAnsi="Cambria Math"/>
          </w:rPr>
          <m:t>×l×</m:t>
        </m:r>
        <m:sSub>
          <m:sSubPr>
            <m:ctrlPr>
              <w:rPr>
                <w:rFonts w:ascii="Cambria Math" w:hAnsi="Cambria Math"/>
                <w:i/>
              </w:rPr>
            </m:ctrlPr>
          </m:sSubPr>
          <m:e>
            <m:r>
              <w:rPr>
                <w:rFonts w:ascii="Cambria Math" w:hAnsi="Cambria Math"/>
              </w:rPr>
              <m:t>M</m:t>
            </m:r>
          </m:e>
          <m:sub>
            <m:r>
              <w:rPr>
                <w:rFonts w:ascii="Cambria Math" w:hAnsi="Cambria Math"/>
              </w:rPr>
              <m:t>pub</m:t>
            </m:r>
          </m:sub>
        </m:sSub>
      </m:oMath>
      <w:r w:rsidR="00200C03">
        <w:tab/>
        <w:t>(53)</w:t>
      </w:r>
    </w:p>
    <w:p w14:paraId="018CA65B" w14:textId="53F760D9" w:rsidR="00CF04BC" w:rsidRPr="00B93493" w:rsidRDefault="00CF04BC" w:rsidP="00E91654">
      <w:pPr>
        <w:pStyle w:val="Heading4"/>
      </w:pPr>
      <w:bookmarkStart w:id="2014" w:name="_Ref475577523"/>
      <w:bookmarkEnd w:id="2014"/>
      <w:r w:rsidRPr="00B93493">
        <w:t>4.8.3.</w:t>
      </w:r>
      <w:r w:rsidR="00D25898">
        <w:t>2</w:t>
      </w:r>
      <w:r w:rsidRPr="00B93493">
        <w:tab/>
        <w:t xml:space="preserve">Fees for all applications operating above 6000 MHz </w:t>
      </w:r>
    </w:p>
    <w:p w14:paraId="0BD6B53F" w14:textId="77777777" w:rsidR="00CF04BC" w:rsidRPr="00B93493" w:rsidRDefault="00CF04BC" w:rsidP="00CF04BC">
      <w:r w:rsidRPr="00B93493">
        <w:t xml:space="preserve">The factor </w:t>
      </w:r>
      <w:r w:rsidRPr="00B93493">
        <w:rPr>
          <w:i/>
          <w:iCs/>
        </w:rPr>
        <w:t>F</w:t>
      </w:r>
      <w:r w:rsidRPr="00B93493">
        <w:t>(</w:t>
      </w:r>
      <w:r w:rsidRPr="00B93493">
        <w:rPr>
          <w:i/>
          <w:iCs/>
        </w:rPr>
        <w:t>f</w:t>
      </w:r>
      <w:r w:rsidRPr="00B93493">
        <w:t>) equals:</w:t>
      </w:r>
    </w:p>
    <w:p w14:paraId="030C6D2B" w14:textId="5AE0337D" w:rsidR="00200C03" w:rsidRDefault="00CF04BC" w:rsidP="00CF04BC">
      <w:pPr>
        <w:pStyle w:val="Equation"/>
      </w:pPr>
      <w:r w:rsidRPr="00B93493">
        <w:tab/>
      </w:r>
      <w:r w:rsidR="00200C03">
        <w:tab/>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MHz</m:t>
                </m:r>
              </m:sub>
            </m:sSub>
          </m:e>
        </m:d>
        <m:r>
          <w:rPr>
            <w:rFonts w:ascii="Cambria Math" w:hAnsi="Cambria Math"/>
          </w:rPr>
          <m:t>=</m:t>
        </m:r>
        <m:f>
          <m:fPr>
            <m:ctrlPr>
              <w:rPr>
                <w:rFonts w:ascii="Cambria Math" w:hAnsi="Cambria Math"/>
                <w:iCs/>
              </w:rPr>
            </m:ctrlPr>
          </m:fPr>
          <m:num>
            <m:r>
              <w:rPr>
                <w:rFonts w:ascii="Cambria Math" w:hAnsi="Cambria Math"/>
              </w:rPr>
              <m:t>6 000</m:t>
            </m:r>
          </m:num>
          <m:den>
            <m:sSub>
              <m:sSubPr>
                <m:ctrlPr>
                  <w:rPr>
                    <w:rFonts w:ascii="Cambria Math" w:hAnsi="Cambria Math"/>
                    <w:i/>
                    <w:iCs/>
                  </w:rPr>
                </m:ctrlPr>
              </m:sSubPr>
              <m:e>
                <m:r>
                  <w:rPr>
                    <w:rFonts w:ascii="Cambria Math" w:hAnsi="Cambria Math"/>
                  </w:rPr>
                  <m:t>f</m:t>
                </m:r>
              </m:e>
              <m:sub>
                <m:r>
                  <w:rPr>
                    <w:rFonts w:ascii="Cambria Math" w:hAnsi="Cambria Math"/>
                  </w:rPr>
                  <m:t>MHz</m:t>
                </m:r>
              </m:sub>
            </m:sSub>
          </m:den>
        </m:f>
      </m:oMath>
    </w:p>
    <w:p w14:paraId="17622A90" w14:textId="77777777" w:rsidR="00CF04BC" w:rsidRPr="00B93493" w:rsidRDefault="00CF04BC" w:rsidP="00CF04BC">
      <w:r w:rsidRPr="00B93493">
        <w:t xml:space="preserve">Equation </w:t>
      </w:r>
      <w:r w:rsidRPr="00B93493">
        <w:fldChar w:fldCharType="begin"/>
      </w:r>
      <w:r w:rsidRPr="00B93493">
        <w:instrText>GOTOBUTTON ZEqnNum427979  \* MERGEFORMAT</w:instrText>
      </w:r>
      <w:r w:rsidRPr="00B93493">
        <w:fldChar w:fldCharType="end"/>
      </w:r>
      <w:bookmarkStart w:id="2015" w:name="__Fieldmark__2317_1906923217"/>
      <w:bookmarkEnd w:id="2015"/>
      <w:r w:rsidRPr="00B93493">
        <w:t xml:space="preserve">(52) </w:t>
      </w:r>
      <w:r w:rsidRPr="00B93493">
        <w:rPr>
          <w:iCs/>
        </w:rPr>
        <w:t xml:space="preserve">may be re-written for the annual fees per 1 MHz, </w:t>
      </w:r>
      <w:r w:rsidRPr="00B93493">
        <w:rPr>
          <w:i/>
        </w:rPr>
        <w:t>F</w:t>
      </w:r>
      <w:r w:rsidRPr="00B93493">
        <w:rPr>
          <w:iCs/>
        </w:rPr>
        <w:t xml:space="preserve"> above 6 000 MHz.</w:t>
      </w:r>
    </w:p>
    <w:p w14:paraId="5F4B3CDA" w14:textId="2E052DE7" w:rsidR="00200C03" w:rsidRDefault="00CF04BC" w:rsidP="00CF04BC">
      <w:pPr>
        <w:pStyle w:val="Equation"/>
      </w:pPr>
      <w:r w:rsidRPr="00B93493">
        <w:tab/>
      </w:r>
      <w:r w:rsidR="00200C03">
        <w:tab/>
      </w:r>
      <m:oMath>
        <m:f>
          <m:fPr>
            <m:ctrlPr>
              <w:rPr>
                <w:rFonts w:ascii="Cambria Math" w:hAnsi="Cambria Math"/>
                <w:i/>
              </w:rPr>
            </m:ctrlPr>
          </m:fPr>
          <m:num>
            <m:r>
              <w:rPr>
                <w:rFonts w:ascii="Cambria Math" w:hAnsi="Cambria Math"/>
              </w:rPr>
              <m:t>Cost</m:t>
            </m:r>
          </m:num>
          <m:den>
            <m:r>
              <w:rPr>
                <w:rFonts w:ascii="Cambria Math" w:hAnsi="Cambria Math"/>
              </w:rPr>
              <m:t>B</m:t>
            </m:r>
          </m:den>
        </m:f>
        <m:r>
          <w:rPr>
            <w:rFonts w:ascii="Cambria Math" w:hAnsi="Cambria Math"/>
          </w:rPr>
          <m:t>=</m:t>
        </m:r>
        <m:r>
          <m:rPr>
            <m:sty m:val="p"/>
          </m:rPr>
          <w:rPr>
            <w:rFonts w:ascii="Cambria Math" w:hAnsi="Cambria Math"/>
          </w:rPr>
          <m:t>α</m:t>
        </m:r>
        <m:r>
          <w:rPr>
            <w:rFonts w:ascii="Cambria Math" w:hAnsi="Cambria Math"/>
          </w:rPr>
          <m:t>×F×</m:t>
        </m:r>
        <m:r>
          <m:rPr>
            <m:sty m:val="p"/>
          </m:rPr>
          <w:rPr>
            <w:rFonts w:ascii="Cambria Math" w:hAnsi="Cambria Math"/>
          </w:rPr>
          <m:t>ρ</m:t>
        </m:r>
        <m:r>
          <w:rPr>
            <w:rFonts w:ascii="Cambria Math" w:hAnsi="Cambria Math"/>
          </w:rPr>
          <m:t>×</m:t>
        </m:r>
        <m:r>
          <m:rPr>
            <m:sty m:val="p"/>
          </m:rPr>
          <w:rPr>
            <w:rFonts w:ascii="Cambria Math" w:hAnsi="Cambria Math"/>
          </w:rPr>
          <m:t>σ</m:t>
        </m:r>
        <m:r>
          <w:rPr>
            <w:rFonts w:ascii="Cambria Math" w:hAnsi="Cambria Math"/>
          </w:rPr>
          <m:t>×l×</m:t>
        </m:r>
        <m:sSub>
          <m:sSubPr>
            <m:ctrlPr>
              <w:rPr>
                <w:rFonts w:ascii="Cambria Math" w:hAnsi="Cambria Math"/>
                <w:i/>
              </w:rPr>
            </m:ctrlPr>
          </m:sSubPr>
          <m:e>
            <m:r>
              <w:rPr>
                <w:rFonts w:ascii="Cambria Math" w:hAnsi="Cambria Math"/>
              </w:rPr>
              <m:t>M</m:t>
            </m:r>
          </m:e>
          <m:sub>
            <m:r>
              <w:rPr>
                <w:rFonts w:ascii="Cambria Math" w:hAnsi="Cambria Math"/>
              </w:rPr>
              <m:t>pub</m:t>
            </m:r>
          </m:sub>
        </m:sSub>
        <m:r>
          <w:rPr>
            <w:rFonts w:ascii="Cambria Math" w:hAnsi="Cambria Math"/>
          </w:rPr>
          <m:t>=</m:t>
        </m:r>
        <m:r>
          <m:rPr>
            <m:sty m:val="p"/>
          </m:rPr>
          <w:rPr>
            <w:rFonts w:ascii="Cambria Math" w:hAnsi="Cambria Math"/>
          </w:rPr>
          <m:t>α</m:t>
        </m:r>
        <m:f>
          <m:fPr>
            <m:ctrlPr>
              <w:rPr>
                <w:rFonts w:ascii="Cambria Math" w:hAnsi="Cambria Math"/>
                <w:iCs/>
              </w:rPr>
            </m:ctrlPr>
          </m:fPr>
          <m:num>
            <m:r>
              <w:rPr>
                <w:rFonts w:ascii="Cambria Math" w:hAnsi="Cambria Math"/>
              </w:rPr>
              <m:t>6 000</m:t>
            </m:r>
          </m:num>
          <m:den>
            <m:sSub>
              <m:sSubPr>
                <m:ctrlPr>
                  <w:rPr>
                    <w:rFonts w:ascii="Cambria Math" w:hAnsi="Cambria Math"/>
                    <w:i/>
                    <w:iCs/>
                  </w:rPr>
                </m:ctrlPr>
              </m:sSubPr>
              <m:e>
                <m:r>
                  <w:rPr>
                    <w:rFonts w:ascii="Cambria Math" w:hAnsi="Cambria Math"/>
                  </w:rPr>
                  <m:t>f</m:t>
                </m:r>
              </m:e>
              <m:sub>
                <m:r>
                  <w:rPr>
                    <w:rFonts w:ascii="Cambria Math" w:hAnsi="Cambria Math"/>
                  </w:rPr>
                  <m:t>MHz</m:t>
                </m:r>
              </m:sub>
            </m:sSub>
          </m:den>
        </m:f>
        <m:r>
          <m:rPr>
            <m:sty m:val="p"/>
          </m:rPr>
          <w:rPr>
            <w:rFonts w:ascii="Cambria Math" w:hAnsi="Cambria Math"/>
          </w:rPr>
          <m:t>ρ</m:t>
        </m:r>
        <m:r>
          <w:rPr>
            <w:rFonts w:ascii="Cambria Math" w:hAnsi="Cambria Math"/>
          </w:rPr>
          <m:t>×</m:t>
        </m:r>
        <m:r>
          <m:rPr>
            <m:sty m:val="p"/>
          </m:rPr>
          <w:rPr>
            <w:rFonts w:ascii="Cambria Math" w:hAnsi="Cambria Math"/>
          </w:rPr>
          <m:t>σ</m:t>
        </m:r>
        <m:r>
          <w:rPr>
            <w:rFonts w:ascii="Cambria Math" w:hAnsi="Cambria Math"/>
          </w:rPr>
          <m:t>×l×</m:t>
        </m:r>
        <m:sSub>
          <m:sSubPr>
            <m:ctrlPr>
              <w:rPr>
                <w:rFonts w:ascii="Cambria Math" w:hAnsi="Cambria Math"/>
                <w:i/>
              </w:rPr>
            </m:ctrlPr>
          </m:sSubPr>
          <m:e>
            <m:r>
              <w:rPr>
                <w:rFonts w:ascii="Cambria Math" w:hAnsi="Cambria Math"/>
              </w:rPr>
              <m:t>M</m:t>
            </m:r>
          </m:e>
          <m:sub>
            <m:r>
              <w:rPr>
                <w:rFonts w:ascii="Cambria Math" w:hAnsi="Cambria Math"/>
              </w:rPr>
              <m:t>pub</m:t>
            </m:r>
          </m:sub>
        </m:sSub>
      </m:oMath>
      <w:r w:rsidR="00200C03">
        <w:tab/>
        <w:t>(55)</w:t>
      </w:r>
    </w:p>
    <w:p w14:paraId="39B66B1D" w14:textId="77777777" w:rsidR="00CF04BC" w:rsidRPr="00B93493" w:rsidRDefault="00CF04BC" w:rsidP="00CF04BC">
      <w:r w:rsidRPr="00B93493">
        <w:t xml:space="preserve">Figure 11 depicts coefficient </w:t>
      </w:r>
      <w:r w:rsidRPr="00B93493">
        <w:rPr>
          <w:i/>
          <w:iCs/>
        </w:rPr>
        <w:t>F</w:t>
      </w:r>
      <w:r w:rsidRPr="00B93493">
        <w:t xml:space="preserve"> at 6 000–23 000 MHz: relative fees as function of frequency. </w:t>
      </w:r>
    </w:p>
    <w:p w14:paraId="26380E27" w14:textId="77777777" w:rsidR="00CF04BC" w:rsidRPr="00B93493" w:rsidRDefault="00CF04BC" w:rsidP="00CF04BC">
      <w:pPr>
        <w:pStyle w:val="FigureNo"/>
      </w:pPr>
      <w:bookmarkStart w:id="2016" w:name="_Ref476242749"/>
      <w:r w:rsidRPr="00B93493">
        <w:t>FIGURE</w:t>
      </w:r>
      <w:bookmarkEnd w:id="2016"/>
      <w:r w:rsidRPr="00B93493">
        <w:t xml:space="preserve"> 11</w:t>
      </w:r>
    </w:p>
    <w:p w14:paraId="4F83C71B" w14:textId="6793D83F" w:rsidR="00CF04BC" w:rsidRPr="00B93493" w:rsidRDefault="00CF04BC" w:rsidP="00CF04BC">
      <w:pPr>
        <w:pStyle w:val="Figuretitle"/>
      </w:pPr>
      <w:bookmarkStart w:id="2017" w:name="_Toc476892239"/>
      <w:bookmarkStart w:id="2018" w:name="_Toc484727771"/>
      <w:bookmarkStart w:id="2019" w:name="_Toc473842227"/>
      <w:bookmarkStart w:id="2020" w:name="_Toc476712517"/>
      <w:r w:rsidRPr="00B93493">
        <w:t>Relative fees (coefficient F) depend on frequency</w:t>
      </w:r>
      <w:bookmarkEnd w:id="2017"/>
      <w:bookmarkEnd w:id="2018"/>
      <w:bookmarkEnd w:id="2019"/>
      <w:bookmarkEnd w:id="2020"/>
      <w:r w:rsidRPr="00B93493">
        <w:t xml:space="preserve">: </w:t>
      </w:r>
      <w:r w:rsidRPr="00B93493">
        <w:rPr>
          <w:i/>
          <w:iCs/>
        </w:rPr>
        <w:t>F</w:t>
      </w:r>
      <w:r w:rsidRPr="00B93493">
        <w:t xml:space="preserve">=1 for </w:t>
      </w:r>
      <w:r w:rsidRPr="00B93493">
        <w:rPr>
          <w:i/>
          <w:iCs/>
        </w:rPr>
        <w:t>f</w:t>
      </w:r>
      <w:r w:rsidRPr="00B93493">
        <w:t xml:space="preserve"> </w:t>
      </w:r>
      <w:r w:rsidR="00345301">
        <w:t xml:space="preserve"> </w:t>
      </w:r>
      <w:r w:rsidRPr="00B93493">
        <w:t>&lt;</w:t>
      </w:r>
      <w:r w:rsidR="00345301">
        <w:t xml:space="preserve"> </w:t>
      </w:r>
      <w:r w:rsidRPr="00B93493">
        <w:t xml:space="preserve">6 000 MHz </w:t>
      </w:r>
      <w:r w:rsidRPr="00B93493">
        <w:rPr>
          <w:i/>
          <w:iCs/>
        </w:rPr>
        <w:t>F</w:t>
      </w:r>
      <w:r w:rsidRPr="00B93493">
        <w:t>=1/</w:t>
      </w:r>
      <w:r w:rsidRPr="00B93493">
        <w:rPr>
          <w:i/>
          <w:iCs/>
        </w:rPr>
        <w:t>f</w:t>
      </w:r>
      <w:r w:rsidRPr="00B93493">
        <w:t xml:space="preserve"> for </w:t>
      </w:r>
      <w:r w:rsidRPr="00B93493">
        <w:rPr>
          <w:i/>
          <w:iCs/>
        </w:rPr>
        <w:t>f</w:t>
      </w:r>
      <w:r w:rsidRPr="00B93493">
        <w:t xml:space="preserve"> </w:t>
      </w:r>
      <w:r w:rsidR="00345301">
        <w:t xml:space="preserve"> </w:t>
      </w:r>
      <w:r w:rsidRPr="00B93493">
        <w:t>≥ 6 000 MHz</w:t>
      </w:r>
    </w:p>
    <w:p w14:paraId="0D7A47F4" w14:textId="77777777" w:rsidR="00CF04BC" w:rsidRPr="00B93493" w:rsidRDefault="00CF04BC" w:rsidP="00CF04BC">
      <w:pPr>
        <w:pStyle w:val="Figure"/>
      </w:pPr>
      <w:r w:rsidRPr="00B93493">
        <w:rPr>
          <w:noProof/>
        </w:rPr>
        <w:drawing>
          <wp:inline distT="0" distB="0" distL="0" distR="0" wp14:anchorId="587A34C6" wp14:editId="762B5BE2">
            <wp:extent cx="6036310" cy="2807970"/>
            <wp:effectExtent l="0" t="0" r="0" b="0"/>
            <wp:docPr id="2" name="Picture 11" descr="Figure 11 shows relative fees (coefficient F) depend on frequency: F=1 for f  &lt; 6 000 MHz F=1/f for f  ≥ 6 000 MHz"/>
            <wp:cNvGraphicFramePr/>
            <a:graphic xmlns:a="http://schemas.openxmlformats.org/drawingml/2006/main">
              <a:graphicData uri="http://schemas.openxmlformats.org/drawingml/2006/picture">
                <pic:pic xmlns:pic="http://schemas.openxmlformats.org/drawingml/2006/picture">
                  <pic:nvPicPr>
                    <pic:cNvPr id="2" name="Picture 11" descr="Figure 11 shows relative fees (coefficient F) depend on frequency: F=1 for f  &lt; 6 000 MHz F=1/f for f  ≥ 6 000 MHz"/>
                    <pic:cNvPicPr/>
                  </pic:nvPicPr>
                  <pic:blipFill>
                    <a:blip r:embed="rId94"/>
                    <a:stretch>
                      <a:fillRect/>
                    </a:stretch>
                  </pic:blipFill>
                  <pic:spPr>
                    <a:xfrm>
                      <a:off x="0" y="0"/>
                      <a:ext cx="6035760" cy="2807280"/>
                    </a:xfrm>
                    <a:prstGeom prst="rect">
                      <a:avLst/>
                    </a:prstGeom>
                    <a:ln w="19080">
                      <a:solidFill>
                        <a:srgbClr val="006600"/>
                      </a:solidFill>
                      <a:miter/>
                    </a:ln>
                    <a:effectLst>
                      <a:outerShdw blurRad="50800" dist="38100" dir="2700000" algn="tl" rotWithShape="0">
                        <a:srgbClr val="000000">
                          <a:alpha val="43000"/>
                        </a:srgbClr>
                      </a:outerShdw>
                    </a:effectLst>
                  </pic:spPr>
                </pic:pic>
              </a:graphicData>
            </a:graphic>
          </wp:inline>
        </w:drawing>
      </w:r>
    </w:p>
    <w:p w14:paraId="272719C2" w14:textId="77777777" w:rsidR="00CF04BC" w:rsidRPr="00B93493" w:rsidRDefault="00CF04BC" w:rsidP="00345301">
      <w:pPr>
        <w:pStyle w:val="Normalaftertitle"/>
      </w:pPr>
      <w:r w:rsidRPr="00B93493">
        <w:t xml:space="preserve">To specify one example: PtP operates at RF till 86 GHz and more, equation (54) may also be helpful; e.g. </w:t>
      </w:r>
      <w:r w:rsidRPr="00B93493">
        <w:rPr>
          <w:i/>
          <w:iCs/>
        </w:rPr>
        <w:t>F</w:t>
      </w:r>
      <w:r w:rsidRPr="00B93493">
        <w:t xml:space="preserve"> equals (6/80 =) 0.075 for 80 GHz. Interesting to note: at these frequencies, the bandwidth (BW) is relatively very high, such as 1 000 MHz. The total price (not per MHz) for a PtP link operating at 6 000 MHz (28 MHz bandwidth) and 60 GHz (280 MHz bandwidth) is the same, as the fee per MHz multiplied by BW.</w:t>
      </w:r>
    </w:p>
    <w:p w14:paraId="2213F135" w14:textId="77777777" w:rsidR="00CF04BC" w:rsidRPr="00B93493" w:rsidRDefault="00CF04BC" w:rsidP="00CF04BC">
      <w:pPr>
        <w:pStyle w:val="Heading3"/>
      </w:pPr>
      <w:bookmarkStart w:id="2021" w:name="_Toc518394245"/>
      <w:bookmarkStart w:id="2022" w:name="_Toc182391564"/>
      <w:bookmarkStart w:id="2023" w:name="_Toc182391975"/>
      <w:r w:rsidRPr="00B93493">
        <w:t>4.8.4</w:t>
      </w:r>
      <w:r w:rsidRPr="00B93493">
        <w:tab/>
        <w:t>Examples to calculate fees per MHz</w:t>
      </w:r>
      <w:bookmarkEnd w:id="2021"/>
      <w:bookmarkEnd w:id="2022"/>
      <w:bookmarkEnd w:id="2023"/>
    </w:p>
    <w:p w14:paraId="72194DE6" w14:textId="77777777" w:rsidR="00CF04BC" w:rsidRPr="00B93493" w:rsidRDefault="00CF04BC" w:rsidP="00CF04BC">
      <w:pPr>
        <w:pStyle w:val="Heading4"/>
      </w:pPr>
      <w:r w:rsidRPr="00B93493">
        <w:t>4.8.4.1</w:t>
      </w:r>
      <w:r w:rsidRPr="00B93493">
        <w:tab/>
        <w:t xml:space="preserve">Fees per MHz for Internet Service Providers operating at 2 600 MHz </w:t>
      </w:r>
    </w:p>
    <w:p w14:paraId="4FCE73FA" w14:textId="77777777" w:rsidR="00CF04BC" w:rsidRPr="00B93493" w:rsidRDefault="00CF04BC" w:rsidP="00CF04BC">
      <w:pPr>
        <w:rPr>
          <w:iCs/>
        </w:rPr>
      </w:pPr>
      <w:r w:rsidRPr="00B93493">
        <w:t>As the frequency is below 6 000 MHz the</w:t>
      </w:r>
      <w:r w:rsidRPr="00B93493">
        <w:rPr>
          <w:iCs/>
        </w:rPr>
        <w:t xml:space="preserve"> annual fees per 1 MHz at 2 600 MHz:</w:t>
      </w:r>
    </w:p>
    <w:p w14:paraId="3E442EBD" w14:textId="77777777" w:rsidR="00CF04BC" w:rsidRPr="00B93493" w:rsidRDefault="00CF04BC" w:rsidP="00CF04BC">
      <w:pPr>
        <w:pStyle w:val="Equation"/>
      </w:pPr>
      <w:r w:rsidRPr="00B93493">
        <w:tab/>
      </w:r>
      <w:r w:rsidRPr="00B93493">
        <w:tab/>
      </w:r>
      <w:r w:rsidRPr="00B93493">
        <w:rPr>
          <w:position w:val="-24"/>
        </w:rPr>
        <w:object w:dxaOrig="7083" w:dyaOrig="591" w14:anchorId="01938348">
          <v:shape id="_x0000_i1055" type="#_x0000_t75" style="width:355.4pt;height:29.4pt" o:ole="">
            <v:imagedata r:id="rId95" o:title=""/>
          </v:shape>
          <o:OLEObject Type="Embed" ProgID="Equation.DSMT4" ShapeID="_x0000_i1055" DrawAspect="Content" ObjectID="_1812968337" r:id="rId96"/>
        </w:object>
      </w:r>
    </w:p>
    <w:p w14:paraId="58C1D83C" w14:textId="77777777" w:rsidR="00CF04BC" w:rsidRPr="00B93493" w:rsidRDefault="00CF04BC" w:rsidP="00CF04BC">
      <w:pPr>
        <w:pStyle w:val="enumlev1"/>
      </w:pPr>
      <w:r w:rsidRPr="00B93493">
        <w:t>–</w:t>
      </w:r>
      <w:r w:rsidRPr="00B93493">
        <w:tab/>
        <w:t xml:space="preserve">The covered area includes urban zones </w:t>
      </w:r>
      <w:r w:rsidRPr="00B93493">
        <w:rPr>
          <w:i/>
          <w:iCs/>
          <w:sz w:val="28"/>
        </w:rPr>
        <w:t>l</w:t>
      </w:r>
      <w:r w:rsidRPr="00B93493">
        <w:t>=1;</w:t>
      </w:r>
    </w:p>
    <w:p w14:paraId="1F914BE4" w14:textId="77777777" w:rsidR="00CF04BC" w:rsidRPr="00B93493" w:rsidRDefault="00CF04BC" w:rsidP="00CF04BC">
      <w:pPr>
        <w:pStyle w:val="enumlev1"/>
      </w:pPr>
      <w:r w:rsidRPr="00B93493">
        <w:t>–</w:t>
      </w:r>
      <w:r w:rsidRPr="00B93493">
        <w:tab/>
      </w:r>
      <w:r w:rsidRPr="00B93493">
        <w:rPr>
          <w:sz w:val="28"/>
          <w:szCs w:val="28"/>
        </w:rPr>
        <w:t>ρ</w:t>
      </w:r>
      <w:r w:rsidRPr="00B93493">
        <w:rPr>
          <w:rFonts w:ascii="Garamond" w:hAnsi="Garamond"/>
        </w:rPr>
        <w:t xml:space="preserve"> </w:t>
      </w:r>
      <w:r w:rsidRPr="00B93493">
        <w:rPr>
          <w:szCs w:val="24"/>
        </w:rPr>
        <w:t xml:space="preserve">equals 0.05, as the ISP operates </w:t>
      </w:r>
      <w:r w:rsidRPr="00B93493">
        <w:t>at</w:t>
      </w:r>
      <w:r w:rsidRPr="00B93493">
        <w:rPr>
          <w:szCs w:val="24"/>
        </w:rPr>
        <w:t xml:space="preserve"> the relevant year only in one of twenty provinces; </w:t>
      </w:r>
    </w:p>
    <w:p w14:paraId="2419385B" w14:textId="77777777" w:rsidR="00CF04BC" w:rsidRPr="00B93493" w:rsidRDefault="00CF04BC" w:rsidP="00CF04BC">
      <w:pPr>
        <w:pStyle w:val="enumlev1"/>
      </w:pPr>
      <w:r w:rsidRPr="00B93493">
        <w:t>–</w:t>
      </w:r>
      <w:r w:rsidRPr="00B93493">
        <w:tab/>
        <w:t xml:space="preserve">σ=1/3 as three operators use the same spectrum; </w:t>
      </w:r>
    </w:p>
    <w:p w14:paraId="7693BC51" w14:textId="77777777" w:rsidR="00CF04BC" w:rsidRPr="00B93493" w:rsidRDefault="00CF04BC" w:rsidP="00CF04BC">
      <w:pPr>
        <w:pStyle w:val="enumlev1"/>
      </w:pPr>
      <w:r w:rsidRPr="00B93493">
        <w:t>–</w:t>
      </w:r>
      <w:r w:rsidRPr="00B93493">
        <w:tab/>
      </w:r>
      <w:r w:rsidRPr="00B93493">
        <w:rPr>
          <w:i/>
          <w:iCs/>
        </w:rPr>
        <w:t>M</w:t>
      </w:r>
      <w:r w:rsidRPr="00B93493">
        <w:rPr>
          <w:i/>
          <w:iCs/>
          <w:vertAlign w:val="subscript"/>
        </w:rPr>
        <w:t>ISP</w:t>
      </w:r>
      <w:r w:rsidRPr="00B93493">
        <w:t>=0.3 as the national choice.</w:t>
      </w:r>
    </w:p>
    <w:p w14:paraId="1CAC77A6" w14:textId="77777777" w:rsidR="00CF04BC" w:rsidRPr="00B93493" w:rsidRDefault="00CF04BC" w:rsidP="00CF04BC">
      <w:r w:rsidRPr="00B93493">
        <w:t xml:space="preserve">The cost per MHz I equals: </w:t>
      </w:r>
      <w:r w:rsidRPr="00B93493">
        <w:rPr>
          <w:position w:val="-24"/>
        </w:rPr>
        <w:object w:dxaOrig="3737" w:dyaOrig="591" w14:anchorId="1320153C">
          <v:shape id="_x0000_i1056" type="#_x0000_t75" style="width:186.6pt;height:29.4pt" o:ole="">
            <v:imagedata r:id="rId97" o:title=""/>
          </v:shape>
          <o:OLEObject Type="Embed" ProgID="Equation.DSMT4" ShapeID="_x0000_i1056" DrawAspect="Content" ObjectID="_1812968338" r:id="rId98"/>
        </w:object>
      </w:r>
      <w:r w:rsidRPr="00B93493">
        <w:t>.</w:t>
      </w:r>
    </w:p>
    <w:p w14:paraId="1F76D779" w14:textId="77777777" w:rsidR="00CF04BC" w:rsidRPr="00B93493" w:rsidRDefault="00CF04BC" w:rsidP="00CF04BC">
      <w:pPr>
        <w:keepNext/>
        <w:keepLines/>
        <w:spacing w:before="200"/>
        <w:ind w:left="1134" w:hanging="1134"/>
        <w:outlineLvl w:val="3"/>
        <w:rPr>
          <w:b/>
        </w:rPr>
      </w:pPr>
      <w:r w:rsidRPr="00B93493">
        <w:rPr>
          <w:b/>
        </w:rPr>
        <w:t>4.8.4.2</w:t>
      </w:r>
      <w:r w:rsidRPr="00B93493">
        <w:rPr>
          <w:b/>
        </w:rPr>
        <w:tab/>
        <w:t>Calculating PtP fees operating nationwide</w:t>
      </w:r>
    </w:p>
    <w:p w14:paraId="2D351154" w14:textId="77777777" w:rsidR="00CF04BC" w:rsidRPr="00B93493" w:rsidRDefault="00CF04BC" w:rsidP="00CF04BC">
      <w:r w:rsidRPr="00B93493">
        <w:rPr>
          <w:spacing w:val="-2"/>
        </w:rPr>
        <w:t xml:space="preserve">Equation </w:t>
      </w:r>
      <w:r w:rsidRPr="00B93493">
        <w:fldChar w:fldCharType="begin"/>
      </w:r>
      <w:r w:rsidRPr="00B93493">
        <w:instrText>GOTOBUTTON ZEqnNum821990  \* MERGEFORMAT</w:instrText>
      </w:r>
      <w:r w:rsidRPr="00B93493">
        <w:fldChar w:fldCharType="end"/>
      </w:r>
      <w:bookmarkStart w:id="2024" w:name="__Fieldmark__2424_1906923217"/>
      <w:bookmarkEnd w:id="2024"/>
      <w:r w:rsidRPr="00B93493">
        <w:t xml:space="preserve">(55) </w:t>
      </w:r>
      <w:r w:rsidRPr="00B93493">
        <w:rPr>
          <w:iCs/>
          <w:spacing w:val="-2"/>
        </w:rPr>
        <w:t xml:space="preserve">is used to calculate the proposed </w:t>
      </w:r>
      <w:r w:rsidRPr="00B93493">
        <w:rPr>
          <w:spacing w:val="-2"/>
        </w:rPr>
        <w:t>PtP</w:t>
      </w:r>
      <w:r w:rsidRPr="00B93493">
        <w:rPr>
          <w:iCs/>
          <w:spacing w:val="-2"/>
        </w:rPr>
        <w:t xml:space="preserve"> annual fees per 1 MHz on the example of 15 GHz:</w:t>
      </w:r>
    </w:p>
    <w:p w14:paraId="67E68B38" w14:textId="77777777" w:rsidR="00CF04BC" w:rsidRPr="00B93493" w:rsidRDefault="00CF04BC" w:rsidP="00CF04BC">
      <w:pPr>
        <w:pStyle w:val="Equation"/>
      </w:pPr>
      <w:r w:rsidRPr="00B93493">
        <w:tab/>
      </w:r>
      <w:r w:rsidRPr="00B93493">
        <w:tab/>
      </w:r>
      <w:r w:rsidRPr="00B93493">
        <w:rPr>
          <w:position w:val="-24"/>
        </w:rPr>
        <w:object w:dxaOrig="5152" w:dyaOrig="591" w14:anchorId="50DB5B7D">
          <v:shape id="_x0000_i1057" type="#_x0000_t75" style="width:256.9pt;height:29.4pt" o:ole="">
            <v:imagedata r:id="rId99" o:title=""/>
          </v:shape>
          <o:OLEObject Type="Embed" ProgID="Equation.DSMT4" ShapeID="_x0000_i1057" DrawAspect="Content" ObjectID="_1812968339" r:id="rId100"/>
        </w:object>
      </w:r>
      <w:r w:rsidRPr="00B93493">
        <w:t xml:space="preserve"> </w:t>
      </w:r>
    </w:p>
    <w:p w14:paraId="1277DD08" w14:textId="77777777" w:rsidR="00CF04BC" w:rsidRPr="00B93493" w:rsidRDefault="00CF04BC" w:rsidP="00CF04BC">
      <w:pPr>
        <w:pStyle w:val="Equation"/>
      </w:pPr>
      <w:r w:rsidRPr="00B93493">
        <w:t>The cost per MHz for one operator sharing nationwide the spectrum with three other operators (σ = 1/4) PtP (</w:t>
      </w:r>
      <w:r w:rsidRPr="00B93493">
        <w:rPr>
          <w:i/>
          <w:iCs/>
        </w:rPr>
        <w:t>M</w:t>
      </w:r>
      <w:r w:rsidRPr="00B93493">
        <w:rPr>
          <w:i/>
          <w:iCs/>
          <w:vertAlign w:val="subscript"/>
        </w:rPr>
        <w:t>PtP </w:t>
      </w:r>
      <w:r w:rsidRPr="00B93493">
        <w:t>= 0.1) using 1 MHz nationwide equals:</w:t>
      </w:r>
    </w:p>
    <w:p w14:paraId="1B672EC9" w14:textId="77777777" w:rsidR="00CF04BC" w:rsidRPr="00B93493" w:rsidRDefault="00CF04BC" w:rsidP="00CF04BC">
      <w:pPr>
        <w:pStyle w:val="Equation"/>
      </w:pPr>
      <w:r w:rsidRPr="00B93493">
        <w:tab/>
      </w:r>
      <w:r w:rsidRPr="00B93493">
        <w:tab/>
      </w:r>
      <w:r w:rsidRPr="00B93493">
        <w:rPr>
          <w:position w:val="-24"/>
        </w:rPr>
        <w:object w:dxaOrig="2480" w:dyaOrig="591" w14:anchorId="0A51B4B3">
          <v:shape id="_x0000_i1058" type="#_x0000_t75" style="width:123.85pt;height:29.4pt" o:ole="">
            <v:imagedata r:id="rId101" o:title=""/>
          </v:shape>
          <o:OLEObject Type="Embed" ProgID="Equation.DSMT4" ShapeID="_x0000_i1058" DrawAspect="Content" ObjectID="_1812968340" r:id="rId102"/>
        </w:object>
      </w:r>
      <w:r w:rsidRPr="00B93493">
        <w:t>= 0.01</w:t>
      </w:r>
      <w:r w:rsidRPr="00B93493">
        <w:rPr>
          <w:i/>
          <w:iCs/>
          <w:sz w:val="28"/>
        </w:rPr>
        <w:t>α</w:t>
      </w:r>
      <w:r w:rsidRPr="00B93493">
        <w:t>.</w:t>
      </w:r>
    </w:p>
    <w:p w14:paraId="607A954E" w14:textId="77777777" w:rsidR="00CF04BC" w:rsidRPr="00B93493" w:rsidRDefault="00CF04BC" w:rsidP="00CF04BC">
      <w:pPr>
        <w:pStyle w:val="Heading3"/>
      </w:pPr>
      <w:bookmarkStart w:id="2025" w:name="_Toc518394246"/>
      <w:bookmarkStart w:id="2026" w:name="_Toc182391565"/>
      <w:bookmarkStart w:id="2027" w:name="_Toc182391976"/>
      <w:r w:rsidRPr="00B93493">
        <w:t>4.8.5</w:t>
      </w:r>
      <w:r w:rsidRPr="00B93493">
        <w:tab/>
        <w:t>The factors non-included in the formulae</w:t>
      </w:r>
      <w:bookmarkEnd w:id="2025"/>
      <w:bookmarkEnd w:id="2026"/>
      <w:bookmarkEnd w:id="2027"/>
    </w:p>
    <w:p w14:paraId="59BECBB1" w14:textId="5F5620E4" w:rsidR="00CF04BC" w:rsidRPr="00B93493" w:rsidRDefault="00CF04BC" w:rsidP="00CF04BC">
      <w:r w:rsidRPr="00B93493">
        <w:t xml:space="preserve">Equations (51) </w:t>
      </w:r>
      <w:r w:rsidRPr="00B93493">
        <w:rPr>
          <w:iCs/>
        </w:rPr>
        <w:t xml:space="preserve">and </w:t>
      </w:r>
      <w:r w:rsidRPr="00B93493">
        <w:t>(52)</w:t>
      </w:r>
      <w:r w:rsidRPr="00B93493">
        <w:rPr>
          <w:iCs/>
        </w:rPr>
        <w:t xml:space="preserve"> include straightforward parameters that are directly connected to the use of the RF, and the ‘shadow price’, of denying other operators to use the same RF spectrum. </w:t>
      </w:r>
      <w:r w:rsidRPr="00B93493">
        <w:t>Equations</w:t>
      </w:r>
      <w:r w:rsidR="00345301">
        <w:t> </w:t>
      </w:r>
      <w:r w:rsidRPr="00B93493">
        <w:t xml:space="preserve">(51) </w:t>
      </w:r>
      <w:r w:rsidRPr="00B93493">
        <w:rPr>
          <w:iCs/>
        </w:rPr>
        <w:t xml:space="preserve">and </w:t>
      </w:r>
      <w:r w:rsidRPr="00B93493">
        <w:t>(52)</w:t>
      </w:r>
      <w:r w:rsidRPr="00B93493">
        <w:rPr>
          <w:iCs/>
        </w:rPr>
        <w:t xml:space="preserve"> disregard other parameters, such as: </w:t>
      </w:r>
    </w:p>
    <w:p w14:paraId="079936E5" w14:textId="77777777" w:rsidR="00CF04BC" w:rsidRPr="00B93493" w:rsidRDefault="00CF04BC" w:rsidP="00CF04BC">
      <w:pPr>
        <w:pStyle w:val="enumlev1"/>
      </w:pPr>
      <w:r w:rsidRPr="00B93493">
        <w:t>–</w:t>
      </w:r>
      <w:r w:rsidRPr="00B93493">
        <w:tab/>
        <w:t>Number of base stations, in order to promote the installation of more stations to improve Quality of Service, and to achieve better coverage and capacity.</w:t>
      </w:r>
    </w:p>
    <w:p w14:paraId="1BDBB0C2" w14:textId="77777777" w:rsidR="00CF04BC" w:rsidRPr="00B93493" w:rsidRDefault="00CF04BC" w:rsidP="00CF04BC">
      <w:pPr>
        <w:pStyle w:val="enumlev1"/>
      </w:pPr>
      <w:r w:rsidRPr="00B93493">
        <w:t>–</w:t>
      </w:r>
      <w:r w:rsidRPr="00B93493">
        <w:tab/>
        <w:t xml:space="preserve">Surface of coverage or radius cell, as it is difficult to define it; moreover, regulators may prefer higher coverage (surfaces and radii). Surface of coverage has no meaning for µ wave links. The surface is included in the moderator </w:t>
      </w:r>
      <w:r w:rsidRPr="00345301">
        <w:rPr>
          <w:iCs/>
          <w:sz w:val="28"/>
          <w:szCs w:val="28"/>
        </w:rPr>
        <w:t>ρ</w:t>
      </w:r>
      <w:r w:rsidRPr="00B93493">
        <w:rPr>
          <w:i/>
          <w:sz w:val="28"/>
          <w:szCs w:val="28"/>
        </w:rPr>
        <w:t xml:space="preserve">, </w:t>
      </w:r>
      <w:r w:rsidRPr="00B93493">
        <w:t xml:space="preserve">representing the number of districts. </w:t>
      </w:r>
    </w:p>
    <w:p w14:paraId="5618B37B" w14:textId="77777777" w:rsidR="00CF04BC" w:rsidRPr="00B93493" w:rsidRDefault="00CF04BC" w:rsidP="00CF04BC">
      <w:pPr>
        <w:pStyle w:val="enumlev1"/>
      </w:pPr>
      <w:r w:rsidRPr="00B93493">
        <w:t>–</w:t>
      </w:r>
      <w:r w:rsidRPr="00B93493">
        <w:tab/>
        <w:t>Power, as the total e.i.r.p. of cellular stations change continuously (due to power control) and it is difficult to monitor power or e.i.r.p.</w:t>
      </w:r>
    </w:p>
    <w:p w14:paraId="0CAA4795" w14:textId="77777777" w:rsidR="00CF04BC" w:rsidRPr="00B93493" w:rsidRDefault="00CF04BC" w:rsidP="00CF04BC">
      <w:pPr>
        <w:pStyle w:val="enumlev1"/>
      </w:pPr>
      <w:r w:rsidRPr="00B93493">
        <w:t>–</w:t>
      </w:r>
      <w:r w:rsidRPr="00B93493">
        <w:tab/>
        <w:t>Effective altitude, as it complicates the method, and there is a need of digital terrain map (DTM).</w:t>
      </w:r>
    </w:p>
    <w:p w14:paraId="7B88E70F" w14:textId="77777777" w:rsidR="00CF04BC" w:rsidRPr="00B93493" w:rsidRDefault="00CF04BC" w:rsidP="00CF04BC">
      <w:pPr>
        <w:pStyle w:val="enumlev1"/>
      </w:pPr>
      <w:r w:rsidRPr="00B93493">
        <w:t>–</w:t>
      </w:r>
      <w:r w:rsidRPr="00B93493">
        <w:tab/>
        <w:t>Temporal scope and duty cycle, as most emissions (cellular and µwave links) are all day long. To remind that a non-used frequency is a waste to the economy.</w:t>
      </w:r>
    </w:p>
    <w:p w14:paraId="4E1512AD" w14:textId="77777777" w:rsidR="00CF04BC" w:rsidRPr="00B93493" w:rsidRDefault="00CF04BC" w:rsidP="00CF04BC">
      <w:pPr>
        <w:pStyle w:val="Heading2"/>
      </w:pPr>
      <w:bookmarkStart w:id="2028" w:name="_Toc289868851"/>
      <w:bookmarkStart w:id="2029" w:name="_Toc289932319"/>
      <w:bookmarkStart w:id="2030" w:name="_Toc289869011"/>
      <w:bookmarkStart w:id="2031" w:name="_Toc289933365"/>
      <w:bookmarkStart w:id="2032" w:name="_Toc392515914"/>
      <w:bookmarkStart w:id="2033" w:name="_Toc462234123"/>
      <w:bookmarkStart w:id="2034" w:name="_Toc518394247"/>
      <w:bookmarkStart w:id="2035" w:name="_Toc291852928"/>
      <w:bookmarkStart w:id="2036" w:name="_Toc182391566"/>
      <w:bookmarkStart w:id="2037" w:name="_Toc182391977"/>
      <w:bookmarkStart w:id="2038" w:name="_Toc201822290"/>
      <w:r w:rsidRPr="00B93493">
        <w:t>4.9</w:t>
      </w:r>
      <w:r w:rsidRPr="00B93493">
        <w:tab/>
        <w:t>Guidelines on applying new fees system</w:t>
      </w:r>
      <w:bookmarkEnd w:id="2028"/>
      <w:bookmarkEnd w:id="2029"/>
      <w:bookmarkEnd w:id="2030"/>
      <w:bookmarkEnd w:id="2031"/>
      <w:bookmarkEnd w:id="2032"/>
      <w:bookmarkEnd w:id="2033"/>
      <w:bookmarkEnd w:id="2034"/>
      <w:bookmarkEnd w:id="2035"/>
      <w:bookmarkEnd w:id="2036"/>
      <w:bookmarkEnd w:id="2037"/>
      <w:bookmarkEnd w:id="2038"/>
    </w:p>
    <w:p w14:paraId="197A43CD" w14:textId="77777777" w:rsidR="00CF04BC" w:rsidRPr="00B93493" w:rsidRDefault="00CF04BC" w:rsidP="00CF04BC">
      <w:r w:rsidRPr="00B93493">
        <w:t>In order not to disturb the market, the new fees system should not impose sudden increase in the fees for the users, Therefore, spectrum manager should design a transition strategy considering many factors including, but not limited to, market status, number of users for each service, current fees system and alternative services.</w:t>
      </w:r>
    </w:p>
    <w:p w14:paraId="0287D7DC" w14:textId="77777777" w:rsidR="00CF04BC" w:rsidRPr="00B93493" w:rsidRDefault="00CF04BC" w:rsidP="00CF04BC">
      <w:r w:rsidRPr="00B93493">
        <w:t>The following steps could be used when applying a new fees system:</w:t>
      </w:r>
    </w:p>
    <w:p w14:paraId="3070B1DE" w14:textId="77777777" w:rsidR="00CF04BC" w:rsidRPr="00B93493" w:rsidRDefault="00CF04BC" w:rsidP="00CF04BC">
      <w:pPr>
        <w:pStyle w:val="enumlev1"/>
      </w:pPr>
      <w:r w:rsidRPr="00B93493">
        <w:t>1.</w:t>
      </w:r>
      <w:r w:rsidRPr="00B93493">
        <w:tab/>
        <w:t>Analyse the current spectrum usage.</w:t>
      </w:r>
    </w:p>
    <w:p w14:paraId="6E646C29" w14:textId="77777777" w:rsidR="00CF04BC" w:rsidRPr="00B93493" w:rsidRDefault="00CF04BC" w:rsidP="00CF04BC">
      <w:pPr>
        <w:pStyle w:val="enumlev2"/>
      </w:pPr>
      <w:r w:rsidRPr="00B93493">
        <w:t>–</w:t>
      </w:r>
      <w:r w:rsidRPr="00B93493">
        <w:tab/>
        <w:t>Divide users into different groups.</w:t>
      </w:r>
    </w:p>
    <w:p w14:paraId="1D9661EC" w14:textId="77777777" w:rsidR="00CF04BC" w:rsidRPr="00B93493" w:rsidRDefault="00CF04BC" w:rsidP="00CF04BC">
      <w:pPr>
        <w:pStyle w:val="enumlev2"/>
      </w:pPr>
      <w:r w:rsidRPr="00B93493">
        <w:t>–</w:t>
      </w:r>
      <w:r w:rsidRPr="00B93493">
        <w:tab/>
        <w:t>Apply the old formula.</w:t>
      </w:r>
    </w:p>
    <w:p w14:paraId="2D376C7C" w14:textId="77777777" w:rsidR="00CF04BC" w:rsidRPr="00B93493" w:rsidRDefault="00CF04BC" w:rsidP="00CF04BC">
      <w:pPr>
        <w:pStyle w:val="enumlev2"/>
      </w:pPr>
      <w:r w:rsidRPr="00B93493">
        <w:t>–</w:t>
      </w:r>
      <w:r w:rsidRPr="00B93493">
        <w:tab/>
        <w:t>Analyse the results.</w:t>
      </w:r>
    </w:p>
    <w:p w14:paraId="42498B0B" w14:textId="77777777" w:rsidR="00CF04BC" w:rsidRPr="00B93493" w:rsidRDefault="00CF04BC" w:rsidP="00CF04BC">
      <w:pPr>
        <w:pStyle w:val="enumlev1"/>
      </w:pPr>
      <w:r w:rsidRPr="00B93493">
        <w:t>2.</w:t>
      </w:r>
      <w:r w:rsidRPr="00B93493">
        <w:tab/>
        <w:t>Apply the new formula on the current groups of users.</w:t>
      </w:r>
    </w:p>
    <w:p w14:paraId="1A67EF1A" w14:textId="77777777" w:rsidR="00CF04BC" w:rsidRPr="00B93493" w:rsidRDefault="00CF04BC" w:rsidP="00CF04BC">
      <w:pPr>
        <w:pStyle w:val="enumlev2"/>
      </w:pPr>
      <w:r w:rsidRPr="00B93493">
        <w:t>–</w:t>
      </w:r>
      <w:r w:rsidRPr="00B93493">
        <w:tab/>
        <w:t>Analyse the results.</w:t>
      </w:r>
    </w:p>
    <w:p w14:paraId="204C8493" w14:textId="77777777" w:rsidR="00CF04BC" w:rsidRPr="00B93493" w:rsidRDefault="00CF04BC" w:rsidP="00CF04BC">
      <w:pPr>
        <w:pStyle w:val="enumlev2"/>
      </w:pPr>
      <w:r w:rsidRPr="00B93493">
        <w:t>–</w:t>
      </w:r>
      <w:r w:rsidRPr="00B93493">
        <w:tab/>
        <w:t>Modify formula for the different groups</w:t>
      </w:r>
    </w:p>
    <w:p w14:paraId="3286C3DC" w14:textId="77777777" w:rsidR="00CF04BC" w:rsidRPr="00B93493" w:rsidRDefault="00CF04BC" w:rsidP="00CF04BC">
      <w:pPr>
        <w:pStyle w:val="enumlev2"/>
      </w:pPr>
      <w:r w:rsidRPr="00B93493">
        <w:t>–</w:t>
      </w:r>
      <w:r w:rsidRPr="00B93493">
        <w:tab/>
        <w:t>Apply mitigation policies in order not to disturb the market.</w:t>
      </w:r>
    </w:p>
    <w:p w14:paraId="77149B32" w14:textId="77777777" w:rsidR="00CF04BC" w:rsidRPr="00B93493" w:rsidRDefault="00CF04BC" w:rsidP="00CF04BC">
      <w:pPr>
        <w:pStyle w:val="enumlev1"/>
      </w:pPr>
      <w:r w:rsidRPr="00B93493">
        <w:t>3.</w:t>
      </w:r>
      <w:r w:rsidRPr="00B93493">
        <w:tab/>
        <w:t>Design transition strategy based on step two.</w:t>
      </w:r>
    </w:p>
    <w:p w14:paraId="6C92C9EB" w14:textId="77777777" w:rsidR="00CF04BC" w:rsidRPr="00B93493" w:rsidRDefault="00CF04BC" w:rsidP="00CF04BC">
      <w:r w:rsidRPr="00B93493">
        <w:t>There are some principles that could be used in designing the transition strategy in order to move the current fees to its final market related fees</w:t>
      </w:r>
      <w:r w:rsidRPr="00B93493">
        <w:rPr>
          <w:rStyle w:val="FootnoteReference"/>
        </w:rPr>
        <w:footnoteReference w:id="9"/>
      </w:r>
      <w:r w:rsidRPr="00B93493">
        <w:t>.</w:t>
      </w:r>
    </w:p>
    <w:p w14:paraId="565926D8" w14:textId="77777777" w:rsidR="00CF04BC" w:rsidRPr="00B93493" w:rsidRDefault="00CF04BC" w:rsidP="00CF04BC">
      <w:pPr>
        <w:pStyle w:val="enumlev1"/>
      </w:pPr>
      <w:r w:rsidRPr="00B93493">
        <w:t>–</w:t>
      </w:r>
      <w:r w:rsidRPr="00B93493">
        <w:tab/>
        <w:t>There should be a trade-off between slowly increasing prices, which might not be sufficient to reduce congestion, and setting the prices at high level which might cause an adverse political reaction.</w:t>
      </w:r>
    </w:p>
    <w:p w14:paraId="35340AA8" w14:textId="77777777" w:rsidR="00CF04BC" w:rsidRPr="00B93493" w:rsidRDefault="00CF04BC" w:rsidP="00CF04BC">
      <w:pPr>
        <w:pStyle w:val="enumlev1"/>
      </w:pPr>
      <w:r w:rsidRPr="00B93493">
        <w:t>–</w:t>
      </w:r>
      <w:r w:rsidRPr="00B93493">
        <w:tab/>
        <w:t>Prices should increase at a fraction of the final target increase and in case where the initial prices are too low, doubling or trebling the prices would be appropriate.</w:t>
      </w:r>
    </w:p>
    <w:p w14:paraId="28898EDF" w14:textId="77777777" w:rsidR="00CF04BC" w:rsidRPr="00B93493" w:rsidRDefault="00CF04BC" w:rsidP="00CF04BC">
      <w:pPr>
        <w:pStyle w:val="enumlev1"/>
      </w:pPr>
      <w:r w:rsidRPr="00B93493">
        <w:t>–</w:t>
      </w:r>
      <w:r w:rsidRPr="00B93493">
        <w:tab/>
        <w:t>If the initial increase resulted in relieving the congestion, there would be no need to increase the prices further.</w:t>
      </w:r>
    </w:p>
    <w:p w14:paraId="403AD18F" w14:textId="77777777" w:rsidR="00CF04BC" w:rsidRPr="00B93493" w:rsidRDefault="00CF04BC" w:rsidP="00CF04BC">
      <w:pPr>
        <w:pStyle w:val="enumlev1"/>
      </w:pPr>
      <w:r w:rsidRPr="00B93493">
        <w:t>–</w:t>
      </w:r>
      <w:r w:rsidRPr="00B93493">
        <w:tab/>
        <w:t>Users should know in advance the direction of the prices change in order to adjust their investment decisions.</w:t>
      </w:r>
    </w:p>
    <w:p w14:paraId="2B863EE8" w14:textId="77777777" w:rsidR="00CF04BC" w:rsidRPr="00B93493" w:rsidRDefault="00CF04BC" w:rsidP="00CF04BC">
      <w:pPr>
        <w:pStyle w:val="enumlev1"/>
      </w:pPr>
      <w:r w:rsidRPr="00B93493">
        <w:t>–</w:t>
      </w:r>
      <w:r w:rsidRPr="00B93493">
        <w:tab/>
        <w:t>Prices should be related to the market related prices on the long run.</w:t>
      </w:r>
    </w:p>
    <w:p w14:paraId="58280998" w14:textId="77777777" w:rsidR="00CF04BC" w:rsidRPr="00B93493" w:rsidRDefault="00CF04BC" w:rsidP="00CF04BC">
      <w:pPr>
        <w:pStyle w:val="enumlev1"/>
      </w:pPr>
      <w:r w:rsidRPr="00B93493">
        <w:t>–</w:t>
      </w:r>
      <w:r w:rsidRPr="00B93493">
        <w:tab/>
        <w:t>A transition period of five years would be reasonable.</w:t>
      </w:r>
    </w:p>
    <w:p w14:paraId="1304F8B8" w14:textId="77777777" w:rsidR="00CF04BC" w:rsidRPr="00B93493" w:rsidRDefault="00CF04BC" w:rsidP="00CF04BC">
      <w:pPr>
        <w:pStyle w:val="enumlev1"/>
      </w:pPr>
      <w:r w:rsidRPr="00B93493">
        <w:t>–</w:t>
      </w:r>
      <w:r w:rsidRPr="00B93493">
        <w:tab/>
        <w:t>Existing legislation should be effective and compatible with the new pricing plan.</w:t>
      </w:r>
    </w:p>
    <w:p w14:paraId="40C65EEB" w14:textId="77777777" w:rsidR="00CF04BC" w:rsidRPr="00B93493" w:rsidRDefault="00CF04BC" w:rsidP="00CF04BC">
      <w:pPr>
        <w:pStyle w:val="enumlev1"/>
      </w:pPr>
      <w:r w:rsidRPr="00B93493">
        <w:t>–</w:t>
      </w:r>
      <w:r w:rsidRPr="00B93493">
        <w:tab/>
        <w:t>Consultation process is essential in order to reach consensus with stakeholders.</w:t>
      </w:r>
    </w:p>
    <w:p w14:paraId="1534406E" w14:textId="77777777" w:rsidR="00CF04BC" w:rsidRPr="00B93493" w:rsidRDefault="00CF04BC" w:rsidP="00CF04BC">
      <w:pPr>
        <w:pStyle w:val="enumlev1"/>
      </w:pPr>
      <w:r w:rsidRPr="00B93493">
        <w:t>–</w:t>
      </w:r>
      <w:r w:rsidRPr="00B93493">
        <w:tab/>
        <w:t>New software for calculating the prices should be developed and tested. Besides, the regulator stuff should be trained on the software.</w:t>
      </w:r>
    </w:p>
    <w:p w14:paraId="10987463" w14:textId="77777777" w:rsidR="00CF04BC" w:rsidRPr="00B93493" w:rsidRDefault="00CF04BC" w:rsidP="00CF04BC">
      <w:pPr>
        <w:pStyle w:val="enumlev1"/>
      </w:pPr>
      <w:r w:rsidRPr="00B93493">
        <w:t>–</w:t>
      </w:r>
      <w:r w:rsidRPr="00B93493">
        <w:tab/>
        <w:t>Regulator should not depend on the new fees system to increase its funding as the levels of funding may fluctuate with time and also with supply and demand.</w:t>
      </w:r>
    </w:p>
    <w:p w14:paraId="43B5A4D3" w14:textId="77777777" w:rsidR="00CF04BC" w:rsidRPr="00B93493" w:rsidRDefault="00CF04BC" w:rsidP="00CF04BC"/>
    <w:p w14:paraId="2A810899" w14:textId="77777777" w:rsidR="00CF04BC" w:rsidRPr="00B93493" w:rsidRDefault="00CF04BC" w:rsidP="00CF04BC"/>
    <w:p w14:paraId="3333962C" w14:textId="77777777" w:rsidR="00CF04BC" w:rsidRDefault="00CF04BC" w:rsidP="00CF04BC">
      <w:pPr>
        <w:overflowPunct/>
        <w:autoSpaceDE/>
        <w:autoSpaceDN/>
        <w:adjustRightInd/>
        <w:spacing w:before="0"/>
        <w:textAlignment w:val="auto"/>
        <w:rPr>
          <w:rFonts w:ascii="Times New Roman Bold" w:hAnsi="Times New Roman Bold"/>
          <w:b/>
          <w:caps/>
          <w:sz w:val="28"/>
        </w:rPr>
      </w:pPr>
      <w:bookmarkStart w:id="2039" w:name="_Toc518394248"/>
      <w:bookmarkStart w:id="2040" w:name="_Toc289932320"/>
      <w:bookmarkStart w:id="2041" w:name="_Toc291852929"/>
      <w:bookmarkStart w:id="2042" w:name="_Toc289933366"/>
      <w:bookmarkStart w:id="2043" w:name="_Toc289869012"/>
      <w:bookmarkStart w:id="2044" w:name="_Toc289868852"/>
      <w:bookmarkStart w:id="2045" w:name="_Toc462234124"/>
      <w:bookmarkStart w:id="2046" w:name="_Toc182391567"/>
      <w:bookmarkStart w:id="2047" w:name="_Toc182391978"/>
      <w:r>
        <w:br w:type="page"/>
      </w:r>
    </w:p>
    <w:p w14:paraId="5D14DF7D" w14:textId="77777777" w:rsidR="00CF04BC" w:rsidRPr="00345301" w:rsidRDefault="00CF04BC" w:rsidP="00345301">
      <w:pPr>
        <w:pStyle w:val="ChapNo"/>
        <w:outlineLvl w:val="0"/>
        <w:rPr>
          <w:b w:val="0"/>
          <w:bCs/>
        </w:rPr>
      </w:pPr>
      <w:bookmarkStart w:id="2048" w:name="_Toc201822291"/>
      <w:r w:rsidRPr="00345301">
        <w:rPr>
          <w:b w:val="0"/>
          <w:bCs/>
        </w:rPr>
        <w:t>CHAPTER 5</w:t>
      </w:r>
      <w:bookmarkEnd w:id="2039"/>
      <w:bookmarkEnd w:id="2040"/>
      <w:bookmarkEnd w:id="2041"/>
      <w:bookmarkEnd w:id="2042"/>
      <w:bookmarkEnd w:id="2043"/>
      <w:bookmarkEnd w:id="2044"/>
      <w:bookmarkEnd w:id="2045"/>
      <w:bookmarkEnd w:id="2046"/>
      <w:bookmarkEnd w:id="2047"/>
      <w:bookmarkEnd w:id="2048"/>
    </w:p>
    <w:p w14:paraId="04CE9F85" w14:textId="77777777" w:rsidR="00CF04BC" w:rsidRPr="00B93493" w:rsidRDefault="00CF04BC" w:rsidP="00CF04BC">
      <w:pPr>
        <w:pStyle w:val="Chaptitle"/>
      </w:pPr>
      <w:bookmarkStart w:id="2049" w:name="_Toc289932321"/>
      <w:bookmarkStart w:id="2050" w:name="_Toc289869013"/>
      <w:bookmarkStart w:id="2051" w:name="_Toc291852930"/>
      <w:bookmarkStart w:id="2052" w:name="_Toc289868853"/>
      <w:bookmarkStart w:id="2053" w:name="_Toc289933367"/>
      <w:bookmarkStart w:id="2054" w:name="_Toc518394249"/>
      <w:bookmarkStart w:id="2055" w:name="_Toc454284956"/>
      <w:bookmarkStart w:id="2056" w:name="_Toc462234125"/>
      <w:r w:rsidRPr="00B93493">
        <w:t>Administrations experience regarding the economic</w:t>
      </w:r>
      <w:r w:rsidRPr="00B93493">
        <w:br/>
      </w:r>
      <w:r>
        <w:rPr>
          <w:lang w:eastAsia="zh-CN"/>
        </w:rPr>
        <w:t xml:space="preserve">approaches to </w:t>
      </w:r>
      <w:r w:rsidRPr="00B93493">
        <w:t>spectrum management</w:t>
      </w:r>
      <w:bookmarkEnd w:id="2049"/>
      <w:bookmarkEnd w:id="2050"/>
      <w:bookmarkEnd w:id="2051"/>
      <w:bookmarkEnd w:id="2052"/>
      <w:bookmarkEnd w:id="2053"/>
      <w:r w:rsidRPr="00B93493">
        <w:rPr>
          <w:rStyle w:val="FootnoteReference"/>
          <w:b w:val="0"/>
          <w:bCs/>
        </w:rPr>
        <w:footnoteReference w:id="10"/>
      </w:r>
      <w:bookmarkEnd w:id="2054"/>
      <w:bookmarkEnd w:id="2055"/>
      <w:bookmarkEnd w:id="2056"/>
    </w:p>
    <w:p w14:paraId="05CA7462" w14:textId="77777777" w:rsidR="00CF04BC" w:rsidRPr="00B93493" w:rsidRDefault="00CF04BC" w:rsidP="00CF04BC">
      <w:pPr>
        <w:pStyle w:val="Heading2"/>
      </w:pPr>
      <w:bookmarkStart w:id="2057" w:name="_Toc518394250"/>
      <w:bookmarkStart w:id="2058" w:name="_Toc289932322"/>
      <w:bookmarkStart w:id="2059" w:name="_Toc289933368"/>
      <w:bookmarkStart w:id="2060" w:name="_Toc291852931"/>
      <w:bookmarkStart w:id="2061" w:name="_Toc462234126"/>
      <w:bookmarkStart w:id="2062" w:name="_Toc392515915"/>
      <w:bookmarkStart w:id="2063" w:name="_Toc289869014"/>
      <w:bookmarkStart w:id="2064" w:name="_Toc497033193"/>
      <w:bookmarkStart w:id="2065" w:name="_Toc497033991"/>
      <w:bookmarkStart w:id="2066" w:name="_Toc289868854"/>
      <w:bookmarkStart w:id="2067" w:name="_Toc182391568"/>
      <w:bookmarkStart w:id="2068" w:name="_Toc182391979"/>
      <w:bookmarkStart w:id="2069" w:name="_Toc201822292"/>
      <w:r w:rsidRPr="00B93493">
        <w:t>5.1</w:t>
      </w:r>
      <w:r w:rsidRPr="00B93493">
        <w:tab/>
        <w:t>Experience with auctions and transferable property rights</w:t>
      </w:r>
      <w:bookmarkEnd w:id="1993"/>
      <w:bookmarkEnd w:id="1994"/>
      <w:bookmarkEnd w:id="1995"/>
      <w:bookmarkEnd w:id="1996"/>
      <w:bookmarkEnd w:id="1997"/>
      <w:bookmarkEnd w:id="1998"/>
      <w:bookmarkEnd w:id="1999"/>
      <w:bookmarkEnd w:id="2000"/>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42DF7685" w14:textId="77777777" w:rsidR="00CF04BC" w:rsidRPr="00B93493" w:rsidRDefault="00CF04BC" w:rsidP="00CF04BC">
      <w:r w:rsidRPr="00B93493">
        <w:t>Since the 1990s, some countries have used auctions to assign licences [5] [6]. Additionally, a few of these countries have recently introduced limited systems of transferable property rights, wherein licences to use spectrum may be sold to other parties.</w:t>
      </w:r>
    </w:p>
    <w:p w14:paraId="11D29886" w14:textId="77777777" w:rsidR="00CF04BC" w:rsidRPr="00B93493" w:rsidRDefault="00CF04BC" w:rsidP="00CF04BC">
      <w:pPr>
        <w:pStyle w:val="Heading3"/>
      </w:pPr>
      <w:bookmarkStart w:id="2070" w:name="_Toc497033194"/>
      <w:bookmarkStart w:id="2071" w:name="_Toc459793822"/>
      <w:bookmarkStart w:id="2072" w:name="_Toc459793964"/>
      <w:bookmarkStart w:id="2073" w:name="_Toc459970426"/>
      <w:bookmarkStart w:id="2074" w:name="_Toc289868855"/>
      <w:bookmarkStart w:id="2075" w:name="_Toc291852932"/>
      <w:bookmarkStart w:id="2076" w:name="_Toc392515916"/>
      <w:bookmarkStart w:id="2077" w:name="_Toc518394251"/>
      <w:bookmarkStart w:id="2078" w:name="_Toc462234127"/>
      <w:bookmarkStart w:id="2079" w:name="_Toc459746723"/>
      <w:bookmarkStart w:id="2080" w:name="_Toc289869015"/>
      <w:bookmarkStart w:id="2081" w:name="_Toc459792656"/>
      <w:bookmarkStart w:id="2082" w:name="_Toc289932323"/>
      <w:bookmarkStart w:id="2083" w:name="_Toc289933369"/>
      <w:bookmarkStart w:id="2084" w:name="_Toc497033992"/>
      <w:bookmarkStart w:id="2085" w:name="_Toc182391569"/>
      <w:bookmarkStart w:id="2086" w:name="_Toc182391980"/>
      <w:r w:rsidRPr="00B93493">
        <w:t>5.1.1</w:t>
      </w:r>
      <w:r w:rsidRPr="00B93493">
        <w:tab/>
        <w:t>Australia</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5731F5BD" w14:textId="77777777" w:rsidR="00CF04BC" w:rsidRPr="00B93493" w:rsidRDefault="00CF04BC" w:rsidP="00CF04BC">
      <w:r w:rsidRPr="00B93493">
        <w:t>In Australia, the Australian Communications and Media Authority (ACMA) in its role of managing the spectrum is pursuing objectives which include promoting economic efficiency, encouraging technological change and expanding freedom of choice. It has sought to develop an efficient, equitable and transparent system of charging for the use of spectrum, and to ensure an acceptable return to the community. To balance these potentially conflicting objectives, the ACMA has had to adopt a number of innovative approaches to managing spectrum. Its auctions and transferable property rights approaches are outlined below.</w:t>
      </w:r>
    </w:p>
    <w:p w14:paraId="32AD422E" w14:textId="77777777" w:rsidR="00CF04BC" w:rsidRPr="00B93493" w:rsidRDefault="00CF04BC" w:rsidP="00CF04BC">
      <w:pPr>
        <w:pStyle w:val="Heading4"/>
      </w:pPr>
      <w:bookmarkStart w:id="2087" w:name="_Toc497033195"/>
      <w:bookmarkStart w:id="2088" w:name="_Toc391269574"/>
      <w:bookmarkStart w:id="2089" w:name="_Toc459746724"/>
      <w:bookmarkStart w:id="2090" w:name="_Toc497033993"/>
      <w:r w:rsidRPr="00B93493">
        <w:t>5.1.1.1</w:t>
      </w:r>
      <w:r w:rsidRPr="00B93493">
        <w:tab/>
        <w:t>Making use of price as a tool in assigning licences</w:t>
      </w:r>
      <w:bookmarkEnd w:id="2087"/>
      <w:bookmarkEnd w:id="2088"/>
      <w:bookmarkEnd w:id="2089"/>
      <w:bookmarkEnd w:id="2090"/>
    </w:p>
    <w:p w14:paraId="3BD0B57A" w14:textId="77777777" w:rsidR="00CF04BC" w:rsidRPr="00B93493" w:rsidRDefault="00CF04BC" w:rsidP="00CF04BC">
      <w:r w:rsidRPr="00B93493">
        <w:t xml:space="preserve">Generally, where supply of a particular spectrum band exceeds demand, the ACMA allocates the spectrum over the counter, upon application, for an issue charge and an annual set fee. But where demand for a particular spectrum band is likely to exceed supply, the ACMA will allocate licences by sale at auction. </w:t>
      </w:r>
    </w:p>
    <w:p w14:paraId="50CEF032" w14:textId="77777777" w:rsidR="00CF04BC" w:rsidRPr="00B93493" w:rsidRDefault="00CF04BC" w:rsidP="00CF04BC">
      <w:r w:rsidRPr="00B93493">
        <w:t xml:space="preserve">The ACMA can auction spectrum either in the form of spectrum licences, or less commonly, as apparatus licences. </w:t>
      </w:r>
    </w:p>
    <w:p w14:paraId="2DE19711" w14:textId="77777777" w:rsidR="00CF04BC" w:rsidRPr="00B93493" w:rsidRDefault="00CF04BC" w:rsidP="00CF04BC">
      <w:r w:rsidRPr="00B93493">
        <w:t xml:space="preserve">Because of the extensive planning, consultation and preparation involved, spectrum auctions are irregular events, and are most often used where there is strong competition for scarce spectrum with a high commercial value. They are seen as a transparent, price-based method for allocating the spectrum within a particular band in discrete parcels known as spectrum lots, which are defined by geographic area and frequency bandwidth. The combination of frequency bandwidth and geographic area is termed spectrum space. </w:t>
      </w:r>
    </w:p>
    <w:p w14:paraId="426D260A" w14:textId="77777777" w:rsidR="00CF04BC" w:rsidRPr="00B93493" w:rsidRDefault="00CF04BC" w:rsidP="00CF04BC">
      <w:r w:rsidRPr="00B93493">
        <w:t xml:space="preserve">A successful bidder may acquire a number of lots at auction. The buyer can combine or aggregate any contiguous lots to form broader spectrum spaces of greater utility. These aggregated lots can be used in accordance with access licence conditions so that any technology or service can be operated within the spectrum space, depending on its size and shape, without interfering with neighbouring services. </w:t>
      </w:r>
    </w:p>
    <w:p w14:paraId="705936AE" w14:textId="77777777" w:rsidR="00CF04BC" w:rsidRPr="00B93493" w:rsidRDefault="00CF04BC" w:rsidP="00CF04BC">
      <w:r w:rsidRPr="00B93493">
        <w:t xml:space="preserve">Of the many types of auctions that exist, only two have been used by the ACMA to auction spectrum, namely English open ascending bid and simultaneous multi-round. </w:t>
      </w:r>
    </w:p>
    <w:p w14:paraId="2993A461" w14:textId="77777777" w:rsidR="00CF04BC" w:rsidRPr="00B93493" w:rsidRDefault="00CF04BC" w:rsidP="00CF04BC">
      <w:pPr>
        <w:pStyle w:val="Heading4"/>
      </w:pPr>
      <w:bookmarkStart w:id="2091" w:name="_Toc391269575"/>
      <w:bookmarkStart w:id="2092" w:name="_Toc497033994"/>
      <w:bookmarkStart w:id="2093" w:name="_Toc497033196"/>
      <w:bookmarkStart w:id="2094" w:name="_Toc459746725"/>
      <w:r w:rsidRPr="00B93493">
        <w:t>5.1.1.2</w:t>
      </w:r>
      <w:r w:rsidRPr="00B93493">
        <w:tab/>
        <w:t>Introducing a new form of licensing: the spectrum licence</w:t>
      </w:r>
      <w:bookmarkEnd w:id="2091"/>
      <w:bookmarkEnd w:id="2092"/>
      <w:bookmarkEnd w:id="2093"/>
      <w:bookmarkEnd w:id="2094"/>
    </w:p>
    <w:p w14:paraId="2015D7C2" w14:textId="77777777" w:rsidR="00CF04BC" w:rsidRPr="00B93493" w:rsidRDefault="00CF04BC" w:rsidP="00CF04BC">
      <w:r w:rsidRPr="00B93493">
        <w:t>The market system is based on the principle that direct marketing of spectrum will result in more efficient spectrum use. Under the market system, users of spectrum will make decisions on their spectrum access recognizing the pressures of demand and supply. To facilitate a more market</w:t>
      </w:r>
      <w:r w:rsidRPr="00B93493">
        <w:noBreakHyphen/>
        <w:t xml:space="preserve">oriented approach to spectrum allocation and management, the ACMA introduced a new type of licence, analogous to a property right, called a spectrum licence. Spectrum licensing, instead of focusing on equipment and its uses (which in turn defines the area covered and the frequency bandwidth used), authorizes the use of spectrum within specified limits of frequency bandwidth and coverage area. Under spectrum licensing, licensees will have the flexibility to change their equipment, antenna, siting, in fact any aspect of their use of spectrum, provided they comply with the core technical conditions of the licence, and any coordination requirements. </w:t>
      </w:r>
    </w:p>
    <w:p w14:paraId="01030200" w14:textId="77777777" w:rsidR="00CF04BC" w:rsidRPr="00B93493" w:rsidRDefault="00CF04BC" w:rsidP="00CF04BC">
      <w:r w:rsidRPr="00B93493">
        <w:t>In line with ss85</w:t>
      </w:r>
      <w:r w:rsidRPr="00B93493">
        <w:noBreakHyphen/>
        <w:t xml:space="preserve">88 of the Radiocommunications Act 1992, spectrum licences are intended to be traded rather than transferred. They incorporate core conditions that define a spectrum asset or a set of property rights represented by the spectrum licence. Licensees are free to negotiate in the open market with interested persons to buy and sell spectrum space for any legal purpose. </w:t>
      </w:r>
    </w:p>
    <w:p w14:paraId="6B706947" w14:textId="77777777" w:rsidR="00CF04BC" w:rsidRPr="00B93493" w:rsidRDefault="00CF04BC" w:rsidP="00CF04BC">
      <w:r w:rsidRPr="00B93493">
        <w:t>Spectrum licences can be regarded as financial assets due to their defined spectrum space and long licence period, which is 15 years. These licences may be combined or sub-divided to form new licences, although they may not be subdivided smaller than a standard trading unit. Once a commercial agreement is reached on a particular trade, the transaction must be notified to the ACMA. The trade becomes effective only after the new licence details appear.</w:t>
      </w:r>
    </w:p>
    <w:p w14:paraId="5283BA3C" w14:textId="77777777" w:rsidR="00CF04BC" w:rsidRPr="00B93493" w:rsidRDefault="00CF04BC" w:rsidP="00CF04BC">
      <w:pPr>
        <w:pStyle w:val="Heading3"/>
      </w:pPr>
      <w:bookmarkStart w:id="2095" w:name="_Toc289932324"/>
      <w:bookmarkStart w:id="2096" w:name="_Toc459970427"/>
      <w:bookmarkStart w:id="2097" w:name="_Toc497033995"/>
      <w:bookmarkStart w:id="2098" w:name="_Toc289868856"/>
      <w:bookmarkStart w:id="2099" w:name="_Toc289933370"/>
      <w:bookmarkStart w:id="2100" w:name="_Toc289869016"/>
      <w:bookmarkStart w:id="2101" w:name="_Toc459792657"/>
      <w:bookmarkStart w:id="2102" w:name="_Toc459746726"/>
      <w:bookmarkStart w:id="2103" w:name="_Toc459793965"/>
      <w:bookmarkStart w:id="2104" w:name="_Toc462234128"/>
      <w:bookmarkStart w:id="2105" w:name="_Toc497033197"/>
      <w:bookmarkStart w:id="2106" w:name="_Toc291852933"/>
      <w:bookmarkStart w:id="2107" w:name="_Toc392515917"/>
      <w:bookmarkStart w:id="2108" w:name="_Toc518394252"/>
      <w:bookmarkStart w:id="2109" w:name="_Toc459793823"/>
      <w:bookmarkStart w:id="2110" w:name="_Toc182391570"/>
      <w:bookmarkStart w:id="2111" w:name="_Toc182391981"/>
      <w:r w:rsidRPr="00B93493">
        <w:t>5.1.2</w:t>
      </w:r>
      <w:r w:rsidRPr="00B93493">
        <w:tab/>
        <w:t>Canada</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228C7554" w14:textId="77777777" w:rsidR="00CF04BC" w:rsidRPr="00B93493" w:rsidRDefault="00CF04BC" w:rsidP="00CF04BC">
      <w:r w:rsidRPr="00B93493">
        <w:t xml:space="preserve">The Canadian Radiocommunication Act was amended in June 1996 to provide the explicit authority for the use of spectrum assignment auctions in appropriate circumstances.  Auctions offer a number of advantages such as their ability to promote economically efficient use of spectrum, their openness and objectivity as an assignment mechanism, their procedural efficiency, and their ability to return appropriate compensation to Canadian taxpayers for the use of a public resource.  </w:t>
      </w:r>
    </w:p>
    <w:p w14:paraId="017DCFB7" w14:textId="77777777" w:rsidR="00CF04BC" w:rsidRPr="00B93493" w:rsidRDefault="00CF04BC" w:rsidP="00CF04BC">
      <w:r w:rsidRPr="00B93493">
        <w:t>Industry Canada’s first spectrum auction was conducted in 1999, using a simultaneous multiple round ascending format to award spectrum in the 24 GHz and 38 GHz bands. Within a ten year span, Industry Canada has held seven spectrum auctions, five of which were held over the Internet, using the simultaneous multiple round format, and two of which used a sealed-bid format. As both the theoretical and practical aspects of auction design continue to advance, Industry Canada will continue to examine new auction design developments and adopt them as appropriate.</w:t>
      </w:r>
    </w:p>
    <w:p w14:paraId="52965BCC" w14:textId="15A471AD" w:rsidR="00CF04BC" w:rsidRDefault="00CF04BC" w:rsidP="00CF04BC">
      <w:pPr>
        <w:spacing w:after="240"/>
      </w:pPr>
      <w:r w:rsidRPr="00B93493">
        <w:t xml:space="preserve">The following </w:t>
      </w:r>
      <w:r w:rsidR="00345301">
        <w:t>T</w:t>
      </w:r>
      <w:r w:rsidRPr="00B93493">
        <w:t>able provides details of all auctions held to date by Industry Canada. Auctions 1 to 5 were conducted using the Simultaneous Multiple Round Ascending (SMRA) design while Auctions 6 and 7 were conducted using a sealed-bid, second-price auction design.</w:t>
      </w:r>
    </w:p>
    <w:p w14:paraId="6D4C836A" w14:textId="77777777" w:rsidR="00CF04BC" w:rsidRPr="00B93493" w:rsidRDefault="00CF04BC" w:rsidP="00CF04BC">
      <w:pPr>
        <w:pStyle w:val="TableNo"/>
        <w:rPr>
          <w:lang w:eastAsia="zh-CN"/>
        </w:rPr>
      </w:pPr>
      <w:r w:rsidRPr="00B93493">
        <w:t>TABLE 1</w:t>
      </w:r>
      <w:r>
        <w:rPr>
          <w:rFonts w:hint="eastAsia"/>
          <w:lang w:eastAsia="zh-CN"/>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111"/>
        <w:gridCol w:w="4394"/>
        <w:gridCol w:w="1560"/>
        <w:gridCol w:w="1280"/>
      </w:tblGrid>
      <w:tr w:rsidR="00CF04BC" w:rsidRPr="00B93493" w14:paraId="19B6481E" w14:textId="77777777" w:rsidTr="002E7F54">
        <w:trPr>
          <w:jc w:val="center"/>
        </w:trPr>
        <w:tc>
          <w:tcPr>
            <w:tcW w:w="1294" w:type="dxa"/>
            <w:shd w:val="clear" w:color="auto" w:fill="auto"/>
            <w:vAlign w:val="center"/>
          </w:tcPr>
          <w:p w14:paraId="2B5A6ACD" w14:textId="77777777" w:rsidR="00CF04BC" w:rsidRPr="00B93493" w:rsidRDefault="00CF04BC" w:rsidP="002E7F54">
            <w:pPr>
              <w:pStyle w:val="Tablehead"/>
            </w:pPr>
            <w:r w:rsidRPr="00B93493">
              <w:t>Auction No.</w:t>
            </w:r>
          </w:p>
        </w:tc>
        <w:tc>
          <w:tcPr>
            <w:tcW w:w="1111" w:type="dxa"/>
            <w:shd w:val="clear" w:color="auto" w:fill="auto"/>
            <w:vAlign w:val="center"/>
          </w:tcPr>
          <w:p w14:paraId="46C00686" w14:textId="77777777" w:rsidR="00CF04BC" w:rsidRPr="00B93493" w:rsidRDefault="00CF04BC" w:rsidP="002E7F54">
            <w:pPr>
              <w:pStyle w:val="Tablehead"/>
            </w:pPr>
            <w:r w:rsidRPr="00B93493">
              <w:t xml:space="preserve">Year </w:t>
            </w:r>
          </w:p>
        </w:tc>
        <w:tc>
          <w:tcPr>
            <w:tcW w:w="4394" w:type="dxa"/>
            <w:shd w:val="clear" w:color="auto" w:fill="auto"/>
            <w:vAlign w:val="center"/>
          </w:tcPr>
          <w:p w14:paraId="4FC72A88" w14:textId="77777777" w:rsidR="00CF04BC" w:rsidRPr="00B93493" w:rsidRDefault="00CF04BC" w:rsidP="002E7F54">
            <w:pPr>
              <w:pStyle w:val="Tablehead"/>
            </w:pPr>
            <w:r w:rsidRPr="00B93493">
              <w:t>Frequency band/range</w:t>
            </w:r>
          </w:p>
        </w:tc>
        <w:tc>
          <w:tcPr>
            <w:tcW w:w="1560" w:type="dxa"/>
            <w:shd w:val="clear" w:color="auto" w:fill="auto"/>
            <w:vAlign w:val="center"/>
          </w:tcPr>
          <w:p w14:paraId="26B773CE" w14:textId="77777777" w:rsidR="00CF04BC" w:rsidRPr="00B93493" w:rsidRDefault="00CF04BC" w:rsidP="002E7F54">
            <w:pPr>
              <w:pStyle w:val="Tablehead"/>
            </w:pPr>
            <w:r w:rsidRPr="00B93493">
              <w:t>No. of licences won/available</w:t>
            </w:r>
          </w:p>
        </w:tc>
        <w:tc>
          <w:tcPr>
            <w:tcW w:w="1280" w:type="dxa"/>
            <w:shd w:val="clear" w:color="auto" w:fill="auto"/>
            <w:vAlign w:val="center"/>
          </w:tcPr>
          <w:p w14:paraId="66E27BDA" w14:textId="77777777" w:rsidR="00CF04BC" w:rsidRPr="00B93493" w:rsidRDefault="00CF04BC" w:rsidP="002E7F54">
            <w:pPr>
              <w:pStyle w:val="Tablehead"/>
            </w:pPr>
            <w:r w:rsidRPr="00B93493">
              <w:t>No. of winners</w:t>
            </w:r>
          </w:p>
        </w:tc>
      </w:tr>
      <w:tr w:rsidR="00CF04BC" w:rsidRPr="00B93493" w14:paraId="1DAA298E" w14:textId="77777777" w:rsidTr="002E7F54">
        <w:trPr>
          <w:jc w:val="center"/>
        </w:trPr>
        <w:tc>
          <w:tcPr>
            <w:tcW w:w="1294" w:type="dxa"/>
            <w:vAlign w:val="center"/>
          </w:tcPr>
          <w:p w14:paraId="00F96C49" w14:textId="77777777" w:rsidR="00CF04BC" w:rsidRPr="00B93493" w:rsidRDefault="00CF04BC" w:rsidP="002E7F54">
            <w:pPr>
              <w:pStyle w:val="Tabletext"/>
              <w:jc w:val="center"/>
            </w:pPr>
            <w:r w:rsidRPr="00B93493">
              <w:t>1</w:t>
            </w:r>
          </w:p>
        </w:tc>
        <w:tc>
          <w:tcPr>
            <w:tcW w:w="1111" w:type="dxa"/>
            <w:vAlign w:val="center"/>
          </w:tcPr>
          <w:p w14:paraId="7BBBE7A2" w14:textId="77777777" w:rsidR="00CF04BC" w:rsidRPr="00B93493" w:rsidRDefault="00CF04BC" w:rsidP="002E7F54">
            <w:pPr>
              <w:pStyle w:val="Tabletext"/>
              <w:jc w:val="center"/>
            </w:pPr>
            <w:r w:rsidRPr="00B93493">
              <w:t>1999</w:t>
            </w:r>
          </w:p>
        </w:tc>
        <w:tc>
          <w:tcPr>
            <w:tcW w:w="4394" w:type="dxa"/>
            <w:vAlign w:val="center"/>
          </w:tcPr>
          <w:p w14:paraId="72B23E1E" w14:textId="77777777" w:rsidR="00CF04BC" w:rsidRPr="00B93493" w:rsidRDefault="00CF04BC" w:rsidP="00345301">
            <w:pPr>
              <w:pStyle w:val="Tabletext"/>
              <w:jc w:val="left"/>
            </w:pPr>
            <w:r w:rsidRPr="00B93493">
              <w:t>24 and 38 GHz</w:t>
            </w:r>
          </w:p>
        </w:tc>
        <w:tc>
          <w:tcPr>
            <w:tcW w:w="1560" w:type="dxa"/>
            <w:vAlign w:val="center"/>
          </w:tcPr>
          <w:p w14:paraId="3B05EB7A" w14:textId="77777777" w:rsidR="00CF04BC" w:rsidRPr="00B93493" w:rsidRDefault="00CF04BC" w:rsidP="002E7F54">
            <w:pPr>
              <w:pStyle w:val="Tabletext"/>
              <w:jc w:val="center"/>
            </w:pPr>
            <w:r w:rsidRPr="00B93493">
              <w:t>260/354</w:t>
            </w:r>
          </w:p>
        </w:tc>
        <w:tc>
          <w:tcPr>
            <w:tcW w:w="1280" w:type="dxa"/>
            <w:vAlign w:val="center"/>
          </w:tcPr>
          <w:p w14:paraId="6D27746B" w14:textId="77777777" w:rsidR="00CF04BC" w:rsidRPr="00B93493" w:rsidRDefault="00CF04BC" w:rsidP="002E7F54">
            <w:pPr>
              <w:pStyle w:val="Tabletext"/>
              <w:jc w:val="center"/>
            </w:pPr>
            <w:r w:rsidRPr="00B93493">
              <w:t>12</w:t>
            </w:r>
          </w:p>
        </w:tc>
      </w:tr>
      <w:tr w:rsidR="00CF04BC" w:rsidRPr="00B93493" w14:paraId="4C2097D7" w14:textId="77777777" w:rsidTr="002E7F54">
        <w:trPr>
          <w:jc w:val="center"/>
        </w:trPr>
        <w:tc>
          <w:tcPr>
            <w:tcW w:w="1294" w:type="dxa"/>
            <w:vAlign w:val="center"/>
          </w:tcPr>
          <w:p w14:paraId="2408E9A8" w14:textId="77777777" w:rsidR="00CF04BC" w:rsidRPr="00B93493" w:rsidRDefault="00CF04BC" w:rsidP="002E7F54">
            <w:pPr>
              <w:pStyle w:val="Tabletext"/>
              <w:jc w:val="center"/>
            </w:pPr>
            <w:r w:rsidRPr="00B93493">
              <w:t>2</w:t>
            </w:r>
          </w:p>
        </w:tc>
        <w:tc>
          <w:tcPr>
            <w:tcW w:w="1111" w:type="dxa"/>
            <w:vAlign w:val="center"/>
          </w:tcPr>
          <w:p w14:paraId="04F886EF" w14:textId="77777777" w:rsidR="00CF04BC" w:rsidRPr="00B93493" w:rsidRDefault="00CF04BC" w:rsidP="002E7F54">
            <w:pPr>
              <w:pStyle w:val="Tabletext"/>
              <w:jc w:val="center"/>
            </w:pPr>
            <w:r w:rsidRPr="00B93493">
              <w:t>2001</w:t>
            </w:r>
          </w:p>
        </w:tc>
        <w:tc>
          <w:tcPr>
            <w:tcW w:w="4394" w:type="dxa"/>
            <w:vAlign w:val="center"/>
          </w:tcPr>
          <w:p w14:paraId="4D5D3B71" w14:textId="77777777" w:rsidR="00CF04BC" w:rsidRPr="00B93493" w:rsidRDefault="00CF04BC" w:rsidP="00345301">
            <w:pPr>
              <w:pStyle w:val="Tabletext"/>
              <w:jc w:val="left"/>
            </w:pPr>
            <w:r w:rsidRPr="00B93493">
              <w:t>2 GHz – for Personal Communication Services (PCS)</w:t>
            </w:r>
          </w:p>
        </w:tc>
        <w:tc>
          <w:tcPr>
            <w:tcW w:w="1560" w:type="dxa"/>
            <w:vAlign w:val="center"/>
          </w:tcPr>
          <w:p w14:paraId="0CBE35DF" w14:textId="77777777" w:rsidR="00CF04BC" w:rsidRPr="00B93493" w:rsidRDefault="00CF04BC" w:rsidP="002E7F54">
            <w:pPr>
              <w:pStyle w:val="Tabletext"/>
              <w:jc w:val="center"/>
            </w:pPr>
            <w:r w:rsidRPr="00B93493">
              <w:t>52/62</w:t>
            </w:r>
          </w:p>
        </w:tc>
        <w:tc>
          <w:tcPr>
            <w:tcW w:w="1280" w:type="dxa"/>
            <w:vAlign w:val="center"/>
          </w:tcPr>
          <w:p w14:paraId="78255AFD" w14:textId="77777777" w:rsidR="00CF04BC" w:rsidRPr="00B93493" w:rsidRDefault="00CF04BC" w:rsidP="002E7F54">
            <w:pPr>
              <w:pStyle w:val="Tabletext"/>
              <w:jc w:val="center"/>
            </w:pPr>
            <w:r w:rsidRPr="00B93493">
              <w:t>5</w:t>
            </w:r>
          </w:p>
        </w:tc>
      </w:tr>
      <w:tr w:rsidR="00CF04BC" w:rsidRPr="00B93493" w14:paraId="7A189415" w14:textId="77777777" w:rsidTr="002E7F54">
        <w:trPr>
          <w:jc w:val="center"/>
        </w:trPr>
        <w:tc>
          <w:tcPr>
            <w:tcW w:w="1294" w:type="dxa"/>
            <w:vAlign w:val="center"/>
          </w:tcPr>
          <w:p w14:paraId="196DFDBB" w14:textId="77777777" w:rsidR="00CF04BC" w:rsidRPr="00B93493" w:rsidRDefault="00CF04BC" w:rsidP="002E7F54">
            <w:pPr>
              <w:pStyle w:val="Tabletext"/>
              <w:jc w:val="center"/>
            </w:pPr>
            <w:r w:rsidRPr="00B93493">
              <w:t>3</w:t>
            </w:r>
          </w:p>
        </w:tc>
        <w:tc>
          <w:tcPr>
            <w:tcW w:w="1111" w:type="dxa"/>
            <w:vAlign w:val="center"/>
          </w:tcPr>
          <w:p w14:paraId="2BABB49E" w14:textId="77777777" w:rsidR="00CF04BC" w:rsidRPr="00B93493" w:rsidRDefault="00CF04BC" w:rsidP="002E7F54">
            <w:pPr>
              <w:pStyle w:val="Tabletext"/>
              <w:jc w:val="center"/>
            </w:pPr>
            <w:r w:rsidRPr="00B93493">
              <w:t>2004</w:t>
            </w:r>
          </w:p>
        </w:tc>
        <w:tc>
          <w:tcPr>
            <w:tcW w:w="4394" w:type="dxa"/>
            <w:vAlign w:val="center"/>
          </w:tcPr>
          <w:p w14:paraId="753CE863" w14:textId="77777777" w:rsidR="00CF04BC" w:rsidRPr="00B93493" w:rsidRDefault="00CF04BC" w:rsidP="00345301">
            <w:pPr>
              <w:pStyle w:val="Tabletext"/>
              <w:jc w:val="left"/>
            </w:pPr>
            <w:r w:rsidRPr="00B93493">
              <w:t>2.3 and 3.5 GHz</w:t>
            </w:r>
          </w:p>
        </w:tc>
        <w:tc>
          <w:tcPr>
            <w:tcW w:w="1560" w:type="dxa"/>
            <w:vAlign w:val="center"/>
          </w:tcPr>
          <w:p w14:paraId="3CAC19BF" w14:textId="77777777" w:rsidR="00CF04BC" w:rsidRPr="00B93493" w:rsidRDefault="00CF04BC" w:rsidP="002E7F54">
            <w:pPr>
              <w:pStyle w:val="Tabletext"/>
              <w:jc w:val="center"/>
            </w:pPr>
            <w:r w:rsidRPr="00B93493">
              <w:t>392/848</w:t>
            </w:r>
          </w:p>
        </w:tc>
        <w:tc>
          <w:tcPr>
            <w:tcW w:w="1280" w:type="dxa"/>
            <w:vAlign w:val="center"/>
          </w:tcPr>
          <w:p w14:paraId="316490ED" w14:textId="77777777" w:rsidR="00CF04BC" w:rsidRPr="00B93493" w:rsidRDefault="00CF04BC" w:rsidP="002E7F54">
            <w:pPr>
              <w:pStyle w:val="Tabletext"/>
              <w:jc w:val="center"/>
            </w:pPr>
            <w:r w:rsidRPr="00B93493">
              <w:t>22</w:t>
            </w:r>
          </w:p>
        </w:tc>
      </w:tr>
      <w:tr w:rsidR="00CF04BC" w:rsidRPr="00B93493" w14:paraId="03EF7A46" w14:textId="77777777" w:rsidTr="002E7F54">
        <w:trPr>
          <w:jc w:val="center"/>
        </w:trPr>
        <w:tc>
          <w:tcPr>
            <w:tcW w:w="1294" w:type="dxa"/>
            <w:vAlign w:val="center"/>
          </w:tcPr>
          <w:p w14:paraId="1BF5EE7B" w14:textId="77777777" w:rsidR="00CF04BC" w:rsidRPr="00B93493" w:rsidRDefault="00CF04BC" w:rsidP="002E7F54">
            <w:pPr>
              <w:pStyle w:val="Tabletext"/>
              <w:jc w:val="center"/>
            </w:pPr>
            <w:r w:rsidRPr="00B93493">
              <w:t>4</w:t>
            </w:r>
          </w:p>
        </w:tc>
        <w:tc>
          <w:tcPr>
            <w:tcW w:w="1111" w:type="dxa"/>
            <w:vAlign w:val="center"/>
          </w:tcPr>
          <w:p w14:paraId="44CA9A1C" w14:textId="77777777" w:rsidR="00CF04BC" w:rsidRPr="00B93493" w:rsidRDefault="00CF04BC" w:rsidP="002E7F54">
            <w:pPr>
              <w:pStyle w:val="Tabletext"/>
              <w:jc w:val="center"/>
            </w:pPr>
            <w:r w:rsidRPr="00B93493">
              <w:t>2004/05</w:t>
            </w:r>
          </w:p>
        </w:tc>
        <w:tc>
          <w:tcPr>
            <w:tcW w:w="4394" w:type="dxa"/>
            <w:vAlign w:val="center"/>
          </w:tcPr>
          <w:p w14:paraId="2B86EB35" w14:textId="77777777" w:rsidR="00CF04BC" w:rsidRPr="00B93493" w:rsidRDefault="00CF04BC" w:rsidP="00345301">
            <w:pPr>
              <w:pStyle w:val="Tabletext"/>
              <w:jc w:val="left"/>
            </w:pPr>
            <w:r w:rsidRPr="00B93493">
              <w:t xml:space="preserve">2.3 and 3.5 GHz </w:t>
            </w:r>
          </w:p>
          <w:p w14:paraId="71FA0B38" w14:textId="77777777" w:rsidR="00CF04BC" w:rsidRPr="00B93493" w:rsidRDefault="00CF04BC" w:rsidP="00345301">
            <w:pPr>
              <w:pStyle w:val="Tabletext"/>
              <w:jc w:val="left"/>
            </w:pPr>
            <w:r w:rsidRPr="00B93493">
              <w:t>(Phase 2 – residual)</w:t>
            </w:r>
          </w:p>
        </w:tc>
        <w:tc>
          <w:tcPr>
            <w:tcW w:w="1560" w:type="dxa"/>
            <w:vAlign w:val="center"/>
          </w:tcPr>
          <w:p w14:paraId="208D61AD" w14:textId="77777777" w:rsidR="00CF04BC" w:rsidRPr="00B93493" w:rsidRDefault="00CF04BC" w:rsidP="002E7F54">
            <w:pPr>
              <w:pStyle w:val="Tabletext"/>
              <w:jc w:val="center"/>
            </w:pPr>
            <w:r w:rsidRPr="00B93493">
              <w:t>450/457</w:t>
            </w:r>
          </w:p>
        </w:tc>
        <w:tc>
          <w:tcPr>
            <w:tcW w:w="1280" w:type="dxa"/>
            <w:vAlign w:val="center"/>
          </w:tcPr>
          <w:p w14:paraId="6AE8E6E9" w14:textId="77777777" w:rsidR="00CF04BC" w:rsidRPr="00B93493" w:rsidRDefault="00CF04BC" w:rsidP="002E7F54">
            <w:pPr>
              <w:pStyle w:val="Tabletext"/>
              <w:jc w:val="center"/>
            </w:pPr>
            <w:r w:rsidRPr="00B93493">
              <w:t>15</w:t>
            </w:r>
          </w:p>
        </w:tc>
      </w:tr>
      <w:tr w:rsidR="00CF04BC" w:rsidRPr="00B93493" w14:paraId="0879EE30" w14:textId="77777777" w:rsidTr="002E7F54">
        <w:trPr>
          <w:jc w:val="center"/>
        </w:trPr>
        <w:tc>
          <w:tcPr>
            <w:tcW w:w="1294" w:type="dxa"/>
            <w:vAlign w:val="center"/>
          </w:tcPr>
          <w:p w14:paraId="15328C33" w14:textId="77777777" w:rsidR="00CF04BC" w:rsidRPr="00B93493" w:rsidRDefault="00CF04BC" w:rsidP="002E7F54">
            <w:pPr>
              <w:pStyle w:val="Tabletext"/>
              <w:jc w:val="center"/>
            </w:pPr>
            <w:r w:rsidRPr="00B93493">
              <w:t>5</w:t>
            </w:r>
          </w:p>
        </w:tc>
        <w:tc>
          <w:tcPr>
            <w:tcW w:w="1111" w:type="dxa"/>
            <w:vAlign w:val="center"/>
          </w:tcPr>
          <w:p w14:paraId="4F393FEB" w14:textId="77777777" w:rsidR="00CF04BC" w:rsidRPr="00B93493" w:rsidRDefault="00CF04BC" w:rsidP="002E7F54">
            <w:pPr>
              <w:pStyle w:val="Tabletext"/>
              <w:jc w:val="center"/>
            </w:pPr>
            <w:r w:rsidRPr="00B93493">
              <w:t>2008</w:t>
            </w:r>
          </w:p>
        </w:tc>
        <w:tc>
          <w:tcPr>
            <w:tcW w:w="4394" w:type="dxa"/>
            <w:vAlign w:val="center"/>
          </w:tcPr>
          <w:p w14:paraId="6255E778" w14:textId="77777777" w:rsidR="00CF04BC" w:rsidRPr="00B93493" w:rsidRDefault="00CF04BC" w:rsidP="00345301">
            <w:pPr>
              <w:pStyle w:val="Tabletext"/>
              <w:jc w:val="left"/>
            </w:pPr>
            <w:r w:rsidRPr="00B93493">
              <w:t>2 GHz – for Advanced Wireless Services (AWS)</w:t>
            </w:r>
          </w:p>
        </w:tc>
        <w:tc>
          <w:tcPr>
            <w:tcW w:w="1560" w:type="dxa"/>
            <w:vAlign w:val="center"/>
          </w:tcPr>
          <w:p w14:paraId="149DE347" w14:textId="77777777" w:rsidR="00CF04BC" w:rsidRPr="00B93493" w:rsidRDefault="00CF04BC" w:rsidP="002E7F54">
            <w:pPr>
              <w:pStyle w:val="Tabletext"/>
              <w:jc w:val="center"/>
            </w:pPr>
            <w:r w:rsidRPr="00B93493">
              <w:t>282/292</w:t>
            </w:r>
          </w:p>
        </w:tc>
        <w:tc>
          <w:tcPr>
            <w:tcW w:w="1280" w:type="dxa"/>
            <w:vAlign w:val="center"/>
          </w:tcPr>
          <w:p w14:paraId="0824D7DD" w14:textId="77777777" w:rsidR="00CF04BC" w:rsidRPr="00B93493" w:rsidRDefault="00CF04BC" w:rsidP="002E7F54">
            <w:pPr>
              <w:pStyle w:val="Tabletext"/>
              <w:jc w:val="center"/>
            </w:pPr>
            <w:r w:rsidRPr="00B93493">
              <w:t>15</w:t>
            </w:r>
          </w:p>
        </w:tc>
      </w:tr>
      <w:tr w:rsidR="00CF04BC" w:rsidRPr="00B93493" w14:paraId="17F2DA3A" w14:textId="77777777" w:rsidTr="002E7F54">
        <w:trPr>
          <w:jc w:val="center"/>
        </w:trPr>
        <w:tc>
          <w:tcPr>
            <w:tcW w:w="1294" w:type="dxa"/>
            <w:vAlign w:val="center"/>
          </w:tcPr>
          <w:p w14:paraId="48B3640E" w14:textId="77777777" w:rsidR="00CF04BC" w:rsidRPr="00B93493" w:rsidRDefault="00CF04BC" w:rsidP="002E7F54">
            <w:pPr>
              <w:pStyle w:val="Tabletext"/>
              <w:jc w:val="center"/>
            </w:pPr>
            <w:r w:rsidRPr="00B93493">
              <w:t>6</w:t>
            </w:r>
          </w:p>
        </w:tc>
        <w:tc>
          <w:tcPr>
            <w:tcW w:w="1111" w:type="dxa"/>
            <w:vAlign w:val="center"/>
          </w:tcPr>
          <w:p w14:paraId="251244E7" w14:textId="77777777" w:rsidR="00CF04BC" w:rsidRPr="00B93493" w:rsidRDefault="00CF04BC" w:rsidP="002E7F54">
            <w:pPr>
              <w:pStyle w:val="Tabletext"/>
              <w:jc w:val="center"/>
            </w:pPr>
            <w:r w:rsidRPr="00B93493">
              <w:t>2009</w:t>
            </w:r>
          </w:p>
        </w:tc>
        <w:tc>
          <w:tcPr>
            <w:tcW w:w="4394" w:type="dxa"/>
            <w:vAlign w:val="center"/>
          </w:tcPr>
          <w:p w14:paraId="48EA2743" w14:textId="77777777" w:rsidR="00CF04BC" w:rsidRPr="00B93493" w:rsidRDefault="00CF04BC" w:rsidP="00345301">
            <w:pPr>
              <w:pStyle w:val="Tabletext"/>
              <w:jc w:val="left"/>
            </w:pPr>
            <w:r w:rsidRPr="00B93493">
              <w:t>849-851 MHz and 894</w:t>
            </w:r>
            <w:r w:rsidRPr="00B93493">
              <w:noBreakHyphen/>
              <w:t>896 MHz for Air</w:t>
            </w:r>
            <w:r w:rsidRPr="00B93493">
              <w:noBreakHyphen/>
              <w:t>Ground Services</w:t>
            </w:r>
          </w:p>
        </w:tc>
        <w:tc>
          <w:tcPr>
            <w:tcW w:w="1560" w:type="dxa"/>
            <w:vAlign w:val="center"/>
          </w:tcPr>
          <w:p w14:paraId="59F10AE8" w14:textId="77777777" w:rsidR="00CF04BC" w:rsidRPr="00B93493" w:rsidRDefault="00CF04BC" w:rsidP="002E7F54">
            <w:pPr>
              <w:pStyle w:val="Tabletext"/>
              <w:jc w:val="center"/>
            </w:pPr>
            <w:r w:rsidRPr="00B93493">
              <w:t>2/2</w:t>
            </w:r>
          </w:p>
        </w:tc>
        <w:tc>
          <w:tcPr>
            <w:tcW w:w="1280" w:type="dxa"/>
            <w:vAlign w:val="center"/>
          </w:tcPr>
          <w:p w14:paraId="0F3C50C2" w14:textId="77777777" w:rsidR="00CF04BC" w:rsidRPr="00B93493" w:rsidRDefault="00CF04BC" w:rsidP="002E7F54">
            <w:pPr>
              <w:pStyle w:val="Tabletext"/>
              <w:jc w:val="center"/>
            </w:pPr>
            <w:r w:rsidRPr="00B93493">
              <w:t>1</w:t>
            </w:r>
          </w:p>
        </w:tc>
      </w:tr>
      <w:tr w:rsidR="00CF04BC" w:rsidRPr="00B93493" w14:paraId="056266EA" w14:textId="77777777" w:rsidTr="002E7F54">
        <w:trPr>
          <w:jc w:val="center"/>
        </w:trPr>
        <w:tc>
          <w:tcPr>
            <w:tcW w:w="1294" w:type="dxa"/>
            <w:vAlign w:val="center"/>
          </w:tcPr>
          <w:p w14:paraId="5AAA9BF1" w14:textId="77777777" w:rsidR="00CF04BC" w:rsidRPr="00B93493" w:rsidRDefault="00CF04BC" w:rsidP="002E7F54">
            <w:pPr>
              <w:pStyle w:val="Tabletext"/>
              <w:jc w:val="center"/>
            </w:pPr>
            <w:r w:rsidRPr="00B93493">
              <w:t>7</w:t>
            </w:r>
          </w:p>
        </w:tc>
        <w:tc>
          <w:tcPr>
            <w:tcW w:w="1111" w:type="dxa"/>
            <w:vAlign w:val="center"/>
          </w:tcPr>
          <w:p w14:paraId="5E2D4138" w14:textId="77777777" w:rsidR="00CF04BC" w:rsidRPr="00B93493" w:rsidRDefault="00CF04BC" w:rsidP="002E7F54">
            <w:pPr>
              <w:pStyle w:val="Tabletext"/>
              <w:jc w:val="center"/>
            </w:pPr>
            <w:r w:rsidRPr="00B93493">
              <w:t>2009</w:t>
            </w:r>
          </w:p>
        </w:tc>
        <w:tc>
          <w:tcPr>
            <w:tcW w:w="4394" w:type="dxa"/>
            <w:vAlign w:val="center"/>
          </w:tcPr>
          <w:p w14:paraId="092BE4ED" w14:textId="77777777" w:rsidR="00CF04BC" w:rsidRPr="00B93493" w:rsidRDefault="00CF04BC" w:rsidP="00345301">
            <w:pPr>
              <w:pStyle w:val="Tabletext"/>
              <w:jc w:val="left"/>
            </w:pPr>
            <w:r w:rsidRPr="00B93493">
              <w:t xml:space="preserve">2.3 and 3.5 GHz </w:t>
            </w:r>
          </w:p>
          <w:p w14:paraId="73FA1AEE" w14:textId="77777777" w:rsidR="00CF04BC" w:rsidRPr="00B93493" w:rsidRDefault="00CF04BC" w:rsidP="00345301">
            <w:pPr>
              <w:pStyle w:val="Tabletext"/>
              <w:jc w:val="left"/>
            </w:pPr>
            <w:r w:rsidRPr="00B93493">
              <w:t>(Phase 3 – residual)</w:t>
            </w:r>
          </w:p>
        </w:tc>
        <w:tc>
          <w:tcPr>
            <w:tcW w:w="1560" w:type="dxa"/>
            <w:vAlign w:val="center"/>
          </w:tcPr>
          <w:p w14:paraId="5CE81D90" w14:textId="77777777" w:rsidR="00CF04BC" w:rsidRPr="00B93493" w:rsidRDefault="00CF04BC" w:rsidP="002E7F54">
            <w:pPr>
              <w:pStyle w:val="Tabletext"/>
              <w:jc w:val="center"/>
            </w:pPr>
            <w:r w:rsidRPr="00B93493">
              <w:t>10/10</w:t>
            </w:r>
          </w:p>
        </w:tc>
        <w:tc>
          <w:tcPr>
            <w:tcW w:w="1280" w:type="dxa"/>
            <w:vAlign w:val="center"/>
          </w:tcPr>
          <w:p w14:paraId="4FC2F5F4" w14:textId="77777777" w:rsidR="00CF04BC" w:rsidRPr="00B93493" w:rsidRDefault="00CF04BC" w:rsidP="002E7F54">
            <w:pPr>
              <w:pStyle w:val="Tabletext"/>
              <w:jc w:val="center"/>
            </w:pPr>
            <w:r w:rsidRPr="00B93493">
              <w:t>5</w:t>
            </w:r>
          </w:p>
        </w:tc>
      </w:tr>
    </w:tbl>
    <w:p w14:paraId="2B12C73F" w14:textId="77777777" w:rsidR="00CF04BC" w:rsidRPr="00B93493" w:rsidRDefault="00CF04BC" w:rsidP="00CF04BC">
      <w:pPr>
        <w:rPr>
          <w:rFonts w:ascii="timesnewroman" w:hAnsi="timesnewroman" w:cs="timesnewroman"/>
        </w:rPr>
      </w:pPr>
      <w:r w:rsidRPr="00B93493">
        <w:t>Licences acquired through an auction are transferable in whole or in part (divisibility), in both the bandwidth and geographic dimensions to a qualified recipient.</w:t>
      </w:r>
      <w:r w:rsidRPr="00B93493">
        <w:rPr>
          <w:rFonts w:ascii="timesnewroman" w:hAnsi="timesnewroman" w:cs="timesnewroman"/>
        </w:rPr>
        <w:t xml:space="preserve"> Auctioned licences have generally been issued for a ten-year term with a high expectation of renewal at the end of this term. </w:t>
      </w:r>
      <w:bookmarkStart w:id="2112" w:name="_Toc459793966"/>
      <w:bookmarkStart w:id="2113" w:name="_Toc459792658"/>
      <w:bookmarkStart w:id="2114" w:name="_Toc459970428"/>
      <w:bookmarkStart w:id="2115" w:name="_Toc497033996"/>
      <w:bookmarkStart w:id="2116" w:name="_Toc459793824"/>
      <w:bookmarkStart w:id="2117" w:name="_Toc497033198"/>
      <w:bookmarkStart w:id="2118" w:name="_Toc459746727"/>
    </w:p>
    <w:p w14:paraId="0A72841F" w14:textId="77777777" w:rsidR="00CF04BC" w:rsidRPr="00B93493" w:rsidRDefault="00CF04BC" w:rsidP="00CF04BC">
      <w:pPr>
        <w:pStyle w:val="Heading3"/>
      </w:pPr>
      <w:bookmarkStart w:id="2119" w:name="_Toc289869017"/>
      <w:bookmarkStart w:id="2120" w:name="_Toc462234129"/>
      <w:bookmarkStart w:id="2121" w:name="_Toc518394253"/>
      <w:bookmarkStart w:id="2122" w:name="_Toc289932325"/>
      <w:bookmarkStart w:id="2123" w:name="_Toc289868857"/>
      <w:bookmarkStart w:id="2124" w:name="_Toc289933371"/>
      <w:bookmarkStart w:id="2125" w:name="_Toc392515918"/>
      <w:bookmarkStart w:id="2126" w:name="_Toc291852934"/>
      <w:bookmarkStart w:id="2127" w:name="_Toc182391571"/>
      <w:bookmarkStart w:id="2128" w:name="_Toc182391982"/>
      <w:r w:rsidRPr="00B93493">
        <w:t>5.1.3</w:t>
      </w:r>
      <w:r w:rsidRPr="00B93493">
        <w:tab/>
        <w:t>The Russian Federation’s experience with auctions</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664350A2" w14:textId="77777777" w:rsidR="00CF04BC" w:rsidRPr="00B93493" w:rsidRDefault="00CF04BC" w:rsidP="00CF04BC">
      <w:pPr>
        <w:pStyle w:val="Headingb"/>
      </w:pPr>
      <w:bookmarkStart w:id="2129" w:name="_Toc462234130"/>
      <w:bookmarkStart w:id="2130" w:name="_Toc454284961"/>
      <w:r w:rsidRPr="00B93493">
        <w:t>General description of the system for conducting bidding processes (competitions, auctions) in the Russian Federation</w:t>
      </w:r>
      <w:bookmarkEnd w:id="2129"/>
      <w:bookmarkEnd w:id="2130"/>
    </w:p>
    <w:p w14:paraId="3F79399B" w14:textId="77777777" w:rsidR="00CF04BC" w:rsidRPr="00B93493" w:rsidRDefault="00CF04BC" w:rsidP="00CF04BC">
      <w:pPr>
        <w:rPr>
          <w:szCs w:val="24"/>
        </w:rPr>
      </w:pPr>
      <w:r w:rsidRPr="00B93493">
        <w:rPr>
          <w:szCs w:val="24"/>
        </w:rPr>
        <w:t xml:space="preserve">In the Russian Federation, issues of formulating and implementing state policy and of regulation in the field of communications (including the use and conversion of radio spectrum), come under the remit of the </w:t>
      </w:r>
      <w:r w:rsidRPr="00B93493">
        <w:rPr>
          <w:color w:val="000000"/>
          <w:szCs w:val="24"/>
        </w:rPr>
        <w:t>Ministry of Communications and Mass Media</w:t>
      </w:r>
      <w:r w:rsidRPr="00B93493">
        <w:rPr>
          <w:szCs w:val="24"/>
        </w:rPr>
        <w:t xml:space="preserve"> of the Russian Federation (</w:t>
      </w:r>
      <w:r w:rsidRPr="00B93493">
        <w:rPr>
          <w:i/>
          <w:iCs/>
          <w:szCs w:val="24"/>
        </w:rPr>
        <w:t>Minkomsvyaz</w:t>
      </w:r>
      <w:r w:rsidRPr="00B93493">
        <w:rPr>
          <w:szCs w:val="24"/>
        </w:rPr>
        <w:t xml:space="preserve">). </w:t>
      </w:r>
    </w:p>
    <w:p w14:paraId="28A3D896" w14:textId="77777777" w:rsidR="00CF04BC" w:rsidRPr="00B93493" w:rsidRDefault="00CF04BC" w:rsidP="00CF04BC">
      <w:pPr>
        <w:rPr>
          <w:szCs w:val="24"/>
        </w:rPr>
      </w:pPr>
      <w:r w:rsidRPr="00B93493">
        <w:rPr>
          <w:szCs w:val="24"/>
        </w:rPr>
        <w:t xml:space="preserve">The legal framework for any activity in the field of communications in the Russian Federation is defined by Federal Law No 126-FZ </w:t>
      </w:r>
      <w:r w:rsidRPr="00B93493">
        <w:rPr>
          <w:rFonts w:eastAsia="Calibri"/>
          <w:szCs w:val="24"/>
        </w:rPr>
        <w:t>“</w:t>
      </w:r>
      <w:r w:rsidRPr="00B93493">
        <w:rPr>
          <w:szCs w:val="24"/>
        </w:rPr>
        <w:t>On Communicationsˮ, adopted in July 2003.</w:t>
      </w:r>
    </w:p>
    <w:p w14:paraId="30B8ADD6" w14:textId="77777777" w:rsidR="00CF04BC" w:rsidRPr="00B93493" w:rsidRDefault="00CF04BC" w:rsidP="00CF04BC">
      <w:pPr>
        <w:rPr>
          <w:szCs w:val="24"/>
        </w:rPr>
      </w:pPr>
      <w:r w:rsidRPr="00B93493">
        <w:rPr>
          <w:szCs w:val="24"/>
        </w:rPr>
        <w:t>According to Article 29 of that Law, commercial activities pertaining to the provision of communication services require an appropriate license issued by the competent federal executive authority on the basis of the results of an examination of the applications received.</w:t>
      </w:r>
    </w:p>
    <w:p w14:paraId="37F1BF30" w14:textId="77777777" w:rsidR="00CF04BC" w:rsidRPr="00B93493" w:rsidRDefault="00CF04BC" w:rsidP="00CF04BC">
      <w:pPr>
        <w:rPr>
          <w:szCs w:val="24"/>
        </w:rPr>
      </w:pPr>
      <w:r w:rsidRPr="00B93493">
        <w:rPr>
          <w:szCs w:val="24"/>
        </w:rPr>
        <w:t>Article 31 includes provisions for cases in which a license to provide telecommunication services is granted on the basis of bidding processes. One of these cases is characterized by the following conditions:</w:t>
      </w:r>
    </w:p>
    <w:p w14:paraId="5040631D" w14:textId="77777777" w:rsidR="00CF04BC" w:rsidRPr="00B93493" w:rsidRDefault="00CF04BC" w:rsidP="00CF04BC">
      <w:pPr>
        <w:pStyle w:val="enumlev1"/>
        <w:rPr>
          <w:szCs w:val="24"/>
        </w:rPr>
      </w:pPr>
      <w:r w:rsidRPr="00B93493">
        <w:rPr>
          <w:szCs w:val="24"/>
        </w:rPr>
        <w:t>–</w:t>
      </w:r>
      <w:r w:rsidRPr="00B93493">
        <w:rPr>
          <w:szCs w:val="24"/>
        </w:rPr>
        <w:tab/>
        <w:t xml:space="preserve">Communication services are to be provided using the radio frequency spectrum; </w:t>
      </w:r>
    </w:p>
    <w:p w14:paraId="51271EBC" w14:textId="77777777" w:rsidR="00CF04BC" w:rsidRPr="00B93493" w:rsidRDefault="00CF04BC" w:rsidP="00CF04BC">
      <w:pPr>
        <w:pStyle w:val="enumlev1"/>
        <w:rPr>
          <w:szCs w:val="24"/>
        </w:rPr>
      </w:pPr>
      <w:r w:rsidRPr="00B93493">
        <w:rPr>
          <w:szCs w:val="24"/>
        </w:rPr>
        <w:t>–</w:t>
      </w:r>
      <w:r w:rsidRPr="00B93493">
        <w:rPr>
          <w:szCs w:val="24"/>
        </w:rPr>
        <w:tab/>
        <w:t>The State Radiofrequency Commission determines that the spectrum available for communication services restricts the possible number of operators in a given territory.</w:t>
      </w:r>
    </w:p>
    <w:p w14:paraId="64D2EBE9" w14:textId="77777777" w:rsidR="00CF04BC" w:rsidRPr="00B93493" w:rsidRDefault="00CF04BC" w:rsidP="00CF04BC">
      <w:pPr>
        <w:rPr>
          <w:rFonts w:eastAsia="Calibri"/>
          <w:szCs w:val="24"/>
        </w:rPr>
      </w:pPr>
      <w:r w:rsidRPr="00B93493">
        <w:rPr>
          <w:rFonts w:eastAsia="Calibri"/>
          <w:szCs w:val="24"/>
        </w:rPr>
        <w:t xml:space="preserve">The same article also stipulates that the procedure for conducting the bidding process is determined by the Government of the Russian Federation. It was in implementation of this provision that Government Order No. 8 of 12 January 2006 on “Regulations of bidding processes (auctions, competitions) for acquisition of </w:t>
      </w:r>
      <w:r w:rsidRPr="00B93493">
        <w:rPr>
          <w:szCs w:val="24"/>
        </w:rPr>
        <w:t>licenses to provide communication services</w:t>
      </w:r>
      <w:r w:rsidRPr="00B93493">
        <w:rPr>
          <w:rFonts w:eastAsia="Calibri"/>
          <w:szCs w:val="24"/>
        </w:rPr>
        <w:t xml:space="preserve">” was enacted. The instrument in question provides for two types of competitive bidding process: auctions and competitions (Table </w:t>
      </w:r>
      <w:r>
        <w:rPr>
          <w:rFonts w:hint="eastAsia"/>
          <w:szCs w:val="24"/>
          <w:lang w:eastAsia="zh-CN"/>
        </w:rPr>
        <w:t>2</w:t>
      </w:r>
      <w:r w:rsidRPr="00B93493">
        <w:rPr>
          <w:rFonts w:eastAsia="Calibri"/>
          <w:szCs w:val="24"/>
        </w:rPr>
        <w:t>). Bids for licenses to provide communication services using radio frequency spectrum are conducted in the form of an auction if the spectrum that will be used to provide communication services is not allocated to radio services and/or is not used by radio systems of any designated purpose. In other cases, bids for communication service licenses are conducted in the form of a competition.</w:t>
      </w:r>
    </w:p>
    <w:p w14:paraId="0AB12CC7" w14:textId="77777777" w:rsidR="00CF04BC" w:rsidRPr="00B93493" w:rsidRDefault="00CF04BC" w:rsidP="00CF04BC">
      <w:pPr>
        <w:rPr>
          <w:rFonts w:eastAsia="Calibri"/>
          <w:szCs w:val="24"/>
        </w:rPr>
      </w:pPr>
      <w:r w:rsidRPr="00B93493">
        <w:rPr>
          <w:rFonts w:eastAsia="Calibri"/>
          <w:szCs w:val="24"/>
        </w:rPr>
        <w:t>The organizer of the bidding process is the Federal Service for Supervision of Communications, Information Technology, and Mass Media, which:</w:t>
      </w:r>
    </w:p>
    <w:p w14:paraId="4A0F8DAF" w14:textId="77777777" w:rsidR="00CF04BC" w:rsidRPr="00B93493" w:rsidRDefault="00CF04BC" w:rsidP="00CF04BC">
      <w:pPr>
        <w:pStyle w:val="enumlev1"/>
        <w:rPr>
          <w:szCs w:val="24"/>
        </w:rPr>
      </w:pPr>
      <w:r w:rsidRPr="00B93493">
        <w:rPr>
          <w:szCs w:val="24"/>
        </w:rPr>
        <w:t>–</w:t>
      </w:r>
      <w:r w:rsidRPr="00B93493">
        <w:rPr>
          <w:szCs w:val="24"/>
        </w:rPr>
        <w:tab/>
        <w:t>determines the procedure, place, date and time for starting and ending the process of receiving applications to take part in the bidding;</w:t>
      </w:r>
    </w:p>
    <w:p w14:paraId="51BB3FAD" w14:textId="77777777" w:rsidR="00CF04BC" w:rsidRPr="00B93493" w:rsidRDefault="00CF04BC" w:rsidP="00CF04BC">
      <w:pPr>
        <w:pStyle w:val="enumlev1"/>
        <w:rPr>
          <w:szCs w:val="24"/>
        </w:rPr>
      </w:pPr>
      <w:r w:rsidRPr="00B93493">
        <w:rPr>
          <w:szCs w:val="24"/>
        </w:rPr>
        <w:t>–</w:t>
      </w:r>
      <w:r w:rsidRPr="00B93493">
        <w:rPr>
          <w:szCs w:val="24"/>
        </w:rPr>
        <w:tab/>
        <w:t>organizes the preparation and publication of announcements of the bidding process, repeated bids where necessary, annulment of bidding, completion of bidding, and cancellation;</w:t>
      </w:r>
    </w:p>
    <w:p w14:paraId="1786A62B" w14:textId="77777777" w:rsidR="00CF04BC" w:rsidRPr="00B93493" w:rsidRDefault="00CF04BC" w:rsidP="00CF04BC">
      <w:pPr>
        <w:pStyle w:val="enumlev1"/>
        <w:rPr>
          <w:szCs w:val="24"/>
        </w:rPr>
      </w:pPr>
      <w:r w:rsidRPr="00B93493">
        <w:rPr>
          <w:szCs w:val="24"/>
        </w:rPr>
        <w:t>–</w:t>
      </w:r>
      <w:r w:rsidRPr="00B93493">
        <w:rPr>
          <w:szCs w:val="24"/>
        </w:rPr>
        <w:tab/>
        <w:t>provides clarification regarding documents to be submitted within the period allowed for submission of applications;</w:t>
      </w:r>
    </w:p>
    <w:p w14:paraId="23A17CB1" w14:textId="77777777" w:rsidR="00CF04BC" w:rsidRPr="00B93493" w:rsidRDefault="00CF04BC" w:rsidP="00CF04BC">
      <w:pPr>
        <w:pStyle w:val="enumlev1"/>
        <w:rPr>
          <w:szCs w:val="24"/>
        </w:rPr>
      </w:pPr>
      <w:r w:rsidRPr="00B93493">
        <w:rPr>
          <w:szCs w:val="24"/>
        </w:rPr>
        <w:t>–</w:t>
      </w:r>
      <w:r w:rsidRPr="00B93493">
        <w:rPr>
          <w:szCs w:val="24"/>
        </w:rPr>
        <w:tab/>
        <w:t>concludes agreements on deposits;</w:t>
      </w:r>
    </w:p>
    <w:p w14:paraId="05394734" w14:textId="77777777" w:rsidR="00CF04BC" w:rsidRPr="00B93493" w:rsidRDefault="00CF04BC" w:rsidP="00CF04BC">
      <w:pPr>
        <w:pStyle w:val="enumlev1"/>
        <w:rPr>
          <w:szCs w:val="24"/>
        </w:rPr>
      </w:pPr>
      <w:r w:rsidRPr="00B93493">
        <w:rPr>
          <w:szCs w:val="24"/>
        </w:rPr>
        <w:t>–</w:t>
      </w:r>
      <w:r w:rsidRPr="00B93493">
        <w:rPr>
          <w:szCs w:val="24"/>
        </w:rPr>
        <w:tab/>
        <w:t>ensures safekeeping of registered applications and attached documentation, and confidentiality of the data contained in them;</w:t>
      </w:r>
    </w:p>
    <w:p w14:paraId="016D5283" w14:textId="77777777" w:rsidR="00CF04BC" w:rsidRPr="00B93493" w:rsidRDefault="00CF04BC" w:rsidP="00CF04BC">
      <w:pPr>
        <w:pStyle w:val="enumlev1"/>
        <w:rPr>
          <w:szCs w:val="24"/>
        </w:rPr>
      </w:pPr>
      <w:r w:rsidRPr="00B93493">
        <w:rPr>
          <w:szCs w:val="24"/>
        </w:rPr>
        <w:t>–</w:t>
      </w:r>
      <w:r w:rsidRPr="00B93493">
        <w:rPr>
          <w:szCs w:val="24"/>
        </w:rPr>
        <w:tab/>
        <w:t>sets up a commission to conduct the bid that operates during the period of the bidding process and approves its membership;</w:t>
      </w:r>
    </w:p>
    <w:p w14:paraId="5A031D0B" w14:textId="77777777" w:rsidR="00CF04BC" w:rsidRPr="00B93493" w:rsidRDefault="00CF04BC" w:rsidP="00CF04BC">
      <w:pPr>
        <w:pStyle w:val="enumlev1"/>
        <w:rPr>
          <w:szCs w:val="24"/>
        </w:rPr>
      </w:pPr>
      <w:r w:rsidRPr="00B93493">
        <w:rPr>
          <w:szCs w:val="24"/>
        </w:rPr>
        <w:t>–</w:t>
      </w:r>
      <w:r w:rsidRPr="00B93493">
        <w:rPr>
          <w:szCs w:val="24"/>
        </w:rPr>
        <w:tab/>
        <w:t>ensures the necessary organizational and technical conditions for the commission to operate;</w:t>
      </w:r>
    </w:p>
    <w:p w14:paraId="447E0457" w14:textId="77777777" w:rsidR="00CF04BC" w:rsidRPr="00B93493" w:rsidRDefault="00CF04BC" w:rsidP="00CF04BC">
      <w:pPr>
        <w:pStyle w:val="enumlev1"/>
        <w:rPr>
          <w:szCs w:val="24"/>
        </w:rPr>
      </w:pPr>
      <w:r w:rsidRPr="00B93493">
        <w:rPr>
          <w:szCs w:val="24"/>
        </w:rPr>
        <w:t>–</w:t>
      </w:r>
      <w:r w:rsidRPr="00B93493">
        <w:rPr>
          <w:szCs w:val="24"/>
        </w:rPr>
        <w:tab/>
        <w:t>adopts other measures needed in connection with the organization of bidding.</w:t>
      </w:r>
    </w:p>
    <w:p w14:paraId="31795EA4" w14:textId="77777777" w:rsidR="00CF04BC" w:rsidRPr="00B93493" w:rsidRDefault="00CF04BC" w:rsidP="00CF04BC">
      <w:pPr>
        <w:rPr>
          <w:szCs w:val="24"/>
        </w:rPr>
      </w:pPr>
      <w:r w:rsidRPr="00B93493">
        <w:rPr>
          <w:szCs w:val="24"/>
        </w:rPr>
        <w:t>The Commission referred to above is responsible for the following:</w:t>
      </w:r>
    </w:p>
    <w:p w14:paraId="183075AC" w14:textId="77777777" w:rsidR="00CF04BC" w:rsidRPr="00B93493" w:rsidRDefault="00CF04BC" w:rsidP="00CF04BC">
      <w:pPr>
        <w:pStyle w:val="enumlev1"/>
        <w:rPr>
          <w:szCs w:val="24"/>
        </w:rPr>
      </w:pPr>
      <w:r w:rsidRPr="00B93493">
        <w:rPr>
          <w:szCs w:val="24"/>
        </w:rPr>
        <w:t>–</w:t>
      </w:r>
      <w:r w:rsidRPr="00B93493">
        <w:rPr>
          <w:szCs w:val="24"/>
        </w:rPr>
        <w:tab/>
        <w:t>deciding on applications received;</w:t>
      </w:r>
    </w:p>
    <w:p w14:paraId="161F14E3" w14:textId="77777777" w:rsidR="00CF04BC" w:rsidRPr="00B93493" w:rsidRDefault="00CF04BC" w:rsidP="00CF04BC">
      <w:pPr>
        <w:pStyle w:val="enumlev1"/>
        <w:rPr>
          <w:szCs w:val="24"/>
        </w:rPr>
      </w:pPr>
      <w:r w:rsidRPr="00B93493">
        <w:rPr>
          <w:szCs w:val="24"/>
        </w:rPr>
        <w:t>–</w:t>
      </w:r>
      <w:r w:rsidRPr="00B93493">
        <w:rPr>
          <w:szCs w:val="24"/>
        </w:rPr>
        <w:tab/>
        <w:t>examining and evaluating proposals from bidders;</w:t>
      </w:r>
    </w:p>
    <w:p w14:paraId="4171144B" w14:textId="77777777" w:rsidR="00CF04BC" w:rsidRPr="00B93493" w:rsidRDefault="00CF04BC" w:rsidP="00CF04BC">
      <w:pPr>
        <w:pStyle w:val="enumlev1"/>
        <w:rPr>
          <w:szCs w:val="24"/>
        </w:rPr>
      </w:pPr>
      <w:r w:rsidRPr="00B93493">
        <w:rPr>
          <w:szCs w:val="24"/>
        </w:rPr>
        <w:t>–</w:t>
      </w:r>
      <w:r w:rsidRPr="00B93493">
        <w:rPr>
          <w:szCs w:val="24"/>
        </w:rPr>
        <w:tab/>
        <w:t>determining the winning bidder and presenting the results of bidding process;</w:t>
      </w:r>
    </w:p>
    <w:p w14:paraId="2A245432" w14:textId="77777777" w:rsidR="00CF04BC" w:rsidRPr="00B93493" w:rsidRDefault="00CF04BC" w:rsidP="00CF04BC">
      <w:pPr>
        <w:pStyle w:val="enumlev1"/>
        <w:rPr>
          <w:szCs w:val="24"/>
        </w:rPr>
      </w:pPr>
      <w:r w:rsidRPr="00B93493">
        <w:rPr>
          <w:szCs w:val="24"/>
        </w:rPr>
        <w:t>–</w:t>
      </w:r>
      <w:r w:rsidRPr="00B93493">
        <w:rPr>
          <w:szCs w:val="24"/>
        </w:rPr>
        <w:tab/>
        <w:t>adopting other measures as required in connection with the bidding process.</w:t>
      </w:r>
    </w:p>
    <w:p w14:paraId="4EBEB890" w14:textId="77777777" w:rsidR="00CF04BC" w:rsidRPr="00B93493" w:rsidRDefault="00CF04BC" w:rsidP="00CF04BC">
      <w:pPr>
        <w:rPr>
          <w:szCs w:val="24"/>
        </w:rPr>
      </w:pPr>
      <w:r w:rsidRPr="00B93493">
        <w:rPr>
          <w:szCs w:val="24"/>
        </w:rPr>
        <w:t>Participation in bids is open to physical and legal persons meeting the requirements set out in the published announcement. Those requirements may include: the deadline for submitting applications, the list of documents which an applicant must submit, and the sum of money which the bidder is required to pay within a defined period.</w:t>
      </w:r>
    </w:p>
    <w:p w14:paraId="05BB4136" w14:textId="77777777" w:rsidR="00CF04BC" w:rsidRPr="00B93493" w:rsidRDefault="00CF04BC" w:rsidP="00CF04BC">
      <w:pPr>
        <w:rPr>
          <w:szCs w:val="24"/>
        </w:rPr>
      </w:pPr>
      <w:r w:rsidRPr="00B93493">
        <w:rPr>
          <w:szCs w:val="24"/>
        </w:rPr>
        <w:t>In the case of bidding process in the form of a competition, sealed envelopes with competitive proposals from the bidders are opened at an open meeting of the Commission on the day and at the time indicated in the public announcement. After the envelopes have been opened and the proposals have been read out, the Commission withdraws to discuss and estimate the proposals. The winner is the bidder which in the Commission’s view has offered the best terms.</w:t>
      </w:r>
    </w:p>
    <w:p w14:paraId="7BC1605F" w14:textId="77777777" w:rsidR="00CF04BC" w:rsidRPr="00B93493" w:rsidRDefault="00CF04BC" w:rsidP="00CF04BC">
      <w:pPr>
        <w:rPr>
          <w:szCs w:val="24"/>
        </w:rPr>
      </w:pPr>
      <w:r w:rsidRPr="00B93493">
        <w:rPr>
          <w:szCs w:val="24"/>
        </w:rPr>
        <w:t xml:space="preserve">In the case of bidding process in the form of an auction, the initial announcement indicates the reserve price for the object of the bidding, the bid increment, and basic terms and conditions of the deposit agreement. The reserve price is based on an estimate by the assessor. An agreement with the assessor is concluded by the </w:t>
      </w:r>
      <w:r w:rsidRPr="00B93493">
        <w:rPr>
          <w:rFonts w:eastAsia="Calibri"/>
          <w:szCs w:val="24"/>
        </w:rPr>
        <w:t>organizer of the bidding process</w:t>
      </w:r>
      <w:r w:rsidRPr="00B93493">
        <w:rPr>
          <w:szCs w:val="24"/>
        </w:rPr>
        <w:t xml:space="preserve">. The amount of the deposit may not exceed 25 per cent of the reserve price. That sum is retained as a part of a lot payment for the winning bidder and returned within ten working days from the date of signing the official report on the auction’s results for the other bidders. An auctioneer is invited to conduct the auction and a contract is concluded with the auctioneer for that purpose. The winner is the person proposing the highest price for the lot, subject to the condition that the proposed price may not be lower than the reserve price stated in the original announcement. </w:t>
      </w:r>
    </w:p>
    <w:p w14:paraId="449B1FB6" w14:textId="77777777" w:rsidR="00CF04BC" w:rsidRPr="00B93493" w:rsidRDefault="00CF04BC" w:rsidP="00CF04BC">
      <w:pPr>
        <w:rPr>
          <w:szCs w:val="24"/>
        </w:rPr>
      </w:pPr>
      <w:r w:rsidRPr="00B93493">
        <w:rPr>
          <w:szCs w:val="24"/>
        </w:rPr>
        <w:t>Under the terms of Article 31 of the Law, the winning bidder, irrespective of the form of a bidding process, is granted a license and is allocated the corresponding radio frequencies.</w:t>
      </w:r>
    </w:p>
    <w:p w14:paraId="0E1C650F" w14:textId="77777777" w:rsidR="00CF04BC" w:rsidRPr="00B93493" w:rsidRDefault="00CF04BC" w:rsidP="00CF04BC">
      <w:pPr>
        <w:rPr>
          <w:szCs w:val="24"/>
        </w:rPr>
      </w:pPr>
      <w:r w:rsidRPr="00B93493">
        <w:rPr>
          <w:szCs w:val="24"/>
        </w:rPr>
        <w:t>Government Order No. 8 of 12 January 2006 has now been superseded by Government Order No. 480 of 24 May 2014 “On bidding processes (auctions, competitions) for the award of licenses to provide communication services”, which approved the current regulations for conducting bids. In comparison with the previous version the following modifications to regulations were made:</w:t>
      </w:r>
    </w:p>
    <w:p w14:paraId="725D9F0D" w14:textId="77777777" w:rsidR="00CF04BC" w:rsidRPr="00B93493" w:rsidRDefault="00CF04BC" w:rsidP="00CF04BC">
      <w:pPr>
        <w:pStyle w:val="enumlev1"/>
        <w:rPr>
          <w:szCs w:val="24"/>
        </w:rPr>
      </w:pPr>
      <w:r w:rsidRPr="00B93493">
        <w:rPr>
          <w:szCs w:val="24"/>
        </w:rPr>
        <w:t>–</w:t>
      </w:r>
      <w:r w:rsidRPr="00B93493">
        <w:rPr>
          <w:szCs w:val="24"/>
        </w:rPr>
        <w:tab/>
        <w:t xml:space="preserve">Bidding processes for licenses in areas where the number of operators is limited by availability of spectrum for use in communication services shall be conducted exclusively in the form of an auction (Table </w:t>
      </w:r>
      <w:r>
        <w:rPr>
          <w:rFonts w:hint="eastAsia"/>
          <w:szCs w:val="24"/>
          <w:lang w:eastAsia="zh-CN"/>
        </w:rPr>
        <w:t>16</w:t>
      </w:r>
      <w:r w:rsidRPr="00B93493">
        <w:rPr>
          <w:szCs w:val="24"/>
        </w:rPr>
        <w:t>).</w:t>
      </w:r>
    </w:p>
    <w:p w14:paraId="0CABB52E" w14:textId="77777777" w:rsidR="00CF04BC" w:rsidRPr="00B93493" w:rsidRDefault="00CF04BC" w:rsidP="00CF04BC">
      <w:pPr>
        <w:pStyle w:val="enumlev1"/>
        <w:rPr>
          <w:szCs w:val="24"/>
        </w:rPr>
      </w:pPr>
      <w:r w:rsidRPr="00B93493">
        <w:rPr>
          <w:szCs w:val="24"/>
        </w:rPr>
        <w:t>–</w:t>
      </w:r>
      <w:r w:rsidRPr="00B93493">
        <w:rPr>
          <w:szCs w:val="24"/>
        </w:rPr>
        <w:tab/>
        <w:t>The reserve price for the object of the auction may be determined on the basis of the conclusions of the assessor invited for that purpose, or in accordance with an established methodology for determining the reserve price.</w:t>
      </w:r>
    </w:p>
    <w:p w14:paraId="32525824" w14:textId="77777777" w:rsidR="00CF04BC" w:rsidRPr="00B93493" w:rsidRDefault="00CF04BC" w:rsidP="00CF04BC">
      <w:pPr>
        <w:pStyle w:val="enumlev1"/>
        <w:rPr>
          <w:szCs w:val="24"/>
        </w:rPr>
      </w:pPr>
      <w:r w:rsidRPr="00B93493">
        <w:rPr>
          <w:szCs w:val="24"/>
        </w:rPr>
        <w:t>–</w:t>
      </w:r>
      <w:r w:rsidRPr="00B93493">
        <w:rPr>
          <w:szCs w:val="24"/>
        </w:rPr>
        <w:tab/>
        <w:t>There is provision for holding an electronic auction. In such cases, the Federal Service for Supervision of Communications, Information Technology, and Mass Media sets up and maintains an electronic bidding platform or concludes an agreement on the bidding process with the operator of e-platform (electronic marketplace).</w:t>
      </w:r>
    </w:p>
    <w:p w14:paraId="1C0C19EC" w14:textId="77777777" w:rsidR="00CF04BC" w:rsidRPr="00B93493" w:rsidRDefault="00CF04BC" w:rsidP="00CF04BC">
      <w:pPr>
        <w:pStyle w:val="TableNo"/>
        <w:rPr>
          <w:lang w:eastAsia="zh-CN"/>
        </w:rPr>
      </w:pPr>
      <w:r w:rsidRPr="00B93493">
        <w:t xml:space="preserve">TABLE </w:t>
      </w:r>
      <w:r>
        <w:rPr>
          <w:rFonts w:hint="eastAsia"/>
          <w:lang w:eastAsia="zh-CN"/>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916"/>
        <w:gridCol w:w="3777"/>
      </w:tblGrid>
      <w:tr w:rsidR="00CF04BC" w:rsidRPr="00B93493" w14:paraId="38A5A7B8" w14:textId="77777777" w:rsidTr="002E7F54">
        <w:tc>
          <w:tcPr>
            <w:tcW w:w="1951" w:type="dxa"/>
            <w:vMerge w:val="restart"/>
            <w:shd w:val="clear" w:color="auto" w:fill="auto"/>
            <w:vAlign w:val="center"/>
          </w:tcPr>
          <w:p w14:paraId="174B3918" w14:textId="77777777" w:rsidR="00CF04BC" w:rsidRPr="00B93493" w:rsidRDefault="00CF04BC" w:rsidP="002E7F54">
            <w:pPr>
              <w:pStyle w:val="Tablehead"/>
            </w:pPr>
            <w:r w:rsidRPr="00B93493">
              <w:t xml:space="preserve">Type of bidding process </w:t>
            </w:r>
          </w:p>
        </w:tc>
        <w:tc>
          <w:tcPr>
            <w:tcW w:w="7796" w:type="dxa"/>
            <w:gridSpan w:val="2"/>
            <w:shd w:val="clear" w:color="auto" w:fill="auto"/>
          </w:tcPr>
          <w:p w14:paraId="3BDA16B3" w14:textId="77777777" w:rsidR="00CF04BC" w:rsidRPr="00B93493" w:rsidRDefault="00CF04BC" w:rsidP="002E7F54">
            <w:pPr>
              <w:pStyle w:val="Tablehead"/>
            </w:pPr>
            <w:r w:rsidRPr="00B93493">
              <w:t xml:space="preserve">When used </w:t>
            </w:r>
          </w:p>
        </w:tc>
      </w:tr>
      <w:tr w:rsidR="00CF04BC" w:rsidRPr="00B93493" w14:paraId="0BB0CA72" w14:textId="77777777" w:rsidTr="002E7F54">
        <w:tc>
          <w:tcPr>
            <w:tcW w:w="1951" w:type="dxa"/>
            <w:vMerge/>
            <w:shd w:val="clear" w:color="auto" w:fill="auto"/>
          </w:tcPr>
          <w:p w14:paraId="46201DC0" w14:textId="77777777" w:rsidR="00CF04BC" w:rsidRPr="00B93493" w:rsidRDefault="00CF04BC" w:rsidP="002E7F54">
            <w:pPr>
              <w:pStyle w:val="Tablehead"/>
            </w:pPr>
          </w:p>
        </w:tc>
        <w:tc>
          <w:tcPr>
            <w:tcW w:w="3969" w:type="dxa"/>
            <w:shd w:val="clear" w:color="auto" w:fill="auto"/>
          </w:tcPr>
          <w:p w14:paraId="59223BC5" w14:textId="77777777" w:rsidR="00CF04BC" w:rsidRPr="00B93493" w:rsidRDefault="00CF04BC" w:rsidP="002E7F54">
            <w:pPr>
              <w:pStyle w:val="Tablehead"/>
            </w:pPr>
            <w:r w:rsidRPr="00B93493">
              <w:t>2006</w:t>
            </w:r>
            <w:r w:rsidRPr="00B93493">
              <w:noBreakHyphen/>
              <w:t>2014</w:t>
            </w:r>
          </w:p>
        </w:tc>
        <w:tc>
          <w:tcPr>
            <w:tcW w:w="3827" w:type="dxa"/>
            <w:shd w:val="clear" w:color="auto" w:fill="auto"/>
          </w:tcPr>
          <w:p w14:paraId="115BD96C" w14:textId="77777777" w:rsidR="00CF04BC" w:rsidRPr="00B93493" w:rsidRDefault="00CF04BC" w:rsidP="002E7F54">
            <w:pPr>
              <w:pStyle w:val="Tablehead"/>
            </w:pPr>
            <w:r w:rsidRPr="00B93493">
              <w:t xml:space="preserve">2014 </w:t>
            </w:r>
            <w:r w:rsidRPr="00B93493">
              <w:noBreakHyphen/>
              <w:t xml:space="preserve"> present</w:t>
            </w:r>
          </w:p>
        </w:tc>
      </w:tr>
      <w:tr w:rsidR="00CF04BC" w:rsidRPr="00B93493" w14:paraId="2056D689" w14:textId="77777777" w:rsidTr="002E7F54">
        <w:tc>
          <w:tcPr>
            <w:tcW w:w="1951" w:type="dxa"/>
            <w:shd w:val="clear" w:color="auto" w:fill="auto"/>
          </w:tcPr>
          <w:p w14:paraId="18533276" w14:textId="77777777" w:rsidR="00CF04BC" w:rsidRPr="00B93493" w:rsidRDefault="00CF04BC" w:rsidP="002E7F54">
            <w:pPr>
              <w:pStyle w:val="Tabletext"/>
            </w:pPr>
            <w:r w:rsidRPr="00B93493">
              <w:t>Competition</w:t>
            </w:r>
          </w:p>
        </w:tc>
        <w:tc>
          <w:tcPr>
            <w:tcW w:w="3969" w:type="dxa"/>
            <w:shd w:val="clear" w:color="auto" w:fill="auto"/>
          </w:tcPr>
          <w:p w14:paraId="4AC39170" w14:textId="77777777" w:rsidR="00CF04BC" w:rsidRPr="00B93493" w:rsidRDefault="00CF04BC" w:rsidP="00345301">
            <w:pPr>
              <w:pStyle w:val="Tabletext"/>
              <w:jc w:val="left"/>
            </w:pPr>
            <w:r w:rsidRPr="00B93493">
              <w:t>All cases other than those for which an auction is required under current regulations.</w:t>
            </w:r>
          </w:p>
        </w:tc>
        <w:tc>
          <w:tcPr>
            <w:tcW w:w="3827" w:type="dxa"/>
            <w:shd w:val="clear" w:color="auto" w:fill="auto"/>
          </w:tcPr>
          <w:p w14:paraId="4BAF54D9" w14:textId="77777777" w:rsidR="00CF04BC" w:rsidRPr="00B93493" w:rsidRDefault="00CF04BC" w:rsidP="00345301">
            <w:pPr>
              <w:pStyle w:val="Tabletext"/>
              <w:jc w:val="left"/>
            </w:pPr>
            <w:r w:rsidRPr="00B93493">
              <w:t>No provision</w:t>
            </w:r>
          </w:p>
        </w:tc>
      </w:tr>
      <w:tr w:rsidR="00CF04BC" w:rsidRPr="00B93493" w14:paraId="162E4758" w14:textId="77777777" w:rsidTr="002E7F54">
        <w:tc>
          <w:tcPr>
            <w:tcW w:w="1951" w:type="dxa"/>
            <w:shd w:val="clear" w:color="auto" w:fill="auto"/>
          </w:tcPr>
          <w:p w14:paraId="3E71071C" w14:textId="77777777" w:rsidR="00CF04BC" w:rsidRPr="00B93493" w:rsidRDefault="00CF04BC" w:rsidP="002E7F54">
            <w:pPr>
              <w:pStyle w:val="Tabletext"/>
            </w:pPr>
            <w:r w:rsidRPr="00B93493">
              <w:t>Auction</w:t>
            </w:r>
          </w:p>
        </w:tc>
        <w:tc>
          <w:tcPr>
            <w:tcW w:w="3969" w:type="dxa"/>
            <w:shd w:val="clear" w:color="auto" w:fill="auto"/>
          </w:tcPr>
          <w:p w14:paraId="112A7FA3" w14:textId="77777777" w:rsidR="00CF04BC" w:rsidRPr="00B93493" w:rsidRDefault="00CF04BC" w:rsidP="00345301">
            <w:pPr>
              <w:pStyle w:val="Tabletext"/>
              <w:jc w:val="left"/>
            </w:pPr>
            <w:r w:rsidRPr="00B93493">
              <w:t>Where spectrum that is to be used to provide communication services is not allocated to radio services and/or is not used by radio systems of any designated purpose.</w:t>
            </w:r>
          </w:p>
        </w:tc>
        <w:tc>
          <w:tcPr>
            <w:tcW w:w="3827" w:type="dxa"/>
            <w:shd w:val="clear" w:color="auto" w:fill="auto"/>
          </w:tcPr>
          <w:p w14:paraId="266F481D" w14:textId="77777777" w:rsidR="00CF04BC" w:rsidRPr="00B93493" w:rsidRDefault="00CF04BC" w:rsidP="00345301">
            <w:pPr>
              <w:pStyle w:val="Tabletext"/>
              <w:jc w:val="left"/>
            </w:pPr>
            <w:r w:rsidRPr="00B93493">
              <w:t>Auction only, where the number of operators in the territory where services are planned is limited by the availability of radio spectrum for use in communication services.</w:t>
            </w:r>
          </w:p>
        </w:tc>
      </w:tr>
    </w:tbl>
    <w:p w14:paraId="0873C766" w14:textId="77777777" w:rsidR="00CF04BC" w:rsidRPr="00B93493" w:rsidRDefault="00CF04BC" w:rsidP="00CF04BC">
      <w:pPr>
        <w:pStyle w:val="Headingb"/>
      </w:pPr>
      <w:bookmarkStart w:id="2131" w:name="_Toc462234131"/>
      <w:bookmarkStart w:id="2132" w:name="_Toc454284962"/>
      <w:r w:rsidRPr="00B93493">
        <w:t>The Russian Federation’s experience in conducting competitions for licences to provide communication services using radiofrequency spectrum</w:t>
      </w:r>
      <w:bookmarkEnd w:id="2131"/>
      <w:bookmarkEnd w:id="2132"/>
    </w:p>
    <w:p w14:paraId="5CB55205" w14:textId="26656488" w:rsidR="00CF04BC" w:rsidRPr="00B93493" w:rsidRDefault="00CF04BC" w:rsidP="00CF04BC">
      <w:pPr>
        <w:rPr>
          <w:szCs w:val="24"/>
        </w:rPr>
      </w:pPr>
      <w:r w:rsidRPr="00B93493">
        <w:rPr>
          <w:szCs w:val="24"/>
        </w:rPr>
        <w:t>The first competitions to obtain licenses to provide communication services using radio frequency spectrum, in accordance with the regulations approved by Government Order No. 8 of 12 January 2006, took place in 2007. There were three lots in the 2 GHz band put up for bidding process. Each lot allowed usage of 15 MHz of spectrum to provide the IMT</w:t>
      </w:r>
      <w:r w:rsidRPr="00B93493">
        <w:rPr>
          <w:szCs w:val="24"/>
        </w:rPr>
        <w:noBreakHyphen/>
        <w:t>2000/UMTS communication services across the entire territory of the Russian Federation. The license fee</w:t>
      </w:r>
      <w:r w:rsidRPr="00B93493">
        <w:rPr>
          <w:szCs w:val="24"/>
          <w:vertAlign w:val="superscript"/>
        </w:rPr>
        <w:footnoteReference w:id="11"/>
      </w:r>
      <w:r w:rsidRPr="00B93493">
        <w:rPr>
          <w:szCs w:val="24"/>
        </w:rPr>
        <w:t xml:space="preserve"> for each lot was 2.64 million </w:t>
      </w:r>
      <w:r w:rsidR="00092428">
        <w:rPr>
          <w:rFonts w:hint="eastAsia"/>
          <w:szCs w:val="24"/>
          <w:lang w:eastAsia="zh-CN"/>
        </w:rPr>
        <w:t>Roubles</w:t>
      </w:r>
      <w:r w:rsidRPr="00B93493">
        <w:rPr>
          <w:szCs w:val="24"/>
        </w:rPr>
        <w:t xml:space="preserve">. In the same year, competitions for GSM frequencies were organized. In this case, four regional licenses in the 900 MHz band and 99 regional licenses in the 1 800 MHz band were put for bidding process. The license fee for each lot was 45 000 </w:t>
      </w:r>
      <w:r w:rsidR="00092428">
        <w:rPr>
          <w:rFonts w:hint="eastAsia"/>
          <w:szCs w:val="24"/>
          <w:lang w:eastAsia="zh-CN"/>
        </w:rPr>
        <w:t>Roubles</w:t>
      </w:r>
      <w:r w:rsidRPr="00B93493">
        <w:rPr>
          <w:szCs w:val="24"/>
        </w:rPr>
        <w:t>. Competitions for frequencies in the 1 800 MHz band were also held in 2011. This time there was no license fee but the following requirements were stated:</w:t>
      </w:r>
    </w:p>
    <w:p w14:paraId="33186BF9" w14:textId="77777777" w:rsidR="00CF04BC" w:rsidRPr="00B93493" w:rsidRDefault="00CF04BC" w:rsidP="00CF04BC">
      <w:pPr>
        <w:pStyle w:val="enumlev1"/>
        <w:rPr>
          <w:szCs w:val="24"/>
        </w:rPr>
      </w:pPr>
      <w:r w:rsidRPr="00B93493">
        <w:rPr>
          <w:szCs w:val="24"/>
        </w:rPr>
        <w:t>–</w:t>
      </w:r>
      <w:r w:rsidRPr="00B93493">
        <w:rPr>
          <w:szCs w:val="24"/>
        </w:rPr>
        <w:tab/>
        <w:t>Population coverage: bidders were awarded additional points for providing mobile services in all settlements with 2 000-100 000 inhabitants and in not fewer than 10 per cent of settlements  with 200-2 000 inhabitants across the lot territory within two to three years.</w:t>
      </w:r>
    </w:p>
    <w:p w14:paraId="4AF30759" w14:textId="77777777" w:rsidR="00CF04BC" w:rsidRPr="00B93493" w:rsidRDefault="00CF04BC" w:rsidP="00CF04BC">
      <w:pPr>
        <w:pStyle w:val="enumlev1"/>
        <w:rPr>
          <w:szCs w:val="24"/>
        </w:rPr>
      </w:pPr>
      <w:r w:rsidRPr="00B93493">
        <w:rPr>
          <w:szCs w:val="24"/>
        </w:rPr>
        <w:t>–</w:t>
      </w:r>
      <w:r w:rsidRPr="00B93493">
        <w:rPr>
          <w:szCs w:val="24"/>
        </w:rPr>
        <w:tab/>
        <w:t>Network investment: bidders were awarded additional points for having funds, whether their own or borrowed, sufficient for investment of at least 1.25 times the minimum value stated for a given lot in order to meet commitments to deploy a GSM mobile network in the 1 800 band.</w:t>
      </w:r>
    </w:p>
    <w:p w14:paraId="686DBDA4" w14:textId="77777777" w:rsidR="00CF04BC" w:rsidRPr="00B93493" w:rsidRDefault="00CF04BC" w:rsidP="00CF04BC">
      <w:pPr>
        <w:pStyle w:val="enumlev1"/>
        <w:rPr>
          <w:szCs w:val="24"/>
        </w:rPr>
      </w:pPr>
      <w:r w:rsidRPr="00B93493">
        <w:rPr>
          <w:szCs w:val="24"/>
        </w:rPr>
        <w:t>–</w:t>
      </w:r>
      <w:r w:rsidRPr="00B93493">
        <w:rPr>
          <w:szCs w:val="24"/>
        </w:rPr>
        <w:tab/>
        <w:t>Deadline for launch of services: not more than two years from the date of the award of the license.</w:t>
      </w:r>
    </w:p>
    <w:p w14:paraId="55113463" w14:textId="77777777" w:rsidR="00CF04BC" w:rsidRPr="00B93493" w:rsidRDefault="00CF04BC" w:rsidP="00CF04BC">
      <w:pPr>
        <w:pStyle w:val="Headingb"/>
      </w:pPr>
      <w:bookmarkStart w:id="2133" w:name="_Toc462234132"/>
      <w:bookmarkStart w:id="2134" w:name="_Toc454284963"/>
      <w:r w:rsidRPr="00B93493">
        <w:t>Experience of conducting auctions for licences to provide communication services using radio spectrum in the Russian Federation</w:t>
      </w:r>
      <w:bookmarkEnd w:id="2133"/>
      <w:bookmarkEnd w:id="2134"/>
    </w:p>
    <w:p w14:paraId="1013A4D1" w14:textId="431AA2D5" w:rsidR="00CF04BC" w:rsidRPr="00B93493" w:rsidRDefault="00CF04BC" w:rsidP="00CF04BC">
      <w:pPr>
        <w:rPr>
          <w:szCs w:val="24"/>
        </w:rPr>
      </w:pPr>
      <w:r w:rsidRPr="00B93493">
        <w:rPr>
          <w:szCs w:val="24"/>
        </w:rPr>
        <w:t xml:space="preserve">The first auction for licences to provide communication services using radio spectrum took place in the autumn of 2015, when ten regional lots were auctioned. Total cost of licenses based on the auction results was 6.3 billion </w:t>
      </w:r>
      <w:r w:rsidR="00092428">
        <w:rPr>
          <w:rFonts w:hint="eastAsia"/>
          <w:szCs w:val="24"/>
          <w:lang w:eastAsia="zh-CN"/>
        </w:rPr>
        <w:t>Roubles</w:t>
      </w:r>
      <w:r w:rsidRPr="00B93493">
        <w:rPr>
          <w:szCs w:val="24"/>
        </w:rPr>
        <w:t xml:space="preserve">. Table </w:t>
      </w:r>
      <w:r>
        <w:rPr>
          <w:rFonts w:hint="eastAsia"/>
          <w:szCs w:val="24"/>
          <w:lang w:eastAsia="zh-CN"/>
        </w:rPr>
        <w:t>17</w:t>
      </w:r>
      <w:r w:rsidRPr="00B93493">
        <w:rPr>
          <w:szCs w:val="24"/>
        </w:rPr>
        <w:t xml:space="preserve"> shows detail of the reserve prices.</w:t>
      </w:r>
    </w:p>
    <w:p w14:paraId="5CA69A26" w14:textId="77777777" w:rsidR="00CF04BC" w:rsidRPr="00B93493" w:rsidRDefault="00CF04BC" w:rsidP="00345301">
      <w:pPr>
        <w:pStyle w:val="TableNo"/>
        <w:keepLines/>
        <w:rPr>
          <w:lang w:eastAsia="zh-CN"/>
        </w:rPr>
      </w:pPr>
      <w:r w:rsidRPr="00B93493">
        <w:t>TABLE 1</w:t>
      </w:r>
      <w:r>
        <w:rPr>
          <w:rFonts w:hint="eastAsia"/>
          <w:lang w:eastAsia="zh-CN"/>
        </w:rPr>
        <w:t>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4108"/>
        <w:gridCol w:w="1398"/>
        <w:gridCol w:w="1677"/>
        <w:gridCol w:w="1691"/>
      </w:tblGrid>
      <w:tr w:rsidR="00CF04BC" w:rsidRPr="00345301" w14:paraId="2D5A850E" w14:textId="77777777" w:rsidTr="00345301">
        <w:trPr>
          <w:trHeight w:hRule="exact" w:val="964"/>
          <w:tblHeader/>
          <w:jc w:val="center"/>
        </w:trPr>
        <w:tc>
          <w:tcPr>
            <w:tcW w:w="765" w:type="dxa"/>
            <w:shd w:val="clear" w:color="auto" w:fill="FFFFFF"/>
            <w:vAlign w:val="center"/>
          </w:tcPr>
          <w:p w14:paraId="7E7494CB" w14:textId="77777777" w:rsidR="00CF04BC" w:rsidRPr="00345301" w:rsidRDefault="00CF04BC" w:rsidP="00345301">
            <w:pPr>
              <w:pStyle w:val="Tablehead"/>
              <w:keepLines/>
            </w:pPr>
            <w:r w:rsidRPr="00345301">
              <w:t>Lot No.</w:t>
            </w:r>
          </w:p>
        </w:tc>
        <w:tc>
          <w:tcPr>
            <w:tcW w:w="4108" w:type="dxa"/>
            <w:shd w:val="clear" w:color="auto" w:fill="FFFFFF"/>
            <w:vAlign w:val="center"/>
          </w:tcPr>
          <w:p w14:paraId="597D2CA6" w14:textId="77777777" w:rsidR="00CF04BC" w:rsidRPr="00345301" w:rsidRDefault="00CF04BC" w:rsidP="00345301">
            <w:pPr>
              <w:pStyle w:val="Tablehead"/>
              <w:keepLines/>
            </w:pPr>
            <w:r w:rsidRPr="00345301">
              <w:t>Territory</w:t>
            </w:r>
          </w:p>
        </w:tc>
        <w:tc>
          <w:tcPr>
            <w:tcW w:w="1398" w:type="dxa"/>
            <w:shd w:val="clear" w:color="auto" w:fill="FFFFFF"/>
            <w:vAlign w:val="center"/>
          </w:tcPr>
          <w:p w14:paraId="3226D4B7" w14:textId="77777777" w:rsidR="00CF04BC" w:rsidRPr="00345301" w:rsidRDefault="00CF04BC" w:rsidP="00345301">
            <w:pPr>
              <w:pStyle w:val="Tablehead"/>
              <w:keepLines/>
            </w:pPr>
            <w:r w:rsidRPr="00345301">
              <w:t>Block size</w:t>
            </w:r>
          </w:p>
        </w:tc>
        <w:tc>
          <w:tcPr>
            <w:tcW w:w="1677" w:type="dxa"/>
            <w:shd w:val="clear" w:color="auto" w:fill="FFFFFF"/>
            <w:vAlign w:val="center"/>
          </w:tcPr>
          <w:p w14:paraId="16BB465A" w14:textId="62394F4E" w:rsidR="00CF04BC" w:rsidRPr="00345301" w:rsidRDefault="00CF04BC" w:rsidP="00345301">
            <w:pPr>
              <w:pStyle w:val="Tablehead"/>
              <w:keepLines/>
            </w:pPr>
            <w:r w:rsidRPr="00345301">
              <w:t xml:space="preserve">Reserve price (million </w:t>
            </w:r>
            <w:r w:rsidR="00092428">
              <w:rPr>
                <w:lang w:eastAsia="zh-CN"/>
              </w:rPr>
              <w:t>Roubles</w:t>
            </w:r>
            <w:r w:rsidRPr="00345301">
              <w:t>)</w:t>
            </w:r>
          </w:p>
        </w:tc>
        <w:tc>
          <w:tcPr>
            <w:tcW w:w="1691" w:type="dxa"/>
            <w:shd w:val="clear" w:color="auto" w:fill="FFFFFF"/>
            <w:vAlign w:val="center"/>
          </w:tcPr>
          <w:p w14:paraId="2986A451" w14:textId="77777777" w:rsidR="00CF04BC" w:rsidRPr="00345301" w:rsidRDefault="00CF04BC" w:rsidP="00345301">
            <w:pPr>
              <w:pStyle w:val="Tablehead"/>
              <w:keepLines/>
            </w:pPr>
            <w:r w:rsidRPr="00345301">
              <w:t>Lot price based on bidding</w:t>
            </w:r>
          </w:p>
        </w:tc>
      </w:tr>
      <w:tr w:rsidR="00CF04BC" w:rsidRPr="00345301" w14:paraId="79D01EB5" w14:textId="77777777" w:rsidTr="00345301">
        <w:trPr>
          <w:trHeight w:hRule="exact" w:val="503"/>
          <w:jc w:val="center"/>
        </w:trPr>
        <w:tc>
          <w:tcPr>
            <w:tcW w:w="765" w:type="dxa"/>
            <w:shd w:val="clear" w:color="auto" w:fill="FFFFFF"/>
            <w:vAlign w:val="center"/>
          </w:tcPr>
          <w:p w14:paraId="04AF2476" w14:textId="77777777" w:rsidR="00CF04BC" w:rsidRPr="00345301" w:rsidRDefault="00CF04BC" w:rsidP="00345301">
            <w:pPr>
              <w:pStyle w:val="Tabletext"/>
              <w:keepNext/>
              <w:keepLines/>
              <w:jc w:val="center"/>
            </w:pPr>
            <w:r w:rsidRPr="00345301">
              <w:rPr>
                <w:rFonts w:eastAsia="Arial Narrow"/>
              </w:rPr>
              <w:t>1</w:t>
            </w:r>
          </w:p>
        </w:tc>
        <w:tc>
          <w:tcPr>
            <w:tcW w:w="4108" w:type="dxa"/>
            <w:shd w:val="clear" w:color="auto" w:fill="FFFFFF"/>
            <w:vAlign w:val="center"/>
          </w:tcPr>
          <w:p w14:paraId="4E166316" w14:textId="77777777" w:rsidR="00CF04BC" w:rsidRPr="00345301" w:rsidRDefault="00CF04BC" w:rsidP="00345301">
            <w:pPr>
              <w:pStyle w:val="Tabletext"/>
              <w:keepNext/>
              <w:keepLines/>
            </w:pPr>
            <w:r w:rsidRPr="00345301">
              <w:rPr>
                <w:rFonts w:eastAsia="Arial Narrow"/>
              </w:rPr>
              <w:t>The Dagestan Republic</w:t>
            </w:r>
          </w:p>
        </w:tc>
        <w:tc>
          <w:tcPr>
            <w:tcW w:w="1398" w:type="dxa"/>
            <w:shd w:val="clear" w:color="auto" w:fill="FFFFFF"/>
            <w:vAlign w:val="center"/>
          </w:tcPr>
          <w:p w14:paraId="4BE420E0" w14:textId="77777777" w:rsidR="00CF04BC" w:rsidRPr="00345301" w:rsidRDefault="00CF04BC" w:rsidP="00345301">
            <w:pPr>
              <w:pStyle w:val="Tabletext"/>
              <w:keepNext/>
              <w:keepLines/>
              <w:jc w:val="center"/>
              <w:rPr>
                <w:rFonts w:eastAsia="Arial Narrow"/>
              </w:rPr>
            </w:pPr>
            <w:r w:rsidRPr="00345301">
              <w:t>2×15 MHz</w:t>
            </w:r>
          </w:p>
        </w:tc>
        <w:tc>
          <w:tcPr>
            <w:tcW w:w="1677" w:type="dxa"/>
            <w:shd w:val="clear" w:color="auto" w:fill="FFFFFF"/>
            <w:vAlign w:val="center"/>
          </w:tcPr>
          <w:p w14:paraId="09CE2212" w14:textId="77777777" w:rsidR="00CF04BC" w:rsidRPr="00345301" w:rsidRDefault="00CF04BC" w:rsidP="00345301">
            <w:pPr>
              <w:pStyle w:val="Tabletext"/>
              <w:keepNext/>
              <w:keepLines/>
              <w:jc w:val="center"/>
            </w:pPr>
            <w:r w:rsidRPr="00345301">
              <w:rPr>
                <w:rFonts w:eastAsia="Arial Narrow"/>
              </w:rPr>
              <w:t>240.4</w:t>
            </w:r>
          </w:p>
        </w:tc>
        <w:tc>
          <w:tcPr>
            <w:tcW w:w="1691" w:type="dxa"/>
            <w:shd w:val="clear" w:color="auto" w:fill="FFFFFF"/>
            <w:vAlign w:val="center"/>
          </w:tcPr>
          <w:p w14:paraId="43FDC735" w14:textId="77777777" w:rsidR="00CF04BC" w:rsidRPr="00345301" w:rsidRDefault="00CF04BC" w:rsidP="00345301">
            <w:pPr>
              <w:pStyle w:val="Tabletext"/>
              <w:keepNext/>
              <w:keepLines/>
              <w:jc w:val="center"/>
            </w:pPr>
            <w:r w:rsidRPr="00345301">
              <w:rPr>
                <w:rFonts w:eastAsia="Arial Narrow"/>
              </w:rPr>
              <w:t>1 060.164</w:t>
            </w:r>
          </w:p>
        </w:tc>
      </w:tr>
      <w:tr w:rsidR="00CF04BC" w:rsidRPr="00345301" w14:paraId="0E83D9B9" w14:textId="77777777" w:rsidTr="00345301">
        <w:trPr>
          <w:trHeight w:hRule="exact" w:val="451"/>
          <w:jc w:val="center"/>
        </w:trPr>
        <w:tc>
          <w:tcPr>
            <w:tcW w:w="765" w:type="dxa"/>
            <w:shd w:val="clear" w:color="auto" w:fill="FFFFFF"/>
            <w:vAlign w:val="center"/>
          </w:tcPr>
          <w:p w14:paraId="4036F985" w14:textId="77777777" w:rsidR="00CF04BC" w:rsidRPr="00345301" w:rsidRDefault="00CF04BC" w:rsidP="00345301">
            <w:pPr>
              <w:pStyle w:val="Tabletext"/>
              <w:keepNext/>
              <w:keepLines/>
              <w:jc w:val="center"/>
            </w:pPr>
            <w:r w:rsidRPr="00345301">
              <w:rPr>
                <w:rFonts w:eastAsia="Arial Narrow"/>
              </w:rPr>
              <w:t>2</w:t>
            </w:r>
          </w:p>
        </w:tc>
        <w:tc>
          <w:tcPr>
            <w:tcW w:w="4108" w:type="dxa"/>
            <w:shd w:val="clear" w:color="auto" w:fill="FFFFFF"/>
            <w:vAlign w:val="center"/>
          </w:tcPr>
          <w:p w14:paraId="180F2F39" w14:textId="77777777" w:rsidR="00CF04BC" w:rsidRPr="00345301" w:rsidRDefault="00CF04BC" w:rsidP="00345301">
            <w:pPr>
              <w:pStyle w:val="Tabletext"/>
              <w:keepNext/>
              <w:keepLines/>
            </w:pPr>
            <w:r w:rsidRPr="00345301">
              <w:rPr>
                <w:rFonts w:eastAsia="Arial Narrow"/>
              </w:rPr>
              <w:t>The Karachay-Cherkess Republic</w:t>
            </w:r>
          </w:p>
        </w:tc>
        <w:tc>
          <w:tcPr>
            <w:tcW w:w="1398" w:type="dxa"/>
            <w:shd w:val="clear" w:color="auto" w:fill="FFFFFF"/>
            <w:vAlign w:val="center"/>
          </w:tcPr>
          <w:p w14:paraId="19935143" w14:textId="77777777" w:rsidR="00CF04BC" w:rsidRPr="00345301" w:rsidRDefault="00CF04BC" w:rsidP="00345301">
            <w:pPr>
              <w:pStyle w:val="Tabletext"/>
              <w:keepNext/>
              <w:keepLines/>
              <w:jc w:val="center"/>
              <w:rPr>
                <w:rFonts w:eastAsia="Arial Narrow"/>
              </w:rPr>
            </w:pPr>
            <w:r w:rsidRPr="00345301">
              <w:t>2×13.8 MHz</w:t>
            </w:r>
          </w:p>
        </w:tc>
        <w:tc>
          <w:tcPr>
            <w:tcW w:w="1677" w:type="dxa"/>
            <w:shd w:val="clear" w:color="auto" w:fill="FFFFFF"/>
            <w:vAlign w:val="center"/>
          </w:tcPr>
          <w:p w14:paraId="43A1299E" w14:textId="77777777" w:rsidR="00CF04BC" w:rsidRPr="00345301" w:rsidRDefault="00CF04BC" w:rsidP="00345301">
            <w:pPr>
              <w:pStyle w:val="Tabletext"/>
              <w:keepNext/>
              <w:keepLines/>
              <w:jc w:val="center"/>
            </w:pPr>
            <w:r w:rsidRPr="00345301">
              <w:rPr>
                <w:rFonts w:eastAsia="Arial Narrow"/>
              </w:rPr>
              <w:t>31.6</w:t>
            </w:r>
          </w:p>
        </w:tc>
        <w:tc>
          <w:tcPr>
            <w:tcW w:w="1691" w:type="dxa"/>
            <w:shd w:val="clear" w:color="auto" w:fill="FFFFFF"/>
            <w:vAlign w:val="center"/>
          </w:tcPr>
          <w:p w14:paraId="18C667AB" w14:textId="77777777" w:rsidR="00CF04BC" w:rsidRPr="00345301" w:rsidRDefault="00CF04BC" w:rsidP="00345301">
            <w:pPr>
              <w:pStyle w:val="Tabletext"/>
              <w:keepNext/>
              <w:keepLines/>
              <w:jc w:val="center"/>
            </w:pPr>
            <w:r w:rsidRPr="00345301">
              <w:rPr>
                <w:rFonts w:eastAsia="Arial Narrow"/>
              </w:rPr>
              <w:t>200.344</w:t>
            </w:r>
          </w:p>
        </w:tc>
      </w:tr>
      <w:tr w:rsidR="00CF04BC" w:rsidRPr="00345301" w14:paraId="07683846" w14:textId="77777777" w:rsidTr="00345301">
        <w:trPr>
          <w:trHeight w:hRule="exact" w:val="659"/>
          <w:jc w:val="center"/>
        </w:trPr>
        <w:tc>
          <w:tcPr>
            <w:tcW w:w="765" w:type="dxa"/>
            <w:shd w:val="clear" w:color="auto" w:fill="FFFFFF"/>
            <w:vAlign w:val="center"/>
          </w:tcPr>
          <w:p w14:paraId="7344566F" w14:textId="77777777" w:rsidR="00CF04BC" w:rsidRPr="00345301" w:rsidRDefault="00CF04BC" w:rsidP="00345301">
            <w:pPr>
              <w:pStyle w:val="Tabletext"/>
              <w:jc w:val="center"/>
            </w:pPr>
            <w:r w:rsidRPr="00345301">
              <w:rPr>
                <w:rFonts w:eastAsia="Arial Narrow"/>
              </w:rPr>
              <w:t>3</w:t>
            </w:r>
          </w:p>
        </w:tc>
        <w:tc>
          <w:tcPr>
            <w:tcW w:w="4108" w:type="dxa"/>
            <w:shd w:val="clear" w:color="auto" w:fill="FFFFFF"/>
            <w:vAlign w:val="center"/>
          </w:tcPr>
          <w:p w14:paraId="1FB4E46D" w14:textId="77777777" w:rsidR="00CF04BC" w:rsidRPr="00345301" w:rsidRDefault="00CF04BC" w:rsidP="00345301">
            <w:pPr>
              <w:pStyle w:val="Tabletext"/>
            </w:pPr>
            <w:r w:rsidRPr="00345301">
              <w:rPr>
                <w:rFonts w:eastAsia="Arial Narrow"/>
              </w:rPr>
              <w:t>The North Ossetia-Alania Republic</w:t>
            </w:r>
          </w:p>
        </w:tc>
        <w:tc>
          <w:tcPr>
            <w:tcW w:w="1398" w:type="dxa"/>
            <w:shd w:val="clear" w:color="auto" w:fill="FFFFFF"/>
            <w:vAlign w:val="center"/>
          </w:tcPr>
          <w:p w14:paraId="79ABE610" w14:textId="77777777" w:rsidR="00CF04BC" w:rsidRPr="00345301" w:rsidRDefault="00CF04BC" w:rsidP="00345301">
            <w:pPr>
              <w:pStyle w:val="Tabletext"/>
              <w:jc w:val="center"/>
            </w:pPr>
            <w:r w:rsidRPr="00345301">
              <w:t>2×6.8 MHz</w:t>
            </w:r>
          </w:p>
          <w:p w14:paraId="52A5E40E" w14:textId="77777777" w:rsidR="00CF04BC" w:rsidRPr="00345301" w:rsidRDefault="00CF04BC" w:rsidP="00345301">
            <w:pPr>
              <w:pStyle w:val="Tabletext"/>
              <w:jc w:val="center"/>
              <w:rPr>
                <w:rFonts w:eastAsia="Arial Narrow"/>
              </w:rPr>
            </w:pPr>
            <w:r w:rsidRPr="00345301">
              <w:t>2×5.2 MHz</w:t>
            </w:r>
          </w:p>
        </w:tc>
        <w:tc>
          <w:tcPr>
            <w:tcW w:w="1677" w:type="dxa"/>
            <w:shd w:val="clear" w:color="auto" w:fill="FFFFFF"/>
            <w:vAlign w:val="center"/>
          </w:tcPr>
          <w:p w14:paraId="412ACAD2" w14:textId="77777777" w:rsidR="00CF04BC" w:rsidRPr="00345301" w:rsidRDefault="00CF04BC" w:rsidP="00345301">
            <w:pPr>
              <w:pStyle w:val="Tabletext"/>
              <w:jc w:val="center"/>
            </w:pPr>
            <w:r w:rsidRPr="00345301">
              <w:rPr>
                <w:rFonts w:eastAsia="Arial Narrow"/>
              </w:rPr>
              <w:t>47.0</w:t>
            </w:r>
          </w:p>
        </w:tc>
        <w:tc>
          <w:tcPr>
            <w:tcW w:w="1691" w:type="dxa"/>
            <w:shd w:val="clear" w:color="auto" w:fill="FFFFFF"/>
            <w:vAlign w:val="center"/>
          </w:tcPr>
          <w:p w14:paraId="21B3BD0C" w14:textId="77777777" w:rsidR="00CF04BC" w:rsidRPr="00345301" w:rsidRDefault="00CF04BC" w:rsidP="00345301">
            <w:pPr>
              <w:pStyle w:val="Tabletext"/>
              <w:jc w:val="center"/>
            </w:pPr>
            <w:r w:rsidRPr="00345301">
              <w:rPr>
                <w:rFonts w:eastAsia="Arial Narrow"/>
              </w:rPr>
              <w:t>275.890</w:t>
            </w:r>
          </w:p>
        </w:tc>
      </w:tr>
      <w:tr w:rsidR="00CF04BC" w:rsidRPr="00345301" w14:paraId="2C9A58E5" w14:textId="77777777" w:rsidTr="00345301">
        <w:trPr>
          <w:trHeight w:hRule="exact" w:val="467"/>
          <w:jc w:val="center"/>
        </w:trPr>
        <w:tc>
          <w:tcPr>
            <w:tcW w:w="765" w:type="dxa"/>
            <w:shd w:val="clear" w:color="auto" w:fill="FFFFFF"/>
            <w:vAlign w:val="center"/>
          </w:tcPr>
          <w:p w14:paraId="444390C6" w14:textId="77777777" w:rsidR="00CF04BC" w:rsidRPr="00345301" w:rsidRDefault="00CF04BC" w:rsidP="00345301">
            <w:pPr>
              <w:pStyle w:val="Tabletext"/>
              <w:jc w:val="center"/>
            </w:pPr>
            <w:r w:rsidRPr="00345301">
              <w:rPr>
                <w:rFonts w:eastAsia="Arial Narrow"/>
              </w:rPr>
              <w:t>4</w:t>
            </w:r>
          </w:p>
        </w:tc>
        <w:tc>
          <w:tcPr>
            <w:tcW w:w="4108" w:type="dxa"/>
            <w:shd w:val="clear" w:color="auto" w:fill="FFFFFF"/>
            <w:vAlign w:val="center"/>
          </w:tcPr>
          <w:p w14:paraId="6F15D05F" w14:textId="77777777" w:rsidR="00CF04BC" w:rsidRPr="00345301" w:rsidRDefault="00CF04BC" w:rsidP="00345301">
            <w:pPr>
              <w:pStyle w:val="Tabletext"/>
            </w:pPr>
            <w:r w:rsidRPr="00345301">
              <w:rPr>
                <w:rFonts w:eastAsia="Arial Narrow"/>
              </w:rPr>
              <w:t>Stavropol Krai</w:t>
            </w:r>
          </w:p>
        </w:tc>
        <w:tc>
          <w:tcPr>
            <w:tcW w:w="1398" w:type="dxa"/>
            <w:shd w:val="clear" w:color="auto" w:fill="FFFFFF"/>
            <w:vAlign w:val="center"/>
          </w:tcPr>
          <w:p w14:paraId="32E7C18D" w14:textId="77777777" w:rsidR="00CF04BC" w:rsidRPr="00345301" w:rsidRDefault="00CF04BC" w:rsidP="00345301">
            <w:pPr>
              <w:pStyle w:val="Tabletext"/>
              <w:jc w:val="center"/>
              <w:rPr>
                <w:rFonts w:eastAsia="Arial Narrow"/>
              </w:rPr>
            </w:pPr>
            <w:r w:rsidRPr="00345301">
              <w:t>2×13.7 MHz</w:t>
            </w:r>
          </w:p>
        </w:tc>
        <w:tc>
          <w:tcPr>
            <w:tcW w:w="1677" w:type="dxa"/>
            <w:shd w:val="clear" w:color="auto" w:fill="FFFFFF"/>
            <w:vAlign w:val="center"/>
          </w:tcPr>
          <w:p w14:paraId="7FF90D91" w14:textId="77777777" w:rsidR="00CF04BC" w:rsidRPr="00345301" w:rsidRDefault="00CF04BC" w:rsidP="00345301">
            <w:pPr>
              <w:pStyle w:val="Tabletext"/>
              <w:jc w:val="center"/>
            </w:pPr>
            <w:r w:rsidRPr="00345301">
              <w:rPr>
                <w:rFonts w:eastAsia="Arial Narrow"/>
              </w:rPr>
              <w:t>210.3</w:t>
            </w:r>
          </w:p>
        </w:tc>
        <w:tc>
          <w:tcPr>
            <w:tcW w:w="1691" w:type="dxa"/>
            <w:shd w:val="clear" w:color="auto" w:fill="FFFFFF"/>
            <w:vAlign w:val="center"/>
          </w:tcPr>
          <w:p w14:paraId="108A8198" w14:textId="77777777" w:rsidR="00CF04BC" w:rsidRPr="00345301" w:rsidRDefault="00CF04BC" w:rsidP="00345301">
            <w:pPr>
              <w:pStyle w:val="Tabletext"/>
              <w:jc w:val="center"/>
            </w:pPr>
            <w:r w:rsidRPr="00345301">
              <w:rPr>
                <w:rFonts w:eastAsia="Arial Narrow"/>
              </w:rPr>
              <w:t>1 701.327</w:t>
            </w:r>
          </w:p>
        </w:tc>
      </w:tr>
      <w:tr w:rsidR="00CF04BC" w:rsidRPr="00345301" w14:paraId="2FA41BC7" w14:textId="77777777" w:rsidTr="00345301">
        <w:trPr>
          <w:trHeight w:hRule="exact" w:val="655"/>
          <w:jc w:val="center"/>
        </w:trPr>
        <w:tc>
          <w:tcPr>
            <w:tcW w:w="765" w:type="dxa"/>
            <w:shd w:val="clear" w:color="auto" w:fill="FFFFFF"/>
            <w:vAlign w:val="center"/>
          </w:tcPr>
          <w:p w14:paraId="38511744" w14:textId="77777777" w:rsidR="00CF04BC" w:rsidRPr="00345301" w:rsidRDefault="00CF04BC" w:rsidP="00345301">
            <w:pPr>
              <w:pStyle w:val="Tabletext"/>
              <w:jc w:val="center"/>
            </w:pPr>
            <w:r w:rsidRPr="00345301">
              <w:rPr>
                <w:rFonts w:eastAsia="Arial Narrow"/>
              </w:rPr>
              <w:t>5</w:t>
            </w:r>
          </w:p>
        </w:tc>
        <w:tc>
          <w:tcPr>
            <w:tcW w:w="4108" w:type="dxa"/>
            <w:shd w:val="clear" w:color="auto" w:fill="FFFFFF"/>
            <w:vAlign w:val="center"/>
          </w:tcPr>
          <w:p w14:paraId="19F66FE3" w14:textId="77777777" w:rsidR="00CF04BC" w:rsidRPr="00345301" w:rsidRDefault="00CF04BC" w:rsidP="00345301">
            <w:pPr>
              <w:pStyle w:val="Tabletext"/>
            </w:pPr>
            <w:r w:rsidRPr="00345301">
              <w:rPr>
                <w:rFonts w:eastAsia="Arial Narrow"/>
              </w:rPr>
              <w:t>Orenburg Oblast</w:t>
            </w:r>
          </w:p>
        </w:tc>
        <w:tc>
          <w:tcPr>
            <w:tcW w:w="1398" w:type="dxa"/>
            <w:shd w:val="clear" w:color="auto" w:fill="FFFFFF"/>
            <w:vAlign w:val="center"/>
          </w:tcPr>
          <w:p w14:paraId="1E2F0553" w14:textId="77777777" w:rsidR="00CF04BC" w:rsidRPr="00345301" w:rsidRDefault="00CF04BC" w:rsidP="00345301">
            <w:pPr>
              <w:pStyle w:val="Tabletext"/>
              <w:jc w:val="center"/>
            </w:pPr>
            <w:r w:rsidRPr="00345301">
              <w:t>2×2.8 MHz</w:t>
            </w:r>
          </w:p>
          <w:p w14:paraId="0CEBFAED" w14:textId="77777777" w:rsidR="00CF04BC" w:rsidRPr="00345301" w:rsidRDefault="00CF04BC" w:rsidP="00345301">
            <w:pPr>
              <w:pStyle w:val="Tabletext"/>
              <w:jc w:val="center"/>
              <w:rPr>
                <w:rFonts w:eastAsia="Arial Narrow"/>
              </w:rPr>
            </w:pPr>
            <w:r w:rsidRPr="00345301">
              <w:t>2×6.6 MHz</w:t>
            </w:r>
          </w:p>
        </w:tc>
        <w:tc>
          <w:tcPr>
            <w:tcW w:w="1677" w:type="dxa"/>
            <w:shd w:val="clear" w:color="auto" w:fill="FFFFFF"/>
            <w:vAlign w:val="center"/>
          </w:tcPr>
          <w:p w14:paraId="54060B4C" w14:textId="77777777" w:rsidR="00CF04BC" w:rsidRPr="00345301" w:rsidRDefault="00CF04BC" w:rsidP="00345301">
            <w:pPr>
              <w:pStyle w:val="Tabletext"/>
              <w:jc w:val="center"/>
            </w:pPr>
            <w:r w:rsidRPr="00345301">
              <w:rPr>
                <w:rFonts w:eastAsia="Arial Narrow"/>
              </w:rPr>
              <w:t>66.7</w:t>
            </w:r>
          </w:p>
        </w:tc>
        <w:tc>
          <w:tcPr>
            <w:tcW w:w="1691" w:type="dxa"/>
            <w:shd w:val="clear" w:color="auto" w:fill="FFFFFF"/>
            <w:vAlign w:val="center"/>
          </w:tcPr>
          <w:p w14:paraId="06EC3B1A" w14:textId="77777777" w:rsidR="00CF04BC" w:rsidRPr="00345301" w:rsidRDefault="00CF04BC" w:rsidP="00345301">
            <w:pPr>
              <w:pStyle w:val="Tabletext"/>
              <w:jc w:val="center"/>
            </w:pPr>
            <w:r w:rsidRPr="00345301">
              <w:rPr>
                <w:rFonts w:eastAsia="Arial Narrow"/>
              </w:rPr>
              <w:t>587.627</w:t>
            </w:r>
          </w:p>
        </w:tc>
      </w:tr>
      <w:tr w:rsidR="00CF04BC" w:rsidRPr="00345301" w14:paraId="465F2A29" w14:textId="77777777" w:rsidTr="00345301">
        <w:trPr>
          <w:trHeight w:hRule="exact" w:val="990"/>
          <w:jc w:val="center"/>
        </w:trPr>
        <w:tc>
          <w:tcPr>
            <w:tcW w:w="765" w:type="dxa"/>
            <w:shd w:val="clear" w:color="auto" w:fill="FFFFFF"/>
            <w:vAlign w:val="center"/>
          </w:tcPr>
          <w:p w14:paraId="45CA7823" w14:textId="77777777" w:rsidR="00CF04BC" w:rsidRPr="00345301" w:rsidRDefault="00CF04BC" w:rsidP="00345301">
            <w:pPr>
              <w:pStyle w:val="Tabletext"/>
              <w:jc w:val="center"/>
            </w:pPr>
            <w:r w:rsidRPr="00345301">
              <w:rPr>
                <w:rFonts w:eastAsia="Arial Narrow"/>
              </w:rPr>
              <w:t>6</w:t>
            </w:r>
          </w:p>
        </w:tc>
        <w:tc>
          <w:tcPr>
            <w:tcW w:w="4108" w:type="dxa"/>
            <w:shd w:val="clear" w:color="auto" w:fill="FFFFFF"/>
            <w:vAlign w:val="center"/>
          </w:tcPr>
          <w:p w14:paraId="036F9E33" w14:textId="77777777" w:rsidR="00CF04BC" w:rsidRPr="00345301" w:rsidRDefault="00CF04BC" w:rsidP="00345301">
            <w:pPr>
              <w:pStyle w:val="Tabletext"/>
            </w:pPr>
            <w:r w:rsidRPr="00345301">
              <w:rPr>
                <w:rFonts w:eastAsia="Arial Narrow"/>
              </w:rPr>
              <w:t>Perm Krai except Komi-Permyatski Okrug</w:t>
            </w:r>
          </w:p>
        </w:tc>
        <w:tc>
          <w:tcPr>
            <w:tcW w:w="1398" w:type="dxa"/>
            <w:shd w:val="clear" w:color="auto" w:fill="FFFFFF"/>
            <w:vAlign w:val="center"/>
          </w:tcPr>
          <w:p w14:paraId="6C14C8F1" w14:textId="77777777" w:rsidR="00CF04BC" w:rsidRPr="00345301" w:rsidRDefault="00CF04BC" w:rsidP="00345301">
            <w:pPr>
              <w:pStyle w:val="Tabletext"/>
              <w:jc w:val="center"/>
            </w:pPr>
            <w:r w:rsidRPr="00345301">
              <w:t>2×8 MHz</w:t>
            </w:r>
          </w:p>
          <w:p w14:paraId="746DAB27" w14:textId="77777777" w:rsidR="00CF04BC" w:rsidRPr="00345301" w:rsidRDefault="00CF04BC" w:rsidP="00345301">
            <w:pPr>
              <w:pStyle w:val="Tabletext"/>
              <w:jc w:val="center"/>
            </w:pPr>
            <w:r w:rsidRPr="00345301">
              <w:t>2×1.8 MHz</w:t>
            </w:r>
          </w:p>
          <w:p w14:paraId="2E4BDCB2" w14:textId="77777777" w:rsidR="00CF04BC" w:rsidRPr="00345301" w:rsidRDefault="00CF04BC" w:rsidP="00345301">
            <w:pPr>
              <w:pStyle w:val="Tabletext"/>
              <w:jc w:val="center"/>
              <w:rPr>
                <w:rFonts w:eastAsia="Arial Narrow"/>
              </w:rPr>
            </w:pPr>
            <w:r w:rsidRPr="00345301">
              <w:t>2×1 MHz</w:t>
            </w:r>
          </w:p>
        </w:tc>
        <w:tc>
          <w:tcPr>
            <w:tcW w:w="1677" w:type="dxa"/>
            <w:shd w:val="clear" w:color="auto" w:fill="FFFFFF"/>
            <w:vAlign w:val="center"/>
          </w:tcPr>
          <w:p w14:paraId="2F5E774D" w14:textId="77777777" w:rsidR="00CF04BC" w:rsidRPr="00345301" w:rsidRDefault="00CF04BC" w:rsidP="00345301">
            <w:pPr>
              <w:pStyle w:val="Tabletext"/>
              <w:jc w:val="center"/>
            </w:pPr>
            <w:r w:rsidRPr="00345301">
              <w:rPr>
                <w:rFonts w:eastAsia="Arial Narrow"/>
              </w:rPr>
              <w:t>183.4</w:t>
            </w:r>
          </w:p>
        </w:tc>
        <w:tc>
          <w:tcPr>
            <w:tcW w:w="1691" w:type="dxa"/>
            <w:shd w:val="clear" w:color="auto" w:fill="FFFFFF"/>
            <w:vAlign w:val="center"/>
          </w:tcPr>
          <w:p w14:paraId="56138842" w14:textId="77777777" w:rsidR="00CF04BC" w:rsidRPr="00345301" w:rsidRDefault="00CF04BC" w:rsidP="00345301">
            <w:pPr>
              <w:pStyle w:val="Tabletext"/>
              <w:jc w:val="center"/>
            </w:pPr>
            <w:r w:rsidRPr="00345301">
              <w:rPr>
                <w:rFonts w:eastAsia="Arial Narrow"/>
              </w:rPr>
              <w:t>744.604</w:t>
            </w:r>
          </w:p>
        </w:tc>
      </w:tr>
      <w:tr w:rsidR="00CF04BC" w:rsidRPr="00345301" w14:paraId="6E20129D" w14:textId="77777777" w:rsidTr="00345301">
        <w:trPr>
          <w:trHeight w:hRule="exact" w:val="331"/>
          <w:jc w:val="center"/>
        </w:trPr>
        <w:tc>
          <w:tcPr>
            <w:tcW w:w="765" w:type="dxa"/>
            <w:shd w:val="clear" w:color="auto" w:fill="FFFFFF"/>
            <w:vAlign w:val="center"/>
          </w:tcPr>
          <w:p w14:paraId="4BE14D19" w14:textId="77777777" w:rsidR="00CF04BC" w:rsidRPr="00345301" w:rsidRDefault="00CF04BC" w:rsidP="00345301">
            <w:pPr>
              <w:pStyle w:val="Tabletext"/>
              <w:jc w:val="center"/>
            </w:pPr>
            <w:r w:rsidRPr="00345301">
              <w:rPr>
                <w:rFonts w:eastAsia="Arial Narrow"/>
              </w:rPr>
              <w:t>7</w:t>
            </w:r>
          </w:p>
        </w:tc>
        <w:tc>
          <w:tcPr>
            <w:tcW w:w="4108" w:type="dxa"/>
            <w:shd w:val="clear" w:color="auto" w:fill="FFFFFF"/>
            <w:vAlign w:val="center"/>
          </w:tcPr>
          <w:p w14:paraId="1D5788A2" w14:textId="77777777" w:rsidR="00CF04BC" w:rsidRPr="00345301" w:rsidRDefault="00CF04BC" w:rsidP="00345301">
            <w:pPr>
              <w:pStyle w:val="Tabletext"/>
            </w:pPr>
            <w:r w:rsidRPr="00345301">
              <w:rPr>
                <w:rFonts w:eastAsia="Arial Narrow"/>
              </w:rPr>
              <w:t>Samara Oblast</w:t>
            </w:r>
          </w:p>
        </w:tc>
        <w:tc>
          <w:tcPr>
            <w:tcW w:w="1398" w:type="dxa"/>
            <w:shd w:val="clear" w:color="auto" w:fill="FFFFFF"/>
            <w:vAlign w:val="center"/>
          </w:tcPr>
          <w:p w14:paraId="42216C71" w14:textId="77777777" w:rsidR="00CF04BC" w:rsidRPr="00345301" w:rsidRDefault="00CF04BC" w:rsidP="00345301">
            <w:pPr>
              <w:pStyle w:val="Tabletext"/>
              <w:jc w:val="center"/>
              <w:rPr>
                <w:rFonts w:eastAsia="Arial Narrow"/>
              </w:rPr>
            </w:pPr>
            <w:r w:rsidRPr="00345301">
              <w:t>2×7.6 MHz</w:t>
            </w:r>
          </w:p>
        </w:tc>
        <w:tc>
          <w:tcPr>
            <w:tcW w:w="1677" w:type="dxa"/>
            <w:shd w:val="clear" w:color="auto" w:fill="FFFFFF"/>
            <w:vAlign w:val="center"/>
          </w:tcPr>
          <w:p w14:paraId="174A10BB" w14:textId="77777777" w:rsidR="00CF04BC" w:rsidRPr="00345301" w:rsidRDefault="00CF04BC" w:rsidP="00345301">
            <w:pPr>
              <w:pStyle w:val="Tabletext"/>
              <w:jc w:val="center"/>
            </w:pPr>
            <w:r w:rsidRPr="00345301">
              <w:rPr>
                <w:rFonts w:eastAsia="Arial Narrow"/>
              </w:rPr>
              <w:t>101.2</w:t>
            </w:r>
          </w:p>
        </w:tc>
        <w:tc>
          <w:tcPr>
            <w:tcW w:w="1691" w:type="dxa"/>
            <w:shd w:val="clear" w:color="auto" w:fill="FFFFFF"/>
            <w:vAlign w:val="center"/>
          </w:tcPr>
          <w:p w14:paraId="0F709C12" w14:textId="77777777" w:rsidR="00CF04BC" w:rsidRPr="00345301" w:rsidRDefault="00CF04BC" w:rsidP="00345301">
            <w:pPr>
              <w:pStyle w:val="Tabletext"/>
              <w:jc w:val="center"/>
            </w:pPr>
            <w:r w:rsidRPr="00345301">
              <w:rPr>
                <w:rFonts w:eastAsia="Arial Narrow"/>
              </w:rPr>
              <w:t>1 082.840</w:t>
            </w:r>
          </w:p>
        </w:tc>
      </w:tr>
      <w:tr w:rsidR="00CF04BC" w:rsidRPr="00345301" w14:paraId="4A208E64" w14:textId="77777777" w:rsidTr="00345301">
        <w:trPr>
          <w:trHeight w:hRule="exact" w:val="431"/>
          <w:jc w:val="center"/>
        </w:trPr>
        <w:tc>
          <w:tcPr>
            <w:tcW w:w="765" w:type="dxa"/>
            <w:shd w:val="clear" w:color="auto" w:fill="FFFFFF"/>
            <w:vAlign w:val="center"/>
          </w:tcPr>
          <w:p w14:paraId="5F76F417" w14:textId="77777777" w:rsidR="00CF04BC" w:rsidRPr="00345301" w:rsidRDefault="00CF04BC" w:rsidP="00345301">
            <w:pPr>
              <w:pStyle w:val="Tabletext"/>
              <w:jc w:val="center"/>
            </w:pPr>
            <w:r w:rsidRPr="00345301">
              <w:rPr>
                <w:rFonts w:eastAsia="Arial Narrow"/>
              </w:rPr>
              <w:t>8</w:t>
            </w:r>
          </w:p>
        </w:tc>
        <w:tc>
          <w:tcPr>
            <w:tcW w:w="4108" w:type="dxa"/>
            <w:shd w:val="clear" w:color="auto" w:fill="FFFFFF"/>
            <w:vAlign w:val="center"/>
          </w:tcPr>
          <w:p w14:paraId="717EF549" w14:textId="77777777" w:rsidR="00CF04BC" w:rsidRPr="00345301" w:rsidRDefault="00CF04BC" w:rsidP="00345301">
            <w:pPr>
              <w:pStyle w:val="Tabletext"/>
            </w:pPr>
            <w:r w:rsidRPr="00345301">
              <w:rPr>
                <w:rFonts w:eastAsia="Arial Narrow"/>
              </w:rPr>
              <w:t>Komi-Permyatski Okrug, Perm Krai</w:t>
            </w:r>
          </w:p>
        </w:tc>
        <w:tc>
          <w:tcPr>
            <w:tcW w:w="1398" w:type="dxa"/>
            <w:shd w:val="clear" w:color="auto" w:fill="FFFFFF"/>
            <w:vAlign w:val="center"/>
          </w:tcPr>
          <w:p w14:paraId="2E94F70B" w14:textId="77777777" w:rsidR="00CF04BC" w:rsidRPr="00345301" w:rsidRDefault="00CF04BC" w:rsidP="00345301">
            <w:pPr>
              <w:pStyle w:val="Tabletext"/>
              <w:jc w:val="center"/>
              <w:rPr>
                <w:rFonts w:eastAsia="Arial Narrow"/>
              </w:rPr>
            </w:pPr>
            <w:r w:rsidRPr="00345301">
              <w:t>2×1 MHz</w:t>
            </w:r>
          </w:p>
        </w:tc>
        <w:tc>
          <w:tcPr>
            <w:tcW w:w="1677" w:type="dxa"/>
            <w:shd w:val="clear" w:color="auto" w:fill="FFFFFF"/>
            <w:vAlign w:val="center"/>
          </w:tcPr>
          <w:p w14:paraId="23D62ED9" w14:textId="77777777" w:rsidR="00CF04BC" w:rsidRPr="00345301" w:rsidRDefault="00CF04BC" w:rsidP="00345301">
            <w:pPr>
              <w:pStyle w:val="Tabletext"/>
              <w:jc w:val="center"/>
            </w:pPr>
            <w:r w:rsidRPr="00345301">
              <w:rPr>
                <w:rFonts w:eastAsia="Arial Narrow"/>
              </w:rPr>
              <w:t>0.5</w:t>
            </w:r>
          </w:p>
        </w:tc>
        <w:tc>
          <w:tcPr>
            <w:tcW w:w="1691" w:type="dxa"/>
            <w:shd w:val="clear" w:color="auto" w:fill="FFFFFF"/>
            <w:vAlign w:val="center"/>
          </w:tcPr>
          <w:p w14:paraId="6AD00A1B" w14:textId="77777777" w:rsidR="00CF04BC" w:rsidRPr="00345301" w:rsidRDefault="00CF04BC" w:rsidP="00345301">
            <w:pPr>
              <w:pStyle w:val="Tabletext"/>
              <w:jc w:val="center"/>
            </w:pPr>
            <w:r w:rsidRPr="00345301">
              <w:rPr>
                <w:rFonts w:eastAsia="Arial Narrow"/>
              </w:rPr>
              <w:t>0.545</w:t>
            </w:r>
          </w:p>
        </w:tc>
      </w:tr>
      <w:tr w:rsidR="00CF04BC" w:rsidRPr="00345301" w14:paraId="4011F321" w14:textId="77777777" w:rsidTr="00345301">
        <w:trPr>
          <w:trHeight w:hRule="exact" w:val="655"/>
          <w:jc w:val="center"/>
        </w:trPr>
        <w:tc>
          <w:tcPr>
            <w:tcW w:w="765" w:type="dxa"/>
            <w:shd w:val="clear" w:color="auto" w:fill="FFFFFF"/>
            <w:vAlign w:val="center"/>
          </w:tcPr>
          <w:p w14:paraId="5E037169" w14:textId="77777777" w:rsidR="00CF04BC" w:rsidRPr="00345301" w:rsidRDefault="00CF04BC" w:rsidP="00345301">
            <w:pPr>
              <w:pStyle w:val="Tabletext"/>
              <w:jc w:val="center"/>
            </w:pPr>
            <w:r w:rsidRPr="00345301">
              <w:rPr>
                <w:rFonts w:eastAsia="Arial Narrow"/>
              </w:rPr>
              <w:t>9</w:t>
            </w:r>
          </w:p>
        </w:tc>
        <w:tc>
          <w:tcPr>
            <w:tcW w:w="4108" w:type="dxa"/>
            <w:shd w:val="clear" w:color="auto" w:fill="FFFFFF"/>
            <w:vAlign w:val="center"/>
          </w:tcPr>
          <w:p w14:paraId="4522B63D" w14:textId="77777777" w:rsidR="00CF04BC" w:rsidRPr="00345301" w:rsidRDefault="00CF04BC" w:rsidP="00345301">
            <w:pPr>
              <w:pStyle w:val="Tabletext"/>
            </w:pPr>
            <w:r w:rsidRPr="00345301">
              <w:rPr>
                <w:rFonts w:eastAsia="Arial Narrow"/>
              </w:rPr>
              <w:t>The Buryatia Republic</w:t>
            </w:r>
          </w:p>
        </w:tc>
        <w:tc>
          <w:tcPr>
            <w:tcW w:w="1398" w:type="dxa"/>
            <w:shd w:val="clear" w:color="auto" w:fill="FFFFFF"/>
            <w:vAlign w:val="center"/>
          </w:tcPr>
          <w:p w14:paraId="5FB62DFB" w14:textId="77777777" w:rsidR="00CF04BC" w:rsidRPr="00345301" w:rsidRDefault="00CF04BC" w:rsidP="00345301">
            <w:pPr>
              <w:pStyle w:val="Tabletext"/>
              <w:jc w:val="center"/>
            </w:pPr>
            <w:r w:rsidRPr="00345301">
              <w:t>2×3.6 MHz</w:t>
            </w:r>
          </w:p>
          <w:p w14:paraId="6B0EDEA2" w14:textId="77777777" w:rsidR="00CF04BC" w:rsidRPr="00345301" w:rsidRDefault="00CF04BC" w:rsidP="00345301">
            <w:pPr>
              <w:pStyle w:val="Tabletext"/>
              <w:jc w:val="center"/>
              <w:rPr>
                <w:rFonts w:eastAsia="Arial Narrow"/>
              </w:rPr>
            </w:pPr>
            <w:r w:rsidRPr="00345301">
              <w:t>2×0.4 MHz</w:t>
            </w:r>
          </w:p>
        </w:tc>
        <w:tc>
          <w:tcPr>
            <w:tcW w:w="1677" w:type="dxa"/>
            <w:shd w:val="clear" w:color="auto" w:fill="FFFFFF"/>
            <w:vAlign w:val="center"/>
          </w:tcPr>
          <w:p w14:paraId="347FCEA2" w14:textId="77777777" w:rsidR="00CF04BC" w:rsidRPr="00345301" w:rsidRDefault="00CF04BC" w:rsidP="00345301">
            <w:pPr>
              <w:pStyle w:val="Tabletext"/>
              <w:jc w:val="center"/>
            </w:pPr>
            <w:r w:rsidRPr="00345301">
              <w:rPr>
                <w:rFonts w:eastAsia="Arial Narrow"/>
              </w:rPr>
              <w:t>83.4</w:t>
            </w:r>
          </w:p>
        </w:tc>
        <w:tc>
          <w:tcPr>
            <w:tcW w:w="1691" w:type="dxa"/>
            <w:shd w:val="clear" w:color="auto" w:fill="FFFFFF"/>
            <w:vAlign w:val="center"/>
          </w:tcPr>
          <w:p w14:paraId="2626F857" w14:textId="77777777" w:rsidR="00CF04BC" w:rsidRPr="00345301" w:rsidRDefault="00CF04BC" w:rsidP="00345301">
            <w:pPr>
              <w:pStyle w:val="Tabletext"/>
              <w:jc w:val="center"/>
            </w:pPr>
            <w:r w:rsidRPr="00345301">
              <w:rPr>
                <w:rFonts w:eastAsia="Arial Narrow"/>
              </w:rPr>
              <w:t>326.094</w:t>
            </w:r>
          </w:p>
        </w:tc>
      </w:tr>
      <w:tr w:rsidR="00CF04BC" w:rsidRPr="00345301" w14:paraId="1A825180" w14:textId="77777777" w:rsidTr="00345301">
        <w:trPr>
          <w:trHeight w:hRule="exact" w:val="655"/>
          <w:jc w:val="center"/>
        </w:trPr>
        <w:tc>
          <w:tcPr>
            <w:tcW w:w="765" w:type="dxa"/>
            <w:shd w:val="clear" w:color="auto" w:fill="FFFFFF"/>
            <w:vAlign w:val="center"/>
          </w:tcPr>
          <w:p w14:paraId="0BA90472" w14:textId="77777777" w:rsidR="00CF04BC" w:rsidRPr="00345301" w:rsidRDefault="00CF04BC" w:rsidP="00345301">
            <w:pPr>
              <w:pStyle w:val="Tabletext"/>
              <w:jc w:val="center"/>
            </w:pPr>
            <w:r w:rsidRPr="00345301">
              <w:rPr>
                <w:rFonts w:eastAsia="Arial Narrow"/>
              </w:rPr>
              <w:t>10</w:t>
            </w:r>
          </w:p>
        </w:tc>
        <w:tc>
          <w:tcPr>
            <w:tcW w:w="4108" w:type="dxa"/>
            <w:shd w:val="clear" w:color="auto" w:fill="FFFFFF"/>
            <w:vAlign w:val="center"/>
          </w:tcPr>
          <w:p w14:paraId="6E1C3984" w14:textId="77777777" w:rsidR="00CF04BC" w:rsidRPr="00345301" w:rsidRDefault="00CF04BC" w:rsidP="00345301">
            <w:pPr>
              <w:pStyle w:val="Tabletext"/>
            </w:pPr>
            <w:r w:rsidRPr="00345301">
              <w:rPr>
                <w:rFonts w:eastAsia="Arial Narrow"/>
              </w:rPr>
              <w:t>Amur Oblast</w:t>
            </w:r>
          </w:p>
        </w:tc>
        <w:tc>
          <w:tcPr>
            <w:tcW w:w="1398" w:type="dxa"/>
            <w:shd w:val="clear" w:color="auto" w:fill="FFFFFF"/>
            <w:vAlign w:val="center"/>
          </w:tcPr>
          <w:p w14:paraId="4BD76E52" w14:textId="77777777" w:rsidR="00CF04BC" w:rsidRPr="00345301" w:rsidRDefault="00CF04BC" w:rsidP="00345301">
            <w:pPr>
              <w:pStyle w:val="Tabletext"/>
              <w:jc w:val="center"/>
            </w:pPr>
            <w:r w:rsidRPr="00345301">
              <w:t>2×4.6 MHz</w:t>
            </w:r>
          </w:p>
          <w:p w14:paraId="22B012E3" w14:textId="77777777" w:rsidR="00CF04BC" w:rsidRPr="00345301" w:rsidRDefault="00CF04BC" w:rsidP="00345301">
            <w:pPr>
              <w:pStyle w:val="Tabletext"/>
              <w:jc w:val="center"/>
              <w:rPr>
                <w:rFonts w:eastAsia="Arial Narrow"/>
              </w:rPr>
            </w:pPr>
            <w:r w:rsidRPr="00345301">
              <w:t>2×8.6 MHz</w:t>
            </w:r>
          </w:p>
        </w:tc>
        <w:tc>
          <w:tcPr>
            <w:tcW w:w="1677" w:type="dxa"/>
            <w:shd w:val="clear" w:color="auto" w:fill="FFFFFF"/>
            <w:vAlign w:val="center"/>
          </w:tcPr>
          <w:p w14:paraId="57D152CC" w14:textId="77777777" w:rsidR="00CF04BC" w:rsidRPr="00345301" w:rsidRDefault="00CF04BC" w:rsidP="00345301">
            <w:pPr>
              <w:pStyle w:val="Tabletext"/>
              <w:jc w:val="center"/>
            </w:pPr>
            <w:r w:rsidRPr="00345301">
              <w:rPr>
                <w:rFonts w:eastAsia="Arial Narrow"/>
              </w:rPr>
              <w:t>69.1</w:t>
            </w:r>
          </w:p>
        </w:tc>
        <w:tc>
          <w:tcPr>
            <w:tcW w:w="1691" w:type="dxa"/>
            <w:shd w:val="clear" w:color="auto" w:fill="FFFFFF"/>
            <w:vAlign w:val="center"/>
          </w:tcPr>
          <w:p w14:paraId="14624F21" w14:textId="77777777" w:rsidR="00CF04BC" w:rsidRPr="00345301" w:rsidRDefault="00CF04BC" w:rsidP="00345301">
            <w:pPr>
              <w:pStyle w:val="Tabletext"/>
              <w:jc w:val="center"/>
            </w:pPr>
            <w:r w:rsidRPr="00345301">
              <w:rPr>
                <w:rFonts w:eastAsia="Arial Narrow"/>
              </w:rPr>
              <w:t>303.349</w:t>
            </w:r>
          </w:p>
        </w:tc>
      </w:tr>
    </w:tbl>
    <w:p w14:paraId="628AD53B" w14:textId="77777777" w:rsidR="00345301" w:rsidRDefault="00345301" w:rsidP="00345301">
      <w:pPr>
        <w:pStyle w:val="Tablefin"/>
      </w:pPr>
    </w:p>
    <w:p w14:paraId="147D4AEF" w14:textId="0EEAD8C6" w:rsidR="00CF04BC" w:rsidRPr="00B93493" w:rsidRDefault="00CF04BC" w:rsidP="00345301">
      <w:r w:rsidRPr="00B93493">
        <w:t>The winning bidder, in accordance with the relevant auction documentation, is required to:</w:t>
      </w:r>
    </w:p>
    <w:p w14:paraId="25B0657A" w14:textId="77777777" w:rsidR="00CF04BC" w:rsidRPr="00B93493" w:rsidRDefault="00CF04BC" w:rsidP="00CF04BC">
      <w:pPr>
        <w:pStyle w:val="enumlev1"/>
        <w:rPr>
          <w:szCs w:val="24"/>
        </w:rPr>
      </w:pPr>
      <w:r w:rsidRPr="00B93493">
        <w:rPr>
          <w:szCs w:val="24"/>
        </w:rPr>
        <w:t>–</w:t>
      </w:r>
      <w:r w:rsidRPr="00B93493">
        <w:rPr>
          <w:szCs w:val="24"/>
        </w:rPr>
        <w:tab/>
        <w:t>provide services for those living in cities and settlements with populations of at least 2 000 people, following a timetable set by the Government Decision on establishing conditions for the use of frequency bands by radio systems of the land mobile service used for civil purposes to provide communication services in settlements of the Russian Federation (Table 1</w:t>
      </w:r>
      <w:r>
        <w:rPr>
          <w:rFonts w:hint="eastAsia"/>
          <w:szCs w:val="24"/>
          <w:lang w:eastAsia="zh-CN"/>
        </w:rPr>
        <w:t>8</w:t>
      </w:r>
      <w:r w:rsidRPr="00B93493">
        <w:rPr>
          <w:szCs w:val="24"/>
        </w:rPr>
        <w:t>) approved in December 2013;</w:t>
      </w:r>
    </w:p>
    <w:p w14:paraId="7B31CB10" w14:textId="77777777" w:rsidR="00CF04BC" w:rsidRPr="00B93493" w:rsidRDefault="00CF04BC" w:rsidP="00CF04BC">
      <w:pPr>
        <w:pStyle w:val="enumlev1"/>
        <w:rPr>
          <w:szCs w:val="24"/>
        </w:rPr>
      </w:pPr>
      <w:r w:rsidRPr="00B93493">
        <w:rPr>
          <w:szCs w:val="24"/>
        </w:rPr>
        <w:t>–</w:t>
      </w:r>
      <w:r w:rsidRPr="00B93493">
        <w:rPr>
          <w:szCs w:val="24"/>
        </w:rPr>
        <w:tab/>
        <w:t>use radio systems with the characteristics set out in Annex 2 to the Government Decision of 13 October 2014 concerning allotment of frequency bands 1 710</w:t>
      </w:r>
      <w:r w:rsidRPr="00B93493">
        <w:rPr>
          <w:szCs w:val="24"/>
        </w:rPr>
        <w:noBreakHyphen/>
        <w:t>1 785 MHz and 1 805</w:t>
      </w:r>
      <w:r w:rsidRPr="00B93493">
        <w:rPr>
          <w:szCs w:val="24"/>
        </w:rPr>
        <w:noBreakHyphen/>
        <w:t>1 880 MHz for radio systems in communication networks of standards GSM, LTE and subsequent modifications in subject territories of the Russian Federation.</w:t>
      </w:r>
    </w:p>
    <w:p w14:paraId="40482B89" w14:textId="77777777" w:rsidR="00CF04BC" w:rsidRPr="00B93493" w:rsidRDefault="00CF04BC" w:rsidP="00CF04BC">
      <w:pPr>
        <w:pStyle w:val="TableNo"/>
        <w:rPr>
          <w:lang w:eastAsia="zh-CN"/>
        </w:rPr>
      </w:pPr>
      <w:r w:rsidRPr="00B93493">
        <w:t>TABLE 1</w:t>
      </w:r>
      <w:r>
        <w:rPr>
          <w:rFonts w:hint="eastAsia"/>
          <w:lang w:eastAsia="zh-CN"/>
        </w:rPr>
        <w:t>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CF04BC" w:rsidRPr="00B93493" w14:paraId="300F954F" w14:textId="77777777" w:rsidTr="002E7F54">
        <w:tc>
          <w:tcPr>
            <w:tcW w:w="1795" w:type="dxa"/>
            <w:shd w:val="clear" w:color="auto" w:fill="auto"/>
            <w:vAlign w:val="center"/>
          </w:tcPr>
          <w:p w14:paraId="2BBAF106" w14:textId="77777777" w:rsidR="00CF04BC" w:rsidRPr="00B93493" w:rsidRDefault="00CF04BC" w:rsidP="002E7F54">
            <w:pPr>
              <w:pStyle w:val="Tablehead"/>
            </w:pPr>
            <w:r w:rsidRPr="00B93493">
              <w:t>Frequency band used</w:t>
            </w:r>
          </w:p>
        </w:tc>
        <w:tc>
          <w:tcPr>
            <w:tcW w:w="1626" w:type="dxa"/>
            <w:shd w:val="clear" w:color="auto" w:fill="auto"/>
            <w:vAlign w:val="center"/>
          </w:tcPr>
          <w:p w14:paraId="3DBD4D3E" w14:textId="77777777" w:rsidR="00CF04BC" w:rsidRPr="00B93493" w:rsidRDefault="00CF04BC" w:rsidP="002E7F54">
            <w:pPr>
              <w:pStyle w:val="Tablehead"/>
            </w:pPr>
            <w:r w:rsidRPr="00B93493">
              <w:t>Population of settlements</w:t>
            </w:r>
          </w:p>
        </w:tc>
        <w:tc>
          <w:tcPr>
            <w:tcW w:w="3633" w:type="dxa"/>
            <w:shd w:val="clear" w:color="auto" w:fill="auto"/>
            <w:vAlign w:val="center"/>
          </w:tcPr>
          <w:p w14:paraId="22492A1A" w14:textId="77777777" w:rsidR="00CF04BC" w:rsidRPr="00B93493" w:rsidRDefault="00CF04BC" w:rsidP="002E7F54">
            <w:pPr>
              <w:pStyle w:val="Tablehead"/>
            </w:pPr>
            <w:r w:rsidRPr="00B93493">
              <w:t>Condition of provision of service</w:t>
            </w:r>
            <w:r w:rsidRPr="00B93493">
              <w:br/>
              <w:t>by an operator</w:t>
            </w:r>
          </w:p>
        </w:tc>
        <w:tc>
          <w:tcPr>
            <w:tcW w:w="2552" w:type="dxa"/>
            <w:shd w:val="clear" w:color="auto" w:fill="auto"/>
            <w:vAlign w:val="center"/>
          </w:tcPr>
          <w:p w14:paraId="6BE0F478" w14:textId="77777777" w:rsidR="00CF04BC" w:rsidRPr="00B93493" w:rsidRDefault="00CF04BC" w:rsidP="002E7F54">
            <w:pPr>
              <w:pStyle w:val="Tablehead"/>
            </w:pPr>
            <w:r w:rsidRPr="00B93493">
              <w:t>Timetable</w:t>
            </w:r>
          </w:p>
        </w:tc>
      </w:tr>
      <w:tr w:rsidR="00CF04BC" w:rsidRPr="00B93493" w14:paraId="7C5E9FEA" w14:textId="77777777" w:rsidTr="002E7F54">
        <w:tc>
          <w:tcPr>
            <w:tcW w:w="1795" w:type="dxa"/>
            <w:shd w:val="clear" w:color="auto" w:fill="auto"/>
          </w:tcPr>
          <w:p w14:paraId="60DFB8F6" w14:textId="77777777" w:rsidR="00CF04BC" w:rsidRPr="00B93493" w:rsidRDefault="00CF04BC" w:rsidP="002E7F54">
            <w:pPr>
              <w:pStyle w:val="Tabletext"/>
              <w:keepNext/>
              <w:keepLines/>
            </w:pPr>
            <w:r w:rsidRPr="00B93493">
              <w:t xml:space="preserve">Below 1 GHz </w:t>
            </w:r>
          </w:p>
        </w:tc>
        <w:tc>
          <w:tcPr>
            <w:tcW w:w="1626" w:type="dxa"/>
            <w:shd w:val="clear" w:color="auto" w:fill="auto"/>
          </w:tcPr>
          <w:p w14:paraId="01C7973A" w14:textId="77777777" w:rsidR="00CF04BC" w:rsidRPr="00B93493" w:rsidRDefault="00CF04BC" w:rsidP="00345301">
            <w:pPr>
              <w:pStyle w:val="Tabletext"/>
              <w:keepNext/>
              <w:keepLines/>
              <w:jc w:val="left"/>
            </w:pPr>
            <w:r w:rsidRPr="00B93493">
              <w:t>1 000 or more inhabitants</w:t>
            </w:r>
          </w:p>
        </w:tc>
        <w:tc>
          <w:tcPr>
            <w:tcW w:w="3633" w:type="dxa"/>
            <w:vMerge w:val="restart"/>
            <w:shd w:val="clear" w:color="auto" w:fill="auto"/>
          </w:tcPr>
          <w:p w14:paraId="61014816" w14:textId="77777777" w:rsidR="00CF04BC" w:rsidRPr="00B93493" w:rsidRDefault="00CF04BC" w:rsidP="00345301">
            <w:pPr>
              <w:pStyle w:val="Tabletext"/>
              <w:keepNext/>
              <w:keepLines/>
              <w:jc w:val="left"/>
            </w:pPr>
            <w:r w:rsidRPr="00B93493">
              <w:t>Mobile services have to be provided in all settlements where there is a possibility to connect operator’s mobile network to the core network by means of the existing links with relevant capacity</w:t>
            </w:r>
          </w:p>
        </w:tc>
        <w:tc>
          <w:tcPr>
            <w:tcW w:w="2552" w:type="dxa"/>
            <w:vMerge w:val="restart"/>
            <w:shd w:val="clear" w:color="auto" w:fill="auto"/>
          </w:tcPr>
          <w:p w14:paraId="093760CB" w14:textId="77777777" w:rsidR="00CF04BC" w:rsidRPr="00B93493" w:rsidRDefault="00CF04BC" w:rsidP="002E7F54">
            <w:pPr>
              <w:pStyle w:val="Tabletext"/>
              <w:keepNext/>
              <w:keepLines/>
            </w:pPr>
            <w:r w:rsidRPr="00B93493">
              <w:t>Within one year – at least 10% of settlements</w:t>
            </w:r>
          </w:p>
          <w:p w14:paraId="2C890C56" w14:textId="77777777" w:rsidR="00CF04BC" w:rsidRPr="00B93493" w:rsidRDefault="00CF04BC" w:rsidP="002E7F54">
            <w:pPr>
              <w:pStyle w:val="Tabletext"/>
              <w:keepNext/>
              <w:keepLines/>
            </w:pPr>
            <w:r w:rsidRPr="00B93493">
              <w:t>Within two years – 25%</w:t>
            </w:r>
          </w:p>
          <w:p w14:paraId="20AB08C0" w14:textId="77777777" w:rsidR="00CF04BC" w:rsidRPr="00B93493" w:rsidRDefault="00CF04BC" w:rsidP="002E7F54">
            <w:pPr>
              <w:pStyle w:val="Tabletext"/>
              <w:keepNext/>
              <w:keepLines/>
            </w:pPr>
            <w:r w:rsidRPr="00B93493">
              <w:t xml:space="preserve">Within three years  – 40% </w:t>
            </w:r>
          </w:p>
          <w:p w14:paraId="5C7B687E" w14:textId="77777777" w:rsidR="00CF04BC" w:rsidRPr="00B93493" w:rsidRDefault="00CF04BC" w:rsidP="002E7F54">
            <w:pPr>
              <w:pStyle w:val="Tabletext"/>
              <w:keepNext/>
              <w:keepLines/>
            </w:pPr>
            <w:r w:rsidRPr="00B93493">
              <w:t>Within four years – 65%</w:t>
            </w:r>
          </w:p>
          <w:p w14:paraId="05649334" w14:textId="77777777" w:rsidR="00CF04BC" w:rsidRPr="00B93493" w:rsidRDefault="00CF04BC" w:rsidP="002E7F54">
            <w:pPr>
              <w:pStyle w:val="Tabletext"/>
              <w:keepNext/>
              <w:keepLines/>
            </w:pPr>
            <w:r w:rsidRPr="00B93493">
              <w:t>Within five years – 85%</w:t>
            </w:r>
          </w:p>
          <w:p w14:paraId="7E6FD4CE" w14:textId="77777777" w:rsidR="00CF04BC" w:rsidRPr="00B93493" w:rsidRDefault="00CF04BC" w:rsidP="002E7F54">
            <w:pPr>
              <w:pStyle w:val="Tabletext"/>
              <w:keepNext/>
              <w:keepLines/>
            </w:pPr>
            <w:r w:rsidRPr="00B93493">
              <w:t>Within six years – 95%</w:t>
            </w:r>
          </w:p>
          <w:p w14:paraId="2343D567" w14:textId="77777777" w:rsidR="00CF04BC" w:rsidRPr="00B93493" w:rsidRDefault="00CF04BC" w:rsidP="002E7F54">
            <w:pPr>
              <w:pStyle w:val="Tabletext"/>
              <w:keepNext/>
              <w:keepLines/>
            </w:pPr>
            <w:r w:rsidRPr="00B93493">
              <w:t>Within seven years – 99.9%.</w:t>
            </w:r>
          </w:p>
        </w:tc>
      </w:tr>
      <w:tr w:rsidR="00CF04BC" w:rsidRPr="00B93493" w14:paraId="79C3FB04" w14:textId="77777777" w:rsidTr="002E7F54">
        <w:tc>
          <w:tcPr>
            <w:tcW w:w="1795" w:type="dxa"/>
            <w:shd w:val="clear" w:color="auto" w:fill="auto"/>
          </w:tcPr>
          <w:p w14:paraId="5529C97F" w14:textId="77777777" w:rsidR="00CF04BC" w:rsidRPr="00B93493" w:rsidRDefault="00CF04BC" w:rsidP="002E7F54">
            <w:pPr>
              <w:pStyle w:val="Tabletext"/>
              <w:keepNext/>
              <w:keepLines/>
            </w:pPr>
            <w:r w:rsidRPr="00B93493">
              <w:t>1-2.2 GHz</w:t>
            </w:r>
          </w:p>
        </w:tc>
        <w:tc>
          <w:tcPr>
            <w:tcW w:w="1626" w:type="dxa"/>
            <w:shd w:val="clear" w:color="auto" w:fill="auto"/>
          </w:tcPr>
          <w:p w14:paraId="3F23DFC8" w14:textId="77777777" w:rsidR="00CF04BC" w:rsidRPr="00B93493" w:rsidRDefault="00CF04BC" w:rsidP="00345301">
            <w:pPr>
              <w:pStyle w:val="Tabletext"/>
              <w:keepNext/>
              <w:keepLines/>
              <w:jc w:val="left"/>
            </w:pPr>
            <w:r w:rsidRPr="00B93493">
              <w:t>2 000 or more inhabitants</w:t>
            </w:r>
          </w:p>
        </w:tc>
        <w:tc>
          <w:tcPr>
            <w:tcW w:w="3633" w:type="dxa"/>
            <w:vMerge/>
            <w:shd w:val="clear" w:color="auto" w:fill="auto"/>
          </w:tcPr>
          <w:p w14:paraId="5E4CE2E8" w14:textId="77777777" w:rsidR="00CF04BC" w:rsidRPr="00B93493" w:rsidRDefault="00CF04BC" w:rsidP="00345301">
            <w:pPr>
              <w:pStyle w:val="Tabletext"/>
              <w:keepNext/>
              <w:keepLines/>
              <w:jc w:val="left"/>
            </w:pPr>
          </w:p>
        </w:tc>
        <w:tc>
          <w:tcPr>
            <w:tcW w:w="2552" w:type="dxa"/>
            <w:vMerge/>
            <w:shd w:val="clear" w:color="auto" w:fill="auto"/>
          </w:tcPr>
          <w:p w14:paraId="46A9C3A9" w14:textId="77777777" w:rsidR="00CF04BC" w:rsidRPr="00B93493" w:rsidRDefault="00CF04BC" w:rsidP="002E7F54">
            <w:pPr>
              <w:pStyle w:val="Tabletext"/>
              <w:keepNext/>
              <w:keepLines/>
            </w:pPr>
          </w:p>
        </w:tc>
      </w:tr>
      <w:tr w:rsidR="00CF04BC" w:rsidRPr="00B93493" w14:paraId="502890A7" w14:textId="77777777" w:rsidTr="002E7F54">
        <w:tc>
          <w:tcPr>
            <w:tcW w:w="1795" w:type="dxa"/>
            <w:shd w:val="clear" w:color="auto" w:fill="auto"/>
          </w:tcPr>
          <w:p w14:paraId="6E81B360" w14:textId="77777777" w:rsidR="00CF04BC" w:rsidRPr="00B93493" w:rsidRDefault="00CF04BC" w:rsidP="002E7F54">
            <w:pPr>
              <w:pStyle w:val="Tabletext"/>
              <w:keepNext/>
              <w:keepLines/>
            </w:pPr>
            <w:r w:rsidRPr="00B93493">
              <w:t>2.2-3 GHz</w:t>
            </w:r>
          </w:p>
        </w:tc>
        <w:tc>
          <w:tcPr>
            <w:tcW w:w="1626" w:type="dxa"/>
            <w:shd w:val="clear" w:color="auto" w:fill="auto"/>
          </w:tcPr>
          <w:p w14:paraId="00CB4B83" w14:textId="77777777" w:rsidR="00CF04BC" w:rsidRPr="00B93493" w:rsidRDefault="00CF04BC" w:rsidP="00345301">
            <w:pPr>
              <w:pStyle w:val="Tabletext"/>
              <w:keepNext/>
              <w:keepLines/>
              <w:jc w:val="left"/>
            </w:pPr>
            <w:r w:rsidRPr="00B93493">
              <w:t xml:space="preserve">10 000 or more inhabitants </w:t>
            </w:r>
          </w:p>
        </w:tc>
        <w:tc>
          <w:tcPr>
            <w:tcW w:w="3633" w:type="dxa"/>
            <w:shd w:val="clear" w:color="auto" w:fill="auto"/>
          </w:tcPr>
          <w:p w14:paraId="121C87C8" w14:textId="77777777" w:rsidR="00CF04BC" w:rsidRPr="00B93493" w:rsidRDefault="00CF04BC" w:rsidP="00345301">
            <w:pPr>
              <w:pStyle w:val="Tabletext"/>
              <w:keepNext/>
              <w:keepLines/>
              <w:jc w:val="left"/>
            </w:pPr>
            <w:r w:rsidRPr="00B93493">
              <w:t>–</w:t>
            </w:r>
          </w:p>
        </w:tc>
        <w:tc>
          <w:tcPr>
            <w:tcW w:w="2552" w:type="dxa"/>
            <w:vMerge/>
            <w:shd w:val="clear" w:color="auto" w:fill="auto"/>
          </w:tcPr>
          <w:p w14:paraId="6B91B70E" w14:textId="77777777" w:rsidR="00CF04BC" w:rsidRPr="00B93493" w:rsidRDefault="00CF04BC" w:rsidP="002E7F54">
            <w:pPr>
              <w:pStyle w:val="Tabletext"/>
              <w:keepNext/>
              <w:keepLines/>
            </w:pPr>
          </w:p>
        </w:tc>
      </w:tr>
      <w:tr w:rsidR="00CF04BC" w:rsidRPr="00B93493" w14:paraId="46B40B79" w14:textId="77777777" w:rsidTr="002E7F54">
        <w:tc>
          <w:tcPr>
            <w:tcW w:w="1795" w:type="dxa"/>
            <w:shd w:val="clear" w:color="auto" w:fill="auto"/>
          </w:tcPr>
          <w:p w14:paraId="3F4242F1" w14:textId="77777777" w:rsidR="00CF04BC" w:rsidRPr="00B93493" w:rsidRDefault="00CF04BC" w:rsidP="002E7F54">
            <w:pPr>
              <w:pStyle w:val="Tabletext"/>
              <w:keepNext/>
              <w:keepLines/>
            </w:pPr>
            <w:r w:rsidRPr="00B93493">
              <w:t>Any</w:t>
            </w:r>
          </w:p>
        </w:tc>
        <w:tc>
          <w:tcPr>
            <w:tcW w:w="1626" w:type="dxa"/>
            <w:shd w:val="clear" w:color="auto" w:fill="auto"/>
          </w:tcPr>
          <w:p w14:paraId="6C0EDD15" w14:textId="77777777" w:rsidR="00CF04BC" w:rsidRPr="00B93493" w:rsidRDefault="00CF04BC" w:rsidP="00345301">
            <w:pPr>
              <w:pStyle w:val="Tabletext"/>
              <w:keepNext/>
              <w:keepLines/>
              <w:jc w:val="left"/>
            </w:pPr>
            <w:r w:rsidRPr="00B93493">
              <w:t>10 000 or more inhabitants</w:t>
            </w:r>
          </w:p>
        </w:tc>
        <w:tc>
          <w:tcPr>
            <w:tcW w:w="3633" w:type="dxa"/>
            <w:shd w:val="clear" w:color="auto" w:fill="auto"/>
          </w:tcPr>
          <w:p w14:paraId="11445E0D" w14:textId="77777777" w:rsidR="00CF04BC" w:rsidRPr="00B93493" w:rsidRDefault="00CF04BC" w:rsidP="00345301">
            <w:pPr>
              <w:pStyle w:val="Tabletext"/>
              <w:keepNext/>
              <w:keepLines/>
              <w:jc w:val="left"/>
            </w:pPr>
            <w:r w:rsidRPr="00B93493">
              <w:t>Use of frequency bands with modern technologies not referred to in earlier decisions on allotment of frequency bands</w:t>
            </w:r>
          </w:p>
        </w:tc>
        <w:tc>
          <w:tcPr>
            <w:tcW w:w="2552" w:type="dxa"/>
            <w:vMerge/>
            <w:shd w:val="clear" w:color="auto" w:fill="auto"/>
          </w:tcPr>
          <w:p w14:paraId="06D8D019" w14:textId="77777777" w:rsidR="00CF04BC" w:rsidRPr="00B93493" w:rsidRDefault="00CF04BC" w:rsidP="002E7F54">
            <w:pPr>
              <w:pStyle w:val="Tabletext"/>
              <w:keepNext/>
              <w:keepLines/>
            </w:pPr>
          </w:p>
        </w:tc>
      </w:tr>
    </w:tbl>
    <w:p w14:paraId="04290A3C" w14:textId="77777777" w:rsidR="00CF04BC" w:rsidRPr="00B93493" w:rsidRDefault="00CF04BC" w:rsidP="00CF04BC">
      <w:pPr>
        <w:pStyle w:val="Tablefin"/>
      </w:pPr>
    </w:p>
    <w:p w14:paraId="357A5B24" w14:textId="77777777" w:rsidR="00CF04BC" w:rsidRPr="00B93493" w:rsidRDefault="00CF04BC" w:rsidP="00CF04BC">
      <w:pPr>
        <w:rPr>
          <w:szCs w:val="24"/>
        </w:rPr>
      </w:pPr>
      <w:r w:rsidRPr="00B93493">
        <w:rPr>
          <w:szCs w:val="24"/>
        </w:rPr>
        <w:t>In February 2016, the second frequency auction was held in the Russian Federation. A total of 82 licenses for mobile radiotelephony services, data transmission, and telematics services using radiocommunication systems based on LTE and its subsequent modifications, and using spectrum in the band 2 500</w:t>
      </w:r>
      <w:r w:rsidRPr="00B93493">
        <w:rPr>
          <w:szCs w:val="24"/>
        </w:rPr>
        <w:noBreakHyphen/>
        <w:t>2 690 MHz were put up for auction. This included one federal license and 81 regional licenses. Table 1</w:t>
      </w:r>
      <w:r>
        <w:rPr>
          <w:rFonts w:hint="eastAsia"/>
          <w:szCs w:val="24"/>
          <w:lang w:eastAsia="zh-CN"/>
        </w:rPr>
        <w:t>9</w:t>
      </w:r>
      <w:r w:rsidRPr="00B93493">
        <w:rPr>
          <w:szCs w:val="24"/>
        </w:rPr>
        <w:t xml:space="preserve"> shows the reserve prices and lot prices based on the outcome of the bids.</w:t>
      </w:r>
    </w:p>
    <w:p w14:paraId="32074886" w14:textId="77777777" w:rsidR="00CF04BC" w:rsidRPr="00B93493" w:rsidRDefault="00CF04BC" w:rsidP="00CF04BC">
      <w:pPr>
        <w:pStyle w:val="TableNo"/>
        <w:rPr>
          <w:lang w:eastAsia="zh-CN"/>
        </w:rPr>
      </w:pPr>
      <w:r w:rsidRPr="00B93493">
        <w:t>TABLE 1</w:t>
      </w:r>
      <w:r>
        <w:rPr>
          <w:rFonts w:hint="eastAsia"/>
          <w:lang w:eastAsia="zh-CN"/>
        </w:rPr>
        <w:t>9</w:t>
      </w:r>
    </w:p>
    <w:tbl>
      <w:tblPr>
        <w:tblW w:w="9639" w:type="dxa"/>
        <w:jc w:val="center"/>
        <w:tblLook w:val="04A0" w:firstRow="1" w:lastRow="0" w:firstColumn="1" w:lastColumn="0" w:noHBand="0" w:noVBand="1"/>
      </w:tblPr>
      <w:tblGrid>
        <w:gridCol w:w="840"/>
        <w:gridCol w:w="4122"/>
        <w:gridCol w:w="1620"/>
        <w:gridCol w:w="1511"/>
        <w:gridCol w:w="1546"/>
      </w:tblGrid>
      <w:tr w:rsidR="00CF04BC" w:rsidRPr="00B93493" w14:paraId="1F198914" w14:textId="77777777" w:rsidTr="00345301">
        <w:trPr>
          <w:cantSplit/>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C760B5A" w14:textId="77777777" w:rsidR="00CF04BC" w:rsidRPr="00B93493" w:rsidRDefault="00CF04BC" w:rsidP="002E7F54">
            <w:pPr>
              <w:pStyle w:val="Tablehead"/>
            </w:pPr>
            <w:r w:rsidRPr="00B93493">
              <w:t>Lot No.</w:t>
            </w:r>
          </w:p>
        </w:tc>
        <w:tc>
          <w:tcPr>
            <w:tcW w:w="4122" w:type="dxa"/>
            <w:tcBorders>
              <w:top w:val="single" w:sz="4" w:space="0" w:color="auto"/>
              <w:left w:val="nil"/>
              <w:bottom w:val="single" w:sz="4" w:space="0" w:color="auto"/>
              <w:right w:val="single" w:sz="4" w:space="0" w:color="auto"/>
            </w:tcBorders>
            <w:shd w:val="clear" w:color="auto" w:fill="auto"/>
            <w:vAlign w:val="center"/>
          </w:tcPr>
          <w:p w14:paraId="379E7142" w14:textId="77777777" w:rsidR="00CF04BC" w:rsidRPr="00B93493" w:rsidRDefault="00CF04BC" w:rsidP="002E7F54">
            <w:pPr>
              <w:pStyle w:val="Tablehead"/>
            </w:pPr>
            <w:r w:rsidRPr="00B93493">
              <w:t>Territory of the Russian Federation</w:t>
            </w:r>
          </w:p>
        </w:tc>
        <w:tc>
          <w:tcPr>
            <w:tcW w:w="1701" w:type="dxa"/>
            <w:tcBorders>
              <w:top w:val="single" w:sz="4" w:space="0" w:color="auto"/>
              <w:left w:val="nil"/>
              <w:bottom w:val="single" w:sz="4" w:space="0" w:color="auto"/>
              <w:right w:val="single" w:sz="4" w:space="0" w:color="auto"/>
            </w:tcBorders>
            <w:vAlign w:val="center"/>
          </w:tcPr>
          <w:p w14:paraId="546BCA97" w14:textId="77777777" w:rsidR="00CF04BC" w:rsidRPr="00B93493" w:rsidRDefault="00CF04BC" w:rsidP="002E7F54">
            <w:pPr>
              <w:pStyle w:val="Tablehead"/>
            </w:pPr>
            <w:r w:rsidRPr="00B93493">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4647E5FC" w14:textId="3E97B6D9" w:rsidR="00CF04BC" w:rsidRPr="00B93493" w:rsidRDefault="00CF04BC" w:rsidP="002E7F54">
            <w:pPr>
              <w:pStyle w:val="Tablehead"/>
            </w:pPr>
            <w:r w:rsidRPr="00B93493">
              <w:t xml:space="preserve">Reserve price (million </w:t>
            </w:r>
            <w:r w:rsidR="00092428">
              <w:rPr>
                <w:rFonts w:hint="eastAsia"/>
                <w:lang w:eastAsia="zh-CN"/>
              </w:rPr>
              <w:t>Roubles</w:t>
            </w:r>
            <w:r w:rsidRPr="00B93493">
              <w:t>)</w:t>
            </w:r>
          </w:p>
        </w:tc>
        <w:tc>
          <w:tcPr>
            <w:tcW w:w="1597" w:type="dxa"/>
            <w:tcBorders>
              <w:top w:val="single" w:sz="4" w:space="0" w:color="auto"/>
              <w:left w:val="nil"/>
              <w:bottom w:val="single" w:sz="4" w:space="0" w:color="auto"/>
              <w:right w:val="single" w:sz="4" w:space="0" w:color="auto"/>
            </w:tcBorders>
            <w:vAlign w:val="center"/>
          </w:tcPr>
          <w:p w14:paraId="4F4EDA4D" w14:textId="33FE68F8" w:rsidR="00CF04BC" w:rsidRPr="00B93493" w:rsidRDefault="00CF04BC" w:rsidP="002E7F54">
            <w:pPr>
              <w:pStyle w:val="Tablehead"/>
            </w:pPr>
            <w:r w:rsidRPr="00B93493">
              <w:t xml:space="preserve">Lot price based on bidding results (million </w:t>
            </w:r>
            <w:r w:rsidR="00092428">
              <w:rPr>
                <w:rFonts w:hint="eastAsia"/>
                <w:lang w:eastAsia="zh-CN"/>
              </w:rPr>
              <w:t>Roubles</w:t>
            </w:r>
            <w:r w:rsidRPr="00B93493">
              <w:t>)</w:t>
            </w:r>
          </w:p>
        </w:tc>
      </w:tr>
      <w:tr w:rsidR="00CF04BC" w:rsidRPr="00B93493" w14:paraId="5856EF2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vAlign w:val="center"/>
          </w:tcPr>
          <w:p w14:paraId="31AC7439" w14:textId="77777777" w:rsidR="00CF04BC" w:rsidRPr="00B93493" w:rsidRDefault="00CF04BC" w:rsidP="002E7F54">
            <w:pPr>
              <w:pStyle w:val="Tabletext"/>
              <w:jc w:val="center"/>
            </w:pPr>
            <w:r w:rsidRPr="00B93493">
              <w:t>1</w:t>
            </w:r>
          </w:p>
        </w:tc>
        <w:tc>
          <w:tcPr>
            <w:tcW w:w="4122" w:type="dxa"/>
            <w:tcBorders>
              <w:top w:val="nil"/>
              <w:left w:val="nil"/>
              <w:bottom w:val="single" w:sz="4" w:space="0" w:color="auto"/>
              <w:right w:val="single" w:sz="4" w:space="0" w:color="auto"/>
            </w:tcBorders>
            <w:shd w:val="clear" w:color="auto" w:fill="auto"/>
            <w:vAlign w:val="center"/>
          </w:tcPr>
          <w:p w14:paraId="3FF36BC6" w14:textId="77777777" w:rsidR="00CF04BC" w:rsidRPr="00B93493" w:rsidRDefault="00CF04BC" w:rsidP="002E7F54">
            <w:pPr>
              <w:pStyle w:val="Tabletext"/>
              <w:jc w:val="center"/>
            </w:pPr>
            <w:r w:rsidRPr="00B93493">
              <w:t xml:space="preserve">Territory of the Russian Federation </w:t>
            </w:r>
          </w:p>
        </w:tc>
        <w:tc>
          <w:tcPr>
            <w:tcW w:w="1701" w:type="dxa"/>
            <w:tcBorders>
              <w:top w:val="single" w:sz="4" w:space="0" w:color="auto"/>
              <w:left w:val="nil"/>
              <w:bottom w:val="single" w:sz="4" w:space="0" w:color="auto"/>
              <w:right w:val="single" w:sz="4" w:space="0" w:color="auto"/>
            </w:tcBorders>
            <w:vAlign w:val="center"/>
          </w:tcPr>
          <w:p w14:paraId="787A663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vAlign w:val="center"/>
          </w:tcPr>
          <w:p w14:paraId="0AAF48C9" w14:textId="77777777" w:rsidR="00CF04BC" w:rsidRPr="00B93493" w:rsidRDefault="00CF04BC" w:rsidP="002E7F54">
            <w:pPr>
              <w:pStyle w:val="Tabletext"/>
              <w:jc w:val="center"/>
            </w:pPr>
            <w:r w:rsidRPr="00B93493">
              <w:t>2 939.4</w:t>
            </w:r>
          </w:p>
        </w:tc>
        <w:tc>
          <w:tcPr>
            <w:tcW w:w="1597" w:type="dxa"/>
            <w:tcBorders>
              <w:top w:val="nil"/>
              <w:left w:val="nil"/>
              <w:bottom w:val="single" w:sz="4" w:space="0" w:color="auto"/>
              <w:right w:val="single" w:sz="4" w:space="0" w:color="auto"/>
            </w:tcBorders>
            <w:vAlign w:val="center"/>
          </w:tcPr>
          <w:p w14:paraId="0187F88D" w14:textId="77777777" w:rsidR="00CF04BC" w:rsidRPr="00B93493" w:rsidRDefault="00CF04BC" w:rsidP="002E7F54">
            <w:pPr>
              <w:pStyle w:val="Tabletext"/>
              <w:jc w:val="center"/>
            </w:pPr>
            <w:r w:rsidRPr="00B93493">
              <w:t>3 968.19</w:t>
            </w:r>
          </w:p>
        </w:tc>
      </w:tr>
      <w:tr w:rsidR="00CF04BC" w:rsidRPr="00B93493" w14:paraId="5D6E1247"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A223C6F" w14:textId="77777777" w:rsidR="00CF04BC" w:rsidRPr="00B93493" w:rsidRDefault="00CF04BC" w:rsidP="002E7F54">
            <w:pPr>
              <w:pStyle w:val="Tabletext"/>
              <w:jc w:val="center"/>
            </w:pPr>
            <w:r w:rsidRPr="00B93493">
              <w:t>2</w:t>
            </w:r>
          </w:p>
        </w:tc>
        <w:tc>
          <w:tcPr>
            <w:tcW w:w="4122" w:type="dxa"/>
            <w:tcBorders>
              <w:top w:val="nil"/>
              <w:left w:val="nil"/>
              <w:bottom w:val="single" w:sz="4" w:space="0" w:color="auto"/>
              <w:right w:val="single" w:sz="4" w:space="0" w:color="auto"/>
            </w:tcBorders>
            <w:shd w:val="clear" w:color="auto" w:fill="auto"/>
            <w:noWrap/>
            <w:vAlign w:val="center"/>
          </w:tcPr>
          <w:p w14:paraId="2E753E46" w14:textId="77777777" w:rsidR="00CF04BC" w:rsidRPr="00B93493" w:rsidRDefault="00CF04BC" w:rsidP="002E7F54">
            <w:pPr>
              <w:pStyle w:val="Tabletext"/>
              <w:jc w:val="center"/>
            </w:pPr>
            <w:r w:rsidRPr="00B93493">
              <w:t xml:space="preserve">Altai Krai </w:t>
            </w:r>
          </w:p>
        </w:tc>
        <w:tc>
          <w:tcPr>
            <w:tcW w:w="1701" w:type="dxa"/>
            <w:tcBorders>
              <w:top w:val="single" w:sz="4" w:space="0" w:color="auto"/>
              <w:left w:val="nil"/>
              <w:bottom w:val="single" w:sz="4" w:space="0" w:color="auto"/>
              <w:right w:val="single" w:sz="4" w:space="0" w:color="auto"/>
            </w:tcBorders>
          </w:tcPr>
          <w:p w14:paraId="62E2D60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3389E49" w14:textId="77777777" w:rsidR="00CF04BC" w:rsidRPr="00B93493" w:rsidRDefault="00CF04BC" w:rsidP="002E7F54">
            <w:pPr>
              <w:pStyle w:val="Tabletext"/>
              <w:jc w:val="center"/>
            </w:pPr>
            <w:r w:rsidRPr="00B93493">
              <w:t>49.7</w:t>
            </w:r>
          </w:p>
        </w:tc>
        <w:tc>
          <w:tcPr>
            <w:tcW w:w="1597" w:type="dxa"/>
            <w:tcBorders>
              <w:top w:val="nil"/>
              <w:left w:val="nil"/>
              <w:bottom w:val="single" w:sz="4" w:space="0" w:color="auto"/>
              <w:right w:val="single" w:sz="4" w:space="0" w:color="auto"/>
            </w:tcBorders>
            <w:vAlign w:val="center"/>
          </w:tcPr>
          <w:p w14:paraId="1E1D19A8" w14:textId="77777777" w:rsidR="00CF04BC" w:rsidRPr="00B93493" w:rsidRDefault="00CF04BC" w:rsidP="002E7F54">
            <w:pPr>
              <w:pStyle w:val="Tabletext"/>
              <w:jc w:val="center"/>
            </w:pPr>
            <w:r w:rsidRPr="00B93493">
              <w:t>57.155</w:t>
            </w:r>
          </w:p>
        </w:tc>
      </w:tr>
      <w:tr w:rsidR="00CF04BC" w:rsidRPr="00B93493" w14:paraId="66B6BD1F"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2C01C3C" w14:textId="77777777" w:rsidR="00CF04BC" w:rsidRPr="00B93493" w:rsidRDefault="00CF04BC" w:rsidP="002E7F54">
            <w:pPr>
              <w:pStyle w:val="Tabletext"/>
              <w:jc w:val="center"/>
            </w:pPr>
            <w:r w:rsidRPr="00B93493">
              <w:t>3</w:t>
            </w:r>
          </w:p>
        </w:tc>
        <w:tc>
          <w:tcPr>
            <w:tcW w:w="4122" w:type="dxa"/>
            <w:tcBorders>
              <w:top w:val="nil"/>
              <w:left w:val="nil"/>
              <w:bottom w:val="single" w:sz="4" w:space="0" w:color="auto"/>
              <w:right w:val="single" w:sz="4" w:space="0" w:color="auto"/>
            </w:tcBorders>
            <w:shd w:val="clear" w:color="auto" w:fill="auto"/>
            <w:noWrap/>
            <w:vAlign w:val="center"/>
          </w:tcPr>
          <w:p w14:paraId="7F081FF5" w14:textId="77777777" w:rsidR="00CF04BC" w:rsidRPr="00B93493" w:rsidRDefault="00CF04BC" w:rsidP="002E7F54">
            <w:pPr>
              <w:pStyle w:val="Tabletext"/>
              <w:jc w:val="center"/>
            </w:pPr>
            <w:r w:rsidRPr="00B93493">
              <w:t>Amur Oblast</w:t>
            </w:r>
          </w:p>
        </w:tc>
        <w:tc>
          <w:tcPr>
            <w:tcW w:w="1701" w:type="dxa"/>
            <w:tcBorders>
              <w:top w:val="single" w:sz="4" w:space="0" w:color="auto"/>
              <w:left w:val="nil"/>
              <w:bottom w:val="single" w:sz="4" w:space="0" w:color="auto"/>
              <w:right w:val="single" w:sz="4" w:space="0" w:color="auto"/>
            </w:tcBorders>
          </w:tcPr>
          <w:p w14:paraId="75BEE50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7641987" w14:textId="77777777" w:rsidR="00CF04BC" w:rsidRPr="00B93493" w:rsidRDefault="00CF04BC" w:rsidP="002E7F54">
            <w:pPr>
              <w:pStyle w:val="Tabletext"/>
              <w:jc w:val="center"/>
            </w:pPr>
            <w:r w:rsidRPr="00B93493">
              <w:t>19.6</w:t>
            </w:r>
          </w:p>
        </w:tc>
        <w:tc>
          <w:tcPr>
            <w:tcW w:w="1597" w:type="dxa"/>
            <w:tcBorders>
              <w:top w:val="nil"/>
              <w:left w:val="nil"/>
              <w:bottom w:val="single" w:sz="4" w:space="0" w:color="auto"/>
              <w:right w:val="single" w:sz="4" w:space="0" w:color="auto"/>
            </w:tcBorders>
            <w:vAlign w:val="center"/>
          </w:tcPr>
          <w:p w14:paraId="16341282" w14:textId="77777777" w:rsidR="00CF04BC" w:rsidRPr="00B93493" w:rsidRDefault="00CF04BC" w:rsidP="002E7F54">
            <w:pPr>
              <w:pStyle w:val="Tabletext"/>
              <w:jc w:val="center"/>
            </w:pPr>
            <w:r w:rsidRPr="00B93493">
              <w:t>20.58</w:t>
            </w:r>
          </w:p>
        </w:tc>
      </w:tr>
      <w:tr w:rsidR="00CF04BC" w:rsidRPr="00B93493" w14:paraId="6D099AEF"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B823B70" w14:textId="77777777" w:rsidR="00CF04BC" w:rsidRPr="00B93493" w:rsidRDefault="00CF04BC" w:rsidP="002E7F54">
            <w:pPr>
              <w:pStyle w:val="Tabletext"/>
              <w:jc w:val="center"/>
            </w:pPr>
            <w:r w:rsidRPr="00B93493">
              <w:t>4</w:t>
            </w:r>
          </w:p>
        </w:tc>
        <w:tc>
          <w:tcPr>
            <w:tcW w:w="4122" w:type="dxa"/>
            <w:tcBorders>
              <w:top w:val="nil"/>
              <w:left w:val="nil"/>
              <w:bottom w:val="single" w:sz="4" w:space="0" w:color="auto"/>
              <w:right w:val="single" w:sz="4" w:space="0" w:color="auto"/>
            </w:tcBorders>
            <w:shd w:val="clear" w:color="auto" w:fill="auto"/>
            <w:noWrap/>
            <w:vAlign w:val="center"/>
          </w:tcPr>
          <w:p w14:paraId="1E2EDDC1" w14:textId="77777777" w:rsidR="00CF04BC" w:rsidRPr="00B93493" w:rsidRDefault="00CF04BC" w:rsidP="002E7F54">
            <w:pPr>
              <w:pStyle w:val="Tabletext"/>
              <w:jc w:val="center"/>
            </w:pPr>
            <w:r w:rsidRPr="00B93493">
              <w:t>Archangelsk Oblast</w:t>
            </w:r>
          </w:p>
        </w:tc>
        <w:tc>
          <w:tcPr>
            <w:tcW w:w="1701" w:type="dxa"/>
            <w:tcBorders>
              <w:top w:val="single" w:sz="4" w:space="0" w:color="auto"/>
              <w:left w:val="nil"/>
              <w:bottom w:val="single" w:sz="4" w:space="0" w:color="auto"/>
              <w:right w:val="single" w:sz="4" w:space="0" w:color="auto"/>
            </w:tcBorders>
          </w:tcPr>
          <w:p w14:paraId="06FDF315"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763286C" w14:textId="77777777" w:rsidR="00CF04BC" w:rsidRPr="00B93493" w:rsidRDefault="00CF04BC" w:rsidP="002E7F54">
            <w:pPr>
              <w:pStyle w:val="Tabletext"/>
              <w:jc w:val="center"/>
            </w:pPr>
            <w:r w:rsidRPr="00B93493">
              <w:t>28.3</w:t>
            </w:r>
          </w:p>
        </w:tc>
        <w:tc>
          <w:tcPr>
            <w:tcW w:w="1597" w:type="dxa"/>
            <w:tcBorders>
              <w:top w:val="nil"/>
              <w:left w:val="nil"/>
              <w:bottom w:val="single" w:sz="4" w:space="0" w:color="auto"/>
              <w:right w:val="single" w:sz="4" w:space="0" w:color="auto"/>
            </w:tcBorders>
            <w:vAlign w:val="center"/>
          </w:tcPr>
          <w:p w14:paraId="12128F21" w14:textId="77777777" w:rsidR="00CF04BC" w:rsidRPr="00B93493" w:rsidRDefault="00CF04BC" w:rsidP="002E7F54">
            <w:pPr>
              <w:pStyle w:val="Tabletext"/>
              <w:jc w:val="center"/>
            </w:pPr>
            <w:r w:rsidRPr="00B93493">
              <w:t>32.545</w:t>
            </w:r>
          </w:p>
        </w:tc>
      </w:tr>
      <w:tr w:rsidR="00CF04BC" w:rsidRPr="00B93493" w14:paraId="0BC43856"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489BAA3" w14:textId="77777777" w:rsidR="00CF04BC" w:rsidRPr="00B93493" w:rsidRDefault="00CF04BC" w:rsidP="002E7F54">
            <w:pPr>
              <w:pStyle w:val="Tabletext"/>
              <w:jc w:val="center"/>
            </w:pPr>
            <w:r w:rsidRPr="00B93493">
              <w:t>5</w:t>
            </w:r>
          </w:p>
        </w:tc>
        <w:tc>
          <w:tcPr>
            <w:tcW w:w="4122" w:type="dxa"/>
            <w:tcBorders>
              <w:top w:val="nil"/>
              <w:left w:val="nil"/>
              <w:bottom w:val="single" w:sz="4" w:space="0" w:color="auto"/>
              <w:right w:val="single" w:sz="4" w:space="0" w:color="auto"/>
            </w:tcBorders>
            <w:shd w:val="clear" w:color="auto" w:fill="auto"/>
            <w:noWrap/>
            <w:vAlign w:val="center"/>
          </w:tcPr>
          <w:p w14:paraId="52C9C3C6" w14:textId="77777777" w:rsidR="00CF04BC" w:rsidRPr="00B93493" w:rsidRDefault="00CF04BC" w:rsidP="002E7F54">
            <w:pPr>
              <w:pStyle w:val="Tabletext"/>
              <w:jc w:val="center"/>
            </w:pPr>
            <w:r w:rsidRPr="00B93493">
              <w:t>Astrakhan Oblast</w:t>
            </w:r>
          </w:p>
        </w:tc>
        <w:tc>
          <w:tcPr>
            <w:tcW w:w="1701" w:type="dxa"/>
            <w:tcBorders>
              <w:top w:val="single" w:sz="4" w:space="0" w:color="auto"/>
              <w:left w:val="nil"/>
              <w:bottom w:val="single" w:sz="4" w:space="0" w:color="auto"/>
              <w:right w:val="single" w:sz="4" w:space="0" w:color="auto"/>
            </w:tcBorders>
          </w:tcPr>
          <w:p w14:paraId="2168647D"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CE3D5EB" w14:textId="77777777" w:rsidR="00CF04BC" w:rsidRPr="00B93493" w:rsidRDefault="00CF04BC" w:rsidP="002E7F54">
            <w:pPr>
              <w:pStyle w:val="Tabletext"/>
              <w:jc w:val="center"/>
            </w:pPr>
            <w:r w:rsidRPr="00B93493">
              <w:t>22.3</w:t>
            </w:r>
          </w:p>
        </w:tc>
        <w:tc>
          <w:tcPr>
            <w:tcW w:w="1597" w:type="dxa"/>
            <w:tcBorders>
              <w:top w:val="nil"/>
              <w:left w:val="nil"/>
              <w:bottom w:val="single" w:sz="4" w:space="0" w:color="auto"/>
              <w:right w:val="single" w:sz="4" w:space="0" w:color="auto"/>
            </w:tcBorders>
            <w:vAlign w:val="center"/>
          </w:tcPr>
          <w:p w14:paraId="0B926F4B" w14:textId="77777777" w:rsidR="00CF04BC" w:rsidRPr="00B93493" w:rsidRDefault="00CF04BC" w:rsidP="002E7F54">
            <w:pPr>
              <w:pStyle w:val="Tabletext"/>
              <w:jc w:val="center"/>
            </w:pPr>
            <w:r w:rsidRPr="00B93493">
              <w:t>25.645</w:t>
            </w:r>
          </w:p>
        </w:tc>
      </w:tr>
      <w:tr w:rsidR="00CF04BC" w:rsidRPr="00B93493" w14:paraId="0E459A16"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1B1F58A" w14:textId="77777777" w:rsidR="00CF04BC" w:rsidRPr="00B93493" w:rsidRDefault="00CF04BC" w:rsidP="002E7F54">
            <w:pPr>
              <w:pStyle w:val="Tabletext"/>
              <w:jc w:val="center"/>
            </w:pPr>
            <w:r w:rsidRPr="00B93493">
              <w:t>6</w:t>
            </w:r>
          </w:p>
        </w:tc>
        <w:tc>
          <w:tcPr>
            <w:tcW w:w="4122" w:type="dxa"/>
            <w:tcBorders>
              <w:top w:val="nil"/>
              <w:left w:val="nil"/>
              <w:bottom w:val="single" w:sz="4" w:space="0" w:color="auto"/>
              <w:right w:val="single" w:sz="4" w:space="0" w:color="auto"/>
            </w:tcBorders>
            <w:shd w:val="clear" w:color="auto" w:fill="auto"/>
            <w:noWrap/>
            <w:vAlign w:val="center"/>
          </w:tcPr>
          <w:p w14:paraId="23256EC0" w14:textId="77777777" w:rsidR="00CF04BC" w:rsidRPr="00B93493" w:rsidRDefault="00CF04BC" w:rsidP="002E7F54">
            <w:pPr>
              <w:pStyle w:val="Tabletext"/>
              <w:jc w:val="center"/>
            </w:pPr>
            <w:r w:rsidRPr="00B93493">
              <w:t xml:space="preserve">Belgorod Oblast  </w:t>
            </w:r>
          </w:p>
        </w:tc>
        <w:tc>
          <w:tcPr>
            <w:tcW w:w="1701" w:type="dxa"/>
            <w:tcBorders>
              <w:top w:val="single" w:sz="4" w:space="0" w:color="auto"/>
              <w:left w:val="nil"/>
              <w:bottom w:val="single" w:sz="4" w:space="0" w:color="auto"/>
              <w:right w:val="single" w:sz="4" w:space="0" w:color="auto"/>
            </w:tcBorders>
          </w:tcPr>
          <w:p w14:paraId="6E167765"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EEF3EA5" w14:textId="77777777" w:rsidR="00CF04BC" w:rsidRPr="00B93493" w:rsidRDefault="00CF04BC" w:rsidP="002E7F54">
            <w:pPr>
              <w:pStyle w:val="Tabletext"/>
              <w:jc w:val="center"/>
            </w:pPr>
            <w:r w:rsidRPr="00B93493">
              <w:t>34.6</w:t>
            </w:r>
          </w:p>
        </w:tc>
        <w:tc>
          <w:tcPr>
            <w:tcW w:w="1597" w:type="dxa"/>
            <w:tcBorders>
              <w:top w:val="nil"/>
              <w:left w:val="nil"/>
              <w:bottom w:val="single" w:sz="4" w:space="0" w:color="auto"/>
              <w:right w:val="single" w:sz="4" w:space="0" w:color="auto"/>
            </w:tcBorders>
            <w:vAlign w:val="center"/>
          </w:tcPr>
          <w:p w14:paraId="6B4341F1" w14:textId="77777777" w:rsidR="00CF04BC" w:rsidRPr="00B93493" w:rsidRDefault="00CF04BC" w:rsidP="002E7F54">
            <w:pPr>
              <w:pStyle w:val="Tabletext"/>
              <w:jc w:val="center"/>
            </w:pPr>
            <w:r w:rsidRPr="00B93493">
              <w:t>38.06</w:t>
            </w:r>
          </w:p>
        </w:tc>
      </w:tr>
      <w:tr w:rsidR="00CF04BC" w:rsidRPr="00B93493" w14:paraId="33B314A8"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F350840" w14:textId="77777777" w:rsidR="00CF04BC" w:rsidRPr="00B93493" w:rsidRDefault="00CF04BC" w:rsidP="002E7F54">
            <w:pPr>
              <w:pStyle w:val="Tabletext"/>
              <w:jc w:val="center"/>
            </w:pPr>
            <w:r w:rsidRPr="00B93493">
              <w:t>7</w:t>
            </w:r>
          </w:p>
        </w:tc>
        <w:tc>
          <w:tcPr>
            <w:tcW w:w="4122" w:type="dxa"/>
            <w:tcBorders>
              <w:top w:val="nil"/>
              <w:left w:val="nil"/>
              <w:bottom w:val="single" w:sz="4" w:space="0" w:color="auto"/>
              <w:right w:val="single" w:sz="4" w:space="0" w:color="auto"/>
            </w:tcBorders>
            <w:shd w:val="clear" w:color="auto" w:fill="auto"/>
            <w:noWrap/>
            <w:vAlign w:val="center"/>
          </w:tcPr>
          <w:p w14:paraId="508A32F3" w14:textId="77777777" w:rsidR="00CF04BC" w:rsidRPr="00B93493" w:rsidRDefault="00CF04BC" w:rsidP="002E7F54">
            <w:pPr>
              <w:pStyle w:val="Tabletext"/>
              <w:jc w:val="center"/>
            </w:pPr>
            <w:r w:rsidRPr="00B93493">
              <w:t>Bryansk Oblast</w:t>
            </w:r>
          </w:p>
        </w:tc>
        <w:tc>
          <w:tcPr>
            <w:tcW w:w="1701" w:type="dxa"/>
            <w:tcBorders>
              <w:top w:val="single" w:sz="4" w:space="0" w:color="auto"/>
              <w:left w:val="nil"/>
              <w:bottom w:val="single" w:sz="4" w:space="0" w:color="auto"/>
              <w:right w:val="single" w:sz="4" w:space="0" w:color="auto"/>
            </w:tcBorders>
          </w:tcPr>
          <w:p w14:paraId="60D17ADA"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F62F095" w14:textId="77777777" w:rsidR="00CF04BC" w:rsidRPr="00B93493" w:rsidRDefault="00CF04BC" w:rsidP="002E7F54">
            <w:pPr>
              <w:pStyle w:val="Tabletext"/>
              <w:jc w:val="center"/>
            </w:pPr>
            <w:r w:rsidRPr="00B93493">
              <w:t>27.1</w:t>
            </w:r>
          </w:p>
        </w:tc>
        <w:tc>
          <w:tcPr>
            <w:tcW w:w="1597" w:type="dxa"/>
            <w:tcBorders>
              <w:top w:val="nil"/>
              <w:left w:val="nil"/>
              <w:bottom w:val="single" w:sz="4" w:space="0" w:color="auto"/>
              <w:right w:val="single" w:sz="4" w:space="0" w:color="auto"/>
            </w:tcBorders>
            <w:vAlign w:val="center"/>
          </w:tcPr>
          <w:p w14:paraId="71B479D7" w14:textId="77777777" w:rsidR="00CF04BC" w:rsidRPr="00B93493" w:rsidRDefault="00CF04BC" w:rsidP="002E7F54">
            <w:pPr>
              <w:pStyle w:val="Tabletext"/>
              <w:jc w:val="center"/>
            </w:pPr>
            <w:r w:rsidRPr="00B93493">
              <w:t>36.585</w:t>
            </w:r>
          </w:p>
        </w:tc>
      </w:tr>
      <w:tr w:rsidR="00CF04BC" w:rsidRPr="00B93493" w14:paraId="34ED981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82C4C11" w14:textId="77777777" w:rsidR="00CF04BC" w:rsidRPr="00B93493" w:rsidRDefault="00CF04BC" w:rsidP="002E7F54">
            <w:pPr>
              <w:pStyle w:val="Tabletext"/>
              <w:jc w:val="center"/>
            </w:pPr>
            <w:r w:rsidRPr="00B93493">
              <w:t>8</w:t>
            </w:r>
          </w:p>
        </w:tc>
        <w:tc>
          <w:tcPr>
            <w:tcW w:w="4122" w:type="dxa"/>
            <w:tcBorders>
              <w:top w:val="nil"/>
              <w:left w:val="nil"/>
              <w:bottom w:val="single" w:sz="4" w:space="0" w:color="auto"/>
              <w:right w:val="single" w:sz="4" w:space="0" w:color="auto"/>
            </w:tcBorders>
            <w:shd w:val="clear" w:color="auto" w:fill="auto"/>
            <w:noWrap/>
            <w:vAlign w:val="center"/>
          </w:tcPr>
          <w:p w14:paraId="566F1C9D" w14:textId="77777777" w:rsidR="00CF04BC" w:rsidRPr="00B93493" w:rsidRDefault="00CF04BC" w:rsidP="002E7F54">
            <w:pPr>
              <w:pStyle w:val="Tabletext"/>
              <w:jc w:val="center"/>
            </w:pPr>
            <w:r w:rsidRPr="00B93493">
              <w:t>Vladimir Oblast</w:t>
            </w:r>
          </w:p>
        </w:tc>
        <w:tc>
          <w:tcPr>
            <w:tcW w:w="1701" w:type="dxa"/>
            <w:tcBorders>
              <w:top w:val="single" w:sz="4" w:space="0" w:color="auto"/>
              <w:left w:val="nil"/>
              <w:bottom w:val="single" w:sz="4" w:space="0" w:color="auto"/>
              <w:right w:val="single" w:sz="4" w:space="0" w:color="auto"/>
            </w:tcBorders>
          </w:tcPr>
          <w:p w14:paraId="7FA9975C"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820ACF1" w14:textId="77777777" w:rsidR="00CF04BC" w:rsidRPr="00B93493" w:rsidRDefault="00CF04BC" w:rsidP="002E7F54">
            <w:pPr>
              <w:pStyle w:val="Tabletext"/>
              <w:jc w:val="center"/>
            </w:pPr>
            <w:r w:rsidRPr="00B93493">
              <w:t>31.3</w:t>
            </w:r>
          </w:p>
        </w:tc>
        <w:tc>
          <w:tcPr>
            <w:tcW w:w="1597" w:type="dxa"/>
            <w:tcBorders>
              <w:top w:val="nil"/>
              <w:left w:val="nil"/>
              <w:bottom w:val="single" w:sz="4" w:space="0" w:color="auto"/>
              <w:right w:val="single" w:sz="4" w:space="0" w:color="auto"/>
            </w:tcBorders>
            <w:vAlign w:val="center"/>
          </w:tcPr>
          <w:p w14:paraId="08977198" w14:textId="77777777" w:rsidR="00CF04BC" w:rsidRPr="00B93493" w:rsidRDefault="00CF04BC" w:rsidP="002E7F54">
            <w:pPr>
              <w:pStyle w:val="Tabletext"/>
              <w:jc w:val="center"/>
            </w:pPr>
            <w:r w:rsidRPr="00B93493">
              <w:t>35.995</w:t>
            </w:r>
          </w:p>
        </w:tc>
      </w:tr>
      <w:tr w:rsidR="00CF04BC" w:rsidRPr="00B93493" w14:paraId="77860A31"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9F10D04" w14:textId="77777777" w:rsidR="00CF04BC" w:rsidRPr="00B93493" w:rsidRDefault="00CF04BC" w:rsidP="002E7F54">
            <w:pPr>
              <w:pStyle w:val="Tabletext"/>
              <w:jc w:val="center"/>
            </w:pPr>
            <w:r w:rsidRPr="00B93493">
              <w:t>9</w:t>
            </w:r>
          </w:p>
        </w:tc>
        <w:tc>
          <w:tcPr>
            <w:tcW w:w="4122" w:type="dxa"/>
            <w:tcBorders>
              <w:top w:val="nil"/>
              <w:left w:val="nil"/>
              <w:bottom w:val="single" w:sz="4" w:space="0" w:color="auto"/>
              <w:right w:val="single" w:sz="4" w:space="0" w:color="auto"/>
            </w:tcBorders>
            <w:shd w:val="clear" w:color="auto" w:fill="auto"/>
            <w:noWrap/>
            <w:vAlign w:val="center"/>
          </w:tcPr>
          <w:p w14:paraId="4F8D17B0" w14:textId="77777777" w:rsidR="00CF04BC" w:rsidRPr="00B93493" w:rsidRDefault="00CF04BC" w:rsidP="002E7F54">
            <w:pPr>
              <w:pStyle w:val="Tabletext"/>
              <w:jc w:val="center"/>
            </w:pPr>
            <w:r w:rsidRPr="00B93493">
              <w:t>Volgograd Oblast</w:t>
            </w:r>
          </w:p>
        </w:tc>
        <w:tc>
          <w:tcPr>
            <w:tcW w:w="1701" w:type="dxa"/>
            <w:tcBorders>
              <w:top w:val="single" w:sz="4" w:space="0" w:color="auto"/>
              <w:left w:val="nil"/>
              <w:bottom w:val="single" w:sz="4" w:space="0" w:color="auto"/>
              <w:right w:val="single" w:sz="4" w:space="0" w:color="auto"/>
            </w:tcBorders>
          </w:tcPr>
          <w:p w14:paraId="72D28E7B"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2B0F2D5" w14:textId="77777777" w:rsidR="00CF04BC" w:rsidRPr="00B93493" w:rsidRDefault="00CF04BC" w:rsidP="002E7F54">
            <w:pPr>
              <w:pStyle w:val="Tabletext"/>
              <w:jc w:val="center"/>
            </w:pPr>
            <w:r w:rsidRPr="00B93493">
              <w:t>58.1</w:t>
            </w:r>
          </w:p>
        </w:tc>
        <w:tc>
          <w:tcPr>
            <w:tcW w:w="1597" w:type="dxa"/>
            <w:tcBorders>
              <w:top w:val="nil"/>
              <w:left w:val="nil"/>
              <w:bottom w:val="single" w:sz="4" w:space="0" w:color="auto"/>
              <w:right w:val="single" w:sz="4" w:space="0" w:color="auto"/>
            </w:tcBorders>
            <w:vAlign w:val="center"/>
          </w:tcPr>
          <w:p w14:paraId="29608975" w14:textId="77777777" w:rsidR="00CF04BC" w:rsidRPr="00B93493" w:rsidRDefault="00CF04BC" w:rsidP="002E7F54">
            <w:pPr>
              <w:pStyle w:val="Tabletext"/>
              <w:jc w:val="center"/>
            </w:pPr>
            <w:r w:rsidRPr="00B93493">
              <w:t>69.72</w:t>
            </w:r>
          </w:p>
        </w:tc>
      </w:tr>
      <w:tr w:rsidR="00CF04BC" w:rsidRPr="00B93493" w14:paraId="6C018B53"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C41FEF2" w14:textId="77777777" w:rsidR="00CF04BC" w:rsidRPr="00B93493" w:rsidRDefault="00CF04BC" w:rsidP="002E7F54">
            <w:pPr>
              <w:pStyle w:val="Tabletext"/>
              <w:jc w:val="center"/>
            </w:pPr>
            <w:r w:rsidRPr="00B93493">
              <w:t>10</w:t>
            </w:r>
          </w:p>
        </w:tc>
        <w:tc>
          <w:tcPr>
            <w:tcW w:w="4122" w:type="dxa"/>
            <w:tcBorders>
              <w:top w:val="nil"/>
              <w:left w:val="nil"/>
              <w:bottom w:val="single" w:sz="4" w:space="0" w:color="auto"/>
              <w:right w:val="single" w:sz="4" w:space="0" w:color="auto"/>
            </w:tcBorders>
            <w:shd w:val="clear" w:color="auto" w:fill="auto"/>
            <w:noWrap/>
            <w:vAlign w:val="center"/>
          </w:tcPr>
          <w:p w14:paraId="3ADE8193" w14:textId="77777777" w:rsidR="00CF04BC" w:rsidRPr="00B93493" w:rsidRDefault="00CF04BC" w:rsidP="002E7F54">
            <w:pPr>
              <w:pStyle w:val="Tabletext"/>
              <w:jc w:val="center"/>
            </w:pPr>
            <w:r w:rsidRPr="00B93493">
              <w:t xml:space="preserve">Vologoda Oblast </w:t>
            </w:r>
          </w:p>
        </w:tc>
        <w:tc>
          <w:tcPr>
            <w:tcW w:w="1701" w:type="dxa"/>
            <w:tcBorders>
              <w:top w:val="single" w:sz="4" w:space="0" w:color="auto"/>
              <w:left w:val="nil"/>
              <w:bottom w:val="single" w:sz="4" w:space="0" w:color="auto"/>
              <w:right w:val="single" w:sz="4" w:space="0" w:color="auto"/>
            </w:tcBorders>
          </w:tcPr>
          <w:p w14:paraId="051DC164"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190DCC3" w14:textId="77777777" w:rsidR="00CF04BC" w:rsidRPr="00B93493" w:rsidRDefault="00CF04BC" w:rsidP="002E7F54">
            <w:pPr>
              <w:pStyle w:val="Tabletext"/>
              <w:jc w:val="center"/>
            </w:pPr>
            <w:r w:rsidRPr="00B93493">
              <w:t>26.5</w:t>
            </w:r>
          </w:p>
        </w:tc>
        <w:tc>
          <w:tcPr>
            <w:tcW w:w="1597" w:type="dxa"/>
            <w:tcBorders>
              <w:top w:val="nil"/>
              <w:left w:val="nil"/>
              <w:bottom w:val="single" w:sz="4" w:space="0" w:color="auto"/>
              <w:right w:val="single" w:sz="4" w:space="0" w:color="auto"/>
            </w:tcBorders>
            <w:vAlign w:val="center"/>
          </w:tcPr>
          <w:p w14:paraId="0D7210F7" w14:textId="77777777" w:rsidR="00CF04BC" w:rsidRPr="00B93493" w:rsidRDefault="00CF04BC" w:rsidP="002E7F54">
            <w:pPr>
              <w:pStyle w:val="Tabletext"/>
              <w:jc w:val="center"/>
            </w:pPr>
            <w:r w:rsidRPr="00B93493">
              <w:t>27.825</w:t>
            </w:r>
          </w:p>
        </w:tc>
      </w:tr>
      <w:tr w:rsidR="00CF04BC" w:rsidRPr="00B93493" w14:paraId="68736C49"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24AE6D1" w14:textId="77777777" w:rsidR="00CF04BC" w:rsidRPr="00B93493" w:rsidRDefault="00CF04BC" w:rsidP="002E7F54">
            <w:pPr>
              <w:pStyle w:val="Tabletext"/>
              <w:jc w:val="center"/>
            </w:pPr>
            <w:r w:rsidRPr="00B93493">
              <w:t>11</w:t>
            </w:r>
          </w:p>
        </w:tc>
        <w:tc>
          <w:tcPr>
            <w:tcW w:w="4122" w:type="dxa"/>
            <w:tcBorders>
              <w:top w:val="nil"/>
              <w:left w:val="nil"/>
              <w:bottom w:val="single" w:sz="4" w:space="0" w:color="auto"/>
              <w:right w:val="single" w:sz="4" w:space="0" w:color="auto"/>
            </w:tcBorders>
            <w:shd w:val="clear" w:color="auto" w:fill="auto"/>
            <w:noWrap/>
            <w:vAlign w:val="center"/>
          </w:tcPr>
          <w:p w14:paraId="5E85968C" w14:textId="77777777" w:rsidR="00CF04BC" w:rsidRPr="00B93493" w:rsidRDefault="00CF04BC" w:rsidP="002E7F54">
            <w:pPr>
              <w:pStyle w:val="Tabletext"/>
              <w:jc w:val="center"/>
            </w:pPr>
            <w:r w:rsidRPr="00B93493">
              <w:t>Voronezh Oblast</w:t>
            </w:r>
          </w:p>
        </w:tc>
        <w:tc>
          <w:tcPr>
            <w:tcW w:w="1701" w:type="dxa"/>
            <w:tcBorders>
              <w:top w:val="single" w:sz="4" w:space="0" w:color="auto"/>
              <w:left w:val="nil"/>
              <w:bottom w:val="single" w:sz="4" w:space="0" w:color="auto"/>
              <w:right w:val="single" w:sz="4" w:space="0" w:color="auto"/>
            </w:tcBorders>
          </w:tcPr>
          <w:p w14:paraId="45ED62A8"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EEEB327" w14:textId="77777777" w:rsidR="00CF04BC" w:rsidRPr="00B93493" w:rsidRDefault="00CF04BC" w:rsidP="002E7F54">
            <w:pPr>
              <w:pStyle w:val="Tabletext"/>
              <w:jc w:val="center"/>
            </w:pPr>
            <w:r w:rsidRPr="00B93493">
              <w:t>51.4</w:t>
            </w:r>
          </w:p>
        </w:tc>
        <w:tc>
          <w:tcPr>
            <w:tcW w:w="1597" w:type="dxa"/>
            <w:tcBorders>
              <w:top w:val="nil"/>
              <w:left w:val="nil"/>
              <w:bottom w:val="single" w:sz="4" w:space="0" w:color="auto"/>
              <w:right w:val="single" w:sz="4" w:space="0" w:color="auto"/>
            </w:tcBorders>
            <w:vAlign w:val="center"/>
          </w:tcPr>
          <w:p w14:paraId="665BBD20" w14:textId="77777777" w:rsidR="00CF04BC" w:rsidRPr="00B93493" w:rsidRDefault="00CF04BC" w:rsidP="002E7F54">
            <w:pPr>
              <w:pStyle w:val="Tabletext"/>
              <w:jc w:val="center"/>
            </w:pPr>
            <w:r w:rsidRPr="00B93493">
              <w:t>69.39</w:t>
            </w:r>
          </w:p>
        </w:tc>
      </w:tr>
    </w:tbl>
    <w:p w14:paraId="2F0E096F" w14:textId="77777777" w:rsidR="00CF04BC" w:rsidRPr="00B93493" w:rsidRDefault="00CF04BC" w:rsidP="00CF04BC">
      <w:r w:rsidRPr="00B93493">
        <w:br w:type="page"/>
      </w:r>
    </w:p>
    <w:p w14:paraId="488CA3CB" w14:textId="75E107D7" w:rsidR="00CF04BC" w:rsidRPr="00B93493" w:rsidRDefault="00CF04BC" w:rsidP="00CF04BC">
      <w:pPr>
        <w:pStyle w:val="TableNo"/>
      </w:pPr>
      <w:r w:rsidRPr="00B93493">
        <w:t>TABLE 1</w:t>
      </w:r>
      <w:r>
        <w:rPr>
          <w:rFonts w:hint="eastAsia"/>
          <w:lang w:eastAsia="zh-CN"/>
        </w:rPr>
        <w:t>9</w:t>
      </w:r>
      <w:r w:rsidR="00345301">
        <w:rPr>
          <w:lang w:eastAsia="zh-CN"/>
        </w:rPr>
        <w:t xml:space="preserve"> </w:t>
      </w:r>
      <w:r w:rsidRPr="00B93493">
        <w:t>(</w:t>
      </w:r>
      <w:r w:rsidR="00345301">
        <w:t>c</w:t>
      </w:r>
      <w:r w:rsidRPr="00B93493">
        <w:rPr>
          <w:i/>
          <w:iCs/>
        </w:rPr>
        <w:t>ontinued</w:t>
      </w:r>
      <w:r w:rsidRPr="00B93493">
        <w:t>)</w:t>
      </w:r>
    </w:p>
    <w:tbl>
      <w:tblPr>
        <w:tblW w:w="9639" w:type="dxa"/>
        <w:jc w:val="center"/>
        <w:tblLook w:val="04A0" w:firstRow="1" w:lastRow="0" w:firstColumn="1" w:lastColumn="0" w:noHBand="0" w:noVBand="1"/>
      </w:tblPr>
      <w:tblGrid>
        <w:gridCol w:w="840"/>
        <w:gridCol w:w="4122"/>
        <w:gridCol w:w="1620"/>
        <w:gridCol w:w="1511"/>
        <w:gridCol w:w="1546"/>
      </w:tblGrid>
      <w:tr w:rsidR="00CF04BC" w:rsidRPr="00B93493" w14:paraId="798FC8CC" w14:textId="77777777" w:rsidTr="00345301">
        <w:trPr>
          <w:cantSplit/>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6746CA0" w14:textId="77777777" w:rsidR="00CF04BC" w:rsidRPr="00B93493" w:rsidRDefault="00CF04BC" w:rsidP="002E7F54">
            <w:pPr>
              <w:pStyle w:val="Tablehead"/>
            </w:pPr>
            <w:r w:rsidRPr="00B93493">
              <w:t>Lot No.</w:t>
            </w:r>
          </w:p>
        </w:tc>
        <w:tc>
          <w:tcPr>
            <w:tcW w:w="4122" w:type="dxa"/>
            <w:tcBorders>
              <w:top w:val="single" w:sz="4" w:space="0" w:color="auto"/>
              <w:left w:val="nil"/>
              <w:bottom w:val="single" w:sz="4" w:space="0" w:color="auto"/>
              <w:right w:val="single" w:sz="4" w:space="0" w:color="auto"/>
            </w:tcBorders>
            <w:shd w:val="clear" w:color="auto" w:fill="auto"/>
            <w:vAlign w:val="center"/>
          </w:tcPr>
          <w:p w14:paraId="4B7813B6" w14:textId="77777777" w:rsidR="00CF04BC" w:rsidRPr="00B93493" w:rsidRDefault="00CF04BC" w:rsidP="002E7F54">
            <w:pPr>
              <w:pStyle w:val="Tablehead"/>
            </w:pPr>
            <w:r w:rsidRPr="00B93493">
              <w:t>Territory of the Russian Federation</w:t>
            </w:r>
          </w:p>
        </w:tc>
        <w:tc>
          <w:tcPr>
            <w:tcW w:w="1701" w:type="dxa"/>
            <w:tcBorders>
              <w:top w:val="single" w:sz="4" w:space="0" w:color="auto"/>
              <w:left w:val="nil"/>
              <w:bottom w:val="single" w:sz="4" w:space="0" w:color="auto"/>
              <w:right w:val="single" w:sz="4" w:space="0" w:color="auto"/>
            </w:tcBorders>
            <w:vAlign w:val="center"/>
          </w:tcPr>
          <w:p w14:paraId="589901EF" w14:textId="77777777" w:rsidR="00CF04BC" w:rsidRPr="00B93493" w:rsidRDefault="00CF04BC" w:rsidP="002E7F54">
            <w:pPr>
              <w:pStyle w:val="Tablehead"/>
            </w:pPr>
            <w:r w:rsidRPr="00B93493">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0EC1F58" w14:textId="50B21B5A" w:rsidR="00CF04BC" w:rsidRPr="00B93493" w:rsidRDefault="00CF04BC" w:rsidP="002E7F54">
            <w:pPr>
              <w:pStyle w:val="Tablehead"/>
            </w:pPr>
            <w:r w:rsidRPr="00B93493">
              <w:t xml:space="preserve">Reserve price (million </w:t>
            </w:r>
            <w:r w:rsidR="00092428">
              <w:rPr>
                <w:rFonts w:hint="eastAsia"/>
                <w:lang w:eastAsia="zh-CN"/>
              </w:rPr>
              <w:t>Roubles</w:t>
            </w:r>
            <w:r w:rsidRPr="00B93493">
              <w:t>)</w:t>
            </w:r>
          </w:p>
        </w:tc>
        <w:tc>
          <w:tcPr>
            <w:tcW w:w="1597" w:type="dxa"/>
            <w:tcBorders>
              <w:top w:val="single" w:sz="4" w:space="0" w:color="auto"/>
              <w:left w:val="nil"/>
              <w:bottom w:val="single" w:sz="4" w:space="0" w:color="auto"/>
              <w:right w:val="single" w:sz="4" w:space="0" w:color="auto"/>
            </w:tcBorders>
            <w:vAlign w:val="center"/>
          </w:tcPr>
          <w:p w14:paraId="7D7B2D8F" w14:textId="0D33B714" w:rsidR="00CF04BC" w:rsidRPr="00B93493" w:rsidRDefault="00CF04BC" w:rsidP="002E7F54">
            <w:pPr>
              <w:pStyle w:val="Tablehead"/>
            </w:pPr>
            <w:r w:rsidRPr="00B93493">
              <w:t xml:space="preserve">Lot price based on bidding results (million </w:t>
            </w:r>
            <w:r w:rsidR="00092428">
              <w:rPr>
                <w:rFonts w:hint="eastAsia"/>
                <w:lang w:eastAsia="zh-CN"/>
              </w:rPr>
              <w:t>Roubles</w:t>
            </w:r>
            <w:r w:rsidRPr="00B93493">
              <w:t>)</w:t>
            </w:r>
          </w:p>
        </w:tc>
      </w:tr>
      <w:tr w:rsidR="00CF04BC" w:rsidRPr="00B93493" w14:paraId="58440852"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C173D9C" w14:textId="77777777" w:rsidR="00CF04BC" w:rsidRPr="00B93493" w:rsidRDefault="00CF04BC" w:rsidP="002E7F54">
            <w:pPr>
              <w:pStyle w:val="Tabletext"/>
              <w:jc w:val="center"/>
            </w:pPr>
            <w:r w:rsidRPr="00B93493">
              <w:t>12</w:t>
            </w:r>
          </w:p>
        </w:tc>
        <w:tc>
          <w:tcPr>
            <w:tcW w:w="4122" w:type="dxa"/>
            <w:tcBorders>
              <w:top w:val="nil"/>
              <w:left w:val="nil"/>
              <w:bottom w:val="single" w:sz="4" w:space="0" w:color="auto"/>
              <w:right w:val="single" w:sz="4" w:space="0" w:color="auto"/>
            </w:tcBorders>
            <w:shd w:val="clear" w:color="auto" w:fill="auto"/>
            <w:noWrap/>
            <w:vAlign w:val="center"/>
          </w:tcPr>
          <w:p w14:paraId="42A35B1E" w14:textId="77777777" w:rsidR="00CF04BC" w:rsidRPr="00B93493" w:rsidRDefault="00CF04BC" w:rsidP="002E7F54">
            <w:pPr>
              <w:pStyle w:val="Tabletext"/>
              <w:jc w:val="center"/>
            </w:pPr>
            <w:r w:rsidRPr="00B93493">
              <w:t xml:space="preserve">St Petersburg </w:t>
            </w:r>
          </w:p>
        </w:tc>
        <w:tc>
          <w:tcPr>
            <w:tcW w:w="1701" w:type="dxa"/>
            <w:tcBorders>
              <w:top w:val="single" w:sz="4" w:space="0" w:color="auto"/>
              <w:left w:val="nil"/>
              <w:bottom w:val="single" w:sz="4" w:space="0" w:color="auto"/>
              <w:right w:val="single" w:sz="4" w:space="0" w:color="auto"/>
            </w:tcBorders>
          </w:tcPr>
          <w:p w14:paraId="0FEB78C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78411F9" w14:textId="77777777" w:rsidR="00CF04BC" w:rsidRPr="00B93493" w:rsidRDefault="00CF04BC" w:rsidP="002E7F54">
            <w:pPr>
              <w:pStyle w:val="Tabletext"/>
              <w:jc w:val="center"/>
            </w:pPr>
            <w:r w:rsidRPr="00B93493">
              <w:t>134.3</w:t>
            </w:r>
          </w:p>
        </w:tc>
        <w:tc>
          <w:tcPr>
            <w:tcW w:w="1597" w:type="dxa"/>
            <w:tcBorders>
              <w:top w:val="nil"/>
              <w:left w:val="nil"/>
              <w:bottom w:val="single" w:sz="4" w:space="0" w:color="auto"/>
              <w:right w:val="single" w:sz="4" w:space="0" w:color="auto"/>
            </w:tcBorders>
            <w:vAlign w:val="center"/>
          </w:tcPr>
          <w:p w14:paraId="00B26E74" w14:textId="77777777" w:rsidR="00CF04BC" w:rsidRPr="00B93493" w:rsidRDefault="00CF04BC" w:rsidP="002E7F54">
            <w:pPr>
              <w:pStyle w:val="Tabletext"/>
              <w:jc w:val="center"/>
            </w:pPr>
            <w:r w:rsidRPr="00B93493">
              <w:t>456.62</w:t>
            </w:r>
          </w:p>
        </w:tc>
      </w:tr>
      <w:tr w:rsidR="00CF04BC" w:rsidRPr="00B93493" w14:paraId="538E3B56"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50003C3" w14:textId="77777777" w:rsidR="00CF04BC" w:rsidRPr="00B93493" w:rsidRDefault="00CF04BC" w:rsidP="002E7F54">
            <w:pPr>
              <w:pStyle w:val="Tabletext"/>
              <w:jc w:val="center"/>
            </w:pPr>
            <w:r w:rsidRPr="00B93493">
              <w:t>13</w:t>
            </w:r>
          </w:p>
        </w:tc>
        <w:tc>
          <w:tcPr>
            <w:tcW w:w="4122" w:type="dxa"/>
            <w:tcBorders>
              <w:top w:val="nil"/>
              <w:left w:val="nil"/>
              <w:bottom w:val="single" w:sz="4" w:space="0" w:color="auto"/>
              <w:right w:val="single" w:sz="4" w:space="0" w:color="auto"/>
            </w:tcBorders>
            <w:shd w:val="clear" w:color="auto" w:fill="auto"/>
            <w:noWrap/>
            <w:vAlign w:val="center"/>
          </w:tcPr>
          <w:p w14:paraId="2C9D2A34" w14:textId="77777777" w:rsidR="00CF04BC" w:rsidRPr="00B93493" w:rsidRDefault="00CF04BC" w:rsidP="002E7F54">
            <w:pPr>
              <w:pStyle w:val="Tabletext"/>
              <w:jc w:val="center"/>
            </w:pPr>
            <w:r w:rsidRPr="00B93493">
              <w:t>The Jewish Autonomous Oblast</w:t>
            </w:r>
          </w:p>
        </w:tc>
        <w:tc>
          <w:tcPr>
            <w:tcW w:w="1701" w:type="dxa"/>
            <w:tcBorders>
              <w:top w:val="single" w:sz="4" w:space="0" w:color="auto"/>
              <w:left w:val="nil"/>
              <w:bottom w:val="single" w:sz="4" w:space="0" w:color="auto"/>
              <w:right w:val="single" w:sz="4" w:space="0" w:color="auto"/>
            </w:tcBorders>
          </w:tcPr>
          <w:p w14:paraId="2468E8FB"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7BEA1B9" w14:textId="77777777" w:rsidR="00CF04BC" w:rsidRPr="00B93493" w:rsidRDefault="00CF04BC" w:rsidP="002E7F54">
            <w:pPr>
              <w:pStyle w:val="Tabletext"/>
              <w:jc w:val="center"/>
            </w:pPr>
            <w:r w:rsidRPr="00B93493">
              <w:t>3.8</w:t>
            </w:r>
          </w:p>
        </w:tc>
        <w:tc>
          <w:tcPr>
            <w:tcW w:w="1597" w:type="dxa"/>
            <w:tcBorders>
              <w:top w:val="nil"/>
              <w:left w:val="nil"/>
              <w:bottom w:val="single" w:sz="4" w:space="0" w:color="auto"/>
              <w:right w:val="single" w:sz="4" w:space="0" w:color="auto"/>
            </w:tcBorders>
            <w:vAlign w:val="center"/>
          </w:tcPr>
          <w:p w14:paraId="174F2D6C" w14:textId="77777777" w:rsidR="00CF04BC" w:rsidRPr="00B93493" w:rsidRDefault="00CF04BC" w:rsidP="002E7F54">
            <w:pPr>
              <w:pStyle w:val="Tabletext"/>
              <w:jc w:val="center"/>
            </w:pPr>
            <w:r w:rsidRPr="00B93493">
              <w:t>-</w:t>
            </w:r>
          </w:p>
        </w:tc>
      </w:tr>
      <w:tr w:rsidR="00CF04BC" w:rsidRPr="00B93493" w14:paraId="0B60FC40"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2872770" w14:textId="77777777" w:rsidR="00CF04BC" w:rsidRPr="00B93493" w:rsidRDefault="00CF04BC" w:rsidP="002E7F54">
            <w:pPr>
              <w:pStyle w:val="Tabletext"/>
              <w:jc w:val="center"/>
            </w:pPr>
            <w:r w:rsidRPr="00B93493">
              <w:t>14</w:t>
            </w:r>
          </w:p>
        </w:tc>
        <w:tc>
          <w:tcPr>
            <w:tcW w:w="4122" w:type="dxa"/>
            <w:tcBorders>
              <w:top w:val="nil"/>
              <w:left w:val="nil"/>
              <w:bottom w:val="single" w:sz="4" w:space="0" w:color="auto"/>
              <w:right w:val="single" w:sz="4" w:space="0" w:color="auto"/>
            </w:tcBorders>
            <w:shd w:val="clear" w:color="auto" w:fill="auto"/>
            <w:noWrap/>
            <w:vAlign w:val="center"/>
          </w:tcPr>
          <w:p w14:paraId="6600BB51" w14:textId="77777777" w:rsidR="00CF04BC" w:rsidRPr="00B93493" w:rsidRDefault="00CF04BC" w:rsidP="002E7F54">
            <w:pPr>
              <w:pStyle w:val="Tabletext"/>
              <w:jc w:val="center"/>
            </w:pPr>
            <w:r w:rsidRPr="00B93493">
              <w:t>Zabaykalsky Krai</w:t>
            </w:r>
          </w:p>
        </w:tc>
        <w:tc>
          <w:tcPr>
            <w:tcW w:w="1701" w:type="dxa"/>
            <w:tcBorders>
              <w:top w:val="single" w:sz="4" w:space="0" w:color="auto"/>
              <w:left w:val="nil"/>
              <w:bottom w:val="single" w:sz="4" w:space="0" w:color="auto"/>
              <w:right w:val="single" w:sz="4" w:space="0" w:color="auto"/>
            </w:tcBorders>
          </w:tcPr>
          <w:p w14:paraId="451F0524"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2151370" w14:textId="77777777" w:rsidR="00CF04BC" w:rsidRPr="00B93493" w:rsidRDefault="00CF04BC" w:rsidP="002E7F54">
            <w:pPr>
              <w:pStyle w:val="Tabletext"/>
              <w:jc w:val="center"/>
            </w:pPr>
            <w:r w:rsidRPr="00B93493">
              <w:t>24.9</w:t>
            </w:r>
          </w:p>
        </w:tc>
        <w:tc>
          <w:tcPr>
            <w:tcW w:w="1597" w:type="dxa"/>
            <w:tcBorders>
              <w:top w:val="nil"/>
              <w:left w:val="nil"/>
              <w:bottom w:val="single" w:sz="4" w:space="0" w:color="auto"/>
              <w:right w:val="single" w:sz="4" w:space="0" w:color="auto"/>
            </w:tcBorders>
            <w:vAlign w:val="center"/>
          </w:tcPr>
          <w:p w14:paraId="0D9795F8" w14:textId="77777777" w:rsidR="00CF04BC" w:rsidRPr="00B93493" w:rsidRDefault="00CF04BC" w:rsidP="002E7F54">
            <w:pPr>
              <w:pStyle w:val="Tabletext"/>
              <w:jc w:val="center"/>
            </w:pPr>
            <w:r w:rsidRPr="00B93493">
              <w:t>26.145</w:t>
            </w:r>
          </w:p>
        </w:tc>
      </w:tr>
      <w:tr w:rsidR="00CF04BC" w:rsidRPr="00B93493" w14:paraId="49793FCA"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2B9DCB9" w14:textId="77777777" w:rsidR="00CF04BC" w:rsidRPr="00B93493" w:rsidRDefault="00CF04BC" w:rsidP="002E7F54">
            <w:pPr>
              <w:pStyle w:val="Tabletext"/>
              <w:jc w:val="center"/>
            </w:pPr>
            <w:r w:rsidRPr="00B93493">
              <w:t>15</w:t>
            </w:r>
          </w:p>
        </w:tc>
        <w:tc>
          <w:tcPr>
            <w:tcW w:w="4122" w:type="dxa"/>
            <w:tcBorders>
              <w:top w:val="nil"/>
              <w:left w:val="nil"/>
              <w:bottom w:val="single" w:sz="4" w:space="0" w:color="auto"/>
              <w:right w:val="single" w:sz="4" w:space="0" w:color="auto"/>
            </w:tcBorders>
            <w:shd w:val="clear" w:color="auto" w:fill="auto"/>
            <w:noWrap/>
            <w:vAlign w:val="center"/>
          </w:tcPr>
          <w:p w14:paraId="4F5564E5" w14:textId="77777777" w:rsidR="00CF04BC" w:rsidRPr="00B93493" w:rsidRDefault="00CF04BC" w:rsidP="002E7F54">
            <w:pPr>
              <w:pStyle w:val="Tabletext"/>
              <w:jc w:val="center"/>
            </w:pPr>
            <w:r w:rsidRPr="00B93493">
              <w:t>Ivanovo Oblast</w:t>
            </w:r>
          </w:p>
        </w:tc>
        <w:tc>
          <w:tcPr>
            <w:tcW w:w="1701" w:type="dxa"/>
            <w:tcBorders>
              <w:top w:val="single" w:sz="4" w:space="0" w:color="auto"/>
              <w:left w:val="nil"/>
              <w:bottom w:val="single" w:sz="4" w:space="0" w:color="auto"/>
              <w:right w:val="single" w:sz="4" w:space="0" w:color="auto"/>
            </w:tcBorders>
          </w:tcPr>
          <w:p w14:paraId="1A0C8E2B"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EB6CD74" w14:textId="77777777" w:rsidR="00CF04BC" w:rsidRPr="00B93493" w:rsidRDefault="00CF04BC" w:rsidP="002E7F54">
            <w:pPr>
              <w:pStyle w:val="Tabletext"/>
              <w:jc w:val="center"/>
            </w:pPr>
            <w:r w:rsidRPr="00B93493">
              <w:t>23.2</w:t>
            </w:r>
          </w:p>
        </w:tc>
        <w:tc>
          <w:tcPr>
            <w:tcW w:w="1597" w:type="dxa"/>
            <w:tcBorders>
              <w:top w:val="nil"/>
              <w:left w:val="nil"/>
              <w:bottom w:val="single" w:sz="4" w:space="0" w:color="auto"/>
              <w:right w:val="single" w:sz="4" w:space="0" w:color="auto"/>
            </w:tcBorders>
            <w:vAlign w:val="center"/>
          </w:tcPr>
          <w:p w14:paraId="75F4C011" w14:textId="77777777" w:rsidR="00CF04BC" w:rsidRPr="00B93493" w:rsidRDefault="00CF04BC" w:rsidP="002E7F54">
            <w:pPr>
              <w:pStyle w:val="Tabletext"/>
              <w:jc w:val="center"/>
            </w:pPr>
            <w:r w:rsidRPr="00B93493">
              <w:t>25.52</w:t>
            </w:r>
          </w:p>
        </w:tc>
      </w:tr>
      <w:tr w:rsidR="00CF04BC" w:rsidRPr="00B93493" w14:paraId="63E776AD"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B910CB6" w14:textId="77777777" w:rsidR="00CF04BC" w:rsidRPr="00B93493" w:rsidRDefault="00CF04BC" w:rsidP="002E7F54">
            <w:pPr>
              <w:pStyle w:val="Tabletext"/>
              <w:jc w:val="center"/>
            </w:pPr>
            <w:r w:rsidRPr="00B93493">
              <w:t>16</w:t>
            </w:r>
          </w:p>
        </w:tc>
        <w:tc>
          <w:tcPr>
            <w:tcW w:w="4122" w:type="dxa"/>
            <w:tcBorders>
              <w:top w:val="nil"/>
              <w:left w:val="nil"/>
              <w:bottom w:val="single" w:sz="4" w:space="0" w:color="auto"/>
              <w:right w:val="single" w:sz="4" w:space="0" w:color="auto"/>
            </w:tcBorders>
            <w:shd w:val="clear" w:color="auto" w:fill="auto"/>
            <w:noWrap/>
            <w:vAlign w:val="center"/>
          </w:tcPr>
          <w:p w14:paraId="16A18447" w14:textId="77777777" w:rsidR="00CF04BC" w:rsidRPr="00B93493" w:rsidRDefault="00CF04BC" w:rsidP="002E7F54">
            <w:pPr>
              <w:pStyle w:val="Tabletext"/>
              <w:jc w:val="center"/>
            </w:pPr>
            <w:r w:rsidRPr="00B93493">
              <w:t>Irkutsk Oblast</w:t>
            </w:r>
          </w:p>
        </w:tc>
        <w:tc>
          <w:tcPr>
            <w:tcW w:w="1701" w:type="dxa"/>
            <w:tcBorders>
              <w:top w:val="single" w:sz="4" w:space="0" w:color="auto"/>
              <w:left w:val="nil"/>
              <w:bottom w:val="single" w:sz="4" w:space="0" w:color="auto"/>
              <w:right w:val="single" w:sz="4" w:space="0" w:color="auto"/>
            </w:tcBorders>
          </w:tcPr>
          <w:p w14:paraId="4D5C4952"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875AB19" w14:textId="77777777" w:rsidR="00CF04BC" w:rsidRPr="00B93493" w:rsidRDefault="00CF04BC" w:rsidP="002E7F54">
            <w:pPr>
              <w:pStyle w:val="Tabletext"/>
              <w:jc w:val="center"/>
            </w:pPr>
            <w:r w:rsidRPr="00B93493">
              <w:t>56.4</w:t>
            </w:r>
          </w:p>
        </w:tc>
        <w:tc>
          <w:tcPr>
            <w:tcW w:w="1597" w:type="dxa"/>
            <w:tcBorders>
              <w:top w:val="nil"/>
              <w:left w:val="nil"/>
              <w:bottom w:val="single" w:sz="4" w:space="0" w:color="auto"/>
              <w:right w:val="single" w:sz="4" w:space="0" w:color="auto"/>
            </w:tcBorders>
            <w:vAlign w:val="center"/>
          </w:tcPr>
          <w:p w14:paraId="0531D5E5" w14:textId="77777777" w:rsidR="00CF04BC" w:rsidRPr="00B93493" w:rsidRDefault="00CF04BC" w:rsidP="002E7F54">
            <w:pPr>
              <w:pStyle w:val="Tabletext"/>
              <w:jc w:val="center"/>
            </w:pPr>
            <w:r w:rsidRPr="00B93493">
              <w:t>64.86</w:t>
            </w:r>
          </w:p>
        </w:tc>
      </w:tr>
      <w:tr w:rsidR="00CF04BC" w:rsidRPr="00B93493" w14:paraId="29444902"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1C0A570" w14:textId="77777777" w:rsidR="00CF04BC" w:rsidRPr="00B93493" w:rsidRDefault="00CF04BC" w:rsidP="002E7F54">
            <w:pPr>
              <w:pStyle w:val="Tabletext"/>
              <w:jc w:val="center"/>
            </w:pPr>
            <w:r w:rsidRPr="00B93493">
              <w:t>17</w:t>
            </w:r>
          </w:p>
        </w:tc>
        <w:tc>
          <w:tcPr>
            <w:tcW w:w="4122" w:type="dxa"/>
            <w:tcBorders>
              <w:top w:val="nil"/>
              <w:left w:val="nil"/>
              <w:bottom w:val="single" w:sz="4" w:space="0" w:color="auto"/>
              <w:right w:val="single" w:sz="4" w:space="0" w:color="auto"/>
            </w:tcBorders>
            <w:shd w:val="clear" w:color="auto" w:fill="auto"/>
            <w:noWrap/>
            <w:vAlign w:val="center"/>
          </w:tcPr>
          <w:p w14:paraId="16978452" w14:textId="77777777" w:rsidR="00CF04BC" w:rsidRPr="00B93493" w:rsidRDefault="00CF04BC" w:rsidP="002E7F54">
            <w:pPr>
              <w:pStyle w:val="Tabletext"/>
              <w:jc w:val="center"/>
            </w:pPr>
            <w:r w:rsidRPr="00B93493">
              <w:t>The Kabardino-Balkar Republic</w:t>
            </w:r>
          </w:p>
        </w:tc>
        <w:tc>
          <w:tcPr>
            <w:tcW w:w="1701" w:type="dxa"/>
            <w:tcBorders>
              <w:top w:val="single" w:sz="4" w:space="0" w:color="auto"/>
              <w:left w:val="nil"/>
              <w:bottom w:val="single" w:sz="4" w:space="0" w:color="auto"/>
              <w:right w:val="single" w:sz="4" w:space="0" w:color="auto"/>
            </w:tcBorders>
          </w:tcPr>
          <w:p w14:paraId="4DBBEDF8"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DA51511" w14:textId="77777777" w:rsidR="00CF04BC" w:rsidRPr="00B93493" w:rsidRDefault="00CF04BC" w:rsidP="002E7F54">
            <w:pPr>
              <w:pStyle w:val="Tabletext"/>
              <w:jc w:val="center"/>
            </w:pPr>
            <w:r w:rsidRPr="00B93493">
              <w:t>16.5</w:t>
            </w:r>
          </w:p>
        </w:tc>
        <w:tc>
          <w:tcPr>
            <w:tcW w:w="1597" w:type="dxa"/>
            <w:tcBorders>
              <w:top w:val="nil"/>
              <w:left w:val="nil"/>
              <w:bottom w:val="single" w:sz="4" w:space="0" w:color="auto"/>
              <w:right w:val="single" w:sz="4" w:space="0" w:color="auto"/>
            </w:tcBorders>
            <w:vAlign w:val="center"/>
          </w:tcPr>
          <w:p w14:paraId="0125FC14" w14:textId="77777777" w:rsidR="00CF04BC" w:rsidRPr="00B93493" w:rsidRDefault="00CF04BC" w:rsidP="002E7F54">
            <w:pPr>
              <w:pStyle w:val="Tabletext"/>
              <w:jc w:val="center"/>
            </w:pPr>
            <w:r w:rsidRPr="00B93493">
              <w:t>18.975</w:t>
            </w:r>
          </w:p>
        </w:tc>
      </w:tr>
      <w:tr w:rsidR="00CF04BC" w:rsidRPr="00B93493" w14:paraId="3D135927"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3BB19EFB" w14:textId="77777777" w:rsidR="00CF04BC" w:rsidRPr="00B93493" w:rsidRDefault="00CF04BC" w:rsidP="002E7F54">
            <w:pPr>
              <w:pStyle w:val="Tabletext"/>
              <w:jc w:val="center"/>
            </w:pPr>
            <w:r w:rsidRPr="00B93493">
              <w:t>18</w:t>
            </w:r>
          </w:p>
        </w:tc>
        <w:tc>
          <w:tcPr>
            <w:tcW w:w="4122" w:type="dxa"/>
            <w:tcBorders>
              <w:top w:val="nil"/>
              <w:left w:val="nil"/>
              <w:bottom w:val="single" w:sz="4" w:space="0" w:color="auto"/>
              <w:right w:val="single" w:sz="4" w:space="0" w:color="auto"/>
            </w:tcBorders>
            <w:shd w:val="clear" w:color="auto" w:fill="auto"/>
            <w:noWrap/>
            <w:vAlign w:val="center"/>
          </w:tcPr>
          <w:p w14:paraId="282CCC94" w14:textId="77777777" w:rsidR="00CF04BC" w:rsidRPr="00B93493" w:rsidRDefault="00CF04BC" w:rsidP="002E7F54">
            <w:pPr>
              <w:pStyle w:val="Tabletext"/>
              <w:jc w:val="center"/>
            </w:pPr>
            <w:r w:rsidRPr="00B93493">
              <w:t>Kaliningrad Oblast</w:t>
            </w:r>
          </w:p>
        </w:tc>
        <w:tc>
          <w:tcPr>
            <w:tcW w:w="1701" w:type="dxa"/>
            <w:tcBorders>
              <w:top w:val="single" w:sz="4" w:space="0" w:color="auto"/>
              <w:left w:val="nil"/>
              <w:bottom w:val="single" w:sz="4" w:space="0" w:color="auto"/>
              <w:right w:val="single" w:sz="4" w:space="0" w:color="auto"/>
            </w:tcBorders>
          </w:tcPr>
          <w:p w14:paraId="59B10D33"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85449A5" w14:textId="77777777" w:rsidR="00CF04BC" w:rsidRPr="00B93493" w:rsidRDefault="00CF04BC" w:rsidP="002E7F54">
            <w:pPr>
              <w:pStyle w:val="Tabletext"/>
              <w:jc w:val="center"/>
            </w:pPr>
            <w:r w:rsidRPr="00B93493">
              <w:t>22.1</w:t>
            </w:r>
          </w:p>
        </w:tc>
        <w:tc>
          <w:tcPr>
            <w:tcW w:w="1597" w:type="dxa"/>
            <w:tcBorders>
              <w:top w:val="nil"/>
              <w:left w:val="nil"/>
              <w:bottom w:val="single" w:sz="4" w:space="0" w:color="auto"/>
              <w:right w:val="single" w:sz="4" w:space="0" w:color="auto"/>
            </w:tcBorders>
            <w:vAlign w:val="center"/>
          </w:tcPr>
          <w:p w14:paraId="549A4344" w14:textId="77777777" w:rsidR="00CF04BC" w:rsidRPr="00B93493" w:rsidRDefault="00CF04BC" w:rsidP="002E7F54">
            <w:pPr>
              <w:pStyle w:val="Tabletext"/>
              <w:jc w:val="center"/>
            </w:pPr>
            <w:r w:rsidRPr="00B93493">
              <w:t>25.415</w:t>
            </w:r>
          </w:p>
        </w:tc>
      </w:tr>
      <w:tr w:rsidR="00CF04BC" w:rsidRPr="00B93493" w14:paraId="7A1B6D84"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A4FF1A7" w14:textId="77777777" w:rsidR="00CF04BC" w:rsidRPr="00B93493" w:rsidRDefault="00CF04BC" w:rsidP="002E7F54">
            <w:pPr>
              <w:pStyle w:val="Tabletext"/>
              <w:jc w:val="center"/>
            </w:pPr>
            <w:r w:rsidRPr="00B93493">
              <w:t>19</w:t>
            </w:r>
          </w:p>
        </w:tc>
        <w:tc>
          <w:tcPr>
            <w:tcW w:w="4122" w:type="dxa"/>
            <w:tcBorders>
              <w:top w:val="nil"/>
              <w:left w:val="nil"/>
              <w:bottom w:val="single" w:sz="4" w:space="0" w:color="auto"/>
              <w:right w:val="single" w:sz="4" w:space="0" w:color="auto"/>
            </w:tcBorders>
            <w:shd w:val="clear" w:color="auto" w:fill="auto"/>
            <w:noWrap/>
            <w:vAlign w:val="center"/>
          </w:tcPr>
          <w:p w14:paraId="57F66E41" w14:textId="77777777" w:rsidR="00CF04BC" w:rsidRPr="00B93493" w:rsidRDefault="00CF04BC" w:rsidP="002E7F54">
            <w:pPr>
              <w:pStyle w:val="Tabletext"/>
              <w:jc w:val="center"/>
            </w:pPr>
            <w:r w:rsidRPr="00B93493">
              <w:t xml:space="preserve">Kaluga Oblast </w:t>
            </w:r>
          </w:p>
        </w:tc>
        <w:tc>
          <w:tcPr>
            <w:tcW w:w="1701" w:type="dxa"/>
            <w:tcBorders>
              <w:top w:val="single" w:sz="4" w:space="0" w:color="auto"/>
              <w:left w:val="nil"/>
              <w:bottom w:val="single" w:sz="4" w:space="0" w:color="auto"/>
              <w:right w:val="single" w:sz="4" w:space="0" w:color="auto"/>
            </w:tcBorders>
          </w:tcPr>
          <w:p w14:paraId="23F0A49B"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1E7A4D9" w14:textId="77777777" w:rsidR="00CF04BC" w:rsidRPr="00B93493" w:rsidRDefault="00CF04BC" w:rsidP="002E7F54">
            <w:pPr>
              <w:pStyle w:val="Tabletext"/>
              <w:jc w:val="center"/>
            </w:pPr>
            <w:r w:rsidRPr="00B93493">
              <w:t>23.2</w:t>
            </w:r>
          </w:p>
        </w:tc>
        <w:tc>
          <w:tcPr>
            <w:tcW w:w="1597" w:type="dxa"/>
            <w:tcBorders>
              <w:top w:val="nil"/>
              <w:left w:val="nil"/>
              <w:bottom w:val="single" w:sz="4" w:space="0" w:color="auto"/>
              <w:right w:val="single" w:sz="4" w:space="0" w:color="auto"/>
            </w:tcBorders>
            <w:vAlign w:val="center"/>
          </w:tcPr>
          <w:p w14:paraId="0EAC112C" w14:textId="77777777" w:rsidR="00CF04BC" w:rsidRPr="00B93493" w:rsidRDefault="00CF04BC" w:rsidP="002E7F54">
            <w:pPr>
              <w:pStyle w:val="Tabletext"/>
              <w:jc w:val="center"/>
            </w:pPr>
            <w:r w:rsidRPr="00B93493">
              <w:t>26.680</w:t>
            </w:r>
          </w:p>
        </w:tc>
      </w:tr>
      <w:tr w:rsidR="00CF04BC" w:rsidRPr="00B93493" w14:paraId="55DA1538"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9456B6D" w14:textId="77777777" w:rsidR="00CF04BC" w:rsidRPr="00B93493" w:rsidRDefault="00CF04BC" w:rsidP="002E7F54">
            <w:pPr>
              <w:pStyle w:val="Tabletext"/>
              <w:jc w:val="center"/>
            </w:pPr>
            <w:r w:rsidRPr="00B93493">
              <w:t>20</w:t>
            </w:r>
          </w:p>
        </w:tc>
        <w:tc>
          <w:tcPr>
            <w:tcW w:w="4122" w:type="dxa"/>
            <w:tcBorders>
              <w:top w:val="nil"/>
              <w:left w:val="nil"/>
              <w:bottom w:val="single" w:sz="4" w:space="0" w:color="auto"/>
              <w:right w:val="single" w:sz="4" w:space="0" w:color="auto"/>
            </w:tcBorders>
            <w:shd w:val="clear" w:color="auto" w:fill="auto"/>
            <w:noWrap/>
            <w:vAlign w:val="center"/>
          </w:tcPr>
          <w:p w14:paraId="4736DB7C" w14:textId="77777777" w:rsidR="00CF04BC" w:rsidRPr="00B93493" w:rsidRDefault="00CF04BC" w:rsidP="002E7F54">
            <w:pPr>
              <w:pStyle w:val="Tabletext"/>
              <w:jc w:val="center"/>
            </w:pPr>
            <w:r w:rsidRPr="00B93493">
              <w:t>Kamchatka Krai</w:t>
            </w:r>
          </w:p>
        </w:tc>
        <w:tc>
          <w:tcPr>
            <w:tcW w:w="1701" w:type="dxa"/>
            <w:tcBorders>
              <w:top w:val="single" w:sz="4" w:space="0" w:color="auto"/>
              <w:left w:val="nil"/>
              <w:bottom w:val="single" w:sz="4" w:space="0" w:color="auto"/>
              <w:right w:val="single" w:sz="4" w:space="0" w:color="auto"/>
            </w:tcBorders>
          </w:tcPr>
          <w:p w14:paraId="1E8F084E"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03E4D28" w14:textId="77777777" w:rsidR="00CF04BC" w:rsidRPr="00B93493" w:rsidRDefault="00CF04BC" w:rsidP="002E7F54">
            <w:pPr>
              <w:pStyle w:val="Tabletext"/>
              <w:jc w:val="center"/>
            </w:pPr>
            <w:r w:rsidRPr="00B93493">
              <w:t>9.6</w:t>
            </w:r>
          </w:p>
        </w:tc>
        <w:tc>
          <w:tcPr>
            <w:tcW w:w="1597" w:type="dxa"/>
            <w:tcBorders>
              <w:top w:val="nil"/>
              <w:left w:val="nil"/>
              <w:bottom w:val="single" w:sz="4" w:space="0" w:color="auto"/>
              <w:right w:val="single" w:sz="4" w:space="0" w:color="auto"/>
            </w:tcBorders>
            <w:vAlign w:val="center"/>
          </w:tcPr>
          <w:p w14:paraId="2122F9E9" w14:textId="77777777" w:rsidR="00CF04BC" w:rsidRPr="00B93493" w:rsidRDefault="00CF04BC" w:rsidP="002E7F54">
            <w:pPr>
              <w:pStyle w:val="Tabletext"/>
              <w:jc w:val="center"/>
            </w:pPr>
            <w:r w:rsidRPr="00B93493">
              <w:t>10.08</w:t>
            </w:r>
          </w:p>
        </w:tc>
      </w:tr>
      <w:tr w:rsidR="00CF04BC" w:rsidRPr="00B93493" w14:paraId="570AFA78"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A6CDA50" w14:textId="77777777" w:rsidR="00CF04BC" w:rsidRPr="00B93493" w:rsidRDefault="00CF04BC" w:rsidP="002E7F54">
            <w:pPr>
              <w:pStyle w:val="Tabletext"/>
              <w:jc w:val="center"/>
            </w:pPr>
            <w:r w:rsidRPr="00B93493">
              <w:t>21</w:t>
            </w:r>
          </w:p>
        </w:tc>
        <w:tc>
          <w:tcPr>
            <w:tcW w:w="4122" w:type="dxa"/>
            <w:tcBorders>
              <w:top w:val="nil"/>
              <w:left w:val="nil"/>
              <w:bottom w:val="single" w:sz="4" w:space="0" w:color="auto"/>
              <w:right w:val="single" w:sz="4" w:space="0" w:color="auto"/>
            </w:tcBorders>
            <w:shd w:val="clear" w:color="auto" w:fill="auto"/>
            <w:noWrap/>
            <w:vAlign w:val="center"/>
          </w:tcPr>
          <w:p w14:paraId="2D000827" w14:textId="77777777" w:rsidR="00CF04BC" w:rsidRPr="00B93493" w:rsidRDefault="00CF04BC" w:rsidP="002E7F54">
            <w:pPr>
              <w:pStyle w:val="Tabletext"/>
              <w:jc w:val="center"/>
            </w:pPr>
            <w:r w:rsidRPr="00B93493">
              <w:t>The Karachay-Cherkess Republic</w:t>
            </w:r>
          </w:p>
        </w:tc>
        <w:tc>
          <w:tcPr>
            <w:tcW w:w="1701" w:type="dxa"/>
            <w:tcBorders>
              <w:top w:val="single" w:sz="4" w:space="0" w:color="auto"/>
              <w:left w:val="nil"/>
              <w:bottom w:val="single" w:sz="4" w:space="0" w:color="auto"/>
              <w:right w:val="single" w:sz="4" w:space="0" w:color="auto"/>
            </w:tcBorders>
          </w:tcPr>
          <w:p w14:paraId="754598E1"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A06F258" w14:textId="77777777" w:rsidR="00CF04BC" w:rsidRPr="00B93493" w:rsidRDefault="00CF04BC" w:rsidP="002E7F54">
            <w:pPr>
              <w:pStyle w:val="Tabletext"/>
              <w:jc w:val="center"/>
            </w:pPr>
            <w:r w:rsidRPr="00B93493">
              <w:t>8.5</w:t>
            </w:r>
          </w:p>
        </w:tc>
        <w:tc>
          <w:tcPr>
            <w:tcW w:w="1597" w:type="dxa"/>
            <w:tcBorders>
              <w:top w:val="nil"/>
              <w:left w:val="nil"/>
              <w:bottom w:val="single" w:sz="4" w:space="0" w:color="auto"/>
              <w:right w:val="single" w:sz="4" w:space="0" w:color="auto"/>
            </w:tcBorders>
            <w:vAlign w:val="center"/>
          </w:tcPr>
          <w:p w14:paraId="478BBE29" w14:textId="77777777" w:rsidR="00CF04BC" w:rsidRPr="00B93493" w:rsidRDefault="00CF04BC" w:rsidP="002E7F54">
            <w:pPr>
              <w:pStyle w:val="Tabletext"/>
              <w:jc w:val="center"/>
            </w:pPr>
            <w:r w:rsidRPr="00B93493">
              <w:t>9.35</w:t>
            </w:r>
          </w:p>
        </w:tc>
      </w:tr>
      <w:tr w:rsidR="00CF04BC" w:rsidRPr="00B93493" w14:paraId="0909A599"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B37A3AF" w14:textId="77777777" w:rsidR="00CF04BC" w:rsidRPr="00B93493" w:rsidRDefault="00CF04BC" w:rsidP="002E7F54">
            <w:pPr>
              <w:pStyle w:val="Tabletext"/>
              <w:jc w:val="center"/>
            </w:pPr>
            <w:r w:rsidRPr="00B93493">
              <w:t>22</w:t>
            </w:r>
          </w:p>
        </w:tc>
        <w:tc>
          <w:tcPr>
            <w:tcW w:w="4122" w:type="dxa"/>
            <w:tcBorders>
              <w:top w:val="nil"/>
              <w:left w:val="nil"/>
              <w:bottom w:val="single" w:sz="4" w:space="0" w:color="auto"/>
              <w:right w:val="single" w:sz="4" w:space="0" w:color="auto"/>
            </w:tcBorders>
            <w:shd w:val="clear" w:color="auto" w:fill="auto"/>
            <w:noWrap/>
            <w:vAlign w:val="center"/>
          </w:tcPr>
          <w:p w14:paraId="008F6577" w14:textId="77777777" w:rsidR="00CF04BC" w:rsidRPr="00B93493" w:rsidRDefault="00CF04BC" w:rsidP="002E7F54">
            <w:pPr>
              <w:pStyle w:val="Tabletext"/>
              <w:jc w:val="center"/>
            </w:pPr>
            <w:r w:rsidRPr="00B93493">
              <w:t xml:space="preserve">Kemerovo Oblast </w:t>
            </w:r>
          </w:p>
        </w:tc>
        <w:tc>
          <w:tcPr>
            <w:tcW w:w="1701" w:type="dxa"/>
            <w:tcBorders>
              <w:top w:val="single" w:sz="4" w:space="0" w:color="auto"/>
              <w:left w:val="nil"/>
              <w:bottom w:val="single" w:sz="4" w:space="0" w:color="auto"/>
              <w:right w:val="single" w:sz="4" w:space="0" w:color="auto"/>
            </w:tcBorders>
          </w:tcPr>
          <w:p w14:paraId="1834477F"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8A78EA2" w14:textId="77777777" w:rsidR="00CF04BC" w:rsidRPr="00B93493" w:rsidRDefault="00CF04BC" w:rsidP="002E7F54">
            <w:pPr>
              <w:pStyle w:val="Tabletext"/>
              <w:jc w:val="center"/>
            </w:pPr>
            <w:r w:rsidRPr="00B93493">
              <w:t>68.0</w:t>
            </w:r>
          </w:p>
        </w:tc>
        <w:tc>
          <w:tcPr>
            <w:tcW w:w="1597" w:type="dxa"/>
            <w:tcBorders>
              <w:top w:val="nil"/>
              <w:left w:val="nil"/>
              <w:bottom w:val="single" w:sz="4" w:space="0" w:color="auto"/>
              <w:right w:val="single" w:sz="4" w:space="0" w:color="auto"/>
            </w:tcBorders>
            <w:vAlign w:val="center"/>
          </w:tcPr>
          <w:p w14:paraId="3F17A45F" w14:textId="77777777" w:rsidR="00CF04BC" w:rsidRPr="00B93493" w:rsidRDefault="00CF04BC" w:rsidP="002E7F54">
            <w:pPr>
              <w:pStyle w:val="Tabletext"/>
              <w:jc w:val="center"/>
            </w:pPr>
            <w:r w:rsidRPr="00B93493">
              <w:t>81.6</w:t>
            </w:r>
          </w:p>
        </w:tc>
      </w:tr>
      <w:tr w:rsidR="00CF04BC" w:rsidRPr="00B93493" w14:paraId="7516FFC5"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222888B" w14:textId="77777777" w:rsidR="00CF04BC" w:rsidRPr="00B93493" w:rsidRDefault="00CF04BC" w:rsidP="002E7F54">
            <w:pPr>
              <w:pStyle w:val="Tabletext"/>
              <w:jc w:val="center"/>
            </w:pPr>
            <w:r w:rsidRPr="00B93493">
              <w:t>23</w:t>
            </w:r>
          </w:p>
        </w:tc>
        <w:tc>
          <w:tcPr>
            <w:tcW w:w="4122" w:type="dxa"/>
            <w:tcBorders>
              <w:top w:val="nil"/>
              <w:left w:val="nil"/>
              <w:bottom w:val="single" w:sz="4" w:space="0" w:color="auto"/>
              <w:right w:val="single" w:sz="4" w:space="0" w:color="auto"/>
            </w:tcBorders>
            <w:shd w:val="clear" w:color="auto" w:fill="auto"/>
            <w:noWrap/>
            <w:vAlign w:val="center"/>
          </w:tcPr>
          <w:p w14:paraId="11DD0B8C" w14:textId="77777777" w:rsidR="00CF04BC" w:rsidRPr="00B93493" w:rsidRDefault="00CF04BC" w:rsidP="002E7F54">
            <w:pPr>
              <w:pStyle w:val="Tabletext"/>
              <w:jc w:val="center"/>
            </w:pPr>
            <w:r w:rsidRPr="00B93493">
              <w:t>Kirov Oblast</w:t>
            </w:r>
          </w:p>
        </w:tc>
        <w:tc>
          <w:tcPr>
            <w:tcW w:w="1701" w:type="dxa"/>
            <w:tcBorders>
              <w:top w:val="single" w:sz="4" w:space="0" w:color="auto"/>
              <w:left w:val="nil"/>
              <w:bottom w:val="single" w:sz="4" w:space="0" w:color="auto"/>
              <w:right w:val="single" w:sz="4" w:space="0" w:color="auto"/>
            </w:tcBorders>
          </w:tcPr>
          <w:p w14:paraId="6810C589"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6770424" w14:textId="77777777" w:rsidR="00CF04BC" w:rsidRPr="00B93493" w:rsidRDefault="00CF04BC" w:rsidP="002E7F54">
            <w:pPr>
              <w:pStyle w:val="Tabletext"/>
              <w:jc w:val="center"/>
            </w:pPr>
            <w:r w:rsidRPr="00B93493">
              <w:t>29.6</w:t>
            </w:r>
          </w:p>
        </w:tc>
        <w:tc>
          <w:tcPr>
            <w:tcW w:w="1597" w:type="dxa"/>
            <w:tcBorders>
              <w:top w:val="nil"/>
              <w:left w:val="nil"/>
              <w:bottom w:val="single" w:sz="4" w:space="0" w:color="auto"/>
              <w:right w:val="single" w:sz="4" w:space="0" w:color="auto"/>
            </w:tcBorders>
            <w:vAlign w:val="center"/>
          </w:tcPr>
          <w:p w14:paraId="7EE6BE14" w14:textId="77777777" w:rsidR="00CF04BC" w:rsidRPr="00B93493" w:rsidRDefault="00CF04BC" w:rsidP="002E7F54">
            <w:pPr>
              <w:pStyle w:val="Tabletext"/>
              <w:jc w:val="center"/>
            </w:pPr>
            <w:r w:rsidRPr="00B93493">
              <w:t>38.48</w:t>
            </w:r>
          </w:p>
        </w:tc>
      </w:tr>
      <w:tr w:rsidR="00CF04BC" w:rsidRPr="00B93493" w14:paraId="6846F348"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E5F282C" w14:textId="77777777" w:rsidR="00CF04BC" w:rsidRPr="00B93493" w:rsidRDefault="00CF04BC" w:rsidP="002E7F54">
            <w:pPr>
              <w:pStyle w:val="Tabletext"/>
              <w:jc w:val="center"/>
            </w:pPr>
            <w:r w:rsidRPr="00B93493">
              <w:t>24</w:t>
            </w:r>
          </w:p>
        </w:tc>
        <w:tc>
          <w:tcPr>
            <w:tcW w:w="4122" w:type="dxa"/>
            <w:tcBorders>
              <w:top w:val="nil"/>
              <w:left w:val="nil"/>
              <w:bottom w:val="single" w:sz="4" w:space="0" w:color="auto"/>
              <w:right w:val="single" w:sz="4" w:space="0" w:color="auto"/>
            </w:tcBorders>
            <w:shd w:val="clear" w:color="auto" w:fill="auto"/>
            <w:noWrap/>
            <w:vAlign w:val="center"/>
          </w:tcPr>
          <w:p w14:paraId="7394E058" w14:textId="77777777" w:rsidR="00CF04BC" w:rsidRPr="00B93493" w:rsidRDefault="00CF04BC" w:rsidP="002E7F54">
            <w:pPr>
              <w:pStyle w:val="Tabletext"/>
              <w:jc w:val="center"/>
            </w:pPr>
            <w:r w:rsidRPr="00B93493">
              <w:t>Kostroma Oblast</w:t>
            </w:r>
          </w:p>
        </w:tc>
        <w:tc>
          <w:tcPr>
            <w:tcW w:w="1701" w:type="dxa"/>
            <w:tcBorders>
              <w:top w:val="single" w:sz="4" w:space="0" w:color="auto"/>
              <w:left w:val="nil"/>
              <w:bottom w:val="single" w:sz="4" w:space="0" w:color="auto"/>
              <w:right w:val="single" w:sz="4" w:space="0" w:color="auto"/>
            </w:tcBorders>
          </w:tcPr>
          <w:p w14:paraId="316F914C"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025D7DE" w14:textId="77777777" w:rsidR="00CF04BC" w:rsidRPr="00B93493" w:rsidRDefault="00CF04BC" w:rsidP="002E7F54">
            <w:pPr>
              <w:pStyle w:val="Tabletext"/>
              <w:jc w:val="center"/>
            </w:pPr>
            <w:r w:rsidRPr="00B93493">
              <w:t>13.8</w:t>
            </w:r>
          </w:p>
        </w:tc>
        <w:tc>
          <w:tcPr>
            <w:tcW w:w="1597" w:type="dxa"/>
            <w:tcBorders>
              <w:top w:val="nil"/>
              <w:left w:val="nil"/>
              <w:bottom w:val="single" w:sz="4" w:space="0" w:color="auto"/>
              <w:right w:val="single" w:sz="4" w:space="0" w:color="auto"/>
            </w:tcBorders>
            <w:vAlign w:val="center"/>
          </w:tcPr>
          <w:p w14:paraId="66D72F85" w14:textId="77777777" w:rsidR="00CF04BC" w:rsidRPr="00B93493" w:rsidRDefault="00CF04BC" w:rsidP="002E7F54">
            <w:pPr>
              <w:pStyle w:val="Tabletext"/>
              <w:jc w:val="center"/>
            </w:pPr>
            <w:r w:rsidRPr="00B93493">
              <w:t>15.87</w:t>
            </w:r>
          </w:p>
        </w:tc>
      </w:tr>
      <w:tr w:rsidR="00CF04BC" w:rsidRPr="00B93493" w14:paraId="78B0A0E2"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4EFF590" w14:textId="77777777" w:rsidR="00CF04BC" w:rsidRPr="00B93493" w:rsidRDefault="00CF04BC" w:rsidP="002E7F54">
            <w:pPr>
              <w:pStyle w:val="Tabletext"/>
              <w:jc w:val="center"/>
            </w:pPr>
            <w:r w:rsidRPr="00B93493">
              <w:t>25</w:t>
            </w:r>
          </w:p>
        </w:tc>
        <w:tc>
          <w:tcPr>
            <w:tcW w:w="4122" w:type="dxa"/>
            <w:tcBorders>
              <w:top w:val="nil"/>
              <w:left w:val="nil"/>
              <w:bottom w:val="single" w:sz="4" w:space="0" w:color="auto"/>
              <w:right w:val="single" w:sz="4" w:space="0" w:color="auto"/>
            </w:tcBorders>
            <w:shd w:val="clear" w:color="auto" w:fill="auto"/>
            <w:noWrap/>
            <w:vAlign w:val="center"/>
          </w:tcPr>
          <w:p w14:paraId="04AC5814" w14:textId="77777777" w:rsidR="00CF04BC" w:rsidRPr="00B93493" w:rsidRDefault="00CF04BC" w:rsidP="002E7F54">
            <w:pPr>
              <w:pStyle w:val="Tabletext"/>
              <w:jc w:val="center"/>
            </w:pPr>
            <w:r w:rsidRPr="00B93493">
              <w:t>Krasnodar Krai</w:t>
            </w:r>
          </w:p>
        </w:tc>
        <w:tc>
          <w:tcPr>
            <w:tcW w:w="1701" w:type="dxa"/>
            <w:tcBorders>
              <w:top w:val="single" w:sz="4" w:space="0" w:color="auto"/>
              <w:left w:val="nil"/>
              <w:bottom w:val="single" w:sz="4" w:space="0" w:color="auto"/>
              <w:right w:val="single" w:sz="4" w:space="0" w:color="auto"/>
            </w:tcBorders>
          </w:tcPr>
          <w:p w14:paraId="62BBA4AC"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3A9372B" w14:textId="77777777" w:rsidR="00CF04BC" w:rsidRPr="00B93493" w:rsidRDefault="00CF04BC" w:rsidP="002E7F54">
            <w:pPr>
              <w:pStyle w:val="Tabletext"/>
              <w:jc w:val="center"/>
            </w:pPr>
            <w:r w:rsidRPr="00B93493">
              <w:t>126.2</w:t>
            </w:r>
          </w:p>
        </w:tc>
        <w:tc>
          <w:tcPr>
            <w:tcW w:w="1597" w:type="dxa"/>
            <w:tcBorders>
              <w:top w:val="nil"/>
              <w:left w:val="nil"/>
              <w:bottom w:val="single" w:sz="4" w:space="0" w:color="auto"/>
              <w:right w:val="single" w:sz="4" w:space="0" w:color="auto"/>
            </w:tcBorders>
            <w:vAlign w:val="center"/>
          </w:tcPr>
          <w:p w14:paraId="1DB660EA" w14:textId="77777777" w:rsidR="00CF04BC" w:rsidRPr="00B93493" w:rsidRDefault="00CF04BC" w:rsidP="002E7F54">
            <w:pPr>
              <w:pStyle w:val="Tabletext"/>
              <w:jc w:val="center"/>
            </w:pPr>
            <w:r w:rsidRPr="00B93493">
              <w:t>170.37</w:t>
            </w:r>
          </w:p>
        </w:tc>
      </w:tr>
      <w:tr w:rsidR="00CF04BC" w:rsidRPr="00B93493" w14:paraId="15113355"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B1900EE" w14:textId="77777777" w:rsidR="00CF04BC" w:rsidRPr="00B93493" w:rsidRDefault="00CF04BC" w:rsidP="002E7F54">
            <w:pPr>
              <w:pStyle w:val="Tabletext"/>
              <w:jc w:val="center"/>
            </w:pPr>
            <w:r w:rsidRPr="00B93493">
              <w:t>26</w:t>
            </w:r>
          </w:p>
        </w:tc>
        <w:tc>
          <w:tcPr>
            <w:tcW w:w="4122" w:type="dxa"/>
            <w:tcBorders>
              <w:top w:val="nil"/>
              <w:left w:val="nil"/>
              <w:bottom w:val="single" w:sz="4" w:space="0" w:color="auto"/>
              <w:right w:val="single" w:sz="4" w:space="0" w:color="auto"/>
            </w:tcBorders>
            <w:shd w:val="clear" w:color="auto" w:fill="auto"/>
            <w:noWrap/>
            <w:vAlign w:val="center"/>
          </w:tcPr>
          <w:p w14:paraId="794563A1" w14:textId="77777777" w:rsidR="00CF04BC" w:rsidRPr="00B93493" w:rsidRDefault="00CF04BC" w:rsidP="002E7F54">
            <w:pPr>
              <w:pStyle w:val="Tabletext"/>
              <w:jc w:val="center"/>
            </w:pPr>
            <w:r w:rsidRPr="00B93493">
              <w:t>Krasnoyarsk Krai</w:t>
            </w:r>
          </w:p>
        </w:tc>
        <w:tc>
          <w:tcPr>
            <w:tcW w:w="1701" w:type="dxa"/>
            <w:tcBorders>
              <w:top w:val="single" w:sz="4" w:space="0" w:color="auto"/>
              <w:left w:val="nil"/>
              <w:bottom w:val="single" w:sz="4" w:space="0" w:color="auto"/>
              <w:right w:val="single" w:sz="4" w:space="0" w:color="auto"/>
            </w:tcBorders>
          </w:tcPr>
          <w:p w14:paraId="760C0807"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69CEE27" w14:textId="77777777" w:rsidR="00CF04BC" w:rsidRPr="00B93493" w:rsidRDefault="00CF04BC" w:rsidP="002E7F54">
            <w:pPr>
              <w:pStyle w:val="Tabletext"/>
              <w:jc w:val="center"/>
            </w:pPr>
            <w:r w:rsidRPr="00B93493">
              <w:t>70.5</w:t>
            </w:r>
          </w:p>
        </w:tc>
        <w:tc>
          <w:tcPr>
            <w:tcW w:w="1597" w:type="dxa"/>
            <w:tcBorders>
              <w:top w:val="nil"/>
              <w:left w:val="nil"/>
              <w:bottom w:val="single" w:sz="4" w:space="0" w:color="auto"/>
              <w:right w:val="single" w:sz="4" w:space="0" w:color="auto"/>
            </w:tcBorders>
            <w:vAlign w:val="center"/>
          </w:tcPr>
          <w:p w14:paraId="0D692084" w14:textId="77777777" w:rsidR="00CF04BC" w:rsidRPr="00B93493" w:rsidRDefault="00CF04BC" w:rsidP="002E7F54">
            <w:pPr>
              <w:pStyle w:val="Tabletext"/>
              <w:jc w:val="center"/>
            </w:pPr>
            <w:r w:rsidRPr="00B93493">
              <w:t>84.6</w:t>
            </w:r>
          </w:p>
        </w:tc>
      </w:tr>
      <w:tr w:rsidR="00CF04BC" w:rsidRPr="00B93493" w14:paraId="67CF4713"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FEB1361" w14:textId="77777777" w:rsidR="00CF04BC" w:rsidRPr="00B93493" w:rsidRDefault="00CF04BC" w:rsidP="002E7F54">
            <w:pPr>
              <w:pStyle w:val="Tabletext"/>
              <w:jc w:val="center"/>
            </w:pPr>
            <w:r w:rsidRPr="00B93493">
              <w:t>27</w:t>
            </w:r>
          </w:p>
        </w:tc>
        <w:tc>
          <w:tcPr>
            <w:tcW w:w="4122" w:type="dxa"/>
            <w:tcBorders>
              <w:top w:val="nil"/>
              <w:left w:val="nil"/>
              <w:bottom w:val="single" w:sz="4" w:space="0" w:color="auto"/>
              <w:right w:val="single" w:sz="4" w:space="0" w:color="auto"/>
            </w:tcBorders>
            <w:shd w:val="clear" w:color="auto" w:fill="auto"/>
            <w:noWrap/>
            <w:vAlign w:val="center"/>
          </w:tcPr>
          <w:p w14:paraId="08533F5E" w14:textId="77777777" w:rsidR="00CF04BC" w:rsidRPr="00B93493" w:rsidRDefault="00CF04BC" w:rsidP="002E7F54">
            <w:pPr>
              <w:pStyle w:val="Tabletext"/>
              <w:jc w:val="center"/>
            </w:pPr>
            <w:r w:rsidRPr="00B93493">
              <w:t>Kurgan Oblast</w:t>
            </w:r>
          </w:p>
        </w:tc>
        <w:tc>
          <w:tcPr>
            <w:tcW w:w="1701" w:type="dxa"/>
            <w:tcBorders>
              <w:top w:val="single" w:sz="4" w:space="0" w:color="auto"/>
              <w:left w:val="nil"/>
              <w:bottom w:val="single" w:sz="4" w:space="0" w:color="auto"/>
              <w:right w:val="single" w:sz="4" w:space="0" w:color="auto"/>
            </w:tcBorders>
          </w:tcPr>
          <w:p w14:paraId="7CB2A56D"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C815436" w14:textId="77777777" w:rsidR="00CF04BC" w:rsidRPr="00B93493" w:rsidRDefault="00CF04BC" w:rsidP="002E7F54">
            <w:pPr>
              <w:pStyle w:val="Tabletext"/>
              <w:jc w:val="center"/>
            </w:pPr>
            <w:r w:rsidRPr="00B93493">
              <w:t>20.4</w:t>
            </w:r>
          </w:p>
        </w:tc>
        <w:tc>
          <w:tcPr>
            <w:tcW w:w="1597" w:type="dxa"/>
            <w:tcBorders>
              <w:top w:val="nil"/>
              <w:left w:val="nil"/>
              <w:bottom w:val="single" w:sz="4" w:space="0" w:color="auto"/>
              <w:right w:val="single" w:sz="4" w:space="0" w:color="auto"/>
            </w:tcBorders>
            <w:vAlign w:val="center"/>
          </w:tcPr>
          <w:p w14:paraId="38888125" w14:textId="77777777" w:rsidR="00CF04BC" w:rsidRPr="00B93493" w:rsidRDefault="00CF04BC" w:rsidP="002E7F54">
            <w:pPr>
              <w:pStyle w:val="Tabletext"/>
              <w:jc w:val="center"/>
            </w:pPr>
            <w:r w:rsidRPr="00B93493">
              <w:t>43.86</w:t>
            </w:r>
          </w:p>
        </w:tc>
      </w:tr>
      <w:tr w:rsidR="00CF04BC" w:rsidRPr="00B93493" w14:paraId="49830B29"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5E68D8E" w14:textId="77777777" w:rsidR="00CF04BC" w:rsidRPr="00B93493" w:rsidRDefault="00CF04BC" w:rsidP="002E7F54">
            <w:pPr>
              <w:pStyle w:val="Tabletext"/>
              <w:jc w:val="center"/>
            </w:pPr>
            <w:r w:rsidRPr="00B93493">
              <w:t>28</w:t>
            </w:r>
          </w:p>
        </w:tc>
        <w:tc>
          <w:tcPr>
            <w:tcW w:w="4122" w:type="dxa"/>
            <w:tcBorders>
              <w:top w:val="nil"/>
              <w:left w:val="nil"/>
              <w:bottom w:val="single" w:sz="4" w:space="0" w:color="auto"/>
              <w:right w:val="single" w:sz="4" w:space="0" w:color="auto"/>
            </w:tcBorders>
            <w:shd w:val="clear" w:color="auto" w:fill="auto"/>
            <w:noWrap/>
            <w:vAlign w:val="center"/>
          </w:tcPr>
          <w:p w14:paraId="48D13868" w14:textId="77777777" w:rsidR="00CF04BC" w:rsidRPr="00B93493" w:rsidRDefault="00CF04BC" w:rsidP="002E7F54">
            <w:pPr>
              <w:pStyle w:val="Tabletext"/>
              <w:jc w:val="center"/>
            </w:pPr>
            <w:r w:rsidRPr="00B93493">
              <w:t>Kursk Oblast</w:t>
            </w:r>
          </w:p>
        </w:tc>
        <w:tc>
          <w:tcPr>
            <w:tcW w:w="1701" w:type="dxa"/>
            <w:tcBorders>
              <w:top w:val="single" w:sz="4" w:space="0" w:color="auto"/>
              <w:left w:val="nil"/>
              <w:bottom w:val="single" w:sz="4" w:space="0" w:color="auto"/>
              <w:right w:val="single" w:sz="4" w:space="0" w:color="auto"/>
            </w:tcBorders>
          </w:tcPr>
          <w:p w14:paraId="1D6DD3FC"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96A3B19" w14:textId="77777777" w:rsidR="00CF04BC" w:rsidRPr="00B93493" w:rsidRDefault="00CF04BC" w:rsidP="002E7F54">
            <w:pPr>
              <w:pStyle w:val="Tabletext"/>
              <w:jc w:val="center"/>
            </w:pPr>
            <w:r w:rsidRPr="00B93493">
              <w:t>24.3</w:t>
            </w:r>
          </w:p>
        </w:tc>
        <w:tc>
          <w:tcPr>
            <w:tcW w:w="1597" w:type="dxa"/>
            <w:tcBorders>
              <w:top w:val="nil"/>
              <w:left w:val="nil"/>
              <w:bottom w:val="single" w:sz="4" w:space="0" w:color="auto"/>
              <w:right w:val="single" w:sz="4" w:space="0" w:color="auto"/>
            </w:tcBorders>
            <w:vAlign w:val="center"/>
          </w:tcPr>
          <w:p w14:paraId="1B69EBAD" w14:textId="77777777" w:rsidR="00CF04BC" w:rsidRPr="00B93493" w:rsidRDefault="00CF04BC" w:rsidP="002E7F54">
            <w:pPr>
              <w:pStyle w:val="Tabletext"/>
              <w:jc w:val="center"/>
            </w:pPr>
            <w:r w:rsidRPr="00B93493">
              <w:t>31.59</w:t>
            </w:r>
          </w:p>
        </w:tc>
      </w:tr>
      <w:tr w:rsidR="00CF04BC" w:rsidRPr="00B93493" w14:paraId="668EB368"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3501064" w14:textId="77777777" w:rsidR="00CF04BC" w:rsidRPr="00B93493" w:rsidRDefault="00CF04BC" w:rsidP="002E7F54">
            <w:pPr>
              <w:pStyle w:val="Tabletext"/>
              <w:jc w:val="center"/>
            </w:pPr>
            <w:r w:rsidRPr="00B93493">
              <w:t>29</w:t>
            </w:r>
          </w:p>
        </w:tc>
        <w:tc>
          <w:tcPr>
            <w:tcW w:w="4122" w:type="dxa"/>
            <w:tcBorders>
              <w:top w:val="nil"/>
              <w:left w:val="nil"/>
              <w:bottom w:val="single" w:sz="4" w:space="0" w:color="auto"/>
              <w:right w:val="single" w:sz="4" w:space="0" w:color="auto"/>
            </w:tcBorders>
            <w:shd w:val="clear" w:color="auto" w:fill="auto"/>
            <w:noWrap/>
            <w:vAlign w:val="center"/>
          </w:tcPr>
          <w:p w14:paraId="7191A6C4" w14:textId="77777777" w:rsidR="00CF04BC" w:rsidRPr="00B93493" w:rsidRDefault="00CF04BC" w:rsidP="002E7F54">
            <w:pPr>
              <w:pStyle w:val="Tabletext"/>
              <w:jc w:val="center"/>
            </w:pPr>
            <w:r w:rsidRPr="00B93493">
              <w:t>Leningrad Oblast</w:t>
            </w:r>
          </w:p>
        </w:tc>
        <w:tc>
          <w:tcPr>
            <w:tcW w:w="1701" w:type="dxa"/>
            <w:tcBorders>
              <w:top w:val="single" w:sz="4" w:space="0" w:color="auto"/>
              <w:left w:val="nil"/>
              <w:bottom w:val="single" w:sz="4" w:space="0" w:color="auto"/>
              <w:right w:val="single" w:sz="4" w:space="0" w:color="auto"/>
            </w:tcBorders>
          </w:tcPr>
          <w:p w14:paraId="7BB79041"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C2612E9" w14:textId="77777777" w:rsidR="00CF04BC" w:rsidRPr="00B93493" w:rsidRDefault="00CF04BC" w:rsidP="002E7F54">
            <w:pPr>
              <w:pStyle w:val="Tabletext"/>
              <w:jc w:val="center"/>
            </w:pPr>
            <w:r w:rsidRPr="00B93493">
              <w:t>46.1</w:t>
            </w:r>
          </w:p>
        </w:tc>
        <w:tc>
          <w:tcPr>
            <w:tcW w:w="1597" w:type="dxa"/>
            <w:tcBorders>
              <w:top w:val="nil"/>
              <w:left w:val="nil"/>
              <w:bottom w:val="single" w:sz="4" w:space="0" w:color="auto"/>
              <w:right w:val="single" w:sz="4" w:space="0" w:color="auto"/>
            </w:tcBorders>
            <w:vAlign w:val="center"/>
          </w:tcPr>
          <w:p w14:paraId="6BB053E0" w14:textId="77777777" w:rsidR="00CF04BC" w:rsidRPr="00B93493" w:rsidRDefault="00CF04BC" w:rsidP="002E7F54">
            <w:pPr>
              <w:pStyle w:val="Tabletext"/>
              <w:jc w:val="center"/>
            </w:pPr>
            <w:r w:rsidRPr="00B93493">
              <w:t>53.015</w:t>
            </w:r>
          </w:p>
        </w:tc>
      </w:tr>
      <w:tr w:rsidR="00CF04BC" w:rsidRPr="00B93493" w14:paraId="5ED409DA"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B858084" w14:textId="77777777" w:rsidR="00CF04BC" w:rsidRPr="00B93493" w:rsidRDefault="00CF04BC" w:rsidP="002E7F54">
            <w:pPr>
              <w:pStyle w:val="Tabletext"/>
              <w:jc w:val="center"/>
            </w:pPr>
            <w:r w:rsidRPr="00B93493">
              <w:t>30</w:t>
            </w:r>
          </w:p>
        </w:tc>
        <w:tc>
          <w:tcPr>
            <w:tcW w:w="4122" w:type="dxa"/>
            <w:tcBorders>
              <w:top w:val="nil"/>
              <w:left w:val="nil"/>
              <w:bottom w:val="single" w:sz="4" w:space="0" w:color="auto"/>
              <w:right w:val="single" w:sz="4" w:space="0" w:color="auto"/>
            </w:tcBorders>
            <w:shd w:val="clear" w:color="auto" w:fill="auto"/>
            <w:noWrap/>
            <w:vAlign w:val="center"/>
          </w:tcPr>
          <w:p w14:paraId="1B9FF25D" w14:textId="77777777" w:rsidR="00CF04BC" w:rsidRPr="00B93493" w:rsidRDefault="00CF04BC" w:rsidP="002E7F54">
            <w:pPr>
              <w:pStyle w:val="Tabletext"/>
              <w:jc w:val="center"/>
            </w:pPr>
            <w:r w:rsidRPr="00B93493">
              <w:t>Lipetsk Oblast</w:t>
            </w:r>
          </w:p>
        </w:tc>
        <w:tc>
          <w:tcPr>
            <w:tcW w:w="1701" w:type="dxa"/>
            <w:tcBorders>
              <w:top w:val="single" w:sz="4" w:space="0" w:color="auto"/>
              <w:left w:val="nil"/>
              <w:bottom w:val="single" w:sz="4" w:space="0" w:color="auto"/>
              <w:right w:val="single" w:sz="4" w:space="0" w:color="auto"/>
            </w:tcBorders>
          </w:tcPr>
          <w:p w14:paraId="6221AC48"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0DB1F79" w14:textId="77777777" w:rsidR="00CF04BC" w:rsidRPr="00B93493" w:rsidRDefault="00CF04BC" w:rsidP="002E7F54">
            <w:pPr>
              <w:pStyle w:val="Tabletext"/>
              <w:jc w:val="center"/>
            </w:pPr>
            <w:r w:rsidRPr="00B93493">
              <w:t>25.2</w:t>
            </w:r>
          </w:p>
        </w:tc>
        <w:tc>
          <w:tcPr>
            <w:tcW w:w="1597" w:type="dxa"/>
            <w:tcBorders>
              <w:top w:val="nil"/>
              <w:left w:val="nil"/>
              <w:bottom w:val="single" w:sz="4" w:space="0" w:color="auto"/>
              <w:right w:val="single" w:sz="4" w:space="0" w:color="auto"/>
            </w:tcBorders>
            <w:vAlign w:val="center"/>
          </w:tcPr>
          <w:p w14:paraId="31532C37" w14:textId="77777777" w:rsidR="00CF04BC" w:rsidRPr="00B93493" w:rsidRDefault="00CF04BC" w:rsidP="002E7F54">
            <w:pPr>
              <w:pStyle w:val="Tabletext"/>
              <w:jc w:val="center"/>
            </w:pPr>
            <w:r w:rsidRPr="00B93493">
              <w:t>32.76</w:t>
            </w:r>
          </w:p>
        </w:tc>
      </w:tr>
      <w:tr w:rsidR="00CF04BC" w:rsidRPr="00B93493" w14:paraId="5F3C2D1A"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78AE22A" w14:textId="77777777" w:rsidR="00CF04BC" w:rsidRPr="00B93493" w:rsidRDefault="00CF04BC" w:rsidP="002E7F54">
            <w:pPr>
              <w:pStyle w:val="Tabletext"/>
              <w:jc w:val="center"/>
            </w:pPr>
            <w:r w:rsidRPr="00B93493">
              <w:t>31</w:t>
            </w:r>
          </w:p>
        </w:tc>
        <w:tc>
          <w:tcPr>
            <w:tcW w:w="4122" w:type="dxa"/>
            <w:tcBorders>
              <w:top w:val="nil"/>
              <w:left w:val="nil"/>
              <w:bottom w:val="single" w:sz="4" w:space="0" w:color="auto"/>
              <w:right w:val="single" w:sz="4" w:space="0" w:color="auto"/>
            </w:tcBorders>
            <w:shd w:val="clear" w:color="auto" w:fill="auto"/>
            <w:noWrap/>
            <w:vAlign w:val="center"/>
          </w:tcPr>
          <w:p w14:paraId="7613234C" w14:textId="77777777" w:rsidR="00CF04BC" w:rsidRPr="00B93493" w:rsidRDefault="00CF04BC" w:rsidP="002E7F54">
            <w:pPr>
              <w:pStyle w:val="Tabletext"/>
              <w:jc w:val="center"/>
            </w:pPr>
            <w:r w:rsidRPr="00B93493">
              <w:t>Magadan Oblast</w:t>
            </w:r>
          </w:p>
        </w:tc>
        <w:tc>
          <w:tcPr>
            <w:tcW w:w="1701" w:type="dxa"/>
            <w:tcBorders>
              <w:top w:val="single" w:sz="4" w:space="0" w:color="auto"/>
              <w:left w:val="nil"/>
              <w:bottom w:val="single" w:sz="4" w:space="0" w:color="auto"/>
              <w:right w:val="single" w:sz="4" w:space="0" w:color="auto"/>
            </w:tcBorders>
          </w:tcPr>
          <w:p w14:paraId="573E03BC"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1221725" w14:textId="77777777" w:rsidR="00CF04BC" w:rsidRPr="00B93493" w:rsidRDefault="00CF04BC" w:rsidP="002E7F54">
            <w:pPr>
              <w:pStyle w:val="Tabletext"/>
              <w:jc w:val="center"/>
            </w:pPr>
            <w:r w:rsidRPr="00B93493">
              <w:t>5.2</w:t>
            </w:r>
          </w:p>
        </w:tc>
        <w:tc>
          <w:tcPr>
            <w:tcW w:w="1597" w:type="dxa"/>
            <w:tcBorders>
              <w:top w:val="nil"/>
              <w:left w:val="nil"/>
              <w:bottom w:val="single" w:sz="4" w:space="0" w:color="auto"/>
              <w:right w:val="single" w:sz="4" w:space="0" w:color="auto"/>
            </w:tcBorders>
            <w:vAlign w:val="center"/>
          </w:tcPr>
          <w:p w14:paraId="13DEA3BC" w14:textId="77777777" w:rsidR="00CF04BC" w:rsidRPr="00B93493" w:rsidRDefault="00CF04BC" w:rsidP="002E7F54">
            <w:pPr>
              <w:pStyle w:val="Tabletext"/>
              <w:jc w:val="center"/>
            </w:pPr>
            <w:r w:rsidRPr="00B93493">
              <w:t>-</w:t>
            </w:r>
          </w:p>
        </w:tc>
      </w:tr>
      <w:tr w:rsidR="00CF04BC" w:rsidRPr="00B93493" w14:paraId="14388211"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29B2091" w14:textId="77777777" w:rsidR="00CF04BC" w:rsidRPr="00B93493" w:rsidRDefault="00CF04BC" w:rsidP="002E7F54">
            <w:pPr>
              <w:pStyle w:val="Tabletext"/>
              <w:jc w:val="center"/>
            </w:pPr>
            <w:r w:rsidRPr="00B93493">
              <w:t>32</w:t>
            </w:r>
          </w:p>
        </w:tc>
        <w:tc>
          <w:tcPr>
            <w:tcW w:w="4122" w:type="dxa"/>
            <w:tcBorders>
              <w:top w:val="nil"/>
              <w:left w:val="nil"/>
              <w:bottom w:val="single" w:sz="4" w:space="0" w:color="auto"/>
              <w:right w:val="single" w:sz="4" w:space="0" w:color="auto"/>
            </w:tcBorders>
            <w:shd w:val="clear" w:color="auto" w:fill="auto"/>
            <w:noWrap/>
            <w:vAlign w:val="center"/>
          </w:tcPr>
          <w:p w14:paraId="343D1BDD" w14:textId="77777777" w:rsidR="00CF04BC" w:rsidRPr="00B93493" w:rsidRDefault="00CF04BC" w:rsidP="002E7F54">
            <w:pPr>
              <w:pStyle w:val="Tabletext"/>
              <w:jc w:val="center"/>
            </w:pPr>
            <w:r w:rsidRPr="00B93493">
              <w:t>Murmansk Oblast</w:t>
            </w:r>
          </w:p>
        </w:tc>
        <w:tc>
          <w:tcPr>
            <w:tcW w:w="1701" w:type="dxa"/>
            <w:tcBorders>
              <w:top w:val="single" w:sz="4" w:space="0" w:color="auto"/>
              <w:left w:val="nil"/>
              <w:bottom w:val="single" w:sz="4" w:space="0" w:color="auto"/>
              <w:right w:val="single" w:sz="4" w:space="0" w:color="auto"/>
            </w:tcBorders>
          </w:tcPr>
          <w:p w14:paraId="2762C82D"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3A6267D" w14:textId="77777777" w:rsidR="00CF04BC" w:rsidRPr="00B93493" w:rsidRDefault="00CF04BC" w:rsidP="002E7F54">
            <w:pPr>
              <w:pStyle w:val="Tabletext"/>
              <w:jc w:val="center"/>
            </w:pPr>
            <w:r w:rsidRPr="00B93493">
              <w:t>20.9</w:t>
            </w:r>
          </w:p>
        </w:tc>
        <w:tc>
          <w:tcPr>
            <w:tcW w:w="1597" w:type="dxa"/>
            <w:tcBorders>
              <w:top w:val="nil"/>
              <w:left w:val="nil"/>
              <w:bottom w:val="single" w:sz="4" w:space="0" w:color="auto"/>
              <w:right w:val="single" w:sz="4" w:space="0" w:color="auto"/>
            </w:tcBorders>
            <w:vAlign w:val="center"/>
          </w:tcPr>
          <w:p w14:paraId="681F4F77" w14:textId="77777777" w:rsidR="00CF04BC" w:rsidRPr="00B93493" w:rsidRDefault="00CF04BC" w:rsidP="002E7F54">
            <w:pPr>
              <w:pStyle w:val="Tabletext"/>
              <w:jc w:val="center"/>
            </w:pPr>
            <w:r w:rsidRPr="00B93493">
              <w:t>21.945</w:t>
            </w:r>
          </w:p>
        </w:tc>
      </w:tr>
      <w:tr w:rsidR="00CF04BC" w:rsidRPr="00B93493" w14:paraId="0BFF7DB4"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6E286FD" w14:textId="77777777" w:rsidR="00CF04BC" w:rsidRPr="00B93493" w:rsidRDefault="00CF04BC" w:rsidP="002E7F54">
            <w:pPr>
              <w:pStyle w:val="Tabletext"/>
              <w:jc w:val="center"/>
            </w:pPr>
            <w:r w:rsidRPr="00B93493">
              <w:t>33</w:t>
            </w:r>
          </w:p>
        </w:tc>
        <w:tc>
          <w:tcPr>
            <w:tcW w:w="4122" w:type="dxa"/>
            <w:tcBorders>
              <w:top w:val="nil"/>
              <w:left w:val="nil"/>
              <w:bottom w:val="single" w:sz="4" w:space="0" w:color="auto"/>
              <w:right w:val="single" w:sz="4" w:space="0" w:color="auto"/>
            </w:tcBorders>
            <w:shd w:val="clear" w:color="auto" w:fill="auto"/>
            <w:noWrap/>
            <w:vAlign w:val="center"/>
          </w:tcPr>
          <w:p w14:paraId="4B617652" w14:textId="77777777" w:rsidR="00CF04BC" w:rsidRPr="00B93493" w:rsidRDefault="00CF04BC" w:rsidP="002E7F54">
            <w:pPr>
              <w:pStyle w:val="Tabletext"/>
              <w:jc w:val="center"/>
            </w:pPr>
            <w:r w:rsidRPr="00B93493">
              <w:t>Nenets Autonomous Okrug</w:t>
            </w:r>
          </w:p>
        </w:tc>
        <w:tc>
          <w:tcPr>
            <w:tcW w:w="1701" w:type="dxa"/>
            <w:tcBorders>
              <w:top w:val="single" w:sz="4" w:space="0" w:color="auto"/>
              <w:left w:val="nil"/>
              <w:bottom w:val="single" w:sz="4" w:space="0" w:color="auto"/>
              <w:right w:val="single" w:sz="4" w:space="0" w:color="auto"/>
            </w:tcBorders>
          </w:tcPr>
          <w:p w14:paraId="7504FC88"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B58D7F4" w14:textId="77777777" w:rsidR="00CF04BC" w:rsidRPr="00B93493" w:rsidRDefault="00CF04BC" w:rsidP="002E7F54">
            <w:pPr>
              <w:pStyle w:val="Tabletext"/>
              <w:jc w:val="center"/>
            </w:pPr>
            <w:r w:rsidRPr="00B93493">
              <w:t>1.1</w:t>
            </w:r>
          </w:p>
        </w:tc>
        <w:tc>
          <w:tcPr>
            <w:tcW w:w="1597" w:type="dxa"/>
            <w:tcBorders>
              <w:top w:val="nil"/>
              <w:left w:val="nil"/>
              <w:bottom w:val="single" w:sz="4" w:space="0" w:color="auto"/>
              <w:right w:val="single" w:sz="4" w:space="0" w:color="auto"/>
            </w:tcBorders>
            <w:vAlign w:val="center"/>
          </w:tcPr>
          <w:p w14:paraId="7A6190DE" w14:textId="77777777" w:rsidR="00CF04BC" w:rsidRPr="00B93493" w:rsidRDefault="00CF04BC" w:rsidP="002E7F54">
            <w:pPr>
              <w:pStyle w:val="Tabletext"/>
              <w:jc w:val="center"/>
            </w:pPr>
            <w:r w:rsidRPr="00B93493">
              <w:t>1.155</w:t>
            </w:r>
          </w:p>
        </w:tc>
      </w:tr>
      <w:tr w:rsidR="00CF04BC" w:rsidRPr="00B93493" w14:paraId="0EBC47A0"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38608FA" w14:textId="77777777" w:rsidR="00CF04BC" w:rsidRPr="00B93493" w:rsidRDefault="00CF04BC" w:rsidP="002E7F54">
            <w:pPr>
              <w:pStyle w:val="Tabletext"/>
              <w:jc w:val="center"/>
            </w:pPr>
            <w:r w:rsidRPr="00B93493">
              <w:t>34</w:t>
            </w:r>
          </w:p>
        </w:tc>
        <w:tc>
          <w:tcPr>
            <w:tcW w:w="4122" w:type="dxa"/>
            <w:tcBorders>
              <w:top w:val="nil"/>
              <w:left w:val="nil"/>
              <w:bottom w:val="single" w:sz="4" w:space="0" w:color="auto"/>
              <w:right w:val="single" w:sz="4" w:space="0" w:color="auto"/>
            </w:tcBorders>
            <w:shd w:val="clear" w:color="auto" w:fill="auto"/>
            <w:noWrap/>
            <w:vAlign w:val="center"/>
          </w:tcPr>
          <w:p w14:paraId="28134D91" w14:textId="77777777" w:rsidR="00CF04BC" w:rsidRPr="00B93493" w:rsidRDefault="00CF04BC" w:rsidP="002E7F54">
            <w:pPr>
              <w:pStyle w:val="Tabletext"/>
              <w:jc w:val="center"/>
            </w:pPr>
            <w:r w:rsidRPr="00B93493">
              <w:t>Nizhny Novgorod Oblast</w:t>
            </w:r>
          </w:p>
        </w:tc>
        <w:tc>
          <w:tcPr>
            <w:tcW w:w="1701" w:type="dxa"/>
            <w:tcBorders>
              <w:top w:val="single" w:sz="4" w:space="0" w:color="auto"/>
              <w:left w:val="nil"/>
              <w:bottom w:val="single" w:sz="4" w:space="0" w:color="auto"/>
              <w:right w:val="single" w:sz="4" w:space="0" w:color="auto"/>
            </w:tcBorders>
          </w:tcPr>
          <w:p w14:paraId="079378FD"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F953610" w14:textId="77777777" w:rsidR="00CF04BC" w:rsidRPr="00B93493" w:rsidRDefault="00CF04BC" w:rsidP="002E7F54">
            <w:pPr>
              <w:pStyle w:val="Tabletext"/>
              <w:jc w:val="center"/>
            </w:pPr>
            <w:r w:rsidRPr="00B93493">
              <w:t>83.6</w:t>
            </w:r>
          </w:p>
        </w:tc>
        <w:tc>
          <w:tcPr>
            <w:tcW w:w="1597" w:type="dxa"/>
            <w:tcBorders>
              <w:top w:val="nil"/>
              <w:left w:val="nil"/>
              <w:bottom w:val="single" w:sz="4" w:space="0" w:color="auto"/>
              <w:right w:val="single" w:sz="4" w:space="0" w:color="auto"/>
            </w:tcBorders>
            <w:vAlign w:val="center"/>
          </w:tcPr>
          <w:p w14:paraId="5A47C779" w14:textId="77777777" w:rsidR="00CF04BC" w:rsidRPr="00B93493" w:rsidRDefault="00CF04BC" w:rsidP="002E7F54">
            <w:pPr>
              <w:pStyle w:val="Tabletext"/>
              <w:jc w:val="center"/>
            </w:pPr>
            <w:r w:rsidRPr="00B93493">
              <w:t>112.86</w:t>
            </w:r>
          </w:p>
        </w:tc>
      </w:tr>
      <w:tr w:rsidR="00CF04BC" w:rsidRPr="00B93493" w14:paraId="25E25DC2"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814705B" w14:textId="77777777" w:rsidR="00CF04BC" w:rsidRPr="00B93493" w:rsidRDefault="00CF04BC" w:rsidP="002E7F54">
            <w:pPr>
              <w:pStyle w:val="Tabletext"/>
              <w:jc w:val="center"/>
            </w:pPr>
            <w:r w:rsidRPr="00B93493">
              <w:t>35</w:t>
            </w:r>
          </w:p>
        </w:tc>
        <w:tc>
          <w:tcPr>
            <w:tcW w:w="4122" w:type="dxa"/>
            <w:tcBorders>
              <w:top w:val="nil"/>
              <w:left w:val="nil"/>
              <w:bottom w:val="single" w:sz="4" w:space="0" w:color="auto"/>
              <w:right w:val="single" w:sz="4" w:space="0" w:color="auto"/>
            </w:tcBorders>
            <w:shd w:val="clear" w:color="auto" w:fill="auto"/>
            <w:noWrap/>
            <w:vAlign w:val="center"/>
          </w:tcPr>
          <w:p w14:paraId="73274BD7" w14:textId="77777777" w:rsidR="00CF04BC" w:rsidRPr="00B93493" w:rsidRDefault="00CF04BC" w:rsidP="002E7F54">
            <w:pPr>
              <w:pStyle w:val="Tabletext"/>
              <w:jc w:val="center"/>
            </w:pPr>
            <w:r w:rsidRPr="00B93493">
              <w:t>Novgorod Oblast</w:t>
            </w:r>
          </w:p>
        </w:tc>
        <w:tc>
          <w:tcPr>
            <w:tcW w:w="1701" w:type="dxa"/>
            <w:tcBorders>
              <w:top w:val="single" w:sz="4" w:space="0" w:color="auto"/>
              <w:left w:val="nil"/>
              <w:bottom w:val="single" w:sz="4" w:space="0" w:color="auto"/>
              <w:right w:val="single" w:sz="4" w:space="0" w:color="auto"/>
            </w:tcBorders>
          </w:tcPr>
          <w:p w14:paraId="45956FD1"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0EF7062" w14:textId="77777777" w:rsidR="00CF04BC" w:rsidRPr="00B93493" w:rsidRDefault="00CF04BC" w:rsidP="002E7F54">
            <w:pPr>
              <w:pStyle w:val="Tabletext"/>
              <w:jc w:val="center"/>
            </w:pPr>
            <w:r w:rsidRPr="00B93493">
              <w:t>13.9</w:t>
            </w:r>
          </w:p>
        </w:tc>
        <w:tc>
          <w:tcPr>
            <w:tcW w:w="1597" w:type="dxa"/>
            <w:tcBorders>
              <w:top w:val="nil"/>
              <w:left w:val="nil"/>
              <w:bottom w:val="single" w:sz="4" w:space="0" w:color="auto"/>
              <w:right w:val="single" w:sz="4" w:space="0" w:color="auto"/>
            </w:tcBorders>
            <w:vAlign w:val="center"/>
          </w:tcPr>
          <w:p w14:paraId="4CB70FB5" w14:textId="77777777" w:rsidR="00CF04BC" w:rsidRPr="00B93493" w:rsidRDefault="00CF04BC" w:rsidP="002E7F54">
            <w:pPr>
              <w:pStyle w:val="Tabletext"/>
              <w:jc w:val="center"/>
            </w:pPr>
            <w:r w:rsidRPr="00B93493">
              <w:t>14.595</w:t>
            </w:r>
          </w:p>
        </w:tc>
      </w:tr>
      <w:tr w:rsidR="00CF04BC" w:rsidRPr="00B93493" w14:paraId="21A93E9A"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833AE7E" w14:textId="77777777" w:rsidR="00CF04BC" w:rsidRPr="00B93493" w:rsidRDefault="00CF04BC" w:rsidP="002E7F54">
            <w:pPr>
              <w:pStyle w:val="Tabletext"/>
              <w:jc w:val="center"/>
            </w:pPr>
            <w:r w:rsidRPr="00B93493">
              <w:t>36</w:t>
            </w:r>
          </w:p>
        </w:tc>
        <w:tc>
          <w:tcPr>
            <w:tcW w:w="4122" w:type="dxa"/>
            <w:tcBorders>
              <w:top w:val="nil"/>
              <w:left w:val="nil"/>
              <w:bottom w:val="single" w:sz="4" w:space="0" w:color="auto"/>
              <w:right w:val="single" w:sz="4" w:space="0" w:color="auto"/>
            </w:tcBorders>
            <w:shd w:val="clear" w:color="auto" w:fill="auto"/>
            <w:noWrap/>
            <w:vAlign w:val="center"/>
          </w:tcPr>
          <w:p w14:paraId="71BA21DD" w14:textId="77777777" w:rsidR="00CF04BC" w:rsidRPr="00B93493" w:rsidRDefault="00CF04BC" w:rsidP="002E7F54">
            <w:pPr>
              <w:pStyle w:val="Tabletext"/>
              <w:jc w:val="center"/>
            </w:pPr>
            <w:r w:rsidRPr="00B93493">
              <w:t>Novosibirsk Oblast</w:t>
            </w:r>
          </w:p>
        </w:tc>
        <w:tc>
          <w:tcPr>
            <w:tcW w:w="1701" w:type="dxa"/>
            <w:tcBorders>
              <w:top w:val="single" w:sz="4" w:space="0" w:color="auto"/>
              <w:left w:val="nil"/>
              <w:bottom w:val="single" w:sz="4" w:space="0" w:color="auto"/>
              <w:right w:val="single" w:sz="4" w:space="0" w:color="auto"/>
            </w:tcBorders>
          </w:tcPr>
          <w:p w14:paraId="0CB2128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67C6BAE" w14:textId="77777777" w:rsidR="00CF04BC" w:rsidRPr="00B93493" w:rsidRDefault="00CF04BC" w:rsidP="002E7F54">
            <w:pPr>
              <w:pStyle w:val="Tabletext"/>
              <w:jc w:val="center"/>
            </w:pPr>
            <w:r w:rsidRPr="00B93493">
              <w:t>66.7</w:t>
            </w:r>
          </w:p>
        </w:tc>
        <w:tc>
          <w:tcPr>
            <w:tcW w:w="1597" w:type="dxa"/>
            <w:tcBorders>
              <w:top w:val="nil"/>
              <w:left w:val="nil"/>
              <w:bottom w:val="single" w:sz="4" w:space="0" w:color="auto"/>
              <w:right w:val="single" w:sz="4" w:space="0" w:color="auto"/>
            </w:tcBorders>
            <w:vAlign w:val="center"/>
          </w:tcPr>
          <w:p w14:paraId="0E3BA803" w14:textId="77777777" w:rsidR="00CF04BC" w:rsidRPr="00B93493" w:rsidRDefault="00CF04BC" w:rsidP="002E7F54">
            <w:pPr>
              <w:pStyle w:val="Tabletext"/>
              <w:jc w:val="center"/>
            </w:pPr>
            <w:r w:rsidRPr="00B93493">
              <w:t>93.38</w:t>
            </w:r>
          </w:p>
        </w:tc>
      </w:tr>
      <w:tr w:rsidR="00CF04BC" w:rsidRPr="00B93493" w14:paraId="7D6EBF8D"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4D366AB" w14:textId="77777777" w:rsidR="00CF04BC" w:rsidRPr="00B93493" w:rsidRDefault="00CF04BC" w:rsidP="002E7F54">
            <w:pPr>
              <w:pStyle w:val="Tabletext"/>
              <w:jc w:val="center"/>
            </w:pPr>
            <w:r w:rsidRPr="00B93493">
              <w:t>37</w:t>
            </w:r>
          </w:p>
        </w:tc>
        <w:tc>
          <w:tcPr>
            <w:tcW w:w="4122" w:type="dxa"/>
            <w:tcBorders>
              <w:top w:val="nil"/>
              <w:left w:val="nil"/>
              <w:bottom w:val="single" w:sz="4" w:space="0" w:color="auto"/>
              <w:right w:val="single" w:sz="4" w:space="0" w:color="auto"/>
            </w:tcBorders>
            <w:shd w:val="clear" w:color="auto" w:fill="auto"/>
            <w:noWrap/>
            <w:vAlign w:val="center"/>
          </w:tcPr>
          <w:p w14:paraId="6D16AE52" w14:textId="77777777" w:rsidR="00CF04BC" w:rsidRPr="00B93493" w:rsidRDefault="00CF04BC" w:rsidP="002E7F54">
            <w:pPr>
              <w:pStyle w:val="Tabletext"/>
              <w:jc w:val="center"/>
            </w:pPr>
            <w:r w:rsidRPr="00B93493">
              <w:t>Omsk Oblast</w:t>
            </w:r>
          </w:p>
        </w:tc>
        <w:tc>
          <w:tcPr>
            <w:tcW w:w="1701" w:type="dxa"/>
            <w:tcBorders>
              <w:top w:val="single" w:sz="4" w:space="0" w:color="auto"/>
              <w:left w:val="nil"/>
              <w:bottom w:val="single" w:sz="4" w:space="0" w:color="auto"/>
              <w:right w:val="single" w:sz="4" w:space="0" w:color="auto"/>
            </w:tcBorders>
          </w:tcPr>
          <w:p w14:paraId="1A2A77E7"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A4692FC" w14:textId="77777777" w:rsidR="00CF04BC" w:rsidRPr="00B93493" w:rsidRDefault="00CF04BC" w:rsidP="002E7F54">
            <w:pPr>
              <w:pStyle w:val="Tabletext"/>
              <w:jc w:val="center"/>
            </w:pPr>
            <w:r w:rsidRPr="00B93493">
              <w:t>45.6</w:t>
            </w:r>
          </w:p>
        </w:tc>
        <w:tc>
          <w:tcPr>
            <w:tcW w:w="1597" w:type="dxa"/>
            <w:tcBorders>
              <w:top w:val="nil"/>
              <w:left w:val="nil"/>
              <w:bottom w:val="single" w:sz="4" w:space="0" w:color="auto"/>
              <w:right w:val="single" w:sz="4" w:space="0" w:color="auto"/>
            </w:tcBorders>
            <w:vAlign w:val="center"/>
          </w:tcPr>
          <w:p w14:paraId="3081C4FC" w14:textId="77777777" w:rsidR="00CF04BC" w:rsidRPr="00B93493" w:rsidRDefault="00CF04BC" w:rsidP="002E7F54">
            <w:pPr>
              <w:pStyle w:val="Tabletext"/>
              <w:jc w:val="center"/>
            </w:pPr>
            <w:r w:rsidRPr="00B93493">
              <w:t>61.56</w:t>
            </w:r>
          </w:p>
        </w:tc>
      </w:tr>
      <w:tr w:rsidR="00CF04BC" w:rsidRPr="00B93493" w14:paraId="34EA4627"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CB7736B" w14:textId="77777777" w:rsidR="00CF04BC" w:rsidRPr="00B93493" w:rsidRDefault="00CF04BC" w:rsidP="002E7F54">
            <w:pPr>
              <w:pStyle w:val="Tabletext"/>
              <w:jc w:val="center"/>
            </w:pPr>
            <w:r w:rsidRPr="00B93493">
              <w:t>38</w:t>
            </w:r>
          </w:p>
        </w:tc>
        <w:tc>
          <w:tcPr>
            <w:tcW w:w="4122" w:type="dxa"/>
            <w:tcBorders>
              <w:top w:val="nil"/>
              <w:left w:val="nil"/>
              <w:bottom w:val="single" w:sz="4" w:space="0" w:color="auto"/>
              <w:right w:val="single" w:sz="4" w:space="0" w:color="auto"/>
            </w:tcBorders>
            <w:shd w:val="clear" w:color="auto" w:fill="auto"/>
            <w:noWrap/>
            <w:vAlign w:val="center"/>
          </w:tcPr>
          <w:p w14:paraId="44D398A0" w14:textId="77777777" w:rsidR="00CF04BC" w:rsidRPr="00B93493" w:rsidRDefault="00CF04BC" w:rsidP="002E7F54">
            <w:pPr>
              <w:pStyle w:val="Tabletext"/>
              <w:jc w:val="center"/>
            </w:pPr>
            <w:r w:rsidRPr="00B93493">
              <w:t>Orenburg Oblast</w:t>
            </w:r>
          </w:p>
        </w:tc>
        <w:tc>
          <w:tcPr>
            <w:tcW w:w="1701" w:type="dxa"/>
            <w:tcBorders>
              <w:top w:val="single" w:sz="4" w:space="0" w:color="auto"/>
              <w:left w:val="nil"/>
              <w:bottom w:val="single" w:sz="4" w:space="0" w:color="auto"/>
              <w:right w:val="single" w:sz="4" w:space="0" w:color="auto"/>
            </w:tcBorders>
          </w:tcPr>
          <w:p w14:paraId="04931A47"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A63DBB4" w14:textId="77777777" w:rsidR="00CF04BC" w:rsidRPr="00B93493" w:rsidRDefault="00CF04BC" w:rsidP="002E7F54">
            <w:pPr>
              <w:pStyle w:val="Tabletext"/>
              <w:jc w:val="center"/>
            </w:pPr>
            <w:r w:rsidRPr="00B93493">
              <w:t>43.4</w:t>
            </w:r>
          </w:p>
        </w:tc>
        <w:tc>
          <w:tcPr>
            <w:tcW w:w="1597" w:type="dxa"/>
            <w:tcBorders>
              <w:top w:val="nil"/>
              <w:left w:val="nil"/>
              <w:bottom w:val="single" w:sz="4" w:space="0" w:color="auto"/>
              <w:right w:val="single" w:sz="4" w:space="0" w:color="auto"/>
            </w:tcBorders>
            <w:vAlign w:val="center"/>
          </w:tcPr>
          <w:p w14:paraId="03F04DEE" w14:textId="77777777" w:rsidR="00CF04BC" w:rsidRPr="00B93493" w:rsidRDefault="00CF04BC" w:rsidP="002E7F54">
            <w:pPr>
              <w:pStyle w:val="Tabletext"/>
              <w:jc w:val="center"/>
            </w:pPr>
            <w:r w:rsidRPr="00B93493">
              <w:t>56.42</w:t>
            </w:r>
          </w:p>
        </w:tc>
      </w:tr>
      <w:tr w:rsidR="00CF04BC" w:rsidRPr="00B93493" w14:paraId="75E342F4"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A9223D5" w14:textId="77777777" w:rsidR="00CF04BC" w:rsidRPr="00B93493" w:rsidRDefault="00CF04BC" w:rsidP="002E7F54">
            <w:pPr>
              <w:pStyle w:val="Tabletext"/>
              <w:jc w:val="center"/>
            </w:pPr>
            <w:r w:rsidRPr="00B93493">
              <w:t>39</w:t>
            </w:r>
          </w:p>
        </w:tc>
        <w:tc>
          <w:tcPr>
            <w:tcW w:w="4122" w:type="dxa"/>
            <w:tcBorders>
              <w:top w:val="nil"/>
              <w:left w:val="nil"/>
              <w:bottom w:val="single" w:sz="4" w:space="0" w:color="auto"/>
              <w:right w:val="single" w:sz="4" w:space="0" w:color="auto"/>
            </w:tcBorders>
            <w:shd w:val="clear" w:color="auto" w:fill="auto"/>
            <w:noWrap/>
            <w:vAlign w:val="center"/>
          </w:tcPr>
          <w:p w14:paraId="737557CD" w14:textId="77777777" w:rsidR="00CF04BC" w:rsidRPr="00B93493" w:rsidRDefault="00CF04BC" w:rsidP="002E7F54">
            <w:pPr>
              <w:pStyle w:val="Tabletext"/>
              <w:jc w:val="center"/>
            </w:pPr>
            <w:r w:rsidRPr="00B93493">
              <w:t>Oryol Oblast</w:t>
            </w:r>
          </w:p>
        </w:tc>
        <w:tc>
          <w:tcPr>
            <w:tcW w:w="1701" w:type="dxa"/>
            <w:tcBorders>
              <w:top w:val="single" w:sz="4" w:space="0" w:color="auto"/>
              <w:left w:val="nil"/>
              <w:bottom w:val="single" w:sz="4" w:space="0" w:color="auto"/>
              <w:right w:val="single" w:sz="4" w:space="0" w:color="auto"/>
            </w:tcBorders>
          </w:tcPr>
          <w:p w14:paraId="77B640DD"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5E365FB" w14:textId="77777777" w:rsidR="00CF04BC" w:rsidRPr="00B93493" w:rsidRDefault="00CF04BC" w:rsidP="002E7F54">
            <w:pPr>
              <w:pStyle w:val="Tabletext"/>
              <w:jc w:val="center"/>
            </w:pPr>
            <w:r w:rsidRPr="00B93493">
              <w:t>16.2</w:t>
            </w:r>
          </w:p>
        </w:tc>
        <w:tc>
          <w:tcPr>
            <w:tcW w:w="1597" w:type="dxa"/>
            <w:tcBorders>
              <w:top w:val="nil"/>
              <w:left w:val="nil"/>
              <w:bottom w:val="single" w:sz="4" w:space="0" w:color="auto"/>
              <w:right w:val="single" w:sz="4" w:space="0" w:color="auto"/>
            </w:tcBorders>
            <w:vAlign w:val="center"/>
          </w:tcPr>
          <w:p w14:paraId="1FCC263A" w14:textId="77777777" w:rsidR="00CF04BC" w:rsidRPr="00B93493" w:rsidRDefault="00CF04BC" w:rsidP="002E7F54">
            <w:pPr>
              <w:pStyle w:val="Tabletext"/>
              <w:jc w:val="center"/>
            </w:pPr>
            <w:r w:rsidRPr="00B93493">
              <w:t>17.82</w:t>
            </w:r>
          </w:p>
        </w:tc>
      </w:tr>
      <w:tr w:rsidR="00CF04BC" w:rsidRPr="00B93493" w14:paraId="6C31F11C"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A8C7A36" w14:textId="77777777" w:rsidR="00CF04BC" w:rsidRPr="00B93493" w:rsidRDefault="00CF04BC" w:rsidP="002E7F54">
            <w:pPr>
              <w:pStyle w:val="Tabletext"/>
              <w:jc w:val="center"/>
            </w:pPr>
            <w:r w:rsidRPr="00B93493">
              <w:t>40</w:t>
            </w:r>
          </w:p>
        </w:tc>
        <w:tc>
          <w:tcPr>
            <w:tcW w:w="4122" w:type="dxa"/>
            <w:tcBorders>
              <w:top w:val="nil"/>
              <w:left w:val="nil"/>
              <w:bottom w:val="single" w:sz="4" w:space="0" w:color="auto"/>
              <w:right w:val="single" w:sz="4" w:space="0" w:color="auto"/>
            </w:tcBorders>
            <w:shd w:val="clear" w:color="auto" w:fill="auto"/>
            <w:noWrap/>
            <w:vAlign w:val="center"/>
          </w:tcPr>
          <w:p w14:paraId="6A392EEC" w14:textId="77777777" w:rsidR="00CF04BC" w:rsidRPr="00B93493" w:rsidRDefault="00CF04BC" w:rsidP="002E7F54">
            <w:pPr>
              <w:pStyle w:val="Tabletext"/>
              <w:jc w:val="center"/>
            </w:pPr>
            <w:r w:rsidRPr="00B93493">
              <w:t>Penza Oblast</w:t>
            </w:r>
          </w:p>
        </w:tc>
        <w:tc>
          <w:tcPr>
            <w:tcW w:w="1701" w:type="dxa"/>
            <w:tcBorders>
              <w:top w:val="single" w:sz="4" w:space="0" w:color="auto"/>
              <w:left w:val="nil"/>
              <w:bottom w:val="single" w:sz="4" w:space="0" w:color="auto"/>
              <w:right w:val="single" w:sz="4" w:space="0" w:color="auto"/>
            </w:tcBorders>
          </w:tcPr>
          <w:p w14:paraId="2ECA149D"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9858EB3" w14:textId="77777777" w:rsidR="00CF04BC" w:rsidRPr="00B93493" w:rsidRDefault="00CF04BC" w:rsidP="002E7F54">
            <w:pPr>
              <w:pStyle w:val="Tabletext"/>
              <w:jc w:val="center"/>
            </w:pPr>
            <w:r w:rsidRPr="00B93493">
              <w:t>30.9</w:t>
            </w:r>
          </w:p>
        </w:tc>
        <w:tc>
          <w:tcPr>
            <w:tcW w:w="1597" w:type="dxa"/>
            <w:tcBorders>
              <w:top w:val="nil"/>
              <w:left w:val="nil"/>
              <w:bottom w:val="single" w:sz="4" w:space="0" w:color="auto"/>
              <w:right w:val="single" w:sz="4" w:space="0" w:color="auto"/>
            </w:tcBorders>
            <w:vAlign w:val="center"/>
          </w:tcPr>
          <w:p w14:paraId="33C01D54" w14:textId="77777777" w:rsidR="00CF04BC" w:rsidRPr="00B93493" w:rsidRDefault="00CF04BC" w:rsidP="002E7F54">
            <w:pPr>
              <w:pStyle w:val="Tabletext"/>
              <w:jc w:val="center"/>
            </w:pPr>
            <w:r w:rsidRPr="00B93493">
              <w:t>33.99</w:t>
            </w:r>
          </w:p>
        </w:tc>
      </w:tr>
      <w:tr w:rsidR="00CF04BC" w:rsidRPr="00B93493" w14:paraId="04AAC125"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2FBB7F5" w14:textId="77777777" w:rsidR="00CF04BC" w:rsidRPr="00B93493" w:rsidRDefault="00CF04BC" w:rsidP="002E7F54">
            <w:pPr>
              <w:pStyle w:val="Tabletext"/>
              <w:jc w:val="center"/>
            </w:pPr>
            <w:r w:rsidRPr="00B93493">
              <w:t>41</w:t>
            </w:r>
          </w:p>
        </w:tc>
        <w:tc>
          <w:tcPr>
            <w:tcW w:w="4122" w:type="dxa"/>
            <w:tcBorders>
              <w:top w:val="nil"/>
              <w:left w:val="nil"/>
              <w:bottom w:val="single" w:sz="4" w:space="0" w:color="auto"/>
              <w:right w:val="single" w:sz="4" w:space="0" w:color="auto"/>
            </w:tcBorders>
            <w:shd w:val="clear" w:color="auto" w:fill="auto"/>
            <w:noWrap/>
            <w:vAlign w:val="center"/>
          </w:tcPr>
          <w:p w14:paraId="1DCD045A" w14:textId="77777777" w:rsidR="00CF04BC" w:rsidRPr="00B93493" w:rsidRDefault="00CF04BC" w:rsidP="002E7F54">
            <w:pPr>
              <w:pStyle w:val="Tabletext"/>
              <w:jc w:val="center"/>
            </w:pPr>
            <w:r w:rsidRPr="00B93493">
              <w:t>Perm Krai</w:t>
            </w:r>
          </w:p>
        </w:tc>
        <w:tc>
          <w:tcPr>
            <w:tcW w:w="1701" w:type="dxa"/>
            <w:tcBorders>
              <w:top w:val="single" w:sz="4" w:space="0" w:color="auto"/>
              <w:left w:val="nil"/>
              <w:bottom w:val="single" w:sz="4" w:space="0" w:color="auto"/>
              <w:right w:val="single" w:sz="4" w:space="0" w:color="auto"/>
            </w:tcBorders>
          </w:tcPr>
          <w:p w14:paraId="5D2CBC12"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837F467" w14:textId="77777777" w:rsidR="00CF04BC" w:rsidRPr="00B93493" w:rsidRDefault="00CF04BC" w:rsidP="002E7F54">
            <w:pPr>
              <w:pStyle w:val="Tabletext"/>
              <w:jc w:val="center"/>
            </w:pPr>
            <w:r w:rsidRPr="00B93493">
              <w:t>66.3</w:t>
            </w:r>
          </w:p>
        </w:tc>
        <w:tc>
          <w:tcPr>
            <w:tcW w:w="1597" w:type="dxa"/>
            <w:tcBorders>
              <w:top w:val="nil"/>
              <w:left w:val="nil"/>
              <w:bottom w:val="single" w:sz="4" w:space="0" w:color="auto"/>
              <w:right w:val="single" w:sz="4" w:space="0" w:color="auto"/>
            </w:tcBorders>
            <w:vAlign w:val="center"/>
          </w:tcPr>
          <w:p w14:paraId="35A7E28B" w14:textId="77777777" w:rsidR="00CF04BC" w:rsidRPr="00B93493" w:rsidRDefault="00CF04BC" w:rsidP="002E7F54">
            <w:pPr>
              <w:pStyle w:val="Tabletext"/>
              <w:jc w:val="center"/>
            </w:pPr>
            <w:r w:rsidRPr="00B93493">
              <w:t>89.505</w:t>
            </w:r>
          </w:p>
        </w:tc>
      </w:tr>
      <w:tr w:rsidR="00CF04BC" w:rsidRPr="00B93493" w14:paraId="582C69F7"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5C06955" w14:textId="77777777" w:rsidR="00CF04BC" w:rsidRPr="00B93493" w:rsidRDefault="00CF04BC" w:rsidP="002E7F54">
            <w:pPr>
              <w:pStyle w:val="Tabletext"/>
              <w:jc w:val="center"/>
            </w:pPr>
            <w:r w:rsidRPr="00B93493">
              <w:t>42</w:t>
            </w:r>
          </w:p>
        </w:tc>
        <w:tc>
          <w:tcPr>
            <w:tcW w:w="4122" w:type="dxa"/>
            <w:tcBorders>
              <w:top w:val="nil"/>
              <w:left w:val="nil"/>
              <w:bottom w:val="single" w:sz="4" w:space="0" w:color="auto"/>
              <w:right w:val="single" w:sz="4" w:space="0" w:color="auto"/>
            </w:tcBorders>
            <w:shd w:val="clear" w:color="auto" w:fill="auto"/>
            <w:noWrap/>
            <w:vAlign w:val="center"/>
          </w:tcPr>
          <w:p w14:paraId="6195A0E4" w14:textId="77777777" w:rsidR="00CF04BC" w:rsidRPr="00B93493" w:rsidRDefault="00CF04BC" w:rsidP="002E7F54">
            <w:pPr>
              <w:pStyle w:val="Tabletext"/>
              <w:jc w:val="center"/>
            </w:pPr>
            <w:r w:rsidRPr="00B93493">
              <w:t>Primorsky Krai</w:t>
            </w:r>
          </w:p>
        </w:tc>
        <w:tc>
          <w:tcPr>
            <w:tcW w:w="1701" w:type="dxa"/>
            <w:tcBorders>
              <w:top w:val="single" w:sz="4" w:space="0" w:color="auto"/>
              <w:left w:val="nil"/>
              <w:bottom w:val="single" w:sz="4" w:space="0" w:color="auto"/>
              <w:right w:val="single" w:sz="4" w:space="0" w:color="auto"/>
            </w:tcBorders>
          </w:tcPr>
          <w:p w14:paraId="444A41D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FCBB37C" w14:textId="77777777" w:rsidR="00CF04BC" w:rsidRPr="00B93493" w:rsidRDefault="00CF04BC" w:rsidP="002E7F54">
            <w:pPr>
              <w:pStyle w:val="Tabletext"/>
              <w:jc w:val="center"/>
            </w:pPr>
            <w:r w:rsidRPr="00B93493">
              <w:t>50.1</w:t>
            </w:r>
          </w:p>
        </w:tc>
        <w:tc>
          <w:tcPr>
            <w:tcW w:w="1597" w:type="dxa"/>
            <w:tcBorders>
              <w:top w:val="nil"/>
              <w:left w:val="nil"/>
              <w:bottom w:val="single" w:sz="4" w:space="0" w:color="auto"/>
              <w:right w:val="single" w:sz="4" w:space="0" w:color="auto"/>
            </w:tcBorders>
            <w:vAlign w:val="center"/>
          </w:tcPr>
          <w:p w14:paraId="74B17D9A" w14:textId="77777777" w:rsidR="00CF04BC" w:rsidRPr="00B93493" w:rsidRDefault="00CF04BC" w:rsidP="002E7F54">
            <w:pPr>
              <w:pStyle w:val="Tabletext"/>
              <w:jc w:val="center"/>
            </w:pPr>
            <w:r w:rsidRPr="00B93493">
              <w:t>55.11</w:t>
            </w:r>
          </w:p>
        </w:tc>
      </w:tr>
      <w:tr w:rsidR="00CF04BC" w:rsidRPr="00B93493" w14:paraId="6E3E3C52"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3AEA0DA9" w14:textId="77777777" w:rsidR="00CF04BC" w:rsidRPr="00B93493" w:rsidRDefault="00CF04BC" w:rsidP="002E7F54">
            <w:pPr>
              <w:pStyle w:val="Tabletext"/>
              <w:jc w:val="center"/>
            </w:pPr>
            <w:r w:rsidRPr="00B93493">
              <w:t>43</w:t>
            </w:r>
          </w:p>
        </w:tc>
        <w:tc>
          <w:tcPr>
            <w:tcW w:w="4122" w:type="dxa"/>
            <w:tcBorders>
              <w:top w:val="nil"/>
              <w:left w:val="nil"/>
              <w:bottom w:val="single" w:sz="4" w:space="0" w:color="auto"/>
              <w:right w:val="single" w:sz="4" w:space="0" w:color="auto"/>
            </w:tcBorders>
            <w:shd w:val="clear" w:color="auto" w:fill="auto"/>
            <w:noWrap/>
            <w:vAlign w:val="center"/>
          </w:tcPr>
          <w:p w14:paraId="401AD992" w14:textId="77777777" w:rsidR="00CF04BC" w:rsidRPr="00B93493" w:rsidRDefault="00CF04BC" w:rsidP="002E7F54">
            <w:pPr>
              <w:pStyle w:val="Tabletext"/>
              <w:jc w:val="center"/>
            </w:pPr>
            <w:r w:rsidRPr="00B93493">
              <w:t xml:space="preserve">Pskov Oblast </w:t>
            </w:r>
          </w:p>
        </w:tc>
        <w:tc>
          <w:tcPr>
            <w:tcW w:w="1701" w:type="dxa"/>
            <w:tcBorders>
              <w:top w:val="single" w:sz="4" w:space="0" w:color="auto"/>
              <w:left w:val="nil"/>
              <w:bottom w:val="single" w:sz="4" w:space="0" w:color="auto"/>
              <w:right w:val="single" w:sz="4" w:space="0" w:color="auto"/>
            </w:tcBorders>
          </w:tcPr>
          <w:p w14:paraId="61199353"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D35B676" w14:textId="77777777" w:rsidR="00CF04BC" w:rsidRPr="00B93493" w:rsidRDefault="00CF04BC" w:rsidP="002E7F54">
            <w:pPr>
              <w:pStyle w:val="Tabletext"/>
              <w:jc w:val="center"/>
            </w:pPr>
            <w:r w:rsidRPr="00B93493">
              <w:t>13.8</w:t>
            </w:r>
          </w:p>
        </w:tc>
        <w:tc>
          <w:tcPr>
            <w:tcW w:w="1597" w:type="dxa"/>
            <w:tcBorders>
              <w:top w:val="nil"/>
              <w:left w:val="nil"/>
              <w:bottom w:val="single" w:sz="4" w:space="0" w:color="auto"/>
              <w:right w:val="single" w:sz="4" w:space="0" w:color="auto"/>
            </w:tcBorders>
            <w:vAlign w:val="center"/>
          </w:tcPr>
          <w:p w14:paraId="00A5A882" w14:textId="77777777" w:rsidR="00CF04BC" w:rsidRPr="00B93493" w:rsidRDefault="00CF04BC" w:rsidP="002E7F54">
            <w:pPr>
              <w:pStyle w:val="Tabletext"/>
              <w:jc w:val="center"/>
            </w:pPr>
            <w:r w:rsidRPr="00B93493">
              <w:t>15.87</w:t>
            </w:r>
          </w:p>
        </w:tc>
      </w:tr>
      <w:tr w:rsidR="00CF04BC" w:rsidRPr="00B93493" w14:paraId="46E02589"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49CFF5D" w14:textId="77777777" w:rsidR="00CF04BC" w:rsidRPr="00B93493" w:rsidRDefault="00CF04BC" w:rsidP="002E7F54">
            <w:pPr>
              <w:pStyle w:val="Tabletext"/>
              <w:jc w:val="center"/>
            </w:pPr>
            <w:r w:rsidRPr="00B93493">
              <w:t>44</w:t>
            </w:r>
          </w:p>
        </w:tc>
        <w:tc>
          <w:tcPr>
            <w:tcW w:w="4122" w:type="dxa"/>
            <w:tcBorders>
              <w:top w:val="nil"/>
              <w:left w:val="nil"/>
              <w:bottom w:val="single" w:sz="4" w:space="0" w:color="auto"/>
              <w:right w:val="single" w:sz="4" w:space="0" w:color="auto"/>
            </w:tcBorders>
            <w:shd w:val="clear" w:color="auto" w:fill="auto"/>
            <w:noWrap/>
            <w:vAlign w:val="center"/>
          </w:tcPr>
          <w:p w14:paraId="75FD759D" w14:textId="77777777" w:rsidR="00CF04BC" w:rsidRPr="00B93493" w:rsidRDefault="00CF04BC" w:rsidP="002E7F54">
            <w:pPr>
              <w:pStyle w:val="Tabletext"/>
              <w:jc w:val="center"/>
            </w:pPr>
            <w:r w:rsidRPr="00B93493">
              <w:t xml:space="preserve">The Adygea Republic (Adygea) </w:t>
            </w:r>
          </w:p>
        </w:tc>
        <w:tc>
          <w:tcPr>
            <w:tcW w:w="1701" w:type="dxa"/>
            <w:tcBorders>
              <w:top w:val="single" w:sz="4" w:space="0" w:color="auto"/>
              <w:left w:val="nil"/>
              <w:bottom w:val="single" w:sz="4" w:space="0" w:color="auto"/>
              <w:right w:val="single" w:sz="4" w:space="0" w:color="auto"/>
            </w:tcBorders>
          </w:tcPr>
          <w:p w14:paraId="1795F848"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F629987" w14:textId="77777777" w:rsidR="00CF04BC" w:rsidRPr="00B93493" w:rsidRDefault="00CF04BC" w:rsidP="002E7F54">
            <w:pPr>
              <w:pStyle w:val="Tabletext"/>
              <w:jc w:val="center"/>
            </w:pPr>
            <w:r w:rsidRPr="00B93493">
              <w:t>9.0</w:t>
            </w:r>
          </w:p>
        </w:tc>
        <w:tc>
          <w:tcPr>
            <w:tcW w:w="1597" w:type="dxa"/>
            <w:tcBorders>
              <w:top w:val="nil"/>
              <w:left w:val="nil"/>
              <w:bottom w:val="single" w:sz="4" w:space="0" w:color="auto"/>
              <w:right w:val="single" w:sz="4" w:space="0" w:color="auto"/>
            </w:tcBorders>
            <w:vAlign w:val="center"/>
          </w:tcPr>
          <w:p w14:paraId="34A8B2CD" w14:textId="77777777" w:rsidR="00CF04BC" w:rsidRPr="00B93493" w:rsidRDefault="00CF04BC" w:rsidP="002E7F54">
            <w:pPr>
              <w:pStyle w:val="Tabletext"/>
              <w:jc w:val="center"/>
            </w:pPr>
            <w:r w:rsidRPr="00B93493">
              <w:t>9.9</w:t>
            </w:r>
          </w:p>
        </w:tc>
      </w:tr>
      <w:tr w:rsidR="00CF04BC" w:rsidRPr="00B93493" w14:paraId="35A89CFA"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00CC20D" w14:textId="77777777" w:rsidR="00CF04BC" w:rsidRPr="00B93493" w:rsidRDefault="00CF04BC" w:rsidP="002E7F54">
            <w:pPr>
              <w:pStyle w:val="Tabletext"/>
              <w:jc w:val="center"/>
            </w:pPr>
            <w:r w:rsidRPr="00B93493">
              <w:t>45</w:t>
            </w:r>
          </w:p>
        </w:tc>
        <w:tc>
          <w:tcPr>
            <w:tcW w:w="4122" w:type="dxa"/>
            <w:tcBorders>
              <w:top w:val="nil"/>
              <w:left w:val="nil"/>
              <w:bottom w:val="single" w:sz="4" w:space="0" w:color="auto"/>
              <w:right w:val="single" w:sz="4" w:space="0" w:color="auto"/>
            </w:tcBorders>
            <w:shd w:val="clear" w:color="auto" w:fill="auto"/>
            <w:noWrap/>
            <w:vAlign w:val="center"/>
          </w:tcPr>
          <w:p w14:paraId="247D38ED" w14:textId="77777777" w:rsidR="00CF04BC" w:rsidRPr="00B93493" w:rsidRDefault="00CF04BC" w:rsidP="002E7F54">
            <w:pPr>
              <w:pStyle w:val="Tabletext"/>
              <w:jc w:val="center"/>
            </w:pPr>
            <w:r w:rsidRPr="00B93493">
              <w:t>The Altai Republic</w:t>
            </w:r>
          </w:p>
        </w:tc>
        <w:tc>
          <w:tcPr>
            <w:tcW w:w="1701" w:type="dxa"/>
            <w:tcBorders>
              <w:top w:val="single" w:sz="4" w:space="0" w:color="auto"/>
              <w:left w:val="nil"/>
              <w:bottom w:val="single" w:sz="4" w:space="0" w:color="auto"/>
              <w:right w:val="single" w:sz="4" w:space="0" w:color="auto"/>
            </w:tcBorders>
          </w:tcPr>
          <w:p w14:paraId="72FDAB85"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8A9FBD7" w14:textId="77777777" w:rsidR="00CF04BC" w:rsidRPr="00B93493" w:rsidRDefault="00CF04BC" w:rsidP="002E7F54">
            <w:pPr>
              <w:pStyle w:val="Tabletext"/>
              <w:jc w:val="center"/>
            </w:pPr>
            <w:r w:rsidRPr="00B93493">
              <w:t>3.4</w:t>
            </w:r>
          </w:p>
        </w:tc>
        <w:tc>
          <w:tcPr>
            <w:tcW w:w="1597" w:type="dxa"/>
            <w:tcBorders>
              <w:top w:val="nil"/>
              <w:left w:val="nil"/>
              <w:bottom w:val="single" w:sz="4" w:space="0" w:color="auto"/>
              <w:right w:val="single" w:sz="4" w:space="0" w:color="auto"/>
            </w:tcBorders>
            <w:vAlign w:val="center"/>
          </w:tcPr>
          <w:p w14:paraId="7C2F1795" w14:textId="77777777" w:rsidR="00CF04BC" w:rsidRPr="00B93493" w:rsidRDefault="00CF04BC" w:rsidP="002E7F54">
            <w:pPr>
              <w:pStyle w:val="Tabletext"/>
              <w:jc w:val="center"/>
            </w:pPr>
            <w:r w:rsidRPr="00B93493">
              <w:t>3.74</w:t>
            </w:r>
          </w:p>
        </w:tc>
      </w:tr>
    </w:tbl>
    <w:p w14:paraId="209AE163" w14:textId="77777777" w:rsidR="00CF04BC" w:rsidRPr="00B93493" w:rsidRDefault="00CF04BC" w:rsidP="00CF04BC">
      <w:r w:rsidRPr="00B93493">
        <w:br w:type="page"/>
      </w:r>
    </w:p>
    <w:p w14:paraId="70C56023" w14:textId="3E43BD2A" w:rsidR="00CF04BC" w:rsidRPr="00B93493" w:rsidRDefault="00CF04BC" w:rsidP="00CF04BC">
      <w:pPr>
        <w:pStyle w:val="TableNo"/>
      </w:pPr>
      <w:r w:rsidRPr="00B93493">
        <w:t>TABLE 1</w:t>
      </w:r>
      <w:r>
        <w:rPr>
          <w:rFonts w:hint="eastAsia"/>
          <w:lang w:eastAsia="zh-CN"/>
        </w:rPr>
        <w:t>9</w:t>
      </w:r>
      <w:r w:rsidRPr="00B93493">
        <w:t xml:space="preserve"> (</w:t>
      </w:r>
      <w:r w:rsidR="00345301">
        <w:t>c</w:t>
      </w:r>
      <w:r w:rsidRPr="00B93493">
        <w:rPr>
          <w:i/>
          <w:iCs/>
        </w:rPr>
        <w:t>ontinued</w:t>
      </w:r>
      <w:r w:rsidRPr="00B93493">
        <w:t>)</w:t>
      </w:r>
    </w:p>
    <w:tbl>
      <w:tblPr>
        <w:tblW w:w="9639" w:type="dxa"/>
        <w:jc w:val="center"/>
        <w:tblLook w:val="04A0" w:firstRow="1" w:lastRow="0" w:firstColumn="1" w:lastColumn="0" w:noHBand="0" w:noVBand="1"/>
      </w:tblPr>
      <w:tblGrid>
        <w:gridCol w:w="840"/>
        <w:gridCol w:w="4122"/>
        <w:gridCol w:w="1620"/>
        <w:gridCol w:w="1511"/>
        <w:gridCol w:w="1546"/>
      </w:tblGrid>
      <w:tr w:rsidR="00CF04BC" w:rsidRPr="00B93493" w14:paraId="0C78E594" w14:textId="77777777" w:rsidTr="00345301">
        <w:trPr>
          <w:cantSplit/>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F06225D" w14:textId="77777777" w:rsidR="00CF04BC" w:rsidRPr="00B93493" w:rsidRDefault="00CF04BC" w:rsidP="002E7F54">
            <w:pPr>
              <w:pStyle w:val="Tablehead"/>
            </w:pPr>
            <w:r w:rsidRPr="00B93493">
              <w:t>Lot No.</w:t>
            </w:r>
          </w:p>
        </w:tc>
        <w:tc>
          <w:tcPr>
            <w:tcW w:w="4122" w:type="dxa"/>
            <w:tcBorders>
              <w:top w:val="single" w:sz="4" w:space="0" w:color="auto"/>
              <w:left w:val="nil"/>
              <w:bottom w:val="single" w:sz="4" w:space="0" w:color="auto"/>
              <w:right w:val="single" w:sz="4" w:space="0" w:color="auto"/>
            </w:tcBorders>
            <w:shd w:val="clear" w:color="auto" w:fill="auto"/>
            <w:vAlign w:val="center"/>
          </w:tcPr>
          <w:p w14:paraId="0961292C" w14:textId="77777777" w:rsidR="00CF04BC" w:rsidRPr="00B93493" w:rsidRDefault="00CF04BC" w:rsidP="002E7F54">
            <w:pPr>
              <w:pStyle w:val="Tablehead"/>
            </w:pPr>
            <w:r w:rsidRPr="00B93493">
              <w:t>Territory of the Russian Federation</w:t>
            </w:r>
          </w:p>
        </w:tc>
        <w:tc>
          <w:tcPr>
            <w:tcW w:w="1701" w:type="dxa"/>
            <w:tcBorders>
              <w:top w:val="single" w:sz="4" w:space="0" w:color="auto"/>
              <w:left w:val="nil"/>
              <w:bottom w:val="single" w:sz="4" w:space="0" w:color="auto"/>
              <w:right w:val="single" w:sz="4" w:space="0" w:color="auto"/>
            </w:tcBorders>
            <w:vAlign w:val="center"/>
          </w:tcPr>
          <w:p w14:paraId="6F753939" w14:textId="77777777" w:rsidR="00CF04BC" w:rsidRPr="00B93493" w:rsidRDefault="00CF04BC" w:rsidP="002E7F54">
            <w:pPr>
              <w:pStyle w:val="Tablehead"/>
            </w:pPr>
            <w:r w:rsidRPr="00B93493">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F214168" w14:textId="4BE7EB4D" w:rsidR="00CF04BC" w:rsidRPr="00B93493" w:rsidRDefault="00CF04BC" w:rsidP="002E7F54">
            <w:pPr>
              <w:pStyle w:val="Tablehead"/>
            </w:pPr>
            <w:r w:rsidRPr="00B93493">
              <w:t xml:space="preserve">Reserve price (million </w:t>
            </w:r>
            <w:r w:rsidR="00092428">
              <w:rPr>
                <w:rFonts w:hint="eastAsia"/>
                <w:lang w:eastAsia="zh-CN"/>
              </w:rPr>
              <w:t>Roubles</w:t>
            </w:r>
            <w:r w:rsidRPr="00B93493">
              <w:t>)</w:t>
            </w:r>
          </w:p>
        </w:tc>
        <w:tc>
          <w:tcPr>
            <w:tcW w:w="1597" w:type="dxa"/>
            <w:tcBorders>
              <w:top w:val="single" w:sz="4" w:space="0" w:color="auto"/>
              <w:left w:val="nil"/>
              <w:bottom w:val="single" w:sz="4" w:space="0" w:color="auto"/>
              <w:right w:val="single" w:sz="4" w:space="0" w:color="auto"/>
            </w:tcBorders>
            <w:vAlign w:val="center"/>
          </w:tcPr>
          <w:p w14:paraId="39D71CCE" w14:textId="7DBE40B3" w:rsidR="00CF04BC" w:rsidRPr="00B93493" w:rsidRDefault="00CF04BC" w:rsidP="002E7F54">
            <w:pPr>
              <w:pStyle w:val="Tablehead"/>
            </w:pPr>
            <w:r w:rsidRPr="00B93493">
              <w:t>Lot price based on bidding results (million</w:t>
            </w:r>
            <w:r>
              <w:rPr>
                <w:rFonts w:hint="eastAsia"/>
                <w:lang w:eastAsia="zh-CN"/>
              </w:rPr>
              <w:t xml:space="preserve"> </w:t>
            </w:r>
            <w:r w:rsidR="00092428">
              <w:rPr>
                <w:rFonts w:hint="eastAsia"/>
                <w:lang w:eastAsia="zh-CN"/>
              </w:rPr>
              <w:t>Roubles</w:t>
            </w:r>
            <w:r w:rsidRPr="00B93493">
              <w:t>)</w:t>
            </w:r>
          </w:p>
        </w:tc>
      </w:tr>
      <w:tr w:rsidR="00CF04BC" w:rsidRPr="00B93493" w14:paraId="0C47EEFF"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50C10F8" w14:textId="77777777" w:rsidR="00CF04BC" w:rsidRPr="00B93493" w:rsidRDefault="00CF04BC" w:rsidP="002E7F54">
            <w:pPr>
              <w:pStyle w:val="Tabletext"/>
              <w:jc w:val="center"/>
            </w:pPr>
            <w:r w:rsidRPr="00B93493">
              <w:t>46</w:t>
            </w:r>
          </w:p>
        </w:tc>
        <w:tc>
          <w:tcPr>
            <w:tcW w:w="4122" w:type="dxa"/>
            <w:tcBorders>
              <w:top w:val="nil"/>
              <w:left w:val="nil"/>
              <w:bottom w:val="single" w:sz="4" w:space="0" w:color="auto"/>
              <w:right w:val="single" w:sz="4" w:space="0" w:color="auto"/>
            </w:tcBorders>
            <w:shd w:val="clear" w:color="auto" w:fill="auto"/>
            <w:noWrap/>
            <w:vAlign w:val="center"/>
          </w:tcPr>
          <w:p w14:paraId="0AF3C866" w14:textId="77777777" w:rsidR="00CF04BC" w:rsidRPr="00B93493" w:rsidRDefault="00CF04BC" w:rsidP="002E7F54">
            <w:pPr>
              <w:pStyle w:val="Tabletext"/>
              <w:jc w:val="center"/>
            </w:pPr>
            <w:r w:rsidRPr="00B93493">
              <w:t>The Bashkortostan Republic</w:t>
            </w:r>
          </w:p>
        </w:tc>
        <w:tc>
          <w:tcPr>
            <w:tcW w:w="1701" w:type="dxa"/>
            <w:tcBorders>
              <w:top w:val="single" w:sz="4" w:space="0" w:color="auto"/>
              <w:left w:val="nil"/>
              <w:bottom w:val="single" w:sz="4" w:space="0" w:color="auto"/>
              <w:right w:val="single" w:sz="4" w:space="0" w:color="auto"/>
            </w:tcBorders>
          </w:tcPr>
          <w:p w14:paraId="455B9D6A"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6B2B35D" w14:textId="77777777" w:rsidR="00CF04BC" w:rsidRPr="00B93493" w:rsidRDefault="00CF04BC" w:rsidP="002E7F54">
            <w:pPr>
              <w:pStyle w:val="Tabletext"/>
              <w:jc w:val="center"/>
            </w:pPr>
            <w:r w:rsidRPr="00B93493">
              <w:t>90.1</w:t>
            </w:r>
          </w:p>
        </w:tc>
        <w:tc>
          <w:tcPr>
            <w:tcW w:w="1597" w:type="dxa"/>
            <w:tcBorders>
              <w:top w:val="nil"/>
              <w:left w:val="nil"/>
              <w:bottom w:val="single" w:sz="4" w:space="0" w:color="auto"/>
              <w:right w:val="single" w:sz="4" w:space="0" w:color="auto"/>
            </w:tcBorders>
            <w:vAlign w:val="center"/>
          </w:tcPr>
          <w:p w14:paraId="7097D80A" w14:textId="77777777" w:rsidR="00CF04BC" w:rsidRPr="00B93493" w:rsidRDefault="00CF04BC" w:rsidP="002E7F54">
            <w:pPr>
              <w:pStyle w:val="Tabletext"/>
              <w:jc w:val="center"/>
            </w:pPr>
            <w:r w:rsidRPr="00B93493">
              <w:t>121.635</w:t>
            </w:r>
          </w:p>
        </w:tc>
      </w:tr>
      <w:tr w:rsidR="00CF04BC" w:rsidRPr="00B93493" w14:paraId="2F3BCCD3"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3EA86DC0" w14:textId="77777777" w:rsidR="00CF04BC" w:rsidRPr="00B93493" w:rsidRDefault="00CF04BC" w:rsidP="002E7F54">
            <w:pPr>
              <w:pStyle w:val="Tabletext"/>
              <w:jc w:val="center"/>
            </w:pPr>
            <w:r w:rsidRPr="00B93493">
              <w:t>47</w:t>
            </w:r>
          </w:p>
        </w:tc>
        <w:tc>
          <w:tcPr>
            <w:tcW w:w="4122" w:type="dxa"/>
            <w:tcBorders>
              <w:top w:val="nil"/>
              <w:left w:val="nil"/>
              <w:bottom w:val="single" w:sz="4" w:space="0" w:color="auto"/>
              <w:right w:val="single" w:sz="4" w:space="0" w:color="auto"/>
            </w:tcBorders>
            <w:shd w:val="clear" w:color="auto" w:fill="auto"/>
            <w:noWrap/>
            <w:vAlign w:val="center"/>
          </w:tcPr>
          <w:p w14:paraId="5E8732AB" w14:textId="77777777" w:rsidR="00CF04BC" w:rsidRPr="00B93493" w:rsidRDefault="00CF04BC" w:rsidP="002E7F54">
            <w:pPr>
              <w:pStyle w:val="Tabletext"/>
              <w:jc w:val="center"/>
            </w:pPr>
            <w:r w:rsidRPr="00B93493">
              <w:t>The Buryatia Republic</w:t>
            </w:r>
          </w:p>
        </w:tc>
        <w:tc>
          <w:tcPr>
            <w:tcW w:w="1701" w:type="dxa"/>
            <w:tcBorders>
              <w:top w:val="single" w:sz="4" w:space="0" w:color="auto"/>
              <w:left w:val="nil"/>
              <w:bottom w:val="single" w:sz="4" w:space="0" w:color="auto"/>
              <w:right w:val="single" w:sz="4" w:space="0" w:color="auto"/>
            </w:tcBorders>
          </w:tcPr>
          <w:p w14:paraId="03AFB4C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6B5C913" w14:textId="77777777" w:rsidR="00CF04BC" w:rsidRPr="00B93493" w:rsidRDefault="00CF04BC" w:rsidP="002E7F54">
            <w:pPr>
              <w:pStyle w:val="Tabletext"/>
              <w:jc w:val="center"/>
            </w:pPr>
            <w:r w:rsidRPr="00B93493">
              <w:t>22.0</w:t>
            </w:r>
          </w:p>
        </w:tc>
        <w:tc>
          <w:tcPr>
            <w:tcW w:w="1597" w:type="dxa"/>
            <w:tcBorders>
              <w:top w:val="nil"/>
              <w:left w:val="nil"/>
              <w:bottom w:val="single" w:sz="4" w:space="0" w:color="auto"/>
              <w:right w:val="single" w:sz="4" w:space="0" w:color="auto"/>
            </w:tcBorders>
            <w:vAlign w:val="center"/>
          </w:tcPr>
          <w:p w14:paraId="06EF8E89" w14:textId="77777777" w:rsidR="00CF04BC" w:rsidRPr="00B93493" w:rsidRDefault="00CF04BC" w:rsidP="002E7F54">
            <w:pPr>
              <w:pStyle w:val="Tabletext"/>
              <w:jc w:val="center"/>
            </w:pPr>
            <w:r w:rsidRPr="00B93493">
              <w:t>23.1</w:t>
            </w:r>
          </w:p>
        </w:tc>
      </w:tr>
      <w:tr w:rsidR="00CF04BC" w:rsidRPr="00B93493" w14:paraId="6EA05E48"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42D9731" w14:textId="77777777" w:rsidR="00CF04BC" w:rsidRPr="00B93493" w:rsidRDefault="00CF04BC" w:rsidP="002E7F54">
            <w:pPr>
              <w:pStyle w:val="Tabletext"/>
              <w:jc w:val="center"/>
            </w:pPr>
            <w:r w:rsidRPr="00B93493">
              <w:t>48</w:t>
            </w:r>
          </w:p>
        </w:tc>
        <w:tc>
          <w:tcPr>
            <w:tcW w:w="4122" w:type="dxa"/>
            <w:tcBorders>
              <w:top w:val="nil"/>
              <w:left w:val="nil"/>
              <w:bottom w:val="single" w:sz="4" w:space="0" w:color="auto"/>
              <w:right w:val="single" w:sz="4" w:space="0" w:color="auto"/>
            </w:tcBorders>
            <w:shd w:val="clear" w:color="auto" w:fill="auto"/>
            <w:noWrap/>
            <w:vAlign w:val="center"/>
          </w:tcPr>
          <w:p w14:paraId="040DF2CB" w14:textId="77777777" w:rsidR="00CF04BC" w:rsidRPr="00B93493" w:rsidRDefault="00CF04BC" w:rsidP="002E7F54">
            <w:pPr>
              <w:pStyle w:val="Tabletext"/>
              <w:jc w:val="center"/>
            </w:pPr>
            <w:r w:rsidRPr="00B93493">
              <w:t>The Dagestan Republic</w:t>
            </w:r>
          </w:p>
        </w:tc>
        <w:tc>
          <w:tcPr>
            <w:tcW w:w="1701" w:type="dxa"/>
            <w:tcBorders>
              <w:top w:val="single" w:sz="4" w:space="0" w:color="auto"/>
              <w:left w:val="nil"/>
              <w:bottom w:val="single" w:sz="4" w:space="0" w:color="auto"/>
              <w:right w:val="single" w:sz="4" w:space="0" w:color="auto"/>
            </w:tcBorders>
          </w:tcPr>
          <w:p w14:paraId="26280DDF"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9A8D95C" w14:textId="77777777" w:rsidR="00CF04BC" w:rsidRPr="00B93493" w:rsidRDefault="00CF04BC" w:rsidP="002E7F54">
            <w:pPr>
              <w:pStyle w:val="Tabletext"/>
              <w:jc w:val="center"/>
            </w:pPr>
            <w:r w:rsidRPr="00B93493">
              <w:t>59.9</w:t>
            </w:r>
          </w:p>
        </w:tc>
        <w:tc>
          <w:tcPr>
            <w:tcW w:w="1597" w:type="dxa"/>
            <w:tcBorders>
              <w:top w:val="nil"/>
              <w:left w:val="nil"/>
              <w:bottom w:val="single" w:sz="4" w:space="0" w:color="auto"/>
              <w:right w:val="single" w:sz="4" w:space="0" w:color="auto"/>
            </w:tcBorders>
            <w:vAlign w:val="center"/>
          </w:tcPr>
          <w:p w14:paraId="0DA784DA" w14:textId="77777777" w:rsidR="00CF04BC" w:rsidRPr="00B93493" w:rsidRDefault="00CF04BC" w:rsidP="002E7F54">
            <w:pPr>
              <w:pStyle w:val="Tabletext"/>
              <w:jc w:val="center"/>
            </w:pPr>
            <w:r w:rsidRPr="00B93493">
              <w:t>74.875</w:t>
            </w:r>
          </w:p>
        </w:tc>
      </w:tr>
      <w:tr w:rsidR="00CF04BC" w:rsidRPr="00B93493" w14:paraId="4C36EA39"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94DEE1D" w14:textId="77777777" w:rsidR="00CF04BC" w:rsidRPr="00B93493" w:rsidRDefault="00CF04BC" w:rsidP="002E7F54">
            <w:pPr>
              <w:pStyle w:val="Tabletext"/>
              <w:jc w:val="center"/>
            </w:pPr>
            <w:r w:rsidRPr="00B93493">
              <w:t>49</w:t>
            </w:r>
          </w:p>
        </w:tc>
        <w:tc>
          <w:tcPr>
            <w:tcW w:w="4122" w:type="dxa"/>
            <w:tcBorders>
              <w:top w:val="nil"/>
              <w:left w:val="nil"/>
              <w:bottom w:val="single" w:sz="4" w:space="0" w:color="auto"/>
              <w:right w:val="single" w:sz="4" w:space="0" w:color="auto"/>
            </w:tcBorders>
            <w:shd w:val="clear" w:color="auto" w:fill="auto"/>
            <w:noWrap/>
            <w:vAlign w:val="center"/>
          </w:tcPr>
          <w:p w14:paraId="5DB48F0C" w14:textId="77777777" w:rsidR="00CF04BC" w:rsidRPr="00B93493" w:rsidRDefault="00CF04BC" w:rsidP="002E7F54">
            <w:pPr>
              <w:pStyle w:val="Tabletext"/>
              <w:jc w:val="center"/>
            </w:pPr>
            <w:r w:rsidRPr="00B93493">
              <w:t>The Ingushetia Republic</w:t>
            </w:r>
          </w:p>
        </w:tc>
        <w:tc>
          <w:tcPr>
            <w:tcW w:w="1701" w:type="dxa"/>
            <w:tcBorders>
              <w:top w:val="single" w:sz="4" w:space="0" w:color="auto"/>
              <w:left w:val="nil"/>
              <w:bottom w:val="single" w:sz="4" w:space="0" w:color="auto"/>
              <w:right w:val="single" w:sz="4" w:space="0" w:color="auto"/>
            </w:tcBorders>
          </w:tcPr>
          <w:p w14:paraId="72E0A842"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FA3D135" w14:textId="77777777" w:rsidR="00CF04BC" w:rsidRPr="00B93493" w:rsidRDefault="00CF04BC" w:rsidP="002E7F54">
            <w:pPr>
              <w:pStyle w:val="Tabletext"/>
              <w:jc w:val="center"/>
            </w:pPr>
            <w:r w:rsidRPr="00B93493">
              <w:t>8.1</w:t>
            </w:r>
          </w:p>
        </w:tc>
        <w:tc>
          <w:tcPr>
            <w:tcW w:w="1597" w:type="dxa"/>
            <w:tcBorders>
              <w:top w:val="nil"/>
              <w:left w:val="nil"/>
              <w:bottom w:val="single" w:sz="4" w:space="0" w:color="auto"/>
              <w:right w:val="single" w:sz="4" w:space="0" w:color="auto"/>
            </w:tcBorders>
            <w:vAlign w:val="center"/>
          </w:tcPr>
          <w:p w14:paraId="3A9DA104" w14:textId="77777777" w:rsidR="00CF04BC" w:rsidRPr="00B93493" w:rsidRDefault="00CF04BC" w:rsidP="002E7F54">
            <w:pPr>
              <w:pStyle w:val="Tabletext"/>
              <w:jc w:val="center"/>
            </w:pPr>
            <w:r w:rsidRPr="00B93493">
              <w:t>8.91</w:t>
            </w:r>
          </w:p>
        </w:tc>
      </w:tr>
      <w:tr w:rsidR="00CF04BC" w:rsidRPr="00B93493" w14:paraId="69D3A30E"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1C46964" w14:textId="77777777" w:rsidR="00CF04BC" w:rsidRPr="00B93493" w:rsidRDefault="00CF04BC" w:rsidP="002E7F54">
            <w:pPr>
              <w:pStyle w:val="Tabletext"/>
              <w:jc w:val="center"/>
            </w:pPr>
            <w:r w:rsidRPr="00B93493">
              <w:t>50</w:t>
            </w:r>
          </w:p>
        </w:tc>
        <w:tc>
          <w:tcPr>
            <w:tcW w:w="4122" w:type="dxa"/>
            <w:tcBorders>
              <w:top w:val="nil"/>
              <w:left w:val="nil"/>
              <w:bottom w:val="single" w:sz="4" w:space="0" w:color="auto"/>
              <w:right w:val="single" w:sz="4" w:space="0" w:color="auto"/>
            </w:tcBorders>
            <w:shd w:val="clear" w:color="auto" w:fill="auto"/>
            <w:noWrap/>
            <w:vAlign w:val="center"/>
          </w:tcPr>
          <w:p w14:paraId="170C159F" w14:textId="77777777" w:rsidR="00CF04BC" w:rsidRPr="00B93493" w:rsidRDefault="00CF04BC" w:rsidP="002E7F54">
            <w:pPr>
              <w:pStyle w:val="Tabletext"/>
              <w:jc w:val="center"/>
            </w:pPr>
            <w:r w:rsidRPr="00B93493">
              <w:t>The Kalmykia Republic</w:t>
            </w:r>
          </w:p>
        </w:tc>
        <w:tc>
          <w:tcPr>
            <w:tcW w:w="1701" w:type="dxa"/>
            <w:tcBorders>
              <w:top w:val="single" w:sz="4" w:space="0" w:color="auto"/>
              <w:left w:val="nil"/>
              <w:bottom w:val="single" w:sz="4" w:space="0" w:color="auto"/>
              <w:right w:val="single" w:sz="4" w:space="0" w:color="auto"/>
            </w:tcBorders>
          </w:tcPr>
          <w:p w14:paraId="45A624A4"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1D8840B" w14:textId="77777777" w:rsidR="00CF04BC" w:rsidRPr="00B93493" w:rsidRDefault="00CF04BC" w:rsidP="002E7F54">
            <w:pPr>
              <w:pStyle w:val="Tabletext"/>
              <w:jc w:val="center"/>
            </w:pPr>
            <w:r w:rsidRPr="00B93493">
              <w:t>5.1</w:t>
            </w:r>
          </w:p>
        </w:tc>
        <w:tc>
          <w:tcPr>
            <w:tcW w:w="1597" w:type="dxa"/>
            <w:tcBorders>
              <w:top w:val="nil"/>
              <w:left w:val="nil"/>
              <w:bottom w:val="single" w:sz="4" w:space="0" w:color="auto"/>
              <w:right w:val="single" w:sz="4" w:space="0" w:color="auto"/>
            </w:tcBorders>
            <w:vAlign w:val="center"/>
          </w:tcPr>
          <w:p w14:paraId="3A4E5304" w14:textId="77777777" w:rsidR="00CF04BC" w:rsidRPr="00B93493" w:rsidRDefault="00CF04BC" w:rsidP="002E7F54">
            <w:pPr>
              <w:pStyle w:val="Tabletext"/>
              <w:jc w:val="center"/>
            </w:pPr>
            <w:r w:rsidRPr="00B93493">
              <w:t>5.61</w:t>
            </w:r>
          </w:p>
        </w:tc>
      </w:tr>
      <w:tr w:rsidR="00CF04BC" w:rsidRPr="00B93493" w14:paraId="22E57C0D"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72351C9" w14:textId="77777777" w:rsidR="00CF04BC" w:rsidRPr="00B93493" w:rsidRDefault="00CF04BC" w:rsidP="002E7F54">
            <w:pPr>
              <w:pStyle w:val="Tabletext"/>
              <w:jc w:val="center"/>
            </w:pPr>
            <w:r w:rsidRPr="00B93493">
              <w:t>51</w:t>
            </w:r>
          </w:p>
        </w:tc>
        <w:tc>
          <w:tcPr>
            <w:tcW w:w="4122" w:type="dxa"/>
            <w:tcBorders>
              <w:top w:val="nil"/>
              <w:left w:val="nil"/>
              <w:bottom w:val="single" w:sz="4" w:space="0" w:color="auto"/>
              <w:right w:val="single" w:sz="4" w:space="0" w:color="auto"/>
            </w:tcBorders>
            <w:shd w:val="clear" w:color="auto" w:fill="auto"/>
            <w:noWrap/>
            <w:vAlign w:val="center"/>
          </w:tcPr>
          <w:p w14:paraId="210575F8" w14:textId="77777777" w:rsidR="00CF04BC" w:rsidRPr="00B93493" w:rsidRDefault="00CF04BC" w:rsidP="002E7F54">
            <w:pPr>
              <w:pStyle w:val="Tabletext"/>
              <w:jc w:val="center"/>
            </w:pPr>
            <w:r w:rsidRPr="00B93493">
              <w:t>The Karelia Republic</w:t>
            </w:r>
          </w:p>
        </w:tc>
        <w:tc>
          <w:tcPr>
            <w:tcW w:w="1701" w:type="dxa"/>
            <w:tcBorders>
              <w:top w:val="single" w:sz="4" w:space="0" w:color="auto"/>
              <w:left w:val="nil"/>
              <w:bottom w:val="single" w:sz="4" w:space="0" w:color="auto"/>
              <w:right w:val="single" w:sz="4" w:space="0" w:color="auto"/>
            </w:tcBorders>
          </w:tcPr>
          <w:p w14:paraId="698B7EF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791A0D8" w14:textId="77777777" w:rsidR="00CF04BC" w:rsidRPr="00B93493" w:rsidRDefault="00CF04BC" w:rsidP="002E7F54">
            <w:pPr>
              <w:pStyle w:val="Tabletext"/>
              <w:jc w:val="center"/>
            </w:pPr>
            <w:r w:rsidRPr="00B93493">
              <w:t>14.6</w:t>
            </w:r>
          </w:p>
        </w:tc>
        <w:tc>
          <w:tcPr>
            <w:tcW w:w="1597" w:type="dxa"/>
            <w:tcBorders>
              <w:top w:val="nil"/>
              <w:left w:val="nil"/>
              <w:bottom w:val="single" w:sz="4" w:space="0" w:color="auto"/>
              <w:right w:val="single" w:sz="4" w:space="0" w:color="auto"/>
            </w:tcBorders>
            <w:vAlign w:val="center"/>
          </w:tcPr>
          <w:p w14:paraId="18D44847" w14:textId="77777777" w:rsidR="00CF04BC" w:rsidRPr="00B93493" w:rsidRDefault="00CF04BC" w:rsidP="002E7F54">
            <w:pPr>
              <w:pStyle w:val="Tabletext"/>
              <w:jc w:val="center"/>
            </w:pPr>
            <w:r w:rsidRPr="00B93493">
              <w:t>16.06</w:t>
            </w:r>
          </w:p>
        </w:tc>
      </w:tr>
      <w:tr w:rsidR="00CF04BC" w:rsidRPr="00B93493" w14:paraId="6847A93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8D4B14C" w14:textId="77777777" w:rsidR="00CF04BC" w:rsidRPr="00B93493" w:rsidRDefault="00CF04BC" w:rsidP="002E7F54">
            <w:pPr>
              <w:pStyle w:val="Tabletext"/>
              <w:jc w:val="center"/>
            </w:pPr>
            <w:r w:rsidRPr="00B93493">
              <w:t>52</w:t>
            </w:r>
          </w:p>
        </w:tc>
        <w:tc>
          <w:tcPr>
            <w:tcW w:w="4122" w:type="dxa"/>
            <w:tcBorders>
              <w:top w:val="nil"/>
              <w:left w:val="nil"/>
              <w:bottom w:val="single" w:sz="4" w:space="0" w:color="auto"/>
              <w:right w:val="single" w:sz="4" w:space="0" w:color="auto"/>
            </w:tcBorders>
            <w:shd w:val="clear" w:color="auto" w:fill="auto"/>
            <w:noWrap/>
            <w:vAlign w:val="center"/>
          </w:tcPr>
          <w:p w14:paraId="72A2A1C0" w14:textId="77777777" w:rsidR="00CF04BC" w:rsidRPr="00B93493" w:rsidRDefault="00CF04BC" w:rsidP="002E7F54">
            <w:pPr>
              <w:pStyle w:val="Tabletext"/>
              <w:jc w:val="center"/>
            </w:pPr>
            <w:r w:rsidRPr="00B93493">
              <w:t>The Komi Republic</w:t>
            </w:r>
          </w:p>
        </w:tc>
        <w:tc>
          <w:tcPr>
            <w:tcW w:w="1701" w:type="dxa"/>
            <w:tcBorders>
              <w:top w:val="single" w:sz="4" w:space="0" w:color="auto"/>
              <w:left w:val="nil"/>
              <w:bottom w:val="single" w:sz="4" w:space="0" w:color="auto"/>
              <w:right w:val="single" w:sz="4" w:space="0" w:color="auto"/>
            </w:tcBorders>
          </w:tcPr>
          <w:p w14:paraId="6424273A"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A01CC3D" w14:textId="77777777" w:rsidR="00CF04BC" w:rsidRPr="00B93493" w:rsidRDefault="00CF04BC" w:rsidP="002E7F54">
            <w:pPr>
              <w:pStyle w:val="Tabletext"/>
              <w:jc w:val="center"/>
            </w:pPr>
            <w:r w:rsidRPr="00B93493">
              <w:t>22.8</w:t>
            </w:r>
          </w:p>
        </w:tc>
        <w:tc>
          <w:tcPr>
            <w:tcW w:w="1597" w:type="dxa"/>
            <w:tcBorders>
              <w:top w:val="nil"/>
              <w:left w:val="nil"/>
              <w:bottom w:val="single" w:sz="4" w:space="0" w:color="auto"/>
              <w:right w:val="single" w:sz="4" w:space="0" w:color="auto"/>
            </w:tcBorders>
            <w:vAlign w:val="center"/>
          </w:tcPr>
          <w:p w14:paraId="120516C8" w14:textId="77777777" w:rsidR="00CF04BC" w:rsidRPr="00B93493" w:rsidRDefault="00CF04BC" w:rsidP="002E7F54">
            <w:pPr>
              <w:pStyle w:val="Tabletext"/>
              <w:jc w:val="center"/>
            </w:pPr>
            <w:r w:rsidRPr="00B93493">
              <w:t>23.94</w:t>
            </w:r>
          </w:p>
        </w:tc>
      </w:tr>
      <w:tr w:rsidR="00CF04BC" w:rsidRPr="00B93493" w14:paraId="4BBF43B6"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0342D94" w14:textId="77777777" w:rsidR="00CF04BC" w:rsidRPr="00B93493" w:rsidRDefault="00CF04BC" w:rsidP="002E7F54">
            <w:pPr>
              <w:pStyle w:val="Tabletext"/>
              <w:jc w:val="center"/>
            </w:pPr>
            <w:r w:rsidRPr="00B93493">
              <w:t>53</w:t>
            </w:r>
          </w:p>
        </w:tc>
        <w:tc>
          <w:tcPr>
            <w:tcW w:w="4122" w:type="dxa"/>
            <w:tcBorders>
              <w:top w:val="nil"/>
              <w:left w:val="nil"/>
              <w:bottom w:val="single" w:sz="4" w:space="0" w:color="auto"/>
              <w:right w:val="single" w:sz="4" w:space="0" w:color="auto"/>
            </w:tcBorders>
            <w:shd w:val="clear" w:color="auto" w:fill="auto"/>
            <w:noWrap/>
            <w:vAlign w:val="center"/>
          </w:tcPr>
          <w:p w14:paraId="0CC544E2" w14:textId="77777777" w:rsidR="00CF04BC" w:rsidRPr="00B93493" w:rsidRDefault="00CF04BC" w:rsidP="002E7F54">
            <w:pPr>
              <w:pStyle w:val="Tabletext"/>
              <w:jc w:val="center"/>
            </w:pPr>
            <w:r w:rsidRPr="00B93493">
              <w:t>The Mari El Republic</w:t>
            </w:r>
          </w:p>
        </w:tc>
        <w:tc>
          <w:tcPr>
            <w:tcW w:w="1701" w:type="dxa"/>
            <w:tcBorders>
              <w:top w:val="single" w:sz="4" w:space="0" w:color="auto"/>
              <w:left w:val="nil"/>
              <w:bottom w:val="single" w:sz="4" w:space="0" w:color="auto"/>
              <w:right w:val="single" w:sz="4" w:space="0" w:color="auto"/>
            </w:tcBorders>
          </w:tcPr>
          <w:p w14:paraId="06F05BD6"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DFFCA07" w14:textId="77777777" w:rsidR="00CF04BC" w:rsidRPr="00B93493" w:rsidRDefault="00CF04BC" w:rsidP="002E7F54">
            <w:pPr>
              <w:pStyle w:val="Tabletext"/>
              <w:jc w:val="center"/>
            </w:pPr>
            <w:r w:rsidRPr="00B93493">
              <w:t>14.9</w:t>
            </w:r>
          </w:p>
        </w:tc>
        <w:tc>
          <w:tcPr>
            <w:tcW w:w="1597" w:type="dxa"/>
            <w:tcBorders>
              <w:top w:val="nil"/>
              <w:left w:val="nil"/>
              <w:bottom w:val="single" w:sz="4" w:space="0" w:color="auto"/>
              <w:right w:val="single" w:sz="4" w:space="0" w:color="auto"/>
            </w:tcBorders>
            <w:vAlign w:val="center"/>
          </w:tcPr>
          <w:p w14:paraId="68F64B9A" w14:textId="77777777" w:rsidR="00CF04BC" w:rsidRPr="00B93493" w:rsidRDefault="00CF04BC" w:rsidP="002E7F54">
            <w:pPr>
              <w:pStyle w:val="Tabletext"/>
              <w:jc w:val="center"/>
            </w:pPr>
            <w:r w:rsidRPr="00B93493">
              <w:t>15.645</w:t>
            </w:r>
          </w:p>
        </w:tc>
      </w:tr>
      <w:tr w:rsidR="00CF04BC" w:rsidRPr="00B93493" w14:paraId="751F4702"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395851F" w14:textId="77777777" w:rsidR="00CF04BC" w:rsidRPr="00B93493" w:rsidRDefault="00CF04BC" w:rsidP="002E7F54">
            <w:pPr>
              <w:pStyle w:val="Tabletext"/>
              <w:jc w:val="center"/>
            </w:pPr>
            <w:r w:rsidRPr="00B93493">
              <w:t>54</w:t>
            </w:r>
          </w:p>
        </w:tc>
        <w:tc>
          <w:tcPr>
            <w:tcW w:w="4122" w:type="dxa"/>
            <w:tcBorders>
              <w:top w:val="nil"/>
              <w:left w:val="nil"/>
              <w:bottom w:val="single" w:sz="4" w:space="0" w:color="auto"/>
              <w:right w:val="single" w:sz="4" w:space="0" w:color="auto"/>
            </w:tcBorders>
            <w:shd w:val="clear" w:color="auto" w:fill="auto"/>
            <w:noWrap/>
            <w:vAlign w:val="center"/>
          </w:tcPr>
          <w:p w14:paraId="1A20AE3C" w14:textId="77777777" w:rsidR="00CF04BC" w:rsidRPr="00B93493" w:rsidRDefault="00CF04BC" w:rsidP="002E7F54">
            <w:pPr>
              <w:pStyle w:val="Tabletext"/>
              <w:jc w:val="center"/>
            </w:pPr>
            <w:r w:rsidRPr="00B93493">
              <w:t>The Mordovia Republic</w:t>
            </w:r>
          </w:p>
        </w:tc>
        <w:tc>
          <w:tcPr>
            <w:tcW w:w="1701" w:type="dxa"/>
            <w:tcBorders>
              <w:top w:val="single" w:sz="4" w:space="0" w:color="auto"/>
              <w:left w:val="nil"/>
              <w:bottom w:val="single" w:sz="4" w:space="0" w:color="auto"/>
              <w:right w:val="single" w:sz="4" w:space="0" w:color="auto"/>
            </w:tcBorders>
          </w:tcPr>
          <w:p w14:paraId="72C90192"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44E2CB6" w14:textId="77777777" w:rsidR="00CF04BC" w:rsidRPr="00B93493" w:rsidRDefault="00CF04BC" w:rsidP="002E7F54">
            <w:pPr>
              <w:pStyle w:val="Tabletext"/>
              <w:jc w:val="center"/>
            </w:pPr>
            <w:r w:rsidRPr="00B93493">
              <w:t>17.2</w:t>
            </w:r>
          </w:p>
        </w:tc>
        <w:tc>
          <w:tcPr>
            <w:tcW w:w="1597" w:type="dxa"/>
            <w:tcBorders>
              <w:top w:val="nil"/>
              <w:left w:val="nil"/>
              <w:bottom w:val="single" w:sz="4" w:space="0" w:color="auto"/>
              <w:right w:val="single" w:sz="4" w:space="0" w:color="auto"/>
            </w:tcBorders>
            <w:vAlign w:val="center"/>
          </w:tcPr>
          <w:p w14:paraId="66160088" w14:textId="77777777" w:rsidR="00CF04BC" w:rsidRPr="00B93493" w:rsidRDefault="00CF04BC" w:rsidP="002E7F54">
            <w:pPr>
              <w:pStyle w:val="Tabletext"/>
              <w:jc w:val="center"/>
            </w:pPr>
            <w:r w:rsidRPr="00B93493">
              <w:t>18.92</w:t>
            </w:r>
          </w:p>
        </w:tc>
      </w:tr>
      <w:tr w:rsidR="00CF04BC" w:rsidRPr="00B93493" w14:paraId="7A18B103"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BF3FD41" w14:textId="77777777" w:rsidR="00CF04BC" w:rsidRPr="00B93493" w:rsidRDefault="00CF04BC" w:rsidP="002E7F54">
            <w:pPr>
              <w:pStyle w:val="Tabletext"/>
              <w:jc w:val="center"/>
            </w:pPr>
            <w:r w:rsidRPr="00B93493">
              <w:t>55</w:t>
            </w:r>
          </w:p>
        </w:tc>
        <w:tc>
          <w:tcPr>
            <w:tcW w:w="4122" w:type="dxa"/>
            <w:tcBorders>
              <w:top w:val="nil"/>
              <w:left w:val="nil"/>
              <w:bottom w:val="single" w:sz="4" w:space="0" w:color="auto"/>
              <w:right w:val="single" w:sz="4" w:space="0" w:color="auto"/>
            </w:tcBorders>
            <w:shd w:val="clear" w:color="auto" w:fill="auto"/>
            <w:noWrap/>
            <w:vAlign w:val="center"/>
          </w:tcPr>
          <w:p w14:paraId="6A47853F" w14:textId="77777777" w:rsidR="00CF04BC" w:rsidRPr="00B93493" w:rsidRDefault="00CF04BC" w:rsidP="002E7F54">
            <w:pPr>
              <w:pStyle w:val="Tabletext"/>
              <w:jc w:val="center"/>
            </w:pPr>
            <w:r w:rsidRPr="00B93493">
              <w:t>The Sakha Republic (Yakutia)</w:t>
            </w:r>
          </w:p>
        </w:tc>
        <w:tc>
          <w:tcPr>
            <w:tcW w:w="1701" w:type="dxa"/>
            <w:tcBorders>
              <w:top w:val="single" w:sz="4" w:space="0" w:color="auto"/>
              <w:left w:val="nil"/>
              <w:bottom w:val="single" w:sz="4" w:space="0" w:color="auto"/>
              <w:right w:val="single" w:sz="4" w:space="0" w:color="auto"/>
            </w:tcBorders>
          </w:tcPr>
          <w:p w14:paraId="54CFAB89"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DF484F4" w14:textId="77777777" w:rsidR="00CF04BC" w:rsidRPr="00B93493" w:rsidRDefault="00CF04BC" w:rsidP="002E7F54">
            <w:pPr>
              <w:pStyle w:val="Tabletext"/>
              <w:jc w:val="center"/>
            </w:pPr>
            <w:r w:rsidRPr="00B93493">
              <w:t>26.9</w:t>
            </w:r>
          </w:p>
        </w:tc>
        <w:tc>
          <w:tcPr>
            <w:tcW w:w="1597" w:type="dxa"/>
            <w:tcBorders>
              <w:top w:val="nil"/>
              <w:left w:val="nil"/>
              <w:bottom w:val="single" w:sz="4" w:space="0" w:color="auto"/>
              <w:right w:val="single" w:sz="4" w:space="0" w:color="auto"/>
            </w:tcBorders>
            <w:vAlign w:val="center"/>
          </w:tcPr>
          <w:p w14:paraId="689D6AD7" w14:textId="77777777" w:rsidR="00CF04BC" w:rsidRPr="00B93493" w:rsidRDefault="00CF04BC" w:rsidP="002E7F54">
            <w:pPr>
              <w:pStyle w:val="Tabletext"/>
              <w:jc w:val="center"/>
            </w:pPr>
            <w:r w:rsidRPr="00B93493">
              <w:t>29.59</w:t>
            </w:r>
          </w:p>
        </w:tc>
      </w:tr>
      <w:tr w:rsidR="00CF04BC" w:rsidRPr="00B93493" w14:paraId="5DDD058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04BCA69" w14:textId="77777777" w:rsidR="00CF04BC" w:rsidRPr="00B93493" w:rsidRDefault="00CF04BC" w:rsidP="002E7F54">
            <w:pPr>
              <w:pStyle w:val="Tabletext"/>
              <w:jc w:val="center"/>
            </w:pPr>
            <w:r w:rsidRPr="00B93493">
              <w:t>56</w:t>
            </w:r>
          </w:p>
        </w:tc>
        <w:tc>
          <w:tcPr>
            <w:tcW w:w="4122" w:type="dxa"/>
            <w:tcBorders>
              <w:top w:val="nil"/>
              <w:left w:val="nil"/>
              <w:bottom w:val="single" w:sz="4" w:space="0" w:color="auto"/>
              <w:right w:val="single" w:sz="4" w:space="0" w:color="auto"/>
            </w:tcBorders>
            <w:shd w:val="clear" w:color="auto" w:fill="auto"/>
            <w:noWrap/>
            <w:vAlign w:val="center"/>
          </w:tcPr>
          <w:p w14:paraId="16A0DD9D" w14:textId="77777777" w:rsidR="00CF04BC" w:rsidRPr="00B93493" w:rsidRDefault="00CF04BC" w:rsidP="002E7F54">
            <w:pPr>
              <w:pStyle w:val="Tabletext"/>
              <w:jc w:val="center"/>
            </w:pPr>
            <w:r w:rsidRPr="00B93493">
              <w:t>The North Ossetia-Alania Republic</w:t>
            </w:r>
          </w:p>
        </w:tc>
        <w:tc>
          <w:tcPr>
            <w:tcW w:w="1701" w:type="dxa"/>
            <w:tcBorders>
              <w:top w:val="single" w:sz="4" w:space="0" w:color="auto"/>
              <w:left w:val="nil"/>
              <w:bottom w:val="single" w:sz="4" w:space="0" w:color="auto"/>
              <w:right w:val="single" w:sz="4" w:space="0" w:color="auto"/>
            </w:tcBorders>
          </w:tcPr>
          <w:p w14:paraId="34627DBE"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17EB438" w14:textId="77777777" w:rsidR="00CF04BC" w:rsidRPr="00B93493" w:rsidRDefault="00CF04BC" w:rsidP="002E7F54">
            <w:pPr>
              <w:pStyle w:val="Tabletext"/>
              <w:jc w:val="center"/>
            </w:pPr>
            <w:r w:rsidRPr="00B93493">
              <w:t>14.6</w:t>
            </w:r>
          </w:p>
        </w:tc>
        <w:tc>
          <w:tcPr>
            <w:tcW w:w="1597" w:type="dxa"/>
            <w:tcBorders>
              <w:top w:val="nil"/>
              <w:left w:val="nil"/>
              <w:bottom w:val="single" w:sz="4" w:space="0" w:color="auto"/>
              <w:right w:val="single" w:sz="4" w:space="0" w:color="auto"/>
            </w:tcBorders>
            <w:vAlign w:val="center"/>
          </w:tcPr>
          <w:p w14:paraId="34D4AC26" w14:textId="77777777" w:rsidR="00CF04BC" w:rsidRPr="00B93493" w:rsidRDefault="00CF04BC" w:rsidP="002E7F54">
            <w:pPr>
              <w:pStyle w:val="Tabletext"/>
              <w:jc w:val="center"/>
            </w:pPr>
            <w:r w:rsidRPr="00B93493">
              <w:t>16.06</w:t>
            </w:r>
          </w:p>
        </w:tc>
      </w:tr>
      <w:tr w:rsidR="00CF04BC" w:rsidRPr="00B93493" w14:paraId="2983CF78"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32A9A3D" w14:textId="77777777" w:rsidR="00CF04BC" w:rsidRPr="00B93493" w:rsidRDefault="00CF04BC" w:rsidP="002E7F54">
            <w:pPr>
              <w:pStyle w:val="Tabletext"/>
              <w:jc w:val="center"/>
            </w:pPr>
            <w:r w:rsidRPr="00B93493">
              <w:t>57</w:t>
            </w:r>
          </w:p>
        </w:tc>
        <w:tc>
          <w:tcPr>
            <w:tcW w:w="4122" w:type="dxa"/>
            <w:tcBorders>
              <w:top w:val="nil"/>
              <w:left w:val="nil"/>
              <w:bottom w:val="single" w:sz="4" w:space="0" w:color="auto"/>
              <w:right w:val="single" w:sz="4" w:space="0" w:color="auto"/>
            </w:tcBorders>
            <w:shd w:val="clear" w:color="auto" w:fill="auto"/>
            <w:noWrap/>
            <w:vAlign w:val="center"/>
          </w:tcPr>
          <w:p w14:paraId="146BC97D" w14:textId="77777777" w:rsidR="00CF04BC" w:rsidRPr="00B93493" w:rsidRDefault="00CF04BC" w:rsidP="002E7F54">
            <w:pPr>
              <w:pStyle w:val="Tabletext"/>
              <w:jc w:val="center"/>
            </w:pPr>
            <w:r w:rsidRPr="00B93493">
              <w:t>The Tatarstan Republic (Tatarstan)</w:t>
            </w:r>
          </w:p>
        </w:tc>
        <w:tc>
          <w:tcPr>
            <w:tcW w:w="1701" w:type="dxa"/>
            <w:tcBorders>
              <w:top w:val="single" w:sz="4" w:space="0" w:color="auto"/>
              <w:left w:val="nil"/>
              <w:bottom w:val="single" w:sz="4" w:space="0" w:color="auto"/>
              <w:right w:val="single" w:sz="4" w:space="0" w:color="auto"/>
            </w:tcBorders>
          </w:tcPr>
          <w:p w14:paraId="061D8427"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5637814" w14:textId="77777777" w:rsidR="00CF04BC" w:rsidRPr="00B93493" w:rsidRDefault="00CF04BC" w:rsidP="002E7F54">
            <w:pPr>
              <w:pStyle w:val="Tabletext"/>
              <w:jc w:val="center"/>
            </w:pPr>
            <w:r w:rsidRPr="00B93493">
              <w:t>100.0</w:t>
            </w:r>
          </w:p>
        </w:tc>
        <w:tc>
          <w:tcPr>
            <w:tcW w:w="1597" w:type="dxa"/>
            <w:tcBorders>
              <w:top w:val="nil"/>
              <w:left w:val="nil"/>
              <w:bottom w:val="single" w:sz="4" w:space="0" w:color="auto"/>
              <w:right w:val="single" w:sz="4" w:space="0" w:color="auto"/>
            </w:tcBorders>
            <w:vAlign w:val="center"/>
          </w:tcPr>
          <w:p w14:paraId="44025BAD" w14:textId="77777777" w:rsidR="00CF04BC" w:rsidRPr="00B93493" w:rsidRDefault="00CF04BC" w:rsidP="002E7F54">
            <w:pPr>
              <w:pStyle w:val="Tabletext"/>
              <w:jc w:val="center"/>
            </w:pPr>
            <w:r w:rsidRPr="00B93493">
              <w:t>155</w:t>
            </w:r>
          </w:p>
        </w:tc>
      </w:tr>
      <w:tr w:rsidR="00CF04BC" w:rsidRPr="00B93493" w14:paraId="340799B0"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0BAFD58" w14:textId="77777777" w:rsidR="00CF04BC" w:rsidRPr="00B93493" w:rsidRDefault="00CF04BC" w:rsidP="002E7F54">
            <w:pPr>
              <w:pStyle w:val="Tabletext"/>
              <w:jc w:val="center"/>
            </w:pPr>
            <w:r w:rsidRPr="00B93493">
              <w:t>58</w:t>
            </w:r>
          </w:p>
        </w:tc>
        <w:tc>
          <w:tcPr>
            <w:tcW w:w="4122" w:type="dxa"/>
            <w:tcBorders>
              <w:top w:val="nil"/>
              <w:left w:val="nil"/>
              <w:bottom w:val="single" w:sz="4" w:space="0" w:color="auto"/>
              <w:right w:val="single" w:sz="4" w:space="0" w:color="auto"/>
            </w:tcBorders>
            <w:shd w:val="clear" w:color="auto" w:fill="auto"/>
            <w:noWrap/>
            <w:vAlign w:val="center"/>
          </w:tcPr>
          <w:p w14:paraId="6095EF22" w14:textId="77777777" w:rsidR="00CF04BC" w:rsidRPr="00B93493" w:rsidRDefault="00CF04BC" w:rsidP="002E7F54">
            <w:pPr>
              <w:pStyle w:val="Tabletext"/>
              <w:jc w:val="center"/>
            </w:pPr>
            <w:r w:rsidRPr="00B93493">
              <w:t>The Tuva Republic</w:t>
            </w:r>
          </w:p>
        </w:tc>
        <w:tc>
          <w:tcPr>
            <w:tcW w:w="1701" w:type="dxa"/>
            <w:tcBorders>
              <w:top w:val="single" w:sz="4" w:space="0" w:color="auto"/>
              <w:left w:val="nil"/>
              <w:bottom w:val="single" w:sz="4" w:space="0" w:color="auto"/>
              <w:right w:val="single" w:sz="4" w:space="0" w:color="auto"/>
            </w:tcBorders>
          </w:tcPr>
          <w:p w14:paraId="7303E735"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7C9BFC1" w14:textId="77777777" w:rsidR="00CF04BC" w:rsidRPr="00B93493" w:rsidRDefault="00CF04BC" w:rsidP="002E7F54">
            <w:pPr>
              <w:pStyle w:val="Tabletext"/>
              <w:jc w:val="center"/>
            </w:pPr>
            <w:r w:rsidRPr="00B93493">
              <w:t>6.2</w:t>
            </w:r>
          </w:p>
        </w:tc>
        <w:tc>
          <w:tcPr>
            <w:tcW w:w="1597" w:type="dxa"/>
            <w:tcBorders>
              <w:top w:val="nil"/>
              <w:left w:val="nil"/>
              <w:bottom w:val="single" w:sz="4" w:space="0" w:color="auto"/>
              <w:right w:val="single" w:sz="4" w:space="0" w:color="auto"/>
            </w:tcBorders>
            <w:vAlign w:val="center"/>
          </w:tcPr>
          <w:p w14:paraId="11CE57B6" w14:textId="77777777" w:rsidR="00CF04BC" w:rsidRPr="00B93493" w:rsidRDefault="00CF04BC" w:rsidP="002E7F54">
            <w:pPr>
              <w:pStyle w:val="Tabletext"/>
              <w:jc w:val="center"/>
            </w:pPr>
            <w:r w:rsidRPr="00B93493">
              <w:t>6.51</w:t>
            </w:r>
          </w:p>
        </w:tc>
      </w:tr>
      <w:tr w:rsidR="00CF04BC" w:rsidRPr="00B93493" w14:paraId="6DC71597"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29FD419" w14:textId="77777777" w:rsidR="00CF04BC" w:rsidRPr="00B93493" w:rsidRDefault="00CF04BC" w:rsidP="002E7F54">
            <w:pPr>
              <w:pStyle w:val="Tabletext"/>
              <w:jc w:val="center"/>
            </w:pPr>
            <w:r w:rsidRPr="00B93493">
              <w:t>59</w:t>
            </w:r>
          </w:p>
        </w:tc>
        <w:tc>
          <w:tcPr>
            <w:tcW w:w="4122" w:type="dxa"/>
            <w:tcBorders>
              <w:top w:val="nil"/>
              <w:left w:val="nil"/>
              <w:bottom w:val="single" w:sz="4" w:space="0" w:color="auto"/>
              <w:right w:val="single" w:sz="4" w:space="0" w:color="auto"/>
            </w:tcBorders>
            <w:shd w:val="clear" w:color="auto" w:fill="auto"/>
            <w:noWrap/>
            <w:vAlign w:val="center"/>
          </w:tcPr>
          <w:p w14:paraId="689890C8" w14:textId="77777777" w:rsidR="00CF04BC" w:rsidRPr="00B93493" w:rsidRDefault="00CF04BC" w:rsidP="002E7F54">
            <w:pPr>
              <w:pStyle w:val="Tabletext"/>
              <w:jc w:val="center"/>
            </w:pPr>
            <w:r w:rsidRPr="00B93493">
              <w:t>The Khakassia Republic</w:t>
            </w:r>
          </w:p>
        </w:tc>
        <w:tc>
          <w:tcPr>
            <w:tcW w:w="1701" w:type="dxa"/>
            <w:tcBorders>
              <w:top w:val="single" w:sz="4" w:space="0" w:color="auto"/>
              <w:left w:val="nil"/>
              <w:bottom w:val="single" w:sz="4" w:space="0" w:color="auto"/>
              <w:right w:val="single" w:sz="4" w:space="0" w:color="auto"/>
            </w:tcBorders>
          </w:tcPr>
          <w:p w14:paraId="3FF7305B"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906FBE3" w14:textId="77777777" w:rsidR="00CF04BC" w:rsidRPr="00B93493" w:rsidRDefault="00CF04BC" w:rsidP="002E7F54">
            <w:pPr>
              <w:pStyle w:val="Tabletext"/>
              <w:jc w:val="center"/>
            </w:pPr>
            <w:r w:rsidRPr="00B93493">
              <w:t>11.9</w:t>
            </w:r>
          </w:p>
        </w:tc>
        <w:tc>
          <w:tcPr>
            <w:tcW w:w="1597" w:type="dxa"/>
            <w:tcBorders>
              <w:top w:val="nil"/>
              <w:left w:val="nil"/>
              <w:bottom w:val="single" w:sz="4" w:space="0" w:color="auto"/>
              <w:right w:val="single" w:sz="4" w:space="0" w:color="auto"/>
            </w:tcBorders>
            <w:vAlign w:val="center"/>
          </w:tcPr>
          <w:p w14:paraId="6BF9EB5C" w14:textId="77777777" w:rsidR="00CF04BC" w:rsidRPr="00B93493" w:rsidRDefault="00CF04BC" w:rsidP="002E7F54">
            <w:pPr>
              <w:pStyle w:val="Tabletext"/>
              <w:jc w:val="center"/>
            </w:pPr>
            <w:r w:rsidRPr="00B93493">
              <w:t>12.495</w:t>
            </w:r>
          </w:p>
        </w:tc>
      </w:tr>
      <w:tr w:rsidR="00CF04BC" w:rsidRPr="00B93493" w14:paraId="00D872E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99434B9" w14:textId="77777777" w:rsidR="00CF04BC" w:rsidRPr="00B93493" w:rsidRDefault="00CF04BC" w:rsidP="002E7F54">
            <w:pPr>
              <w:pStyle w:val="Tabletext"/>
              <w:jc w:val="center"/>
            </w:pPr>
            <w:r w:rsidRPr="00B93493">
              <w:t>60</w:t>
            </w:r>
          </w:p>
        </w:tc>
        <w:tc>
          <w:tcPr>
            <w:tcW w:w="4122" w:type="dxa"/>
            <w:tcBorders>
              <w:top w:val="nil"/>
              <w:left w:val="nil"/>
              <w:bottom w:val="single" w:sz="4" w:space="0" w:color="auto"/>
              <w:right w:val="single" w:sz="4" w:space="0" w:color="auto"/>
            </w:tcBorders>
            <w:shd w:val="clear" w:color="auto" w:fill="auto"/>
            <w:noWrap/>
            <w:vAlign w:val="center"/>
          </w:tcPr>
          <w:p w14:paraId="15B76238" w14:textId="77777777" w:rsidR="00CF04BC" w:rsidRPr="00B93493" w:rsidRDefault="00CF04BC" w:rsidP="002E7F54">
            <w:pPr>
              <w:pStyle w:val="Tabletext"/>
              <w:jc w:val="center"/>
            </w:pPr>
            <w:r w:rsidRPr="00B93493">
              <w:t>Rostov Oblast</w:t>
            </w:r>
          </w:p>
        </w:tc>
        <w:tc>
          <w:tcPr>
            <w:tcW w:w="1701" w:type="dxa"/>
            <w:tcBorders>
              <w:top w:val="single" w:sz="4" w:space="0" w:color="auto"/>
              <w:left w:val="nil"/>
              <w:bottom w:val="single" w:sz="4" w:space="0" w:color="auto"/>
              <w:right w:val="single" w:sz="4" w:space="0" w:color="auto"/>
            </w:tcBorders>
          </w:tcPr>
          <w:p w14:paraId="373FBCFC"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341E3B2" w14:textId="77777777" w:rsidR="00CF04BC" w:rsidRPr="00B93493" w:rsidRDefault="00CF04BC" w:rsidP="002E7F54">
            <w:pPr>
              <w:pStyle w:val="Tabletext"/>
              <w:jc w:val="center"/>
            </w:pPr>
            <w:r w:rsidRPr="00B93493">
              <w:t>95.8</w:t>
            </w:r>
          </w:p>
        </w:tc>
        <w:tc>
          <w:tcPr>
            <w:tcW w:w="1597" w:type="dxa"/>
            <w:tcBorders>
              <w:top w:val="nil"/>
              <w:left w:val="nil"/>
              <w:bottom w:val="single" w:sz="4" w:space="0" w:color="auto"/>
              <w:right w:val="single" w:sz="4" w:space="0" w:color="auto"/>
            </w:tcBorders>
            <w:vAlign w:val="center"/>
          </w:tcPr>
          <w:p w14:paraId="31C8D677" w14:textId="77777777" w:rsidR="00CF04BC" w:rsidRPr="00B93493" w:rsidRDefault="00CF04BC" w:rsidP="002E7F54">
            <w:pPr>
              <w:pStyle w:val="Tabletext"/>
              <w:jc w:val="center"/>
            </w:pPr>
            <w:r w:rsidRPr="00B93493">
              <w:t>134.12</w:t>
            </w:r>
          </w:p>
        </w:tc>
      </w:tr>
      <w:tr w:rsidR="00CF04BC" w:rsidRPr="00B93493" w14:paraId="5682F223"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ABD5321" w14:textId="77777777" w:rsidR="00CF04BC" w:rsidRPr="00B93493" w:rsidRDefault="00CF04BC" w:rsidP="002E7F54">
            <w:pPr>
              <w:pStyle w:val="Tabletext"/>
              <w:jc w:val="center"/>
            </w:pPr>
            <w:r w:rsidRPr="00B93493">
              <w:t>61</w:t>
            </w:r>
          </w:p>
        </w:tc>
        <w:tc>
          <w:tcPr>
            <w:tcW w:w="4122" w:type="dxa"/>
            <w:tcBorders>
              <w:top w:val="nil"/>
              <w:left w:val="nil"/>
              <w:bottom w:val="single" w:sz="4" w:space="0" w:color="auto"/>
              <w:right w:val="single" w:sz="4" w:space="0" w:color="auto"/>
            </w:tcBorders>
            <w:shd w:val="clear" w:color="auto" w:fill="auto"/>
            <w:noWrap/>
            <w:vAlign w:val="center"/>
          </w:tcPr>
          <w:p w14:paraId="1C2ABD7B" w14:textId="77777777" w:rsidR="00CF04BC" w:rsidRPr="00B93493" w:rsidRDefault="00CF04BC" w:rsidP="002E7F54">
            <w:pPr>
              <w:pStyle w:val="Tabletext"/>
              <w:jc w:val="center"/>
            </w:pPr>
            <w:r w:rsidRPr="00B93493">
              <w:t>Ryazan Oblast</w:t>
            </w:r>
          </w:p>
        </w:tc>
        <w:tc>
          <w:tcPr>
            <w:tcW w:w="1701" w:type="dxa"/>
            <w:tcBorders>
              <w:top w:val="single" w:sz="4" w:space="0" w:color="auto"/>
              <w:left w:val="nil"/>
              <w:bottom w:val="single" w:sz="4" w:space="0" w:color="auto"/>
              <w:right w:val="single" w:sz="4" w:space="0" w:color="auto"/>
            </w:tcBorders>
          </w:tcPr>
          <w:p w14:paraId="2EB3E845"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6E27353" w14:textId="77777777" w:rsidR="00CF04BC" w:rsidRPr="00B93493" w:rsidRDefault="00CF04BC" w:rsidP="002E7F54">
            <w:pPr>
              <w:pStyle w:val="Tabletext"/>
              <w:jc w:val="center"/>
            </w:pPr>
            <w:r w:rsidRPr="00B93493">
              <w:t>25.0</w:t>
            </w:r>
          </w:p>
        </w:tc>
        <w:tc>
          <w:tcPr>
            <w:tcW w:w="1597" w:type="dxa"/>
            <w:tcBorders>
              <w:top w:val="nil"/>
              <w:left w:val="nil"/>
              <w:bottom w:val="single" w:sz="4" w:space="0" w:color="auto"/>
              <w:right w:val="single" w:sz="4" w:space="0" w:color="auto"/>
            </w:tcBorders>
            <w:vAlign w:val="center"/>
          </w:tcPr>
          <w:p w14:paraId="786F0796" w14:textId="77777777" w:rsidR="00CF04BC" w:rsidRPr="00B93493" w:rsidRDefault="00CF04BC" w:rsidP="002E7F54">
            <w:pPr>
              <w:pStyle w:val="Tabletext"/>
              <w:jc w:val="center"/>
            </w:pPr>
            <w:r w:rsidRPr="00B93493">
              <w:t>27.5</w:t>
            </w:r>
          </w:p>
        </w:tc>
      </w:tr>
      <w:tr w:rsidR="00CF04BC" w:rsidRPr="00B93493" w14:paraId="7BFC3459"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890113D" w14:textId="77777777" w:rsidR="00CF04BC" w:rsidRPr="00B93493" w:rsidRDefault="00CF04BC" w:rsidP="002E7F54">
            <w:pPr>
              <w:pStyle w:val="Tabletext"/>
              <w:jc w:val="center"/>
            </w:pPr>
            <w:r w:rsidRPr="00B93493">
              <w:t>62</w:t>
            </w:r>
          </w:p>
        </w:tc>
        <w:tc>
          <w:tcPr>
            <w:tcW w:w="4122" w:type="dxa"/>
            <w:tcBorders>
              <w:top w:val="nil"/>
              <w:left w:val="nil"/>
              <w:bottom w:val="single" w:sz="4" w:space="0" w:color="auto"/>
              <w:right w:val="single" w:sz="4" w:space="0" w:color="auto"/>
            </w:tcBorders>
            <w:shd w:val="clear" w:color="auto" w:fill="auto"/>
            <w:noWrap/>
            <w:vAlign w:val="center"/>
          </w:tcPr>
          <w:p w14:paraId="49F239E9" w14:textId="77777777" w:rsidR="00CF04BC" w:rsidRPr="00B93493" w:rsidRDefault="00CF04BC" w:rsidP="002E7F54">
            <w:pPr>
              <w:pStyle w:val="Tabletext"/>
              <w:jc w:val="center"/>
            </w:pPr>
            <w:r w:rsidRPr="00B93493">
              <w:t>Samara Oblast</w:t>
            </w:r>
          </w:p>
        </w:tc>
        <w:tc>
          <w:tcPr>
            <w:tcW w:w="1701" w:type="dxa"/>
            <w:tcBorders>
              <w:top w:val="single" w:sz="4" w:space="0" w:color="auto"/>
              <w:left w:val="nil"/>
              <w:bottom w:val="single" w:sz="4" w:space="0" w:color="auto"/>
              <w:right w:val="single" w:sz="4" w:space="0" w:color="auto"/>
            </w:tcBorders>
          </w:tcPr>
          <w:p w14:paraId="6CA47715"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C795FDB" w14:textId="77777777" w:rsidR="00CF04BC" w:rsidRPr="00B93493" w:rsidRDefault="00CF04BC" w:rsidP="002E7F54">
            <w:pPr>
              <w:pStyle w:val="Tabletext"/>
              <w:jc w:val="center"/>
            </w:pPr>
            <w:r w:rsidRPr="00B93493">
              <w:t>81.5</w:t>
            </w:r>
          </w:p>
        </w:tc>
        <w:tc>
          <w:tcPr>
            <w:tcW w:w="1597" w:type="dxa"/>
            <w:tcBorders>
              <w:top w:val="nil"/>
              <w:left w:val="nil"/>
              <w:bottom w:val="single" w:sz="4" w:space="0" w:color="auto"/>
              <w:right w:val="single" w:sz="4" w:space="0" w:color="auto"/>
            </w:tcBorders>
            <w:vAlign w:val="center"/>
          </w:tcPr>
          <w:p w14:paraId="575F3EE1" w14:textId="77777777" w:rsidR="00CF04BC" w:rsidRPr="00B93493" w:rsidRDefault="00CF04BC" w:rsidP="002E7F54">
            <w:pPr>
              <w:pStyle w:val="Tabletext"/>
              <w:jc w:val="center"/>
            </w:pPr>
            <w:r w:rsidRPr="00B93493">
              <w:t>110.025</w:t>
            </w:r>
          </w:p>
        </w:tc>
      </w:tr>
      <w:tr w:rsidR="00CF04BC" w:rsidRPr="00B93493" w14:paraId="76DF7FBF"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57128C7" w14:textId="77777777" w:rsidR="00CF04BC" w:rsidRPr="00B93493" w:rsidRDefault="00CF04BC" w:rsidP="002E7F54">
            <w:pPr>
              <w:pStyle w:val="Tabletext"/>
              <w:jc w:val="center"/>
            </w:pPr>
            <w:r w:rsidRPr="00B93493">
              <w:t>63</w:t>
            </w:r>
          </w:p>
        </w:tc>
        <w:tc>
          <w:tcPr>
            <w:tcW w:w="4122" w:type="dxa"/>
            <w:tcBorders>
              <w:top w:val="nil"/>
              <w:left w:val="nil"/>
              <w:bottom w:val="single" w:sz="4" w:space="0" w:color="auto"/>
              <w:right w:val="single" w:sz="4" w:space="0" w:color="auto"/>
            </w:tcBorders>
            <w:shd w:val="clear" w:color="auto" w:fill="auto"/>
            <w:noWrap/>
            <w:vAlign w:val="center"/>
          </w:tcPr>
          <w:p w14:paraId="31362A3E" w14:textId="77777777" w:rsidR="00CF04BC" w:rsidRPr="00B93493" w:rsidRDefault="00CF04BC" w:rsidP="002E7F54">
            <w:pPr>
              <w:pStyle w:val="Tabletext"/>
              <w:jc w:val="center"/>
            </w:pPr>
            <w:r w:rsidRPr="00B93493">
              <w:t>Saratov Oblast</w:t>
            </w:r>
          </w:p>
        </w:tc>
        <w:tc>
          <w:tcPr>
            <w:tcW w:w="1701" w:type="dxa"/>
            <w:tcBorders>
              <w:top w:val="single" w:sz="4" w:space="0" w:color="auto"/>
              <w:left w:val="nil"/>
              <w:bottom w:val="single" w:sz="4" w:space="0" w:color="auto"/>
              <w:right w:val="single" w:sz="4" w:space="0" w:color="auto"/>
            </w:tcBorders>
          </w:tcPr>
          <w:p w14:paraId="05FF5F19"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0EFFC01" w14:textId="77777777" w:rsidR="00CF04BC" w:rsidRPr="00B93493" w:rsidRDefault="00CF04BC" w:rsidP="002E7F54">
            <w:pPr>
              <w:pStyle w:val="Tabletext"/>
              <w:jc w:val="center"/>
            </w:pPr>
            <w:r w:rsidRPr="00B93493">
              <w:t>57.2</w:t>
            </w:r>
          </w:p>
        </w:tc>
        <w:tc>
          <w:tcPr>
            <w:tcW w:w="1597" w:type="dxa"/>
            <w:tcBorders>
              <w:top w:val="nil"/>
              <w:left w:val="nil"/>
              <w:bottom w:val="single" w:sz="4" w:space="0" w:color="auto"/>
              <w:right w:val="single" w:sz="4" w:space="0" w:color="auto"/>
            </w:tcBorders>
            <w:vAlign w:val="center"/>
          </w:tcPr>
          <w:p w14:paraId="01A37581" w14:textId="77777777" w:rsidR="00CF04BC" w:rsidRPr="00B93493" w:rsidRDefault="00CF04BC" w:rsidP="002E7F54">
            <w:pPr>
              <w:pStyle w:val="Tabletext"/>
              <w:jc w:val="center"/>
            </w:pPr>
            <w:r w:rsidRPr="00B93493">
              <w:t>68.64</w:t>
            </w:r>
          </w:p>
        </w:tc>
      </w:tr>
      <w:tr w:rsidR="00CF04BC" w:rsidRPr="00B93493" w14:paraId="0B24ACBF"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734B0D4" w14:textId="77777777" w:rsidR="00CF04BC" w:rsidRPr="00B93493" w:rsidRDefault="00CF04BC" w:rsidP="002E7F54">
            <w:pPr>
              <w:pStyle w:val="Tabletext"/>
              <w:jc w:val="center"/>
            </w:pPr>
            <w:r w:rsidRPr="00B93493">
              <w:t>64</w:t>
            </w:r>
          </w:p>
        </w:tc>
        <w:tc>
          <w:tcPr>
            <w:tcW w:w="4122" w:type="dxa"/>
            <w:tcBorders>
              <w:top w:val="nil"/>
              <w:left w:val="nil"/>
              <w:bottom w:val="single" w:sz="4" w:space="0" w:color="auto"/>
              <w:right w:val="single" w:sz="4" w:space="0" w:color="auto"/>
            </w:tcBorders>
            <w:shd w:val="clear" w:color="auto" w:fill="auto"/>
            <w:noWrap/>
            <w:vAlign w:val="center"/>
          </w:tcPr>
          <w:p w14:paraId="3B70B6B8" w14:textId="77777777" w:rsidR="00CF04BC" w:rsidRPr="00B93493" w:rsidRDefault="00CF04BC" w:rsidP="002E7F54">
            <w:pPr>
              <w:pStyle w:val="Tabletext"/>
              <w:jc w:val="center"/>
            </w:pPr>
            <w:r w:rsidRPr="00B93493">
              <w:t>Sakhalin Oblast</w:t>
            </w:r>
          </w:p>
        </w:tc>
        <w:tc>
          <w:tcPr>
            <w:tcW w:w="1701" w:type="dxa"/>
            <w:tcBorders>
              <w:top w:val="single" w:sz="4" w:space="0" w:color="auto"/>
              <w:left w:val="nil"/>
              <w:bottom w:val="single" w:sz="4" w:space="0" w:color="auto"/>
              <w:right w:val="single" w:sz="4" w:space="0" w:color="auto"/>
            </w:tcBorders>
          </w:tcPr>
          <w:p w14:paraId="6E1E748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1685387" w14:textId="77777777" w:rsidR="00CF04BC" w:rsidRPr="00B93493" w:rsidRDefault="00CF04BC" w:rsidP="002E7F54">
            <w:pPr>
              <w:pStyle w:val="Tabletext"/>
              <w:jc w:val="center"/>
            </w:pPr>
            <w:r w:rsidRPr="00B93493">
              <w:t>15.9</w:t>
            </w:r>
          </w:p>
        </w:tc>
        <w:tc>
          <w:tcPr>
            <w:tcW w:w="1597" w:type="dxa"/>
            <w:tcBorders>
              <w:top w:val="nil"/>
              <w:left w:val="nil"/>
              <w:bottom w:val="single" w:sz="4" w:space="0" w:color="auto"/>
              <w:right w:val="single" w:sz="4" w:space="0" w:color="auto"/>
            </w:tcBorders>
            <w:vAlign w:val="center"/>
          </w:tcPr>
          <w:p w14:paraId="3A5933CA" w14:textId="77777777" w:rsidR="00CF04BC" w:rsidRPr="00B93493" w:rsidRDefault="00CF04BC" w:rsidP="002E7F54">
            <w:pPr>
              <w:pStyle w:val="Tabletext"/>
              <w:jc w:val="center"/>
            </w:pPr>
            <w:r w:rsidRPr="00B93493">
              <w:t>17.49</w:t>
            </w:r>
          </w:p>
        </w:tc>
      </w:tr>
      <w:tr w:rsidR="00CF04BC" w:rsidRPr="00B93493" w14:paraId="2525A111"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903BF21" w14:textId="77777777" w:rsidR="00CF04BC" w:rsidRPr="00B93493" w:rsidRDefault="00CF04BC" w:rsidP="002E7F54">
            <w:pPr>
              <w:pStyle w:val="Tabletext"/>
              <w:jc w:val="center"/>
            </w:pPr>
            <w:r w:rsidRPr="00B93493">
              <w:t>65</w:t>
            </w:r>
          </w:p>
        </w:tc>
        <w:tc>
          <w:tcPr>
            <w:tcW w:w="4122" w:type="dxa"/>
            <w:tcBorders>
              <w:top w:val="nil"/>
              <w:left w:val="nil"/>
              <w:bottom w:val="single" w:sz="4" w:space="0" w:color="auto"/>
              <w:right w:val="single" w:sz="4" w:space="0" w:color="auto"/>
            </w:tcBorders>
            <w:shd w:val="clear" w:color="auto" w:fill="auto"/>
            <w:noWrap/>
            <w:vAlign w:val="center"/>
          </w:tcPr>
          <w:p w14:paraId="3FC8211E" w14:textId="77777777" w:rsidR="00CF04BC" w:rsidRPr="00B93493" w:rsidRDefault="00CF04BC" w:rsidP="002E7F54">
            <w:pPr>
              <w:pStyle w:val="Tabletext"/>
              <w:jc w:val="center"/>
            </w:pPr>
            <w:r w:rsidRPr="00B93493">
              <w:t>Sverdlovsk Oblast</w:t>
            </w:r>
          </w:p>
        </w:tc>
        <w:tc>
          <w:tcPr>
            <w:tcW w:w="1701" w:type="dxa"/>
            <w:tcBorders>
              <w:top w:val="single" w:sz="4" w:space="0" w:color="auto"/>
              <w:left w:val="nil"/>
              <w:bottom w:val="single" w:sz="4" w:space="0" w:color="auto"/>
              <w:right w:val="single" w:sz="4" w:space="0" w:color="auto"/>
            </w:tcBorders>
          </w:tcPr>
          <w:p w14:paraId="7BAB445A"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46A2355" w14:textId="77777777" w:rsidR="00CF04BC" w:rsidRPr="00B93493" w:rsidRDefault="00CF04BC" w:rsidP="002E7F54">
            <w:pPr>
              <w:pStyle w:val="Tabletext"/>
              <w:jc w:val="center"/>
            </w:pPr>
            <w:r w:rsidRPr="00B93493">
              <w:t>122.9</w:t>
            </w:r>
          </w:p>
        </w:tc>
        <w:tc>
          <w:tcPr>
            <w:tcW w:w="1597" w:type="dxa"/>
            <w:tcBorders>
              <w:top w:val="nil"/>
              <w:left w:val="nil"/>
              <w:bottom w:val="single" w:sz="4" w:space="0" w:color="auto"/>
              <w:right w:val="single" w:sz="4" w:space="0" w:color="auto"/>
            </w:tcBorders>
            <w:vAlign w:val="center"/>
          </w:tcPr>
          <w:p w14:paraId="26DA70C9" w14:textId="77777777" w:rsidR="00CF04BC" w:rsidRPr="00B93493" w:rsidRDefault="00CF04BC" w:rsidP="002E7F54">
            <w:pPr>
              <w:pStyle w:val="Tabletext"/>
              <w:jc w:val="center"/>
            </w:pPr>
            <w:r w:rsidRPr="00B93493">
              <w:t>356.41</w:t>
            </w:r>
          </w:p>
        </w:tc>
      </w:tr>
      <w:tr w:rsidR="00CF04BC" w:rsidRPr="00B93493" w14:paraId="6F9135AA"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FA0DF0C" w14:textId="77777777" w:rsidR="00CF04BC" w:rsidRPr="00B93493" w:rsidRDefault="00CF04BC" w:rsidP="002E7F54">
            <w:pPr>
              <w:pStyle w:val="Tabletext"/>
              <w:jc w:val="center"/>
            </w:pPr>
            <w:r w:rsidRPr="00B93493">
              <w:t>66</w:t>
            </w:r>
          </w:p>
        </w:tc>
        <w:tc>
          <w:tcPr>
            <w:tcW w:w="4122" w:type="dxa"/>
            <w:tcBorders>
              <w:top w:val="nil"/>
              <w:left w:val="nil"/>
              <w:bottom w:val="single" w:sz="4" w:space="0" w:color="auto"/>
              <w:right w:val="single" w:sz="4" w:space="0" w:color="auto"/>
            </w:tcBorders>
            <w:shd w:val="clear" w:color="auto" w:fill="auto"/>
            <w:noWrap/>
            <w:vAlign w:val="center"/>
          </w:tcPr>
          <w:p w14:paraId="499988FB" w14:textId="77777777" w:rsidR="00CF04BC" w:rsidRPr="00B93493" w:rsidRDefault="00CF04BC" w:rsidP="002E7F54">
            <w:pPr>
              <w:pStyle w:val="Tabletext"/>
              <w:jc w:val="center"/>
            </w:pPr>
            <w:r w:rsidRPr="00B93493">
              <w:t>Smolensk Oblast</w:t>
            </w:r>
          </w:p>
        </w:tc>
        <w:tc>
          <w:tcPr>
            <w:tcW w:w="1701" w:type="dxa"/>
            <w:tcBorders>
              <w:top w:val="single" w:sz="4" w:space="0" w:color="auto"/>
              <w:left w:val="nil"/>
              <w:bottom w:val="single" w:sz="4" w:space="0" w:color="auto"/>
              <w:right w:val="single" w:sz="4" w:space="0" w:color="auto"/>
            </w:tcBorders>
          </w:tcPr>
          <w:p w14:paraId="2228D2D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32C2FEF" w14:textId="77777777" w:rsidR="00CF04BC" w:rsidRPr="00B93493" w:rsidRDefault="00CF04BC" w:rsidP="002E7F54">
            <w:pPr>
              <w:pStyle w:val="Tabletext"/>
              <w:jc w:val="center"/>
            </w:pPr>
            <w:r w:rsidRPr="00B93493">
              <w:t>21.1</w:t>
            </w:r>
          </w:p>
        </w:tc>
        <w:tc>
          <w:tcPr>
            <w:tcW w:w="1597" w:type="dxa"/>
            <w:tcBorders>
              <w:top w:val="nil"/>
              <w:left w:val="nil"/>
              <w:bottom w:val="single" w:sz="4" w:space="0" w:color="auto"/>
              <w:right w:val="single" w:sz="4" w:space="0" w:color="auto"/>
            </w:tcBorders>
            <w:vAlign w:val="center"/>
          </w:tcPr>
          <w:p w14:paraId="2137AA69" w14:textId="77777777" w:rsidR="00CF04BC" w:rsidRPr="00B93493" w:rsidRDefault="00CF04BC" w:rsidP="002E7F54">
            <w:pPr>
              <w:pStyle w:val="Tabletext"/>
              <w:jc w:val="center"/>
            </w:pPr>
            <w:r w:rsidRPr="00B93493">
              <w:t>24.265</w:t>
            </w:r>
          </w:p>
        </w:tc>
      </w:tr>
      <w:tr w:rsidR="00CF04BC" w:rsidRPr="00B93493" w14:paraId="7B50790E"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30C4AB74" w14:textId="77777777" w:rsidR="00CF04BC" w:rsidRPr="00B93493" w:rsidRDefault="00CF04BC" w:rsidP="002E7F54">
            <w:pPr>
              <w:pStyle w:val="Tabletext"/>
              <w:jc w:val="center"/>
            </w:pPr>
            <w:r w:rsidRPr="00B93493">
              <w:t>67</w:t>
            </w:r>
          </w:p>
        </w:tc>
        <w:tc>
          <w:tcPr>
            <w:tcW w:w="4122" w:type="dxa"/>
            <w:tcBorders>
              <w:top w:val="nil"/>
              <w:left w:val="nil"/>
              <w:bottom w:val="single" w:sz="4" w:space="0" w:color="auto"/>
              <w:right w:val="single" w:sz="4" w:space="0" w:color="auto"/>
            </w:tcBorders>
            <w:shd w:val="clear" w:color="auto" w:fill="auto"/>
            <w:noWrap/>
            <w:vAlign w:val="center"/>
          </w:tcPr>
          <w:p w14:paraId="03F23BD0" w14:textId="77777777" w:rsidR="00CF04BC" w:rsidRPr="00B93493" w:rsidRDefault="00CF04BC" w:rsidP="002E7F54">
            <w:pPr>
              <w:pStyle w:val="Tabletext"/>
              <w:jc w:val="center"/>
            </w:pPr>
            <w:r w:rsidRPr="00B93493">
              <w:t>Stavropol Krai</w:t>
            </w:r>
          </w:p>
        </w:tc>
        <w:tc>
          <w:tcPr>
            <w:tcW w:w="1701" w:type="dxa"/>
            <w:tcBorders>
              <w:top w:val="single" w:sz="4" w:space="0" w:color="auto"/>
              <w:left w:val="nil"/>
              <w:bottom w:val="single" w:sz="4" w:space="0" w:color="auto"/>
              <w:right w:val="single" w:sz="4" w:space="0" w:color="auto"/>
            </w:tcBorders>
          </w:tcPr>
          <w:p w14:paraId="7EED56A7"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222386E" w14:textId="77777777" w:rsidR="00CF04BC" w:rsidRPr="00B93493" w:rsidRDefault="00CF04BC" w:rsidP="002E7F54">
            <w:pPr>
              <w:pStyle w:val="Tabletext"/>
              <w:jc w:val="center"/>
            </w:pPr>
            <w:r w:rsidRPr="00B93493">
              <w:t>57.4</w:t>
            </w:r>
          </w:p>
        </w:tc>
        <w:tc>
          <w:tcPr>
            <w:tcW w:w="1597" w:type="dxa"/>
            <w:tcBorders>
              <w:top w:val="nil"/>
              <w:left w:val="nil"/>
              <w:bottom w:val="single" w:sz="4" w:space="0" w:color="auto"/>
              <w:right w:val="single" w:sz="4" w:space="0" w:color="auto"/>
            </w:tcBorders>
            <w:vAlign w:val="center"/>
          </w:tcPr>
          <w:p w14:paraId="25DBC63A" w14:textId="77777777" w:rsidR="00CF04BC" w:rsidRPr="00B93493" w:rsidRDefault="00CF04BC" w:rsidP="002E7F54">
            <w:pPr>
              <w:pStyle w:val="Tabletext"/>
              <w:jc w:val="center"/>
            </w:pPr>
            <w:r w:rsidRPr="00B93493">
              <w:t>66.01</w:t>
            </w:r>
          </w:p>
        </w:tc>
      </w:tr>
      <w:tr w:rsidR="00CF04BC" w:rsidRPr="00B93493" w14:paraId="0C22A750"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5941140E" w14:textId="77777777" w:rsidR="00CF04BC" w:rsidRPr="00B93493" w:rsidRDefault="00CF04BC" w:rsidP="002E7F54">
            <w:pPr>
              <w:pStyle w:val="Tabletext"/>
              <w:jc w:val="center"/>
            </w:pPr>
            <w:r w:rsidRPr="00B93493">
              <w:t>68</w:t>
            </w:r>
          </w:p>
        </w:tc>
        <w:tc>
          <w:tcPr>
            <w:tcW w:w="4122" w:type="dxa"/>
            <w:tcBorders>
              <w:top w:val="nil"/>
              <w:left w:val="nil"/>
              <w:bottom w:val="single" w:sz="4" w:space="0" w:color="auto"/>
              <w:right w:val="single" w:sz="4" w:space="0" w:color="auto"/>
            </w:tcBorders>
            <w:shd w:val="clear" w:color="auto" w:fill="auto"/>
            <w:noWrap/>
            <w:vAlign w:val="center"/>
          </w:tcPr>
          <w:p w14:paraId="30AB5499" w14:textId="77777777" w:rsidR="00CF04BC" w:rsidRPr="00B93493" w:rsidRDefault="00CF04BC" w:rsidP="002E7F54">
            <w:pPr>
              <w:pStyle w:val="Tabletext"/>
              <w:jc w:val="center"/>
            </w:pPr>
            <w:r w:rsidRPr="00B93493">
              <w:t>Tambov Oblast</w:t>
            </w:r>
          </w:p>
        </w:tc>
        <w:tc>
          <w:tcPr>
            <w:tcW w:w="1701" w:type="dxa"/>
            <w:tcBorders>
              <w:top w:val="single" w:sz="4" w:space="0" w:color="auto"/>
              <w:left w:val="nil"/>
              <w:bottom w:val="single" w:sz="4" w:space="0" w:color="auto"/>
              <w:right w:val="single" w:sz="4" w:space="0" w:color="auto"/>
            </w:tcBorders>
          </w:tcPr>
          <w:p w14:paraId="37D9408F"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248E72A9" w14:textId="77777777" w:rsidR="00CF04BC" w:rsidRPr="00B93493" w:rsidRDefault="00CF04BC" w:rsidP="002E7F54">
            <w:pPr>
              <w:pStyle w:val="Tabletext"/>
              <w:jc w:val="center"/>
            </w:pPr>
            <w:r w:rsidRPr="00B93493">
              <w:t>23.7</w:t>
            </w:r>
          </w:p>
        </w:tc>
        <w:tc>
          <w:tcPr>
            <w:tcW w:w="1597" w:type="dxa"/>
            <w:tcBorders>
              <w:top w:val="nil"/>
              <w:left w:val="nil"/>
              <w:bottom w:val="single" w:sz="4" w:space="0" w:color="auto"/>
              <w:right w:val="single" w:sz="4" w:space="0" w:color="auto"/>
            </w:tcBorders>
            <w:vAlign w:val="center"/>
          </w:tcPr>
          <w:p w14:paraId="07D18687" w14:textId="77777777" w:rsidR="00CF04BC" w:rsidRPr="00B93493" w:rsidRDefault="00CF04BC" w:rsidP="002E7F54">
            <w:pPr>
              <w:pStyle w:val="Tabletext"/>
              <w:jc w:val="center"/>
            </w:pPr>
            <w:r w:rsidRPr="00B93493">
              <w:t>26.07</w:t>
            </w:r>
          </w:p>
        </w:tc>
      </w:tr>
      <w:tr w:rsidR="00CF04BC" w:rsidRPr="00B93493" w14:paraId="032577A1"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879595E" w14:textId="77777777" w:rsidR="00CF04BC" w:rsidRPr="00B93493" w:rsidRDefault="00CF04BC" w:rsidP="002E7F54">
            <w:pPr>
              <w:pStyle w:val="Tabletext"/>
              <w:jc w:val="center"/>
            </w:pPr>
            <w:r w:rsidRPr="00B93493">
              <w:t>69</w:t>
            </w:r>
          </w:p>
        </w:tc>
        <w:tc>
          <w:tcPr>
            <w:tcW w:w="4122" w:type="dxa"/>
            <w:tcBorders>
              <w:top w:val="nil"/>
              <w:left w:val="nil"/>
              <w:bottom w:val="single" w:sz="4" w:space="0" w:color="auto"/>
              <w:right w:val="single" w:sz="4" w:space="0" w:color="auto"/>
            </w:tcBorders>
            <w:shd w:val="clear" w:color="auto" w:fill="auto"/>
            <w:noWrap/>
            <w:vAlign w:val="center"/>
          </w:tcPr>
          <w:p w14:paraId="5266328E" w14:textId="77777777" w:rsidR="00CF04BC" w:rsidRPr="00B93493" w:rsidRDefault="00CF04BC" w:rsidP="002E7F54">
            <w:pPr>
              <w:pStyle w:val="Tabletext"/>
              <w:jc w:val="center"/>
            </w:pPr>
            <w:r w:rsidRPr="00B93493">
              <w:t>Tver Oblast</w:t>
            </w:r>
          </w:p>
        </w:tc>
        <w:tc>
          <w:tcPr>
            <w:tcW w:w="1701" w:type="dxa"/>
            <w:tcBorders>
              <w:top w:val="single" w:sz="4" w:space="0" w:color="auto"/>
              <w:left w:val="nil"/>
              <w:bottom w:val="single" w:sz="4" w:space="0" w:color="auto"/>
              <w:right w:val="single" w:sz="4" w:space="0" w:color="auto"/>
            </w:tcBorders>
          </w:tcPr>
          <w:p w14:paraId="35AE4F66"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B28BF69" w14:textId="77777777" w:rsidR="00CF04BC" w:rsidRPr="00B93493" w:rsidRDefault="00CF04BC" w:rsidP="002E7F54">
            <w:pPr>
              <w:pStyle w:val="Tabletext"/>
              <w:jc w:val="center"/>
            </w:pPr>
            <w:r w:rsidRPr="00B93493">
              <w:t>28.9</w:t>
            </w:r>
          </w:p>
        </w:tc>
        <w:tc>
          <w:tcPr>
            <w:tcW w:w="1597" w:type="dxa"/>
            <w:tcBorders>
              <w:top w:val="nil"/>
              <w:left w:val="nil"/>
              <w:bottom w:val="single" w:sz="4" w:space="0" w:color="auto"/>
              <w:right w:val="single" w:sz="4" w:space="0" w:color="auto"/>
            </w:tcBorders>
            <w:vAlign w:val="center"/>
          </w:tcPr>
          <w:p w14:paraId="65442AA9" w14:textId="77777777" w:rsidR="00CF04BC" w:rsidRPr="00B93493" w:rsidRDefault="00CF04BC" w:rsidP="002E7F54">
            <w:pPr>
              <w:pStyle w:val="Tabletext"/>
              <w:jc w:val="center"/>
            </w:pPr>
            <w:r w:rsidRPr="00B93493">
              <w:t>31.79</w:t>
            </w:r>
          </w:p>
        </w:tc>
      </w:tr>
      <w:tr w:rsidR="00CF04BC" w:rsidRPr="00B93493" w14:paraId="4C9FE4A7"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F6B13FC" w14:textId="77777777" w:rsidR="00CF04BC" w:rsidRPr="00B93493" w:rsidRDefault="00CF04BC" w:rsidP="002E7F54">
            <w:pPr>
              <w:pStyle w:val="Tabletext"/>
              <w:jc w:val="center"/>
            </w:pPr>
            <w:r w:rsidRPr="00B93493">
              <w:t>70</w:t>
            </w:r>
          </w:p>
        </w:tc>
        <w:tc>
          <w:tcPr>
            <w:tcW w:w="4122" w:type="dxa"/>
            <w:tcBorders>
              <w:top w:val="nil"/>
              <w:left w:val="nil"/>
              <w:bottom w:val="single" w:sz="4" w:space="0" w:color="auto"/>
              <w:right w:val="single" w:sz="4" w:space="0" w:color="auto"/>
            </w:tcBorders>
            <w:shd w:val="clear" w:color="auto" w:fill="auto"/>
            <w:noWrap/>
            <w:vAlign w:val="center"/>
          </w:tcPr>
          <w:p w14:paraId="59EA82BD" w14:textId="77777777" w:rsidR="00CF04BC" w:rsidRPr="00B93493" w:rsidRDefault="00CF04BC" w:rsidP="002E7F54">
            <w:pPr>
              <w:pStyle w:val="Tabletext"/>
              <w:jc w:val="center"/>
            </w:pPr>
            <w:r w:rsidRPr="00B93493">
              <w:t>Tomsk Oblast</w:t>
            </w:r>
          </w:p>
        </w:tc>
        <w:tc>
          <w:tcPr>
            <w:tcW w:w="1701" w:type="dxa"/>
            <w:tcBorders>
              <w:top w:val="single" w:sz="4" w:space="0" w:color="auto"/>
              <w:left w:val="nil"/>
              <w:bottom w:val="single" w:sz="4" w:space="0" w:color="auto"/>
              <w:right w:val="single" w:sz="4" w:space="0" w:color="auto"/>
            </w:tcBorders>
          </w:tcPr>
          <w:p w14:paraId="14A6757D"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0F5F44E" w14:textId="77777777" w:rsidR="00CF04BC" w:rsidRPr="00B93493" w:rsidRDefault="00CF04BC" w:rsidP="002E7F54">
            <w:pPr>
              <w:pStyle w:val="Tabletext"/>
              <w:jc w:val="center"/>
            </w:pPr>
            <w:r w:rsidRPr="00B93493">
              <w:t>24.4</w:t>
            </w:r>
          </w:p>
        </w:tc>
        <w:tc>
          <w:tcPr>
            <w:tcW w:w="1597" w:type="dxa"/>
            <w:tcBorders>
              <w:top w:val="nil"/>
              <w:left w:val="nil"/>
              <w:bottom w:val="single" w:sz="4" w:space="0" w:color="auto"/>
              <w:right w:val="single" w:sz="4" w:space="0" w:color="auto"/>
            </w:tcBorders>
            <w:vAlign w:val="center"/>
          </w:tcPr>
          <w:p w14:paraId="06AA4183" w14:textId="77777777" w:rsidR="00CF04BC" w:rsidRPr="00B93493" w:rsidRDefault="00CF04BC" w:rsidP="002E7F54">
            <w:pPr>
              <w:pStyle w:val="Tabletext"/>
              <w:jc w:val="center"/>
            </w:pPr>
            <w:r w:rsidRPr="00B93493">
              <w:t>28.06</w:t>
            </w:r>
          </w:p>
        </w:tc>
      </w:tr>
      <w:tr w:rsidR="00CF04BC" w:rsidRPr="00B93493" w14:paraId="5B722042"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D13BF00" w14:textId="77777777" w:rsidR="00CF04BC" w:rsidRPr="00B93493" w:rsidRDefault="00CF04BC" w:rsidP="002E7F54">
            <w:pPr>
              <w:pStyle w:val="Tabletext"/>
              <w:jc w:val="center"/>
            </w:pPr>
            <w:r w:rsidRPr="00B93493">
              <w:t>71</w:t>
            </w:r>
          </w:p>
        </w:tc>
        <w:tc>
          <w:tcPr>
            <w:tcW w:w="4122" w:type="dxa"/>
            <w:tcBorders>
              <w:top w:val="nil"/>
              <w:left w:val="nil"/>
              <w:bottom w:val="single" w:sz="4" w:space="0" w:color="auto"/>
              <w:right w:val="single" w:sz="4" w:space="0" w:color="auto"/>
            </w:tcBorders>
            <w:shd w:val="clear" w:color="auto" w:fill="auto"/>
            <w:noWrap/>
            <w:vAlign w:val="center"/>
          </w:tcPr>
          <w:p w14:paraId="69931ECA" w14:textId="77777777" w:rsidR="00CF04BC" w:rsidRPr="00B93493" w:rsidRDefault="00CF04BC" w:rsidP="002E7F54">
            <w:pPr>
              <w:pStyle w:val="Tabletext"/>
              <w:jc w:val="center"/>
            </w:pPr>
            <w:r w:rsidRPr="00B93493">
              <w:t>Tula Oblast</w:t>
            </w:r>
          </w:p>
        </w:tc>
        <w:tc>
          <w:tcPr>
            <w:tcW w:w="1701" w:type="dxa"/>
            <w:tcBorders>
              <w:top w:val="single" w:sz="4" w:space="0" w:color="auto"/>
              <w:left w:val="nil"/>
              <w:bottom w:val="single" w:sz="4" w:space="0" w:color="auto"/>
              <w:right w:val="single" w:sz="4" w:space="0" w:color="auto"/>
            </w:tcBorders>
          </w:tcPr>
          <w:p w14:paraId="4C1129A3"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9772E87" w14:textId="77777777" w:rsidR="00CF04BC" w:rsidRPr="00B93493" w:rsidRDefault="00CF04BC" w:rsidP="002E7F54">
            <w:pPr>
              <w:pStyle w:val="Tabletext"/>
              <w:jc w:val="center"/>
            </w:pPr>
            <w:r w:rsidRPr="00B93493">
              <w:t>34.4</w:t>
            </w:r>
          </w:p>
        </w:tc>
        <w:tc>
          <w:tcPr>
            <w:tcW w:w="1597" w:type="dxa"/>
            <w:tcBorders>
              <w:top w:val="nil"/>
              <w:left w:val="nil"/>
              <w:bottom w:val="single" w:sz="4" w:space="0" w:color="auto"/>
              <w:right w:val="single" w:sz="4" w:space="0" w:color="auto"/>
            </w:tcBorders>
            <w:vAlign w:val="center"/>
          </w:tcPr>
          <w:p w14:paraId="7C40C27D" w14:textId="77777777" w:rsidR="00CF04BC" w:rsidRPr="00B93493" w:rsidRDefault="00CF04BC" w:rsidP="002E7F54">
            <w:pPr>
              <w:pStyle w:val="Tabletext"/>
              <w:jc w:val="center"/>
            </w:pPr>
            <w:r w:rsidRPr="00B93493">
              <w:t>39.56</w:t>
            </w:r>
          </w:p>
        </w:tc>
      </w:tr>
      <w:tr w:rsidR="00CF04BC" w:rsidRPr="00B93493" w14:paraId="66CD6E5E"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44C5EB7" w14:textId="77777777" w:rsidR="00CF04BC" w:rsidRPr="00B93493" w:rsidRDefault="00CF04BC" w:rsidP="002E7F54">
            <w:pPr>
              <w:pStyle w:val="Tabletext"/>
              <w:jc w:val="center"/>
            </w:pPr>
            <w:r w:rsidRPr="00B93493">
              <w:t>72</w:t>
            </w:r>
          </w:p>
        </w:tc>
        <w:tc>
          <w:tcPr>
            <w:tcW w:w="4122" w:type="dxa"/>
            <w:tcBorders>
              <w:top w:val="nil"/>
              <w:left w:val="nil"/>
              <w:bottom w:val="single" w:sz="4" w:space="0" w:color="auto"/>
              <w:right w:val="single" w:sz="4" w:space="0" w:color="auto"/>
            </w:tcBorders>
            <w:shd w:val="clear" w:color="auto" w:fill="auto"/>
            <w:noWrap/>
            <w:vAlign w:val="center"/>
          </w:tcPr>
          <w:p w14:paraId="40DA6B0C" w14:textId="77777777" w:rsidR="00CF04BC" w:rsidRPr="00B93493" w:rsidRDefault="00CF04BC" w:rsidP="002E7F54">
            <w:pPr>
              <w:pStyle w:val="Tabletext"/>
              <w:jc w:val="center"/>
            </w:pPr>
            <w:r w:rsidRPr="00B93493">
              <w:t>Tyumen Oblast</w:t>
            </w:r>
          </w:p>
        </w:tc>
        <w:tc>
          <w:tcPr>
            <w:tcW w:w="1701" w:type="dxa"/>
            <w:tcBorders>
              <w:top w:val="single" w:sz="4" w:space="0" w:color="auto"/>
              <w:left w:val="nil"/>
              <w:bottom w:val="single" w:sz="4" w:space="0" w:color="auto"/>
              <w:right w:val="single" w:sz="4" w:space="0" w:color="auto"/>
            </w:tcBorders>
          </w:tcPr>
          <w:p w14:paraId="164979AA"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BCD1B1E" w14:textId="77777777" w:rsidR="00CF04BC" w:rsidRPr="00B93493" w:rsidRDefault="00CF04BC" w:rsidP="002E7F54">
            <w:pPr>
              <w:pStyle w:val="Tabletext"/>
              <w:jc w:val="center"/>
            </w:pPr>
            <w:r w:rsidRPr="00B93493">
              <w:t>34.2</w:t>
            </w:r>
          </w:p>
        </w:tc>
        <w:tc>
          <w:tcPr>
            <w:tcW w:w="1597" w:type="dxa"/>
            <w:tcBorders>
              <w:top w:val="nil"/>
              <w:left w:val="nil"/>
              <w:bottom w:val="single" w:sz="4" w:space="0" w:color="auto"/>
              <w:right w:val="single" w:sz="4" w:space="0" w:color="auto"/>
            </w:tcBorders>
            <w:vAlign w:val="center"/>
          </w:tcPr>
          <w:p w14:paraId="269615C2" w14:textId="77777777" w:rsidR="00CF04BC" w:rsidRPr="00B93493" w:rsidRDefault="00CF04BC" w:rsidP="002E7F54">
            <w:pPr>
              <w:pStyle w:val="Tabletext"/>
              <w:jc w:val="center"/>
            </w:pPr>
            <w:r w:rsidRPr="00B93493">
              <w:t>97.47</w:t>
            </w:r>
          </w:p>
        </w:tc>
      </w:tr>
      <w:tr w:rsidR="00CF04BC" w:rsidRPr="00B93493" w14:paraId="0D990F69"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2100382" w14:textId="77777777" w:rsidR="00CF04BC" w:rsidRPr="00B93493" w:rsidRDefault="00CF04BC" w:rsidP="002E7F54">
            <w:pPr>
              <w:pStyle w:val="Tabletext"/>
              <w:jc w:val="center"/>
            </w:pPr>
            <w:r w:rsidRPr="00B93493">
              <w:t>73</w:t>
            </w:r>
          </w:p>
        </w:tc>
        <w:tc>
          <w:tcPr>
            <w:tcW w:w="4122" w:type="dxa"/>
            <w:tcBorders>
              <w:top w:val="nil"/>
              <w:left w:val="nil"/>
              <w:bottom w:val="single" w:sz="4" w:space="0" w:color="auto"/>
              <w:right w:val="single" w:sz="4" w:space="0" w:color="auto"/>
            </w:tcBorders>
            <w:shd w:val="clear" w:color="auto" w:fill="auto"/>
            <w:noWrap/>
            <w:vAlign w:val="center"/>
          </w:tcPr>
          <w:p w14:paraId="6B6379A0" w14:textId="77777777" w:rsidR="00CF04BC" w:rsidRPr="00B93493" w:rsidRDefault="00CF04BC" w:rsidP="002E7F54">
            <w:pPr>
              <w:pStyle w:val="Tabletext"/>
              <w:jc w:val="center"/>
            </w:pPr>
            <w:r w:rsidRPr="00B93493">
              <w:t>The Udmurt Republic</w:t>
            </w:r>
          </w:p>
        </w:tc>
        <w:tc>
          <w:tcPr>
            <w:tcW w:w="1701" w:type="dxa"/>
            <w:tcBorders>
              <w:top w:val="single" w:sz="4" w:space="0" w:color="auto"/>
              <w:left w:val="nil"/>
              <w:bottom w:val="single" w:sz="4" w:space="0" w:color="auto"/>
              <w:right w:val="single" w:sz="4" w:space="0" w:color="auto"/>
            </w:tcBorders>
          </w:tcPr>
          <w:p w14:paraId="623DE27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B24D181" w14:textId="77777777" w:rsidR="00CF04BC" w:rsidRPr="00B93493" w:rsidRDefault="00CF04BC" w:rsidP="002E7F54">
            <w:pPr>
              <w:pStyle w:val="Tabletext"/>
              <w:jc w:val="center"/>
            </w:pPr>
            <w:r w:rsidRPr="00B93493">
              <w:t>32.1</w:t>
            </w:r>
          </w:p>
        </w:tc>
        <w:tc>
          <w:tcPr>
            <w:tcW w:w="1597" w:type="dxa"/>
            <w:tcBorders>
              <w:top w:val="nil"/>
              <w:left w:val="nil"/>
              <w:bottom w:val="single" w:sz="4" w:space="0" w:color="auto"/>
              <w:right w:val="single" w:sz="4" w:space="0" w:color="auto"/>
            </w:tcBorders>
            <w:vAlign w:val="center"/>
          </w:tcPr>
          <w:p w14:paraId="4E863481" w14:textId="77777777" w:rsidR="00CF04BC" w:rsidRPr="00B93493" w:rsidRDefault="00CF04BC" w:rsidP="002E7F54">
            <w:pPr>
              <w:pStyle w:val="Tabletext"/>
              <w:jc w:val="center"/>
            </w:pPr>
            <w:r w:rsidRPr="00B93493">
              <w:t>38.52</w:t>
            </w:r>
          </w:p>
        </w:tc>
      </w:tr>
      <w:tr w:rsidR="00CF04BC" w:rsidRPr="00B93493" w14:paraId="5EEDF4E6"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43F0DAC1" w14:textId="77777777" w:rsidR="00CF04BC" w:rsidRPr="00B93493" w:rsidRDefault="00CF04BC" w:rsidP="002E7F54">
            <w:pPr>
              <w:pStyle w:val="Tabletext"/>
              <w:jc w:val="center"/>
            </w:pPr>
            <w:r w:rsidRPr="00B93493">
              <w:t>74</w:t>
            </w:r>
          </w:p>
        </w:tc>
        <w:tc>
          <w:tcPr>
            <w:tcW w:w="4122" w:type="dxa"/>
            <w:tcBorders>
              <w:top w:val="nil"/>
              <w:left w:val="nil"/>
              <w:bottom w:val="single" w:sz="4" w:space="0" w:color="auto"/>
              <w:right w:val="single" w:sz="4" w:space="0" w:color="auto"/>
            </w:tcBorders>
            <w:shd w:val="clear" w:color="auto" w:fill="auto"/>
            <w:noWrap/>
            <w:vAlign w:val="center"/>
          </w:tcPr>
          <w:p w14:paraId="0A04ED04" w14:textId="77777777" w:rsidR="00CF04BC" w:rsidRPr="00B93493" w:rsidRDefault="00CF04BC" w:rsidP="002E7F54">
            <w:pPr>
              <w:pStyle w:val="Tabletext"/>
              <w:jc w:val="center"/>
            </w:pPr>
            <w:r w:rsidRPr="00B93493">
              <w:t>Ulyanovsk Oblast</w:t>
            </w:r>
          </w:p>
        </w:tc>
        <w:tc>
          <w:tcPr>
            <w:tcW w:w="1701" w:type="dxa"/>
            <w:tcBorders>
              <w:top w:val="single" w:sz="4" w:space="0" w:color="auto"/>
              <w:left w:val="nil"/>
              <w:bottom w:val="single" w:sz="4" w:space="0" w:color="auto"/>
              <w:right w:val="single" w:sz="4" w:space="0" w:color="auto"/>
            </w:tcBorders>
          </w:tcPr>
          <w:p w14:paraId="7A057031"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DADFB6A" w14:textId="77777777" w:rsidR="00CF04BC" w:rsidRPr="00B93493" w:rsidRDefault="00CF04BC" w:rsidP="002E7F54">
            <w:pPr>
              <w:pStyle w:val="Tabletext"/>
              <w:jc w:val="center"/>
            </w:pPr>
            <w:r w:rsidRPr="00B93493">
              <w:t>29.7</w:t>
            </w:r>
          </w:p>
        </w:tc>
        <w:tc>
          <w:tcPr>
            <w:tcW w:w="1597" w:type="dxa"/>
            <w:tcBorders>
              <w:top w:val="nil"/>
              <w:left w:val="nil"/>
              <w:bottom w:val="single" w:sz="4" w:space="0" w:color="auto"/>
              <w:right w:val="single" w:sz="4" w:space="0" w:color="auto"/>
            </w:tcBorders>
            <w:vAlign w:val="center"/>
          </w:tcPr>
          <w:p w14:paraId="5692F5D6" w14:textId="77777777" w:rsidR="00CF04BC" w:rsidRPr="00B93493" w:rsidRDefault="00CF04BC" w:rsidP="002E7F54">
            <w:pPr>
              <w:pStyle w:val="Tabletext"/>
              <w:jc w:val="center"/>
            </w:pPr>
            <w:r w:rsidRPr="00B93493">
              <w:t>32.67</w:t>
            </w:r>
          </w:p>
        </w:tc>
      </w:tr>
      <w:tr w:rsidR="00CF04BC" w:rsidRPr="00B93493" w14:paraId="44B643AF"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9D8F371" w14:textId="77777777" w:rsidR="00CF04BC" w:rsidRPr="00B93493" w:rsidRDefault="00CF04BC" w:rsidP="002E7F54">
            <w:pPr>
              <w:pStyle w:val="Tabletext"/>
              <w:jc w:val="center"/>
            </w:pPr>
            <w:r w:rsidRPr="00B93493">
              <w:t>75</w:t>
            </w:r>
          </w:p>
        </w:tc>
        <w:tc>
          <w:tcPr>
            <w:tcW w:w="4122" w:type="dxa"/>
            <w:tcBorders>
              <w:top w:val="nil"/>
              <w:left w:val="nil"/>
              <w:bottom w:val="single" w:sz="4" w:space="0" w:color="auto"/>
              <w:right w:val="single" w:sz="4" w:space="0" w:color="auto"/>
            </w:tcBorders>
            <w:shd w:val="clear" w:color="auto" w:fill="auto"/>
            <w:noWrap/>
            <w:vAlign w:val="center"/>
          </w:tcPr>
          <w:p w14:paraId="430038BA" w14:textId="77777777" w:rsidR="00CF04BC" w:rsidRPr="00B93493" w:rsidRDefault="00CF04BC" w:rsidP="002E7F54">
            <w:pPr>
              <w:pStyle w:val="Tabletext"/>
              <w:jc w:val="center"/>
            </w:pPr>
            <w:r w:rsidRPr="00B93493">
              <w:t>Khabarovsk Krai</w:t>
            </w:r>
          </w:p>
        </w:tc>
        <w:tc>
          <w:tcPr>
            <w:tcW w:w="1701" w:type="dxa"/>
            <w:tcBorders>
              <w:top w:val="single" w:sz="4" w:space="0" w:color="auto"/>
              <w:left w:val="nil"/>
              <w:bottom w:val="single" w:sz="4" w:space="0" w:color="auto"/>
              <w:right w:val="single" w:sz="4" w:space="0" w:color="auto"/>
            </w:tcBorders>
          </w:tcPr>
          <w:p w14:paraId="7A8D0904"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F9FC94E" w14:textId="77777777" w:rsidR="00CF04BC" w:rsidRPr="00B93493" w:rsidRDefault="00CF04BC" w:rsidP="002E7F54">
            <w:pPr>
              <w:pStyle w:val="Tabletext"/>
              <w:jc w:val="center"/>
            </w:pPr>
            <w:r w:rsidRPr="00B93493">
              <w:t>35.1</w:t>
            </w:r>
          </w:p>
        </w:tc>
        <w:tc>
          <w:tcPr>
            <w:tcW w:w="1597" w:type="dxa"/>
            <w:tcBorders>
              <w:top w:val="nil"/>
              <w:left w:val="nil"/>
              <w:bottom w:val="single" w:sz="4" w:space="0" w:color="auto"/>
              <w:right w:val="single" w:sz="4" w:space="0" w:color="auto"/>
            </w:tcBorders>
            <w:vAlign w:val="center"/>
          </w:tcPr>
          <w:p w14:paraId="7FFA69B5" w14:textId="77777777" w:rsidR="00CF04BC" w:rsidRPr="00B93493" w:rsidRDefault="00CF04BC" w:rsidP="002E7F54">
            <w:pPr>
              <w:pStyle w:val="Tabletext"/>
              <w:jc w:val="center"/>
            </w:pPr>
            <w:r w:rsidRPr="00B93493">
              <w:t>36.855</w:t>
            </w:r>
          </w:p>
        </w:tc>
      </w:tr>
      <w:tr w:rsidR="00CF04BC" w:rsidRPr="00B93493" w14:paraId="6D5B975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F4F5F07" w14:textId="77777777" w:rsidR="00CF04BC" w:rsidRPr="00B93493" w:rsidRDefault="00CF04BC" w:rsidP="002E7F54">
            <w:pPr>
              <w:pStyle w:val="Tabletext"/>
              <w:jc w:val="center"/>
            </w:pPr>
            <w:r w:rsidRPr="00B93493">
              <w:t>76</w:t>
            </w:r>
          </w:p>
        </w:tc>
        <w:tc>
          <w:tcPr>
            <w:tcW w:w="4122" w:type="dxa"/>
            <w:tcBorders>
              <w:top w:val="nil"/>
              <w:left w:val="nil"/>
              <w:bottom w:val="single" w:sz="4" w:space="0" w:color="auto"/>
              <w:right w:val="single" w:sz="4" w:space="0" w:color="auto"/>
            </w:tcBorders>
            <w:shd w:val="clear" w:color="auto" w:fill="auto"/>
            <w:noWrap/>
            <w:vAlign w:val="center"/>
          </w:tcPr>
          <w:p w14:paraId="42FD49D6" w14:textId="77777777" w:rsidR="00CF04BC" w:rsidRPr="00B93493" w:rsidRDefault="00CF04BC" w:rsidP="002E7F54">
            <w:pPr>
              <w:pStyle w:val="Tabletext"/>
              <w:jc w:val="center"/>
            </w:pPr>
            <w:r w:rsidRPr="00B93493">
              <w:t>Khanty-Mansi Autonomous Okrug Yugra</w:t>
            </w:r>
          </w:p>
        </w:tc>
        <w:tc>
          <w:tcPr>
            <w:tcW w:w="1701" w:type="dxa"/>
            <w:tcBorders>
              <w:top w:val="single" w:sz="4" w:space="0" w:color="auto"/>
              <w:left w:val="nil"/>
              <w:bottom w:val="single" w:sz="4" w:space="0" w:color="auto"/>
              <w:right w:val="single" w:sz="4" w:space="0" w:color="auto"/>
            </w:tcBorders>
          </w:tcPr>
          <w:p w14:paraId="0A067CB9"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5EB80DA" w14:textId="77777777" w:rsidR="00CF04BC" w:rsidRPr="00B93493" w:rsidRDefault="00CF04BC" w:rsidP="002E7F54">
            <w:pPr>
              <w:pStyle w:val="Tabletext"/>
              <w:jc w:val="center"/>
            </w:pPr>
            <w:r w:rsidRPr="00B93493">
              <w:t>51.8</w:t>
            </w:r>
          </w:p>
        </w:tc>
        <w:tc>
          <w:tcPr>
            <w:tcW w:w="1597" w:type="dxa"/>
            <w:tcBorders>
              <w:top w:val="nil"/>
              <w:left w:val="nil"/>
              <w:bottom w:val="single" w:sz="4" w:space="0" w:color="auto"/>
              <w:right w:val="single" w:sz="4" w:space="0" w:color="auto"/>
            </w:tcBorders>
            <w:vAlign w:val="center"/>
          </w:tcPr>
          <w:p w14:paraId="26BAF527" w14:textId="77777777" w:rsidR="00CF04BC" w:rsidRPr="00B93493" w:rsidRDefault="00CF04BC" w:rsidP="002E7F54">
            <w:pPr>
              <w:pStyle w:val="Tabletext"/>
              <w:jc w:val="center"/>
            </w:pPr>
            <w:r w:rsidRPr="00B93493">
              <w:t>119.14</w:t>
            </w:r>
          </w:p>
        </w:tc>
      </w:tr>
      <w:tr w:rsidR="00CF04BC" w:rsidRPr="00B93493" w14:paraId="14475205"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6DCA751E" w14:textId="77777777" w:rsidR="00CF04BC" w:rsidRPr="00B93493" w:rsidRDefault="00CF04BC" w:rsidP="002E7F54">
            <w:pPr>
              <w:pStyle w:val="Tabletext"/>
              <w:jc w:val="center"/>
            </w:pPr>
            <w:r w:rsidRPr="00B93493">
              <w:t>77</w:t>
            </w:r>
          </w:p>
        </w:tc>
        <w:tc>
          <w:tcPr>
            <w:tcW w:w="4122" w:type="dxa"/>
            <w:tcBorders>
              <w:top w:val="nil"/>
              <w:left w:val="nil"/>
              <w:bottom w:val="single" w:sz="4" w:space="0" w:color="auto"/>
              <w:right w:val="single" w:sz="4" w:space="0" w:color="auto"/>
            </w:tcBorders>
            <w:shd w:val="clear" w:color="auto" w:fill="auto"/>
            <w:noWrap/>
            <w:vAlign w:val="center"/>
          </w:tcPr>
          <w:p w14:paraId="0AFBF1DE" w14:textId="77777777" w:rsidR="00CF04BC" w:rsidRPr="00B93493" w:rsidRDefault="00CF04BC" w:rsidP="002E7F54">
            <w:pPr>
              <w:pStyle w:val="Tabletext"/>
              <w:jc w:val="center"/>
            </w:pPr>
            <w:r w:rsidRPr="00B93493">
              <w:t>Chelyabinsk Oblast</w:t>
            </w:r>
          </w:p>
        </w:tc>
        <w:tc>
          <w:tcPr>
            <w:tcW w:w="1701" w:type="dxa"/>
            <w:tcBorders>
              <w:top w:val="single" w:sz="4" w:space="0" w:color="auto"/>
              <w:left w:val="nil"/>
              <w:bottom w:val="single" w:sz="4" w:space="0" w:color="auto"/>
              <w:right w:val="single" w:sz="4" w:space="0" w:color="auto"/>
            </w:tcBorders>
          </w:tcPr>
          <w:p w14:paraId="7E7A8FC3"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EEA1BEF" w14:textId="77777777" w:rsidR="00CF04BC" w:rsidRPr="00B93493" w:rsidRDefault="00CF04BC" w:rsidP="002E7F54">
            <w:pPr>
              <w:pStyle w:val="Tabletext"/>
              <w:jc w:val="center"/>
            </w:pPr>
            <w:r w:rsidRPr="00B93493">
              <w:t>87.2</w:t>
            </w:r>
          </w:p>
        </w:tc>
        <w:tc>
          <w:tcPr>
            <w:tcW w:w="1597" w:type="dxa"/>
            <w:tcBorders>
              <w:top w:val="nil"/>
              <w:left w:val="nil"/>
              <w:bottom w:val="single" w:sz="4" w:space="0" w:color="auto"/>
              <w:right w:val="single" w:sz="4" w:space="0" w:color="auto"/>
            </w:tcBorders>
            <w:vAlign w:val="center"/>
          </w:tcPr>
          <w:p w14:paraId="363E6F79" w14:textId="77777777" w:rsidR="00CF04BC" w:rsidRPr="00B93493" w:rsidRDefault="00CF04BC" w:rsidP="002E7F54">
            <w:pPr>
              <w:pStyle w:val="Tabletext"/>
              <w:jc w:val="center"/>
            </w:pPr>
            <w:r w:rsidRPr="00B93493">
              <w:t>117.72</w:t>
            </w:r>
          </w:p>
        </w:tc>
      </w:tr>
      <w:tr w:rsidR="00CF04BC" w:rsidRPr="00B93493" w14:paraId="4347CC46"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0F225439" w14:textId="77777777" w:rsidR="00CF04BC" w:rsidRPr="00B93493" w:rsidRDefault="00CF04BC" w:rsidP="002E7F54">
            <w:pPr>
              <w:pStyle w:val="Tabletext"/>
              <w:jc w:val="center"/>
            </w:pPr>
            <w:r w:rsidRPr="00B93493">
              <w:t>78</w:t>
            </w:r>
          </w:p>
        </w:tc>
        <w:tc>
          <w:tcPr>
            <w:tcW w:w="4122" w:type="dxa"/>
            <w:tcBorders>
              <w:top w:val="nil"/>
              <w:left w:val="nil"/>
              <w:bottom w:val="single" w:sz="4" w:space="0" w:color="auto"/>
              <w:right w:val="single" w:sz="4" w:space="0" w:color="auto"/>
            </w:tcBorders>
            <w:shd w:val="clear" w:color="auto" w:fill="auto"/>
            <w:noWrap/>
            <w:vAlign w:val="center"/>
          </w:tcPr>
          <w:p w14:paraId="3305D058" w14:textId="77777777" w:rsidR="00CF04BC" w:rsidRPr="00B93493" w:rsidRDefault="00CF04BC" w:rsidP="002E7F54">
            <w:pPr>
              <w:pStyle w:val="Tabletext"/>
              <w:jc w:val="center"/>
            </w:pPr>
            <w:r w:rsidRPr="00B93493">
              <w:t>The Chechen Republic</w:t>
            </w:r>
          </w:p>
        </w:tc>
        <w:tc>
          <w:tcPr>
            <w:tcW w:w="1701" w:type="dxa"/>
            <w:tcBorders>
              <w:top w:val="single" w:sz="4" w:space="0" w:color="auto"/>
              <w:left w:val="nil"/>
              <w:bottom w:val="single" w:sz="4" w:space="0" w:color="auto"/>
              <w:right w:val="single" w:sz="4" w:space="0" w:color="auto"/>
            </w:tcBorders>
          </w:tcPr>
          <w:p w14:paraId="01169E4F"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BC3E41C" w14:textId="77777777" w:rsidR="00CF04BC" w:rsidRPr="00B93493" w:rsidRDefault="00CF04BC" w:rsidP="002E7F54">
            <w:pPr>
              <w:pStyle w:val="Tabletext"/>
              <w:jc w:val="center"/>
            </w:pPr>
            <w:r w:rsidRPr="00B93493">
              <w:t>24.5</w:t>
            </w:r>
          </w:p>
        </w:tc>
        <w:tc>
          <w:tcPr>
            <w:tcW w:w="1597" w:type="dxa"/>
            <w:tcBorders>
              <w:top w:val="nil"/>
              <w:left w:val="nil"/>
              <w:bottom w:val="single" w:sz="4" w:space="0" w:color="auto"/>
              <w:right w:val="single" w:sz="4" w:space="0" w:color="auto"/>
            </w:tcBorders>
            <w:vAlign w:val="center"/>
          </w:tcPr>
          <w:p w14:paraId="0512F4D9" w14:textId="77777777" w:rsidR="00CF04BC" w:rsidRPr="00B93493" w:rsidRDefault="00CF04BC" w:rsidP="002E7F54">
            <w:pPr>
              <w:pStyle w:val="Tabletext"/>
              <w:jc w:val="center"/>
            </w:pPr>
            <w:r w:rsidRPr="00B93493">
              <w:t>50.225</w:t>
            </w:r>
          </w:p>
        </w:tc>
      </w:tr>
      <w:tr w:rsidR="00CF04BC" w:rsidRPr="00B93493" w14:paraId="0316EEB1"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3474700C" w14:textId="77777777" w:rsidR="00CF04BC" w:rsidRPr="00B93493" w:rsidRDefault="00CF04BC" w:rsidP="002E7F54">
            <w:pPr>
              <w:pStyle w:val="Tabletext"/>
              <w:jc w:val="center"/>
            </w:pPr>
            <w:r w:rsidRPr="00B93493">
              <w:t>79</w:t>
            </w:r>
          </w:p>
        </w:tc>
        <w:tc>
          <w:tcPr>
            <w:tcW w:w="4122" w:type="dxa"/>
            <w:tcBorders>
              <w:top w:val="nil"/>
              <w:left w:val="nil"/>
              <w:bottom w:val="single" w:sz="4" w:space="0" w:color="auto"/>
              <w:right w:val="single" w:sz="4" w:space="0" w:color="auto"/>
            </w:tcBorders>
            <w:shd w:val="clear" w:color="auto" w:fill="auto"/>
            <w:noWrap/>
            <w:vAlign w:val="center"/>
          </w:tcPr>
          <w:p w14:paraId="71FB554C" w14:textId="77777777" w:rsidR="00CF04BC" w:rsidRPr="00B93493" w:rsidRDefault="00CF04BC" w:rsidP="002E7F54">
            <w:pPr>
              <w:pStyle w:val="Tabletext"/>
              <w:jc w:val="center"/>
            </w:pPr>
            <w:r w:rsidRPr="00B93493">
              <w:t>The Chuvash Republic (Chuvashia)</w:t>
            </w:r>
          </w:p>
        </w:tc>
        <w:tc>
          <w:tcPr>
            <w:tcW w:w="1701" w:type="dxa"/>
            <w:tcBorders>
              <w:top w:val="single" w:sz="4" w:space="0" w:color="auto"/>
              <w:left w:val="nil"/>
              <w:bottom w:val="single" w:sz="4" w:space="0" w:color="auto"/>
              <w:right w:val="single" w:sz="4" w:space="0" w:color="auto"/>
            </w:tcBorders>
          </w:tcPr>
          <w:p w14:paraId="520435C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68EEB62" w14:textId="77777777" w:rsidR="00CF04BC" w:rsidRPr="00B93493" w:rsidRDefault="00CF04BC" w:rsidP="002E7F54">
            <w:pPr>
              <w:pStyle w:val="Tabletext"/>
              <w:jc w:val="center"/>
            </w:pPr>
            <w:r w:rsidRPr="00B93493">
              <w:t>26.0</w:t>
            </w:r>
          </w:p>
        </w:tc>
        <w:tc>
          <w:tcPr>
            <w:tcW w:w="1597" w:type="dxa"/>
            <w:tcBorders>
              <w:top w:val="nil"/>
              <w:left w:val="nil"/>
              <w:bottom w:val="single" w:sz="4" w:space="0" w:color="auto"/>
              <w:right w:val="single" w:sz="4" w:space="0" w:color="auto"/>
            </w:tcBorders>
            <w:vAlign w:val="center"/>
          </w:tcPr>
          <w:p w14:paraId="33E8BFE8" w14:textId="77777777" w:rsidR="00CF04BC" w:rsidRPr="00B93493" w:rsidRDefault="00CF04BC" w:rsidP="002E7F54">
            <w:pPr>
              <w:pStyle w:val="Tabletext"/>
              <w:jc w:val="center"/>
            </w:pPr>
            <w:r w:rsidRPr="00B93493">
              <w:t>29.9</w:t>
            </w:r>
          </w:p>
        </w:tc>
      </w:tr>
    </w:tbl>
    <w:p w14:paraId="21CFB3C0" w14:textId="77777777" w:rsidR="00CF04BC" w:rsidRPr="00B93493" w:rsidRDefault="00CF04BC" w:rsidP="00CF04BC">
      <w:r w:rsidRPr="00B93493">
        <w:br w:type="page"/>
      </w:r>
    </w:p>
    <w:p w14:paraId="382F901D" w14:textId="77777777" w:rsidR="00CF04BC" w:rsidRPr="00B93493" w:rsidRDefault="00CF04BC" w:rsidP="00CF04BC">
      <w:pPr>
        <w:pStyle w:val="TableNo"/>
      </w:pPr>
      <w:r w:rsidRPr="00B93493">
        <w:t>TABLE 1</w:t>
      </w:r>
      <w:r>
        <w:rPr>
          <w:rFonts w:hint="eastAsia"/>
          <w:lang w:eastAsia="zh-CN"/>
        </w:rPr>
        <w:t>9</w:t>
      </w:r>
      <w:r w:rsidRPr="00B93493">
        <w:t xml:space="preserve"> (</w:t>
      </w:r>
      <w:r w:rsidRPr="00B93493">
        <w:rPr>
          <w:i/>
          <w:iCs/>
        </w:rPr>
        <w:t>end</w:t>
      </w:r>
      <w:r w:rsidRPr="00B93493">
        <w:t>)</w:t>
      </w:r>
    </w:p>
    <w:tbl>
      <w:tblPr>
        <w:tblW w:w="9639" w:type="dxa"/>
        <w:jc w:val="center"/>
        <w:tblLook w:val="04A0" w:firstRow="1" w:lastRow="0" w:firstColumn="1" w:lastColumn="0" w:noHBand="0" w:noVBand="1"/>
      </w:tblPr>
      <w:tblGrid>
        <w:gridCol w:w="840"/>
        <w:gridCol w:w="4122"/>
        <w:gridCol w:w="1620"/>
        <w:gridCol w:w="1511"/>
        <w:gridCol w:w="1546"/>
      </w:tblGrid>
      <w:tr w:rsidR="00CF04BC" w:rsidRPr="00B93493" w14:paraId="569ECAAC" w14:textId="77777777" w:rsidTr="00345301">
        <w:trPr>
          <w:cantSplit/>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3B87E55" w14:textId="77777777" w:rsidR="00CF04BC" w:rsidRPr="00B93493" w:rsidRDefault="00CF04BC" w:rsidP="002E7F54">
            <w:pPr>
              <w:pStyle w:val="Tablehead"/>
            </w:pPr>
            <w:r w:rsidRPr="00B93493">
              <w:t>Lot No.</w:t>
            </w:r>
          </w:p>
        </w:tc>
        <w:tc>
          <w:tcPr>
            <w:tcW w:w="4122" w:type="dxa"/>
            <w:tcBorders>
              <w:top w:val="single" w:sz="4" w:space="0" w:color="auto"/>
              <w:left w:val="nil"/>
              <w:bottom w:val="single" w:sz="4" w:space="0" w:color="auto"/>
              <w:right w:val="single" w:sz="4" w:space="0" w:color="auto"/>
            </w:tcBorders>
            <w:shd w:val="clear" w:color="auto" w:fill="auto"/>
            <w:vAlign w:val="center"/>
          </w:tcPr>
          <w:p w14:paraId="27D33588" w14:textId="77777777" w:rsidR="00CF04BC" w:rsidRPr="00B93493" w:rsidRDefault="00CF04BC" w:rsidP="002E7F54">
            <w:pPr>
              <w:pStyle w:val="Tablehead"/>
            </w:pPr>
            <w:r w:rsidRPr="00B93493">
              <w:t>Territory of the Russian Federation</w:t>
            </w:r>
          </w:p>
        </w:tc>
        <w:tc>
          <w:tcPr>
            <w:tcW w:w="1701" w:type="dxa"/>
            <w:tcBorders>
              <w:top w:val="single" w:sz="4" w:space="0" w:color="auto"/>
              <w:left w:val="nil"/>
              <w:bottom w:val="single" w:sz="4" w:space="0" w:color="auto"/>
              <w:right w:val="single" w:sz="4" w:space="0" w:color="auto"/>
            </w:tcBorders>
            <w:vAlign w:val="center"/>
          </w:tcPr>
          <w:p w14:paraId="6CB97427" w14:textId="77777777" w:rsidR="00CF04BC" w:rsidRPr="00B93493" w:rsidRDefault="00CF04BC" w:rsidP="002E7F54">
            <w:pPr>
              <w:pStyle w:val="Tablehead"/>
            </w:pPr>
            <w:r w:rsidRPr="00B93493">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1A9DC87" w14:textId="3A76D5AC" w:rsidR="00CF04BC" w:rsidRPr="00B93493" w:rsidRDefault="00CF04BC" w:rsidP="002E7F54">
            <w:pPr>
              <w:pStyle w:val="Tablehead"/>
            </w:pPr>
            <w:r w:rsidRPr="00B93493">
              <w:t xml:space="preserve">Reserve price (million </w:t>
            </w:r>
            <w:r w:rsidR="00092428">
              <w:rPr>
                <w:rFonts w:hint="eastAsia"/>
                <w:lang w:eastAsia="zh-CN"/>
              </w:rPr>
              <w:t>Roubles</w:t>
            </w:r>
            <w:r w:rsidRPr="00B93493">
              <w:t>)</w:t>
            </w:r>
          </w:p>
        </w:tc>
        <w:tc>
          <w:tcPr>
            <w:tcW w:w="1597" w:type="dxa"/>
            <w:tcBorders>
              <w:top w:val="single" w:sz="4" w:space="0" w:color="auto"/>
              <w:left w:val="nil"/>
              <w:bottom w:val="single" w:sz="4" w:space="0" w:color="auto"/>
              <w:right w:val="single" w:sz="4" w:space="0" w:color="auto"/>
            </w:tcBorders>
            <w:vAlign w:val="center"/>
          </w:tcPr>
          <w:p w14:paraId="0C7DF14D" w14:textId="6C7B7D0F" w:rsidR="00CF04BC" w:rsidRPr="00B93493" w:rsidRDefault="00CF04BC" w:rsidP="002E7F54">
            <w:pPr>
              <w:pStyle w:val="Tablehead"/>
            </w:pPr>
            <w:r w:rsidRPr="00B93493">
              <w:t xml:space="preserve">Lot price based on bidding results (million </w:t>
            </w:r>
            <w:r w:rsidR="00092428">
              <w:rPr>
                <w:rFonts w:hint="eastAsia"/>
                <w:lang w:eastAsia="zh-CN"/>
              </w:rPr>
              <w:t>Roubles</w:t>
            </w:r>
            <w:r w:rsidRPr="00B93493">
              <w:t>)</w:t>
            </w:r>
          </w:p>
        </w:tc>
      </w:tr>
      <w:tr w:rsidR="00CF04BC" w:rsidRPr="00B93493" w14:paraId="68CF7DF0"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24D20F10" w14:textId="77777777" w:rsidR="00CF04BC" w:rsidRPr="00B93493" w:rsidRDefault="00CF04BC" w:rsidP="002E7F54">
            <w:pPr>
              <w:pStyle w:val="Tabletext"/>
              <w:jc w:val="center"/>
            </w:pPr>
            <w:r w:rsidRPr="00B93493">
              <w:t>80</w:t>
            </w:r>
          </w:p>
        </w:tc>
        <w:tc>
          <w:tcPr>
            <w:tcW w:w="4122" w:type="dxa"/>
            <w:tcBorders>
              <w:top w:val="nil"/>
              <w:left w:val="nil"/>
              <w:bottom w:val="single" w:sz="4" w:space="0" w:color="auto"/>
              <w:right w:val="single" w:sz="4" w:space="0" w:color="auto"/>
            </w:tcBorders>
            <w:shd w:val="clear" w:color="auto" w:fill="auto"/>
            <w:noWrap/>
            <w:vAlign w:val="center"/>
          </w:tcPr>
          <w:p w14:paraId="2998A5D7" w14:textId="77777777" w:rsidR="00CF04BC" w:rsidRPr="00B93493" w:rsidRDefault="00CF04BC" w:rsidP="002E7F54">
            <w:pPr>
              <w:pStyle w:val="Tabletext"/>
              <w:jc w:val="center"/>
            </w:pPr>
            <w:r w:rsidRPr="00B93493">
              <w:t>Chukotka Autonomous Okrug</w:t>
            </w:r>
          </w:p>
        </w:tc>
        <w:tc>
          <w:tcPr>
            <w:tcW w:w="1701" w:type="dxa"/>
            <w:tcBorders>
              <w:top w:val="single" w:sz="4" w:space="0" w:color="auto"/>
              <w:left w:val="nil"/>
              <w:bottom w:val="single" w:sz="4" w:space="0" w:color="auto"/>
              <w:right w:val="single" w:sz="4" w:space="0" w:color="auto"/>
            </w:tcBorders>
          </w:tcPr>
          <w:p w14:paraId="601EF874"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F2E61B2" w14:textId="77777777" w:rsidR="00CF04BC" w:rsidRPr="00B93493" w:rsidRDefault="00CF04BC" w:rsidP="002E7F54">
            <w:pPr>
              <w:pStyle w:val="Tabletext"/>
              <w:jc w:val="center"/>
            </w:pPr>
            <w:r w:rsidRPr="00B93493">
              <w:t>1.7</w:t>
            </w:r>
          </w:p>
        </w:tc>
        <w:tc>
          <w:tcPr>
            <w:tcW w:w="1597" w:type="dxa"/>
            <w:tcBorders>
              <w:top w:val="nil"/>
              <w:left w:val="nil"/>
              <w:bottom w:val="single" w:sz="4" w:space="0" w:color="auto"/>
              <w:right w:val="single" w:sz="4" w:space="0" w:color="auto"/>
            </w:tcBorders>
            <w:vAlign w:val="center"/>
          </w:tcPr>
          <w:p w14:paraId="51669E30" w14:textId="77777777" w:rsidR="00CF04BC" w:rsidRPr="00B93493" w:rsidRDefault="00CF04BC" w:rsidP="002E7F54">
            <w:pPr>
              <w:pStyle w:val="Tabletext"/>
              <w:jc w:val="center"/>
            </w:pPr>
            <w:r w:rsidRPr="00B93493">
              <w:t>1.785</w:t>
            </w:r>
          </w:p>
        </w:tc>
      </w:tr>
      <w:tr w:rsidR="00CF04BC" w:rsidRPr="00B93493" w14:paraId="1793ACB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7B1F4C9B" w14:textId="77777777" w:rsidR="00CF04BC" w:rsidRPr="00B93493" w:rsidRDefault="00CF04BC" w:rsidP="002E7F54">
            <w:pPr>
              <w:pStyle w:val="Tabletext"/>
              <w:jc w:val="center"/>
            </w:pPr>
            <w:r w:rsidRPr="00B93493">
              <w:t>81</w:t>
            </w:r>
          </w:p>
        </w:tc>
        <w:tc>
          <w:tcPr>
            <w:tcW w:w="4122" w:type="dxa"/>
            <w:tcBorders>
              <w:top w:val="nil"/>
              <w:left w:val="nil"/>
              <w:bottom w:val="single" w:sz="4" w:space="0" w:color="auto"/>
              <w:right w:val="single" w:sz="4" w:space="0" w:color="auto"/>
            </w:tcBorders>
            <w:shd w:val="clear" w:color="auto" w:fill="auto"/>
            <w:noWrap/>
            <w:vAlign w:val="center"/>
          </w:tcPr>
          <w:p w14:paraId="7ACAD024" w14:textId="77777777" w:rsidR="00CF04BC" w:rsidRPr="00B93493" w:rsidRDefault="00CF04BC" w:rsidP="002E7F54">
            <w:pPr>
              <w:pStyle w:val="Tabletext"/>
              <w:jc w:val="center"/>
            </w:pPr>
            <w:r w:rsidRPr="00B93493">
              <w:t>Yamalo-Nenets Autonomous Okrug</w:t>
            </w:r>
          </w:p>
        </w:tc>
        <w:tc>
          <w:tcPr>
            <w:tcW w:w="1701" w:type="dxa"/>
            <w:tcBorders>
              <w:top w:val="single" w:sz="4" w:space="0" w:color="auto"/>
              <w:left w:val="nil"/>
              <w:bottom w:val="single" w:sz="4" w:space="0" w:color="auto"/>
              <w:right w:val="single" w:sz="4" w:space="0" w:color="auto"/>
            </w:tcBorders>
          </w:tcPr>
          <w:p w14:paraId="519FDC67"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CD747D6" w14:textId="77777777" w:rsidR="00CF04BC" w:rsidRPr="00B93493" w:rsidRDefault="00CF04BC" w:rsidP="002E7F54">
            <w:pPr>
              <w:pStyle w:val="Tabletext"/>
              <w:jc w:val="center"/>
            </w:pPr>
            <w:r w:rsidRPr="00B93493">
              <w:t>19.6</w:t>
            </w:r>
          </w:p>
        </w:tc>
        <w:tc>
          <w:tcPr>
            <w:tcW w:w="1597" w:type="dxa"/>
            <w:tcBorders>
              <w:top w:val="nil"/>
              <w:left w:val="nil"/>
              <w:bottom w:val="single" w:sz="4" w:space="0" w:color="auto"/>
              <w:right w:val="single" w:sz="4" w:space="0" w:color="auto"/>
            </w:tcBorders>
            <w:vAlign w:val="center"/>
          </w:tcPr>
          <w:p w14:paraId="69EBD693" w14:textId="77777777" w:rsidR="00CF04BC" w:rsidRPr="00B93493" w:rsidRDefault="00CF04BC" w:rsidP="002E7F54">
            <w:pPr>
              <w:pStyle w:val="Tabletext"/>
              <w:jc w:val="center"/>
            </w:pPr>
            <w:r w:rsidRPr="00B93493">
              <w:t>47.04</w:t>
            </w:r>
          </w:p>
        </w:tc>
      </w:tr>
      <w:tr w:rsidR="00CF04BC" w:rsidRPr="00B93493" w14:paraId="186D111B" w14:textId="77777777" w:rsidTr="00345301">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14:paraId="175647EB" w14:textId="77777777" w:rsidR="00CF04BC" w:rsidRPr="00B93493" w:rsidRDefault="00CF04BC" w:rsidP="002E7F54">
            <w:pPr>
              <w:pStyle w:val="Tabletext"/>
              <w:jc w:val="center"/>
            </w:pPr>
            <w:r w:rsidRPr="00B93493">
              <w:t>82</w:t>
            </w:r>
          </w:p>
        </w:tc>
        <w:tc>
          <w:tcPr>
            <w:tcW w:w="4122" w:type="dxa"/>
            <w:tcBorders>
              <w:top w:val="nil"/>
              <w:left w:val="nil"/>
              <w:bottom w:val="single" w:sz="4" w:space="0" w:color="auto"/>
              <w:right w:val="single" w:sz="4" w:space="0" w:color="auto"/>
            </w:tcBorders>
            <w:shd w:val="clear" w:color="auto" w:fill="auto"/>
            <w:noWrap/>
            <w:vAlign w:val="center"/>
          </w:tcPr>
          <w:p w14:paraId="6411CEDF" w14:textId="77777777" w:rsidR="00CF04BC" w:rsidRPr="00B93493" w:rsidRDefault="00CF04BC" w:rsidP="002E7F54">
            <w:pPr>
              <w:pStyle w:val="Tabletext"/>
              <w:jc w:val="center"/>
            </w:pPr>
            <w:r w:rsidRPr="00B93493">
              <w:t>Yaroslavl Oblast</w:t>
            </w:r>
          </w:p>
        </w:tc>
        <w:tc>
          <w:tcPr>
            <w:tcW w:w="1701" w:type="dxa"/>
            <w:tcBorders>
              <w:top w:val="single" w:sz="4" w:space="0" w:color="auto"/>
              <w:left w:val="nil"/>
              <w:bottom w:val="single" w:sz="4" w:space="0" w:color="auto"/>
              <w:right w:val="single" w:sz="4" w:space="0" w:color="auto"/>
            </w:tcBorders>
          </w:tcPr>
          <w:p w14:paraId="1A3A2C50" w14:textId="77777777" w:rsidR="00CF04BC" w:rsidRPr="00B93493" w:rsidRDefault="00CF04BC" w:rsidP="002E7F54">
            <w:pPr>
              <w:pStyle w:val="Tabletext"/>
              <w:jc w:val="center"/>
            </w:pPr>
            <w:r w:rsidRPr="00B93493">
              <w:t>1×25 MHz</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44C2B0BC" w14:textId="77777777" w:rsidR="00CF04BC" w:rsidRPr="00B93493" w:rsidRDefault="00CF04BC" w:rsidP="002E7F54">
            <w:pPr>
              <w:pStyle w:val="Tabletext"/>
              <w:jc w:val="center"/>
            </w:pPr>
            <w:r w:rsidRPr="00B93493">
              <w:t>29.4</w:t>
            </w:r>
          </w:p>
        </w:tc>
        <w:tc>
          <w:tcPr>
            <w:tcW w:w="1597" w:type="dxa"/>
            <w:tcBorders>
              <w:top w:val="nil"/>
              <w:left w:val="nil"/>
              <w:bottom w:val="single" w:sz="4" w:space="0" w:color="auto"/>
              <w:right w:val="single" w:sz="4" w:space="0" w:color="auto"/>
            </w:tcBorders>
            <w:vAlign w:val="center"/>
          </w:tcPr>
          <w:p w14:paraId="7C02F48F" w14:textId="77777777" w:rsidR="00CF04BC" w:rsidRPr="00B93493" w:rsidRDefault="00CF04BC" w:rsidP="002E7F54">
            <w:pPr>
              <w:pStyle w:val="Tabletext"/>
              <w:jc w:val="center"/>
            </w:pPr>
            <w:r w:rsidRPr="00B93493">
              <w:t>33.81</w:t>
            </w:r>
          </w:p>
        </w:tc>
      </w:tr>
    </w:tbl>
    <w:p w14:paraId="2B35F5BA" w14:textId="77777777" w:rsidR="00CF04BC" w:rsidRPr="00B93493" w:rsidRDefault="00CF04BC" w:rsidP="00CF04BC">
      <w:pPr>
        <w:pStyle w:val="Headingb"/>
      </w:pPr>
      <w:bookmarkStart w:id="2135" w:name="_Toc454284964"/>
      <w:bookmarkStart w:id="2136" w:name="_Toc462234133"/>
      <w:r w:rsidRPr="00B93493">
        <w:t>Winning bidders of the second auction have to pay compensation to MMDS operators holding licenses in the auctioned frequency band. Analysis of the results of competitions and auctions</w:t>
      </w:r>
      <w:bookmarkEnd w:id="2135"/>
      <w:bookmarkEnd w:id="2136"/>
    </w:p>
    <w:p w14:paraId="5020ADE5" w14:textId="77777777" w:rsidR="00CF04BC" w:rsidRPr="00B93493" w:rsidRDefault="00CF04BC" w:rsidP="00CF04BC">
      <w:r w:rsidRPr="00B93493">
        <w:rPr>
          <w:szCs w:val="24"/>
        </w:rPr>
        <w:t xml:space="preserve">Table </w:t>
      </w:r>
      <w:r>
        <w:rPr>
          <w:rFonts w:hint="eastAsia"/>
          <w:szCs w:val="24"/>
          <w:lang w:eastAsia="zh-CN"/>
        </w:rPr>
        <w:t>20</w:t>
      </w:r>
      <w:r w:rsidRPr="00B93493">
        <w:rPr>
          <w:szCs w:val="24"/>
        </w:rPr>
        <w:t xml:space="preserve"> compares conditions of licensing mobile communication services in the 1 800 MHz band in Amur Oblast based on the results of an auction and competition.</w:t>
      </w:r>
    </w:p>
    <w:p w14:paraId="10BC156B" w14:textId="77777777" w:rsidR="00CF04BC" w:rsidRPr="00B93493" w:rsidRDefault="00CF04BC" w:rsidP="00CF04BC">
      <w:pPr>
        <w:pStyle w:val="TableNo"/>
        <w:rPr>
          <w:lang w:eastAsia="zh-CN"/>
        </w:rPr>
      </w:pPr>
      <w:r w:rsidRPr="00B93493">
        <w:t xml:space="preserve">TABLE </w:t>
      </w:r>
      <w:r>
        <w:rPr>
          <w:rFonts w:hint="eastAsia"/>
          <w:lang w:eastAsia="zh-CN"/>
        </w:rPr>
        <w:t>20</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CF04BC" w:rsidRPr="00B93493" w14:paraId="3635FED6" w14:textId="77777777" w:rsidTr="002E7F54">
        <w:tc>
          <w:tcPr>
            <w:tcW w:w="3936" w:type="dxa"/>
            <w:shd w:val="clear" w:color="auto" w:fill="auto"/>
          </w:tcPr>
          <w:p w14:paraId="1A8E5A94" w14:textId="77777777" w:rsidR="00CF04BC" w:rsidRPr="00B93493" w:rsidRDefault="00CF04BC" w:rsidP="002E7F54">
            <w:pPr>
              <w:pStyle w:val="Tablehead"/>
            </w:pPr>
            <w:r w:rsidRPr="00B93493">
              <w:t>Parameter for comparison</w:t>
            </w:r>
          </w:p>
        </w:tc>
        <w:tc>
          <w:tcPr>
            <w:tcW w:w="2835" w:type="dxa"/>
            <w:shd w:val="clear" w:color="auto" w:fill="auto"/>
          </w:tcPr>
          <w:p w14:paraId="623595CA" w14:textId="77777777" w:rsidR="00CF04BC" w:rsidRPr="00B93493" w:rsidRDefault="00CF04BC" w:rsidP="002E7F54">
            <w:pPr>
              <w:pStyle w:val="Tablehead"/>
            </w:pPr>
            <w:r w:rsidRPr="00B93493">
              <w:t>Competition</w:t>
            </w:r>
          </w:p>
        </w:tc>
        <w:tc>
          <w:tcPr>
            <w:tcW w:w="3119" w:type="dxa"/>
            <w:shd w:val="clear" w:color="auto" w:fill="auto"/>
          </w:tcPr>
          <w:p w14:paraId="3CC03ECC" w14:textId="77777777" w:rsidR="00CF04BC" w:rsidRPr="00B93493" w:rsidRDefault="00CF04BC" w:rsidP="002E7F54">
            <w:pPr>
              <w:pStyle w:val="Tablehead"/>
            </w:pPr>
            <w:r w:rsidRPr="00B93493">
              <w:t>Auction</w:t>
            </w:r>
          </w:p>
        </w:tc>
      </w:tr>
      <w:tr w:rsidR="00CF04BC" w:rsidRPr="00B93493" w14:paraId="0AA84E8E" w14:textId="77777777" w:rsidTr="002E7F54">
        <w:tc>
          <w:tcPr>
            <w:tcW w:w="3936" w:type="dxa"/>
            <w:shd w:val="clear" w:color="auto" w:fill="auto"/>
          </w:tcPr>
          <w:p w14:paraId="507E32B4" w14:textId="77777777" w:rsidR="00CF04BC" w:rsidRPr="00B93493" w:rsidRDefault="00CF04BC" w:rsidP="002E7F54">
            <w:pPr>
              <w:pStyle w:val="Tabletext"/>
            </w:pPr>
            <w:r w:rsidRPr="00B93493">
              <w:t>Frequency band</w:t>
            </w:r>
          </w:p>
        </w:tc>
        <w:tc>
          <w:tcPr>
            <w:tcW w:w="2835" w:type="dxa"/>
            <w:shd w:val="clear" w:color="auto" w:fill="auto"/>
          </w:tcPr>
          <w:p w14:paraId="146C10DD" w14:textId="77777777" w:rsidR="00CF04BC" w:rsidRPr="00B93493" w:rsidRDefault="00CF04BC" w:rsidP="002E7F54">
            <w:pPr>
              <w:pStyle w:val="Tabletext"/>
              <w:jc w:val="center"/>
            </w:pPr>
            <w:r w:rsidRPr="00B93493">
              <w:t>1 800 MHz</w:t>
            </w:r>
          </w:p>
        </w:tc>
        <w:tc>
          <w:tcPr>
            <w:tcW w:w="3119" w:type="dxa"/>
            <w:shd w:val="clear" w:color="auto" w:fill="auto"/>
          </w:tcPr>
          <w:p w14:paraId="10CFB03A" w14:textId="77777777" w:rsidR="00CF04BC" w:rsidRPr="00B93493" w:rsidRDefault="00CF04BC" w:rsidP="002E7F54">
            <w:pPr>
              <w:pStyle w:val="Tabletext"/>
              <w:jc w:val="center"/>
            </w:pPr>
            <w:r w:rsidRPr="00B93493">
              <w:t>1 800 MHz</w:t>
            </w:r>
          </w:p>
        </w:tc>
      </w:tr>
      <w:tr w:rsidR="00CF04BC" w:rsidRPr="00B93493" w14:paraId="73053B58" w14:textId="77777777" w:rsidTr="002E7F54">
        <w:tc>
          <w:tcPr>
            <w:tcW w:w="3936" w:type="dxa"/>
            <w:shd w:val="clear" w:color="auto" w:fill="auto"/>
          </w:tcPr>
          <w:p w14:paraId="75DA5AE0" w14:textId="77777777" w:rsidR="00CF04BC" w:rsidRPr="00B93493" w:rsidRDefault="00CF04BC" w:rsidP="002E7F54">
            <w:pPr>
              <w:pStyle w:val="Tabletext"/>
            </w:pPr>
            <w:r w:rsidRPr="00B93493">
              <w:t>Technology</w:t>
            </w:r>
          </w:p>
        </w:tc>
        <w:tc>
          <w:tcPr>
            <w:tcW w:w="2835" w:type="dxa"/>
            <w:shd w:val="clear" w:color="auto" w:fill="auto"/>
          </w:tcPr>
          <w:p w14:paraId="54DD338B" w14:textId="77777777" w:rsidR="00CF04BC" w:rsidRPr="00B93493" w:rsidRDefault="00CF04BC" w:rsidP="002E7F54">
            <w:pPr>
              <w:pStyle w:val="Tabletext"/>
              <w:jc w:val="center"/>
            </w:pPr>
            <w:r w:rsidRPr="00B93493">
              <w:t>GSM</w:t>
            </w:r>
          </w:p>
        </w:tc>
        <w:tc>
          <w:tcPr>
            <w:tcW w:w="3119" w:type="dxa"/>
            <w:shd w:val="clear" w:color="auto" w:fill="auto"/>
          </w:tcPr>
          <w:p w14:paraId="450F3230" w14:textId="77777777" w:rsidR="00CF04BC" w:rsidRPr="00B93493" w:rsidRDefault="00CF04BC" w:rsidP="002E7F54">
            <w:pPr>
              <w:pStyle w:val="Tabletext"/>
              <w:jc w:val="center"/>
            </w:pPr>
            <w:r w:rsidRPr="00B93493">
              <w:rPr>
                <w:bCs/>
              </w:rPr>
              <w:t>GSM, LTE and subsequent modifications</w:t>
            </w:r>
          </w:p>
        </w:tc>
      </w:tr>
      <w:tr w:rsidR="00CF04BC" w:rsidRPr="00B93493" w14:paraId="1B8EED72" w14:textId="77777777" w:rsidTr="002E7F54">
        <w:tc>
          <w:tcPr>
            <w:tcW w:w="3936" w:type="dxa"/>
            <w:shd w:val="clear" w:color="auto" w:fill="auto"/>
          </w:tcPr>
          <w:p w14:paraId="2AC28BFE" w14:textId="77777777" w:rsidR="00CF04BC" w:rsidRPr="00B93493" w:rsidRDefault="00CF04BC" w:rsidP="002E7F54">
            <w:pPr>
              <w:pStyle w:val="Tabletext"/>
            </w:pPr>
            <w:r w:rsidRPr="00B93493">
              <w:t>Region</w:t>
            </w:r>
          </w:p>
        </w:tc>
        <w:tc>
          <w:tcPr>
            <w:tcW w:w="2835" w:type="dxa"/>
            <w:shd w:val="clear" w:color="auto" w:fill="auto"/>
          </w:tcPr>
          <w:p w14:paraId="04814DD8" w14:textId="77777777" w:rsidR="00CF04BC" w:rsidRPr="00B93493" w:rsidRDefault="00CF04BC" w:rsidP="002E7F54">
            <w:pPr>
              <w:pStyle w:val="Tabletext"/>
              <w:jc w:val="center"/>
            </w:pPr>
            <w:r w:rsidRPr="00B93493">
              <w:t>Amur Oblast</w:t>
            </w:r>
          </w:p>
        </w:tc>
        <w:tc>
          <w:tcPr>
            <w:tcW w:w="3119" w:type="dxa"/>
            <w:shd w:val="clear" w:color="auto" w:fill="auto"/>
          </w:tcPr>
          <w:p w14:paraId="6F93FE47" w14:textId="77777777" w:rsidR="00CF04BC" w:rsidRPr="00B93493" w:rsidRDefault="00CF04BC" w:rsidP="002E7F54">
            <w:pPr>
              <w:pStyle w:val="Tabletext"/>
              <w:jc w:val="center"/>
            </w:pPr>
            <w:r w:rsidRPr="00B93493">
              <w:t>Amur Oblast</w:t>
            </w:r>
          </w:p>
        </w:tc>
      </w:tr>
      <w:tr w:rsidR="00CF04BC" w:rsidRPr="00B93493" w14:paraId="7BB9F40E" w14:textId="77777777" w:rsidTr="002E7F54">
        <w:tc>
          <w:tcPr>
            <w:tcW w:w="3936" w:type="dxa"/>
            <w:shd w:val="clear" w:color="auto" w:fill="auto"/>
          </w:tcPr>
          <w:p w14:paraId="5537E76F" w14:textId="0C876037" w:rsidR="00CF04BC" w:rsidRPr="00B93493" w:rsidRDefault="00CF04BC" w:rsidP="002E7F54">
            <w:pPr>
              <w:pStyle w:val="Tabletext"/>
            </w:pPr>
            <w:r w:rsidRPr="00B93493">
              <w:t xml:space="preserve">Licence fee (×1 000 </w:t>
            </w:r>
            <w:r w:rsidR="00092428">
              <w:rPr>
                <w:rFonts w:hint="eastAsia"/>
                <w:lang w:eastAsia="zh-CN"/>
              </w:rPr>
              <w:t>Roubles</w:t>
            </w:r>
            <w:r w:rsidRPr="00B93493">
              <w:t>)</w:t>
            </w:r>
          </w:p>
        </w:tc>
        <w:tc>
          <w:tcPr>
            <w:tcW w:w="2835" w:type="dxa"/>
            <w:shd w:val="clear" w:color="auto" w:fill="auto"/>
            <w:vAlign w:val="center"/>
          </w:tcPr>
          <w:p w14:paraId="5CB66FEE" w14:textId="77777777" w:rsidR="00CF04BC" w:rsidRPr="00B93493" w:rsidRDefault="00CF04BC" w:rsidP="002E7F54">
            <w:pPr>
              <w:pStyle w:val="Tabletext"/>
              <w:jc w:val="center"/>
            </w:pPr>
            <w:r w:rsidRPr="00B93493">
              <w:t>45</w:t>
            </w:r>
          </w:p>
        </w:tc>
        <w:tc>
          <w:tcPr>
            <w:tcW w:w="3119" w:type="dxa"/>
            <w:shd w:val="clear" w:color="auto" w:fill="auto"/>
            <w:vAlign w:val="center"/>
          </w:tcPr>
          <w:p w14:paraId="5DF0D8CC" w14:textId="77777777" w:rsidR="00CF04BC" w:rsidRPr="00B93493" w:rsidRDefault="00CF04BC" w:rsidP="002E7F54">
            <w:pPr>
              <w:pStyle w:val="Tabletext"/>
              <w:jc w:val="center"/>
            </w:pPr>
            <w:r w:rsidRPr="00B93493">
              <w:t>303 349</w:t>
            </w:r>
            <w:r w:rsidRPr="004454B6">
              <w:rPr>
                <w:rStyle w:val="FootnoteReference"/>
                <w:sz w:val="14"/>
                <w:szCs w:val="14"/>
              </w:rPr>
              <w:footnoteReference w:id="12"/>
            </w:r>
          </w:p>
        </w:tc>
      </w:tr>
      <w:tr w:rsidR="00CF04BC" w:rsidRPr="00B93493" w14:paraId="2D097750" w14:textId="77777777" w:rsidTr="002E7F54">
        <w:tc>
          <w:tcPr>
            <w:tcW w:w="3936" w:type="dxa"/>
            <w:shd w:val="clear" w:color="auto" w:fill="auto"/>
          </w:tcPr>
          <w:p w14:paraId="27D4B725" w14:textId="77777777" w:rsidR="00CF04BC" w:rsidRPr="00B93493" w:rsidRDefault="00CF04BC" w:rsidP="002E7F54">
            <w:pPr>
              <w:pStyle w:val="Tabletext"/>
            </w:pPr>
            <w:r w:rsidRPr="00B93493">
              <w:t>One-off payment for use of frequencies</w:t>
            </w:r>
          </w:p>
        </w:tc>
        <w:tc>
          <w:tcPr>
            <w:tcW w:w="2835" w:type="dxa"/>
            <w:shd w:val="clear" w:color="auto" w:fill="auto"/>
            <w:vAlign w:val="center"/>
          </w:tcPr>
          <w:p w14:paraId="2682DC3C" w14:textId="77777777" w:rsidR="00CF04BC" w:rsidRPr="00B93493" w:rsidRDefault="00CF04BC" w:rsidP="002E7F54">
            <w:pPr>
              <w:pStyle w:val="Tabletext"/>
              <w:jc w:val="center"/>
            </w:pPr>
            <w:r w:rsidRPr="00B93493">
              <w:t>Yes</w:t>
            </w:r>
          </w:p>
        </w:tc>
        <w:tc>
          <w:tcPr>
            <w:tcW w:w="3119" w:type="dxa"/>
            <w:shd w:val="clear" w:color="auto" w:fill="auto"/>
            <w:vAlign w:val="center"/>
          </w:tcPr>
          <w:p w14:paraId="0547C2D1" w14:textId="77777777" w:rsidR="00CF04BC" w:rsidRPr="00B93493" w:rsidRDefault="00CF04BC" w:rsidP="002E7F54">
            <w:pPr>
              <w:pStyle w:val="Tabletext"/>
              <w:jc w:val="center"/>
            </w:pPr>
            <w:r w:rsidRPr="00B93493">
              <w:t>No</w:t>
            </w:r>
          </w:p>
        </w:tc>
      </w:tr>
      <w:tr w:rsidR="00CF04BC" w:rsidRPr="00B93493" w14:paraId="33DCE6F0" w14:textId="77777777" w:rsidTr="002E7F54">
        <w:tc>
          <w:tcPr>
            <w:tcW w:w="3936" w:type="dxa"/>
            <w:shd w:val="clear" w:color="auto" w:fill="auto"/>
          </w:tcPr>
          <w:p w14:paraId="5F32F20E" w14:textId="77777777" w:rsidR="00CF04BC" w:rsidRPr="00B93493" w:rsidRDefault="00CF04BC" w:rsidP="002E7F54">
            <w:pPr>
              <w:pStyle w:val="Tabletext"/>
            </w:pPr>
            <w:r w:rsidRPr="00B93493">
              <w:t>Annual payment for use of frequencies</w:t>
            </w:r>
            <w:r w:rsidRPr="00B93493">
              <w:rPr>
                <w:rStyle w:val="FootnoteReference"/>
                <w:szCs w:val="18"/>
              </w:rPr>
              <w:footnoteReference w:id="13"/>
            </w:r>
          </w:p>
        </w:tc>
        <w:tc>
          <w:tcPr>
            <w:tcW w:w="2835" w:type="dxa"/>
            <w:shd w:val="clear" w:color="auto" w:fill="auto"/>
            <w:vAlign w:val="center"/>
          </w:tcPr>
          <w:p w14:paraId="407CF38E" w14:textId="77777777" w:rsidR="00CF04BC" w:rsidRPr="00B93493" w:rsidRDefault="00CF04BC" w:rsidP="002E7F54">
            <w:pPr>
              <w:pStyle w:val="Tabletext"/>
              <w:jc w:val="center"/>
            </w:pPr>
            <w:r w:rsidRPr="00B93493">
              <w:t>Yes</w:t>
            </w:r>
          </w:p>
        </w:tc>
        <w:tc>
          <w:tcPr>
            <w:tcW w:w="3119" w:type="dxa"/>
            <w:shd w:val="clear" w:color="auto" w:fill="auto"/>
            <w:vAlign w:val="center"/>
          </w:tcPr>
          <w:p w14:paraId="14985AB7" w14:textId="77777777" w:rsidR="00CF04BC" w:rsidRPr="00B93493" w:rsidRDefault="00CF04BC" w:rsidP="002E7F54">
            <w:pPr>
              <w:pStyle w:val="Tabletext"/>
              <w:jc w:val="center"/>
            </w:pPr>
            <w:r w:rsidRPr="00B93493">
              <w:t>Yes</w:t>
            </w:r>
          </w:p>
        </w:tc>
      </w:tr>
      <w:tr w:rsidR="00CF04BC" w:rsidRPr="00B93493" w14:paraId="4120DA09" w14:textId="77777777" w:rsidTr="002E7F54">
        <w:tc>
          <w:tcPr>
            <w:tcW w:w="3936" w:type="dxa"/>
            <w:shd w:val="clear" w:color="auto" w:fill="auto"/>
          </w:tcPr>
          <w:p w14:paraId="3C945177" w14:textId="77777777" w:rsidR="00CF04BC" w:rsidRPr="00B93493" w:rsidRDefault="00CF04BC" w:rsidP="002E7F54">
            <w:pPr>
              <w:pStyle w:val="Tabletext"/>
            </w:pPr>
            <w:r w:rsidRPr="00B93493">
              <w:t>Obligations of winner:</w:t>
            </w:r>
          </w:p>
        </w:tc>
        <w:tc>
          <w:tcPr>
            <w:tcW w:w="2835" w:type="dxa"/>
            <w:shd w:val="clear" w:color="auto" w:fill="auto"/>
            <w:vAlign w:val="center"/>
          </w:tcPr>
          <w:p w14:paraId="210618A0" w14:textId="77777777" w:rsidR="00CF04BC" w:rsidRPr="00B93493" w:rsidRDefault="00CF04BC" w:rsidP="002E7F54">
            <w:pPr>
              <w:pStyle w:val="Tabletext"/>
              <w:jc w:val="center"/>
            </w:pPr>
          </w:p>
        </w:tc>
        <w:tc>
          <w:tcPr>
            <w:tcW w:w="3119" w:type="dxa"/>
            <w:shd w:val="clear" w:color="auto" w:fill="auto"/>
            <w:vAlign w:val="center"/>
          </w:tcPr>
          <w:p w14:paraId="01EB762A" w14:textId="77777777" w:rsidR="00CF04BC" w:rsidRPr="00B93493" w:rsidRDefault="00CF04BC" w:rsidP="002E7F54">
            <w:pPr>
              <w:pStyle w:val="Tabletext"/>
              <w:jc w:val="center"/>
            </w:pPr>
          </w:p>
        </w:tc>
      </w:tr>
      <w:tr w:rsidR="00CF04BC" w:rsidRPr="00B93493" w14:paraId="6A4ADB54" w14:textId="77777777" w:rsidTr="002E7F54">
        <w:tc>
          <w:tcPr>
            <w:tcW w:w="3936" w:type="dxa"/>
            <w:shd w:val="clear" w:color="auto" w:fill="auto"/>
          </w:tcPr>
          <w:p w14:paraId="24596EA1" w14:textId="77777777" w:rsidR="00CF04BC" w:rsidRPr="00B93493" w:rsidRDefault="00CF04BC" w:rsidP="002E7F54">
            <w:pPr>
              <w:pStyle w:val="Tabletext"/>
            </w:pPr>
            <w:r w:rsidRPr="00B93493">
              <w:tab/>
              <w:t xml:space="preserve">Network investment </w:t>
            </w:r>
          </w:p>
        </w:tc>
        <w:tc>
          <w:tcPr>
            <w:tcW w:w="2835" w:type="dxa"/>
            <w:shd w:val="clear" w:color="auto" w:fill="auto"/>
            <w:vAlign w:val="center"/>
          </w:tcPr>
          <w:p w14:paraId="15F5DB6D" w14:textId="77777777" w:rsidR="00CF04BC" w:rsidRPr="00B93493" w:rsidRDefault="00CF04BC" w:rsidP="002E7F54">
            <w:pPr>
              <w:pStyle w:val="Tabletext"/>
              <w:jc w:val="center"/>
            </w:pPr>
            <w:r w:rsidRPr="00B93493">
              <w:t>Yes</w:t>
            </w:r>
            <w:r w:rsidRPr="00B93493">
              <w:rPr>
                <w:rStyle w:val="FootnoteReference"/>
                <w:sz w:val="14"/>
                <w:szCs w:val="14"/>
              </w:rPr>
              <w:footnoteReference w:id="14"/>
            </w:r>
          </w:p>
        </w:tc>
        <w:tc>
          <w:tcPr>
            <w:tcW w:w="3119" w:type="dxa"/>
            <w:shd w:val="clear" w:color="auto" w:fill="auto"/>
            <w:vAlign w:val="center"/>
          </w:tcPr>
          <w:p w14:paraId="13EF9C46" w14:textId="77777777" w:rsidR="00CF04BC" w:rsidRPr="00B93493" w:rsidRDefault="00CF04BC" w:rsidP="002E7F54">
            <w:pPr>
              <w:pStyle w:val="Tabletext"/>
              <w:jc w:val="center"/>
            </w:pPr>
            <w:r w:rsidRPr="00B93493">
              <w:t>No</w:t>
            </w:r>
          </w:p>
        </w:tc>
      </w:tr>
      <w:tr w:rsidR="00CF04BC" w:rsidRPr="00B93493" w14:paraId="4C22555B" w14:textId="77777777" w:rsidTr="002E7F54">
        <w:tc>
          <w:tcPr>
            <w:tcW w:w="3936" w:type="dxa"/>
            <w:shd w:val="clear" w:color="auto" w:fill="auto"/>
          </w:tcPr>
          <w:p w14:paraId="54CD24AB" w14:textId="77777777" w:rsidR="00CF04BC" w:rsidRPr="00B93493" w:rsidRDefault="00CF04BC" w:rsidP="002E7F54">
            <w:pPr>
              <w:pStyle w:val="Tabletext"/>
              <w:ind w:left="284" w:hanging="284"/>
            </w:pPr>
            <w:r w:rsidRPr="00B93493">
              <w:tab/>
              <w:t>services for towns and settlements with a certain population</w:t>
            </w:r>
          </w:p>
        </w:tc>
        <w:tc>
          <w:tcPr>
            <w:tcW w:w="2835" w:type="dxa"/>
            <w:shd w:val="clear" w:color="auto" w:fill="auto"/>
            <w:vAlign w:val="center"/>
          </w:tcPr>
          <w:p w14:paraId="5D049753" w14:textId="77777777" w:rsidR="00CF04BC" w:rsidRPr="00B93493" w:rsidRDefault="00CF04BC" w:rsidP="002E7F54">
            <w:pPr>
              <w:pStyle w:val="Tabletext"/>
              <w:jc w:val="center"/>
            </w:pPr>
            <w:r w:rsidRPr="00B93493">
              <w:t>Yes</w:t>
            </w:r>
            <w:r w:rsidRPr="00B93493">
              <w:rPr>
                <w:rStyle w:val="FootnoteReference"/>
                <w:sz w:val="14"/>
                <w:szCs w:val="14"/>
              </w:rPr>
              <w:footnoteReference w:id="15"/>
            </w:r>
          </w:p>
        </w:tc>
        <w:tc>
          <w:tcPr>
            <w:tcW w:w="3119" w:type="dxa"/>
            <w:shd w:val="clear" w:color="auto" w:fill="auto"/>
            <w:vAlign w:val="center"/>
          </w:tcPr>
          <w:p w14:paraId="142E37E0" w14:textId="77777777" w:rsidR="00CF04BC" w:rsidRPr="00B93493" w:rsidRDefault="00CF04BC" w:rsidP="002E7F54">
            <w:pPr>
              <w:pStyle w:val="Tabletext"/>
              <w:jc w:val="center"/>
            </w:pPr>
            <w:r w:rsidRPr="00B93493">
              <w:t>Yes</w:t>
            </w:r>
            <w:r w:rsidRPr="00B93493">
              <w:rPr>
                <w:rStyle w:val="FootnoteReference"/>
                <w:szCs w:val="18"/>
              </w:rPr>
              <w:footnoteReference w:id="16"/>
            </w:r>
          </w:p>
        </w:tc>
      </w:tr>
    </w:tbl>
    <w:p w14:paraId="5C315AC0" w14:textId="77777777" w:rsidR="00CF04BC" w:rsidRPr="00B93493" w:rsidRDefault="00CF04BC" w:rsidP="00CF04BC">
      <w:pPr>
        <w:spacing w:before="240"/>
        <w:rPr>
          <w:szCs w:val="24"/>
        </w:rPr>
      </w:pPr>
      <w:r w:rsidRPr="00B93493">
        <w:rPr>
          <w:szCs w:val="24"/>
        </w:rPr>
        <w:t xml:space="preserve">When analysing the data in Table </w:t>
      </w:r>
      <w:r>
        <w:rPr>
          <w:rFonts w:hint="eastAsia"/>
          <w:szCs w:val="24"/>
          <w:lang w:eastAsia="zh-CN"/>
        </w:rPr>
        <w:t>20</w:t>
      </w:r>
      <w:r w:rsidRPr="00B93493">
        <w:rPr>
          <w:szCs w:val="24"/>
        </w:rPr>
        <w:t>, it should be borne in mind that under legislation currently in force, bidding processes for licenses to offer communication services using radio frequency spectrum are carried out only in the form of auctions. As a result, the analysis was based on data from a competition held in 2007.</w:t>
      </w:r>
    </w:p>
    <w:p w14:paraId="6C7357A8" w14:textId="77777777" w:rsidR="00CF04BC" w:rsidRPr="00B93493" w:rsidRDefault="00CF04BC" w:rsidP="00CF04BC">
      <w:pPr>
        <w:rPr>
          <w:szCs w:val="24"/>
        </w:rPr>
      </w:pPr>
      <w:r w:rsidRPr="00B93493">
        <w:rPr>
          <w:szCs w:val="24"/>
        </w:rPr>
        <w:t xml:space="preserve">The data in Table </w:t>
      </w:r>
      <w:r>
        <w:rPr>
          <w:rFonts w:hint="eastAsia"/>
          <w:szCs w:val="24"/>
          <w:lang w:eastAsia="zh-CN"/>
        </w:rPr>
        <w:t xml:space="preserve">20 </w:t>
      </w:r>
      <w:r w:rsidRPr="00B93493">
        <w:rPr>
          <w:szCs w:val="24"/>
        </w:rPr>
        <w:t>show that when the bidding process takes the form of an auction, the revenue for the state budget is considerably higher than in the case of a competition.</w:t>
      </w:r>
    </w:p>
    <w:p w14:paraId="1FF6B50E" w14:textId="77777777" w:rsidR="00CF04BC" w:rsidRPr="00B93493" w:rsidRDefault="00CF04BC" w:rsidP="00CF04BC">
      <w:pPr>
        <w:pStyle w:val="Headingb"/>
        <w:rPr>
          <w:rFonts w:ascii="Times" w:hAnsi="Times"/>
        </w:rPr>
      </w:pPr>
      <w:bookmarkStart w:id="2137" w:name="_Toc497033199"/>
      <w:bookmarkStart w:id="2138" w:name="_Toc497033997"/>
      <w:bookmarkStart w:id="2139" w:name="_Toc459746729"/>
      <w:bookmarkStart w:id="2140" w:name="_Toc462234134"/>
      <w:bookmarkStart w:id="2141" w:name="_Toc454284965"/>
      <w:r w:rsidRPr="00B93493">
        <w:t>A method for determining the minimum bid based on an evaluation of the “shadow price” of the radio</w:t>
      </w:r>
      <w:r w:rsidRPr="00B93493">
        <w:noBreakHyphen/>
        <w:t>frequency spectrum</w:t>
      </w:r>
      <w:bookmarkEnd w:id="2137"/>
      <w:bookmarkEnd w:id="2138"/>
      <w:bookmarkEnd w:id="2139"/>
      <w:bookmarkEnd w:id="2140"/>
      <w:bookmarkEnd w:id="2141"/>
    </w:p>
    <w:p w14:paraId="568C98A6" w14:textId="77777777" w:rsidR="00CF04BC" w:rsidRPr="00B93493" w:rsidRDefault="00CF04BC" w:rsidP="00CF04BC">
      <w:r w:rsidRPr="00B93493">
        <w:t>While the Russian Federation has not actually conducted an auction, the administration has developed a method for determining the minimum bid [7]. The proposed method hinges on an evaluation of the income index of the mobile communication network as a function of the system bandwidth. This income index provides a gauge of the annual effect of investment in the project with regard to a particular monetary unit, in this case USD 1.</w:t>
      </w:r>
    </w:p>
    <w:p w14:paraId="6AC90BD8" w14:textId="77777777" w:rsidR="00CF04BC" w:rsidRPr="00B93493" w:rsidRDefault="00CF04BC" w:rsidP="00CF04BC">
      <w:r w:rsidRPr="00B93493">
        <w:t>The basic data required to carry out the analysis may be divided into three groups:</w:t>
      </w:r>
    </w:p>
    <w:p w14:paraId="3DD83AC1" w14:textId="77777777" w:rsidR="00CF04BC" w:rsidRPr="00B93493" w:rsidRDefault="00CF04BC" w:rsidP="00CF04BC">
      <w:pPr>
        <w:pStyle w:val="enumlev1"/>
      </w:pPr>
      <w:r w:rsidRPr="00B93493">
        <w:t>–</w:t>
      </w:r>
      <w:r w:rsidRPr="00B93493">
        <w:tab/>
        <w:t>data pertaining to the network’s frequency plan;</w:t>
      </w:r>
    </w:p>
    <w:p w14:paraId="2B52DD80" w14:textId="77777777" w:rsidR="00CF04BC" w:rsidRPr="00B93493" w:rsidRDefault="00CF04BC" w:rsidP="00CF04BC">
      <w:pPr>
        <w:pStyle w:val="enumlev1"/>
      </w:pPr>
      <w:r w:rsidRPr="00B93493">
        <w:t>–</w:t>
      </w:r>
      <w:r w:rsidRPr="00B93493">
        <w:tab/>
        <w:t>parameters defining the required volume of investment to set up the network;</w:t>
      </w:r>
    </w:p>
    <w:p w14:paraId="250833BF" w14:textId="77777777" w:rsidR="00CF04BC" w:rsidRPr="00B93493" w:rsidRDefault="00CF04BC" w:rsidP="00CF04BC">
      <w:pPr>
        <w:pStyle w:val="enumlev1"/>
      </w:pPr>
      <w:r w:rsidRPr="00B93493">
        <w:t>–</w:t>
      </w:r>
      <w:r w:rsidRPr="00B93493">
        <w:tab/>
        <w:t>parameters defining income from operation of the network.</w:t>
      </w:r>
    </w:p>
    <w:p w14:paraId="46B5DB5C" w14:textId="77777777" w:rsidR="00CF04BC" w:rsidRPr="00B93493" w:rsidRDefault="00CF04BC" w:rsidP="00CF04BC">
      <w:r w:rsidRPr="00B93493">
        <w:t>In the following example the technical parameters of a GSM cellular network are used. Nevertheless, the method can be applied to other cellular and trunking network standards.</w:t>
      </w:r>
    </w:p>
    <w:p w14:paraId="49AD425F" w14:textId="77777777" w:rsidR="00CF04BC" w:rsidRPr="00B93493" w:rsidRDefault="00CF04BC" w:rsidP="00CF04BC">
      <w:pPr>
        <w:pStyle w:val="enumlev1"/>
      </w:pPr>
      <w:r w:rsidRPr="00B93493">
        <w:t>a)</w:t>
      </w:r>
      <w:r w:rsidRPr="00B93493">
        <w:tab/>
      </w:r>
      <w:r w:rsidRPr="00B93493">
        <w:rPr>
          <w:i/>
          <w:iCs/>
        </w:rPr>
        <w:t>Number of base stations (BS) in the mobile network as a function of the bandwidth</w:t>
      </w:r>
    </w:p>
    <w:p w14:paraId="16D80A36" w14:textId="77777777" w:rsidR="00CF04BC" w:rsidRPr="00B93493" w:rsidRDefault="00CF04BC" w:rsidP="00CF04BC">
      <w:r w:rsidRPr="00B93493">
        <w:t xml:space="preserve">The first group of basic data includes the parameters shown in Table </w:t>
      </w:r>
      <w:r>
        <w:rPr>
          <w:rFonts w:hint="eastAsia"/>
          <w:lang w:eastAsia="zh-CN"/>
        </w:rPr>
        <w:t>21</w:t>
      </w:r>
      <w:r w:rsidRPr="00B93493">
        <w:t>, which are used to determine the following key parameters of the mobile communication network:</w:t>
      </w:r>
    </w:p>
    <w:p w14:paraId="790C68F8" w14:textId="77777777" w:rsidR="00CF04BC" w:rsidRPr="00B93493" w:rsidRDefault="00CF04BC" w:rsidP="00CF04BC">
      <w:pPr>
        <w:pStyle w:val="enumlev1"/>
      </w:pPr>
      <w:r w:rsidRPr="00B93493">
        <w:tab/>
      </w:r>
      <w:r w:rsidRPr="00B93493">
        <w:rPr>
          <w:i/>
          <w:iCs/>
        </w:rPr>
        <w:t>N</w:t>
      </w:r>
      <w:r w:rsidRPr="00B93493">
        <w:t>:</w:t>
      </w:r>
      <w:r w:rsidRPr="00B93493">
        <w:tab/>
        <w:t>cluster size;</w:t>
      </w:r>
    </w:p>
    <w:p w14:paraId="6C23EA80" w14:textId="77777777" w:rsidR="00CF04BC" w:rsidRPr="00B93493" w:rsidRDefault="00CF04BC" w:rsidP="00CF04BC">
      <w:pPr>
        <w:pStyle w:val="enumlev1"/>
      </w:pPr>
      <w:r w:rsidRPr="00B93493">
        <w:tab/>
      </w:r>
      <w:r w:rsidRPr="00B93493">
        <w:rPr>
          <w:i/>
          <w:iCs/>
        </w:rPr>
        <w:t>C</w:t>
      </w:r>
      <w:r w:rsidRPr="00B93493">
        <w:t>:</w:t>
      </w:r>
      <w:r w:rsidRPr="00B93493">
        <w:tab/>
        <w:t>number of BS that have to be installed in a town;</w:t>
      </w:r>
    </w:p>
    <w:p w14:paraId="38E82CCF" w14:textId="77777777" w:rsidR="00CF04BC" w:rsidRPr="00B93493" w:rsidRDefault="00CF04BC" w:rsidP="00CF04BC">
      <w:pPr>
        <w:pStyle w:val="enumlev1"/>
      </w:pPr>
      <w:r w:rsidRPr="00B93493">
        <w:tab/>
      </w:r>
      <w:r w:rsidRPr="00B93493">
        <w:rPr>
          <w:i/>
          <w:iCs/>
        </w:rPr>
        <w:t>n</w:t>
      </w:r>
      <w:r w:rsidRPr="00B93493">
        <w:rPr>
          <w:i/>
          <w:iCs/>
          <w:position w:val="-4"/>
          <w:sz w:val="16"/>
        </w:rPr>
        <w:t>c</w:t>
      </w:r>
      <w:r w:rsidRPr="00B93493">
        <w:t>:</w:t>
      </w:r>
      <w:r w:rsidRPr="00B93493">
        <w:tab/>
        <w:t>number of telephone channels.</w:t>
      </w:r>
    </w:p>
    <w:p w14:paraId="3E0BC1DD" w14:textId="77777777" w:rsidR="00CF04BC" w:rsidRPr="00B93493" w:rsidRDefault="00CF04BC" w:rsidP="00CF04BC">
      <w:pPr>
        <w:pStyle w:val="TableNo"/>
        <w:rPr>
          <w:lang w:eastAsia="zh-CN"/>
        </w:rPr>
      </w:pPr>
      <w:r w:rsidRPr="00B93493">
        <w:t xml:space="preserve">TABLE </w:t>
      </w:r>
      <w:r>
        <w:rPr>
          <w:rFonts w:hint="eastAsia"/>
          <w:lang w:eastAsia="zh-CN"/>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006"/>
        <w:gridCol w:w="6360"/>
        <w:gridCol w:w="2273"/>
      </w:tblGrid>
      <w:tr w:rsidR="00CF04BC" w:rsidRPr="00B93493" w14:paraId="30487BE1" w14:textId="77777777" w:rsidTr="002E7F54">
        <w:trPr>
          <w:cantSplit/>
          <w:jc w:val="center"/>
        </w:trPr>
        <w:tc>
          <w:tcPr>
            <w:tcW w:w="1006" w:type="dxa"/>
            <w:vAlign w:val="center"/>
          </w:tcPr>
          <w:p w14:paraId="64190BC2" w14:textId="77777777" w:rsidR="00CF04BC" w:rsidRPr="00B93493" w:rsidRDefault="00CF04BC" w:rsidP="002E7F54">
            <w:pPr>
              <w:pStyle w:val="Tablehead"/>
              <w:rPr>
                <w:i/>
                <w:iCs/>
              </w:rPr>
            </w:pPr>
            <w:r w:rsidRPr="00B93493">
              <w:t>Symbol</w:t>
            </w:r>
          </w:p>
        </w:tc>
        <w:tc>
          <w:tcPr>
            <w:tcW w:w="6360" w:type="dxa"/>
            <w:vAlign w:val="center"/>
          </w:tcPr>
          <w:p w14:paraId="2FE4EE77" w14:textId="77777777" w:rsidR="00CF04BC" w:rsidRPr="00B93493" w:rsidRDefault="00CF04BC" w:rsidP="002E7F54">
            <w:pPr>
              <w:pStyle w:val="Tablehead"/>
            </w:pPr>
            <w:r w:rsidRPr="00B93493">
              <w:t>Parameter</w:t>
            </w:r>
          </w:p>
        </w:tc>
        <w:tc>
          <w:tcPr>
            <w:tcW w:w="2273" w:type="dxa"/>
          </w:tcPr>
          <w:p w14:paraId="7C9D0EAA" w14:textId="77777777" w:rsidR="00CF04BC" w:rsidRPr="00B93493" w:rsidRDefault="00CF04BC" w:rsidP="002E7F54">
            <w:pPr>
              <w:pStyle w:val="Tablehead"/>
            </w:pPr>
            <w:r w:rsidRPr="00B93493">
              <w:t>Calculated value</w:t>
            </w:r>
          </w:p>
        </w:tc>
      </w:tr>
      <w:tr w:rsidR="00CF04BC" w:rsidRPr="00B93493" w14:paraId="5A28A9D8" w14:textId="77777777" w:rsidTr="002E7F54">
        <w:trPr>
          <w:cantSplit/>
          <w:jc w:val="center"/>
        </w:trPr>
        <w:tc>
          <w:tcPr>
            <w:tcW w:w="1006" w:type="dxa"/>
          </w:tcPr>
          <w:p w14:paraId="67C544C5" w14:textId="77777777" w:rsidR="00CF04BC" w:rsidRPr="00B93493" w:rsidRDefault="00CF04BC" w:rsidP="002E7F54">
            <w:pPr>
              <w:pStyle w:val="Tabletext"/>
              <w:jc w:val="center"/>
            </w:pPr>
            <w:r w:rsidRPr="00B93493">
              <w:rPr>
                <w:i/>
                <w:iCs/>
                <w:szCs w:val="22"/>
              </w:rPr>
              <w:t>F</w:t>
            </w:r>
          </w:p>
        </w:tc>
        <w:tc>
          <w:tcPr>
            <w:tcW w:w="6360" w:type="dxa"/>
          </w:tcPr>
          <w:p w14:paraId="15EC3833" w14:textId="77777777" w:rsidR="00CF04BC" w:rsidRPr="00B93493" w:rsidRDefault="00CF04BC" w:rsidP="002E7F54">
            <w:pPr>
              <w:pStyle w:val="Tabletext"/>
            </w:pPr>
            <w:r w:rsidRPr="00B93493">
              <w:t>Bandwidth for the mobile network in the service area</w:t>
            </w:r>
          </w:p>
        </w:tc>
        <w:tc>
          <w:tcPr>
            <w:tcW w:w="2273" w:type="dxa"/>
          </w:tcPr>
          <w:p w14:paraId="2234AEF5" w14:textId="77777777" w:rsidR="00CF04BC" w:rsidRPr="00B93493" w:rsidRDefault="00CF04BC" w:rsidP="002E7F54">
            <w:pPr>
              <w:pStyle w:val="Tabletext"/>
              <w:jc w:val="center"/>
            </w:pPr>
            <w:r w:rsidRPr="00B93493">
              <w:t>2-25 MHz</w:t>
            </w:r>
          </w:p>
        </w:tc>
      </w:tr>
      <w:tr w:rsidR="00CF04BC" w:rsidRPr="00B93493" w14:paraId="2579F93E" w14:textId="77777777" w:rsidTr="002E7F54">
        <w:trPr>
          <w:cantSplit/>
          <w:jc w:val="center"/>
        </w:trPr>
        <w:tc>
          <w:tcPr>
            <w:tcW w:w="1006" w:type="dxa"/>
          </w:tcPr>
          <w:p w14:paraId="6508B030" w14:textId="77777777" w:rsidR="00CF04BC" w:rsidRPr="00B93493" w:rsidRDefault="00CF04BC" w:rsidP="002E7F54">
            <w:pPr>
              <w:pStyle w:val="Tabletext"/>
              <w:jc w:val="center"/>
            </w:pPr>
            <w:r w:rsidRPr="00B93493">
              <w:rPr>
                <w:i/>
                <w:iCs/>
                <w:szCs w:val="22"/>
              </w:rPr>
              <w:t>F</w:t>
            </w:r>
            <w:r w:rsidRPr="00B93493">
              <w:rPr>
                <w:i/>
                <w:iCs/>
                <w:szCs w:val="22"/>
                <w:vertAlign w:val="subscript"/>
              </w:rPr>
              <w:t>k</w:t>
            </w:r>
          </w:p>
        </w:tc>
        <w:tc>
          <w:tcPr>
            <w:tcW w:w="6360" w:type="dxa"/>
          </w:tcPr>
          <w:p w14:paraId="195C10C9" w14:textId="77777777" w:rsidR="00CF04BC" w:rsidRPr="00B93493" w:rsidRDefault="00CF04BC" w:rsidP="002E7F54">
            <w:pPr>
              <w:pStyle w:val="Tabletext"/>
            </w:pPr>
            <w:r w:rsidRPr="00B93493">
              <w:t>Channel bandwidth of the mobile network system (for NMT, AMPS</w:t>
            </w:r>
            <w:r w:rsidRPr="00B93493">
              <w:noBreakHyphen/>
              <w:t xml:space="preserve">D and GSM systems, </w:t>
            </w:r>
            <w:r w:rsidRPr="00B93493">
              <w:rPr>
                <w:i/>
                <w:iCs/>
              </w:rPr>
              <w:t>F</w:t>
            </w:r>
            <w:r w:rsidRPr="00B93493">
              <w:rPr>
                <w:i/>
                <w:iCs/>
                <w:vertAlign w:val="subscript"/>
              </w:rPr>
              <w:t>k</w:t>
            </w:r>
            <w:r w:rsidRPr="00B93493">
              <w:t> = 25, 300 and 200 kHz, respectively)</w:t>
            </w:r>
          </w:p>
        </w:tc>
        <w:tc>
          <w:tcPr>
            <w:tcW w:w="2273" w:type="dxa"/>
          </w:tcPr>
          <w:p w14:paraId="7BFC9F58" w14:textId="77777777" w:rsidR="00CF04BC" w:rsidRPr="00B93493" w:rsidRDefault="00CF04BC" w:rsidP="002E7F54">
            <w:pPr>
              <w:pStyle w:val="Tabletext"/>
              <w:jc w:val="center"/>
            </w:pPr>
            <w:r w:rsidRPr="00B93493">
              <w:t>0.2 MHz</w:t>
            </w:r>
          </w:p>
        </w:tc>
      </w:tr>
      <w:tr w:rsidR="00CF04BC" w:rsidRPr="00B93493" w14:paraId="7E1EAE94" w14:textId="77777777" w:rsidTr="002E7F54">
        <w:trPr>
          <w:cantSplit/>
          <w:jc w:val="center"/>
        </w:trPr>
        <w:tc>
          <w:tcPr>
            <w:tcW w:w="1006" w:type="dxa"/>
          </w:tcPr>
          <w:p w14:paraId="535B862E" w14:textId="77777777" w:rsidR="00CF04BC" w:rsidRPr="00B93493" w:rsidRDefault="00CF04BC" w:rsidP="002E7F54">
            <w:pPr>
              <w:pStyle w:val="Tabletext"/>
              <w:jc w:val="center"/>
              <w:rPr>
                <w:i/>
                <w:iCs/>
              </w:rPr>
            </w:pPr>
            <w:r w:rsidRPr="00B93493">
              <w:rPr>
                <w:i/>
                <w:iCs/>
              </w:rPr>
              <w:t>M</w:t>
            </w:r>
          </w:p>
        </w:tc>
        <w:tc>
          <w:tcPr>
            <w:tcW w:w="6360" w:type="dxa"/>
          </w:tcPr>
          <w:p w14:paraId="79377790" w14:textId="77777777" w:rsidR="00CF04BC" w:rsidRPr="00B93493" w:rsidRDefault="00CF04BC" w:rsidP="002E7F54">
            <w:pPr>
              <w:pStyle w:val="Tabletext"/>
            </w:pPr>
            <w:r w:rsidRPr="00B93493">
              <w:t>Number of sectors served in one cell (</w:t>
            </w:r>
            <w:r w:rsidRPr="00B93493">
              <w:rPr>
                <w:i/>
                <w:iCs/>
              </w:rPr>
              <w:t>M</w:t>
            </w:r>
            <w:r w:rsidRPr="00B93493">
              <w:t xml:space="preserve"> = 1 for </w:t>
            </w:r>
            <w:r w:rsidRPr="00B93493">
              <w:sym w:font="Symbol" w:char="F071"/>
            </w:r>
            <w:r w:rsidRPr="00B93493">
              <w:t> = 360</w:t>
            </w:r>
            <w:r w:rsidRPr="00B93493">
              <w:rPr>
                <w:rFonts w:ascii="Symbol" w:hAnsi="Symbol"/>
              </w:rPr>
              <w:t></w:t>
            </w:r>
            <w:r w:rsidRPr="00B93493">
              <w:t xml:space="preserve">; </w:t>
            </w:r>
            <w:r w:rsidRPr="00B93493">
              <w:rPr>
                <w:i/>
                <w:iCs/>
              </w:rPr>
              <w:t>M</w:t>
            </w:r>
            <w:r w:rsidRPr="00B93493">
              <w:t xml:space="preserve"> = 3 for </w:t>
            </w:r>
            <w:r w:rsidRPr="00B93493">
              <w:sym w:font="Symbol" w:char="F071"/>
            </w:r>
            <w:r w:rsidRPr="00B93493">
              <w:t> = 120</w:t>
            </w:r>
            <w:r w:rsidRPr="00B93493">
              <w:rPr>
                <w:rFonts w:ascii="Symbol" w:hAnsi="Symbol"/>
              </w:rPr>
              <w:t></w:t>
            </w:r>
            <w:r w:rsidRPr="00B93493">
              <w:t xml:space="preserve">; </w:t>
            </w:r>
            <w:r w:rsidRPr="00B93493">
              <w:rPr>
                <w:i/>
                <w:iCs/>
              </w:rPr>
              <w:t>M</w:t>
            </w:r>
            <w:r w:rsidRPr="00B93493">
              <w:t xml:space="preserve"> = 6 for </w:t>
            </w:r>
            <w:r w:rsidRPr="00B93493">
              <w:sym w:font="Symbol" w:char="F071"/>
            </w:r>
            <w:r w:rsidRPr="00B93493">
              <w:t> = 60</w:t>
            </w:r>
            <w:r w:rsidRPr="00B93493">
              <w:rPr>
                <w:rFonts w:ascii="Symbol" w:hAnsi="Symbol"/>
              </w:rPr>
              <w:t></w:t>
            </w:r>
            <w:r w:rsidRPr="00B93493">
              <w:t xml:space="preserve">, where </w:t>
            </w:r>
            <w:r w:rsidRPr="00B93493">
              <w:sym w:font="Symbol" w:char="F071"/>
            </w:r>
            <w:r w:rsidRPr="00B93493">
              <w:t xml:space="preserve"> is the width of the BS antenna radiation pattern)</w:t>
            </w:r>
          </w:p>
        </w:tc>
        <w:tc>
          <w:tcPr>
            <w:tcW w:w="2273" w:type="dxa"/>
          </w:tcPr>
          <w:p w14:paraId="5FF2BBE2" w14:textId="77777777" w:rsidR="00CF04BC" w:rsidRPr="00B93493" w:rsidRDefault="00CF04BC" w:rsidP="002E7F54">
            <w:pPr>
              <w:pStyle w:val="Tabletext"/>
              <w:jc w:val="center"/>
            </w:pPr>
            <w:r w:rsidRPr="00B93493">
              <w:t>1-6</w:t>
            </w:r>
          </w:p>
        </w:tc>
      </w:tr>
      <w:tr w:rsidR="00CF04BC" w:rsidRPr="00B93493" w14:paraId="7F3E3FF5" w14:textId="77777777" w:rsidTr="002E7F54">
        <w:trPr>
          <w:cantSplit/>
          <w:jc w:val="center"/>
        </w:trPr>
        <w:tc>
          <w:tcPr>
            <w:tcW w:w="1006" w:type="dxa"/>
          </w:tcPr>
          <w:p w14:paraId="7A1C7007" w14:textId="77777777" w:rsidR="00CF04BC" w:rsidRPr="00B93493" w:rsidRDefault="00CF04BC" w:rsidP="002E7F54">
            <w:pPr>
              <w:pStyle w:val="Tabletext"/>
              <w:jc w:val="center"/>
              <w:rPr>
                <w:i/>
                <w:iCs/>
              </w:rPr>
            </w:pPr>
            <w:r w:rsidRPr="00B93493">
              <w:rPr>
                <w:i/>
                <w:iCs/>
              </w:rPr>
              <w:t>n</w:t>
            </w:r>
            <w:r w:rsidRPr="00B93493">
              <w:rPr>
                <w:i/>
                <w:iCs/>
                <w:vertAlign w:val="subscript"/>
              </w:rPr>
              <w:sym w:font="Symbol" w:char="F061"/>
            </w:r>
          </w:p>
        </w:tc>
        <w:tc>
          <w:tcPr>
            <w:tcW w:w="6360" w:type="dxa"/>
          </w:tcPr>
          <w:p w14:paraId="3002BDF2" w14:textId="77777777" w:rsidR="00CF04BC" w:rsidRPr="00B93493" w:rsidRDefault="00CF04BC" w:rsidP="002E7F54">
            <w:pPr>
              <w:pStyle w:val="Tabletext"/>
            </w:pPr>
            <w:r w:rsidRPr="00B93493">
              <w:t>Number of subscribers that can use one frequency channel at the same time (for NMT, AMPS</w:t>
            </w:r>
            <w:r w:rsidRPr="00B93493">
              <w:noBreakHyphen/>
              <w:t xml:space="preserve">D and GSM systems, </w:t>
            </w:r>
            <w:r w:rsidRPr="00B93493">
              <w:rPr>
                <w:i/>
                <w:iCs/>
              </w:rPr>
              <w:t>n</w:t>
            </w:r>
            <w:r w:rsidRPr="00B93493">
              <w:rPr>
                <w:iCs/>
                <w:vertAlign w:val="subscript"/>
              </w:rPr>
              <w:sym w:font="Symbol" w:char="F061"/>
            </w:r>
            <w:r w:rsidRPr="00B93493">
              <w:t> = 1, 3 and 8, respectively)</w:t>
            </w:r>
          </w:p>
        </w:tc>
        <w:tc>
          <w:tcPr>
            <w:tcW w:w="2273" w:type="dxa"/>
          </w:tcPr>
          <w:p w14:paraId="743DBB10" w14:textId="77777777" w:rsidR="00CF04BC" w:rsidRPr="00B93493" w:rsidRDefault="00CF04BC" w:rsidP="002E7F54">
            <w:pPr>
              <w:pStyle w:val="Tabletext"/>
              <w:jc w:val="center"/>
            </w:pPr>
            <w:r w:rsidRPr="00B93493">
              <w:t>8</w:t>
            </w:r>
          </w:p>
        </w:tc>
      </w:tr>
      <w:tr w:rsidR="00CF04BC" w:rsidRPr="00B93493" w14:paraId="473EF692" w14:textId="77777777" w:rsidTr="002E7F54">
        <w:trPr>
          <w:cantSplit/>
          <w:jc w:val="center"/>
        </w:trPr>
        <w:tc>
          <w:tcPr>
            <w:tcW w:w="1006" w:type="dxa"/>
          </w:tcPr>
          <w:p w14:paraId="1228909E" w14:textId="77777777" w:rsidR="00CF04BC" w:rsidRPr="00B93493" w:rsidRDefault="00CF04BC" w:rsidP="002E7F54">
            <w:pPr>
              <w:pStyle w:val="Tabletext"/>
              <w:jc w:val="center"/>
              <w:rPr>
                <w:i/>
                <w:iCs/>
              </w:rPr>
            </w:pPr>
            <w:r w:rsidRPr="00B93493">
              <w:rPr>
                <w:i/>
                <w:iCs/>
              </w:rPr>
              <w:t>N</w:t>
            </w:r>
            <w:r w:rsidRPr="00B93493">
              <w:rPr>
                <w:i/>
                <w:iCs/>
                <w:vertAlign w:val="subscript"/>
              </w:rPr>
              <w:sym w:font="Symbol" w:char="F061"/>
            </w:r>
          </w:p>
        </w:tc>
        <w:tc>
          <w:tcPr>
            <w:tcW w:w="6360" w:type="dxa"/>
          </w:tcPr>
          <w:p w14:paraId="3940C58E" w14:textId="77777777" w:rsidR="00CF04BC" w:rsidRPr="00B93493" w:rsidRDefault="00CF04BC" w:rsidP="002E7F54">
            <w:pPr>
              <w:pStyle w:val="Tabletext"/>
            </w:pPr>
            <w:r w:rsidRPr="00B93493">
              <w:t>Number of subscribers to be served by the cellular mobile network in a town</w:t>
            </w:r>
          </w:p>
        </w:tc>
        <w:tc>
          <w:tcPr>
            <w:tcW w:w="2273" w:type="dxa"/>
          </w:tcPr>
          <w:p w14:paraId="04E7AF5B" w14:textId="77777777" w:rsidR="00CF04BC" w:rsidRPr="00B93493" w:rsidRDefault="00CF04BC" w:rsidP="002E7F54">
            <w:pPr>
              <w:pStyle w:val="Tabletext"/>
              <w:jc w:val="center"/>
            </w:pPr>
            <w:r w:rsidRPr="00B93493">
              <w:t>10</w:t>
            </w:r>
            <w:r w:rsidRPr="00B93493">
              <w:rPr>
                <w:rFonts w:ascii="Tms Rmn" w:hAnsi="Tms Rmn"/>
              </w:rPr>
              <w:t> </w:t>
            </w:r>
            <w:r w:rsidRPr="00B93493">
              <w:t>000-150</w:t>
            </w:r>
            <w:r w:rsidRPr="00B93493">
              <w:rPr>
                <w:rFonts w:ascii="Tms Rmn" w:hAnsi="Tms Rmn"/>
              </w:rPr>
              <w:t> </w:t>
            </w:r>
            <w:r w:rsidRPr="00B93493">
              <w:t>000 people</w:t>
            </w:r>
          </w:p>
        </w:tc>
      </w:tr>
    </w:tbl>
    <w:p w14:paraId="558627F0" w14:textId="77777777" w:rsidR="00CF04BC" w:rsidRPr="00B93493" w:rsidRDefault="00CF04BC" w:rsidP="00CF04BC">
      <w:r w:rsidRPr="00B93493">
        <w:br w:type="page"/>
      </w:r>
    </w:p>
    <w:p w14:paraId="16B7076B" w14:textId="77777777" w:rsidR="00CF04BC" w:rsidRPr="00B93493" w:rsidRDefault="00CF04BC" w:rsidP="00CF04BC">
      <w:pPr>
        <w:pStyle w:val="TableNo"/>
      </w:pPr>
      <w:r w:rsidRPr="00B93493">
        <w:t xml:space="preserve">TABLE </w:t>
      </w:r>
      <w:r>
        <w:rPr>
          <w:rFonts w:hint="eastAsia"/>
          <w:lang w:eastAsia="zh-CN"/>
        </w:rPr>
        <w:t>21</w:t>
      </w:r>
      <w:r w:rsidRPr="00B93493">
        <w:t xml:space="preserve"> (</w:t>
      </w:r>
      <w:r w:rsidRPr="00B93493">
        <w:rPr>
          <w:i/>
          <w:iCs/>
        </w:rPr>
        <w:t>end</w:t>
      </w:r>
      <w:r w:rsidRPr="00B9349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006"/>
        <w:gridCol w:w="7070"/>
        <w:gridCol w:w="1563"/>
      </w:tblGrid>
      <w:tr w:rsidR="00CF04BC" w:rsidRPr="00B93493" w14:paraId="66FEC17F" w14:textId="77777777" w:rsidTr="002E7F54">
        <w:trPr>
          <w:cantSplit/>
          <w:jc w:val="center"/>
        </w:trPr>
        <w:tc>
          <w:tcPr>
            <w:tcW w:w="1006" w:type="dxa"/>
            <w:vAlign w:val="center"/>
          </w:tcPr>
          <w:p w14:paraId="06A45690" w14:textId="77777777" w:rsidR="00CF04BC" w:rsidRPr="00B93493" w:rsidRDefault="00CF04BC" w:rsidP="002E7F54">
            <w:pPr>
              <w:pStyle w:val="Tablehead"/>
              <w:rPr>
                <w:i/>
                <w:iCs/>
              </w:rPr>
            </w:pPr>
            <w:r w:rsidRPr="00B93493">
              <w:t>Symbol</w:t>
            </w:r>
          </w:p>
        </w:tc>
        <w:tc>
          <w:tcPr>
            <w:tcW w:w="7070" w:type="dxa"/>
            <w:vAlign w:val="center"/>
          </w:tcPr>
          <w:p w14:paraId="699978C0" w14:textId="77777777" w:rsidR="00CF04BC" w:rsidRPr="00B93493" w:rsidRDefault="00CF04BC" w:rsidP="002E7F54">
            <w:pPr>
              <w:pStyle w:val="Tablehead"/>
            </w:pPr>
            <w:r w:rsidRPr="00B93493">
              <w:t>Parameter</w:t>
            </w:r>
          </w:p>
        </w:tc>
        <w:tc>
          <w:tcPr>
            <w:tcW w:w="1563" w:type="dxa"/>
          </w:tcPr>
          <w:p w14:paraId="3FBA3E8F" w14:textId="77777777" w:rsidR="00CF04BC" w:rsidRPr="00B93493" w:rsidRDefault="00CF04BC" w:rsidP="002E7F54">
            <w:pPr>
              <w:pStyle w:val="Tablehead"/>
            </w:pPr>
            <w:r w:rsidRPr="00B93493">
              <w:t>Calculated value</w:t>
            </w:r>
          </w:p>
        </w:tc>
      </w:tr>
      <w:tr w:rsidR="00CF04BC" w:rsidRPr="00B93493" w14:paraId="0A5C9E1A" w14:textId="77777777" w:rsidTr="002E7F54">
        <w:trPr>
          <w:cantSplit/>
          <w:jc w:val="center"/>
        </w:trPr>
        <w:tc>
          <w:tcPr>
            <w:tcW w:w="1006" w:type="dxa"/>
          </w:tcPr>
          <w:p w14:paraId="56522543" w14:textId="77777777" w:rsidR="00CF04BC" w:rsidRPr="00B93493" w:rsidRDefault="00CF04BC" w:rsidP="002E7F54">
            <w:pPr>
              <w:pStyle w:val="Tabletext"/>
              <w:jc w:val="center"/>
            </w:pPr>
            <w:r w:rsidRPr="00B93493">
              <w:sym w:font="Symbol" w:char="F062"/>
            </w:r>
          </w:p>
        </w:tc>
        <w:tc>
          <w:tcPr>
            <w:tcW w:w="7070" w:type="dxa"/>
          </w:tcPr>
          <w:p w14:paraId="286C6C69" w14:textId="77777777" w:rsidR="00CF04BC" w:rsidRPr="00B93493" w:rsidRDefault="00CF04BC" w:rsidP="002E7F54">
            <w:pPr>
              <w:pStyle w:val="Tabletext"/>
            </w:pPr>
            <w:r w:rsidRPr="00B93493">
              <w:t>Activity of one subscriber at peak traffic times</w:t>
            </w:r>
          </w:p>
        </w:tc>
        <w:tc>
          <w:tcPr>
            <w:tcW w:w="1563" w:type="dxa"/>
          </w:tcPr>
          <w:p w14:paraId="6287AF4A" w14:textId="77777777" w:rsidR="00CF04BC" w:rsidRPr="00B93493" w:rsidRDefault="00CF04BC" w:rsidP="002E7F54">
            <w:pPr>
              <w:pStyle w:val="Tabletext"/>
              <w:jc w:val="center"/>
            </w:pPr>
            <w:r w:rsidRPr="00B93493">
              <w:t>0.025 E</w:t>
            </w:r>
          </w:p>
        </w:tc>
      </w:tr>
      <w:tr w:rsidR="00CF04BC" w:rsidRPr="00B93493" w14:paraId="17A3699F" w14:textId="77777777" w:rsidTr="002E7F54">
        <w:trPr>
          <w:cantSplit/>
          <w:jc w:val="center"/>
        </w:trPr>
        <w:tc>
          <w:tcPr>
            <w:tcW w:w="1006" w:type="dxa"/>
          </w:tcPr>
          <w:p w14:paraId="1E29F45C" w14:textId="77777777" w:rsidR="00CF04BC" w:rsidRPr="00B93493" w:rsidRDefault="00CF04BC" w:rsidP="002E7F54">
            <w:pPr>
              <w:pStyle w:val="Tabletext"/>
              <w:jc w:val="center"/>
            </w:pPr>
            <w:r w:rsidRPr="00B93493">
              <w:rPr>
                <w:i/>
                <w:iCs/>
              </w:rPr>
              <w:t>P</w:t>
            </w:r>
            <w:r w:rsidRPr="00B93493">
              <w:rPr>
                <w:vertAlign w:val="subscript"/>
              </w:rPr>
              <w:sym w:font="Symbol" w:char="F061"/>
            </w:r>
          </w:p>
        </w:tc>
        <w:tc>
          <w:tcPr>
            <w:tcW w:w="7070" w:type="dxa"/>
          </w:tcPr>
          <w:p w14:paraId="4A9027A4" w14:textId="77777777" w:rsidR="00CF04BC" w:rsidRPr="00B93493" w:rsidRDefault="00CF04BC" w:rsidP="002E7F54">
            <w:pPr>
              <w:pStyle w:val="Tabletext"/>
            </w:pPr>
            <w:r w:rsidRPr="00B93493">
              <w:t>Permissible probability of call blocking in the mobile network</w:t>
            </w:r>
          </w:p>
        </w:tc>
        <w:tc>
          <w:tcPr>
            <w:tcW w:w="1563" w:type="dxa"/>
          </w:tcPr>
          <w:p w14:paraId="174D9D97" w14:textId="77777777" w:rsidR="00CF04BC" w:rsidRPr="00B93493" w:rsidRDefault="00CF04BC" w:rsidP="002E7F54">
            <w:pPr>
              <w:pStyle w:val="Tabletext"/>
              <w:jc w:val="center"/>
            </w:pPr>
            <w:r w:rsidRPr="00B93493">
              <w:t>0.1</w:t>
            </w:r>
          </w:p>
        </w:tc>
      </w:tr>
      <w:tr w:rsidR="00CF04BC" w:rsidRPr="00B93493" w14:paraId="336D8C8E" w14:textId="77777777" w:rsidTr="002E7F54">
        <w:trPr>
          <w:cantSplit/>
          <w:jc w:val="center"/>
        </w:trPr>
        <w:tc>
          <w:tcPr>
            <w:tcW w:w="1006" w:type="dxa"/>
          </w:tcPr>
          <w:p w14:paraId="7317C257" w14:textId="77777777" w:rsidR="00CF04BC" w:rsidRPr="00B93493" w:rsidRDefault="00CF04BC" w:rsidP="002E7F54">
            <w:pPr>
              <w:pStyle w:val="Tabletext"/>
              <w:jc w:val="center"/>
            </w:pPr>
            <w:r w:rsidRPr="00B93493">
              <w:sym w:font="Symbol" w:char="F072"/>
            </w:r>
            <w:r w:rsidRPr="00B93493">
              <w:rPr>
                <w:vertAlign w:val="subscript"/>
              </w:rPr>
              <w:t>0</w:t>
            </w:r>
          </w:p>
        </w:tc>
        <w:tc>
          <w:tcPr>
            <w:tcW w:w="7070" w:type="dxa"/>
          </w:tcPr>
          <w:p w14:paraId="71876BAE" w14:textId="77777777" w:rsidR="00CF04BC" w:rsidRPr="00B93493" w:rsidRDefault="00CF04BC" w:rsidP="002E7F54">
            <w:pPr>
              <w:pStyle w:val="Tabletext"/>
            </w:pPr>
            <w:r w:rsidRPr="00B93493">
              <w:t>Required protection ratio for mobile network receivers (for NMT, AMPS</w:t>
            </w:r>
            <w:r w:rsidRPr="00B93493">
              <w:noBreakHyphen/>
              <w:t xml:space="preserve">D and GSM systems, </w:t>
            </w:r>
            <w:r w:rsidRPr="00B93493">
              <w:sym w:font="Symbol" w:char="F072"/>
            </w:r>
            <w:r w:rsidRPr="00B93493">
              <w:rPr>
                <w:vertAlign w:val="subscript"/>
              </w:rPr>
              <w:t>0</w:t>
            </w:r>
            <w:r w:rsidRPr="00B93493">
              <w:t> = 18.9 and 9 dB, respectively)</w:t>
            </w:r>
          </w:p>
        </w:tc>
        <w:tc>
          <w:tcPr>
            <w:tcW w:w="1563" w:type="dxa"/>
          </w:tcPr>
          <w:p w14:paraId="733AD796" w14:textId="77777777" w:rsidR="00CF04BC" w:rsidRPr="00B93493" w:rsidRDefault="00CF04BC" w:rsidP="002E7F54">
            <w:pPr>
              <w:pStyle w:val="Tabletext"/>
              <w:jc w:val="center"/>
            </w:pPr>
            <w:r w:rsidRPr="00B93493">
              <w:t>9 dB</w:t>
            </w:r>
          </w:p>
        </w:tc>
      </w:tr>
      <w:tr w:rsidR="00CF04BC" w:rsidRPr="00B93493" w14:paraId="4DEBD034" w14:textId="77777777" w:rsidTr="002E7F54">
        <w:trPr>
          <w:cantSplit/>
          <w:jc w:val="center"/>
        </w:trPr>
        <w:tc>
          <w:tcPr>
            <w:tcW w:w="1006" w:type="dxa"/>
          </w:tcPr>
          <w:p w14:paraId="0CB5EF31" w14:textId="77777777" w:rsidR="00CF04BC" w:rsidRPr="00B93493" w:rsidRDefault="00CF04BC" w:rsidP="002E7F54">
            <w:pPr>
              <w:pStyle w:val="Tabletext"/>
              <w:jc w:val="center"/>
              <w:rPr>
                <w:i/>
                <w:iCs/>
              </w:rPr>
            </w:pPr>
            <w:r w:rsidRPr="00B93493">
              <w:rPr>
                <w:i/>
                <w:iCs/>
              </w:rPr>
              <w:t>P</w:t>
            </w:r>
            <w:r w:rsidRPr="00B93493">
              <w:rPr>
                <w:i/>
                <w:iCs/>
                <w:vertAlign w:val="subscript"/>
              </w:rPr>
              <w:t>t</w:t>
            </w:r>
          </w:p>
        </w:tc>
        <w:tc>
          <w:tcPr>
            <w:tcW w:w="7070" w:type="dxa"/>
          </w:tcPr>
          <w:p w14:paraId="3AA5E8D8" w14:textId="77777777" w:rsidR="00CF04BC" w:rsidRPr="00B93493" w:rsidRDefault="00CF04BC" w:rsidP="002E7F54">
            <w:pPr>
              <w:pStyle w:val="Tabletext"/>
            </w:pPr>
            <w:r w:rsidRPr="00B93493">
              <w:t xml:space="preserve">Percentage of time during which the signal/interference ratio at the input to the transmitter in the mobile network is allowed to fall below the protection ratio, </w:t>
            </w:r>
            <w:r w:rsidRPr="00B93493">
              <w:sym w:font="Symbol" w:char="F072"/>
            </w:r>
            <w:r w:rsidRPr="00B93493">
              <w:rPr>
                <w:vertAlign w:val="subscript"/>
              </w:rPr>
              <w:t>0</w:t>
            </w:r>
          </w:p>
        </w:tc>
        <w:tc>
          <w:tcPr>
            <w:tcW w:w="1563" w:type="dxa"/>
          </w:tcPr>
          <w:p w14:paraId="09E2693C" w14:textId="77777777" w:rsidR="00CF04BC" w:rsidRPr="00B93493" w:rsidRDefault="00CF04BC" w:rsidP="002E7F54">
            <w:pPr>
              <w:pStyle w:val="Tabletext"/>
              <w:jc w:val="center"/>
            </w:pPr>
            <w:r w:rsidRPr="00B93493">
              <w:t>10%</w:t>
            </w:r>
          </w:p>
        </w:tc>
      </w:tr>
      <w:tr w:rsidR="00CF04BC" w:rsidRPr="00B93493" w14:paraId="03F04309" w14:textId="77777777" w:rsidTr="002E7F54">
        <w:trPr>
          <w:cantSplit/>
          <w:jc w:val="center"/>
        </w:trPr>
        <w:tc>
          <w:tcPr>
            <w:tcW w:w="1006" w:type="dxa"/>
          </w:tcPr>
          <w:p w14:paraId="6A9F3793" w14:textId="77777777" w:rsidR="00CF04BC" w:rsidRPr="00B93493" w:rsidRDefault="00CF04BC" w:rsidP="002E7F54">
            <w:pPr>
              <w:pStyle w:val="Tabletext"/>
              <w:jc w:val="center"/>
            </w:pPr>
            <w:r w:rsidRPr="00B93493">
              <w:sym w:font="Symbol" w:char="F073"/>
            </w:r>
          </w:p>
        </w:tc>
        <w:tc>
          <w:tcPr>
            <w:tcW w:w="7070" w:type="dxa"/>
          </w:tcPr>
          <w:p w14:paraId="7923F6B0" w14:textId="77777777" w:rsidR="00CF04BC" w:rsidRPr="00B93493" w:rsidRDefault="00CF04BC" w:rsidP="002E7F54">
            <w:pPr>
              <w:pStyle w:val="Tabletext"/>
            </w:pPr>
            <w:r w:rsidRPr="00B93493">
              <w:t xml:space="preserve">Parameter determining the range of random variations in the received signal level at the place of reception (for mobile network systems, </w:t>
            </w:r>
            <w:r w:rsidRPr="00B93493">
              <w:rPr>
                <w:szCs w:val="22"/>
              </w:rPr>
              <w:sym w:font="Symbol" w:char="F073"/>
            </w:r>
            <w:r w:rsidRPr="00B93493">
              <w:t> = 4–10 dB)</w:t>
            </w:r>
          </w:p>
        </w:tc>
        <w:tc>
          <w:tcPr>
            <w:tcW w:w="1563" w:type="dxa"/>
          </w:tcPr>
          <w:p w14:paraId="73BBBA8A" w14:textId="77777777" w:rsidR="00CF04BC" w:rsidRPr="00B93493" w:rsidRDefault="00CF04BC" w:rsidP="002E7F54">
            <w:pPr>
              <w:pStyle w:val="Tabletext"/>
              <w:jc w:val="center"/>
            </w:pPr>
            <w:r w:rsidRPr="00B93493">
              <w:t>6 dB</w:t>
            </w:r>
          </w:p>
        </w:tc>
      </w:tr>
    </w:tbl>
    <w:p w14:paraId="33487056" w14:textId="77777777" w:rsidR="00CF04BC" w:rsidRPr="00B93493" w:rsidRDefault="00CF04BC" w:rsidP="00CF04BC">
      <w:pPr>
        <w:pStyle w:val="Tablefin"/>
      </w:pPr>
    </w:p>
    <w:p w14:paraId="7D0A5254" w14:textId="77777777" w:rsidR="00CF04BC" w:rsidRPr="00B93493" w:rsidRDefault="00CF04BC" w:rsidP="00CF04BC">
      <w:r w:rsidRPr="00B93493">
        <w:t>A procedure [8] for determining the basic parameters of a cellular mobile network is as follows:</w:t>
      </w:r>
    </w:p>
    <w:p w14:paraId="10055E79" w14:textId="77777777" w:rsidR="00CF04BC" w:rsidRPr="00B93493" w:rsidRDefault="00CF04BC" w:rsidP="00CF04BC">
      <w:pPr>
        <w:pStyle w:val="enumlev1"/>
      </w:pPr>
      <w:r w:rsidRPr="00B93493">
        <w:t>–</w:t>
      </w:r>
      <w:r w:rsidRPr="00B93493">
        <w:tab/>
        <w:t>Total number of frequency channels in a cellular mobile network in a town:</w:t>
      </w:r>
    </w:p>
    <w:p w14:paraId="39060879" w14:textId="77777777" w:rsidR="00CF04BC" w:rsidRPr="00B93493" w:rsidRDefault="00CF04BC" w:rsidP="00CF04BC">
      <w:pPr>
        <w:pStyle w:val="Blanc"/>
      </w:pPr>
    </w:p>
    <w:p w14:paraId="377FCC7F" w14:textId="77777777" w:rsidR="00CF04BC" w:rsidRPr="00B93493" w:rsidRDefault="00CF04BC" w:rsidP="00CF04BC">
      <w:pPr>
        <w:pStyle w:val="Equation"/>
      </w:pPr>
      <w:r>
        <w:rPr>
          <w:i/>
          <w:iCs/>
        </w:rPr>
        <w:tab/>
      </w:r>
      <w:r w:rsidRPr="00B93493">
        <w:rPr>
          <w:i/>
          <w:iCs/>
        </w:rPr>
        <w:tab/>
      </w:r>
      <m:oMath>
        <m:sSub>
          <m:sSubPr>
            <m:ctrlPr>
              <w:rPr>
                <w:rFonts w:ascii="Cambria Math" w:hAnsi="Cambria Math"/>
                <w:i/>
                <w:iCs/>
              </w:rPr>
            </m:ctrlPr>
          </m:sSubPr>
          <m:e>
            <m:r>
              <w:rPr>
                <w:rFonts w:ascii="Cambria Math" w:hAnsi="Cambria Math"/>
              </w:rPr>
              <m:t>n</m:t>
            </m:r>
          </m:e>
          <m:sub>
            <m:r>
              <w:rPr>
                <w:rFonts w:ascii="Cambria Math" w:hAnsi="Cambria Math"/>
              </w:rPr>
              <m:t>k</m:t>
            </m:r>
          </m:sub>
        </m:sSub>
        <m:r>
          <w:rPr>
            <w:rFonts w:ascii="Cambria Math" w:hAnsi="Cambria Math"/>
          </w:rPr>
          <m:t>=</m:t>
        </m:r>
        <m:r>
          <m:rPr>
            <m:sty m:val="p"/>
          </m:rPr>
          <w:rPr>
            <w:rFonts w:ascii="Cambria Math" w:hAnsi="Cambria Math"/>
          </w:rPr>
          <m:t>int</m:t>
        </m:r>
        <m:d>
          <m:dPr>
            <m:ctrlPr>
              <w:rPr>
                <w:rFonts w:ascii="Cambria Math" w:hAnsi="Cambria Math"/>
                <w:i/>
                <w:iCs/>
              </w:rPr>
            </m:ctrlPr>
          </m:dPr>
          <m:e>
            <m:f>
              <m:fPr>
                <m:type m:val="lin"/>
                <m:ctrlPr>
                  <w:rPr>
                    <w:rFonts w:ascii="Cambria Math" w:hAnsi="Cambria Math"/>
                    <w:i/>
                    <w:iCs/>
                  </w:rPr>
                </m:ctrlPr>
              </m:fPr>
              <m:num>
                <m:r>
                  <w:rPr>
                    <w:rFonts w:ascii="Cambria Math" w:hAnsi="Cambria Math"/>
                  </w:rPr>
                  <m:t>F</m:t>
                </m:r>
              </m:num>
              <m:den>
                <m:sSub>
                  <m:sSubPr>
                    <m:ctrlPr>
                      <w:rPr>
                        <w:rFonts w:ascii="Cambria Math" w:hAnsi="Cambria Math"/>
                        <w:i/>
                        <w:iCs/>
                      </w:rPr>
                    </m:ctrlPr>
                  </m:sSubPr>
                  <m:e>
                    <m:r>
                      <w:rPr>
                        <w:rFonts w:ascii="Cambria Math" w:hAnsi="Cambria Math"/>
                      </w:rPr>
                      <m:t>F</m:t>
                    </m:r>
                  </m:e>
                  <m:sub>
                    <m:r>
                      <w:rPr>
                        <w:rFonts w:ascii="Cambria Math" w:hAnsi="Cambria Math"/>
                      </w:rPr>
                      <m:t>k</m:t>
                    </m:r>
                  </m:sub>
                </m:sSub>
              </m:den>
            </m:f>
          </m:e>
        </m:d>
      </m:oMath>
    </w:p>
    <w:p w14:paraId="3CD4E301" w14:textId="77777777" w:rsidR="00CF04BC" w:rsidRPr="00B93493" w:rsidRDefault="00CF04BC" w:rsidP="00CF04BC">
      <w:pPr>
        <w:pStyle w:val="Blanc"/>
      </w:pPr>
    </w:p>
    <w:p w14:paraId="4E15600D" w14:textId="77777777" w:rsidR="00CF04BC" w:rsidRPr="00B93493" w:rsidRDefault="00CF04BC" w:rsidP="00CF04BC">
      <w:pPr>
        <w:pStyle w:val="enumlev1"/>
      </w:pPr>
      <w:r w:rsidRPr="00B93493">
        <w:tab/>
        <w:t>where int(</w:t>
      </w:r>
      <w:r w:rsidRPr="00B93493">
        <w:rPr>
          <w:i/>
          <w:iCs/>
        </w:rPr>
        <w:t>x</w:t>
      </w:r>
      <w:r w:rsidRPr="00B93493">
        <w:t xml:space="preserve">) is the integer part of the number </w:t>
      </w:r>
      <w:r w:rsidRPr="00B93493">
        <w:rPr>
          <w:i/>
          <w:iCs/>
        </w:rPr>
        <w:t>x</w:t>
      </w:r>
      <w:r w:rsidRPr="00B93493">
        <w:t>.</w:t>
      </w:r>
    </w:p>
    <w:p w14:paraId="25129F87" w14:textId="77777777" w:rsidR="00CF04BC" w:rsidRPr="00B93493" w:rsidRDefault="00CF04BC" w:rsidP="00CF04BC">
      <w:pPr>
        <w:pStyle w:val="enumlev1"/>
      </w:pPr>
      <w:r w:rsidRPr="00B93493">
        <w:t>–</w:t>
      </w:r>
      <w:r w:rsidRPr="00B93493">
        <w:tab/>
        <w:t xml:space="preserve">Required cluster size for given values of </w:t>
      </w:r>
      <w:r w:rsidRPr="00B93493">
        <w:sym w:font="Symbol" w:char="F072"/>
      </w:r>
      <w:r w:rsidRPr="00B93493">
        <w:rPr>
          <w:vertAlign w:val="subscript"/>
        </w:rPr>
        <w:t>0</w:t>
      </w:r>
      <w:r w:rsidRPr="00B93493">
        <w:t xml:space="preserve"> and </w:t>
      </w:r>
      <w:r w:rsidRPr="00B93493">
        <w:rPr>
          <w:i/>
          <w:iCs/>
        </w:rPr>
        <w:t>P</w:t>
      </w:r>
      <w:r w:rsidRPr="00B93493">
        <w:rPr>
          <w:i/>
          <w:iCs/>
          <w:vertAlign w:val="subscript"/>
        </w:rPr>
        <w:t>T</w:t>
      </w:r>
      <w:r w:rsidRPr="00B93493">
        <w:t>:</w:t>
      </w:r>
    </w:p>
    <w:p w14:paraId="567EB87C" w14:textId="77777777" w:rsidR="00CF04BC" w:rsidRPr="00B93493" w:rsidRDefault="00CF04BC" w:rsidP="00CF04BC">
      <w:pPr>
        <w:pStyle w:val="Blanc"/>
      </w:pPr>
    </w:p>
    <w:p w14:paraId="567860F6" w14:textId="77777777" w:rsidR="00CF04BC" w:rsidRPr="00B93493" w:rsidRDefault="00CF04BC" w:rsidP="00CF04BC">
      <w:pPr>
        <w:pStyle w:val="Equation"/>
        <w:rPr>
          <w:position w:val="-58"/>
          <w:sz w:val="20"/>
        </w:rPr>
      </w:pPr>
      <w:r w:rsidRPr="00B93493">
        <w:tab/>
      </w:r>
      <w:r w:rsidRPr="00B93493">
        <w:tab/>
      </w:r>
      <w:r w:rsidRPr="00B93493">
        <w:rPr>
          <w:position w:val="-58"/>
          <w:sz w:val="20"/>
        </w:rPr>
        <w:object w:dxaOrig="3979" w:dyaOrig="1390" w14:anchorId="7B8DF092">
          <v:shape id="_x0000_i1059" type="#_x0000_t75" style="width:197.55pt;height:69.1pt" o:ole="">
            <v:imagedata r:id="rId103" o:title=""/>
          </v:shape>
          <o:OLEObject Type="Embed" ProgID="Equation.3" ShapeID="_x0000_i1059" DrawAspect="Content" ObjectID="_1812968341" r:id="rId104"/>
        </w:object>
      </w:r>
    </w:p>
    <w:p w14:paraId="632C9721" w14:textId="77777777" w:rsidR="00CF04BC" w:rsidRPr="00B93493" w:rsidRDefault="00CF04BC" w:rsidP="00CF04BC">
      <w:pPr>
        <w:pStyle w:val="Blanc"/>
      </w:pPr>
    </w:p>
    <w:p w14:paraId="40AEBE0E" w14:textId="77777777" w:rsidR="00CF04BC" w:rsidRPr="00B93493" w:rsidRDefault="00CF04BC" w:rsidP="00CF04BC">
      <w:pPr>
        <w:pStyle w:val="enumlev1"/>
      </w:pPr>
      <w:r w:rsidRPr="00B93493">
        <w:tab/>
        <w:t xml:space="preserve">where </w:t>
      </w:r>
      <w:r w:rsidRPr="00B93493">
        <w:rPr>
          <w:i/>
          <w:iCs/>
        </w:rPr>
        <w:t>p</w:t>
      </w:r>
      <w:r w:rsidRPr="00B93493">
        <w:t>(</w:t>
      </w:r>
      <w:r w:rsidRPr="00B93493">
        <w:rPr>
          <w:rFonts w:ascii="Tms Rmn" w:hAnsi="Tms Rmn"/>
          <w:i/>
          <w:iCs/>
          <w:sz w:val="4"/>
        </w:rPr>
        <w:t> </w:t>
      </w:r>
      <w:r w:rsidRPr="00B93493">
        <w:rPr>
          <w:i/>
          <w:iCs/>
        </w:rPr>
        <w:t>N</w:t>
      </w:r>
      <w:r w:rsidRPr="00B93493">
        <w:rPr>
          <w:rFonts w:ascii="Tms Rmn" w:hAnsi="Tms Rmn"/>
          <w:i/>
          <w:iCs/>
          <w:sz w:val="4"/>
        </w:rPr>
        <w:t> </w:t>
      </w:r>
      <w:r w:rsidRPr="00B93493">
        <w:t xml:space="preserve">) is the percentage of time during which the signal/interference ratio at the mobile station receiver input falls below the protection ratio </w:t>
      </w:r>
      <w:r w:rsidRPr="00B93493">
        <w:sym w:font="Symbol" w:char="F072"/>
      </w:r>
      <w:r w:rsidRPr="00B93493">
        <w:rPr>
          <w:vertAlign w:val="subscript"/>
        </w:rPr>
        <w:t>0</w:t>
      </w:r>
      <w:r w:rsidRPr="00B93493">
        <w:t xml:space="preserve">. The values </w:t>
      </w:r>
      <w:r w:rsidRPr="00B93493">
        <w:sym w:font="Symbol" w:char="F062"/>
      </w:r>
      <w:r w:rsidRPr="00B93493">
        <w:rPr>
          <w:i/>
          <w:iCs/>
          <w:vertAlign w:val="subscript"/>
        </w:rPr>
        <w:t>e</w:t>
      </w:r>
      <w:r w:rsidRPr="00B93493">
        <w:t xml:space="preserve"> and </w:t>
      </w:r>
      <w:r w:rsidRPr="00B93493">
        <w:sym w:font="Symbol" w:char="F073"/>
      </w:r>
      <w:r w:rsidRPr="00B93493">
        <w:rPr>
          <w:i/>
          <w:iCs/>
          <w:vertAlign w:val="subscript"/>
        </w:rPr>
        <w:t>p</w:t>
      </w:r>
      <w:r w:rsidRPr="00B93493">
        <w:t xml:space="preserve"> depend on the parameters </w:t>
      </w:r>
      <w:r w:rsidRPr="00B93493">
        <w:rPr>
          <w:position w:val="-10"/>
        </w:rPr>
        <w:object w:dxaOrig="949" w:dyaOrig="391" w14:anchorId="0F52FE10">
          <v:shape id="_x0000_i1060" type="#_x0000_t75" style="width:48.95pt;height:20.15pt" o:ole="">
            <v:imagedata r:id="rId105" o:title=""/>
          </v:shape>
          <o:OLEObject Type="Embed" ProgID="Equation.3" ShapeID="_x0000_i1060" DrawAspect="Content" ObjectID="_1812968342" r:id="rId106"/>
        </w:object>
      </w:r>
      <w:r w:rsidRPr="00B93493">
        <w:t xml:space="preserve"> </w:t>
      </w:r>
      <w:r w:rsidRPr="00B93493">
        <w:sym w:font="Symbol" w:char="F073"/>
      </w:r>
      <w:r w:rsidRPr="00B93493">
        <w:t xml:space="preserve"> and </w:t>
      </w:r>
      <w:r w:rsidRPr="00B93493">
        <w:rPr>
          <w:i/>
          <w:iCs/>
        </w:rPr>
        <w:t>M</w:t>
      </w:r>
      <w:r w:rsidRPr="00B93493">
        <w:t xml:space="preserve">. The value of </w:t>
      </w:r>
      <w:r w:rsidRPr="00B93493">
        <w:rPr>
          <w:i/>
          <w:iCs/>
        </w:rPr>
        <w:t>p</w:t>
      </w:r>
      <w:r w:rsidRPr="00B93493">
        <w:t>(</w:t>
      </w:r>
      <w:r w:rsidRPr="00B93493">
        <w:rPr>
          <w:rFonts w:ascii="Tms Rmn" w:hAnsi="Tms Rmn"/>
          <w:i/>
          <w:iCs/>
          <w:sz w:val="4"/>
        </w:rPr>
        <w:t> </w:t>
      </w:r>
      <w:r w:rsidRPr="00B93493">
        <w:rPr>
          <w:i/>
          <w:iCs/>
        </w:rPr>
        <w:t>N</w:t>
      </w:r>
      <w:r w:rsidRPr="00B93493">
        <w:rPr>
          <w:rFonts w:ascii="Tms Rmn" w:hAnsi="Tms Rmn"/>
          <w:i/>
          <w:iCs/>
          <w:sz w:val="4"/>
        </w:rPr>
        <w:t> </w:t>
      </w:r>
      <w:r w:rsidRPr="00B93493">
        <w:t xml:space="preserve">) decreases as </w:t>
      </w:r>
      <w:r w:rsidRPr="00B93493">
        <w:rPr>
          <w:i/>
          <w:iCs/>
        </w:rPr>
        <w:t>N</w:t>
      </w:r>
      <w:r w:rsidRPr="00B93493">
        <w:t xml:space="preserve"> increases. For given values of </w:t>
      </w:r>
      <w:r w:rsidRPr="00B93493">
        <w:sym w:font="Symbol" w:char="F072"/>
      </w:r>
      <w:r w:rsidRPr="00B93493">
        <w:rPr>
          <w:vertAlign w:val="subscript"/>
        </w:rPr>
        <w:t>0</w:t>
      </w:r>
      <w:r w:rsidRPr="00B93493">
        <w:t xml:space="preserve">, </w:t>
      </w:r>
      <w:r w:rsidRPr="00B93493">
        <w:sym w:font="Symbol" w:char="F073"/>
      </w:r>
      <w:r w:rsidRPr="00B93493">
        <w:t xml:space="preserve"> and M = 1, 3 and 6, values of </w:t>
      </w:r>
      <w:r w:rsidRPr="00B93493">
        <w:rPr>
          <w:i/>
          <w:iCs/>
        </w:rPr>
        <w:t>p</w:t>
      </w:r>
      <w:r w:rsidRPr="00B93493">
        <w:t>(</w:t>
      </w:r>
      <w:r w:rsidRPr="00B93493">
        <w:rPr>
          <w:rFonts w:ascii="Tms Rmn" w:hAnsi="Tms Rmn"/>
          <w:i/>
          <w:iCs/>
          <w:sz w:val="4"/>
        </w:rPr>
        <w:t> </w:t>
      </w:r>
      <w:r w:rsidRPr="00B93493">
        <w:rPr>
          <w:i/>
          <w:iCs/>
        </w:rPr>
        <w:t>N</w:t>
      </w:r>
      <w:r w:rsidRPr="00B93493">
        <w:rPr>
          <w:rFonts w:ascii="Tms Rmn" w:hAnsi="Tms Rmn"/>
          <w:i/>
          <w:iCs/>
          <w:sz w:val="4"/>
        </w:rPr>
        <w:t> </w:t>
      </w:r>
      <w:r w:rsidRPr="00B93493">
        <w:t xml:space="preserve">) are calculated for a number of values of </w:t>
      </w:r>
      <w:r w:rsidRPr="00B93493">
        <w:rPr>
          <w:i/>
          <w:iCs/>
        </w:rPr>
        <w:t>N</w:t>
      </w:r>
      <w:r w:rsidRPr="00B93493">
        <w:t xml:space="preserve"> (i.e.: </w:t>
      </w:r>
      <w:r w:rsidRPr="00B93493">
        <w:rPr>
          <w:i/>
          <w:iCs/>
        </w:rPr>
        <w:t>q</w:t>
      </w:r>
      <w:r w:rsidRPr="00B93493">
        <w:rPr>
          <w:rFonts w:ascii="Tms Rmn" w:hAnsi="Tms Rmn"/>
          <w:sz w:val="4"/>
        </w:rPr>
        <w:t> </w:t>
      </w:r>
      <w:r w:rsidRPr="00B93493">
        <w:t xml:space="preserve">). The value of </w:t>
      </w:r>
      <w:r w:rsidRPr="00B93493">
        <w:rPr>
          <w:i/>
          <w:iCs/>
        </w:rPr>
        <w:t>N</w:t>
      </w:r>
      <w:r w:rsidRPr="00B93493">
        <w:t xml:space="preserve"> for which the condition </w:t>
      </w:r>
      <w:r w:rsidRPr="00B93493">
        <w:rPr>
          <w:i/>
          <w:iCs/>
        </w:rPr>
        <w:t>p</w:t>
      </w:r>
      <w:r w:rsidRPr="00B93493">
        <w:t>(</w:t>
      </w:r>
      <w:r w:rsidRPr="00B93493">
        <w:rPr>
          <w:rFonts w:ascii="Tms Rmn" w:hAnsi="Tms Rmn"/>
          <w:i/>
          <w:iCs/>
          <w:sz w:val="4"/>
        </w:rPr>
        <w:t> </w:t>
      </w:r>
      <w:r w:rsidRPr="00B93493">
        <w:rPr>
          <w:i/>
          <w:iCs/>
        </w:rPr>
        <w:t>N</w:t>
      </w:r>
      <w:r w:rsidRPr="00B93493">
        <w:rPr>
          <w:rFonts w:ascii="Tms Rmn" w:hAnsi="Tms Rmn"/>
          <w:i/>
          <w:iCs/>
          <w:sz w:val="4"/>
        </w:rPr>
        <w:t> </w:t>
      </w:r>
      <w:r w:rsidRPr="00B93493">
        <w:t>) </w:t>
      </w:r>
      <w:r w:rsidRPr="00B93493">
        <w:rPr>
          <w:rFonts w:ascii="Symbol" w:hAnsi="Symbol"/>
          <w:szCs w:val="24"/>
        </w:rPr>
        <w:sym w:font="Symbol" w:char="F0A3"/>
      </w:r>
      <w:r w:rsidRPr="00B93493">
        <w:t> </w:t>
      </w:r>
      <w:r w:rsidRPr="00B93493">
        <w:rPr>
          <w:i/>
          <w:iCs/>
        </w:rPr>
        <w:t>P</w:t>
      </w:r>
      <w:r w:rsidRPr="00B93493">
        <w:rPr>
          <w:i/>
          <w:iCs/>
          <w:vertAlign w:val="subscript"/>
        </w:rPr>
        <w:t>t</w:t>
      </w:r>
      <w:r w:rsidRPr="00B93493">
        <w:t xml:space="preserve"> is fulfilled is taken as the cluster size for the mobile network.</w:t>
      </w:r>
    </w:p>
    <w:p w14:paraId="0ABDFC9A" w14:textId="77777777" w:rsidR="00CF04BC" w:rsidRPr="00B93493" w:rsidRDefault="00CF04BC" w:rsidP="00CF04BC">
      <w:r w:rsidRPr="00B93493">
        <w:t xml:space="preserve">The parameters </w:t>
      </w:r>
      <w:r w:rsidRPr="00B93493">
        <w:sym w:font="Symbol" w:char="F062"/>
      </w:r>
      <w:r w:rsidRPr="00B93493">
        <w:rPr>
          <w:i/>
          <w:iCs/>
          <w:vertAlign w:val="subscript"/>
        </w:rPr>
        <w:t>e</w:t>
      </w:r>
      <w:r w:rsidRPr="00B93493">
        <w:t xml:space="preserve"> and </w:t>
      </w:r>
      <w:r w:rsidRPr="00B93493">
        <w:sym w:font="Symbol" w:char="F073"/>
      </w:r>
      <w:r w:rsidRPr="00B93493">
        <w:rPr>
          <w:i/>
          <w:iCs/>
          <w:vertAlign w:val="subscript"/>
        </w:rPr>
        <w:t>p</w:t>
      </w:r>
      <w:r w:rsidRPr="00B93493">
        <w:t xml:space="preserve"> used in the equation for </w:t>
      </w:r>
      <w:r w:rsidRPr="00B93493">
        <w:rPr>
          <w:i/>
          <w:iCs/>
        </w:rPr>
        <w:t>p</w:t>
      </w:r>
      <w:r w:rsidRPr="00B93493">
        <w:t>(</w:t>
      </w:r>
      <w:r w:rsidRPr="00B93493">
        <w:rPr>
          <w:rFonts w:ascii="Tms Rmn" w:hAnsi="Tms Rmn"/>
          <w:i/>
          <w:iCs/>
          <w:sz w:val="4"/>
        </w:rPr>
        <w:t> </w:t>
      </w:r>
      <w:r w:rsidRPr="00B93493">
        <w:rPr>
          <w:i/>
          <w:iCs/>
        </w:rPr>
        <w:t>N</w:t>
      </w:r>
      <w:r w:rsidRPr="00B93493">
        <w:rPr>
          <w:rFonts w:ascii="Tms Rmn" w:hAnsi="Tms Rmn"/>
          <w:i/>
          <w:iCs/>
          <w:sz w:val="4"/>
        </w:rPr>
        <w:t> </w:t>
      </w:r>
      <w:r w:rsidRPr="00B93493">
        <w:t>) are determined using the following expressions:</w:t>
      </w:r>
    </w:p>
    <w:p w14:paraId="3590476F" w14:textId="77777777" w:rsidR="00CF04BC" w:rsidRPr="00B93493" w:rsidRDefault="00CF04BC" w:rsidP="00CF04BC">
      <w:pPr>
        <w:pStyle w:val="Blanc"/>
      </w:pPr>
    </w:p>
    <w:p w14:paraId="7B113C98" w14:textId="77777777" w:rsidR="00CF04BC" w:rsidRPr="00B93493" w:rsidRDefault="00CF04BC" w:rsidP="00CF04BC">
      <w:pPr>
        <w:pStyle w:val="Equation"/>
      </w:pPr>
      <w:r w:rsidRPr="00B93493">
        <w:tab/>
      </w:r>
      <w:r w:rsidRPr="00B93493">
        <w:tab/>
      </w:r>
      <w:r w:rsidRPr="00B93493">
        <w:rPr>
          <w:position w:val="-12"/>
        </w:rPr>
        <w:object w:dxaOrig="1457" w:dyaOrig="416" w14:anchorId="7DE96A60">
          <v:shape id="_x0000_i1061" type="#_x0000_t75" style="width:75.45pt;height:22.45pt" o:ole="">
            <v:imagedata r:id="rId107" o:title=""/>
          </v:shape>
          <o:OLEObject Type="Embed" ProgID="Equation.3" ShapeID="_x0000_i1061" DrawAspect="Content" ObjectID="_1812968343" r:id="rId108"/>
        </w:object>
      </w:r>
    </w:p>
    <w:p w14:paraId="5F4E9A2A" w14:textId="77777777" w:rsidR="00CF04BC" w:rsidRPr="00B93493" w:rsidRDefault="00CF04BC" w:rsidP="00CF04BC">
      <w:pPr>
        <w:pStyle w:val="Equation"/>
      </w:pPr>
      <w:r w:rsidRPr="00B93493">
        <w:tab/>
      </w:r>
      <w:r w:rsidRPr="00B93493">
        <w:tab/>
      </w:r>
      <w:r w:rsidRPr="00B93493">
        <w:rPr>
          <w:position w:val="-84"/>
          <w:sz w:val="20"/>
        </w:rPr>
        <w:object w:dxaOrig="4237" w:dyaOrig="1831" w14:anchorId="7EA2D869">
          <v:shape id="_x0000_i1062" type="#_x0000_t75" style="width:213.1pt;height:92.15pt" o:ole="">
            <v:imagedata r:id="rId109" o:title=""/>
          </v:shape>
          <o:OLEObject Type="Embed" ProgID="Equation.3" ShapeID="_x0000_i1062" DrawAspect="Content" ObjectID="_1812968344" r:id="rId110"/>
        </w:object>
      </w:r>
    </w:p>
    <w:p w14:paraId="0BB522B4" w14:textId="77777777" w:rsidR="00CF04BC" w:rsidRPr="00B93493" w:rsidRDefault="00CF04BC" w:rsidP="00CF04BC">
      <w:pPr>
        <w:pStyle w:val="Equation"/>
      </w:pPr>
      <w:r w:rsidRPr="00B93493">
        <w:tab/>
      </w:r>
      <w:r w:rsidRPr="00B93493">
        <w:tab/>
      </w:r>
      <w:r w:rsidRPr="00B93493">
        <w:rPr>
          <w:position w:val="-36"/>
          <w:sz w:val="20"/>
        </w:rPr>
        <w:object w:dxaOrig="3146" w:dyaOrig="782" w14:anchorId="485537F1">
          <v:shape id="_x0000_i1063" type="#_x0000_t75" style="width:157.8pt;height:38.6pt" o:ole="">
            <v:imagedata r:id="rId111" o:title=""/>
          </v:shape>
          <o:OLEObject Type="Embed" ProgID="Equation.3" ShapeID="_x0000_i1063" DrawAspect="Content" ObjectID="_1812968345" r:id="rId112"/>
        </w:object>
      </w:r>
    </w:p>
    <w:p w14:paraId="3F0118D9" w14:textId="77777777" w:rsidR="00CF04BC" w:rsidRPr="00B93493" w:rsidRDefault="00CF04BC" w:rsidP="00CF04BC">
      <w:pPr>
        <w:pStyle w:val="Blanc"/>
        <w:keepNext w:val="0"/>
        <w:keepLines w:val="0"/>
      </w:pPr>
    </w:p>
    <w:p w14:paraId="28232549" w14:textId="77777777" w:rsidR="00CF04BC" w:rsidRPr="00B93493" w:rsidRDefault="00CF04BC" w:rsidP="00CF04BC">
      <w:pPr>
        <w:keepNext/>
        <w:keepLines/>
      </w:pPr>
      <w:r w:rsidRPr="00B93493">
        <w:t xml:space="preserve">Here, </w:t>
      </w:r>
      <w:r w:rsidRPr="00B93493">
        <w:sym w:font="Symbol" w:char="F06C"/>
      </w:r>
      <w:r w:rsidRPr="00B93493">
        <w:t xml:space="preserve"> = (0,1 ln(10)) and the values </w:t>
      </w:r>
      <w:r w:rsidRPr="00B93493">
        <w:sym w:font="Symbol" w:char="F06C"/>
      </w:r>
      <w:r w:rsidRPr="00B93493">
        <w:t xml:space="preserve"> and </w:t>
      </w:r>
      <w:r w:rsidRPr="00B93493">
        <w:sym w:font="Symbol" w:char="F062"/>
      </w:r>
      <w:r w:rsidRPr="00B93493">
        <w:rPr>
          <w:i/>
          <w:iCs/>
          <w:vertAlign w:val="subscript"/>
        </w:rPr>
        <w:t>i</w:t>
      </w:r>
      <w:r w:rsidRPr="00B93493">
        <w:t xml:space="preserve"> depend on </w:t>
      </w:r>
      <w:r w:rsidRPr="00B93493">
        <w:rPr>
          <w:i/>
          <w:iCs/>
        </w:rPr>
        <w:t>M</w:t>
      </w:r>
      <w:r w:rsidRPr="00B93493">
        <w:t xml:space="preserve"> and may be found using the following formulae:</w:t>
      </w:r>
    </w:p>
    <w:p w14:paraId="675A1CF0" w14:textId="77777777" w:rsidR="00CF04BC" w:rsidRPr="00B93493" w:rsidRDefault="00CF04BC" w:rsidP="00CF04BC">
      <w:pPr>
        <w:pStyle w:val="Blanc"/>
      </w:pPr>
    </w:p>
    <w:p w14:paraId="0714FE9B" w14:textId="77777777" w:rsidR="00CF04BC" w:rsidRPr="00B93493" w:rsidRDefault="00CF04BC" w:rsidP="00CF04BC">
      <w:pPr>
        <w:pStyle w:val="Equation"/>
      </w:pPr>
      <w:r w:rsidRPr="00B93493">
        <w:tab/>
      </w:r>
      <w:r w:rsidRPr="00B93493">
        <w:rPr>
          <w:position w:val="-60"/>
          <w:sz w:val="20"/>
        </w:rPr>
        <w:object w:dxaOrig="7908" w:dyaOrig="1323" w14:anchorId="085005E0">
          <v:shape id="_x0000_i1064" type="#_x0000_t75" style="width:396.3pt;height:67.4pt" o:ole="">
            <v:imagedata r:id="rId113" o:title=""/>
          </v:shape>
          <o:OLEObject Type="Embed" ProgID="Equation.3" ShapeID="_x0000_i1064" DrawAspect="Content" ObjectID="_1812968346" r:id="rId114"/>
        </w:object>
      </w:r>
    </w:p>
    <w:p w14:paraId="4B782480" w14:textId="77777777" w:rsidR="00CF04BC" w:rsidRPr="00B93493" w:rsidRDefault="00CF04BC" w:rsidP="00CF04BC">
      <w:pPr>
        <w:pStyle w:val="enumlev1"/>
      </w:pPr>
      <w:r w:rsidRPr="00B93493">
        <w:tab/>
        <w:t>where:</w:t>
      </w:r>
    </w:p>
    <w:p w14:paraId="5B1D1213" w14:textId="77777777" w:rsidR="00CF04BC" w:rsidRPr="00B93493" w:rsidRDefault="00CF04BC" w:rsidP="00CF04BC">
      <w:pPr>
        <w:pStyle w:val="Blanc"/>
      </w:pPr>
    </w:p>
    <w:p w14:paraId="054B3900" w14:textId="77777777" w:rsidR="00CF04BC" w:rsidRPr="00B93493" w:rsidRDefault="00CF04BC" w:rsidP="00CF04BC">
      <w:pPr>
        <w:pStyle w:val="Equation"/>
      </w:pPr>
      <w:r w:rsidRPr="00B93493">
        <w:tab/>
      </w:r>
      <w:r w:rsidRPr="00B93493">
        <w:tab/>
      </w:r>
      <w:r w:rsidRPr="00B93493">
        <w:rPr>
          <w:position w:val="-10"/>
        </w:rPr>
        <w:object w:dxaOrig="1049" w:dyaOrig="391" w14:anchorId="00FE1661">
          <v:shape id="_x0000_i1065" type="#_x0000_t75" style="width:51.85pt;height:20.15pt" o:ole="">
            <v:imagedata r:id="rId115" o:title=""/>
          </v:shape>
          <o:OLEObject Type="Embed" ProgID="Equation.3" ShapeID="_x0000_i1065" DrawAspect="Content" ObjectID="_1812968347" r:id="rId116"/>
        </w:object>
      </w:r>
    </w:p>
    <w:p w14:paraId="31D65D2A" w14:textId="77777777" w:rsidR="00CF04BC" w:rsidRPr="00B93493" w:rsidRDefault="00CF04BC" w:rsidP="00CF04BC">
      <w:pPr>
        <w:pStyle w:val="Blanc"/>
      </w:pPr>
    </w:p>
    <w:p w14:paraId="07C0D586" w14:textId="77777777" w:rsidR="00CF04BC" w:rsidRPr="00B93493" w:rsidRDefault="00CF04BC" w:rsidP="00CF04BC">
      <w:pPr>
        <w:pStyle w:val="enumlev1"/>
      </w:pPr>
      <w:r w:rsidRPr="00B93493">
        <w:t>–</w:t>
      </w:r>
      <w:r w:rsidRPr="00B93493">
        <w:tab/>
        <w:t xml:space="preserve">Number of frequency, </w:t>
      </w:r>
      <w:r w:rsidRPr="00B93493">
        <w:rPr>
          <w:i/>
          <w:iCs/>
        </w:rPr>
        <w:t>n</w:t>
      </w:r>
      <w:r w:rsidRPr="00B93493">
        <w:rPr>
          <w:i/>
          <w:iCs/>
          <w:vertAlign w:val="subscript"/>
        </w:rPr>
        <w:t>s</w:t>
      </w:r>
      <w:r w:rsidRPr="00B93493">
        <w:t xml:space="preserve">, and telephone, </w:t>
      </w:r>
      <w:r w:rsidRPr="00B93493">
        <w:rPr>
          <w:i/>
          <w:iCs/>
        </w:rPr>
        <w:t>n</w:t>
      </w:r>
      <w:r w:rsidRPr="00B93493">
        <w:rPr>
          <w:i/>
          <w:iCs/>
          <w:vertAlign w:val="subscript"/>
        </w:rPr>
        <w:t>c</w:t>
      </w:r>
      <w:r w:rsidRPr="00B93493">
        <w:t>, channels used to serve subscribers in one sector of one cell:</w:t>
      </w:r>
    </w:p>
    <w:p w14:paraId="0BCC312D" w14:textId="77777777" w:rsidR="00CF04BC" w:rsidRPr="00B93493" w:rsidRDefault="00CF04BC" w:rsidP="00CF04BC">
      <w:pPr>
        <w:pStyle w:val="Blanc"/>
      </w:pPr>
    </w:p>
    <w:p w14:paraId="3387475E" w14:textId="77777777" w:rsidR="00CF04BC" w:rsidRPr="00B93493" w:rsidRDefault="00CF04BC" w:rsidP="00CF04BC">
      <w:pPr>
        <w:pStyle w:val="Equation"/>
      </w:pPr>
      <w:r w:rsidRPr="00B93493">
        <w:tab/>
      </w:r>
      <w:r w:rsidRPr="00B93493">
        <w:tab/>
      </w:r>
      <w:r w:rsidRPr="00B93493">
        <w:rPr>
          <w:position w:val="-12"/>
        </w:rPr>
        <w:object w:dxaOrig="1856" w:dyaOrig="391" w14:anchorId="2EAD3CF7">
          <v:shape id="_x0000_i1066" type="#_x0000_t75" style="width:91.6pt;height:20.15pt" o:ole="">
            <v:imagedata r:id="rId117" o:title=""/>
          </v:shape>
          <o:OLEObject Type="Embed" ProgID="Equation.3" ShapeID="_x0000_i1066" DrawAspect="Content" ObjectID="_1812968348" r:id="rId118"/>
        </w:object>
      </w:r>
    </w:p>
    <w:p w14:paraId="67C9A794" w14:textId="77777777" w:rsidR="00CF04BC" w:rsidRPr="00B93493" w:rsidRDefault="00CF04BC" w:rsidP="00CF04BC">
      <w:pPr>
        <w:pStyle w:val="Equation"/>
      </w:pPr>
      <w:r w:rsidRPr="00B93493">
        <w:tab/>
      </w:r>
      <w:r w:rsidRPr="00B93493">
        <w:tab/>
      </w:r>
      <w:r w:rsidRPr="00B93493">
        <w:rPr>
          <w:position w:val="-12"/>
        </w:rPr>
        <w:object w:dxaOrig="1249" w:dyaOrig="391" w14:anchorId="47088C46">
          <v:shape id="_x0000_i1067" type="#_x0000_t75" style="width:63.35pt;height:20.15pt" o:ole="">
            <v:imagedata r:id="rId119" o:title=""/>
          </v:shape>
          <o:OLEObject Type="Embed" ProgID="Equation.3" ShapeID="_x0000_i1067" DrawAspect="Content" ObjectID="_1812968349" r:id="rId120"/>
        </w:object>
      </w:r>
    </w:p>
    <w:p w14:paraId="3E2ECF14" w14:textId="77777777" w:rsidR="00CF04BC" w:rsidRPr="00B93493" w:rsidRDefault="00CF04BC" w:rsidP="00CF04BC">
      <w:pPr>
        <w:pStyle w:val="Blanc"/>
      </w:pPr>
    </w:p>
    <w:p w14:paraId="24CB04D7" w14:textId="77777777" w:rsidR="00CF04BC" w:rsidRPr="00B93493" w:rsidRDefault="00CF04BC" w:rsidP="00CF04BC">
      <w:pPr>
        <w:pStyle w:val="enumlev1"/>
      </w:pPr>
      <w:r w:rsidRPr="00B93493">
        <w:t>–</w:t>
      </w:r>
      <w:r w:rsidRPr="00B93493">
        <w:tab/>
        <w:t>Admissible telephone traffic in one sector of one cell (E):</w:t>
      </w:r>
    </w:p>
    <w:p w14:paraId="1B856607" w14:textId="77777777" w:rsidR="00CF04BC" w:rsidRPr="00B93493" w:rsidRDefault="00CF04BC" w:rsidP="00CF04BC">
      <w:pPr>
        <w:pStyle w:val="Blanc"/>
      </w:pPr>
    </w:p>
    <w:p w14:paraId="67A7DDAD" w14:textId="77777777" w:rsidR="00CF04BC" w:rsidRPr="00B93493" w:rsidRDefault="00CF04BC" w:rsidP="00CF04BC">
      <w:pPr>
        <w:pStyle w:val="Equation"/>
      </w:pPr>
      <w:r w:rsidRPr="00B93493">
        <w:tab/>
      </w:r>
      <w:r w:rsidRPr="00B93493">
        <w:tab/>
      </w:r>
      <w:r w:rsidRPr="00B93493">
        <w:rPr>
          <w:position w:val="-52"/>
          <w:sz w:val="20"/>
        </w:rPr>
        <w:object w:dxaOrig="7058" w:dyaOrig="1174" w14:anchorId="2DFA35C8">
          <v:shape id="_x0000_i1068" type="#_x0000_t75" style="width:354.25pt;height:59.9pt" o:ole="">
            <v:imagedata r:id="rId121" o:title=""/>
          </v:shape>
          <o:OLEObject Type="Embed" ProgID="Equation.3" ShapeID="_x0000_i1068" DrawAspect="Content" ObjectID="_1812968350" r:id="rId122"/>
        </w:object>
      </w:r>
    </w:p>
    <w:p w14:paraId="2DF02C76" w14:textId="77777777" w:rsidR="00CF04BC" w:rsidRPr="00B93493" w:rsidRDefault="00CF04BC" w:rsidP="00CF04BC">
      <w:pPr>
        <w:pStyle w:val="Blanc"/>
      </w:pPr>
    </w:p>
    <w:p w14:paraId="71E672F2" w14:textId="77777777" w:rsidR="00CF04BC" w:rsidRPr="00B93493" w:rsidRDefault="00CF04BC" w:rsidP="00CF04BC">
      <w:pPr>
        <w:pStyle w:val="enumlev1"/>
      </w:pPr>
      <w:r w:rsidRPr="00B93493">
        <w:t>–</w:t>
      </w:r>
      <w:r w:rsidRPr="00B93493">
        <w:tab/>
        <w:t>Number of subscribers served by one BS for a given value of blocking probability:</w:t>
      </w:r>
    </w:p>
    <w:p w14:paraId="30D4A414" w14:textId="77777777" w:rsidR="00CF04BC" w:rsidRPr="00B93493" w:rsidRDefault="00CF04BC" w:rsidP="00CF04BC">
      <w:pPr>
        <w:pStyle w:val="Blanc"/>
      </w:pPr>
    </w:p>
    <w:p w14:paraId="68A757F9" w14:textId="77777777" w:rsidR="00CF04BC" w:rsidRPr="00B93493" w:rsidRDefault="00CF04BC" w:rsidP="00CF04BC">
      <w:pPr>
        <w:pStyle w:val="Equation"/>
      </w:pPr>
      <w:r w:rsidRPr="00B93493">
        <w:tab/>
      </w:r>
      <w:r w:rsidRPr="00B93493">
        <w:tab/>
      </w:r>
      <w:r w:rsidRPr="00B93493">
        <w:rPr>
          <w:position w:val="-12"/>
        </w:rPr>
        <w:object w:dxaOrig="2123" w:dyaOrig="391" w14:anchorId="72EDFB71">
          <v:shape id="_x0000_i1069" type="#_x0000_t75" style="width:95.05pt;height:17.85pt" o:ole="">
            <v:imagedata r:id="rId123" o:title=""/>
          </v:shape>
          <o:OLEObject Type="Embed" ProgID="Equation.3" ShapeID="_x0000_i1069" DrawAspect="Content" ObjectID="_1812968351" r:id="rId124"/>
        </w:object>
      </w:r>
    </w:p>
    <w:p w14:paraId="76E6DAF3" w14:textId="77777777" w:rsidR="00CF04BC" w:rsidRPr="00B93493" w:rsidRDefault="00CF04BC" w:rsidP="00CF04BC">
      <w:pPr>
        <w:pStyle w:val="Blanc"/>
      </w:pPr>
    </w:p>
    <w:p w14:paraId="116A80E9" w14:textId="77777777" w:rsidR="00CF04BC" w:rsidRPr="00B93493" w:rsidRDefault="00CF04BC" w:rsidP="00CF04BC">
      <w:pPr>
        <w:pStyle w:val="enumlev1"/>
      </w:pPr>
      <w:r w:rsidRPr="00B93493">
        <w:t>–</w:t>
      </w:r>
      <w:r w:rsidRPr="00B93493">
        <w:tab/>
        <w:t>The number of BS in the cellular network is determined as follows:</w:t>
      </w:r>
    </w:p>
    <w:p w14:paraId="3DE01C06" w14:textId="77777777" w:rsidR="00CF04BC" w:rsidRPr="00B93493" w:rsidRDefault="00CF04BC" w:rsidP="00CF04BC">
      <w:pPr>
        <w:pStyle w:val="Blanc"/>
      </w:pPr>
    </w:p>
    <w:p w14:paraId="599FE08E" w14:textId="77777777" w:rsidR="00CF04BC" w:rsidRPr="00B93493" w:rsidRDefault="00CF04BC" w:rsidP="00CF04BC">
      <w:pPr>
        <w:pStyle w:val="Equation"/>
      </w:pPr>
      <w:r w:rsidRPr="00B93493">
        <w:tab/>
      </w:r>
      <w:r w:rsidRPr="00B93493">
        <w:tab/>
      </w:r>
      <w:r w:rsidRPr="00B93493">
        <w:rPr>
          <w:position w:val="-12"/>
        </w:rPr>
        <w:object w:dxaOrig="2222" w:dyaOrig="391" w14:anchorId="2ED40A53">
          <v:shape id="_x0000_i1070" type="#_x0000_t75" style="width:110.6pt;height:20.15pt" o:ole="">
            <v:imagedata r:id="rId125" o:title=""/>
          </v:shape>
          <o:OLEObject Type="Embed" ProgID="Equation.3" ShapeID="_x0000_i1070" DrawAspect="Content" ObjectID="_1812968352" r:id="rId126"/>
        </w:object>
      </w:r>
    </w:p>
    <w:p w14:paraId="65768146" w14:textId="77777777" w:rsidR="00CF04BC" w:rsidRPr="00B93493" w:rsidRDefault="00CF04BC" w:rsidP="00CF04BC">
      <w:r w:rsidRPr="00B93493">
        <w:t>Thus, the proposed method enables the calculation of the required number of base stations and number of channels for a given network’s performance parameters and a given projected number of subscribers.</w:t>
      </w:r>
    </w:p>
    <w:p w14:paraId="0E4A4488" w14:textId="77777777" w:rsidR="00CF04BC" w:rsidRPr="00B93493" w:rsidRDefault="00CF04BC" w:rsidP="00CF04BC">
      <w:pPr>
        <w:pStyle w:val="enumlev1"/>
      </w:pPr>
      <w:r w:rsidRPr="00B93493">
        <w:t>b)</w:t>
      </w:r>
      <w:r w:rsidRPr="00B93493">
        <w:tab/>
      </w:r>
      <w:r w:rsidRPr="00B93493">
        <w:rPr>
          <w:i/>
          <w:iCs/>
        </w:rPr>
        <w:t>Determination of expenditures for establishment of a mobile network</w:t>
      </w:r>
    </w:p>
    <w:p w14:paraId="5233D0AC" w14:textId="77777777" w:rsidR="00CF04BC" w:rsidRPr="00B93493" w:rsidRDefault="00CF04BC" w:rsidP="00CF04BC">
      <w:r w:rsidRPr="00B93493">
        <w:t>The basic data in the second group are shown in Table </w:t>
      </w:r>
      <w:r>
        <w:rPr>
          <w:rFonts w:hint="eastAsia"/>
          <w:lang w:eastAsia="zh-CN"/>
        </w:rPr>
        <w:t>22</w:t>
      </w:r>
      <w:r w:rsidRPr="00B93493">
        <w:t>.</w:t>
      </w:r>
    </w:p>
    <w:p w14:paraId="28D94A53" w14:textId="77777777" w:rsidR="00CF04BC" w:rsidRPr="00B93493" w:rsidRDefault="00CF04BC" w:rsidP="00CF04BC">
      <w:pPr>
        <w:pStyle w:val="TableNo"/>
        <w:rPr>
          <w:lang w:eastAsia="zh-CN"/>
        </w:rPr>
      </w:pPr>
      <w:r w:rsidRPr="00B93493">
        <w:t>TABLE 2</w:t>
      </w:r>
      <w:r>
        <w:rPr>
          <w:rFonts w:hint="eastAsia"/>
          <w:lang w:eastAsia="zh-CN"/>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4536"/>
        <w:gridCol w:w="3969"/>
      </w:tblGrid>
      <w:tr w:rsidR="00CF04BC" w:rsidRPr="00B93493" w14:paraId="53FA1480" w14:textId="77777777" w:rsidTr="002E7F54">
        <w:trPr>
          <w:jc w:val="center"/>
        </w:trPr>
        <w:tc>
          <w:tcPr>
            <w:tcW w:w="1134" w:type="dxa"/>
          </w:tcPr>
          <w:p w14:paraId="330524F3" w14:textId="77777777" w:rsidR="00CF04BC" w:rsidRPr="00B93493" w:rsidRDefault="00CF04BC" w:rsidP="002E7F54">
            <w:pPr>
              <w:pStyle w:val="Tablehead"/>
            </w:pPr>
            <w:r w:rsidRPr="00B93493">
              <w:t>Symbol</w:t>
            </w:r>
          </w:p>
        </w:tc>
        <w:tc>
          <w:tcPr>
            <w:tcW w:w="4536" w:type="dxa"/>
          </w:tcPr>
          <w:p w14:paraId="67674D1A" w14:textId="77777777" w:rsidR="00CF04BC" w:rsidRPr="00B93493" w:rsidRDefault="00CF04BC" w:rsidP="002E7F54">
            <w:pPr>
              <w:pStyle w:val="Tablehead"/>
            </w:pPr>
            <w:r w:rsidRPr="00B93493">
              <w:t>Parameter</w:t>
            </w:r>
          </w:p>
        </w:tc>
        <w:tc>
          <w:tcPr>
            <w:tcW w:w="3969" w:type="dxa"/>
          </w:tcPr>
          <w:p w14:paraId="0105BB96" w14:textId="77777777" w:rsidR="00CF04BC" w:rsidRPr="00B93493" w:rsidRDefault="00CF04BC" w:rsidP="002E7F54">
            <w:pPr>
              <w:pStyle w:val="Tablehead"/>
            </w:pPr>
            <w:r w:rsidRPr="00B93493">
              <w:t>Calculation value</w:t>
            </w:r>
          </w:p>
        </w:tc>
      </w:tr>
      <w:tr w:rsidR="00CF04BC" w:rsidRPr="00B93493" w14:paraId="2743F5BE" w14:textId="77777777" w:rsidTr="002E7F54">
        <w:trPr>
          <w:jc w:val="center"/>
        </w:trPr>
        <w:tc>
          <w:tcPr>
            <w:tcW w:w="1134" w:type="dxa"/>
          </w:tcPr>
          <w:p w14:paraId="3BF15662" w14:textId="77777777" w:rsidR="00CF04BC" w:rsidRPr="00B93493" w:rsidRDefault="00CF04BC" w:rsidP="002E7F54">
            <w:pPr>
              <w:pStyle w:val="Tabletext"/>
              <w:keepNext/>
              <w:keepLines/>
              <w:jc w:val="center"/>
              <w:rPr>
                <w:i/>
                <w:iCs/>
              </w:rPr>
            </w:pPr>
            <w:r w:rsidRPr="00B93493">
              <w:rPr>
                <w:i/>
                <w:iCs/>
              </w:rPr>
              <w:t>K</w:t>
            </w:r>
            <w:r w:rsidRPr="00B93493">
              <w:rPr>
                <w:i/>
                <w:iCs/>
                <w:vertAlign w:val="subscript"/>
              </w:rPr>
              <w:t>h</w:t>
            </w:r>
          </w:p>
        </w:tc>
        <w:tc>
          <w:tcPr>
            <w:tcW w:w="4536" w:type="dxa"/>
          </w:tcPr>
          <w:p w14:paraId="348BB16A" w14:textId="77777777" w:rsidR="00CF04BC" w:rsidRPr="00B93493" w:rsidRDefault="00CF04BC" w:rsidP="004454B6">
            <w:pPr>
              <w:pStyle w:val="Tabletext"/>
              <w:keepNext/>
              <w:keepLines/>
              <w:jc w:val="left"/>
            </w:pPr>
            <w:r w:rsidRPr="00B93493">
              <w:t>Average hourly rate of an installer</w:t>
            </w:r>
          </w:p>
        </w:tc>
        <w:tc>
          <w:tcPr>
            <w:tcW w:w="3969" w:type="dxa"/>
          </w:tcPr>
          <w:p w14:paraId="6E21F1BE" w14:textId="77777777" w:rsidR="00CF04BC" w:rsidRPr="00B93493" w:rsidRDefault="00CF04BC" w:rsidP="004454B6">
            <w:pPr>
              <w:pStyle w:val="Tabletext"/>
              <w:keepNext/>
              <w:keepLines/>
              <w:jc w:val="left"/>
            </w:pPr>
            <w:r w:rsidRPr="00B93493">
              <w:t>3 (USD/h)</w:t>
            </w:r>
          </w:p>
        </w:tc>
      </w:tr>
      <w:tr w:rsidR="00CF04BC" w:rsidRPr="00B93493" w14:paraId="32B7B4D1" w14:textId="77777777" w:rsidTr="002E7F54">
        <w:trPr>
          <w:jc w:val="center"/>
        </w:trPr>
        <w:tc>
          <w:tcPr>
            <w:tcW w:w="1134" w:type="dxa"/>
          </w:tcPr>
          <w:p w14:paraId="75374D44" w14:textId="77777777" w:rsidR="00CF04BC" w:rsidRPr="00B93493" w:rsidRDefault="00CF04BC" w:rsidP="002E7F54">
            <w:pPr>
              <w:pStyle w:val="Tabletext"/>
              <w:keepNext/>
              <w:keepLines/>
              <w:jc w:val="center"/>
            </w:pPr>
            <w:r w:rsidRPr="00B93493">
              <w:rPr>
                <w:i/>
                <w:iCs/>
              </w:rPr>
              <w:t>K</w:t>
            </w:r>
            <w:r w:rsidRPr="00B93493">
              <w:rPr>
                <w:i/>
                <w:iCs/>
                <w:vertAlign w:val="subscript"/>
              </w:rPr>
              <w:t>BS</w:t>
            </w:r>
          </w:p>
        </w:tc>
        <w:tc>
          <w:tcPr>
            <w:tcW w:w="4536" w:type="dxa"/>
          </w:tcPr>
          <w:p w14:paraId="659C2256" w14:textId="77777777" w:rsidR="00CF04BC" w:rsidRPr="00B93493" w:rsidRDefault="00CF04BC" w:rsidP="004454B6">
            <w:pPr>
              <w:pStyle w:val="Tabletext"/>
              <w:keepNext/>
              <w:keepLines/>
              <w:jc w:val="left"/>
            </w:pPr>
            <w:r w:rsidRPr="00B93493">
              <w:t>Price of a typical single-channel BS installation</w:t>
            </w:r>
          </w:p>
        </w:tc>
        <w:tc>
          <w:tcPr>
            <w:tcW w:w="3969" w:type="dxa"/>
          </w:tcPr>
          <w:p w14:paraId="31DE282B" w14:textId="77777777" w:rsidR="00CF04BC" w:rsidRPr="00B93493" w:rsidRDefault="00CF04BC" w:rsidP="004454B6">
            <w:pPr>
              <w:pStyle w:val="Tabletext"/>
              <w:keepNext/>
              <w:keepLines/>
              <w:jc w:val="left"/>
            </w:pPr>
            <w:r w:rsidRPr="00B93493">
              <w:t>USD 230</w:t>
            </w:r>
            <w:r w:rsidRPr="00B93493">
              <w:rPr>
                <w:rFonts w:ascii="Tms Rmn" w:hAnsi="Tms Rmn"/>
              </w:rPr>
              <w:t> </w:t>
            </w:r>
            <w:r w:rsidRPr="00B93493">
              <w:t>000</w:t>
            </w:r>
          </w:p>
        </w:tc>
      </w:tr>
      <w:tr w:rsidR="00CF04BC" w:rsidRPr="00B93493" w14:paraId="2144561E" w14:textId="77777777" w:rsidTr="002E7F54">
        <w:trPr>
          <w:jc w:val="center"/>
        </w:trPr>
        <w:tc>
          <w:tcPr>
            <w:tcW w:w="1134" w:type="dxa"/>
          </w:tcPr>
          <w:p w14:paraId="4CA07C6F" w14:textId="77777777" w:rsidR="00CF04BC" w:rsidRPr="00B93493" w:rsidRDefault="00CF04BC" w:rsidP="002E7F54">
            <w:pPr>
              <w:pStyle w:val="Tabletext"/>
              <w:keepNext/>
              <w:keepLines/>
              <w:jc w:val="center"/>
            </w:pPr>
            <w:r w:rsidRPr="00B93493">
              <w:rPr>
                <w:i/>
                <w:iCs/>
              </w:rPr>
              <w:t>K</w:t>
            </w:r>
            <w:r w:rsidRPr="00B93493">
              <w:rPr>
                <w:i/>
                <w:iCs/>
                <w:vertAlign w:val="subscript"/>
              </w:rPr>
              <w:t>E</w:t>
            </w:r>
          </w:p>
        </w:tc>
        <w:tc>
          <w:tcPr>
            <w:tcW w:w="4536" w:type="dxa"/>
          </w:tcPr>
          <w:p w14:paraId="43D2853E" w14:textId="77777777" w:rsidR="00CF04BC" w:rsidRPr="00B93493" w:rsidRDefault="00CF04BC" w:rsidP="004454B6">
            <w:pPr>
              <w:pStyle w:val="Tabletext"/>
              <w:keepNext/>
              <w:keepLines/>
              <w:jc w:val="left"/>
            </w:pPr>
            <w:r w:rsidRPr="00B93493">
              <w:t>Cost of one receiving/transmitting unit</w:t>
            </w:r>
          </w:p>
        </w:tc>
        <w:tc>
          <w:tcPr>
            <w:tcW w:w="3969" w:type="dxa"/>
          </w:tcPr>
          <w:p w14:paraId="7E4E69F8" w14:textId="77777777" w:rsidR="00CF04BC" w:rsidRPr="00B93493" w:rsidRDefault="00CF04BC" w:rsidP="004454B6">
            <w:pPr>
              <w:pStyle w:val="Tabletext"/>
              <w:keepNext/>
              <w:keepLines/>
              <w:jc w:val="left"/>
            </w:pPr>
            <w:r w:rsidRPr="00B93493">
              <w:t>USD 11</w:t>
            </w:r>
            <w:r w:rsidRPr="00B93493">
              <w:rPr>
                <w:rFonts w:ascii="Tms Rmn" w:hAnsi="Tms Rmn"/>
              </w:rPr>
              <w:t> </w:t>
            </w:r>
            <w:r w:rsidRPr="00B93493">
              <w:t>000</w:t>
            </w:r>
          </w:p>
        </w:tc>
      </w:tr>
      <w:tr w:rsidR="00CF04BC" w:rsidRPr="00B93493" w14:paraId="0179CCC0" w14:textId="77777777" w:rsidTr="002E7F54">
        <w:trPr>
          <w:jc w:val="center"/>
        </w:trPr>
        <w:tc>
          <w:tcPr>
            <w:tcW w:w="1134" w:type="dxa"/>
          </w:tcPr>
          <w:p w14:paraId="55A87CA9" w14:textId="77777777" w:rsidR="00CF04BC" w:rsidRPr="00B93493" w:rsidRDefault="00CF04BC" w:rsidP="002E7F54">
            <w:pPr>
              <w:pStyle w:val="Tabletext"/>
              <w:keepNext/>
              <w:keepLines/>
              <w:jc w:val="center"/>
            </w:pPr>
            <w:r w:rsidRPr="00B93493">
              <w:br/>
            </w:r>
          </w:p>
          <w:p w14:paraId="3BC34F57" w14:textId="77777777" w:rsidR="00CF04BC" w:rsidRPr="00B93493" w:rsidRDefault="00CF04BC" w:rsidP="002E7F54">
            <w:pPr>
              <w:pStyle w:val="Tabletext"/>
              <w:keepNext/>
              <w:keepLines/>
              <w:jc w:val="center"/>
            </w:pPr>
            <w:r w:rsidRPr="00B93493">
              <w:rPr>
                <w:i/>
                <w:iCs/>
              </w:rPr>
              <w:t>A</w:t>
            </w:r>
            <w:r w:rsidRPr="00B93493">
              <w:rPr>
                <w:vertAlign w:val="subscript"/>
              </w:rPr>
              <w:t>1</w:t>
            </w:r>
          </w:p>
          <w:p w14:paraId="4EC77E51" w14:textId="77777777" w:rsidR="00CF04BC" w:rsidRPr="00B93493" w:rsidRDefault="00CF04BC" w:rsidP="002E7F54">
            <w:pPr>
              <w:pStyle w:val="Tabletext"/>
              <w:keepNext/>
              <w:keepLines/>
              <w:jc w:val="center"/>
            </w:pPr>
            <w:r w:rsidRPr="00B93493">
              <w:rPr>
                <w:i/>
                <w:iCs/>
              </w:rPr>
              <w:t>A</w:t>
            </w:r>
            <w:r w:rsidRPr="00B93493">
              <w:rPr>
                <w:vertAlign w:val="subscript"/>
              </w:rPr>
              <w:t>2</w:t>
            </w:r>
          </w:p>
        </w:tc>
        <w:tc>
          <w:tcPr>
            <w:tcW w:w="4536" w:type="dxa"/>
          </w:tcPr>
          <w:p w14:paraId="5645CEBA" w14:textId="77777777" w:rsidR="00CF04BC" w:rsidRPr="00B93493" w:rsidRDefault="00CF04BC" w:rsidP="004454B6">
            <w:pPr>
              <w:pStyle w:val="Tabletext"/>
              <w:keepNext/>
              <w:keepLines/>
              <w:jc w:val="left"/>
            </w:pPr>
            <w:r w:rsidRPr="00B93493">
              <w:t>Fixed portion of cost of connection links, independent of link length</w:t>
            </w:r>
          </w:p>
        </w:tc>
        <w:tc>
          <w:tcPr>
            <w:tcW w:w="3969" w:type="dxa"/>
          </w:tcPr>
          <w:p w14:paraId="4F18A596" w14:textId="77777777" w:rsidR="00CF04BC" w:rsidRPr="00B93493" w:rsidRDefault="00CF04BC" w:rsidP="004454B6">
            <w:pPr>
              <w:pStyle w:val="Tabletext"/>
              <w:keepNext/>
              <w:keepLines/>
              <w:jc w:val="left"/>
            </w:pPr>
            <w:r w:rsidRPr="00B93493">
              <w:t>For digital radio-relay</w:t>
            </w:r>
            <w:r w:rsidRPr="00B93493">
              <w:br/>
            </w:r>
          </w:p>
          <w:p w14:paraId="7F955A88" w14:textId="77777777" w:rsidR="00CF04BC" w:rsidRPr="00B93493" w:rsidRDefault="00CF04BC" w:rsidP="004454B6">
            <w:pPr>
              <w:pStyle w:val="Tabletext"/>
              <w:keepNext/>
              <w:keepLines/>
              <w:jc w:val="left"/>
            </w:pPr>
            <w:r w:rsidRPr="00B93493">
              <w:t>USD 351/channel</w:t>
            </w:r>
          </w:p>
          <w:p w14:paraId="1FBF1AF4" w14:textId="77777777" w:rsidR="00CF04BC" w:rsidRPr="00B93493" w:rsidRDefault="00CF04BC" w:rsidP="004454B6">
            <w:pPr>
              <w:pStyle w:val="Tabletext"/>
              <w:keepNext/>
              <w:keepLines/>
              <w:jc w:val="left"/>
            </w:pPr>
            <w:r w:rsidRPr="00B93493">
              <w:t>USD 176/channel</w:t>
            </w:r>
          </w:p>
        </w:tc>
      </w:tr>
      <w:tr w:rsidR="00CF04BC" w:rsidRPr="00B93493" w14:paraId="0262B0ED" w14:textId="77777777" w:rsidTr="002E7F54">
        <w:trPr>
          <w:jc w:val="center"/>
        </w:trPr>
        <w:tc>
          <w:tcPr>
            <w:tcW w:w="1134" w:type="dxa"/>
          </w:tcPr>
          <w:p w14:paraId="38B08784" w14:textId="77777777" w:rsidR="00CF04BC" w:rsidRPr="00B93493" w:rsidRDefault="00CF04BC" w:rsidP="002E7F54">
            <w:pPr>
              <w:pStyle w:val="Tabletext"/>
              <w:keepNext/>
              <w:keepLines/>
              <w:jc w:val="center"/>
            </w:pPr>
            <w:r w:rsidRPr="00B93493">
              <w:br/>
            </w:r>
          </w:p>
          <w:p w14:paraId="674B9B68" w14:textId="77777777" w:rsidR="00CF04BC" w:rsidRPr="00B93493" w:rsidRDefault="00CF04BC" w:rsidP="002E7F54">
            <w:pPr>
              <w:pStyle w:val="Tabletext"/>
              <w:keepNext/>
              <w:keepLines/>
              <w:jc w:val="center"/>
            </w:pPr>
            <w:r w:rsidRPr="00B93493">
              <w:rPr>
                <w:i/>
                <w:iCs/>
              </w:rPr>
              <w:t>B</w:t>
            </w:r>
            <w:r w:rsidRPr="00B93493">
              <w:rPr>
                <w:vertAlign w:val="subscript"/>
              </w:rPr>
              <w:t>1</w:t>
            </w:r>
          </w:p>
          <w:p w14:paraId="5A95E2E2" w14:textId="77777777" w:rsidR="00CF04BC" w:rsidRPr="00B93493" w:rsidRDefault="00CF04BC" w:rsidP="002E7F54">
            <w:pPr>
              <w:pStyle w:val="Tabletext"/>
              <w:keepNext/>
              <w:keepLines/>
              <w:jc w:val="center"/>
            </w:pPr>
            <w:r w:rsidRPr="00B93493">
              <w:rPr>
                <w:i/>
                <w:iCs/>
              </w:rPr>
              <w:t>B</w:t>
            </w:r>
            <w:r w:rsidRPr="00B93493">
              <w:rPr>
                <w:vertAlign w:val="subscript"/>
              </w:rPr>
              <w:t>2</w:t>
            </w:r>
          </w:p>
        </w:tc>
        <w:tc>
          <w:tcPr>
            <w:tcW w:w="4536" w:type="dxa"/>
          </w:tcPr>
          <w:p w14:paraId="432DECD7" w14:textId="77777777" w:rsidR="00CF04BC" w:rsidRPr="00B93493" w:rsidRDefault="00CF04BC" w:rsidP="004454B6">
            <w:pPr>
              <w:pStyle w:val="Tabletext"/>
              <w:keepNext/>
              <w:keepLines/>
              <w:jc w:val="left"/>
            </w:pPr>
            <w:r w:rsidRPr="00B93493">
              <w:t>Variable portion of cost of connection links dependent on link length</w:t>
            </w:r>
          </w:p>
        </w:tc>
        <w:tc>
          <w:tcPr>
            <w:tcW w:w="3969" w:type="dxa"/>
          </w:tcPr>
          <w:p w14:paraId="53E3CDCB" w14:textId="77777777" w:rsidR="00CF04BC" w:rsidRPr="00B93493" w:rsidRDefault="00CF04BC" w:rsidP="004454B6">
            <w:pPr>
              <w:pStyle w:val="Tabletext"/>
              <w:keepNext/>
              <w:keepLines/>
              <w:jc w:val="left"/>
            </w:pPr>
            <w:r w:rsidRPr="00B93493">
              <w:t>For digital radio-relay</w:t>
            </w:r>
            <w:r w:rsidRPr="00B93493">
              <w:br/>
            </w:r>
          </w:p>
          <w:p w14:paraId="655ACED8" w14:textId="77777777" w:rsidR="00CF04BC" w:rsidRPr="00B93493" w:rsidRDefault="00CF04BC" w:rsidP="004454B6">
            <w:pPr>
              <w:pStyle w:val="Tabletext"/>
              <w:keepNext/>
              <w:keepLines/>
              <w:jc w:val="left"/>
            </w:pPr>
            <w:r w:rsidRPr="00B93493">
              <w:t>USD 23/channel km</w:t>
            </w:r>
          </w:p>
          <w:p w14:paraId="67BE1619" w14:textId="77777777" w:rsidR="00CF04BC" w:rsidRPr="00B93493" w:rsidRDefault="00CF04BC" w:rsidP="004454B6">
            <w:pPr>
              <w:pStyle w:val="Tabletext"/>
              <w:keepNext/>
              <w:keepLines/>
              <w:jc w:val="left"/>
            </w:pPr>
            <w:r w:rsidRPr="00B93493">
              <w:t>USD 12/channel km</w:t>
            </w:r>
          </w:p>
        </w:tc>
      </w:tr>
    </w:tbl>
    <w:p w14:paraId="1F2A2088" w14:textId="77777777" w:rsidR="00CF04BC" w:rsidRPr="00B93493" w:rsidRDefault="00CF04BC" w:rsidP="00CF04BC">
      <w:pPr>
        <w:pStyle w:val="Tablefin"/>
      </w:pPr>
    </w:p>
    <w:p w14:paraId="2E2ED03C" w14:textId="77777777" w:rsidR="00CF04BC" w:rsidRPr="00B93493" w:rsidRDefault="00CF04BC" w:rsidP="00CF04BC">
      <w:r w:rsidRPr="00B93493">
        <w:t>Expenditures</w:t>
      </w:r>
      <w:r w:rsidRPr="00B93493">
        <w:rPr>
          <w:b/>
        </w:rPr>
        <w:t xml:space="preserve"> </w:t>
      </w:r>
      <w:r w:rsidRPr="00B93493">
        <w:t>comprise five components and are determined as follows:</w:t>
      </w:r>
    </w:p>
    <w:p w14:paraId="54F75B92" w14:textId="77777777" w:rsidR="00CF04BC" w:rsidRPr="00B93493" w:rsidRDefault="00CF04BC" w:rsidP="00CF04BC">
      <w:pPr>
        <w:pStyle w:val="Blanc"/>
      </w:pPr>
    </w:p>
    <w:p w14:paraId="3080DEB6" w14:textId="77777777" w:rsidR="00CF04BC" w:rsidRPr="00B93493" w:rsidRDefault="00CF04BC" w:rsidP="00CF04BC">
      <w:pPr>
        <w:pStyle w:val="Equation"/>
      </w:pPr>
      <w:r w:rsidRPr="00B93493">
        <w:tab/>
      </w:r>
      <w:r w:rsidRPr="00B93493">
        <w:tab/>
      </w:r>
      <w:r w:rsidRPr="00B93493">
        <w:rPr>
          <w:position w:val="-12"/>
        </w:rPr>
        <w:object w:dxaOrig="3146" w:dyaOrig="391" w14:anchorId="179CD7C3">
          <v:shape id="_x0000_i1071" type="#_x0000_t75" style="width:157.8pt;height:20.15pt" o:ole="">
            <v:imagedata r:id="rId127" o:title=""/>
          </v:shape>
          <o:OLEObject Type="Embed" ProgID="Equation.3" ShapeID="_x0000_i1071" DrawAspect="Content" ObjectID="_1812968353" r:id="rId128"/>
        </w:object>
      </w:r>
    </w:p>
    <w:p w14:paraId="5AECAA75" w14:textId="77777777" w:rsidR="00CF04BC" w:rsidRPr="00B93493" w:rsidRDefault="00CF04BC" w:rsidP="00CF04BC">
      <w:r w:rsidRPr="00B93493">
        <w:t>where:</w:t>
      </w:r>
    </w:p>
    <w:p w14:paraId="44542923" w14:textId="77777777" w:rsidR="00CF04BC" w:rsidRPr="00B93493" w:rsidRDefault="00CF04BC" w:rsidP="00CF04BC">
      <w:pPr>
        <w:pStyle w:val="Equationlegend"/>
      </w:pPr>
      <w:r w:rsidRPr="00B93493">
        <w:tab/>
      </w:r>
      <w:r w:rsidRPr="00B93493">
        <w:rPr>
          <w:i/>
          <w:iCs/>
        </w:rPr>
        <w:t>K</w:t>
      </w:r>
      <w:r w:rsidRPr="00B93493">
        <w:rPr>
          <w:vertAlign w:val="subscript"/>
        </w:rPr>
        <w:t>1</w:t>
      </w:r>
      <w:r w:rsidRPr="00B93493">
        <w:rPr>
          <w:rFonts w:ascii="Tms Rmn" w:hAnsi="Tms Rmn"/>
          <w:sz w:val="12"/>
        </w:rPr>
        <w:t> </w:t>
      </w:r>
      <w:r w:rsidRPr="00B93493">
        <w:rPr>
          <w:rFonts w:ascii="Tms Rmn" w:hAnsi="Tms Rmn"/>
        </w:rPr>
        <w:t>:</w:t>
      </w:r>
      <w:r w:rsidRPr="00B93493">
        <w:rPr>
          <w:rFonts w:ascii="Tms Rmn" w:hAnsi="Tms Rmn"/>
        </w:rPr>
        <w:tab/>
      </w:r>
      <w:r w:rsidRPr="00B93493">
        <w:t>cost of construction and assembly work</w:t>
      </w:r>
    </w:p>
    <w:p w14:paraId="6BBB0D5D" w14:textId="77777777" w:rsidR="00CF04BC" w:rsidRPr="00B93493" w:rsidRDefault="00CF04BC" w:rsidP="00CF04BC">
      <w:pPr>
        <w:pStyle w:val="Equationlegend"/>
      </w:pPr>
      <w:r w:rsidRPr="00B93493">
        <w:tab/>
      </w:r>
      <w:r w:rsidRPr="00B93493">
        <w:rPr>
          <w:i/>
          <w:iCs/>
        </w:rPr>
        <w:t>K</w:t>
      </w:r>
      <w:r w:rsidRPr="00B93493">
        <w:rPr>
          <w:vertAlign w:val="subscript"/>
        </w:rPr>
        <w:t>2</w:t>
      </w:r>
      <w:r w:rsidRPr="00B93493">
        <w:rPr>
          <w:rFonts w:ascii="Tms Rmn" w:hAnsi="Tms Rmn"/>
          <w:sz w:val="12"/>
        </w:rPr>
        <w:t> </w:t>
      </w:r>
      <w:r w:rsidRPr="00B93493">
        <w:rPr>
          <w:rFonts w:ascii="Tms Rmn" w:hAnsi="Tms Rmn"/>
        </w:rPr>
        <w:t>:</w:t>
      </w:r>
      <w:r w:rsidRPr="00B93493">
        <w:rPr>
          <w:rFonts w:ascii="Tms Rmn" w:hAnsi="Tms Rmn"/>
        </w:rPr>
        <w:tab/>
      </w:r>
      <w:r w:rsidRPr="00B93493">
        <w:t>cost of BS equipment</w:t>
      </w:r>
    </w:p>
    <w:p w14:paraId="01FC86F9" w14:textId="77777777" w:rsidR="00CF04BC" w:rsidRPr="00B93493" w:rsidRDefault="00CF04BC" w:rsidP="00CF04BC">
      <w:pPr>
        <w:pStyle w:val="Equationlegend"/>
      </w:pPr>
      <w:r w:rsidRPr="00B93493">
        <w:tab/>
      </w:r>
      <w:r w:rsidRPr="00B93493">
        <w:rPr>
          <w:i/>
          <w:iCs/>
        </w:rPr>
        <w:t>K</w:t>
      </w:r>
      <w:r w:rsidRPr="00B93493">
        <w:rPr>
          <w:vertAlign w:val="subscript"/>
        </w:rPr>
        <w:t>3</w:t>
      </w:r>
      <w:r w:rsidRPr="00B93493">
        <w:rPr>
          <w:rFonts w:ascii="Tms Rmn" w:hAnsi="Tms Rmn"/>
          <w:sz w:val="12"/>
        </w:rPr>
        <w:t> </w:t>
      </w:r>
      <w:r w:rsidRPr="00B93493">
        <w:rPr>
          <w:rFonts w:ascii="Tms Rmn" w:hAnsi="Tms Rmn"/>
        </w:rPr>
        <w:t>:</w:t>
      </w:r>
      <w:r w:rsidRPr="00B93493">
        <w:rPr>
          <w:rFonts w:ascii="Tms Rmn" w:hAnsi="Tms Rmn"/>
        </w:rPr>
        <w:tab/>
      </w:r>
      <w:r w:rsidRPr="00B93493">
        <w:t>cost of establishing a switching centre (SC)</w:t>
      </w:r>
    </w:p>
    <w:p w14:paraId="4FD2BE5F" w14:textId="77777777" w:rsidR="00CF04BC" w:rsidRPr="00B93493" w:rsidRDefault="00CF04BC" w:rsidP="00CF04BC">
      <w:pPr>
        <w:pStyle w:val="Equationlegend"/>
      </w:pPr>
      <w:r w:rsidRPr="00B93493">
        <w:tab/>
      </w:r>
      <w:r w:rsidRPr="00B93493">
        <w:rPr>
          <w:i/>
          <w:iCs/>
        </w:rPr>
        <w:t>K</w:t>
      </w:r>
      <w:r w:rsidRPr="00B93493">
        <w:rPr>
          <w:vertAlign w:val="subscript"/>
        </w:rPr>
        <w:t>4</w:t>
      </w:r>
      <w:r w:rsidRPr="00B93493">
        <w:rPr>
          <w:rFonts w:ascii="Tms Rmn" w:hAnsi="Tms Rmn"/>
          <w:sz w:val="12"/>
        </w:rPr>
        <w:t> </w:t>
      </w:r>
      <w:r w:rsidRPr="00B93493">
        <w:rPr>
          <w:rFonts w:ascii="Tms Rmn" w:hAnsi="Tms Rmn"/>
        </w:rPr>
        <w:t>:</w:t>
      </w:r>
      <w:r w:rsidRPr="00B93493">
        <w:rPr>
          <w:rFonts w:ascii="Tms Rmn" w:hAnsi="Tms Rmn"/>
        </w:rPr>
        <w:tab/>
      </w:r>
      <w:r w:rsidRPr="00B93493">
        <w:t>expenditure for purchasing software and technical facilities for billing systems</w:t>
      </w:r>
    </w:p>
    <w:p w14:paraId="62DE1A07" w14:textId="77777777" w:rsidR="00CF04BC" w:rsidRPr="00B93493" w:rsidRDefault="00CF04BC" w:rsidP="00CF04BC">
      <w:pPr>
        <w:pStyle w:val="Equationlegend"/>
      </w:pPr>
      <w:r w:rsidRPr="00B93493">
        <w:tab/>
      </w:r>
      <w:r w:rsidRPr="00B93493">
        <w:rPr>
          <w:i/>
          <w:iCs/>
        </w:rPr>
        <w:t>K</w:t>
      </w:r>
      <w:r w:rsidRPr="00B93493">
        <w:rPr>
          <w:vertAlign w:val="subscript"/>
        </w:rPr>
        <w:t>5</w:t>
      </w:r>
      <w:r w:rsidRPr="00B93493">
        <w:rPr>
          <w:rFonts w:ascii="Tms Rmn" w:hAnsi="Tms Rmn"/>
          <w:sz w:val="12"/>
        </w:rPr>
        <w:t> </w:t>
      </w:r>
      <w:r w:rsidRPr="00B93493">
        <w:rPr>
          <w:rFonts w:ascii="Tms Rmn" w:hAnsi="Tms Rmn"/>
        </w:rPr>
        <w:t>:</w:t>
      </w:r>
      <w:r w:rsidRPr="00B93493">
        <w:rPr>
          <w:rFonts w:ascii="Tms Rmn" w:hAnsi="Tms Rmn"/>
        </w:rPr>
        <w:tab/>
      </w:r>
      <w:r w:rsidRPr="00B93493">
        <w:t>cost of establishing communication links between BS and SC.</w:t>
      </w:r>
    </w:p>
    <w:p w14:paraId="7D997560" w14:textId="77777777" w:rsidR="00CF04BC" w:rsidRPr="00B93493" w:rsidRDefault="00CF04BC" w:rsidP="00CF04BC">
      <w:r w:rsidRPr="00B93493">
        <w:t xml:space="preserve">Construction and assembly costs, </w:t>
      </w:r>
      <w:r w:rsidRPr="00B93493">
        <w:rPr>
          <w:i/>
          <w:iCs/>
        </w:rPr>
        <w:t>K</w:t>
      </w:r>
      <w:r w:rsidRPr="00B93493">
        <w:rPr>
          <w:vertAlign w:val="subscript"/>
        </w:rPr>
        <w:t>1</w:t>
      </w:r>
      <w:r w:rsidRPr="00B93493">
        <w:t xml:space="preserve">, are determined on the basis of statistical data [Boucher, 1992 and 1995] on the labour consumption of the various stages of work. These costs are proportional to </w:t>
      </w:r>
      <w:r w:rsidRPr="00B93493">
        <w:rPr>
          <w:i/>
          <w:iCs/>
        </w:rPr>
        <w:t>C</w:t>
      </w:r>
      <w:r w:rsidRPr="00B93493">
        <w:t>, which is the number of BS in the mobile network, and may be determined by the equation:</w:t>
      </w:r>
    </w:p>
    <w:p w14:paraId="0338E73A" w14:textId="77777777" w:rsidR="00CF04BC" w:rsidRPr="00B93493" w:rsidRDefault="00CF04BC" w:rsidP="00CF04BC">
      <w:pPr>
        <w:pStyle w:val="Blanc"/>
      </w:pPr>
    </w:p>
    <w:p w14:paraId="390B5F95" w14:textId="77777777" w:rsidR="00CF04BC" w:rsidRPr="00B93493" w:rsidRDefault="00CF04BC" w:rsidP="00CF04BC">
      <w:pPr>
        <w:pStyle w:val="Equation"/>
      </w:pPr>
      <w:r w:rsidRPr="00B93493">
        <w:tab/>
      </w:r>
      <w:r w:rsidRPr="00B93493">
        <w:tab/>
      </w:r>
      <w:r w:rsidRPr="00B93493">
        <w:rPr>
          <w:position w:val="-48"/>
        </w:rPr>
        <w:object w:dxaOrig="4861" w:dyaOrig="1049" w14:anchorId="770E23DC">
          <v:shape id="_x0000_i1072" type="#_x0000_t75" style="width:243.05pt;height:51.85pt" o:ole="">
            <v:imagedata r:id="rId129" o:title=""/>
          </v:shape>
          <o:OLEObject Type="Embed" ProgID="Equation.3" ShapeID="_x0000_i1072" DrawAspect="Content" ObjectID="_1812968354" r:id="rId130"/>
        </w:object>
      </w:r>
    </w:p>
    <w:p w14:paraId="045EA3DD" w14:textId="77777777" w:rsidR="00CF04BC" w:rsidRPr="00B93493" w:rsidRDefault="00CF04BC" w:rsidP="00CF04BC">
      <w:pPr>
        <w:pStyle w:val="Blanc"/>
      </w:pPr>
    </w:p>
    <w:p w14:paraId="3DC0F967" w14:textId="77777777" w:rsidR="00CF04BC" w:rsidRPr="00B93493" w:rsidRDefault="00CF04BC" w:rsidP="00CF04BC">
      <w:r w:rsidRPr="00B93493">
        <w:t>Capital costs for BS equipment are determined by the equation:</w:t>
      </w:r>
    </w:p>
    <w:p w14:paraId="2F2CAD06" w14:textId="77777777" w:rsidR="00CF04BC" w:rsidRPr="00B93493" w:rsidRDefault="00CF04BC" w:rsidP="00CF04BC">
      <w:pPr>
        <w:pStyle w:val="Blanc"/>
      </w:pPr>
    </w:p>
    <w:p w14:paraId="5FF69964" w14:textId="77777777" w:rsidR="00CF04BC" w:rsidRDefault="00CF04BC" w:rsidP="00CF04BC">
      <w:pPr>
        <w:pStyle w:val="Equation"/>
      </w:pPr>
      <w:r>
        <w:tab/>
      </w:r>
      <w:r w:rsidRPr="00B93493">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=C</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BS</m:t>
                </m:r>
              </m:sub>
            </m:sSub>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n</m:t>
                    </m:r>
                  </m:e>
                  <m:sub>
                    <m:r>
                      <w:rPr>
                        <w:rFonts w:ascii="Cambria Math" w:hAnsi="Cambria Math"/>
                      </w:rPr>
                      <m:t>s</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m:t>
                </m:r>
              </m:sub>
            </m:sSub>
          </m:e>
        </m:d>
      </m:oMath>
      <w:r w:rsidRPr="00B93493">
        <w:tab/>
      </w:r>
    </w:p>
    <w:p w14:paraId="126785D8" w14:textId="77777777" w:rsidR="00CF04BC" w:rsidRPr="00B93493" w:rsidRDefault="00CF04BC" w:rsidP="00CF04BC">
      <w:r w:rsidRPr="00B93493">
        <w:t>where (</w:t>
      </w:r>
      <w:r w:rsidRPr="00B93493">
        <w:rPr>
          <w:rFonts w:ascii="Symbol" w:hAnsi="Symbol"/>
          <w:i/>
          <w:iCs/>
        </w:rPr>
        <w:t></w:t>
      </w:r>
      <w:r w:rsidRPr="00B93493">
        <w:t xml:space="preserve"> </w:t>
      </w:r>
      <w:r w:rsidRPr="00B93493">
        <w:rPr>
          <w:rFonts w:ascii="Symbol" w:hAnsi="Symbol"/>
        </w:rPr>
        <w:t></w:t>
      </w:r>
      <w:r w:rsidRPr="00B93493">
        <w:t xml:space="preserve"> </w:t>
      </w:r>
      <w:r w:rsidRPr="00B93493">
        <w:rPr>
          <w:i/>
          <w:iCs/>
        </w:rPr>
        <w:t>n</w:t>
      </w:r>
      <w:r w:rsidRPr="00B93493">
        <w:rPr>
          <w:i/>
          <w:iCs/>
          <w:vertAlign w:val="subscript"/>
        </w:rPr>
        <w:t>s</w:t>
      </w:r>
      <w:r w:rsidRPr="00B93493">
        <w:t>) is the number of frequency channels in one cell.</w:t>
      </w:r>
    </w:p>
    <w:p w14:paraId="28867441" w14:textId="77777777" w:rsidR="00CF04BC" w:rsidRPr="00B93493" w:rsidRDefault="00CF04BC" w:rsidP="00CF04BC">
      <w:r w:rsidRPr="00B93493">
        <w:t xml:space="preserve">The cost, </w:t>
      </w:r>
      <w:r w:rsidRPr="00B93493">
        <w:rPr>
          <w:i/>
          <w:iCs/>
        </w:rPr>
        <w:t>K</w:t>
      </w:r>
      <w:r w:rsidRPr="00B93493">
        <w:rPr>
          <w:vertAlign w:val="subscript"/>
        </w:rPr>
        <w:t>3</w:t>
      </w:r>
      <w:r w:rsidRPr="00B93493">
        <w:t>, of establishing the SC of a mobile network is determined from the data in Table 2</w:t>
      </w:r>
      <w:r>
        <w:rPr>
          <w:rFonts w:hint="eastAsia"/>
          <w:lang w:eastAsia="zh-CN"/>
        </w:rPr>
        <w:t>3</w:t>
      </w:r>
      <w:r w:rsidRPr="00B93493">
        <w:t xml:space="preserve"> on the basis of the number of subscribers in the network.</w:t>
      </w:r>
    </w:p>
    <w:p w14:paraId="4926B1B6" w14:textId="77777777" w:rsidR="00CF04BC" w:rsidRPr="00B93493" w:rsidRDefault="00CF04BC" w:rsidP="00CF04BC">
      <w:pPr>
        <w:pStyle w:val="TableNo"/>
        <w:rPr>
          <w:lang w:eastAsia="zh-CN"/>
        </w:rPr>
      </w:pPr>
      <w:r w:rsidRPr="00B93493">
        <w:t>TABLE 2</w:t>
      </w:r>
      <w:r>
        <w:rPr>
          <w:rFonts w:hint="eastAsia"/>
          <w:lang w:eastAsia="zh-CN"/>
        </w:rPr>
        <w:t>3</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268"/>
        <w:gridCol w:w="2268"/>
      </w:tblGrid>
      <w:tr w:rsidR="00CF04BC" w:rsidRPr="00B93493" w14:paraId="4A3CCA95" w14:textId="77777777" w:rsidTr="002E7F54">
        <w:trPr>
          <w:jc w:val="center"/>
        </w:trPr>
        <w:tc>
          <w:tcPr>
            <w:tcW w:w="2835" w:type="dxa"/>
            <w:vMerge w:val="restart"/>
            <w:vAlign w:val="center"/>
          </w:tcPr>
          <w:p w14:paraId="6C7C739F" w14:textId="77777777" w:rsidR="00CF04BC" w:rsidRPr="00B93493" w:rsidRDefault="00CF04BC" w:rsidP="002E7F54">
            <w:pPr>
              <w:pStyle w:val="Tablehead"/>
            </w:pPr>
            <w:r w:rsidRPr="00B93493">
              <w:t>Required number of telephone channels in the network</w:t>
            </w:r>
          </w:p>
        </w:tc>
        <w:tc>
          <w:tcPr>
            <w:tcW w:w="4536" w:type="dxa"/>
            <w:gridSpan w:val="2"/>
            <w:vAlign w:val="center"/>
          </w:tcPr>
          <w:p w14:paraId="7D6C992A" w14:textId="77777777" w:rsidR="00CF04BC" w:rsidRPr="00B93493" w:rsidRDefault="00CF04BC" w:rsidP="002E7F54">
            <w:pPr>
              <w:pStyle w:val="Tablehead"/>
            </w:pPr>
            <w:r w:rsidRPr="00B93493">
              <w:t xml:space="preserve">Switching centre costs </w:t>
            </w:r>
            <w:r w:rsidRPr="00B93493">
              <w:rPr>
                <w:i/>
                <w:iCs/>
              </w:rPr>
              <w:t>K</w:t>
            </w:r>
            <w:r w:rsidRPr="00B93493">
              <w:rPr>
                <w:iCs/>
                <w:vertAlign w:val="subscript"/>
              </w:rPr>
              <w:t>3</w:t>
            </w:r>
            <w:r w:rsidRPr="00B93493">
              <w:br/>
              <w:t>(USD)</w:t>
            </w:r>
          </w:p>
        </w:tc>
      </w:tr>
      <w:tr w:rsidR="00CF04BC" w:rsidRPr="00B93493" w14:paraId="07EDB17E" w14:textId="77777777" w:rsidTr="002E7F54">
        <w:trPr>
          <w:jc w:val="center"/>
        </w:trPr>
        <w:tc>
          <w:tcPr>
            <w:tcW w:w="2835" w:type="dxa"/>
            <w:vMerge/>
            <w:vAlign w:val="center"/>
          </w:tcPr>
          <w:p w14:paraId="19348661" w14:textId="77777777" w:rsidR="00CF04BC" w:rsidRPr="00B93493" w:rsidRDefault="00CF04BC" w:rsidP="002E7F54">
            <w:pPr>
              <w:pStyle w:val="Tablehead"/>
            </w:pPr>
          </w:p>
        </w:tc>
        <w:tc>
          <w:tcPr>
            <w:tcW w:w="2268" w:type="dxa"/>
            <w:vAlign w:val="center"/>
          </w:tcPr>
          <w:p w14:paraId="0F13FF53" w14:textId="77777777" w:rsidR="00CF04BC" w:rsidRPr="00B93493" w:rsidRDefault="00CF04BC" w:rsidP="002E7F54">
            <w:pPr>
              <w:pStyle w:val="Tablehead"/>
            </w:pPr>
            <w:r w:rsidRPr="00B93493">
              <w:t>Analogue</w:t>
            </w:r>
          </w:p>
        </w:tc>
        <w:tc>
          <w:tcPr>
            <w:tcW w:w="2268" w:type="dxa"/>
            <w:vAlign w:val="center"/>
          </w:tcPr>
          <w:p w14:paraId="0D36BC97" w14:textId="77777777" w:rsidR="00CF04BC" w:rsidRPr="00B93493" w:rsidRDefault="00CF04BC" w:rsidP="002E7F54">
            <w:pPr>
              <w:pStyle w:val="Tablehead"/>
            </w:pPr>
            <w:r w:rsidRPr="00B93493">
              <w:t>Digital</w:t>
            </w:r>
          </w:p>
        </w:tc>
      </w:tr>
      <w:tr w:rsidR="00CF04BC" w:rsidRPr="00B93493" w14:paraId="4FD70EAB" w14:textId="77777777" w:rsidTr="002E7F54">
        <w:trPr>
          <w:jc w:val="center"/>
        </w:trPr>
        <w:tc>
          <w:tcPr>
            <w:tcW w:w="2835" w:type="dxa"/>
          </w:tcPr>
          <w:p w14:paraId="44BEF0EF" w14:textId="77777777" w:rsidR="00CF04BC" w:rsidRPr="00B93493" w:rsidRDefault="00CF04BC" w:rsidP="002E7F54">
            <w:pPr>
              <w:pStyle w:val="Tabletext"/>
              <w:keepNext/>
              <w:keepLines/>
              <w:jc w:val="center"/>
            </w:pPr>
            <w:r w:rsidRPr="00B93493">
              <w:rPr>
                <w:i/>
                <w:iCs/>
                <w:szCs w:val="22"/>
              </w:rPr>
              <w:t>N</w:t>
            </w:r>
            <w:r w:rsidRPr="00B93493">
              <w:rPr>
                <w:i/>
                <w:iCs/>
                <w:vertAlign w:val="subscript"/>
              </w:rPr>
              <w:t>a</w:t>
            </w:r>
            <w:r w:rsidRPr="00B93493">
              <w:rPr>
                <w:szCs w:val="22"/>
              </w:rPr>
              <w:t xml:space="preserve"> </w:t>
            </w:r>
            <w:r w:rsidRPr="00B93493">
              <w:rPr>
                <w:rFonts w:ascii="Tms Rmn" w:hAnsi="Tms Rmn"/>
                <w:szCs w:val="22"/>
              </w:rPr>
              <w:t> </w:t>
            </w:r>
            <w:r w:rsidRPr="00B93493">
              <w:rPr>
                <w:rFonts w:ascii="Symbol" w:hAnsi="Symbol"/>
                <w:szCs w:val="22"/>
              </w:rPr>
              <w:sym w:font="Symbol" w:char="F0A3"/>
            </w:r>
            <w:r w:rsidRPr="00B93493">
              <w:rPr>
                <w:szCs w:val="22"/>
              </w:rPr>
              <w:t>  500</w:t>
            </w:r>
          </w:p>
        </w:tc>
        <w:tc>
          <w:tcPr>
            <w:tcW w:w="2268" w:type="dxa"/>
          </w:tcPr>
          <w:p w14:paraId="6C2DE992" w14:textId="77777777" w:rsidR="00CF04BC" w:rsidRPr="00B93493" w:rsidRDefault="00CF04BC" w:rsidP="002E7F54">
            <w:pPr>
              <w:pStyle w:val="Tabletext"/>
              <w:keepNext/>
              <w:keepLines/>
              <w:jc w:val="center"/>
            </w:pPr>
            <w:r w:rsidRPr="00B93493">
              <w:rPr>
                <w:szCs w:val="22"/>
              </w:rPr>
              <w:t>300</w:t>
            </w:r>
            <w:r w:rsidRPr="00B93493">
              <w:rPr>
                <w:rFonts w:ascii="Tms Rmn" w:hAnsi="Tms Rmn"/>
                <w:szCs w:val="22"/>
              </w:rPr>
              <w:t> </w:t>
            </w:r>
            <w:r w:rsidRPr="00B93493">
              <w:rPr>
                <w:szCs w:val="22"/>
              </w:rPr>
              <w:t>000</w:t>
            </w:r>
          </w:p>
        </w:tc>
        <w:tc>
          <w:tcPr>
            <w:tcW w:w="2268" w:type="dxa"/>
          </w:tcPr>
          <w:p w14:paraId="386683B2" w14:textId="77777777" w:rsidR="00CF04BC" w:rsidRPr="00B93493" w:rsidRDefault="00CF04BC" w:rsidP="002E7F54">
            <w:pPr>
              <w:pStyle w:val="Tabletext"/>
              <w:keepNext/>
              <w:keepLines/>
              <w:jc w:val="center"/>
            </w:pPr>
            <w:r w:rsidRPr="00B93493">
              <w:rPr>
                <w:szCs w:val="22"/>
              </w:rPr>
              <w:t>3</w:t>
            </w:r>
            <w:r w:rsidRPr="00B93493">
              <w:rPr>
                <w:rFonts w:ascii="Tms Rmn" w:hAnsi="Tms Rmn"/>
                <w:szCs w:val="22"/>
              </w:rPr>
              <w:t> </w:t>
            </w:r>
            <w:r w:rsidRPr="00B93493">
              <w:rPr>
                <w:szCs w:val="22"/>
              </w:rPr>
              <w:t>500</w:t>
            </w:r>
            <w:r w:rsidRPr="00B93493">
              <w:rPr>
                <w:rFonts w:ascii="Tms Rmn" w:hAnsi="Tms Rmn"/>
                <w:szCs w:val="22"/>
              </w:rPr>
              <w:t> </w:t>
            </w:r>
            <w:r w:rsidRPr="00B93493">
              <w:rPr>
                <w:szCs w:val="22"/>
              </w:rPr>
              <w:t>000</w:t>
            </w:r>
          </w:p>
        </w:tc>
      </w:tr>
      <w:tr w:rsidR="00CF04BC" w:rsidRPr="00B93493" w14:paraId="440BB8F4" w14:textId="77777777" w:rsidTr="002E7F54">
        <w:trPr>
          <w:jc w:val="center"/>
        </w:trPr>
        <w:tc>
          <w:tcPr>
            <w:tcW w:w="2835" w:type="dxa"/>
          </w:tcPr>
          <w:p w14:paraId="085A8925" w14:textId="77777777" w:rsidR="00CF04BC" w:rsidRPr="00B93493" w:rsidRDefault="00CF04BC" w:rsidP="002E7F54">
            <w:pPr>
              <w:pStyle w:val="Tabletext"/>
              <w:keepNext/>
              <w:keepLines/>
              <w:jc w:val="center"/>
            </w:pPr>
            <w:r w:rsidRPr="00B93493">
              <w:rPr>
                <w:i/>
                <w:iCs/>
                <w:szCs w:val="22"/>
              </w:rPr>
              <w:t>N</w:t>
            </w:r>
            <w:r w:rsidRPr="00B93493">
              <w:rPr>
                <w:i/>
                <w:iCs/>
                <w:vertAlign w:val="subscript"/>
              </w:rPr>
              <w:t>a</w:t>
            </w:r>
            <w:r w:rsidRPr="00B93493">
              <w:rPr>
                <w:szCs w:val="22"/>
              </w:rPr>
              <w:t xml:space="preserve"> </w:t>
            </w:r>
            <w:r w:rsidRPr="00B93493">
              <w:rPr>
                <w:rFonts w:ascii="Tms Rmn" w:hAnsi="Tms Rmn"/>
                <w:szCs w:val="22"/>
              </w:rPr>
              <w:t> </w:t>
            </w:r>
            <w:r w:rsidRPr="00B93493">
              <w:rPr>
                <w:rFonts w:ascii="Symbol" w:hAnsi="Symbol"/>
                <w:szCs w:val="22"/>
              </w:rPr>
              <w:t></w:t>
            </w:r>
            <w:r w:rsidRPr="00B93493">
              <w:rPr>
                <w:rFonts w:ascii="Symbol" w:hAnsi="Symbol"/>
                <w:szCs w:val="22"/>
              </w:rPr>
              <w:sym w:font="Symbol" w:char="F0A3"/>
            </w:r>
            <w:r w:rsidRPr="00B93493">
              <w:rPr>
                <w:szCs w:val="22"/>
              </w:rPr>
              <w:t xml:space="preserve">  </w:t>
            </w:r>
            <w:r w:rsidRPr="00B93493">
              <w:rPr>
                <w:rFonts w:ascii="Tms Rmn" w:hAnsi="Tms Rmn"/>
                <w:szCs w:val="22"/>
              </w:rPr>
              <w:t> </w:t>
            </w:r>
            <w:r w:rsidRPr="00B93493">
              <w:rPr>
                <w:szCs w:val="22"/>
              </w:rPr>
              <w:t>2</w:t>
            </w:r>
            <w:r w:rsidRPr="00B93493">
              <w:rPr>
                <w:rFonts w:ascii="Tms Rmn" w:hAnsi="Tms Rmn"/>
                <w:szCs w:val="22"/>
              </w:rPr>
              <w:t> </w:t>
            </w:r>
            <w:r w:rsidRPr="00B93493">
              <w:rPr>
                <w:szCs w:val="22"/>
              </w:rPr>
              <w:t>000</w:t>
            </w:r>
          </w:p>
        </w:tc>
        <w:tc>
          <w:tcPr>
            <w:tcW w:w="2268" w:type="dxa"/>
          </w:tcPr>
          <w:p w14:paraId="144C0DD0" w14:textId="77777777" w:rsidR="00CF04BC" w:rsidRPr="00B93493" w:rsidRDefault="00CF04BC" w:rsidP="002E7F54">
            <w:pPr>
              <w:pStyle w:val="Tabletext"/>
              <w:keepNext/>
              <w:keepLines/>
              <w:jc w:val="center"/>
            </w:pPr>
            <w:r w:rsidRPr="00B93493">
              <w:rPr>
                <w:szCs w:val="22"/>
              </w:rPr>
              <w:t>500</w:t>
            </w:r>
            <w:r w:rsidRPr="00B93493">
              <w:rPr>
                <w:rFonts w:ascii="Tms Rmn" w:hAnsi="Tms Rmn"/>
                <w:szCs w:val="22"/>
              </w:rPr>
              <w:t> </w:t>
            </w:r>
            <w:r w:rsidRPr="00B93493">
              <w:rPr>
                <w:szCs w:val="22"/>
              </w:rPr>
              <w:t>000</w:t>
            </w:r>
          </w:p>
        </w:tc>
        <w:tc>
          <w:tcPr>
            <w:tcW w:w="2268" w:type="dxa"/>
          </w:tcPr>
          <w:p w14:paraId="44BA8EF9" w14:textId="77777777" w:rsidR="00CF04BC" w:rsidRPr="00B93493" w:rsidRDefault="00CF04BC" w:rsidP="002E7F54">
            <w:pPr>
              <w:pStyle w:val="Tabletext"/>
              <w:keepNext/>
              <w:keepLines/>
              <w:jc w:val="center"/>
            </w:pPr>
            <w:r w:rsidRPr="00B93493">
              <w:rPr>
                <w:szCs w:val="22"/>
              </w:rPr>
              <w:t>3</w:t>
            </w:r>
            <w:r w:rsidRPr="00B93493">
              <w:rPr>
                <w:rFonts w:ascii="Tms Rmn" w:hAnsi="Tms Rmn"/>
                <w:szCs w:val="22"/>
              </w:rPr>
              <w:t> </w:t>
            </w:r>
            <w:r w:rsidRPr="00B93493">
              <w:rPr>
                <w:szCs w:val="22"/>
              </w:rPr>
              <w:t>600</w:t>
            </w:r>
            <w:r w:rsidRPr="00B93493">
              <w:rPr>
                <w:rFonts w:ascii="Tms Rmn" w:hAnsi="Tms Rmn"/>
                <w:szCs w:val="22"/>
              </w:rPr>
              <w:t> </w:t>
            </w:r>
            <w:r w:rsidRPr="00B93493">
              <w:rPr>
                <w:szCs w:val="22"/>
              </w:rPr>
              <w:t>000</w:t>
            </w:r>
          </w:p>
        </w:tc>
      </w:tr>
      <w:tr w:rsidR="00CF04BC" w:rsidRPr="00B93493" w14:paraId="2E386E96" w14:textId="77777777" w:rsidTr="002E7F54">
        <w:trPr>
          <w:jc w:val="center"/>
        </w:trPr>
        <w:tc>
          <w:tcPr>
            <w:tcW w:w="2835" w:type="dxa"/>
          </w:tcPr>
          <w:p w14:paraId="10C341F5" w14:textId="77777777" w:rsidR="00CF04BC" w:rsidRPr="00B93493" w:rsidRDefault="00CF04BC" w:rsidP="002E7F54">
            <w:pPr>
              <w:pStyle w:val="Tabletext"/>
              <w:keepNext/>
              <w:keepLines/>
              <w:jc w:val="center"/>
            </w:pPr>
            <w:r w:rsidRPr="00B93493">
              <w:rPr>
                <w:i/>
                <w:iCs/>
                <w:szCs w:val="22"/>
              </w:rPr>
              <w:t>N</w:t>
            </w:r>
            <w:r w:rsidRPr="00B93493">
              <w:rPr>
                <w:i/>
                <w:iCs/>
                <w:vertAlign w:val="subscript"/>
              </w:rPr>
              <w:t>a</w:t>
            </w:r>
            <w:r w:rsidRPr="00B93493">
              <w:rPr>
                <w:szCs w:val="22"/>
              </w:rPr>
              <w:t xml:space="preserve"> </w:t>
            </w:r>
            <w:r w:rsidRPr="00B93493">
              <w:rPr>
                <w:rFonts w:ascii="Tms Rmn" w:hAnsi="Tms Rmn"/>
                <w:szCs w:val="22"/>
              </w:rPr>
              <w:t> </w:t>
            </w:r>
            <w:r w:rsidRPr="00B93493">
              <w:rPr>
                <w:rFonts w:ascii="Symbol" w:hAnsi="Symbol"/>
                <w:szCs w:val="22"/>
              </w:rPr>
              <w:t></w:t>
            </w:r>
            <w:r w:rsidRPr="00B93493">
              <w:rPr>
                <w:rFonts w:ascii="Symbol" w:hAnsi="Symbol"/>
                <w:szCs w:val="22"/>
              </w:rPr>
              <w:sym w:font="Symbol" w:char="F0A3"/>
            </w:r>
            <w:r w:rsidRPr="00B93493">
              <w:rPr>
                <w:szCs w:val="22"/>
              </w:rPr>
              <w:t xml:space="preserve"> </w:t>
            </w:r>
            <w:r w:rsidRPr="00B93493">
              <w:rPr>
                <w:rFonts w:ascii="Tms Rmn" w:hAnsi="Tms Rmn"/>
                <w:szCs w:val="22"/>
              </w:rPr>
              <w:t> </w:t>
            </w:r>
            <w:r w:rsidRPr="00B93493">
              <w:rPr>
                <w:szCs w:val="22"/>
              </w:rPr>
              <w:t>10</w:t>
            </w:r>
            <w:r w:rsidRPr="00B93493">
              <w:rPr>
                <w:rFonts w:ascii="Tms Rmn" w:hAnsi="Tms Rmn"/>
                <w:szCs w:val="22"/>
              </w:rPr>
              <w:t> </w:t>
            </w:r>
            <w:r w:rsidRPr="00B93493">
              <w:rPr>
                <w:szCs w:val="22"/>
              </w:rPr>
              <w:t>000</w:t>
            </w:r>
          </w:p>
        </w:tc>
        <w:tc>
          <w:tcPr>
            <w:tcW w:w="2268" w:type="dxa"/>
          </w:tcPr>
          <w:p w14:paraId="2DC61B43" w14:textId="77777777" w:rsidR="00CF04BC" w:rsidRPr="00B93493" w:rsidRDefault="00CF04BC" w:rsidP="002E7F54">
            <w:pPr>
              <w:pStyle w:val="Tabletext"/>
              <w:keepNext/>
              <w:keepLines/>
              <w:jc w:val="center"/>
            </w:pPr>
            <w:r w:rsidRPr="00B93493">
              <w:rPr>
                <w:szCs w:val="22"/>
              </w:rPr>
              <w:t>1</w:t>
            </w:r>
            <w:r w:rsidRPr="00B93493">
              <w:rPr>
                <w:rFonts w:ascii="Tms Rmn" w:hAnsi="Tms Rmn"/>
                <w:szCs w:val="22"/>
              </w:rPr>
              <w:t> </w:t>
            </w:r>
            <w:r w:rsidRPr="00B93493">
              <w:rPr>
                <w:szCs w:val="22"/>
              </w:rPr>
              <w:t>300</w:t>
            </w:r>
            <w:r w:rsidRPr="00B93493">
              <w:rPr>
                <w:rFonts w:ascii="Tms Rmn" w:hAnsi="Tms Rmn"/>
                <w:szCs w:val="22"/>
              </w:rPr>
              <w:t> </w:t>
            </w:r>
            <w:r w:rsidRPr="00B93493">
              <w:rPr>
                <w:szCs w:val="22"/>
              </w:rPr>
              <w:t>000</w:t>
            </w:r>
          </w:p>
        </w:tc>
        <w:tc>
          <w:tcPr>
            <w:tcW w:w="2268" w:type="dxa"/>
          </w:tcPr>
          <w:p w14:paraId="2410A937" w14:textId="77777777" w:rsidR="00CF04BC" w:rsidRPr="00B93493" w:rsidRDefault="00CF04BC" w:rsidP="002E7F54">
            <w:pPr>
              <w:pStyle w:val="Tabletext"/>
              <w:keepNext/>
              <w:keepLines/>
              <w:jc w:val="center"/>
            </w:pPr>
            <w:r w:rsidRPr="00B93493">
              <w:rPr>
                <w:szCs w:val="22"/>
              </w:rPr>
              <w:t>4</w:t>
            </w:r>
            <w:r w:rsidRPr="00B93493">
              <w:rPr>
                <w:rFonts w:ascii="Tms Rmn" w:hAnsi="Tms Rmn"/>
                <w:szCs w:val="22"/>
              </w:rPr>
              <w:t> </w:t>
            </w:r>
            <w:r w:rsidRPr="00B93493">
              <w:rPr>
                <w:szCs w:val="22"/>
              </w:rPr>
              <w:t>000</w:t>
            </w:r>
            <w:r w:rsidRPr="00B93493">
              <w:rPr>
                <w:rFonts w:ascii="Tms Rmn" w:hAnsi="Tms Rmn"/>
                <w:szCs w:val="22"/>
              </w:rPr>
              <w:t> </w:t>
            </w:r>
            <w:r w:rsidRPr="00B93493">
              <w:rPr>
                <w:szCs w:val="22"/>
              </w:rPr>
              <w:t>000</w:t>
            </w:r>
          </w:p>
        </w:tc>
      </w:tr>
      <w:tr w:rsidR="00CF04BC" w:rsidRPr="00B93493" w14:paraId="5E8ADC08" w14:textId="77777777" w:rsidTr="002E7F54">
        <w:trPr>
          <w:jc w:val="center"/>
        </w:trPr>
        <w:tc>
          <w:tcPr>
            <w:tcW w:w="2835" w:type="dxa"/>
          </w:tcPr>
          <w:p w14:paraId="45F72E88" w14:textId="77777777" w:rsidR="00CF04BC" w:rsidRPr="00B93493" w:rsidRDefault="00CF04BC" w:rsidP="002E7F54">
            <w:pPr>
              <w:pStyle w:val="Tabletext"/>
              <w:keepNext/>
              <w:keepLines/>
              <w:jc w:val="center"/>
            </w:pPr>
            <w:r w:rsidRPr="00B93493">
              <w:rPr>
                <w:i/>
                <w:iCs/>
                <w:szCs w:val="22"/>
              </w:rPr>
              <w:t>N</w:t>
            </w:r>
            <w:r w:rsidRPr="00B93493">
              <w:rPr>
                <w:i/>
                <w:iCs/>
                <w:vertAlign w:val="subscript"/>
              </w:rPr>
              <w:t>a</w:t>
            </w:r>
            <w:r w:rsidRPr="00B93493">
              <w:rPr>
                <w:szCs w:val="22"/>
              </w:rPr>
              <w:t xml:space="preserve"> </w:t>
            </w:r>
            <w:r w:rsidRPr="00B93493">
              <w:rPr>
                <w:rFonts w:ascii="Tms Rmn" w:hAnsi="Tms Rmn"/>
                <w:szCs w:val="22"/>
              </w:rPr>
              <w:t> </w:t>
            </w:r>
            <w:r w:rsidRPr="00B93493">
              <w:rPr>
                <w:rFonts w:ascii="Symbol" w:hAnsi="Symbol"/>
                <w:szCs w:val="22"/>
              </w:rPr>
              <w:t></w:t>
            </w:r>
            <w:r w:rsidRPr="00B93493">
              <w:rPr>
                <w:rFonts w:ascii="Symbol" w:hAnsi="Symbol"/>
                <w:szCs w:val="22"/>
              </w:rPr>
              <w:sym w:font="Symbol" w:char="F0A3"/>
            </w:r>
            <w:r w:rsidRPr="00B93493">
              <w:rPr>
                <w:szCs w:val="22"/>
              </w:rPr>
              <w:t xml:space="preserve"> </w:t>
            </w:r>
            <w:r w:rsidRPr="00B93493">
              <w:rPr>
                <w:rFonts w:ascii="Tms Rmn" w:hAnsi="Tms Rmn"/>
                <w:szCs w:val="22"/>
              </w:rPr>
              <w:t> </w:t>
            </w:r>
            <w:r w:rsidRPr="00B93493">
              <w:rPr>
                <w:szCs w:val="22"/>
              </w:rPr>
              <w:t>50</w:t>
            </w:r>
            <w:r w:rsidRPr="00B93493">
              <w:rPr>
                <w:rFonts w:ascii="Tms Rmn" w:hAnsi="Tms Rmn"/>
                <w:szCs w:val="22"/>
              </w:rPr>
              <w:t> </w:t>
            </w:r>
            <w:r w:rsidRPr="00B93493">
              <w:rPr>
                <w:szCs w:val="22"/>
              </w:rPr>
              <w:t>000</w:t>
            </w:r>
          </w:p>
        </w:tc>
        <w:tc>
          <w:tcPr>
            <w:tcW w:w="2268" w:type="dxa"/>
          </w:tcPr>
          <w:p w14:paraId="36C10088" w14:textId="77777777" w:rsidR="00CF04BC" w:rsidRPr="00B93493" w:rsidRDefault="00CF04BC" w:rsidP="002E7F54">
            <w:pPr>
              <w:pStyle w:val="Tabletext"/>
              <w:keepNext/>
              <w:keepLines/>
              <w:jc w:val="center"/>
            </w:pPr>
            <w:r w:rsidRPr="00B93493">
              <w:rPr>
                <w:szCs w:val="22"/>
              </w:rPr>
              <w:t>3</w:t>
            </w:r>
            <w:r w:rsidRPr="00B93493">
              <w:rPr>
                <w:rFonts w:ascii="Tms Rmn" w:hAnsi="Tms Rmn"/>
                <w:szCs w:val="22"/>
              </w:rPr>
              <w:t> </w:t>
            </w:r>
            <w:r w:rsidRPr="00B93493">
              <w:rPr>
                <w:szCs w:val="22"/>
              </w:rPr>
              <w:t>000</w:t>
            </w:r>
            <w:r w:rsidRPr="00B93493">
              <w:rPr>
                <w:rFonts w:ascii="Tms Rmn" w:hAnsi="Tms Rmn"/>
                <w:szCs w:val="22"/>
              </w:rPr>
              <w:t> </w:t>
            </w:r>
            <w:r w:rsidRPr="00B93493">
              <w:rPr>
                <w:szCs w:val="22"/>
              </w:rPr>
              <w:t>000</w:t>
            </w:r>
          </w:p>
        </w:tc>
        <w:tc>
          <w:tcPr>
            <w:tcW w:w="2268" w:type="dxa"/>
          </w:tcPr>
          <w:p w14:paraId="253E352E" w14:textId="77777777" w:rsidR="00CF04BC" w:rsidRPr="00B93493" w:rsidRDefault="00CF04BC" w:rsidP="002E7F54">
            <w:pPr>
              <w:pStyle w:val="Tabletext"/>
              <w:keepNext/>
              <w:keepLines/>
              <w:jc w:val="center"/>
            </w:pPr>
            <w:r w:rsidRPr="00B93493">
              <w:rPr>
                <w:szCs w:val="22"/>
              </w:rPr>
              <w:t>5</w:t>
            </w:r>
            <w:r w:rsidRPr="00B93493">
              <w:rPr>
                <w:rFonts w:ascii="Tms Rmn" w:hAnsi="Tms Rmn"/>
                <w:szCs w:val="22"/>
              </w:rPr>
              <w:t> </w:t>
            </w:r>
            <w:r w:rsidRPr="00B93493">
              <w:rPr>
                <w:szCs w:val="22"/>
              </w:rPr>
              <w:t>000</w:t>
            </w:r>
            <w:r w:rsidRPr="00B93493">
              <w:rPr>
                <w:rFonts w:ascii="Tms Rmn" w:hAnsi="Tms Rmn"/>
                <w:szCs w:val="22"/>
              </w:rPr>
              <w:t> </w:t>
            </w:r>
            <w:r w:rsidRPr="00B93493">
              <w:rPr>
                <w:szCs w:val="22"/>
              </w:rPr>
              <w:t>000</w:t>
            </w:r>
          </w:p>
        </w:tc>
      </w:tr>
    </w:tbl>
    <w:p w14:paraId="10281333" w14:textId="77777777" w:rsidR="00CF04BC" w:rsidRPr="00B93493" w:rsidRDefault="00CF04BC" w:rsidP="00CF04BC">
      <w:pPr>
        <w:pStyle w:val="Tablefin"/>
      </w:pPr>
    </w:p>
    <w:p w14:paraId="6C753B67" w14:textId="77777777" w:rsidR="00CF04BC" w:rsidRPr="00B93493" w:rsidRDefault="00CF04BC" w:rsidP="00CF04BC">
      <w:r w:rsidRPr="00B93493">
        <w:t xml:space="preserve">The cost </w:t>
      </w:r>
      <w:r w:rsidRPr="00B93493">
        <w:rPr>
          <w:i/>
          <w:iCs/>
        </w:rPr>
        <w:t>K</w:t>
      </w:r>
      <w:r w:rsidRPr="00B93493">
        <w:rPr>
          <w:vertAlign w:val="subscript"/>
        </w:rPr>
        <w:t>4</w:t>
      </w:r>
      <w:r w:rsidRPr="00B93493">
        <w:t xml:space="preserve"> is determined from the data in Table 2</w:t>
      </w:r>
      <w:r>
        <w:rPr>
          <w:rFonts w:hint="eastAsia"/>
          <w:lang w:eastAsia="zh-CN"/>
        </w:rPr>
        <w:t>4</w:t>
      </w:r>
      <w:r w:rsidRPr="00B93493">
        <w:t>. Calculations are made for the case in which the mobile network uses a very simple billing system for 10</w:t>
      </w:r>
      <w:r w:rsidRPr="00B93493">
        <w:rPr>
          <w:rFonts w:ascii="Tms Rmn" w:hAnsi="Tms Rmn"/>
          <w:sz w:val="12"/>
        </w:rPr>
        <w:t> </w:t>
      </w:r>
      <w:r w:rsidRPr="00B93493">
        <w:t>000 subscribers that can be expanded as required as the number of subscribers increases.</w:t>
      </w:r>
    </w:p>
    <w:p w14:paraId="6874E13E" w14:textId="77777777" w:rsidR="00CF04BC" w:rsidRPr="00B93493" w:rsidRDefault="00CF04BC" w:rsidP="00CF04BC">
      <w:pPr>
        <w:pStyle w:val="TableNo"/>
        <w:rPr>
          <w:lang w:eastAsia="zh-CN"/>
        </w:rPr>
      </w:pPr>
      <w:r w:rsidRPr="00B93493">
        <w:t>TABLE 2</w:t>
      </w:r>
      <w:r>
        <w:rPr>
          <w:rFonts w:hint="eastAsia"/>
          <w:lang w:eastAsia="zh-CN"/>
        </w:rPr>
        <w:t>4</w:t>
      </w:r>
    </w:p>
    <w:tbl>
      <w:tblPr>
        <w:tblW w:w="0" w:type="auto"/>
        <w:jc w:val="center"/>
        <w:tblLayout w:type="fixed"/>
        <w:tblLook w:val="04A0" w:firstRow="1" w:lastRow="0" w:firstColumn="1" w:lastColumn="0" w:noHBand="0" w:noVBand="1"/>
      </w:tblPr>
      <w:tblGrid>
        <w:gridCol w:w="5954"/>
        <w:gridCol w:w="2268"/>
      </w:tblGrid>
      <w:tr w:rsidR="00CF04BC" w:rsidRPr="00B93493" w14:paraId="6F6A9795" w14:textId="77777777" w:rsidTr="002E7F54">
        <w:trPr>
          <w:jc w:val="center"/>
        </w:trPr>
        <w:tc>
          <w:tcPr>
            <w:tcW w:w="5954" w:type="dxa"/>
            <w:tcBorders>
              <w:top w:val="single" w:sz="6" w:space="0" w:color="auto"/>
              <w:left w:val="single" w:sz="6" w:space="0" w:color="auto"/>
              <w:bottom w:val="single" w:sz="4" w:space="0" w:color="auto"/>
              <w:right w:val="single" w:sz="6" w:space="0" w:color="auto"/>
            </w:tcBorders>
            <w:vAlign w:val="center"/>
          </w:tcPr>
          <w:p w14:paraId="66F1E70E" w14:textId="77777777" w:rsidR="00CF04BC" w:rsidRPr="00B93493" w:rsidRDefault="00CF04BC" w:rsidP="002E7F54">
            <w:pPr>
              <w:pStyle w:val="Tablehead"/>
            </w:pPr>
            <w:r w:rsidRPr="00B93493">
              <w:t>Type of system</w:t>
            </w:r>
          </w:p>
        </w:tc>
        <w:tc>
          <w:tcPr>
            <w:tcW w:w="2268" w:type="dxa"/>
            <w:tcBorders>
              <w:top w:val="single" w:sz="6" w:space="0" w:color="auto"/>
              <w:left w:val="single" w:sz="6" w:space="0" w:color="auto"/>
              <w:bottom w:val="single" w:sz="4" w:space="0" w:color="auto"/>
              <w:right w:val="single" w:sz="6" w:space="0" w:color="auto"/>
            </w:tcBorders>
            <w:vAlign w:val="center"/>
          </w:tcPr>
          <w:p w14:paraId="6939F4A0" w14:textId="77777777" w:rsidR="00CF04BC" w:rsidRPr="00B93493" w:rsidRDefault="00CF04BC" w:rsidP="002E7F54">
            <w:pPr>
              <w:pStyle w:val="Tablehead"/>
            </w:pPr>
            <w:r w:rsidRPr="00B93493">
              <w:t xml:space="preserve">Cost </w:t>
            </w:r>
            <w:r w:rsidRPr="00B93493">
              <w:rPr>
                <w:bCs/>
                <w:i/>
                <w:iCs/>
              </w:rPr>
              <w:t>K</w:t>
            </w:r>
            <w:r w:rsidRPr="00B93493">
              <w:rPr>
                <w:vertAlign w:val="subscript"/>
              </w:rPr>
              <w:t>4</w:t>
            </w:r>
            <w:r w:rsidRPr="00B93493">
              <w:br/>
              <w:t>(USD)</w:t>
            </w:r>
          </w:p>
        </w:tc>
      </w:tr>
      <w:tr w:rsidR="00CF04BC" w:rsidRPr="00B93493" w14:paraId="155BC0FF" w14:textId="77777777" w:rsidTr="002E7F54">
        <w:trPr>
          <w:jc w:val="center"/>
        </w:trPr>
        <w:tc>
          <w:tcPr>
            <w:tcW w:w="5954" w:type="dxa"/>
            <w:tcBorders>
              <w:top w:val="single" w:sz="4" w:space="0" w:color="auto"/>
              <w:left w:val="single" w:sz="4" w:space="0" w:color="auto"/>
              <w:bottom w:val="single" w:sz="4" w:space="0" w:color="auto"/>
              <w:right w:val="single" w:sz="4" w:space="0" w:color="auto"/>
            </w:tcBorders>
          </w:tcPr>
          <w:p w14:paraId="674619D3" w14:textId="77777777" w:rsidR="00CF04BC" w:rsidRPr="00B93493" w:rsidRDefault="00CF04BC" w:rsidP="002E7F54">
            <w:pPr>
              <w:pStyle w:val="Tabletext"/>
            </w:pPr>
            <w:r w:rsidRPr="00B93493">
              <w:t>Simple system for 5</w:t>
            </w:r>
            <w:r w:rsidRPr="00B93493">
              <w:rPr>
                <w:rFonts w:ascii="Tms Rmn" w:hAnsi="Tms Rmn"/>
              </w:rPr>
              <w:t> </w:t>
            </w:r>
            <w:r w:rsidRPr="00B93493">
              <w:t>000 subscribers</w:t>
            </w:r>
          </w:p>
        </w:tc>
        <w:tc>
          <w:tcPr>
            <w:tcW w:w="2268" w:type="dxa"/>
            <w:tcBorders>
              <w:top w:val="single" w:sz="4" w:space="0" w:color="auto"/>
              <w:left w:val="single" w:sz="4" w:space="0" w:color="auto"/>
              <w:bottom w:val="single" w:sz="4" w:space="0" w:color="auto"/>
              <w:right w:val="single" w:sz="4" w:space="0" w:color="auto"/>
            </w:tcBorders>
          </w:tcPr>
          <w:p w14:paraId="0759A6AC" w14:textId="77777777" w:rsidR="00CF04BC" w:rsidRPr="00B93493" w:rsidRDefault="00CF04BC" w:rsidP="002E7F54">
            <w:pPr>
              <w:pStyle w:val="Tabletext"/>
              <w:jc w:val="center"/>
            </w:pPr>
            <w:r w:rsidRPr="00B93493">
              <w:rPr>
                <w:szCs w:val="22"/>
              </w:rPr>
              <w:t>130</w:t>
            </w:r>
            <w:r w:rsidRPr="00B93493">
              <w:rPr>
                <w:rFonts w:ascii="Tms Rmn" w:hAnsi="Tms Rmn"/>
                <w:szCs w:val="22"/>
              </w:rPr>
              <w:t> </w:t>
            </w:r>
            <w:r w:rsidRPr="00B93493">
              <w:rPr>
                <w:szCs w:val="22"/>
              </w:rPr>
              <w:t>000</w:t>
            </w:r>
          </w:p>
        </w:tc>
      </w:tr>
      <w:tr w:rsidR="00CF04BC" w:rsidRPr="00B93493" w14:paraId="1A39308D" w14:textId="77777777" w:rsidTr="002E7F54">
        <w:trPr>
          <w:jc w:val="center"/>
        </w:trPr>
        <w:tc>
          <w:tcPr>
            <w:tcW w:w="5954" w:type="dxa"/>
            <w:tcBorders>
              <w:top w:val="single" w:sz="4" w:space="0" w:color="auto"/>
              <w:left w:val="single" w:sz="4" w:space="0" w:color="auto"/>
              <w:bottom w:val="single" w:sz="4" w:space="0" w:color="auto"/>
              <w:right w:val="single" w:sz="4" w:space="0" w:color="auto"/>
            </w:tcBorders>
          </w:tcPr>
          <w:p w14:paraId="7C07A610" w14:textId="77777777" w:rsidR="00CF04BC" w:rsidRPr="00B93493" w:rsidRDefault="00CF04BC" w:rsidP="002E7F54">
            <w:pPr>
              <w:pStyle w:val="Tabletext"/>
            </w:pPr>
            <w:r w:rsidRPr="00B93493">
              <w:t>Simple billing system for 10</w:t>
            </w:r>
            <w:r w:rsidRPr="00B93493">
              <w:rPr>
                <w:rFonts w:ascii="Tms Rmn" w:hAnsi="Tms Rmn"/>
              </w:rPr>
              <w:t> </w:t>
            </w:r>
            <w:r w:rsidRPr="00B93493">
              <w:t>000 subscribers</w:t>
            </w:r>
          </w:p>
        </w:tc>
        <w:tc>
          <w:tcPr>
            <w:tcW w:w="2268" w:type="dxa"/>
            <w:tcBorders>
              <w:top w:val="single" w:sz="4" w:space="0" w:color="auto"/>
              <w:left w:val="single" w:sz="4" w:space="0" w:color="auto"/>
              <w:bottom w:val="single" w:sz="4" w:space="0" w:color="auto"/>
              <w:right w:val="single" w:sz="4" w:space="0" w:color="auto"/>
            </w:tcBorders>
          </w:tcPr>
          <w:p w14:paraId="4C7AB331" w14:textId="77777777" w:rsidR="00CF04BC" w:rsidRPr="00B93493" w:rsidRDefault="00CF04BC" w:rsidP="002E7F54">
            <w:pPr>
              <w:pStyle w:val="Tabletext"/>
              <w:jc w:val="center"/>
            </w:pPr>
            <w:r w:rsidRPr="00B93493">
              <w:rPr>
                <w:szCs w:val="22"/>
              </w:rPr>
              <w:t>240</w:t>
            </w:r>
            <w:r w:rsidRPr="00B93493">
              <w:rPr>
                <w:rFonts w:ascii="Tms Rmn" w:hAnsi="Tms Rmn"/>
                <w:szCs w:val="22"/>
              </w:rPr>
              <w:t> </w:t>
            </w:r>
            <w:r w:rsidRPr="00B93493">
              <w:rPr>
                <w:szCs w:val="22"/>
              </w:rPr>
              <w:t>000</w:t>
            </w:r>
          </w:p>
        </w:tc>
      </w:tr>
      <w:tr w:rsidR="00CF04BC" w:rsidRPr="00B93493" w14:paraId="0885A0E8" w14:textId="77777777" w:rsidTr="002E7F54">
        <w:trPr>
          <w:jc w:val="center"/>
        </w:trPr>
        <w:tc>
          <w:tcPr>
            <w:tcW w:w="5954" w:type="dxa"/>
            <w:tcBorders>
              <w:top w:val="single" w:sz="4" w:space="0" w:color="auto"/>
              <w:left w:val="single" w:sz="4" w:space="0" w:color="auto"/>
              <w:bottom w:val="single" w:sz="4" w:space="0" w:color="auto"/>
              <w:right w:val="single" w:sz="4" w:space="0" w:color="auto"/>
            </w:tcBorders>
          </w:tcPr>
          <w:p w14:paraId="1F084B38" w14:textId="77777777" w:rsidR="00CF04BC" w:rsidRPr="00B93493" w:rsidRDefault="00CF04BC" w:rsidP="002E7F54">
            <w:pPr>
              <w:pStyle w:val="Tabletext"/>
            </w:pPr>
            <w:r w:rsidRPr="00B93493">
              <w:t>System with additional capabilities up to 10</w:t>
            </w:r>
            <w:r w:rsidRPr="00B93493">
              <w:rPr>
                <w:rFonts w:ascii="Tms Rmn" w:hAnsi="Tms Rmn"/>
              </w:rPr>
              <w:t> </w:t>
            </w:r>
            <w:r w:rsidRPr="00B93493">
              <w:t>000 subscribers</w:t>
            </w:r>
          </w:p>
        </w:tc>
        <w:tc>
          <w:tcPr>
            <w:tcW w:w="2268" w:type="dxa"/>
            <w:tcBorders>
              <w:top w:val="single" w:sz="4" w:space="0" w:color="auto"/>
              <w:left w:val="single" w:sz="4" w:space="0" w:color="auto"/>
              <w:bottom w:val="single" w:sz="4" w:space="0" w:color="auto"/>
              <w:right w:val="single" w:sz="4" w:space="0" w:color="auto"/>
            </w:tcBorders>
          </w:tcPr>
          <w:p w14:paraId="1C3A6D73" w14:textId="77777777" w:rsidR="00CF04BC" w:rsidRPr="00B93493" w:rsidRDefault="00CF04BC" w:rsidP="002E7F54">
            <w:pPr>
              <w:pStyle w:val="Tabletext"/>
              <w:jc w:val="center"/>
            </w:pPr>
            <w:r w:rsidRPr="00B93493">
              <w:rPr>
                <w:szCs w:val="22"/>
              </w:rPr>
              <w:t>750</w:t>
            </w:r>
            <w:r w:rsidRPr="00B93493">
              <w:rPr>
                <w:rFonts w:ascii="Tms Rmn" w:hAnsi="Tms Rmn"/>
                <w:szCs w:val="22"/>
              </w:rPr>
              <w:t> </w:t>
            </w:r>
            <w:r w:rsidRPr="00B93493">
              <w:rPr>
                <w:szCs w:val="22"/>
              </w:rPr>
              <w:t>000</w:t>
            </w:r>
          </w:p>
        </w:tc>
      </w:tr>
      <w:tr w:rsidR="00CF04BC" w:rsidRPr="00B93493" w14:paraId="69E1BF94" w14:textId="77777777" w:rsidTr="002E7F54">
        <w:trPr>
          <w:jc w:val="center"/>
        </w:trPr>
        <w:tc>
          <w:tcPr>
            <w:tcW w:w="5954" w:type="dxa"/>
            <w:tcBorders>
              <w:top w:val="single" w:sz="4" w:space="0" w:color="auto"/>
              <w:left w:val="single" w:sz="4" w:space="0" w:color="auto"/>
              <w:bottom w:val="single" w:sz="4" w:space="0" w:color="auto"/>
              <w:right w:val="single" w:sz="4" w:space="0" w:color="auto"/>
            </w:tcBorders>
          </w:tcPr>
          <w:p w14:paraId="097AACBE" w14:textId="77777777" w:rsidR="00CF04BC" w:rsidRPr="00B93493" w:rsidRDefault="00CF04BC" w:rsidP="002E7F54">
            <w:pPr>
              <w:pStyle w:val="Tabletext"/>
            </w:pPr>
            <w:r w:rsidRPr="00B93493">
              <w:t>System with additional capabilities up to 100</w:t>
            </w:r>
            <w:r w:rsidRPr="00B93493">
              <w:rPr>
                <w:rFonts w:ascii="Tms Rmn" w:hAnsi="Tms Rmn"/>
              </w:rPr>
              <w:t> </w:t>
            </w:r>
            <w:r w:rsidRPr="00B93493">
              <w:t>000 subscribers</w:t>
            </w:r>
          </w:p>
        </w:tc>
        <w:tc>
          <w:tcPr>
            <w:tcW w:w="2268" w:type="dxa"/>
            <w:tcBorders>
              <w:top w:val="single" w:sz="4" w:space="0" w:color="auto"/>
              <w:left w:val="single" w:sz="4" w:space="0" w:color="auto"/>
              <w:bottom w:val="single" w:sz="4" w:space="0" w:color="auto"/>
              <w:right w:val="single" w:sz="4" w:space="0" w:color="auto"/>
            </w:tcBorders>
          </w:tcPr>
          <w:p w14:paraId="42419AF0" w14:textId="77777777" w:rsidR="00CF04BC" w:rsidRPr="00B93493" w:rsidRDefault="00CF04BC" w:rsidP="002E7F54">
            <w:pPr>
              <w:pStyle w:val="Tabletext"/>
              <w:jc w:val="center"/>
            </w:pPr>
            <w:r w:rsidRPr="00B93493">
              <w:rPr>
                <w:szCs w:val="22"/>
              </w:rPr>
              <w:t>1</w:t>
            </w:r>
            <w:r w:rsidRPr="00B93493">
              <w:rPr>
                <w:rFonts w:ascii="Tms Rmn" w:hAnsi="Tms Rmn"/>
                <w:szCs w:val="22"/>
              </w:rPr>
              <w:t> </w:t>
            </w:r>
            <w:r w:rsidRPr="00B93493">
              <w:rPr>
                <w:szCs w:val="22"/>
              </w:rPr>
              <w:t>400</w:t>
            </w:r>
            <w:r w:rsidRPr="00B93493">
              <w:rPr>
                <w:rFonts w:ascii="Tms Rmn" w:hAnsi="Tms Rmn"/>
                <w:szCs w:val="22"/>
              </w:rPr>
              <w:t> </w:t>
            </w:r>
            <w:r w:rsidRPr="00B93493">
              <w:rPr>
                <w:szCs w:val="22"/>
              </w:rPr>
              <w:t>000</w:t>
            </w:r>
          </w:p>
        </w:tc>
      </w:tr>
    </w:tbl>
    <w:p w14:paraId="147F7B2B" w14:textId="77777777" w:rsidR="00CF04BC" w:rsidRPr="00B93493" w:rsidRDefault="00CF04BC" w:rsidP="00CF04BC">
      <w:pPr>
        <w:pStyle w:val="Tablefin"/>
      </w:pPr>
    </w:p>
    <w:p w14:paraId="79A4D165" w14:textId="77777777" w:rsidR="00CF04BC" w:rsidRPr="00B93493" w:rsidRDefault="00CF04BC" w:rsidP="00CF04BC">
      <w:r w:rsidRPr="00B93493">
        <w:t xml:space="preserve">For determining the costs of establishing communication links between the BS and SC, the number of communication links, </w:t>
      </w:r>
      <w:r w:rsidRPr="00B93493">
        <w:rPr>
          <w:i/>
          <w:iCs/>
        </w:rPr>
        <w:t>N</w:t>
      </w:r>
      <w:r w:rsidRPr="00B93493">
        <w:rPr>
          <w:i/>
          <w:iCs/>
          <w:vertAlign w:val="subscript"/>
        </w:rPr>
        <w:t>ck</w:t>
      </w:r>
      <w:r w:rsidRPr="00B93493">
        <w:t>, needed to connect one BS to the SC can be calculated. In cellular mobile networks, two types of communication links can be used, with a capacity of 60 or 30 telephone channels (with a transmission speed of 2 or 4 Mbit/s). The required number of communication links with a capacity of 30 telephone channels is as follows:</w:t>
      </w:r>
    </w:p>
    <w:p w14:paraId="43021969" w14:textId="77777777" w:rsidR="00CF04BC" w:rsidRPr="00B93493" w:rsidRDefault="00CF04BC" w:rsidP="00CF04BC">
      <w:pPr>
        <w:pStyle w:val="Blanc"/>
      </w:pPr>
    </w:p>
    <w:p w14:paraId="4295A597" w14:textId="77777777" w:rsidR="00CF04BC" w:rsidRPr="00B93493" w:rsidRDefault="00CF04BC" w:rsidP="00CF04BC">
      <w:pPr>
        <w:pStyle w:val="Equation"/>
      </w:pPr>
      <w:r w:rsidRPr="00B93493">
        <w:tab/>
      </w:r>
      <w:r w:rsidRPr="00B93493">
        <w:tab/>
      </w:r>
      <w:r w:rsidRPr="00B93493">
        <w:rPr>
          <w:position w:val="-12"/>
        </w:rPr>
        <w:object w:dxaOrig="2714" w:dyaOrig="391" w14:anchorId="7482AED2">
          <v:shape id="_x0000_i1073" type="#_x0000_t75" style="width:133.65pt;height:20.15pt" o:ole="">
            <v:imagedata r:id="rId131" o:title=""/>
          </v:shape>
          <o:OLEObject Type="Embed" ProgID="Equation.3" ShapeID="_x0000_i1073" DrawAspect="Content" ObjectID="_1812968355" r:id="rId132"/>
        </w:object>
      </w:r>
    </w:p>
    <w:p w14:paraId="01FE6089" w14:textId="77777777" w:rsidR="00CF04BC" w:rsidRPr="00B93493" w:rsidRDefault="00CF04BC" w:rsidP="00CF04BC">
      <w:pPr>
        <w:pStyle w:val="Blanc"/>
      </w:pPr>
    </w:p>
    <w:p w14:paraId="16CA109C" w14:textId="77777777" w:rsidR="00CF04BC" w:rsidRPr="00B93493" w:rsidRDefault="00CF04BC" w:rsidP="00CF04BC">
      <w:r w:rsidRPr="00B93493">
        <w:t>In order to reduce the capital outlay for BS-SC connections, communication links of Type 1 should be used as much as possible. The number of such links will be:</w:t>
      </w:r>
    </w:p>
    <w:p w14:paraId="60EBE3EC" w14:textId="77777777" w:rsidR="00CF04BC" w:rsidRPr="00B93493" w:rsidRDefault="00CF04BC" w:rsidP="00CF04BC">
      <w:pPr>
        <w:pStyle w:val="Blanc"/>
      </w:pPr>
    </w:p>
    <w:p w14:paraId="5493CEDE" w14:textId="77777777" w:rsidR="00CF04BC" w:rsidRPr="00B93493" w:rsidRDefault="00CF04BC" w:rsidP="00CF04BC">
      <w:pPr>
        <w:pStyle w:val="Equation"/>
      </w:pPr>
      <w:r w:rsidRPr="00B93493">
        <w:tab/>
      </w:r>
      <w:r w:rsidRPr="00B93493">
        <w:tab/>
      </w:r>
      <w:r w:rsidRPr="00B93493">
        <w:rPr>
          <w:position w:val="-12"/>
        </w:rPr>
        <w:object w:dxaOrig="1781" w:dyaOrig="391" w14:anchorId="5479B0E3">
          <v:shape id="_x0000_i1074" type="#_x0000_t75" style="width:92.15pt;height:20.15pt" o:ole="">
            <v:imagedata r:id="rId133" o:title=""/>
          </v:shape>
          <o:OLEObject Type="Embed" ProgID="Equation.3" ShapeID="_x0000_i1074" DrawAspect="Content" ObjectID="_1812968356" r:id="rId134"/>
        </w:object>
      </w:r>
    </w:p>
    <w:p w14:paraId="4573F756" w14:textId="77777777" w:rsidR="00CF04BC" w:rsidRPr="00B93493" w:rsidRDefault="00CF04BC" w:rsidP="00CF04BC">
      <w:r w:rsidRPr="00B93493">
        <w:t xml:space="preserve">If </w:t>
      </w:r>
      <w:r w:rsidRPr="00B93493">
        <w:rPr>
          <w:i/>
          <w:iCs/>
        </w:rPr>
        <w:t>N</w:t>
      </w:r>
      <w:r w:rsidRPr="00B93493">
        <w:rPr>
          <w:vertAlign w:val="subscript"/>
        </w:rPr>
        <w:t>30</w:t>
      </w:r>
      <w:r w:rsidRPr="00B93493">
        <w:t xml:space="preserve"> is an even number, then the given number of type 1 communication links is sufficient for BS</w:t>
      </w:r>
      <w:r w:rsidRPr="00B93493">
        <w:noBreakHyphen/>
        <w:t xml:space="preserve">SC connections. If it is an odd number, one more communication link with a capacity of 30 telephone channels is required. Thus, for BS-SC connections, </w:t>
      </w:r>
      <w:r w:rsidRPr="00B93493">
        <w:rPr>
          <w:i/>
          <w:iCs/>
        </w:rPr>
        <w:t>N</w:t>
      </w:r>
      <w:r w:rsidRPr="00B93493">
        <w:rPr>
          <w:vertAlign w:val="subscript"/>
        </w:rPr>
        <w:t>1</w:t>
      </w:r>
      <w:r w:rsidRPr="00B93493">
        <w:t xml:space="preserve"> communication links of Type 1 and </w:t>
      </w:r>
      <w:r w:rsidRPr="00B93493">
        <w:rPr>
          <w:i/>
          <w:iCs/>
        </w:rPr>
        <w:t>N</w:t>
      </w:r>
      <w:r w:rsidRPr="00B93493">
        <w:rPr>
          <w:vertAlign w:val="subscript"/>
        </w:rPr>
        <w:t>2</w:t>
      </w:r>
      <w:r w:rsidRPr="00B93493">
        <w:t xml:space="preserve"> communication links of Type 2 are required.</w:t>
      </w:r>
    </w:p>
    <w:p w14:paraId="0CE46C2C" w14:textId="77777777" w:rsidR="00CF04BC" w:rsidRPr="00B93493" w:rsidRDefault="00CF04BC" w:rsidP="00CF04BC">
      <w:pPr>
        <w:keepNext/>
      </w:pPr>
      <w:r w:rsidRPr="00B93493">
        <w:t xml:space="preserve">Unit costs for one telephone channel with Type 1 or Type 2 links of length </w:t>
      </w:r>
      <w:r w:rsidRPr="00B93493">
        <w:rPr>
          <w:i/>
          <w:iCs/>
        </w:rPr>
        <w:t>L</w:t>
      </w:r>
      <w:r w:rsidRPr="00B93493">
        <w:rPr>
          <w:i/>
          <w:iCs/>
          <w:position w:val="-4"/>
          <w:sz w:val="16"/>
        </w:rPr>
        <w:t>i</w:t>
      </w:r>
      <w:r w:rsidRPr="00B93493">
        <w:t xml:space="preserve"> are determined by the equation:</w:t>
      </w:r>
    </w:p>
    <w:p w14:paraId="321683DD" w14:textId="77777777" w:rsidR="00CF04BC" w:rsidRPr="00B93493" w:rsidRDefault="00CF04BC" w:rsidP="00CF04BC">
      <w:pPr>
        <w:pStyle w:val="Blanc"/>
      </w:pPr>
    </w:p>
    <w:p w14:paraId="24CD91C0" w14:textId="77777777" w:rsidR="00CF04BC" w:rsidRPr="00B93493" w:rsidRDefault="00CF04BC" w:rsidP="00CF04BC">
      <w:pPr>
        <w:pStyle w:val="Equation"/>
      </w:pPr>
      <w:r w:rsidRPr="00B93493">
        <w:tab/>
      </w:r>
      <w:r w:rsidRPr="00B93493">
        <w:tab/>
      </w:r>
      <w:r w:rsidRPr="00B93493">
        <w:rPr>
          <w:position w:val="-12"/>
        </w:rPr>
        <w:object w:dxaOrig="1781" w:dyaOrig="391" w14:anchorId="5B83E561">
          <v:shape id="_x0000_i1075" type="#_x0000_t75" style="width:92.15pt;height:20.15pt" o:ole="">
            <v:imagedata r:id="rId135" o:title=""/>
          </v:shape>
          <o:OLEObject Type="Embed" ProgID="Equation.3" ShapeID="_x0000_i1075" DrawAspect="Content" ObjectID="_1812968357" r:id="rId136"/>
        </w:object>
      </w:r>
    </w:p>
    <w:p w14:paraId="7D5D2BC4" w14:textId="77777777" w:rsidR="00CF04BC" w:rsidRPr="00B93493" w:rsidRDefault="00CF04BC" w:rsidP="00CF04BC">
      <w:pPr>
        <w:pStyle w:val="Equation"/>
      </w:pPr>
      <w:r w:rsidRPr="00B93493">
        <w:tab/>
      </w:r>
      <w:r w:rsidRPr="00B93493">
        <w:tab/>
      </w:r>
      <w:r w:rsidRPr="00B93493">
        <w:rPr>
          <w:position w:val="-12"/>
        </w:rPr>
        <w:object w:dxaOrig="1865" w:dyaOrig="391" w14:anchorId="6E03B02C">
          <v:shape id="_x0000_i1076" type="#_x0000_t75" style="width:94.45pt;height:20.15pt" o:ole="">
            <v:imagedata r:id="rId137" o:title=""/>
          </v:shape>
          <o:OLEObject Type="Embed" ProgID="Equation.3" ShapeID="_x0000_i1076" DrawAspect="Content" ObjectID="_1812968358" r:id="rId138"/>
        </w:object>
      </w:r>
    </w:p>
    <w:p w14:paraId="7A65072B" w14:textId="77777777" w:rsidR="00CF04BC" w:rsidRPr="00B93493" w:rsidRDefault="00CF04BC" w:rsidP="00CF04BC">
      <w:pPr>
        <w:pStyle w:val="Blanc"/>
        <w:keepNext w:val="0"/>
        <w:keepLines w:val="0"/>
      </w:pPr>
    </w:p>
    <w:p w14:paraId="10D0FE53" w14:textId="77777777" w:rsidR="00CF04BC" w:rsidRPr="00B93493" w:rsidRDefault="00CF04BC" w:rsidP="00CF04BC">
      <w:r w:rsidRPr="00B93493">
        <w:t xml:space="preserve">where </w:t>
      </w:r>
      <w:r w:rsidRPr="00B93493">
        <w:rPr>
          <w:i/>
          <w:iCs/>
        </w:rPr>
        <w:t>A</w:t>
      </w:r>
      <w:r w:rsidRPr="00B93493">
        <w:rPr>
          <w:vertAlign w:val="subscript"/>
        </w:rPr>
        <w:t>1</w:t>
      </w:r>
      <w:r w:rsidRPr="00B93493">
        <w:t xml:space="preserve">, </w:t>
      </w:r>
      <w:r w:rsidRPr="00B93493">
        <w:rPr>
          <w:i/>
          <w:iCs/>
        </w:rPr>
        <w:t>B</w:t>
      </w:r>
      <w:r w:rsidRPr="00B93493">
        <w:rPr>
          <w:vertAlign w:val="subscript"/>
        </w:rPr>
        <w:t>1</w:t>
      </w:r>
      <w:r w:rsidRPr="00B93493">
        <w:t xml:space="preserve">, </w:t>
      </w:r>
      <w:r w:rsidRPr="00B93493">
        <w:rPr>
          <w:i/>
          <w:iCs/>
        </w:rPr>
        <w:t>A</w:t>
      </w:r>
      <w:r w:rsidRPr="00B93493">
        <w:rPr>
          <w:vertAlign w:val="subscript"/>
        </w:rPr>
        <w:t>2</w:t>
      </w:r>
      <w:r w:rsidRPr="00B93493">
        <w:t xml:space="preserve"> and </w:t>
      </w:r>
      <w:r w:rsidRPr="00B93493">
        <w:rPr>
          <w:i/>
          <w:iCs/>
        </w:rPr>
        <w:t>B</w:t>
      </w:r>
      <w:r w:rsidRPr="00B93493">
        <w:rPr>
          <w:vertAlign w:val="subscript"/>
        </w:rPr>
        <w:t>2</w:t>
      </w:r>
      <w:r w:rsidRPr="00B93493">
        <w:t xml:space="preserve"> for cable, optical and radio-relay links may be determined on the basis of statistical data.</w:t>
      </w:r>
    </w:p>
    <w:p w14:paraId="3CB979D0" w14:textId="77777777" w:rsidR="00CF04BC" w:rsidRPr="00B93493" w:rsidRDefault="00CF04BC" w:rsidP="00CF04BC">
      <w:r w:rsidRPr="00B93493">
        <w:t xml:space="preserve">The cost of establishing communication links between the </w:t>
      </w:r>
      <w:r w:rsidRPr="00B93493">
        <w:rPr>
          <w:i/>
          <w:iCs/>
        </w:rPr>
        <w:t>i</w:t>
      </w:r>
      <w:r w:rsidRPr="00B93493">
        <w:t>-th BS and the SC is:</w:t>
      </w:r>
    </w:p>
    <w:p w14:paraId="3282FB3A" w14:textId="77777777" w:rsidR="00CF04BC" w:rsidRPr="00B93493" w:rsidRDefault="00CF04BC" w:rsidP="00CF04BC">
      <w:pPr>
        <w:pStyle w:val="Blanc"/>
      </w:pPr>
    </w:p>
    <w:p w14:paraId="65ECB1AA" w14:textId="77777777" w:rsidR="00CF04BC" w:rsidRPr="00B93493" w:rsidRDefault="00CF04BC" w:rsidP="00CF04BC">
      <w:pPr>
        <w:pStyle w:val="Equation"/>
      </w:pPr>
      <w:r w:rsidRPr="00B93493">
        <w:tab/>
      </w:r>
      <w:r w:rsidRPr="00B93493">
        <w:tab/>
      </w:r>
      <w:r w:rsidRPr="00B93493">
        <w:rPr>
          <w:position w:val="-12"/>
        </w:rPr>
        <w:object w:dxaOrig="4661" w:dyaOrig="391" w14:anchorId="1E8A8471">
          <v:shape id="_x0000_i1077" type="#_x0000_t75" style="width:233.3pt;height:20.15pt" o:ole="">
            <v:imagedata r:id="rId139" o:title=""/>
          </v:shape>
          <o:OLEObject Type="Embed" ProgID="Equation.3" ShapeID="_x0000_i1077" DrawAspect="Content" ObjectID="_1812968359" r:id="rId140"/>
        </w:object>
      </w:r>
    </w:p>
    <w:p w14:paraId="4468BF8B" w14:textId="77777777" w:rsidR="00CF04BC" w:rsidRPr="00B93493" w:rsidRDefault="00CF04BC" w:rsidP="00CF04BC">
      <w:pPr>
        <w:pStyle w:val="Equation"/>
      </w:pPr>
      <w:r w:rsidRPr="00B93493">
        <w:t>where:</w:t>
      </w:r>
    </w:p>
    <w:p w14:paraId="018909D9" w14:textId="77777777" w:rsidR="00CF04BC" w:rsidRPr="00B93493" w:rsidRDefault="00CF04BC" w:rsidP="00CF04BC">
      <w:pPr>
        <w:pStyle w:val="Blanc"/>
      </w:pPr>
    </w:p>
    <w:p w14:paraId="014B6EDA" w14:textId="77777777" w:rsidR="00CF04BC" w:rsidRDefault="00CF04BC" w:rsidP="00CF04BC">
      <w:pPr>
        <w:pStyle w:val="Equation"/>
      </w:pPr>
    </w:p>
    <w:p w14:paraId="45E84A55" w14:textId="77777777" w:rsidR="00CF04BC" w:rsidRDefault="00CF04BC" w:rsidP="00CF04BC">
      <w:pPr>
        <w:pStyle w:val="Equation"/>
      </w:pPr>
      <w:r>
        <w:tab/>
      </w:r>
      <w:r>
        <w:tab/>
      </w:r>
      <m:oMath>
        <m:r>
          <w:rPr>
            <w:rFonts w:ascii="Cambria Math" w:hAnsi="Cambria Math"/>
          </w:rPr>
          <m:t>A=60×</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+30×</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B=60×</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+30×</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p>
    <w:p w14:paraId="7B787980" w14:textId="77777777" w:rsidR="00CF04BC" w:rsidRPr="00B93493" w:rsidRDefault="00CF04BC" w:rsidP="00CF04BC">
      <w:pPr>
        <w:pStyle w:val="Blanc"/>
      </w:pPr>
    </w:p>
    <w:p w14:paraId="57DA1431" w14:textId="77777777" w:rsidR="00CF04BC" w:rsidRPr="00B93493" w:rsidRDefault="00CF04BC" w:rsidP="00CF04BC">
      <w:r w:rsidRPr="00B93493">
        <w:t>The total cost of establishing communication links to connect all base stations to the switching centre may be determined by the following equation:</w:t>
      </w:r>
    </w:p>
    <w:p w14:paraId="64457CD5" w14:textId="77777777" w:rsidR="00CF04BC" w:rsidRPr="00B93493" w:rsidRDefault="00CF04BC" w:rsidP="00CF04BC">
      <w:pPr>
        <w:pStyle w:val="Blanc"/>
      </w:pPr>
    </w:p>
    <w:p w14:paraId="58D2D9D5" w14:textId="77777777" w:rsidR="00CF04BC" w:rsidRPr="00B93493" w:rsidRDefault="00CF04BC" w:rsidP="00CF04BC">
      <w:pPr>
        <w:pStyle w:val="Equation"/>
      </w:pPr>
      <w:r w:rsidRPr="00B93493">
        <w:tab/>
      </w:r>
      <w:r w:rsidRPr="00B93493">
        <w:tab/>
      </w:r>
      <w:r w:rsidRPr="00B93493">
        <w:rPr>
          <w:position w:val="-32"/>
          <w:sz w:val="20"/>
        </w:rPr>
        <w:object w:dxaOrig="3230" w:dyaOrig="766" w14:anchorId="4307B1A7">
          <v:shape id="_x0000_i1078" type="#_x0000_t75" style="width:160.15pt;height:38.6pt" o:ole="">
            <v:imagedata r:id="rId141" o:title=""/>
          </v:shape>
          <o:OLEObject Type="Embed" ProgID="Equation.3" ShapeID="_x0000_i1078" DrawAspect="Content" ObjectID="_1812968360" r:id="rId142"/>
        </w:object>
      </w:r>
    </w:p>
    <w:p w14:paraId="2BFBB425" w14:textId="77777777" w:rsidR="00CF04BC" w:rsidRPr="00B93493" w:rsidRDefault="00CF04BC" w:rsidP="00CF04BC">
      <w:r w:rsidRPr="00B93493">
        <w:t xml:space="preserve">where </w:t>
      </w:r>
      <w:r w:rsidRPr="00B93493">
        <w:rPr>
          <w:position w:val="-24"/>
        </w:rPr>
        <w:object w:dxaOrig="1490" w:dyaOrig="591" w14:anchorId="19371BE7">
          <v:shape id="_x0000_i1079" type="#_x0000_t75" style="width:75.45pt;height:29.4pt" o:ole="">
            <v:imagedata r:id="rId143" o:title=""/>
          </v:shape>
          <o:OLEObject Type="Embed" ProgID="Equation.3" ShapeID="_x0000_i1079" DrawAspect="Content" ObjectID="_1812968361" r:id="rId144"/>
        </w:object>
      </w:r>
      <w:r w:rsidRPr="00B93493">
        <w:t xml:space="preserve"> is the average length of all BS-SC connection links. The length of these links may vary from 5 to 25 km. If the mobile network’s coverage area is assumed to be a circle and base stations are uniformly distributed throughout this area, then:</w:t>
      </w:r>
    </w:p>
    <w:p w14:paraId="723ABB44" w14:textId="77777777" w:rsidR="00CF04BC" w:rsidRPr="00B93493" w:rsidRDefault="00CF04BC" w:rsidP="00CF04BC">
      <w:pPr>
        <w:pStyle w:val="Blanc"/>
      </w:pPr>
    </w:p>
    <w:p w14:paraId="522F1903" w14:textId="77777777" w:rsidR="00CF04BC" w:rsidRDefault="00CF04BC" w:rsidP="00CF04BC">
      <w:pPr>
        <w:pStyle w:val="Equation"/>
      </w:pPr>
      <w:r w:rsidRPr="00B93493">
        <w:tab/>
      </w:r>
      <w:r>
        <w:tab/>
      </w:r>
      <m:oMath>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=2</m:t>
        </m:r>
        <m:f>
          <m:fPr>
            <m:type m:val="lin"/>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25</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3</m:t>
                    </m:r>
                  </m:sup>
                </m:sSup>
              </m:e>
            </m:d>
          </m:num>
          <m:den>
            <m:r>
              <w:rPr>
                <w:rFonts w:ascii="Cambria Math" w:hAnsi="Cambria Math"/>
              </w:rPr>
              <m:t>3×</m:t>
            </m:r>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 xml:space="preserve">≅16.6 </m:t>
            </m:r>
            <m:r>
              <m:rPr>
                <m:sty m:val="p"/>
              </m:rPr>
              <w:rPr>
                <w:rFonts w:ascii="Cambria Math" w:hAnsi="Cambria Math"/>
              </w:rPr>
              <m:t>km</m:t>
            </m:r>
          </m:den>
        </m:f>
      </m:oMath>
    </w:p>
    <w:p w14:paraId="73DF64EC" w14:textId="77777777" w:rsidR="00CF04BC" w:rsidRPr="00B93493" w:rsidRDefault="00CF04BC" w:rsidP="00CF04BC">
      <w:pPr>
        <w:pStyle w:val="Blanc"/>
      </w:pPr>
    </w:p>
    <w:p w14:paraId="5C2FB3F5" w14:textId="77777777" w:rsidR="00CF04BC" w:rsidRPr="00B93493" w:rsidRDefault="00CF04BC" w:rsidP="00CF04BC">
      <w:r w:rsidRPr="00B93493">
        <w:t xml:space="preserve">Figure 12 shows capital expenditure </w:t>
      </w:r>
      <w:r w:rsidRPr="00B93493">
        <w:rPr>
          <w:i/>
          <w:iCs/>
        </w:rPr>
        <w:t>K</w:t>
      </w:r>
      <w:r w:rsidRPr="00B93493">
        <w:rPr>
          <w:vertAlign w:val="subscript"/>
        </w:rPr>
        <w:sym w:font="Symbol" w:char="F053"/>
      </w:r>
      <w:r w:rsidRPr="00B93493">
        <w:t xml:space="preserve"> as a function of the bandwidth, </w:t>
      </w:r>
      <w:r w:rsidRPr="00B93493">
        <w:rPr>
          <w:i/>
          <w:iCs/>
        </w:rPr>
        <w:t>F</w:t>
      </w:r>
      <w:r w:rsidRPr="00B93493">
        <w:t>, and the number of subscribers to be served, </w:t>
      </w:r>
      <w:r w:rsidRPr="00B93493">
        <w:rPr>
          <w:i/>
          <w:iCs/>
        </w:rPr>
        <w:t>N</w:t>
      </w:r>
      <w:r w:rsidRPr="00B93493">
        <w:rPr>
          <w:i/>
          <w:iCs/>
          <w:vertAlign w:val="subscript"/>
        </w:rPr>
        <w:t>a</w:t>
      </w:r>
      <w:r w:rsidRPr="00B93493">
        <w:t>. It reveals that the operator can reduce the necessary expenditure for the establishment of a network quite significantly by using a wider bandwidth, i.e. making less efficient use of the spectrum.</w:t>
      </w:r>
    </w:p>
    <w:p w14:paraId="2D17B285" w14:textId="77777777" w:rsidR="00CF04BC" w:rsidRPr="00B93493" w:rsidRDefault="00CF04BC" w:rsidP="00CF04BC">
      <w:pPr>
        <w:pStyle w:val="FigureNo"/>
      </w:pPr>
      <w:r w:rsidRPr="00B93493">
        <w:t>Figure 12</w:t>
      </w:r>
    </w:p>
    <w:p w14:paraId="01285D1B" w14:textId="77777777" w:rsidR="00CF04BC" w:rsidRPr="00B93493" w:rsidRDefault="00CF04BC" w:rsidP="00CF04BC">
      <w:pPr>
        <w:pStyle w:val="Figuretitle"/>
      </w:pPr>
      <w:r w:rsidRPr="00B93493">
        <w:t>Capital investment vs. bandwidth</w:t>
      </w:r>
    </w:p>
    <w:p w14:paraId="04887E8C" w14:textId="438F7CE8" w:rsidR="00CF04BC" w:rsidRPr="00B93493" w:rsidRDefault="004C6C5B" w:rsidP="00CF04BC">
      <w:pPr>
        <w:pStyle w:val="Figure"/>
      </w:pPr>
      <w:r w:rsidRPr="00B93493">
        <w:object w:dxaOrig="6634" w:dyaOrig="9065" w14:anchorId="7236244A">
          <v:shape id="_x0000_i1080" type="#_x0000_t75" alt="Figure 12 shows capital investment vs. bandwidth" style="width:330.6pt;height:454.45pt" o:ole="">
            <v:imagedata r:id="rId145" o:title=""/>
          </v:shape>
          <o:OLEObject Type="Embed" ProgID="CorelDRAW.Graphic.14" ShapeID="_x0000_i1080" DrawAspect="Content" ObjectID="_1812968362" r:id="rId146"/>
        </w:object>
      </w:r>
    </w:p>
    <w:p w14:paraId="036B7B02" w14:textId="77777777" w:rsidR="00CF04BC" w:rsidRPr="00B93493" w:rsidRDefault="00CF04BC" w:rsidP="00CF04BC">
      <w:pPr>
        <w:pStyle w:val="enumlev1"/>
      </w:pPr>
      <w:r w:rsidRPr="00B93493">
        <w:t>c)</w:t>
      </w:r>
      <w:r w:rsidRPr="00B93493">
        <w:tab/>
      </w:r>
      <w:r w:rsidRPr="00B93493">
        <w:rPr>
          <w:i/>
          <w:iCs/>
        </w:rPr>
        <w:t>Determination of the discounted income index of a mobile network project</w:t>
      </w:r>
    </w:p>
    <w:p w14:paraId="4D5AB8E6" w14:textId="77777777" w:rsidR="00CF04BC" w:rsidRPr="00B93493" w:rsidRDefault="00CF04BC" w:rsidP="00CF04BC">
      <w:r w:rsidRPr="00B93493">
        <w:t>Table 2</w:t>
      </w:r>
      <w:r>
        <w:rPr>
          <w:rFonts w:hint="eastAsia"/>
          <w:lang w:eastAsia="zh-CN"/>
        </w:rPr>
        <w:t>5</w:t>
      </w:r>
      <w:r>
        <w:rPr>
          <w:lang w:eastAsia="zh-CN"/>
        </w:rPr>
        <w:t xml:space="preserve"> </w:t>
      </w:r>
      <w:r w:rsidRPr="00B93493">
        <w:t>shows a set of calculation parameters based on statistical data and standards used in the Russian Federation:</w:t>
      </w:r>
    </w:p>
    <w:p w14:paraId="2C7440D3" w14:textId="77777777" w:rsidR="00CF04BC" w:rsidRPr="00B93493" w:rsidRDefault="00CF04BC" w:rsidP="00CF04BC">
      <w:pPr>
        <w:overflowPunct/>
        <w:autoSpaceDE/>
        <w:autoSpaceDN/>
        <w:adjustRightInd/>
        <w:spacing w:before="0"/>
        <w:textAlignment w:val="auto"/>
      </w:pPr>
      <w:r w:rsidRPr="00B93493">
        <w:br w:type="page"/>
      </w:r>
    </w:p>
    <w:p w14:paraId="02E7AAEF" w14:textId="77777777" w:rsidR="00CF04BC" w:rsidRPr="00B93493" w:rsidRDefault="00CF04BC" w:rsidP="00CF04BC">
      <w:pPr>
        <w:pStyle w:val="TableNo"/>
        <w:rPr>
          <w:lang w:eastAsia="zh-CN"/>
        </w:rPr>
      </w:pPr>
      <w:r w:rsidRPr="00B93493">
        <w:t>TABLE 2</w:t>
      </w:r>
      <w:r>
        <w:rPr>
          <w:rFonts w:hint="eastAsia"/>
          <w:lang w:eastAsia="zh-CN"/>
        </w:rPr>
        <w:t>5</w:t>
      </w: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5103"/>
        <w:gridCol w:w="3402"/>
      </w:tblGrid>
      <w:tr w:rsidR="00CF04BC" w:rsidRPr="00B93493" w14:paraId="2D367610" w14:textId="77777777" w:rsidTr="002E7F54">
        <w:trPr>
          <w:jc w:val="center"/>
        </w:trPr>
        <w:tc>
          <w:tcPr>
            <w:tcW w:w="1134" w:type="dxa"/>
            <w:tcBorders>
              <w:bottom w:val="single" w:sz="4" w:space="0" w:color="auto"/>
            </w:tcBorders>
          </w:tcPr>
          <w:p w14:paraId="0C9542DB" w14:textId="77777777" w:rsidR="00CF04BC" w:rsidRPr="00B93493" w:rsidRDefault="00CF04BC" w:rsidP="002E7F54">
            <w:pPr>
              <w:pStyle w:val="Tablehead"/>
              <w:rPr>
                <w:szCs w:val="22"/>
              </w:rPr>
            </w:pPr>
            <w:r w:rsidRPr="00B93493">
              <w:rPr>
                <w:szCs w:val="22"/>
              </w:rPr>
              <w:t>Symbol</w:t>
            </w:r>
          </w:p>
        </w:tc>
        <w:tc>
          <w:tcPr>
            <w:tcW w:w="5103" w:type="dxa"/>
            <w:tcBorders>
              <w:bottom w:val="single" w:sz="4" w:space="0" w:color="auto"/>
            </w:tcBorders>
          </w:tcPr>
          <w:p w14:paraId="55328F98" w14:textId="77777777" w:rsidR="00CF04BC" w:rsidRPr="00B93493" w:rsidRDefault="00CF04BC" w:rsidP="002E7F54">
            <w:pPr>
              <w:pStyle w:val="Tablehead"/>
              <w:rPr>
                <w:szCs w:val="22"/>
              </w:rPr>
            </w:pPr>
            <w:r w:rsidRPr="00B93493">
              <w:rPr>
                <w:szCs w:val="22"/>
              </w:rPr>
              <w:t>Parameter</w:t>
            </w:r>
          </w:p>
        </w:tc>
        <w:tc>
          <w:tcPr>
            <w:tcW w:w="3402" w:type="dxa"/>
            <w:tcBorders>
              <w:bottom w:val="single" w:sz="4" w:space="0" w:color="auto"/>
            </w:tcBorders>
          </w:tcPr>
          <w:p w14:paraId="0FBBA85B" w14:textId="77777777" w:rsidR="00CF04BC" w:rsidRPr="00B93493" w:rsidRDefault="00CF04BC" w:rsidP="002E7F54">
            <w:pPr>
              <w:pStyle w:val="Tablehead"/>
              <w:rPr>
                <w:szCs w:val="22"/>
              </w:rPr>
            </w:pPr>
            <w:r w:rsidRPr="00B93493">
              <w:rPr>
                <w:szCs w:val="22"/>
              </w:rPr>
              <w:t>Calculation value</w:t>
            </w:r>
          </w:p>
        </w:tc>
      </w:tr>
      <w:tr w:rsidR="00CF04BC" w:rsidRPr="00B93493" w14:paraId="78A8C58F"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1D5C16D6" w14:textId="77777777" w:rsidR="00CF04BC" w:rsidRPr="00B93493" w:rsidRDefault="00CF04BC" w:rsidP="002E7F54">
            <w:pPr>
              <w:pStyle w:val="Tabletext"/>
              <w:jc w:val="center"/>
            </w:pPr>
            <w:r w:rsidRPr="00B93493">
              <w:rPr>
                <w:i/>
                <w:iCs/>
              </w:rPr>
              <w:t>N</w:t>
            </w:r>
            <w:r w:rsidRPr="00B93493">
              <w:rPr>
                <w:vertAlign w:val="subscript"/>
              </w:rPr>
              <w:t>0</w:t>
            </w:r>
          </w:p>
        </w:tc>
        <w:tc>
          <w:tcPr>
            <w:tcW w:w="5103" w:type="dxa"/>
            <w:tcBorders>
              <w:top w:val="single" w:sz="4" w:space="0" w:color="auto"/>
              <w:left w:val="single" w:sz="4" w:space="0" w:color="auto"/>
              <w:bottom w:val="single" w:sz="4" w:space="0" w:color="auto"/>
              <w:right w:val="single" w:sz="4" w:space="0" w:color="auto"/>
            </w:tcBorders>
          </w:tcPr>
          <w:p w14:paraId="70E4CD1B" w14:textId="77777777" w:rsidR="00CF04BC" w:rsidRPr="00B93493" w:rsidRDefault="00CF04BC" w:rsidP="002E7F54">
            <w:pPr>
              <w:pStyle w:val="Tabletext"/>
            </w:pPr>
            <w:r w:rsidRPr="00B93493">
              <w:t>Initial number of subscribers in the mobile network</w:t>
            </w:r>
          </w:p>
        </w:tc>
        <w:tc>
          <w:tcPr>
            <w:tcW w:w="3402" w:type="dxa"/>
            <w:tcBorders>
              <w:top w:val="single" w:sz="4" w:space="0" w:color="auto"/>
              <w:left w:val="single" w:sz="4" w:space="0" w:color="auto"/>
              <w:bottom w:val="single" w:sz="4" w:space="0" w:color="auto"/>
              <w:right w:val="single" w:sz="4" w:space="0" w:color="auto"/>
            </w:tcBorders>
          </w:tcPr>
          <w:p w14:paraId="149D7BF3" w14:textId="77777777" w:rsidR="00CF04BC" w:rsidRPr="00B93493" w:rsidRDefault="00CF04BC" w:rsidP="002E7F54">
            <w:pPr>
              <w:pStyle w:val="Tabletext"/>
            </w:pPr>
            <w:r w:rsidRPr="00B93493">
              <w:t>300 subscribers</w:t>
            </w:r>
          </w:p>
        </w:tc>
      </w:tr>
      <w:tr w:rsidR="00CF04BC" w:rsidRPr="00B93493" w14:paraId="7D640F7D"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7DAFE632" w14:textId="77777777" w:rsidR="00CF04BC" w:rsidRPr="00B93493" w:rsidRDefault="00CF04BC" w:rsidP="002E7F54">
            <w:pPr>
              <w:pStyle w:val="Tabletext"/>
              <w:jc w:val="center"/>
            </w:pPr>
            <w:r w:rsidRPr="00B93493">
              <w:rPr>
                <w:i/>
                <w:iCs/>
              </w:rPr>
              <w:t>T</w:t>
            </w:r>
            <w:r w:rsidRPr="00B93493">
              <w:rPr>
                <w:vertAlign w:val="subscript"/>
              </w:rPr>
              <w:t>1</w:t>
            </w:r>
          </w:p>
        </w:tc>
        <w:tc>
          <w:tcPr>
            <w:tcW w:w="5103" w:type="dxa"/>
            <w:tcBorders>
              <w:top w:val="single" w:sz="4" w:space="0" w:color="auto"/>
              <w:left w:val="single" w:sz="4" w:space="0" w:color="auto"/>
              <w:bottom w:val="single" w:sz="4" w:space="0" w:color="auto"/>
              <w:right w:val="single" w:sz="4" w:space="0" w:color="auto"/>
            </w:tcBorders>
          </w:tcPr>
          <w:p w14:paraId="601F180E" w14:textId="77777777" w:rsidR="00CF04BC" w:rsidRPr="00B93493" w:rsidRDefault="00CF04BC" w:rsidP="002E7F54">
            <w:pPr>
              <w:pStyle w:val="Tabletext"/>
            </w:pPr>
            <w:r w:rsidRPr="00B93493">
              <w:t>Tariff per minute for the lease of a channel in the public network</w:t>
            </w:r>
          </w:p>
        </w:tc>
        <w:tc>
          <w:tcPr>
            <w:tcW w:w="3402" w:type="dxa"/>
            <w:tcBorders>
              <w:top w:val="single" w:sz="4" w:space="0" w:color="auto"/>
              <w:left w:val="single" w:sz="4" w:space="0" w:color="auto"/>
              <w:bottom w:val="single" w:sz="4" w:space="0" w:color="auto"/>
              <w:right w:val="single" w:sz="4" w:space="0" w:color="auto"/>
            </w:tcBorders>
          </w:tcPr>
          <w:p w14:paraId="23EAAFB9" w14:textId="77777777" w:rsidR="00CF04BC" w:rsidRPr="00B93493" w:rsidRDefault="00CF04BC" w:rsidP="002E7F54">
            <w:pPr>
              <w:pStyle w:val="Tabletext"/>
            </w:pPr>
            <w:r w:rsidRPr="00B93493">
              <w:t>USD 0.05/min</w:t>
            </w:r>
          </w:p>
        </w:tc>
      </w:tr>
      <w:tr w:rsidR="00CF04BC" w:rsidRPr="00B93493" w14:paraId="550F7952"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02B332F6" w14:textId="77777777" w:rsidR="00CF04BC" w:rsidRPr="00B93493" w:rsidRDefault="00CF04BC" w:rsidP="002E7F54">
            <w:pPr>
              <w:pStyle w:val="Tabletext"/>
              <w:jc w:val="center"/>
            </w:pPr>
            <w:r w:rsidRPr="00B93493">
              <w:rPr>
                <w:i/>
                <w:iCs/>
              </w:rPr>
              <w:t>X</w:t>
            </w:r>
          </w:p>
        </w:tc>
        <w:tc>
          <w:tcPr>
            <w:tcW w:w="5103" w:type="dxa"/>
            <w:tcBorders>
              <w:top w:val="single" w:sz="4" w:space="0" w:color="auto"/>
              <w:left w:val="single" w:sz="4" w:space="0" w:color="auto"/>
              <w:bottom w:val="single" w:sz="4" w:space="0" w:color="auto"/>
              <w:right w:val="single" w:sz="4" w:space="0" w:color="auto"/>
            </w:tcBorders>
          </w:tcPr>
          <w:p w14:paraId="2FB6C748" w14:textId="77777777" w:rsidR="00CF04BC" w:rsidRPr="00B93493" w:rsidRDefault="00CF04BC" w:rsidP="002E7F54">
            <w:pPr>
              <w:pStyle w:val="Tabletext"/>
            </w:pPr>
            <w:r w:rsidRPr="00B93493">
              <w:t>Coefficient characterizing the proportion of calls entering the public network</w:t>
            </w:r>
          </w:p>
        </w:tc>
        <w:tc>
          <w:tcPr>
            <w:tcW w:w="3402" w:type="dxa"/>
            <w:tcBorders>
              <w:top w:val="single" w:sz="4" w:space="0" w:color="auto"/>
              <w:left w:val="single" w:sz="4" w:space="0" w:color="auto"/>
              <w:bottom w:val="single" w:sz="4" w:space="0" w:color="auto"/>
              <w:right w:val="single" w:sz="4" w:space="0" w:color="auto"/>
            </w:tcBorders>
          </w:tcPr>
          <w:p w14:paraId="1207ECAE" w14:textId="77777777" w:rsidR="00CF04BC" w:rsidRPr="00B93493" w:rsidRDefault="00CF04BC" w:rsidP="002E7F54">
            <w:pPr>
              <w:pStyle w:val="Tabletext"/>
            </w:pPr>
            <w:r w:rsidRPr="00B93493">
              <w:t>0.7</w:t>
            </w:r>
          </w:p>
        </w:tc>
      </w:tr>
      <w:tr w:rsidR="00CF04BC" w:rsidRPr="00B93493" w14:paraId="4109A743"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4DAE1BC6" w14:textId="77777777" w:rsidR="00CF04BC" w:rsidRPr="00B93493" w:rsidRDefault="00CF04BC" w:rsidP="002E7F54">
            <w:pPr>
              <w:pStyle w:val="Tabletext"/>
              <w:jc w:val="center"/>
            </w:pPr>
            <w:r w:rsidRPr="00B93493">
              <w:rPr>
                <w:i/>
                <w:iCs/>
              </w:rPr>
              <w:t>K</w:t>
            </w:r>
            <w:r w:rsidRPr="00B93493">
              <w:rPr>
                <w:i/>
                <w:iCs/>
                <w:vertAlign w:val="subscript"/>
              </w:rPr>
              <w:t>PH</w:t>
            </w:r>
          </w:p>
        </w:tc>
        <w:tc>
          <w:tcPr>
            <w:tcW w:w="5103" w:type="dxa"/>
            <w:tcBorders>
              <w:top w:val="single" w:sz="4" w:space="0" w:color="auto"/>
              <w:left w:val="single" w:sz="4" w:space="0" w:color="auto"/>
              <w:bottom w:val="single" w:sz="4" w:space="0" w:color="auto"/>
              <w:right w:val="single" w:sz="4" w:space="0" w:color="auto"/>
            </w:tcBorders>
          </w:tcPr>
          <w:p w14:paraId="2B6C64BB" w14:textId="77777777" w:rsidR="00CF04BC" w:rsidRPr="00B93493" w:rsidRDefault="00CF04BC" w:rsidP="002E7F54">
            <w:pPr>
              <w:pStyle w:val="Tabletext"/>
            </w:pPr>
            <w:r w:rsidRPr="00B93493">
              <w:t>Traffic concentration coefficient characterizing the proportion of average daily traffic occurring during the busy hour; this is the ratio of busy-hour call time and mean daily call time</w:t>
            </w:r>
          </w:p>
        </w:tc>
        <w:tc>
          <w:tcPr>
            <w:tcW w:w="3402" w:type="dxa"/>
            <w:tcBorders>
              <w:top w:val="single" w:sz="4" w:space="0" w:color="auto"/>
              <w:left w:val="single" w:sz="4" w:space="0" w:color="auto"/>
              <w:bottom w:val="single" w:sz="4" w:space="0" w:color="auto"/>
              <w:right w:val="single" w:sz="4" w:space="0" w:color="auto"/>
            </w:tcBorders>
          </w:tcPr>
          <w:p w14:paraId="78611FB0" w14:textId="77777777" w:rsidR="00CF04BC" w:rsidRPr="00B93493" w:rsidRDefault="00CF04BC" w:rsidP="002E7F54">
            <w:pPr>
              <w:pStyle w:val="Tabletext"/>
            </w:pPr>
            <w:r w:rsidRPr="00B93493">
              <w:t>0.18</w:t>
            </w:r>
          </w:p>
        </w:tc>
      </w:tr>
      <w:tr w:rsidR="00CF04BC" w:rsidRPr="00B93493" w14:paraId="637CE0C9"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2A6286CA" w14:textId="77777777" w:rsidR="00CF04BC" w:rsidRPr="00B93493" w:rsidRDefault="00CF04BC" w:rsidP="002E7F54">
            <w:pPr>
              <w:pStyle w:val="Tabletext"/>
              <w:jc w:val="center"/>
            </w:pPr>
            <w:r w:rsidRPr="00B93493">
              <w:sym w:font="Symbol" w:char="F062"/>
            </w:r>
          </w:p>
        </w:tc>
        <w:tc>
          <w:tcPr>
            <w:tcW w:w="5103" w:type="dxa"/>
            <w:tcBorders>
              <w:top w:val="single" w:sz="4" w:space="0" w:color="auto"/>
              <w:left w:val="single" w:sz="4" w:space="0" w:color="auto"/>
              <w:bottom w:val="single" w:sz="4" w:space="0" w:color="auto"/>
              <w:right w:val="single" w:sz="4" w:space="0" w:color="auto"/>
            </w:tcBorders>
          </w:tcPr>
          <w:p w14:paraId="20D9B7DF" w14:textId="77777777" w:rsidR="00CF04BC" w:rsidRPr="00B93493" w:rsidRDefault="00CF04BC" w:rsidP="002E7F54">
            <w:pPr>
              <w:pStyle w:val="Tabletext"/>
            </w:pPr>
            <w:r w:rsidRPr="00B93493">
              <w:t>Activity of the subscriber during the busy hour</w:t>
            </w:r>
          </w:p>
        </w:tc>
        <w:tc>
          <w:tcPr>
            <w:tcW w:w="3402" w:type="dxa"/>
            <w:tcBorders>
              <w:top w:val="single" w:sz="4" w:space="0" w:color="auto"/>
              <w:left w:val="single" w:sz="4" w:space="0" w:color="auto"/>
              <w:bottom w:val="single" w:sz="4" w:space="0" w:color="auto"/>
              <w:right w:val="single" w:sz="4" w:space="0" w:color="auto"/>
            </w:tcBorders>
          </w:tcPr>
          <w:p w14:paraId="5B6F9A3C" w14:textId="77777777" w:rsidR="00CF04BC" w:rsidRPr="00B93493" w:rsidRDefault="00CF04BC" w:rsidP="002E7F54">
            <w:pPr>
              <w:pStyle w:val="Tabletext"/>
            </w:pPr>
            <w:r w:rsidRPr="00B93493">
              <w:t>0.025</w:t>
            </w:r>
          </w:p>
        </w:tc>
      </w:tr>
      <w:tr w:rsidR="00CF04BC" w:rsidRPr="00B93493" w14:paraId="5C5976CA"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48C87BED" w14:textId="77777777" w:rsidR="00CF04BC" w:rsidRPr="00B93493" w:rsidRDefault="00CF04BC" w:rsidP="002E7F54">
            <w:pPr>
              <w:pStyle w:val="Tabletext"/>
              <w:jc w:val="center"/>
            </w:pPr>
            <w:r w:rsidRPr="00B93493">
              <w:rPr>
                <w:i/>
                <w:iCs/>
              </w:rPr>
              <w:t>P</w:t>
            </w:r>
            <w:r w:rsidRPr="00B93493">
              <w:rPr>
                <w:vertAlign w:val="subscript"/>
              </w:rPr>
              <w:t>1</w:t>
            </w:r>
          </w:p>
        </w:tc>
        <w:tc>
          <w:tcPr>
            <w:tcW w:w="5103" w:type="dxa"/>
            <w:tcBorders>
              <w:top w:val="single" w:sz="4" w:space="0" w:color="auto"/>
              <w:left w:val="single" w:sz="4" w:space="0" w:color="auto"/>
              <w:bottom w:val="single" w:sz="4" w:space="0" w:color="auto"/>
              <w:right w:val="single" w:sz="4" w:space="0" w:color="auto"/>
            </w:tcBorders>
          </w:tcPr>
          <w:p w14:paraId="4E470512" w14:textId="77777777" w:rsidR="00CF04BC" w:rsidRPr="00B93493" w:rsidRDefault="00CF04BC" w:rsidP="002E7F54">
            <w:pPr>
              <w:pStyle w:val="Tabletext"/>
            </w:pPr>
            <w:r w:rsidRPr="00B93493">
              <w:t>Mean one-time payment for connection to the network</w:t>
            </w:r>
          </w:p>
        </w:tc>
        <w:tc>
          <w:tcPr>
            <w:tcW w:w="3402" w:type="dxa"/>
            <w:tcBorders>
              <w:top w:val="single" w:sz="4" w:space="0" w:color="auto"/>
              <w:left w:val="single" w:sz="4" w:space="0" w:color="auto"/>
              <w:bottom w:val="single" w:sz="4" w:space="0" w:color="auto"/>
              <w:right w:val="single" w:sz="4" w:space="0" w:color="auto"/>
            </w:tcBorders>
          </w:tcPr>
          <w:p w14:paraId="159A5271" w14:textId="77777777" w:rsidR="00CF04BC" w:rsidRPr="00B93493" w:rsidRDefault="00CF04BC" w:rsidP="002E7F54">
            <w:pPr>
              <w:pStyle w:val="Tabletext"/>
            </w:pPr>
            <w:r w:rsidRPr="00B93493">
              <w:t>USD 200</w:t>
            </w:r>
          </w:p>
        </w:tc>
      </w:tr>
      <w:tr w:rsidR="00CF04BC" w:rsidRPr="00B93493" w14:paraId="08793B49"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6F2F16FF" w14:textId="77777777" w:rsidR="00CF04BC" w:rsidRPr="00B93493" w:rsidRDefault="00CF04BC" w:rsidP="002E7F54">
            <w:pPr>
              <w:pStyle w:val="Tabletext"/>
              <w:jc w:val="center"/>
            </w:pPr>
            <w:r w:rsidRPr="00B93493">
              <w:rPr>
                <w:i/>
                <w:iCs/>
              </w:rPr>
              <w:t>P</w:t>
            </w:r>
            <w:r w:rsidRPr="00B93493">
              <w:rPr>
                <w:vertAlign w:val="subscript"/>
              </w:rPr>
              <w:t>2</w:t>
            </w:r>
          </w:p>
        </w:tc>
        <w:tc>
          <w:tcPr>
            <w:tcW w:w="5103" w:type="dxa"/>
            <w:tcBorders>
              <w:top w:val="single" w:sz="4" w:space="0" w:color="auto"/>
              <w:left w:val="single" w:sz="4" w:space="0" w:color="auto"/>
              <w:bottom w:val="single" w:sz="4" w:space="0" w:color="auto"/>
              <w:right w:val="single" w:sz="4" w:space="0" w:color="auto"/>
            </w:tcBorders>
          </w:tcPr>
          <w:p w14:paraId="7C9218E3" w14:textId="77777777" w:rsidR="00CF04BC" w:rsidRPr="00B93493" w:rsidRDefault="00CF04BC" w:rsidP="002E7F54">
            <w:pPr>
              <w:pStyle w:val="Tabletext"/>
            </w:pPr>
            <w:r w:rsidRPr="00B93493">
              <w:t>Mean monthly subscription fee</w:t>
            </w:r>
          </w:p>
        </w:tc>
        <w:tc>
          <w:tcPr>
            <w:tcW w:w="3402" w:type="dxa"/>
            <w:tcBorders>
              <w:top w:val="single" w:sz="4" w:space="0" w:color="auto"/>
              <w:left w:val="single" w:sz="4" w:space="0" w:color="auto"/>
              <w:bottom w:val="single" w:sz="4" w:space="0" w:color="auto"/>
              <w:right w:val="single" w:sz="4" w:space="0" w:color="auto"/>
            </w:tcBorders>
          </w:tcPr>
          <w:p w14:paraId="0BD1BE2B" w14:textId="77777777" w:rsidR="00CF04BC" w:rsidRPr="00B93493" w:rsidRDefault="00CF04BC" w:rsidP="002E7F54">
            <w:pPr>
              <w:pStyle w:val="Tabletext"/>
            </w:pPr>
            <w:r w:rsidRPr="00B93493">
              <w:t>USD 50/month</w:t>
            </w:r>
          </w:p>
        </w:tc>
      </w:tr>
      <w:tr w:rsidR="00CF04BC" w:rsidRPr="00B93493" w14:paraId="2AED44D0"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2DE413D2" w14:textId="77777777" w:rsidR="00CF04BC" w:rsidRPr="00B93493" w:rsidRDefault="00CF04BC" w:rsidP="002E7F54">
            <w:pPr>
              <w:pStyle w:val="Tabletext"/>
              <w:jc w:val="center"/>
            </w:pPr>
            <w:r w:rsidRPr="00B93493">
              <w:rPr>
                <w:i/>
                <w:iCs/>
              </w:rPr>
              <w:t>P</w:t>
            </w:r>
            <w:r w:rsidRPr="00B93493">
              <w:rPr>
                <w:vertAlign w:val="subscript"/>
              </w:rPr>
              <w:t>3</w:t>
            </w:r>
          </w:p>
        </w:tc>
        <w:tc>
          <w:tcPr>
            <w:tcW w:w="5103" w:type="dxa"/>
            <w:tcBorders>
              <w:top w:val="single" w:sz="4" w:space="0" w:color="auto"/>
              <w:left w:val="single" w:sz="4" w:space="0" w:color="auto"/>
              <w:bottom w:val="single" w:sz="4" w:space="0" w:color="auto"/>
              <w:right w:val="single" w:sz="4" w:space="0" w:color="auto"/>
            </w:tcBorders>
          </w:tcPr>
          <w:p w14:paraId="21D930E3" w14:textId="77777777" w:rsidR="00CF04BC" w:rsidRPr="00B93493" w:rsidRDefault="00CF04BC" w:rsidP="002E7F54">
            <w:pPr>
              <w:pStyle w:val="Tabletext"/>
            </w:pPr>
            <w:r w:rsidRPr="00B93493">
              <w:t>Mean call rate</w:t>
            </w:r>
          </w:p>
        </w:tc>
        <w:tc>
          <w:tcPr>
            <w:tcW w:w="3402" w:type="dxa"/>
            <w:tcBorders>
              <w:top w:val="single" w:sz="4" w:space="0" w:color="auto"/>
              <w:left w:val="single" w:sz="4" w:space="0" w:color="auto"/>
              <w:bottom w:val="single" w:sz="4" w:space="0" w:color="auto"/>
              <w:right w:val="single" w:sz="4" w:space="0" w:color="auto"/>
            </w:tcBorders>
          </w:tcPr>
          <w:p w14:paraId="243546E3" w14:textId="77777777" w:rsidR="00CF04BC" w:rsidRPr="00B93493" w:rsidRDefault="00CF04BC" w:rsidP="002E7F54">
            <w:pPr>
              <w:pStyle w:val="Tabletext"/>
            </w:pPr>
            <w:r w:rsidRPr="00B93493">
              <w:t>USD 0.35/min</w:t>
            </w:r>
          </w:p>
        </w:tc>
      </w:tr>
      <w:tr w:rsidR="00CF04BC" w:rsidRPr="00B93493" w14:paraId="0FB1BB5A"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6B75AAF0" w14:textId="77777777" w:rsidR="00CF04BC" w:rsidRPr="00B93493" w:rsidRDefault="00CF04BC" w:rsidP="002E7F54">
            <w:pPr>
              <w:pStyle w:val="Tabletext"/>
              <w:jc w:val="center"/>
            </w:pPr>
            <w:r w:rsidRPr="00B93493">
              <w:rPr>
                <w:i/>
                <w:iCs/>
              </w:rPr>
              <w:t>n</w:t>
            </w:r>
          </w:p>
        </w:tc>
        <w:tc>
          <w:tcPr>
            <w:tcW w:w="5103" w:type="dxa"/>
            <w:tcBorders>
              <w:top w:val="single" w:sz="4" w:space="0" w:color="auto"/>
              <w:left w:val="single" w:sz="4" w:space="0" w:color="auto"/>
              <w:bottom w:val="single" w:sz="4" w:space="0" w:color="auto"/>
              <w:right w:val="single" w:sz="4" w:space="0" w:color="auto"/>
            </w:tcBorders>
          </w:tcPr>
          <w:p w14:paraId="1C2BAF0D" w14:textId="77777777" w:rsidR="00CF04BC" w:rsidRPr="00B93493" w:rsidRDefault="00CF04BC" w:rsidP="002E7F54">
            <w:pPr>
              <w:pStyle w:val="Tabletext"/>
            </w:pPr>
            <w:r w:rsidRPr="00B93493">
              <w:t>Licence period</w:t>
            </w:r>
          </w:p>
        </w:tc>
        <w:tc>
          <w:tcPr>
            <w:tcW w:w="3402" w:type="dxa"/>
            <w:tcBorders>
              <w:top w:val="single" w:sz="4" w:space="0" w:color="auto"/>
              <w:left w:val="single" w:sz="4" w:space="0" w:color="auto"/>
              <w:bottom w:val="single" w:sz="4" w:space="0" w:color="auto"/>
              <w:right w:val="single" w:sz="4" w:space="0" w:color="auto"/>
            </w:tcBorders>
          </w:tcPr>
          <w:p w14:paraId="52E754EC" w14:textId="77777777" w:rsidR="00CF04BC" w:rsidRPr="00B93493" w:rsidRDefault="00CF04BC" w:rsidP="002E7F54">
            <w:pPr>
              <w:pStyle w:val="Tabletext"/>
            </w:pPr>
            <w:r w:rsidRPr="00B93493">
              <w:t>10 years</w:t>
            </w:r>
          </w:p>
        </w:tc>
      </w:tr>
      <w:tr w:rsidR="00CF04BC" w:rsidRPr="00B93493" w14:paraId="62E4109A"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306D2877" w14:textId="77777777" w:rsidR="00CF04BC" w:rsidRPr="00B93493" w:rsidRDefault="00CF04BC" w:rsidP="002E7F54">
            <w:pPr>
              <w:pStyle w:val="Tabletext"/>
              <w:jc w:val="center"/>
            </w:pPr>
            <w:r w:rsidRPr="00B93493">
              <w:sym w:font="Symbol" w:char="F064"/>
            </w:r>
          </w:p>
        </w:tc>
        <w:tc>
          <w:tcPr>
            <w:tcW w:w="5103" w:type="dxa"/>
            <w:tcBorders>
              <w:top w:val="single" w:sz="4" w:space="0" w:color="auto"/>
              <w:left w:val="single" w:sz="4" w:space="0" w:color="auto"/>
              <w:bottom w:val="single" w:sz="4" w:space="0" w:color="auto"/>
              <w:right w:val="single" w:sz="4" w:space="0" w:color="auto"/>
            </w:tcBorders>
          </w:tcPr>
          <w:p w14:paraId="66B61C9E" w14:textId="77777777" w:rsidR="00CF04BC" w:rsidRPr="00B93493" w:rsidRDefault="00CF04BC" w:rsidP="002E7F54">
            <w:pPr>
              <w:pStyle w:val="Tabletext"/>
            </w:pPr>
            <w:r w:rsidRPr="00B93493">
              <w:t>Rate of national profit tax</w:t>
            </w:r>
          </w:p>
        </w:tc>
        <w:tc>
          <w:tcPr>
            <w:tcW w:w="3402" w:type="dxa"/>
            <w:tcBorders>
              <w:top w:val="single" w:sz="4" w:space="0" w:color="auto"/>
              <w:left w:val="single" w:sz="4" w:space="0" w:color="auto"/>
              <w:bottom w:val="single" w:sz="4" w:space="0" w:color="auto"/>
              <w:right w:val="single" w:sz="4" w:space="0" w:color="auto"/>
            </w:tcBorders>
          </w:tcPr>
          <w:p w14:paraId="7374CCDC" w14:textId="77777777" w:rsidR="00CF04BC" w:rsidRPr="00B93493" w:rsidRDefault="00CF04BC" w:rsidP="002E7F54">
            <w:pPr>
              <w:pStyle w:val="Tabletext"/>
            </w:pPr>
            <w:r w:rsidRPr="00B93493">
              <w:t>0.38</w:t>
            </w:r>
          </w:p>
        </w:tc>
      </w:tr>
      <w:tr w:rsidR="00CF04BC" w:rsidRPr="00B93493" w14:paraId="7D1A127A" w14:textId="77777777" w:rsidTr="002E7F54">
        <w:trPr>
          <w:jc w:val="center"/>
        </w:trPr>
        <w:tc>
          <w:tcPr>
            <w:tcW w:w="1134" w:type="dxa"/>
            <w:tcBorders>
              <w:top w:val="single" w:sz="4" w:space="0" w:color="auto"/>
              <w:left w:val="single" w:sz="4" w:space="0" w:color="auto"/>
              <w:bottom w:val="single" w:sz="4" w:space="0" w:color="auto"/>
              <w:right w:val="single" w:sz="4" w:space="0" w:color="auto"/>
            </w:tcBorders>
          </w:tcPr>
          <w:p w14:paraId="625DC760" w14:textId="77777777" w:rsidR="00CF04BC" w:rsidRPr="00B93493" w:rsidRDefault="00CF04BC" w:rsidP="002E7F54">
            <w:pPr>
              <w:pStyle w:val="Tabletext"/>
              <w:jc w:val="center"/>
            </w:pPr>
            <w:r w:rsidRPr="00B93493">
              <w:rPr>
                <w:i/>
                <w:iCs/>
              </w:rPr>
              <w:t>E</w:t>
            </w:r>
            <w:r w:rsidRPr="00B93493">
              <w:rPr>
                <w:i/>
                <w:iCs/>
                <w:vertAlign w:val="subscript"/>
              </w:rPr>
              <w:t>n</w:t>
            </w:r>
          </w:p>
        </w:tc>
        <w:tc>
          <w:tcPr>
            <w:tcW w:w="5103" w:type="dxa"/>
            <w:tcBorders>
              <w:top w:val="single" w:sz="4" w:space="0" w:color="auto"/>
              <w:left w:val="single" w:sz="4" w:space="0" w:color="auto"/>
              <w:bottom w:val="single" w:sz="4" w:space="0" w:color="auto"/>
              <w:right w:val="single" w:sz="4" w:space="0" w:color="auto"/>
            </w:tcBorders>
          </w:tcPr>
          <w:p w14:paraId="42B68923" w14:textId="77777777" w:rsidR="00CF04BC" w:rsidRPr="00B93493" w:rsidRDefault="00CF04BC" w:rsidP="002E7F54">
            <w:pPr>
              <w:pStyle w:val="Tabletext"/>
            </w:pPr>
            <w:r w:rsidRPr="00B93493">
              <w:t>Discount rate, equal to the average annual bank rate</w:t>
            </w:r>
          </w:p>
        </w:tc>
        <w:tc>
          <w:tcPr>
            <w:tcW w:w="3402" w:type="dxa"/>
            <w:tcBorders>
              <w:top w:val="single" w:sz="4" w:space="0" w:color="auto"/>
              <w:left w:val="single" w:sz="4" w:space="0" w:color="auto"/>
              <w:bottom w:val="single" w:sz="4" w:space="0" w:color="auto"/>
              <w:right w:val="single" w:sz="4" w:space="0" w:color="auto"/>
            </w:tcBorders>
          </w:tcPr>
          <w:p w14:paraId="6FB7E6B1" w14:textId="77777777" w:rsidR="00CF04BC" w:rsidRPr="00B93493" w:rsidRDefault="00CF04BC" w:rsidP="002E7F54">
            <w:pPr>
              <w:pStyle w:val="Tabletext"/>
            </w:pPr>
            <w:r w:rsidRPr="00B93493">
              <w:t>0.1</w:t>
            </w:r>
          </w:p>
        </w:tc>
      </w:tr>
    </w:tbl>
    <w:p w14:paraId="6C43CE06" w14:textId="77777777" w:rsidR="00CF04BC" w:rsidRPr="00B93493" w:rsidRDefault="00CF04BC" w:rsidP="00CF04BC">
      <w:pPr>
        <w:pStyle w:val="Tablefin"/>
      </w:pPr>
    </w:p>
    <w:p w14:paraId="0043B831" w14:textId="77777777" w:rsidR="00CF04BC" w:rsidRPr="00B93493" w:rsidRDefault="00CF04BC" w:rsidP="00CF04BC">
      <w:r w:rsidRPr="00B93493">
        <w:t xml:space="preserve">When determining the operator’s income and annual expenditure, it must be borne in mind that the number of network subscribers constantly varies through time according to a specific equation, </w:t>
      </w:r>
      <w:r w:rsidRPr="00B93493">
        <w:rPr>
          <w:i/>
          <w:iCs/>
        </w:rPr>
        <w:t>N</w:t>
      </w:r>
      <w:r w:rsidRPr="00B93493">
        <w:rPr>
          <w:i/>
          <w:iCs/>
          <w:vertAlign w:val="subscript"/>
        </w:rPr>
        <w:t>a</w:t>
      </w:r>
      <w:r w:rsidRPr="00B93493">
        <w:t>(</w:t>
      </w:r>
      <w:r w:rsidRPr="00B93493">
        <w:rPr>
          <w:i/>
          <w:iCs/>
        </w:rPr>
        <w:t>t</w:t>
      </w:r>
      <w:r w:rsidRPr="00B93493">
        <w:rPr>
          <w:rFonts w:ascii="Tms Rmn" w:hAnsi="Tms Rmn"/>
          <w:sz w:val="2"/>
        </w:rPr>
        <w:t> </w:t>
      </w:r>
      <w:r w:rsidRPr="00B93493">
        <w:t>), which may be calculated based on statistical data on the development of mobile networks. For cellular mobile networks being developed in the Russian Federation, this may be expressed as follows:</w:t>
      </w:r>
    </w:p>
    <w:p w14:paraId="40FDD497" w14:textId="77777777" w:rsidR="00CF04BC" w:rsidRPr="00B93493" w:rsidRDefault="00CF04BC" w:rsidP="00CF04BC">
      <w:pPr>
        <w:pStyle w:val="Blanc"/>
      </w:pPr>
    </w:p>
    <w:p w14:paraId="64D185D0" w14:textId="77777777" w:rsidR="00CF04BC" w:rsidRPr="00B93493" w:rsidRDefault="00CF04BC" w:rsidP="00CF04BC">
      <w:pPr>
        <w:pStyle w:val="Equation"/>
      </w:pPr>
      <w:r w:rsidRPr="00B93493">
        <w:tab/>
      </w:r>
      <w:r w:rsidRPr="00B93493">
        <w:tab/>
      </w:r>
      <w:r w:rsidRPr="00B93493">
        <w:rPr>
          <w:position w:val="-12"/>
        </w:rPr>
        <w:object w:dxaOrig="6326" w:dyaOrig="391" w14:anchorId="221B0DA4">
          <v:shape id="_x0000_i1081" type="#_x0000_t75" style="width:316.8pt;height:20.15pt" o:ole="">
            <v:imagedata r:id="rId147" o:title=""/>
          </v:shape>
          <o:OLEObject Type="Embed" ProgID="Equation.3" ShapeID="_x0000_i1081" DrawAspect="Content" ObjectID="_1812968363" r:id="rId148"/>
        </w:object>
      </w:r>
    </w:p>
    <w:p w14:paraId="5507666F" w14:textId="77777777" w:rsidR="00CF04BC" w:rsidRPr="00B93493" w:rsidRDefault="00CF04BC" w:rsidP="00CF04BC">
      <w:pPr>
        <w:pStyle w:val="Blanc"/>
      </w:pPr>
    </w:p>
    <w:p w14:paraId="17F1A36B" w14:textId="77777777" w:rsidR="00CF04BC" w:rsidRPr="00B93493" w:rsidRDefault="00CF04BC" w:rsidP="00CF04BC">
      <w:r w:rsidRPr="00B93493">
        <w:t>Table 2</w:t>
      </w:r>
      <w:r>
        <w:rPr>
          <w:rFonts w:hint="eastAsia"/>
          <w:lang w:eastAsia="zh-CN"/>
        </w:rPr>
        <w:t>6</w:t>
      </w:r>
      <w:r>
        <w:rPr>
          <w:lang w:eastAsia="zh-CN"/>
        </w:rPr>
        <w:t xml:space="preserve"> </w:t>
      </w:r>
      <w:r w:rsidRPr="00B93493">
        <w:t>gives data on the evolution in the number of subscribers to GSM standard networks in the Russian Federation, together with the correspondingly calculated values of </w:t>
      </w:r>
      <w:r w:rsidRPr="00B93493">
        <w:rPr>
          <w:rFonts w:ascii="Symbol" w:hAnsi="Symbol"/>
        </w:rPr>
        <w:t></w:t>
      </w:r>
      <w:r w:rsidRPr="00B93493">
        <w:rPr>
          <w:i/>
          <w:iCs/>
          <w:vertAlign w:val="subscript"/>
        </w:rPr>
        <w:t>k</w:t>
      </w:r>
      <w:r w:rsidRPr="00B93493">
        <w:t>:</w:t>
      </w:r>
    </w:p>
    <w:p w14:paraId="2C16F359" w14:textId="77777777" w:rsidR="00CF04BC" w:rsidRPr="00B93493" w:rsidRDefault="00CF04BC" w:rsidP="00CF04BC">
      <w:pPr>
        <w:pStyle w:val="TableNo"/>
        <w:rPr>
          <w:lang w:eastAsia="zh-CN"/>
        </w:rPr>
      </w:pPr>
      <w:r w:rsidRPr="00B93493">
        <w:t>TABLE 2</w:t>
      </w:r>
      <w:r>
        <w:rPr>
          <w:rFonts w:hint="eastAsia"/>
          <w:lang w:eastAsia="zh-CN"/>
        </w:rPr>
        <w:t>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74"/>
        <w:gridCol w:w="1474"/>
        <w:gridCol w:w="1474"/>
        <w:gridCol w:w="1474"/>
        <w:gridCol w:w="1474"/>
        <w:gridCol w:w="1474"/>
      </w:tblGrid>
      <w:tr w:rsidR="00CF04BC" w:rsidRPr="00B93493" w14:paraId="7A6A9AB4" w14:textId="77777777" w:rsidTr="002E7F54">
        <w:trPr>
          <w:jc w:val="center"/>
        </w:trPr>
        <w:tc>
          <w:tcPr>
            <w:tcW w:w="1474" w:type="dxa"/>
          </w:tcPr>
          <w:p w14:paraId="07826F02" w14:textId="77777777" w:rsidR="00CF04BC" w:rsidRPr="00B93493" w:rsidRDefault="00CF04BC" w:rsidP="002E7F54">
            <w:pPr>
              <w:pStyle w:val="Tablehead"/>
            </w:pPr>
            <w:r w:rsidRPr="00B93493">
              <w:t>Year</w:t>
            </w:r>
          </w:p>
        </w:tc>
        <w:tc>
          <w:tcPr>
            <w:tcW w:w="1474" w:type="dxa"/>
          </w:tcPr>
          <w:p w14:paraId="31E952C1" w14:textId="77777777" w:rsidR="00CF04BC" w:rsidRPr="00B93493" w:rsidRDefault="00CF04BC" w:rsidP="002E7F54">
            <w:pPr>
              <w:pStyle w:val="Tablehead"/>
            </w:pPr>
            <w:r w:rsidRPr="00B93493">
              <w:t>1994</w:t>
            </w:r>
          </w:p>
        </w:tc>
        <w:tc>
          <w:tcPr>
            <w:tcW w:w="1474" w:type="dxa"/>
          </w:tcPr>
          <w:p w14:paraId="5F188456" w14:textId="77777777" w:rsidR="00CF04BC" w:rsidRPr="00B93493" w:rsidRDefault="00CF04BC" w:rsidP="002E7F54">
            <w:pPr>
              <w:pStyle w:val="Tablehead"/>
            </w:pPr>
            <w:r w:rsidRPr="00B93493">
              <w:t>1995</w:t>
            </w:r>
          </w:p>
        </w:tc>
        <w:tc>
          <w:tcPr>
            <w:tcW w:w="1474" w:type="dxa"/>
          </w:tcPr>
          <w:p w14:paraId="4A99C95C" w14:textId="77777777" w:rsidR="00CF04BC" w:rsidRPr="00B93493" w:rsidRDefault="00CF04BC" w:rsidP="002E7F54">
            <w:pPr>
              <w:pStyle w:val="Tablehead"/>
            </w:pPr>
            <w:r w:rsidRPr="00B93493">
              <w:t>1996</w:t>
            </w:r>
          </w:p>
        </w:tc>
        <w:tc>
          <w:tcPr>
            <w:tcW w:w="1474" w:type="dxa"/>
          </w:tcPr>
          <w:p w14:paraId="08CE9A67" w14:textId="77777777" w:rsidR="00CF04BC" w:rsidRPr="00B93493" w:rsidRDefault="00CF04BC" w:rsidP="002E7F54">
            <w:pPr>
              <w:pStyle w:val="Tablehead"/>
            </w:pPr>
            <w:r w:rsidRPr="00B93493">
              <w:t>1997</w:t>
            </w:r>
          </w:p>
        </w:tc>
        <w:tc>
          <w:tcPr>
            <w:tcW w:w="1474" w:type="dxa"/>
          </w:tcPr>
          <w:p w14:paraId="79061BEF" w14:textId="77777777" w:rsidR="00CF04BC" w:rsidRPr="00B93493" w:rsidRDefault="00CF04BC" w:rsidP="002E7F54">
            <w:pPr>
              <w:pStyle w:val="Tablehead"/>
            </w:pPr>
            <w:r w:rsidRPr="00B93493">
              <w:t>1998-2005</w:t>
            </w:r>
          </w:p>
        </w:tc>
      </w:tr>
      <w:tr w:rsidR="00CF04BC" w:rsidRPr="00B93493" w14:paraId="659EC46B" w14:textId="77777777" w:rsidTr="002E7F54">
        <w:trPr>
          <w:jc w:val="center"/>
        </w:trPr>
        <w:tc>
          <w:tcPr>
            <w:tcW w:w="1474" w:type="dxa"/>
          </w:tcPr>
          <w:p w14:paraId="66BDE765" w14:textId="77777777" w:rsidR="00CF04BC" w:rsidRPr="00B93493" w:rsidRDefault="00CF04BC" w:rsidP="002E7F54">
            <w:pPr>
              <w:pStyle w:val="Tabletext"/>
            </w:pPr>
            <w:r w:rsidRPr="00B93493">
              <w:rPr>
                <w:i/>
                <w:iCs/>
              </w:rPr>
              <w:t>k</w:t>
            </w:r>
          </w:p>
        </w:tc>
        <w:tc>
          <w:tcPr>
            <w:tcW w:w="1474" w:type="dxa"/>
          </w:tcPr>
          <w:p w14:paraId="1E62FF36" w14:textId="77777777" w:rsidR="00CF04BC" w:rsidRPr="00B93493" w:rsidRDefault="00CF04BC" w:rsidP="002E7F54">
            <w:pPr>
              <w:pStyle w:val="Tabletext"/>
              <w:jc w:val="center"/>
            </w:pPr>
            <w:r w:rsidRPr="00B93493">
              <w:t>0</w:t>
            </w:r>
          </w:p>
        </w:tc>
        <w:tc>
          <w:tcPr>
            <w:tcW w:w="1474" w:type="dxa"/>
          </w:tcPr>
          <w:p w14:paraId="56E57536" w14:textId="77777777" w:rsidR="00CF04BC" w:rsidRPr="00B93493" w:rsidRDefault="00CF04BC" w:rsidP="002E7F54">
            <w:pPr>
              <w:pStyle w:val="Tabletext"/>
              <w:jc w:val="center"/>
            </w:pPr>
            <w:r w:rsidRPr="00B93493">
              <w:t>1</w:t>
            </w:r>
          </w:p>
        </w:tc>
        <w:tc>
          <w:tcPr>
            <w:tcW w:w="1474" w:type="dxa"/>
          </w:tcPr>
          <w:p w14:paraId="3BCE741B" w14:textId="77777777" w:rsidR="00CF04BC" w:rsidRPr="00B93493" w:rsidRDefault="00CF04BC" w:rsidP="002E7F54">
            <w:pPr>
              <w:pStyle w:val="Tabletext"/>
              <w:jc w:val="center"/>
            </w:pPr>
            <w:r w:rsidRPr="00B93493">
              <w:t>2</w:t>
            </w:r>
          </w:p>
        </w:tc>
        <w:tc>
          <w:tcPr>
            <w:tcW w:w="1474" w:type="dxa"/>
          </w:tcPr>
          <w:p w14:paraId="7A490154" w14:textId="77777777" w:rsidR="00CF04BC" w:rsidRPr="00B93493" w:rsidRDefault="00CF04BC" w:rsidP="002E7F54">
            <w:pPr>
              <w:pStyle w:val="Tabletext"/>
              <w:jc w:val="center"/>
            </w:pPr>
            <w:r w:rsidRPr="00B93493">
              <w:t>3</w:t>
            </w:r>
          </w:p>
        </w:tc>
        <w:tc>
          <w:tcPr>
            <w:tcW w:w="1474" w:type="dxa"/>
          </w:tcPr>
          <w:p w14:paraId="5DC4E555" w14:textId="77777777" w:rsidR="00CF04BC" w:rsidRPr="00B93493" w:rsidRDefault="00CF04BC" w:rsidP="002E7F54">
            <w:pPr>
              <w:pStyle w:val="Tabletext"/>
              <w:jc w:val="center"/>
            </w:pPr>
            <w:r w:rsidRPr="00B93493">
              <w:t>4-11</w:t>
            </w:r>
          </w:p>
        </w:tc>
      </w:tr>
      <w:tr w:rsidR="00CF04BC" w:rsidRPr="00B93493" w14:paraId="1CE69EE3" w14:textId="77777777" w:rsidTr="002E7F54">
        <w:trPr>
          <w:jc w:val="center"/>
        </w:trPr>
        <w:tc>
          <w:tcPr>
            <w:tcW w:w="1474" w:type="dxa"/>
          </w:tcPr>
          <w:p w14:paraId="16E23535" w14:textId="77777777" w:rsidR="00CF04BC" w:rsidRPr="00B93493" w:rsidRDefault="00CF04BC" w:rsidP="002E7F54">
            <w:pPr>
              <w:pStyle w:val="Tabletext"/>
            </w:pPr>
            <w:r w:rsidRPr="00B93493">
              <w:rPr>
                <w:i/>
                <w:iCs/>
              </w:rPr>
              <w:t>N</w:t>
            </w:r>
            <w:r w:rsidRPr="00B93493">
              <w:rPr>
                <w:i/>
                <w:iCs/>
                <w:vertAlign w:val="subscript"/>
              </w:rPr>
              <w:t>ak</w:t>
            </w:r>
            <w:r w:rsidRPr="00B93493">
              <w:rPr>
                <w:vertAlign w:val="subscript"/>
              </w:rPr>
              <w:t> </w:t>
            </w:r>
            <w:r w:rsidRPr="00B93493">
              <w:rPr>
                <w:rFonts w:ascii="Symbol" w:hAnsi="Symbol"/>
              </w:rPr>
              <w:t></w:t>
            </w:r>
            <w:r w:rsidRPr="00B93493">
              <w:t> </w:t>
            </w:r>
            <w:r w:rsidRPr="00B93493">
              <w:rPr>
                <w:i/>
                <w:iCs/>
              </w:rPr>
              <w:t>N</w:t>
            </w:r>
            <w:r w:rsidRPr="00B93493">
              <w:rPr>
                <w:i/>
                <w:iCs/>
                <w:vertAlign w:val="subscript"/>
              </w:rPr>
              <w:t>a</w:t>
            </w:r>
            <w:r w:rsidRPr="00B93493">
              <w:t>(</w:t>
            </w:r>
            <w:r w:rsidRPr="00B93493">
              <w:rPr>
                <w:i/>
                <w:iCs/>
              </w:rPr>
              <w:t>k</w:t>
            </w:r>
            <w:r w:rsidRPr="00B93493">
              <w:rPr>
                <w:rFonts w:ascii="Tms Rmn" w:hAnsi="Tms Rmn"/>
                <w:i/>
                <w:iCs/>
              </w:rPr>
              <w:t> </w:t>
            </w:r>
            <w:r w:rsidRPr="00B93493">
              <w:t>)</w:t>
            </w:r>
          </w:p>
        </w:tc>
        <w:tc>
          <w:tcPr>
            <w:tcW w:w="1474" w:type="dxa"/>
          </w:tcPr>
          <w:p w14:paraId="7F200126" w14:textId="77777777" w:rsidR="00CF04BC" w:rsidRPr="00B93493" w:rsidRDefault="00CF04BC" w:rsidP="002E7F54">
            <w:pPr>
              <w:pStyle w:val="Tabletext"/>
              <w:jc w:val="center"/>
            </w:pPr>
            <w:r w:rsidRPr="00B93493">
              <w:t>2 × 10</w:t>
            </w:r>
            <w:r w:rsidRPr="00B93493">
              <w:rPr>
                <w:vertAlign w:val="superscript"/>
              </w:rPr>
              <w:t>3</w:t>
            </w:r>
          </w:p>
        </w:tc>
        <w:tc>
          <w:tcPr>
            <w:tcW w:w="1474" w:type="dxa"/>
          </w:tcPr>
          <w:p w14:paraId="09D91947" w14:textId="77777777" w:rsidR="00CF04BC" w:rsidRPr="00B93493" w:rsidRDefault="00CF04BC" w:rsidP="002E7F54">
            <w:pPr>
              <w:pStyle w:val="Tabletext"/>
              <w:jc w:val="center"/>
            </w:pPr>
            <w:r w:rsidRPr="00B93493">
              <w:t>13 × 10</w:t>
            </w:r>
            <w:r w:rsidRPr="00B93493">
              <w:rPr>
                <w:vertAlign w:val="superscript"/>
              </w:rPr>
              <w:t>3</w:t>
            </w:r>
          </w:p>
        </w:tc>
        <w:tc>
          <w:tcPr>
            <w:tcW w:w="1474" w:type="dxa"/>
          </w:tcPr>
          <w:p w14:paraId="68AB5FAE" w14:textId="77777777" w:rsidR="00CF04BC" w:rsidRPr="00B93493" w:rsidRDefault="00CF04BC" w:rsidP="002E7F54">
            <w:pPr>
              <w:pStyle w:val="Tabletext"/>
              <w:jc w:val="center"/>
            </w:pPr>
            <w:r w:rsidRPr="00B93493">
              <w:t>53 × 10</w:t>
            </w:r>
            <w:r w:rsidRPr="00B93493">
              <w:rPr>
                <w:vertAlign w:val="superscript"/>
              </w:rPr>
              <w:t>3</w:t>
            </w:r>
          </w:p>
        </w:tc>
        <w:tc>
          <w:tcPr>
            <w:tcW w:w="1474" w:type="dxa"/>
          </w:tcPr>
          <w:p w14:paraId="11827A78" w14:textId="77777777" w:rsidR="00CF04BC" w:rsidRPr="00B93493" w:rsidRDefault="00CF04BC" w:rsidP="002E7F54">
            <w:pPr>
              <w:pStyle w:val="Tabletext"/>
              <w:jc w:val="center"/>
            </w:pPr>
            <w:r w:rsidRPr="00B93493">
              <w:t>132 × 10</w:t>
            </w:r>
            <w:r w:rsidRPr="00B93493">
              <w:rPr>
                <w:vertAlign w:val="superscript"/>
              </w:rPr>
              <w:t>3</w:t>
            </w:r>
          </w:p>
        </w:tc>
        <w:tc>
          <w:tcPr>
            <w:tcW w:w="1474" w:type="dxa"/>
          </w:tcPr>
          <w:p w14:paraId="55A1026B" w14:textId="77777777" w:rsidR="00CF04BC" w:rsidRPr="00B93493" w:rsidRDefault="00CF04BC" w:rsidP="002E7F54">
            <w:pPr>
              <w:pStyle w:val="Tabletext"/>
              <w:jc w:val="center"/>
            </w:pPr>
            <w:r w:rsidRPr="00B93493">
              <w:rPr>
                <w:i/>
                <w:iCs/>
              </w:rPr>
              <w:t>N</w:t>
            </w:r>
            <w:r w:rsidRPr="00B93493">
              <w:rPr>
                <w:i/>
                <w:iCs/>
                <w:vertAlign w:val="subscript"/>
              </w:rPr>
              <w:t>a</w:t>
            </w:r>
            <w:r w:rsidRPr="00B93493">
              <w:rPr>
                <w:vertAlign w:val="subscript"/>
              </w:rPr>
              <w:t>11</w:t>
            </w:r>
            <w:r w:rsidRPr="00B93493">
              <w:t> </w:t>
            </w:r>
            <w:r w:rsidRPr="00B93493">
              <w:rPr>
                <w:rFonts w:ascii="Symbol" w:hAnsi="Symbol"/>
              </w:rPr>
              <w:t></w:t>
            </w:r>
            <w:r w:rsidRPr="00B93493">
              <w:t> 2 × 10</w:t>
            </w:r>
            <w:r w:rsidRPr="00B93493">
              <w:rPr>
                <w:vertAlign w:val="superscript"/>
              </w:rPr>
              <w:t>6</w:t>
            </w:r>
          </w:p>
        </w:tc>
      </w:tr>
      <w:tr w:rsidR="00CF04BC" w:rsidRPr="00B93493" w14:paraId="64FDC91B" w14:textId="77777777" w:rsidTr="002E7F54">
        <w:trPr>
          <w:jc w:val="center"/>
        </w:trPr>
        <w:tc>
          <w:tcPr>
            <w:tcW w:w="1474" w:type="dxa"/>
          </w:tcPr>
          <w:p w14:paraId="566A200A" w14:textId="77777777" w:rsidR="00CF04BC" w:rsidRPr="00B93493" w:rsidRDefault="00CF04BC" w:rsidP="002E7F54">
            <w:pPr>
              <w:pStyle w:val="Tabletext"/>
            </w:pPr>
            <w:r w:rsidRPr="00B93493">
              <w:rPr>
                <w:rFonts w:ascii="Symbol" w:hAnsi="Symbol"/>
              </w:rPr>
              <w:t></w:t>
            </w:r>
            <w:r w:rsidRPr="00B93493">
              <w:rPr>
                <w:i/>
                <w:iCs/>
                <w:vertAlign w:val="subscript"/>
              </w:rPr>
              <w:t>k</w:t>
            </w:r>
          </w:p>
        </w:tc>
        <w:tc>
          <w:tcPr>
            <w:tcW w:w="1474" w:type="dxa"/>
          </w:tcPr>
          <w:p w14:paraId="405BF49A" w14:textId="77777777" w:rsidR="00CF04BC" w:rsidRPr="00B93493" w:rsidRDefault="00CF04BC" w:rsidP="002E7F54">
            <w:pPr>
              <w:pStyle w:val="Tabletext"/>
              <w:jc w:val="center"/>
            </w:pPr>
            <w:r w:rsidRPr="00B93493">
              <w:t>0</w:t>
            </w:r>
          </w:p>
        </w:tc>
        <w:tc>
          <w:tcPr>
            <w:tcW w:w="1474" w:type="dxa"/>
          </w:tcPr>
          <w:p w14:paraId="22C3910A" w14:textId="77777777" w:rsidR="00CF04BC" w:rsidRPr="00B93493" w:rsidRDefault="00CF04BC" w:rsidP="002E7F54">
            <w:pPr>
              <w:pStyle w:val="Tabletext"/>
              <w:jc w:val="center"/>
            </w:pPr>
            <w:r w:rsidRPr="00B93493">
              <w:t>1.87</w:t>
            </w:r>
          </w:p>
        </w:tc>
        <w:tc>
          <w:tcPr>
            <w:tcW w:w="1474" w:type="dxa"/>
          </w:tcPr>
          <w:p w14:paraId="439FDEFC" w14:textId="77777777" w:rsidR="00CF04BC" w:rsidRPr="00B93493" w:rsidRDefault="00CF04BC" w:rsidP="002E7F54">
            <w:pPr>
              <w:pStyle w:val="Tabletext"/>
              <w:jc w:val="center"/>
            </w:pPr>
            <w:r w:rsidRPr="00B93493">
              <w:t>1.48</w:t>
            </w:r>
          </w:p>
        </w:tc>
        <w:tc>
          <w:tcPr>
            <w:tcW w:w="1474" w:type="dxa"/>
          </w:tcPr>
          <w:p w14:paraId="673A45C8" w14:textId="77777777" w:rsidR="00CF04BC" w:rsidRPr="00B93493" w:rsidRDefault="00CF04BC" w:rsidP="002E7F54">
            <w:pPr>
              <w:pStyle w:val="Tabletext"/>
              <w:jc w:val="center"/>
            </w:pPr>
            <w:r w:rsidRPr="00B93493">
              <w:t>0.92</w:t>
            </w:r>
          </w:p>
        </w:tc>
        <w:tc>
          <w:tcPr>
            <w:tcW w:w="1474" w:type="dxa"/>
          </w:tcPr>
          <w:p w14:paraId="4193FA80" w14:textId="77777777" w:rsidR="00CF04BC" w:rsidRPr="00B93493" w:rsidRDefault="00CF04BC" w:rsidP="002E7F54">
            <w:pPr>
              <w:pStyle w:val="Tabletext"/>
              <w:jc w:val="center"/>
            </w:pPr>
            <w:r w:rsidRPr="00B93493">
              <w:t>0.34</w:t>
            </w:r>
          </w:p>
        </w:tc>
      </w:tr>
    </w:tbl>
    <w:p w14:paraId="7718EB05" w14:textId="77777777" w:rsidR="00CF04BC" w:rsidRPr="00B93493" w:rsidRDefault="00CF04BC" w:rsidP="00CF04BC">
      <w:pPr>
        <w:pStyle w:val="Tablefin"/>
      </w:pPr>
    </w:p>
    <w:p w14:paraId="11FD1355" w14:textId="77777777" w:rsidR="00CF04BC" w:rsidRPr="00B93493" w:rsidRDefault="00CF04BC" w:rsidP="00CF04BC">
      <w:pPr>
        <w:keepNext/>
        <w:keepLines/>
      </w:pPr>
      <w:r w:rsidRPr="00B93493">
        <w:t xml:space="preserve">Current annual expenditure, </w:t>
      </w:r>
      <w:r w:rsidRPr="00B93493">
        <w:rPr>
          <w:i/>
          <w:iCs/>
        </w:rPr>
        <w:t>Z</w:t>
      </w:r>
      <w:r w:rsidRPr="00B93493">
        <w:rPr>
          <w:vertAlign w:val="subscript"/>
        </w:rPr>
        <w:sym w:font="Symbol" w:char="F053"/>
      </w:r>
      <w:r w:rsidRPr="00B93493">
        <w:rPr>
          <w:i/>
          <w:iCs/>
          <w:vertAlign w:val="subscript"/>
        </w:rPr>
        <w:t>k</w:t>
      </w:r>
      <w:r w:rsidRPr="00B93493">
        <w:t>, comprises three components:</w:t>
      </w:r>
    </w:p>
    <w:p w14:paraId="34DB68BD" w14:textId="77777777" w:rsidR="00CF04BC" w:rsidRPr="00B93493" w:rsidRDefault="00CF04BC" w:rsidP="00CF04BC">
      <w:pPr>
        <w:pStyle w:val="Blanc"/>
      </w:pPr>
    </w:p>
    <w:p w14:paraId="604DF1BA" w14:textId="77777777" w:rsidR="00CF04BC" w:rsidRDefault="00CF04BC" w:rsidP="00CF04BC">
      <w:pPr>
        <w:pStyle w:val="Equation"/>
        <w:keepNext/>
        <w:keepLines/>
      </w:pPr>
      <w:r w:rsidRPr="00B93493">
        <w:tab/>
      </w:r>
      <w:r>
        <w:tab/>
      </w:r>
      <m:oMath>
        <m:sSub>
          <m:sSubPr>
            <m:ctrlPr>
              <w:rPr>
                <w:rFonts w:ascii="Cambria Math" w:hAnsi="Cambria Math"/>
                <w:i/>
              </w:rPr>
            </m:ctrlPr>
          </m:sSubPr>
          <m:e>
            <m:r>
              <w:rPr>
                <w:rFonts w:ascii="Cambria Math" w:hAnsi="Cambria Math"/>
              </w:rPr>
              <m:t>Z</m:t>
            </m:r>
          </m:e>
          <m:sub>
            <m:nary>
              <m:naryPr>
                <m:chr m:val="∑"/>
                <m:limLoc m:val="undOvr"/>
                <m:subHide m:val="1"/>
                <m:supHide m:val="1"/>
                <m:ctrlPr>
                  <w:rPr>
                    <w:rFonts w:ascii="Cambria Math" w:hAnsi="Cambria Math"/>
                    <w:i/>
                  </w:rPr>
                </m:ctrlPr>
              </m:naryPr>
              <m:sub/>
              <m:sup/>
              <m:e>
                <m:r>
                  <w:rPr>
                    <w:rFonts w:ascii="Cambria Math" w:hAnsi="Cambria Math"/>
                  </w:rPr>
                  <m:t>k</m:t>
                </m:r>
              </m:e>
            </m:nary>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3k</m:t>
            </m:r>
          </m:sub>
        </m:sSub>
      </m:oMath>
    </w:p>
    <w:p w14:paraId="293F48F5" w14:textId="77777777" w:rsidR="00CF04BC" w:rsidRPr="00B93493" w:rsidRDefault="00CF04BC" w:rsidP="00CF04BC">
      <w:pPr>
        <w:keepNext/>
        <w:keepLines/>
      </w:pPr>
      <w:r w:rsidRPr="00B93493">
        <w:t>where:</w:t>
      </w:r>
    </w:p>
    <w:p w14:paraId="7BDEB76A" w14:textId="77777777" w:rsidR="00CF04BC" w:rsidRPr="00B93493" w:rsidRDefault="00CF04BC" w:rsidP="00CF04BC">
      <w:pPr>
        <w:pStyle w:val="Equationlegend"/>
        <w:keepNext/>
        <w:keepLines/>
      </w:pPr>
      <w:r w:rsidRPr="00B93493">
        <w:tab/>
      </w:r>
      <w:r w:rsidRPr="00B93493">
        <w:rPr>
          <w:i/>
          <w:iCs/>
        </w:rPr>
        <w:t>Z</w:t>
      </w:r>
      <w:r w:rsidRPr="00B93493">
        <w:rPr>
          <w:vertAlign w:val="subscript"/>
        </w:rPr>
        <w:t>1</w:t>
      </w:r>
      <w:r w:rsidRPr="00B93493">
        <w:rPr>
          <w:i/>
          <w:iCs/>
          <w:vertAlign w:val="subscript"/>
        </w:rPr>
        <w:t>k</w:t>
      </w:r>
      <w:r w:rsidRPr="00B93493">
        <w:rPr>
          <w:rFonts w:ascii="Tms Rmn" w:hAnsi="Tms Rmn"/>
          <w:sz w:val="12"/>
        </w:rPr>
        <w:t> </w:t>
      </w:r>
      <w:r w:rsidRPr="00B93493">
        <w:t>:</w:t>
      </w:r>
      <w:r w:rsidRPr="00B93493">
        <w:rPr>
          <w:rFonts w:ascii="Tms Rmn" w:hAnsi="Tms Rmn"/>
        </w:rPr>
        <w:tab/>
      </w:r>
      <w:r w:rsidRPr="00B93493">
        <w:t>annual expenditure for operation, amortization, equipment maintenance, administrative costs, salaries, share dividends or interest on loans, payments for public utilities, land rental. On the basis of statistical data, the following approximation may be used:</w:t>
      </w:r>
    </w:p>
    <w:p w14:paraId="2A2F6A99" w14:textId="77777777" w:rsidR="00CF04BC" w:rsidRPr="00B93493" w:rsidRDefault="00CF04BC" w:rsidP="00CF04BC">
      <w:pPr>
        <w:pStyle w:val="Equation"/>
      </w:pPr>
      <w:r>
        <w:tab/>
      </w:r>
      <w:r w:rsidRPr="00B93493">
        <w:tab/>
      </w:r>
      <m:oMath>
        <m:sSub>
          <m:sSubPr>
            <m:ctrlPr>
              <w:rPr>
                <w:rFonts w:ascii="Cambria Math" w:hAnsi="Cambria Math"/>
                <w:i/>
              </w:rPr>
            </m:ctrlPr>
          </m:sSubPr>
          <m:e>
            <m:r>
              <w:rPr>
                <w:rFonts w:ascii="Cambria Math" w:hAnsi="Cambria Math"/>
              </w:rPr>
              <m:t>Z</m:t>
            </m:r>
          </m:e>
          <m:sub>
            <m:r>
              <w:rPr>
                <w:rFonts w:ascii="Cambria Math" w:hAnsi="Cambria Math"/>
              </w:rPr>
              <m:t>1k</m:t>
            </m:r>
          </m:sub>
        </m:sSub>
        <m:r>
          <w:rPr>
            <w:rFonts w:ascii="Cambria Math" w:hAnsi="Cambria Math"/>
          </w:rPr>
          <m:t>=805×</m:t>
        </m:r>
        <m:sSub>
          <m:sSubPr>
            <m:ctrlPr>
              <w:rPr>
                <w:rFonts w:ascii="Cambria Math" w:hAnsi="Cambria Math"/>
                <w:i/>
              </w:rPr>
            </m:ctrlPr>
          </m:sSubPr>
          <m:e>
            <m:r>
              <w:rPr>
                <w:rFonts w:ascii="Cambria Math" w:hAnsi="Cambria Math"/>
              </w:rPr>
              <m:t>N</m:t>
            </m:r>
          </m:e>
          <m:sub>
            <m:r>
              <w:rPr>
                <w:rFonts w:ascii="Cambria Math" w:hAnsi="Cambria Math"/>
              </w:rPr>
              <m:t>aki</m:t>
            </m:r>
          </m:sub>
        </m:sSub>
      </m:oMath>
    </w:p>
    <w:p w14:paraId="78194A9E" w14:textId="77777777" w:rsidR="00CF04BC" w:rsidRPr="00B93493" w:rsidRDefault="00CF04BC" w:rsidP="00CF04BC">
      <w:pPr>
        <w:pStyle w:val="Equationlegend"/>
      </w:pPr>
      <w:r w:rsidRPr="00B93493">
        <w:tab/>
      </w:r>
      <w:r w:rsidRPr="00B93493">
        <w:rPr>
          <w:i/>
          <w:iCs/>
        </w:rPr>
        <w:t>Z</w:t>
      </w:r>
      <w:r w:rsidRPr="00B93493">
        <w:rPr>
          <w:vertAlign w:val="subscript"/>
        </w:rPr>
        <w:t>2</w:t>
      </w:r>
      <w:r w:rsidRPr="00B93493">
        <w:rPr>
          <w:i/>
          <w:iCs/>
          <w:vertAlign w:val="subscript"/>
        </w:rPr>
        <w:t>k</w:t>
      </w:r>
      <w:r w:rsidRPr="00B93493">
        <w:rPr>
          <w:rFonts w:ascii="Tms Rmn" w:hAnsi="Tms Rmn"/>
          <w:sz w:val="12"/>
        </w:rPr>
        <w:t> </w:t>
      </w:r>
      <w:r w:rsidRPr="00B93493">
        <w:t>:</w:t>
      </w:r>
      <w:r w:rsidRPr="00B93493">
        <w:rPr>
          <w:rFonts w:ascii="Tms Rmn" w:hAnsi="Tms Rmn"/>
        </w:rPr>
        <w:tab/>
      </w:r>
      <w:r w:rsidRPr="00B93493">
        <w:t>annual expenditure for maintenance of the billing system, which may be taken as:</w:t>
      </w:r>
    </w:p>
    <w:p w14:paraId="7D5083D5" w14:textId="77777777" w:rsidR="00CF04BC" w:rsidRPr="00B93493" w:rsidRDefault="00CF04BC" w:rsidP="00CF04BC">
      <w:pPr>
        <w:pStyle w:val="Equation"/>
      </w:pPr>
      <w:r>
        <w:tab/>
      </w:r>
      <w:r w:rsidRPr="00B93493">
        <w:tab/>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r>
          <m:rPr>
            <m:sty m:val="p"/>
          </m:rPr>
          <w:rPr>
            <w:rFonts w:ascii="Cambria Math" w:hAnsi="Cambria Math"/>
          </w:rPr>
          <m:t>USD</m:t>
        </m:r>
        <m:r>
          <w:rPr>
            <w:rFonts w:ascii="Cambria Math" w:hAnsi="Cambria Math"/>
          </w:rPr>
          <m:t xml:space="preserve"> 30 000</m:t>
        </m:r>
      </m:oMath>
    </w:p>
    <w:p w14:paraId="14DE8D13" w14:textId="77777777" w:rsidR="00CF04BC" w:rsidRPr="00B93493" w:rsidRDefault="00CF04BC" w:rsidP="00CF04BC">
      <w:pPr>
        <w:pStyle w:val="Equationlegend"/>
      </w:pPr>
      <w:r w:rsidRPr="00B93493">
        <w:tab/>
      </w:r>
      <w:r w:rsidRPr="00B93493">
        <w:rPr>
          <w:i/>
          <w:iCs/>
        </w:rPr>
        <w:t>Z</w:t>
      </w:r>
      <w:r w:rsidRPr="00B93493">
        <w:rPr>
          <w:vertAlign w:val="subscript"/>
        </w:rPr>
        <w:t>3</w:t>
      </w:r>
      <w:r w:rsidRPr="00B93493">
        <w:rPr>
          <w:i/>
          <w:iCs/>
          <w:vertAlign w:val="subscript"/>
        </w:rPr>
        <w:t>k</w:t>
      </w:r>
      <w:r w:rsidRPr="00B93493">
        <w:rPr>
          <w:rFonts w:ascii="Tms Rmn" w:hAnsi="Tms Rmn"/>
          <w:sz w:val="12"/>
        </w:rPr>
        <w:t> </w:t>
      </w:r>
      <w:r w:rsidRPr="00B93493">
        <w:t>:</w:t>
      </w:r>
      <w:r w:rsidRPr="00B93493">
        <w:rPr>
          <w:rFonts w:ascii="Tms Rmn" w:hAnsi="Tms Rmn"/>
        </w:rPr>
        <w:tab/>
      </w:r>
      <w:r w:rsidRPr="00B93493">
        <w:t>annual expenditure for the lease of public network channels for one year (12 months):</w:t>
      </w:r>
    </w:p>
    <w:p w14:paraId="38D6CDC5" w14:textId="77777777" w:rsidR="00CF04BC" w:rsidRDefault="00CF04BC" w:rsidP="00CF04BC">
      <w:pPr>
        <w:pStyle w:val="Equation"/>
      </w:pPr>
      <w:r w:rsidRPr="00B93493">
        <w:tab/>
      </w:r>
      <w:r w:rsidRPr="00B93493">
        <w:tab/>
      </w:r>
      <m:oMath>
        <m:sSub>
          <m:sSubPr>
            <m:ctrlPr>
              <w:rPr>
                <w:rFonts w:ascii="Cambria Math" w:hAnsi="Cambria Math"/>
                <w:i/>
              </w:rPr>
            </m:ctrlPr>
          </m:sSubPr>
          <m:e>
            <m:r>
              <w:rPr>
                <w:rFonts w:ascii="Cambria Math" w:hAnsi="Cambria Math"/>
              </w:rPr>
              <m:t>Z</m:t>
            </m:r>
          </m:e>
          <m:sub>
            <m:r>
              <w:rPr>
                <w:rFonts w:ascii="Cambria Math" w:hAnsi="Cambria Math"/>
              </w:rPr>
              <m:t>3k</m:t>
            </m:r>
          </m:sub>
        </m:sSub>
        <m:r>
          <w:rPr>
            <w:rFonts w:ascii="Cambria Math" w:hAnsi="Cambria Math"/>
          </w:rPr>
          <m:t>=12×</m:t>
        </m:r>
        <m:sSub>
          <m:sSubPr>
            <m:ctrlPr>
              <w:rPr>
                <w:rFonts w:ascii="Cambria Math" w:hAnsi="Cambria Math"/>
                <w:i/>
              </w:rPr>
            </m:ctrlPr>
          </m:sSubPr>
          <m:e>
            <m:r>
              <w:rPr>
                <w:rFonts w:ascii="Cambria Math" w:hAnsi="Cambria Math"/>
              </w:rPr>
              <m:t>N</m:t>
            </m:r>
          </m:e>
          <m:sub>
            <m:r>
              <w:rPr>
                <w:rFonts w:ascii="Cambria Math" w:hAnsi="Cambria Math"/>
              </w:rPr>
              <m:t>ak</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×X×</m:t>
        </m:r>
        <m:sSub>
          <m:sSubPr>
            <m:ctrlPr>
              <w:rPr>
                <w:rFonts w:ascii="Cambria Math" w:hAnsi="Cambria Math"/>
                <w:i/>
              </w:rPr>
            </m:ctrlPr>
          </m:sSubPr>
          <m:e>
            <m:r>
              <w:rPr>
                <w:rFonts w:ascii="Cambria Math" w:hAnsi="Cambria Math"/>
              </w:rPr>
              <m:t>T</m:t>
            </m:r>
          </m:e>
          <m:sub>
            <m:r>
              <w:rPr>
                <w:rFonts w:ascii="Cambria Math" w:hAnsi="Cambria Math"/>
              </w:rPr>
              <m:t>1</m:t>
            </m:r>
          </m:sub>
        </m:sSub>
      </m:oMath>
    </w:p>
    <w:p w14:paraId="23A0DD6D" w14:textId="77777777" w:rsidR="00CF04BC" w:rsidRPr="00B93493" w:rsidRDefault="00CF04BC" w:rsidP="00CF04BC">
      <w:r w:rsidRPr="00B93493">
        <w:t xml:space="preserve">The value of </w:t>
      </w:r>
      <w:r w:rsidRPr="00B93493">
        <w:rPr>
          <w:i/>
          <w:iCs/>
        </w:rPr>
        <w:t>Y</w:t>
      </w:r>
      <w:r w:rsidRPr="00B93493">
        <w:rPr>
          <w:i/>
          <w:iCs/>
          <w:vertAlign w:val="subscript"/>
        </w:rPr>
        <w:t>M</w:t>
      </w:r>
      <w:r w:rsidRPr="00B93493">
        <w:t>, the monthly traffic for one subscriber, is the number of minutes per month during which a subscriber occupies a communication channel, and is determined by the equation:</w:t>
      </w:r>
    </w:p>
    <w:p w14:paraId="6D5B76C9" w14:textId="77777777" w:rsidR="00CF04BC" w:rsidRPr="00B93493" w:rsidRDefault="00CF04BC" w:rsidP="00CF04BC">
      <w:pPr>
        <w:pStyle w:val="Blanc"/>
      </w:pPr>
    </w:p>
    <w:p w14:paraId="68E8F534" w14:textId="77777777" w:rsidR="00CF04BC" w:rsidRPr="00B93493" w:rsidRDefault="00CF04BC" w:rsidP="00CF04BC">
      <w:pPr>
        <w:pStyle w:val="Equation"/>
      </w:pPr>
      <w:r>
        <w:tab/>
      </w:r>
      <w:r w:rsidRPr="00B93493">
        <w:tab/>
      </w:r>
      <m:oMath>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=30.4×</m:t>
        </m:r>
        <m:f>
          <m:fPr>
            <m:type m:val="lin"/>
            <m:ctrlPr>
              <w:rPr>
                <w:rFonts w:ascii="Cambria Math" w:hAnsi="Cambria Math"/>
                <w:i/>
              </w:rPr>
            </m:ctrlPr>
          </m:fPr>
          <m:num>
            <m:r>
              <m:rPr>
                <m:sty m:val="p"/>
              </m:rPr>
              <w:rPr>
                <w:rFonts w:ascii="Cambria Math" w:hAnsi="Cambria Math"/>
              </w:rPr>
              <m:t>β</m:t>
            </m:r>
          </m:num>
          <m:den>
            <m:sSub>
              <m:sSubPr>
                <m:ctrlPr>
                  <w:rPr>
                    <w:rFonts w:ascii="Cambria Math" w:hAnsi="Cambria Math"/>
                    <w:i/>
                  </w:rPr>
                </m:ctrlPr>
              </m:sSubPr>
              <m:e>
                <m:r>
                  <w:rPr>
                    <w:rFonts w:ascii="Cambria Math" w:hAnsi="Cambria Math"/>
                  </w:rPr>
                  <m:t>K</m:t>
                </m:r>
              </m:e>
              <m:sub>
                <m:r>
                  <w:rPr>
                    <w:rFonts w:ascii="Cambria Math" w:hAnsi="Cambria Math"/>
                  </w:rPr>
                  <m:t>PH</m:t>
                </m:r>
              </m:sub>
            </m:sSub>
          </m:den>
        </m:f>
      </m:oMath>
    </w:p>
    <w:p w14:paraId="4C13B337" w14:textId="77777777" w:rsidR="00CF04BC" w:rsidRPr="00B93493" w:rsidRDefault="00CF04BC" w:rsidP="00CF04BC">
      <w:pPr>
        <w:pStyle w:val="Blanc"/>
      </w:pPr>
    </w:p>
    <w:p w14:paraId="2ACF3154" w14:textId="77777777" w:rsidR="00CF04BC" w:rsidRPr="00B93493" w:rsidRDefault="00CF04BC" w:rsidP="00CF04BC">
      <w:r w:rsidRPr="00B93493">
        <w:t xml:space="preserve">Income from operation of a mobile network varies with the number of subscribers using the network’s services. It is calculated by the following equation for </w:t>
      </w:r>
      <w:r w:rsidRPr="00B93493">
        <w:rPr>
          <w:i/>
          <w:iCs/>
        </w:rPr>
        <w:t>k</w:t>
      </w:r>
      <w:r w:rsidRPr="00B93493">
        <w:t xml:space="preserve"> years of operation:</w:t>
      </w:r>
    </w:p>
    <w:p w14:paraId="69A43004" w14:textId="77777777" w:rsidR="00CF04BC" w:rsidRPr="00B93493" w:rsidRDefault="00CF04BC" w:rsidP="00CF04BC">
      <w:pPr>
        <w:pStyle w:val="Blanc"/>
      </w:pPr>
    </w:p>
    <w:p w14:paraId="5AD2F4C0" w14:textId="77777777" w:rsidR="00CF04BC" w:rsidRDefault="00CF04BC" w:rsidP="00CF04BC">
      <w:pPr>
        <w:pStyle w:val="Equation"/>
        <w:keepNext/>
        <w:keepLines/>
      </w:pPr>
      <w:r w:rsidRPr="00B93493">
        <w:tab/>
      </w:r>
      <w:r>
        <w:tab/>
      </w:r>
      <m:oMath>
        <m:sSub>
          <m:sSubPr>
            <m:ctrlPr>
              <w:rPr>
                <w:rFonts w:ascii="Cambria Math" w:hAnsi="Cambria Math"/>
                <w:i/>
              </w:rPr>
            </m:ctrlPr>
          </m:sSubPr>
          <m:e>
            <m:r>
              <w:rPr>
                <w:rFonts w:ascii="Cambria Math" w:hAnsi="Cambria Math"/>
              </w:rPr>
              <m:t>D</m:t>
            </m:r>
          </m:e>
          <m:sub>
            <m:nary>
              <m:naryPr>
                <m:chr m:val="∑"/>
                <m:limLoc m:val="undOvr"/>
                <m:subHide m:val="1"/>
                <m:supHide m:val="1"/>
                <m:ctrlPr>
                  <w:rPr>
                    <w:rFonts w:ascii="Cambria Math" w:hAnsi="Cambria Math"/>
                    <w:i/>
                  </w:rPr>
                </m:ctrlPr>
              </m:naryPr>
              <m:sub/>
              <m:sup/>
              <m:e>
                <m:r>
                  <w:rPr>
                    <w:rFonts w:ascii="Cambria Math" w:hAnsi="Cambria Math"/>
                  </w:rPr>
                  <m:t>k</m:t>
                </m:r>
              </m:e>
            </m:nary>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3k</m:t>
            </m:r>
          </m:sub>
        </m:sSub>
      </m:oMath>
    </w:p>
    <w:p w14:paraId="6A0447C8" w14:textId="77777777" w:rsidR="00CF04BC" w:rsidRPr="00B93493" w:rsidRDefault="00CF04BC" w:rsidP="00CF04BC">
      <w:r w:rsidRPr="00B93493">
        <w:t>where:</w:t>
      </w:r>
    </w:p>
    <w:p w14:paraId="4142C249" w14:textId="77777777" w:rsidR="00CF04BC" w:rsidRPr="00B93493" w:rsidRDefault="00CF04BC" w:rsidP="00CF04BC">
      <w:pPr>
        <w:pStyle w:val="Equationlegend"/>
      </w:pPr>
      <w:r w:rsidRPr="00B93493">
        <w:tab/>
      </w:r>
      <w:r w:rsidRPr="00B93493">
        <w:rPr>
          <w:i/>
          <w:iCs/>
        </w:rPr>
        <w:t>D</w:t>
      </w:r>
      <w:r w:rsidRPr="00B93493">
        <w:rPr>
          <w:position w:val="-4"/>
          <w:sz w:val="16"/>
        </w:rPr>
        <w:t>1</w:t>
      </w:r>
      <w:r w:rsidRPr="00B93493">
        <w:rPr>
          <w:i/>
          <w:iCs/>
          <w:position w:val="-4"/>
          <w:sz w:val="16"/>
        </w:rPr>
        <w:t>k</w:t>
      </w:r>
      <w:r w:rsidRPr="00B93493">
        <w:rPr>
          <w:rFonts w:ascii="Tms Rmn" w:hAnsi="Tms Rmn"/>
          <w:sz w:val="12"/>
        </w:rPr>
        <w:t> </w:t>
      </w:r>
      <w:r w:rsidRPr="00B93493">
        <w:t>:</w:t>
      </w:r>
      <w:r w:rsidRPr="00B93493">
        <w:rPr>
          <w:rFonts w:ascii="Tms Rmn" w:hAnsi="Tms Rmn"/>
        </w:rPr>
        <w:tab/>
      </w:r>
      <w:r w:rsidRPr="00B93493">
        <w:t xml:space="preserve">income from one-time payments for connection to the mobile network for </w:t>
      </w:r>
      <w:r w:rsidRPr="00B93493">
        <w:rPr>
          <w:i/>
          <w:iCs/>
        </w:rPr>
        <w:t>k</w:t>
      </w:r>
      <w:r w:rsidRPr="00B93493">
        <w:t xml:space="preserve"> years of operation, which directly includes: connection fee, guarantee deposit, access number, use of local public network operator’s line, sales mark-up for subscriber equipment, as follows:</w:t>
      </w:r>
    </w:p>
    <w:p w14:paraId="3924434F" w14:textId="77777777" w:rsidR="00CF04BC" w:rsidRDefault="00CF04BC" w:rsidP="00CF04BC">
      <w:pPr>
        <w:pStyle w:val="Equation"/>
      </w:pPr>
      <w:r>
        <w:tab/>
      </w:r>
      <w:r>
        <w:tab/>
      </w:r>
      <m:oMath>
        <m:sSub>
          <m:sSubPr>
            <m:ctrlPr>
              <w:rPr>
                <w:rFonts w:ascii="Cambria Math" w:hAnsi="Cambria Math"/>
                <w:i/>
              </w:rPr>
            </m:ctrlPr>
          </m:sSubPr>
          <m:e>
            <m:r>
              <w:rPr>
                <w:rFonts w:ascii="Cambria Math" w:hAnsi="Cambria Math"/>
              </w:rPr>
              <m:t>D</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ak</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oMath>
    </w:p>
    <w:p w14:paraId="3F3710E8" w14:textId="77777777" w:rsidR="00CF04BC" w:rsidRPr="00B93493" w:rsidRDefault="00CF04BC" w:rsidP="00CF04BC">
      <w:pPr>
        <w:ind w:left="1985" w:hanging="1985"/>
      </w:pPr>
      <w:r w:rsidRPr="00B93493">
        <w:tab/>
      </w:r>
      <w:r w:rsidRPr="00B93493">
        <w:tab/>
      </w:r>
      <w:r w:rsidRPr="00B93493">
        <w:tab/>
      </w:r>
      <w:r w:rsidRPr="00B93493">
        <w:tab/>
        <w:t xml:space="preserve">It should be noted that the operator receives income, </w:t>
      </w:r>
      <w:r w:rsidRPr="00B93493">
        <w:rPr>
          <w:i/>
          <w:iCs/>
        </w:rPr>
        <w:t>D</w:t>
      </w:r>
      <w:r w:rsidRPr="00B93493">
        <w:rPr>
          <w:vertAlign w:val="subscript"/>
        </w:rPr>
        <w:t>1</w:t>
      </w:r>
      <w:r w:rsidRPr="00B93493">
        <w:rPr>
          <w:i/>
          <w:iCs/>
          <w:vertAlign w:val="subscript"/>
        </w:rPr>
        <w:t>k</w:t>
      </w:r>
      <w:r w:rsidRPr="00B93493">
        <w:t>, from network subscribers in a single payment.</w:t>
      </w:r>
    </w:p>
    <w:p w14:paraId="3E905AA4" w14:textId="77777777" w:rsidR="00CF04BC" w:rsidRPr="00B93493" w:rsidRDefault="00CF04BC" w:rsidP="00CF04BC">
      <w:pPr>
        <w:pStyle w:val="Equationlegend"/>
      </w:pPr>
      <w:r w:rsidRPr="00B93493">
        <w:tab/>
      </w:r>
      <w:r w:rsidRPr="00B93493">
        <w:rPr>
          <w:i/>
          <w:iCs/>
        </w:rPr>
        <w:t>D</w:t>
      </w:r>
      <w:r w:rsidRPr="00B93493">
        <w:rPr>
          <w:vertAlign w:val="subscript"/>
        </w:rPr>
        <w:t>2</w:t>
      </w:r>
      <w:r w:rsidRPr="00B93493">
        <w:rPr>
          <w:i/>
          <w:iCs/>
          <w:vertAlign w:val="subscript"/>
        </w:rPr>
        <w:t>k</w:t>
      </w:r>
      <w:r w:rsidRPr="00B93493">
        <w:rPr>
          <w:rFonts w:ascii="Tms Rmn" w:hAnsi="Tms Rmn"/>
          <w:i/>
          <w:iCs/>
          <w:position w:val="-4"/>
          <w:sz w:val="12"/>
        </w:rPr>
        <w:t> </w:t>
      </w:r>
      <w:r w:rsidRPr="00B93493">
        <w:t>:</w:t>
      </w:r>
      <w:r w:rsidRPr="00B93493">
        <w:tab/>
        <w:t>income from monthly subscription fees</w:t>
      </w:r>
    </w:p>
    <w:p w14:paraId="42F20E8F" w14:textId="77777777" w:rsidR="00CF04BC" w:rsidRPr="00B93493" w:rsidRDefault="00CF04BC" w:rsidP="00CF04BC">
      <w:pPr>
        <w:pStyle w:val="Equationlegend"/>
      </w:pPr>
      <w:r w:rsidRPr="00B93493">
        <w:tab/>
      </w:r>
      <w:r w:rsidRPr="00B93493">
        <w:rPr>
          <w:i/>
          <w:iCs/>
        </w:rPr>
        <w:t>D</w:t>
      </w:r>
      <w:r w:rsidRPr="00B93493">
        <w:rPr>
          <w:vertAlign w:val="subscript"/>
        </w:rPr>
        <w:t>3</w:t>
      </w:r>
      <w:r w:rsidRPr="00B93493">
        <w:rPr>
          <w:i/>
          <w:iCs/>
          <w:vertAlign w:val="subscript"/>
        </w:rPr>
        <w:t>k</w:t>
      </w:r>
      <w:r w:rsidRPr="00B93493">
        <w:rPr>
          <w:rFonts w:ascii="Tms Rmn" w:hAnsi="Tms Rmn"/>
          <w:i/>
          <w:iCs/>
          <w:position w:val="-4"/>
          <w:sz w:val="12"/>
        </w:rPr>
        <w:t> </w:t>
      </w:r>
      <w:r w:rsidRPr="00B93493">
        <w:t>:</w:t>
      </w:r>
      <w:r w:rsidRPr="00B93493">
        <w:tab/>
        <w:t>income from monthly call fees.</w:t>
      </w:r>
    </w:p>
    <w:p w14:paraId="5B255AA4" w14:textId="29B8E280" w:rsidR="00CF04BC" w:rsidRPr="00B93493" w:rsidRDefault="00CF04BC" w:rsidP="00CF04BC">
      <w:r w:rsidRPr="00B93493">
        <w:t xml:space="preserve">Using the above relationship, </w:t>
      </w:r>
      <w:r w:rsidRPr="00B93493">
        <w:rPr>
          <w:i/>
          <w:iCs/>
        </w:rPr>
        <w:t>N</w:t>
      </w:r>
      <w:r w:rsidRPr="00B93493">
        <w:rPr>
          <w:i/>
          <w:iCs/>
          <w:vertAlign w:val="subscript"/>
        </w:rPr>
        <w:t>a</w:t>
      </w:r>
      <w:r w:rsidRPr="00B93493">
        <w:t>(</w:t>
      </w:r>
      <w:r w:rsidRPr="00B93493">
        <w:rPr>
          <w:i/>
          <w:iCs/>
        </w:rPr>
        <w:t>t</w:t>
      </w:r>
      <w:r w:rsidRPr="00B93493">
        <w:rPr>
          <w:rFonts w:ascii="Tms Rmn" w:hAnsi="Tms Rmn"/>
          <w:i/>
          <w:iCs/>
          <w:sz w:val="2"/>
        </w:rPr>
        <w:t> </w:t>
      </w:r>
      <w:r w:rsidRPr="00B93493">
        <w:t xml:space="preserve">), </w:t>
      </w:r>
      <w:r w:rsidRPr="00B93493">
        <w:rPr>
          <w:i/>
          <w:iCs/>
        </w:rPr>
        <w:t>D</w:t>
      </w:r>
      <w:r w:rsidRPr="00B93493">
        <w:rPr>
          <w:vertAlign w:val="subscript"/>
        </w:rPr>
        <w:t>2</w:t>
      </w:r>
      <w:r w:rsidRPr="00B93493">
        <w:rPr>
          <w:i/>
          <w:iCs/>
          <w:vertAlign w:val="subscript"/>
        </w:rPr>
        <w:t>k</w:t>
      </w:r>
      <w:r w:rsidRPr="00B93493">
        <w:t xml:space="preserve"> and </w:t>
      </w:r>
      <w:r w:rsidRPr="00B93493">
        <w:rPr>
          <w:i/>
          <w:iCs/>
        </w:rPr>
        <w:t>D</w:t>
      </w:r>
      <w:r w:rsidRPr="00B93493">
        <w:rPr>
          <w:vertAlign w:val="subscript"/>
        </w:rPr>
        <w:t>3</w:t>
      </w:r>
      <w:r w:rsidRPr="00B93493">
        <w:rPr>
          <w:i/>
          <w:iCs/>
          <w:vertAlign w:val="subscript"/>
        </w:rPr>
        <w:t>k</w:t>
      </w:r>
      <w:r w:rsidRPr="00B93493">
        <w:t xml:space="preserve"> </w:t>
      </w:r>
      <w:r w:rsidR="00092428">
        <w:t xml:space="preserve">are </w:t>
      </w:r>
      <w:r w:rsidR="00092428" w:rsidRPr="00B93493">
        <w:t>determine</w:t>
      </w:r>
      <w:r w:rsidR="00092428">
        <w:t>d</w:t>
      </w:r>
      <w:r w:rsidR="00092428" w:rsidRPr="00B93493">
        <w:t xml:space="preserve"> </w:t>
      </w:r>
      <w:r w:rsidRPr="00B93493">
        <w:t>as follows:</w:t>
      </w:r>
    </w:p>
    <w:p w14:paraId="4313257D" w14:textId="77777777" w:rsidR="00CF04BC" w:rsidRPr="00B93493" w:rsidRDefault="00CF04BC" w:rsidP="00CF04BC">
      <w:pPr>
        <w:pStyle w:val="Blanc"/>
      </w:pPr>
    </w:p>
    <w:p w14:paraId="5091F311" w14:textId="0E320723" w:rsidR="00CF04BC" w:rsidRPr="00B93493" w:rsidRDefault="00CF04BC" w:rsidP="00CF04BC">
      <w:pPr>
        <w:pStyle w:val="Equation"/>
      </w:pPr>
      <w:r w:rsidRPr="00B93493">
        <w:tab/>
      </w:r>
      <w:r w:rsidRPr="00B93493">
        <w:tab/>
      </w:r>
      <w:r w:rsidR="00092428" w:rsidRPr="00B93493">
        <w:rPr>
          <w:position w:val="-36"/>
          <w:sz w:val="20"/>
        </w:rPr>
        <w:object w:dxaOrig="7317" w:dyaOrig="849" w14:anchorId="02E70FA5">
          <v:shape id="_x0000_i1082" type="#_x0000_t75" style="width:344.45pt;height:43.2pt" o:ole="">
            <v:imagedata r:id="rId149" o:title=""/>
          </v:shape>
          <o:OLEObject Type="Embed" ProgID="Equation.3" ShapeID="_x0000_i1082" DrawAspect="Content" ObjectID="_1812968364" r:id="rId150"/>
        </w:object>
      </w:r>
    </w:p>
    <w:p w14:paraId="0A26B808" w14:textId="77777777" w:rsidR="00CF04BC" w:rsidRPr="00B93493" w:rsidRDefault="00CF04BC" w:rsidP="00CF04BC">
      <w:pPr>
        <w:pStyle w:val="Equation"/>
      </w:pPr>
      <w:r w:rsidRPr="00B93493">
        <w:tab/>
      </w:r>
      <w:r w:rsidRPr="00B93493">
        <w:tab/>
      </w:r>
      <w:r w:rsidRPr="00B93493">
        <w:rPr>
          <w:position w:val="-32"/>
          <w:sz w:val="20"/>
        </w:rPr>
        <w:object w:dxaOrig="5444" w:dyaOrig="766" w14:anchorId="754FCFDB">
          <v:shape id="_x0000_i1083" type="#_x0000_t75" style="width:273.6pt;height:38.6pt" o:ole="">
            <v:imagedata r:id="rId151" o:title=""/>
          </v:shape>
          <o:OLEObject Type="Embed" ProgID="Equation.3" ShapeID="_x0000_i1083" DrawAspect="Content" ObjectID="_1812968365" r:id="rId152"/>
        </w:object>
      </w:r>
    </w:p>
    <w:p w14:paraId="0A6ED11E" w14:textId="77777777" w:rsidR="00CF04BC" w:rsidRPr="00B93493" w:rsidRDefault="00CF04BC" w:rsidP="00CF04BC">
      <w:pPr>
        <w:spacing w:before="240"/>
      </w:pPr>
      <w:r w:rsidRPr="00B93493">
        <w:t xml:space="preserve">In order to evaluate the economic efficiency of the operation of a mobile network, the discounted income index, </w:t>
      </w:r>
      <w:r w:rsidRPr="00B93493">
        <w:rPr>
          <w:i/>
          <w:iCs/>
        </w:rPr>
        <w:t>I</w:t>
      </w:r>
      <w:r w:rsidRPr="00B93493">
        <w:rPr>
          <w:i/>
          <w:iCs/>
          <w:vertAlign w:val="subscript"/>
        </w:rPr>
        <w:t>D</w:t>
      </w:r>
      <w:r w:rsidRPr="00B93493">
        <w:t>, is calculated as the ratio of the sum of discounted net profit of the project to overall capital expenditure.</w:t>
      </w:r>
    </w:p>
    <w:p w14:paraId="585926F1" w14:textId="77777777" w:rsidR="00CF04BC" w:rsidRPr="00B93493" w:rsidRDefault="00CF04BC" w:rsidP="00CF04BC">
      <w:r w:rsidRPr="00B93493">
        <w:t>The current worth of future income is determined using the discounting index (1 </w:t>
      </w:r>
      <w:r w:rsidRPr="00B93493">
        <w:rPr>
          <w:rFonts w:ascii="Symbol" w:hAnsi="Symbol"/>
        </w:rPr>
        <w:t></w:t>
      </w:r>
      <w:r w:rsidRPr="00B93493">
        <w:t> </w:t>
      </w:r>
      <w:r w:rsidRPr="00B93493">
        <w:rPr>
          <w:i/>
          <w:iCs/>
        </w:rPr>
        <w:t>E</w:t>
      </w:r>
      <w:r w:rsidRPr="00B93493">
        <w:rPr>
          <w:i/>
          <w:iCs/>
          <w:vertAlign w:val="subscript"/>
        </w:rPr>
        <w:t>n</w:t>
      </w:r>
      <w:r w:rsidRPr="00B93493">
        <w:t xml:space="preserve">), where the value of </w:t>
      </w:r>
      <w:r w:rsidRPr="00B93493">
        <w:rPr>
          <w:i/>
          <w:iCs/>
        </w:rPr>
        <w:t>E</w:t>
      </w:r>
      <w:r w:rsidRPr="00B93493">
        <w:rPr>
          <w:i/>
          <w:iCs/>
          <w:vertAlign w:val="subscript"/>
        </w:rPr>
        <w:t>n</w:t>
      </w:r>
      <w:r w:rsidRPr="00B93493">
        <w:t xml:space="preserve"> is taken as the mean annual bank rate. Thus:</w:t>
      </w:r>
    </w:p>
    <w:p w14:paraId="6F37CA7B" w14:textId="77777777" w:rsidR="00CF04BC" w:rsidRPr="00B93493" w:rsidRDefault="00CF04BC" w:rsidP="00CF04BC">
      <w:pPr>
        <w:pStyle w:val="Blanc"/>
      </w:pPr>
    </w:p>
    <w:p w14:paraId="4A5FD635" w14:textId="77777777" w:rsidR="00CF04BC" w:rsidRPr="00B93493" w:rsidRDefault="00CF04BC" w:rsidP="00CF04BC">
      <w:pPr>
        <w:pStyle w:val="Equation"/>
      </w:pPr>
      <w:r w:rsidRPr="00B93493">
        <w:tab/>
      </w:r>
      <w:r w:rsidRPr="00B93493">
        <w:tab/>
      </w:r>
      <w:r w:rsidRPr="00B93493">
        <w:rPr>
          <w:position w:val="-36"/>
          <w:sz w:val="20"/>
        </w:rPr>
        <w:object w:dxaOrig="4661" w:dyaOrig="832" w14:anchorId="11E5F721">
          <v:shape id="_x0000_i1084" type="#_x0000_t75" style="width:233.3pt;height:38.6pt" o:ole="">
            <v:imagedata r:id="rId153" o:title=""/>
          </v:shape>
          <o:OLEObject Type="Embed" ProgID="Equation.3" ShapeID="_x0000_i1084" DrawAspect="Content" ObjectID="_1812968366" r:id="rId154"/>
        </w:object>
      </w:r>
    </w:p>
    <w:p w14:paraId="59A97D1A" w14:textId="77777777" w:rsidR="00CF04BC" w:rsidRPr="00B93493" w:rsidRDefault="00CF04BC" w:rsidP="00CF04BC">
      <w:pPr>
        <w:pStyle w:val="Blanc"/>
      </w:pPr>
    </w:p>
    <w:p w14:paraId="56314415" w14:textId="77777777" w:rsidR="00CF04BC" w:rsidRPr="00B93493" w:rsidRDefault="00CF04BC" w:rsidP="00CF04BC">
      <w:r w:rsidRPr="00B93493">
        <w:t>On the basis of the results obtained, the discount rate for the project may be calculated:</w:t>
      </w:r>
    </w:p>
    <w:p w14:paraId="3B0DBA36" w14:textId="77777777" w:rsidR="00CF04BC" w:rsidRPr="00B93493" w:rsidRDefault="00CF04BC" w:rsidP="00CF04BC">
      <w:pPr>
        <w:pStyle w:val="Blanc"/>
      </w:pPr>
    </w:p>
    <w:p w14:paraId="18AD88A1" w14:textId="77777777" w:rsidR="00CF04BC" w:rsidRPr="00B93493" w:rsidRDefault="00CF04BC" w:rsidP="00CF04BC">
      <w:pPr>
        <w:pStyle w:val="Equation"/>
      </w:pPr>
      <w:r w:rsidRPr="00B93493">
        <w:tab/>
      </w:r>
      <w:r w:rsidRPr="00B93493">
        <w:tab/>
      </w:r>
      <w:r w:rsidRPr="00B93493">
        <w:rPr>
          <w:position w:val="-14"/>
          <w:sz w:val="20"/>
        </w:rPr>
        <w:object w:dxaOrig="1249" w:dyaOrig="416" w14:anchorId="3E466D0D">
          <v:shape id="_x0000_i1085" type="#_x0000_t75" style="width:63.35pt;height:22.45pt" o:ole="">
            <v:imagedata r:id="rId155" o:title=""/>
          </v:shape>
          <o:OLEObject Type="Embed" ProgID="Equation.3" ShapeID="_x0000_i1085" DrawAspect="Content" ObjectID="_1812968367" r:id="rId156"/>
        </w:object>
      </w:r>
    </w:p>
    <w:p w14:paraId="545F4840" w14:textId="77777777" w:rsidR="00CF04BC" w:rsidRPr="00B93493" w:rsidRDefault="00CF04BC" w:rsidP="00CF04BC">
      <w:pPr>
        <w:pStyle w:val="Blanc"/>
      </w:pPr>
    </w:p>
    <w:p w14:paraId="6663AF31" w14:textId="77777777" w:rsidR="00CF04BC" w:rsidRPr="00B93493" w:rsidRDefault="00CF04BC" w:rsidP="00CF04BC">
      <w:r w:rsidRPr="00B93493">
        <w:t>Discounted income is calculated as an annual amount relative to one dollar of investment in the project.</w:t>
      </w:r>
    </w:p>
    <w:p w14:paraId="1944D2E1" w14:textId="77777777" w:rsidR="00CF04BC" w:rsidRPr="00B93493" w:rsidRDefault="00CF04BC" w:rsidP="00CF04BC">
      <w:r w:rsidRPr="00B93493">
        <w:t xml:space="preserve">The relationship between a cellular mobile network operator’s discounted standard profit and bandwidth </w:t>
      </w:r>
      <w:r w:rsidRPr="00B93493">
        <w:rPr>
          <w:i/>
          <w:iCs/>
        </w:rPr>
        <w:t>F</w:t>
      </w:r>
      <w:r w:rsidRPr="00B93493">
        <w:t xml:space="preserve">, the number of subscribers served, </w:t>
      </w:r>
      <w:r w:rsidRPr="00B93493">
        <w:rPr>
          <w:i/>
          <w:iCs/>
        </w:rPr>
        <w:t>N</w:t>
      </w:r>
      <w:r w:rsidRPr="00B93493">
        <w:rPr>
          <w:i/>
          <w:iCs/>
          <w:vertAlign w:val="subscript"/>
        </w:rPr>
        <w:t>a</w:t>
      </w:r>
      <w:r w:rsidRPr="00B93493">
        <w:t xml:space="preserve">, and the number of sectors served, </w:t>
      </w:r>
      <w:r w:rsidRPr="00B93493">
        <w:rPr>
          <w:i/>
          <w:iCs/>
        </w:rPr>
        <w:t>M</w:t>
      </w:r>
      <w:r w:rsidRPr="00B93493">
        <w:t>, is shown in Fig. 13. The graph reveals that an operator can make additional profit by using additional bandwidth. When determining the minimum bid, one fundamental principle must be to give operators an incentive to make more efficient use of the radio</w:t>
      </w:r>
      <w:r w:rsidRPr="00B93493">
        <w:noBreakHyphen/>
        <w:t>frequency spectrum.</w:t>
      </w:r>
    </w:p>
    <w:p w14:paraId="005AC0AF" w14:textId="77777777" w:rsidR="00CF04BC" w:rsidRPr="00B93493" w:rsidRDefault="00CF04BC" w:rsidP="00CF04BC">
      <w:pPr>
        <w:pStyle w:val="enumlev1"/>
      </w:pPr>
      <w:r w:rsidRPr="00B93493">
        <w:t>d)</w:t>
      </w:r>
      <w:r w:rsidRPr="00B93493">
        <w:tab/>
      </w:r>
      <w:r w:rsidRPr="00B93493">
        <w:rPr>
          <w:i/>
          <w:iCs/>
        </w:rPr>
        <w:t>Calculation of the minimum bid</w:t>
      </w:r>
    </w:p>
    <w:p w14:paraId="349E9CDE" w14:textId="77777777" w:rsidR="00CF04BC" w:rsidRPr="00B93493" w:rsidRDefault="00CF04BC" w:rsidP="00CF04BC">
      <w:r w:rsidRPr="00B93493">
        <w:t>Table 2</w:t>
      </w:r>
      <w:r>
        <w:rPr>
          <w:rFonts w:hint="eastAsia"/>
          <w:lang w:eastAsia="zh-CN"/>
        </w:rPr>
        <w:t>7</w:t>
      </w:r>
      <w:r w:rsidRPr="00B93493">
        <w:t xml:space="preserve"> gives values of minimum bids for GSM cellular mobile network operators calculated according to the described method. It should be pointed out that this example is given as an illustration. In the calculations, the profit standard for an operator set by the State for mobile communication enterprises is </w:t>
      </w:r>
      <w:r w:rsidRPr="00B93493">
        <w:rPr>
          <w:i/>
          <w:iCs/>
        </w:rPr>
        <w:t>E</w:t>
      </w:r>
      <w:r w:rsidRPr="00B93493">
        <w:rPr>
          <w:i/>
          <w:iCs/>
          <w:vertAlign w:val="subscript"/>
        </w:rPr>
        <w:t>r</w:t>
      </w:r>
      <w:r w:rsidRPr="00B93493">
        <w:t> </w:t>
      </w:r>
      <w:r w:rsidRPr="00B93493">
        <w:rPr>
          <w:rFonts w:ascii="Symbol" w:hAnsi="Symbol"/>
        </w:rPr>
        <w:t></w:t>
      </w:r>
      <w:r w:rsidRPr="00B93493">
        <w:t> 1.25; and six sector antennas are used in each network. It is assumed that operators are allocated a bandwidth of 5 or 10 MHz.</w:t>
      </w:r>
    </w:p>
    <w:p w14:paraId="43F4B955" w14:textId="77777777" w:rsidR="00CF04BC" w:rsidRPr="00B93493" w:rsidRDefault="00CF04BC" w:rsidP="00CF04BC">
      <w:pPr>
        <w:keepNext/>
        <w:keepLines/>
      </w:pPr>
      <w:r w:rsidRPr="00B93493">
        <w:t>The minimum bid is calculated by the equation:</w:t>
      </w:r>
    </w:p>
    <w:p w14:paraId="1E76BB16" w14:textId="77777777" w:rsidR="00CF04BC" w:rsidRPr="00B93493" w:rsidRDefault="00CF04BC" w:rsidP="00CF04BC">
      <w:pPr>
        <w:pStyle w:val="Blanc"/>
      </w:pPr>
    </w:p>
    <w:p w14:paraId="4BF4003A" w14:textId="77777777" w:rsidR="00CF04BC" w:rsidRPr="00B93493" w:rsidRDefault="00CF04BC" w:rsidP="00CF04BC">
      <w:pPr>
        <w:pStyle w:val="Equation"/>
        <w:keepNext/>
        <w:keepLines/>
      </w:pPr>
      <w:r w:rsidRPr="00B93493">
        <w:rPr>
          <w:position w:val="-14"/>
        </w:rPr>
        <w:tab/>
      </w:r>
      <w:r w:rsidRPr="00B93493">
        <w:rPr>
          <w:position w:val="-14"/>
        </w:rPr>
        <w:tab/>
      </w:r>
      <w:r w:rsidRPr="00B93493">
        <w:rPr>
          <w:position w:val="-14"/>
        </w:rPr>
        <w:object w:dxaOrig="2172" w:dyaOrig="391" w14:anchorId="2ED2712D">
          <v:shape id="_x0000_i1086" type="#_x0000_t75" style="width:110.6pt;height:20.15pt" o:ole="">
            <v:imagedata r:id="rId157" o:title=""/>
          </v:shape>
          <o:OLEObject Type="Embed" ProgID="Equation.3" ShapeID="_x0000_i1086" DrawAspect="Content" ObjectID="_1812968368" r:id="rId158"/>
        </w:object>
      </w:r>
    </w:p>
    <w:p w14:paraId="6AB9849D" w14:textId="77777777" w:rsidR="00CF04BC" w:rsidRPr="00B93493" w:rsidRDefault="00CF04BC" w:rsidP="00CF04BC">
      <w:pPr>
        <w:pStyle w:val="Blanc"/>
      </w:pPr>
    </w:p>
    <w:p w14:paraId="6A21692D" w14:textId="77777777" w:rsidR="00CF04BC" w:rsidRPr="00B93493" w:rsidRDefault="00CF04BC" w:rsidP="00CF04BC">
      <w:pPr>
        <w:keepNext/>
        <w:keepLines/>
      </w:pPr>
      <w:r w:rsidRPr="00B93493">
        <w:t xml:space="preserve">where </w:t>
      </w:r>
      <w:r w:rsidRPr="00B93493">
        <w:rPr>
          <w:i/>
          <w:iCs/>
        </w:rPr>
        <w:t>D</w:t>
      </w:r>
      <w:r w:rsidRPr="00B93493">
        <w:rPr>
          <w:i/>
          <w:iCs/>
          <w:vertAlign w:val="subscript"/>
        </w:rPr>
        <w:t>pr</w:t>
      </w:r>
      <w:r w:rsidRPr="00B93493">
        <w:t xml:space="preserve"> is the net profit of the operator during the licence term.</w:t>
      </w:r>
    </w:p>
    <w:p w14:paraId="1ECCE400" w14:textId="77777777" w:rsidR="00CF04BC" w:rsidRPr="00B93493" w:rsidRDefault="00CF04BC" w:rsidP="00CF04BC">
      <w:pPr>
        <w:pStyle w:val="TableNo"/>
        <w:rPr>
          <w:lang w:eastAsia="zh-CN"/>
        </w:rPr>
      </w:pPr>
      <w:r w:rsidRPr="00B93493">
        <w:t>TABLE 2</w:t>
      </w:r>
      <w:r>
        <w:rPr>
          <w:rFonts w:hint="eastAsia"/>
          <w:lang w:eastAsia="zh-CN"/>
        </w:rPr>
        <w:t>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402"/>
        <w:gridCol w:w="851"/>
        <w:gridCol w:w="851"/>
        <w:gridCol w:w="851"/>
        <w:gridCol w:w="851"/>
        <w:gridCol w:w="851"/>
        <w:gridCol w:w="851"/>
      </w:tblGrid>
      <w:tr w:rsidR="00CF04BC" w:rsidRPr="00B93493" w14:paraId="0161BBFC" w14:textId="77777777" w:rsidTr="002E7F54">
        <w:trPr>
          <w:jc w:val="center"/>
        </w:trPr>
        <w:tc>
          <w:tcPr>
            <w:tcW w:w="3402" w:type="dxa"/>
            <w:tcBorders>
              <w:bottom w:val="single" w:sz="2" w:space="0" w:color="auto"/>
            </w:tcBorders>
            <w:vAlign w:val="center"/>
          </w:tcPr>
          <w:p w14:paraId="3553A91F" w14:textId="77777777" w:rsidR="00CF04BC" w:rsidRPr="00B93493" w:rsidRDefault="00CF04BC" w:rsidP="002E7F54">
            <w:pPr>
              <w:pStyle w:val="Tablehead"/>
              <w:tabs>
                <w:tab w:val="clear" w:pos="1134"/>
                <w:tab w:val="clear" w:pos="2268"/>
              </w:tabs>
            </w:pPr>
            <w:r w:rsidRPr="00B93493">
              <w:t xml:space="preserve">Number of subscribers in network, </w:t>
            </w:r>
            <w:r w:rsidRPr="00B93493">
              <w:rPr>
                <w:i/>
                <w:iCs/>
              </w:rPr>
              <w:t>N</w:t>
            </w:r>
            <w:r w:rsidRPr="00B93493">
              <w:rPr>
                <w:bCs/>
                <w:i/>
                <w:vertAlign w:val="subscript"/>
              </w:rPr>
              <w:t>a</w:t>
            </w:r>
            <w:r w:rsidRPr="00B93493">
              <w:rPr>
                <w:i/>
                <w:iCs/>
                <w:vertAlign w:val="subscript"/>
              </w:rPr>
              <w:t xml:space="preserve"> </w:t>
            </w:r>
            <w:r w:rsidRPr="00B93493">
              <w:t>(persons)</w:t>
            </w:r>
          </w:p>
        </w:tc>
        <w:tc>
          <w:tcPr>
            <w:tcW w:w="1702" w:type="dxa"/>
            <w:gridSpan w:val="2"/>
            <w:tcBorders>
              <w:bottom w:val="single" w:sz="2" w:space="0" w:color="auto"/>
            </w:tcBorders>
            <w:vAlign w:val="center"/>
          </w:tcPr>
          <w:p w14:paraId="658BCAEC" w14:textId="77777777" w:rsidR="00CF04BC" w:rsidRPr="00B93493" w:rsidRDefault="00CF04BC" w:rsidP="002E7F54">
            <w:pPr>
              <w:pStyle w:val="Tablehead"/>
              <w:tabs>
                <w:tab w:val="clear" w:pos="1134"/>
                <w:tab w:val="clear" w:pos="2268"/>
              </w:tabs>
            </w:pPr>
            <w:r w:rsidRPr="00B93493">
              <w:t>75 000</w:t>
            </w:r>
          </w:p>
        </w:tc>
        <w:tc>
          <w:tcPr>
            <w:tcW w:w="1702" w:type="dxa"/>
            <w:gridSpan w:val="2"/>
            <w:tcBorders>
              <w:bottom w:val="single" w:sz="2" w:space="0" w:color="auto"/>
            </w:tcBorders>
            <w:vAlign w:val="center"/>
          </w:tcPr>
          <w:p w14:paraId="3EF4B692" w14:textId="77777777" w:rsidR="00CF04BC" w:rsidRPr="00B93493" w:rsidRDefault="00CF04BC" w:rsidP="002E7F54">
            <w:pPr>
              <w:pStyle w:val="Tablehead"/>
              <w:tabs>
                <w:tab w:val="clear" w:pos="1134"/>
                <w:tab w:val="clear" w:pos="2268"/>
              </w:tabs>
            </w:pPr>
            <w:r w:rsidRPr="00B93493">
              <w:t>150 000</w:t>
            </w:r>
          </w:p>
        </w:tc>
        <w:tc>
          <w:tcPr>
            <w:tcW w:w="1702" w:type="dxa"/>
            <w:gridSpan w:val="2"/>
            <w:tcBorders>
              <w:bottom w:val="single" w:sz="2" w:space="0" w:color="auto"/>
            </w:tcBorders>
            <w:vAlign w:val="center"/>
          </w:tcPr>
          <w:p w14:paraId="4D0CDC06" w14:textId="77777777" w:rsidR="00CF04BC" w:rsidRPr="00B93493" w:rsidRDefault="00CF04BC" w:rsidP="002E7F54">
            <w:pPr>
              <w:pStyle w:val="Tablehead"/>
              <w:tabs>
                <w:tab w:val="clear" w:pos="1134"/>
                <w:tab w:val="clear" w:pos="2268"/>
              </w:tabs>
            </w:pPr>
            <w:r w:rsidRPr="00B93493">
              <w:t>300 000</w:t>
            </w:r>
          </w:p>
        </w:tc>
      </w:tr>
      <w:tr w:rsidR="00CF04BC" w:rsidRPr="00B93493" w14:paraId="504BA812" w14:textId="77777777" w:rsidTr="002E7F54">
        <w:trPr>
          <w:jc w:val="center"/>
        </w:trPr>
        <w:tc>
          <w:tcPr>
            <w:tcW w:w="3402" w:type="dxa"/>
            <w:tcBorders>
              <w:top w:val="single" w:sz="2" w:space="0" w:color="auto"/>
              <w:left w:val="single" w:sz="2" w:space="0" w:color="auto"/>
              <w:bottom w:val="single" w:sz="2" w:space="0" w:color="auto"/>
              <w:right w:val="single" w:sz="2" w:space="0" w:color="auto"/>
            </w:tcBorders>
          </w:tcPr>
          <w:p w14:paraId="1D7551F2" w14:textId="77777777" w:rsidR="00CF04BC" w:rsidRPr="00B93493" w:rsidRDefault="00CF04BC" w:rsidP="002E7F54">
            <w:pPr>
              <w:pStyle w:val="Tabletext"/>
            </w:pPr>
            <w:r w:rsidRPr="00B93493">
              <w:t>Bandwidth (MHz)</w:t>
            </w:r>
          </w:p>
        </w:tc>
        <w:tc>
          <w:tcPr>
            <w:tcW w:w="851" w:type="dxa"/>
            <w:tcBorders>
              <w:top w:val="single" w:sz="2" w:space="0" w:color="auto"/>
              <w:left w:val="single" w:sz="2" w:space="0" w:color="auto"/>
              <w:bottom w:val="single" w:sz="2" w:space="0" w:color="auto"/>
              <w:right w:val="single" w:sz="2" w:space="0" w:color="auto"/>
            </w:tcBorders>
          </w:tcPr>
          <w:p w14:paraId="38D56883" w14:textId="77777777" w:rsidR="00CF04BC" w:rsidRPr="00B93493" w:rsidRDefault="00CF04BC" w:rsidP="002E7F54">
            <w:pPr>
              <w:pStyle w:val="Tabletext"/>
              <w:jc w:val="center"/>
            </w:pPr>
            <w:r w:rsidRPr="00B93493">
              <w:rPr>
                <w:szCs w:val="22"/>
              </w:rPr>
              <w:t>5</w:t>
            </w:r>
          </w:p>
        </w:tc>
        <w:tc>
          <w:tcPr>
            <w:tcW w:w="851" w:type="dxa"/>
            <w:tcBorders>
              <w:top w:val="single" w:sz="2" w:space="0" w:color="auto"/>
              <w:left w:val="single" w:sz="2" w:space="0" w:color="auto"/>
              <w:bottom w:val="single" w:sz="2" w:space="0" w:color="auto"/>
              <w:right w:val="single" w:sz="2" w:space="0" w:color="auto"/>
            </w:tcBorders>
          </w:tcPr>
          <w:p w14:paraId="6E174663" w14:textId="77777777" w:rsidR="00CF04BC" w:rsidRPr="00B93493" w:rsidRDefault="00CF04BC" w:rsidP="002E7F54">
            <w:pPr>
              <w:pStyle w:val="Tabletext"/>
              <w:jc w:val="center"/>
            </w:pPr>
            <w:r w:rsidRPr="00B93493">
              <w:rPr>
                <w:szCs w:val="22"/>
              </w:rPr>
              <w:t>10</w:t>
            </w:r>
          </w:p>
        </w:tc>
        <w:tc>
          <w:tcPr>
            <w:tcW w:w="851" w:type="dxa"/>
            <w:tcBorders>
              <w:top w:val="single" w:sz="2" w:space="0" w:color="auto"/>
              <w:left w:val="single" w:sz="2" w:space="0" w:color="auto"/>
              <w:bottom w:val="single" w:sz="2" w:space="0" w:color="auto"/>
              <w:right w:val="single" w:sz="2" w:space="0" w:color="auto"/>
            </w:tcBorders>
          </w:tcPr>
          <w:p w14:paraId="0DF42F91" w14:textId="77777777" w:rsidR="00CF04BC" w:rsidRPr="00B93493" w:rsidRDefault="00CF04BC" w:rsidP="002E7F54">
            <w:pPr>
              <w:pStyle w:val="Tabletext"/>
              <w:jc w:val="center"/>
            </w:pPr>
            <w:r w:rsidRPr="00B93493">
              <w:rPr>
                <w:szCs w:val="22"/>
              </w:rPr>
              <w:t>5</w:t>
            </w:r>
          </w:p>
        </w:tc>
        <w:tc>
          <w:tcPr>
            <w:tcW w:w="851" w:type="dxa"/>
            <w:tcBorders>
              <w:top w:val="single" w:sz="2" w:space="0" w:color="auto"/>
              <w:left w:val="single" w:sz="2" w:space="0" w:color="auto"/>
              <w:bottom w:val="single" w:sz="2" w:space="0" w:color="auto"/>
              <w:right w:val="single" w:sz="2" w:space="0" w:color="auto"/>
            </w:tcBorders>
          </w:tcPr>
          <w:p w14:paraId="6BD17ADB" w14:textId="77777777" w:rsidR="00CF04BC" w:rsidRPr="00B93493" w:rsidRDefault="00CF04BC" w:rsidP="002E7F54">
            <w:pPr>
              <w:pStyle w:val="Tabletext"/>
              <w:jc w:val="center"/>
            </w:pPr>
            <w:r w:rsidRPr="00B93493">
              <w:rPr>
                <w:szCs w:val="22"/>
              </w:rPr>
              <w:t>10</w:t>
            </w:r>
          </w:p>
        </w:tc>
        <w:tc>
          <w:tcPr>
            <w:tcW w:w="851" w:type="dxa"/>
            <w:tcBorders>
              <w:top w:val="single" w:sz="2" w:space="0" w:color="auto"/>
              <w:left w:val="single" w:sz="2" w:space="0" w:color="auto"/>
              <w:bottom w:val="single" w:sz="2" w:space="0" w:color="auto"/>
              <w:right w:val="single" w:sz="2" w:space="0" w:color="auto"/>
            </w:tcBorders>
          </w:tcPr>
          <w:p w14:paraId="5E6311B4" w14:textId="77777777" w:rsidR="00CF04BC" w:rsidRPr="00B93493" w:rsidRDefault="00CF04BC" w:rsidP="002E7F54">
            <w:pPr>
              <w:pStyle w:val="Tabletext"/>
              <w:jc w:val="center"/>
            </w:pPr>
            <w:r w:rsidRPr="00B93493">
              <w:rPr>
                <w:szCs w:val="22"/>
              </w:rPr>
              <w:t>5</w:t>
            </w:r>
          </w:p>
        </w:tc>
        <w:tc>
          <w:tcPr>
            <w:tcW w:w="851" w:type="dxa"/>
            <w:tcBorders>
              <w:top w:val="single" w:sz="2" w:space="0" w:color="auto"/>
              <w:left w:val="single" w:sz="2" w:space="0" w:color="auto"/>
              <w:bottom w:val="single" w:sz="2" w:space="0" w:color="auto"/>
              <w:right w:val="single" w:sz="2" w:space="0" w:color="auto"/>
            </w:tcBorders>
          </w:tcPr>
          <w:p w14:paraId="19AB00D5" w14:textId="77777777" w:rsidR="00CF04BC" w:rsidRPr="00B93493" w:rsidRDefault="00CF04BC" w:rsidP="002E7F54">
            <w:pPr>
              <w:pStyle w:val="Tabletext"/>
              <w:jc w:val="center"/>
            </w:pPr>
            <w:r w:rsidRPr="00B93493">
              <w:rPr>
                <w:szCs w:val="22"/>
              </w:rPr>
              <w:t>10</w:t>
            </w:r>
          </w:p>
        </w:tc>
      </w:tr>
      <w:tr w:rsidR="00CF04BC" w:rsidRPr="00B93493" w14:paraId="32CA437C" w14:textId="77777777" w:rsidTr="002E7F54">
        <w:trPr>
          <w:jc w:val="center"/>
        </w:trPr>
        <w:tc>
          <w:tcPr>
            <w:tcW w:w="3402" w:type="dxa"/>
            <w:tcBorders>
              <w:top w:val="single" w:sz="2" w:space="0" w:color="auto"/>
              <w:left w:val="single" w:sz="2" w:space="0" w:color="auto"/>
              <w:bottom w:val="single" w:sz="2" w:space="0" w:color="auto"/>
              <w:right w:val="single" w:sz="2" w:space="0" w:color="auto"/>
            </w:tcBorders>
          </w:tcPr>
          <w:p w14:paraId="017B9954" w14:textId="77777777" w:rsidR="00CF04BC" w:rsidRPr="00B93493" w:rsidRDefault="00CF04BC" w:rsidP="002E7F54">
            <w:pPr>
              <w:pStyle w:val="Tabletext"/>
            </w:pPr>
            <w:r w:rsidRPr="00B93493">
              <w:rPr>
                <w:i/>
                <w:iCs/>
              </w:rPr>
              <w:t>T</w:t>
            </w:r>
            <w:r w:rsidRPr="00B93493">
              <w:t xml:space="preserve"> (millions of USD)</w:t>
            </w:r>
          </w:p>
        </w:tc>
        <w:tc>
          <w:tcPr>
            <w:tcW w:w="851" w:type="dxa"/>
            <w:tcBorders>
              <w:top w:val="single" w:sz="2" w:space="0" w:color="auto"/>
              <w:left w:val="single" w:sz="2" w:space="0" w:color="auto"/>
              <w:bottom w:val="single" w:sz="2" w:space="0" w:color="auto"/>
              <w:right w:val="single" w:sz="2" w:space="0" w:color="auto"/>
            </w:tcBorders>
          </w:tcPr>
          <w:p w14:paraId="7DB5D65F" w14:textId="77777777" w:rsidR="00CF04BC" w:rsidRPr="00B93493" w:rsidRDefault="00CF04BC" w:rsidP="002E7F54">
            <w:pPr>
              <w:pStyle w:val="Tabletext"/>
              <w:jc w:val="center"/>
            </w:pPr>
            <w:r w:rsidRPr="00B93493">
              <w:rPr>
                <w:szCs w:val="22"/>
              </w:rPr>
              <w:t>1.08</w:t>
            </w:r>
          </w:p>
        </w:tc>
        <w:tc>
          <w:tcPr>
            <w:tcW w:w="851" w:type="dxa"/>
            <w:tcBorders>
              <w:top w:val="single" w:sz="2" w:space="0" w:color="auto"/>
              <w:left w:val="single" w:sz="2" w:space="0" w:color="auto"/>
              <w:bottom w:val="single" w:sz="2" w:space="0" w:color="auto"/>
              <w:right w:val="single" w:sz="2" w:space="0" w:color="auto"/>
            </w:tcBorders>
          </w:tcPr>
          <w:p w14:paraId="43EDF6D2" w14:textId="77777777" w:rsidR="00CF04BC" w:rsidRPr="00B93493" w:rsidRDefault="00CF04BC" w:rsidP="002E7F54">
            <w:pPr>
              <w:pStyle w:val="Tabletext"/>
              <w:jc w:val="center"/>
            </w:pPr>
            <w:r w:rsidRPr="00B93493">
              <w:rPr>
                <w:szCs w:val="22"/>
              </w:rPr>
              <w:t>1.68</w:t>
            </w:r>
          </w:p>
        </w:tc>
        <w:tc>
          <w:tcPr>
            <w:tcW w:w="851" w:type="dxa"/>
            <w:tcBorders>
              <w:top w:val="single" w:sz="2" w:space="0" w:color="auto"/>
              <w:left w:val="single" w:sz="2" w:space="0" w:color="auto"/>
              <w:bottom w:val="single" w:sz="2" w:space="0" w:color="auto"/>
              <w:right w:val="single" w:sz="2" w:space="0" w:color="auto"/>
            </w:tcBorders>
          </w:tcPr>
          <w:p w14:paraId="1B22A27E" w14:textId="77777777" w:rsidR="00CF04BC" w:rsidRPr="00B93493" w:rsidRDefault="00CF04BC" w:rsidP="002E7F54">
            <w:pPr>
              <w:pStyle w:val="Tabletext"/>
              <w:jc w:val="center"/>
            </w:pPr>
            <w:r w:rsidRPr="00B93493">
              <w:rPr>
                <w:szCs w:val="22"/>
              </w:rPr>
              <w:t>0.93</w:t>
            </w:r>
          </w:p>
        </w:tc>
        <w:tc>
          <w:tcPr>
            <w:tcW w:w="851" w:type="dxa"/>
            <w:tcBorders>
              <w:top w:val="single" w:sz="2" w:space="0" w:color="auto"/>
              <w:left w:val="single" w:sz="2" w:space="0" w:color="auto"/>
              <w:bottom w:val="single" w:sz="2" w:space="0" w:color="auto"/>
              <w:right w:val="single" w:sz="2" w:space="0" w:color="auto"/>
            </w:tcBorders>
          </w:tcPr>
          <w:p w14:paraId="1AC08B33" w14:textId="77777777" w:rsidR="00CF04BC" w:rsidRPr="00B93493" w:rsidRDefault="00CF04BC" w:rsidP="002E7F54">
            <w:pPr>
              <w:pStyle w:val="Tabletext"/>
              <w:jc w:val="center"/>
            </w:pPr>
            <w:r w:rsidRPr="00B93493">
              <w:rPr>
                <w:szCs w:val="22"/>
              </w:rPr>
              <w:t>2.1</w:t>
            </w:r>
          </w:p>
        </w:tc>
        <w:tc>
          <w:tcPr>
            <w:tcW w:w="851" w:type="dxa"/>
            <w:tcBorders>
              <w:top w:val="single" w:sz="2" w:space="0" w:color="auto"/>
              <w:left w:val="single" w:sz="2" w:space="0" w:color="auto"/>
              <w:bottom w:val="single" w:sz="2" w:space="0" w:color="auto"/>
              <w:right w:val="single" w:sz="2" w:space="0" w:color="auto"/>
            </w:tcBorders>
          </w:tcPr>
          <w:p w14:paraId="67A8EBAE" w14:textId="77777777" w:rsidR="00CF04BC" w:rsidRPr="00B93493" w:rsidRDefault="00CF04BC" w:rsidP="002E7F54">
            <w:pPr>
              <w:pStyle w:val="Tabletext"/>
              <w:jc w:val="center"/>
            </w:pPr>
            <w:r w:rsidRPr="00B93493">
              <w:rPr>
                <w:szCs w:val="22"/>
              </w:rPr>
              <w:t>0</w:t>
            </w:r>
          </w:p>
        </w:tc>
        <w:tc>
          <w:tcPr>
            <w:tcW w:w="851" w:type="dxa"/>
            <w:tcBorders>
              <w:top w:val="single" w:sz="2" w:space="0" w:color="auto"/>
              <w:left w:val="single" w:sz="2" w:space="0" w:color="auto"/>
              <w:bottom w:val="single" w:sz="2" w:space="0" w:color="auto"/>
              <w:right w:val="single" w:sz="2" w:space="0" w:color="auto"/>
            </w:tcBorders>
          </w:tcPr>
          <w:p w14:paraId="56666F57" w14:textId="77777777" w:rsidR="00CF04BC" w:rsidRPr="00B93493" w:rsidRDefault="00CF04BC" w:rsidP="002E7F54">
            <w:pPr>
              <w:pStyle w:val="Tabletext"/>
              <w:jc w:val="center"/>
            </w:pPr>
            <w:r w:rsidRPr="00B93493">
              <w:rPr>
                <w:szCs w:val="22"/>
              </w:rPr>
              <w:t>1.73</w:t>
            </w:r>
          </w:p>
        </w:tc>
      </w:tr>
      <w:tr w:rsidR="00CF04BC" w:rsidRPr="00B93493" w14:paraId="4DB56F5B" w14:textId="77777777" w:rsidTr="002E7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14:paraId="148BAE96" w14:textId="77777777" w:rsidR="00CF04BC" w:rsidRPr="00B93493" w:rsidRDefault="00CF04BC" w:rsidP="004454B6">
            <w:pPr>
              <w:pStyle w:val="Tabletext"/>
            </w:pPr>
            <w:r w:rsidRPr="00B93493">
              <w:t>NOTE 1 – The values of minimum bids should be refined on the basis of a market analysis for each specific case.</w:t>
            </w:r>
          </w:p>
        </w:tc>
      </w:tr>
    </w:tbl>
    <w:p w14:paraId="447DDF1C" w14:textId="77777777" w:rsidR="00CF04BC" w:rsidRPr="00B93493" w:rsidRDefault="00CF04BC" w:rsidP="00CF04BC">
      <w:pPr>
        <w:pStyle w:val="Tablefin"/>
      </w:pPr>
    </w:p>
    <w:p w14:paraId="2BE501FA" w14:textId="77777777" w:rsidR="00CF04BC" w:rsidRPr="00B93493" w:rsidRDefault="00CF04BC" w:rsidP="00CF04BC">
      <w:pPr>
        <w:pStyle w:val="FigureNo"/>
      </w:pPr>
      <w:r w:rsidRPr="00B93493">
        <w:t>figure 13</w:t>
      </w:r>
    </w:p>
    <w:p w14:paraId="0B898E45" w14:textId="77777777" w:rsidR="00CF04BC" w:rsidRPr="00B93493" w:rsidRDefault="00CF04BC" w:rsidP="00CF04BC">
      <w:pPr>
        <w:pStyle w:val="Figuretitle"/>
      </w:pPr>
      <w:r w:rsidRPr="00B93493">
        <w:t>Profitability index vs. bandwidth</w:t>
      </w:r>
    </w:p>
    <w:p w14:paraId="37239441" w14:textId="78193669" w:rsidR="00CF04BC" w:rsidRPr="00B93493" w:rsidRDefault="004C6C5B" w:rsidP="00CF04BC">
      <w:pPr>
        <w:pStyle w:val="Figure"/>
      </w:pPr>
      <w:r w:rsidRPr="00B93493">
        <w:object w:dxaOrig="6934" w:dyaOrig="9772" w14:anchorId="5A4CA2F0">
          <v:shape id="_x0000_i1087" type="#_x0000_t75" alt="Figure 13 shows Profitability index vs. bandwidth" style="width:345pt;height:487.85pt" o:ole="">
            <v:imagedata r:id="rId159" o:title=""/>
          </v:shape>
          <o:OLEObject Type="Embed" ProgID="CorelDRAW.Graphic.14" ShapeID="_x0000_i1087" DrawAspect="Content" ObjectID="_1812968369" r:id="rId160"/>
        </w:object>
      </w:r>
    </w:p>
    <w:p w14:paraId="6AFB5B60" w14:textId="77777777" w:rsidR="00CF04BC" w:rsidRPr="00B93493" w:rsidRDefault="00CF04BC" w:rsidP="00CF04BC">
      <w:pPr>
        <w:pStyle w:val="Heading3"/>
      </w:pPr>
      <w:bookmarkStart w:id="2142" w:name="_Toc462234135"/>
      <w:bookmarkStart w:id="2143" w:name="_Toc459746730"/>
      <w:bookmarkStart w:id="2144" w:name="_Toc459970429"/>
      <w:bookmarkStart w:id="2145" w:name="_Toc518394254"/>
      <w:bookmarkStart w:id="2146" w:name="_Toc459792660"/>
      <w:bookmarkStart w:id="2147" w:name="_Toc289869018"/>
      <w:bookmarkStart w:id="2148" w:name="_Toc497033998"/>
      <w:bookmarkStart w:id="2149" w:name="_Toc289868858"/>
      <w:bookmarkStart w:id="2150" w:name="_Toc289932326"/>
      <w:bookmarkStart w:id="2151" w:name="_Toc289933372"/>
      <w:bookmarkStart w:id="2152" w:name="_Toc497033200"/>
      <w:bookmarkStart w:id="2153" w:name="_Toc459793968"/>
      <w:bookmarkStart w:id="2154" w:name="_Toc291852935"/>
      <w:bookmarkStart w:id="2155" w:name="_Toc459793826"/>
      <w:bookmarkStart w:id="2156" w:name="_Toc392515919"/>
      <w:bookmarkStart w:id="2157" w:name="_Toc182391572"/>
      <w:bookmarkStart w:id="2158" w:name="_Toc182391983"/>
      <w:r w:rsidRPr="00B93493">
        <w:t>5.1.4</w:t>
      </w:r>
      <w:r w:rsidRPr="00B93493">
        <w:tab/>
        <w:t>New Zealand</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47ED62F1" w14:textId="77777777" w:rsidR="00CF04BC" w:rsidRPr="00B93493" w:rsidRDefault="00CF04BC" w:rsidP="00CF04BC">
      <w:r w:rsidRPr="00B93493">
        <w:t>Most administrations that have begun applying market based approaches continue to allocate spectrum based on consideration of national priorities, and have applied market approaches only to licensing within an agreed allocation. New Zealand, however, has applied a broader market based approach to use of some frequency bands where the impact is limited to a national, rather than an international, scale.</w:t>
      </w:r>
    </w:p>
    <w:p w14:paraId="78F99522" w14:textId="77777777" w:rsidR="00CF04BC" w:rsidRPr="00B93493" w:rsidRDefault="00CF04BC" w:rsidP="00CF04BC">
      <w:r w:rsidRPr="00B93493">
        <w:t>The Radiocommunications Act 1989 heralded a new era for the management of the radio spectrum in New Zealand. This Act enabled the creation of property rights for spectrum and also the use of market driven allocation mechanisms for the distribution of the newly created rights. The Act does not specific any particular allocation mechanism. Radio spectrum was initially sold using second price then first price tender systems; however in 1996 an Internet based computer system was developed for the sale of spectrum by auction.</w:t>
      </w:r>
    </w:p>
    <w:p w14:paraId="19DB3489" w14:textId="77777777" w:rsidR="00CF04BC" w:rsidRPr="00B93493" w:rsidRDefault="00CF04BC" w:rsidP="00CF04BC">
      <w:r w:rsidRPr="00B93493">
        <w:t>The auction process currently used by the Ministry is a simultaneous ascending auction. This type of auction involves making all lots available for bidding at the same time. The auction takes place over a number of rounds of a specific duration (say 30 min), until no further bidding takes place on the lots being offered. This type of auction allows bidders who wish to purchase specific combination of lots to take a part in the auction. Advantages of this type of auction are that bidders obtain full market information and are able to determine their level of success on any combination of lots at any time during the auction. In developing the auction mechanism, the Ministry contracted a private company to help develop software that would allow the operation of radio spectrum auctions over the Internet. Use of the Internet allows bidders to purchase radio spectrum from their own offices using current web browser technology. The Ministry has produced the report Spectrum Auction Design in New Zealand. The report outlines how New Zealand has competitively allocated radio spectrum, factors pertinent to auction design and alternative options for competitive allocation. The Ministry will take into account the findings of the report when designing future auctions.</w:t>
      </w:r>
    </w:p>
    <w:p w14:paraId="097B36ED" w14:textId="77777777" w:rsidR="00CF04BC" w:rsidRPr="00B93493" w:rsidRDefault="00CF04BC" w:rsidP="00CF04BC">
      <w:pPr>
        <w:pStyle w:val="Heading3"/>
      </w:pPr>
      <w:bookmarkStart w:id="2159" w:name="_Toc459792661"/>
      <w:bookmarkStart w:id="2160" w:name="_Toc497033999"/>
      <w:bookmarkStart w:id="2161" w:name="_Toc497033201"/>
      <w:bookmarkStart w:id="2162" w:name="_Toc459746731"/>
      <w:bookmarkStart w:id="2163" w:name="_Toc459793827"/>
      <w:bookmarkStart w:id="2164" w:name="_Toc459970430"/>
      <w:bookmarkStart w:id="2165" w:name="_Toc459793969"/>
      <w:bookmarkStart w:id="2166" w:name="_Toc291852936"/>
      <w:bookmarkStart w:id="2167" w:name="_Toc289868859"/>
      <w:bookmarkStart w:id="2168" w:name="_Toc289869019"/>
      <w:bookmarkStart w:id="2169" w:name="_Toc462234136"/>
      <w:bookmarkStart w:id="2170" w:name="_Toc289933373"/>
      <w:bookmarkStart w:id="2171" w:name="_Toc289932327"/>
      <w:bookmarkStart w:id="2172" w:name="_Toc518394255"/>
      <w:bookmarkStart w:id="2173" w:name="_Toc392515920"/>
      <w:bookmarkStart w:id="2174" w:name="_Toc182391573"/>
      <w:bookmarkStart w:id="2175" w:name="_Toc182391984"/>
      <w:r w:rsidRPr="00B93493">
        <w:t>5.1.5</w:t>
      </w:r>
      <w:r w:rsidRPr="00B93493">
        <w:tab/>
        <w:t>United States</w:t>
      </w:r>
      <w:bookmarkEnd w:id="2159"/>
      <w:bookmarkEnd w:id="2160"/>
      <w:bookmarkEnd w:id="2161"/>
      <w:bookmarkEnd w:id="2162"/>
      <w:bookmarkEnd w:id="2163"/>
      <w:bookmarkEnd w:id="2164"/>
      <w:bookmarkEnd w:id="2165"/>
      <w:r w:rsidRPr="00B93493">
        <w:t xml:space="preserve"> of America</w:t>
      </w:r>
      <w:bookmarkEnd w:id="2166"/>
      <w:bookmarkEnd w:id="2167"/>
      <w:bookmarkEnd w:id="2168"/>
      <w:bookmarkEnd w:id="2169"/>
      <w:bookmarkEnd w:id="2170"/>
      <w:bookmarkEnd w:id="2171"/>
      <w:bookmarkEnd w:id="2172"/>
      <w:bookmarkEnd w:id="2173"/>
      <w:bookmarkEnd w:id="2174"/>
      <w:bookmarkEnd w:id="2175"/>
    </w:p>
    <w:p w14:paraId="56F6DCB1" w14:textId="77777777" w:rsidR="00CF04BC" w:rsidRPr="00B93493" w:rsidRDefault="00CF04BC" w:rsidP="00CF04BC">
      <w:pPr>
        <w:pStyle w:val="Heading4"/>
      </w:pPr>
      <w:bookmarkStart w:id="2176" w:name="_Toc459746732"/>
      <w:bookmarkStart w:id="2177" w:name="_Toc391269579"/>
      <w:bookmarkStart w:id="2178" w:name="_Toc497034000"/>
      <w:bookmarkStart w:id="2179" w:name="_Toc497033202"/>
      <w:r w:rsidRPr="00B93493">
        <w:t>5.1.5.1</w:t>
      </w:r>
      <w:r w:rsidRPr="00B93493">
        <w:tab/>
        <w:t>Authority</w:t>
      </w:r>
      <w:bookmarkEnd w:id="2176"/>
      <w:bookmarkEnd w:id="2177"/>
      <w:bookmarkEnd w:id="2178"/>
      <w:bookmarkEnd w:id="2179"/>
    </w:p>
    <w:p w14:paraId="577D4DCA" w14:textId="77777777" w:rsidR="00CF04BC" w:rsidRPr="00B93493" w:rsidRDefault="00CF04BC" w:rsidP="00CF04BC">
      <w:r w:rsidRPr="00B93493">
        <w:t xml:space="preserve">In the United States of America, spectrum management functions are divided between the Federal Communications Commission (FCC) and the National Telecommunications and Information Administration (NTIA). The FCC is tasked with managing non-Federal Government use of spectrum, including use by the private sector and local and state governments. The NTIA is authorized to manage Federal Government agencies’ spectrum use, including the military. The U.S. Congress gave the FCC authority to issue licences via auctions in 1993. This authority is limited to using competitive bidding in instances where mutually exclusive applications have been received and where the principal use of the spectrum is reasonably likely to involve the receipt by the licensee of fees from subscribers in return for enabling those subscribers to receive or transmit communications signals. In granting the FCC auction authority the U.S. Congress sought to promote the following objectives: </w:t>
      </w:r>
    </w:p>
    <w:p w14:paraId="7D1E0FE7" w14:textId="77777777" w:rsidR="00CF04BC" w:rsidRPr="00B93493" w:rsidRDefault="00CF04BC" w:rsidP="00CF04BC">
      <w:pPr>
        <w:pStyle w:val="enumlev1"/>
      </w:pPr>
      <w:r w:rsidRPr="00B93493">
        <w:t>“(1)</w:t>
      </w:r>
      <w:r w:rsidRPr="00B93493">
        <w:tab/>
        <w:t>the development and rapid deployment of new technologies, products, and services for the benefit of the public, including those residing in rural areas, without administrative or judicial delays;</w:t>
      </w:r>
    </w:p>
    <w:p w14:paraId="055502BD" w14:textId="77777777" w:rsidR="00CF04BC" w:rsidRPr="00B93493" w:rsidRDefault="00CF04BC" w:rsidP="00CF04BC">
      <w:pPr>
        <w:pStyle w:val="enumlev1"/>
      </w:pPr>
      <w:r w:rsidRPr="00B93493">
        <w:t>(2)</w:t>
      </w:r>
      <w:r w:rsidRPr="00B93493">
        <w:tab/>
        <w:t>promoting economic opportunity and competition and ensuring that new and innovative technologies are readily accessible to the American people by avoiding excessive concentration of licences and by disseminating licences among a wide variety of applicants, including small businesses, rural telephone companies, and businesses owned by members of minority groups and women;</w:t>
      </w:r>
    </w:p>
    <w:p w14:paraId="2956BCD7" w14:textId="77777777" w:rsidR="00CF04BC" w:rsidRPr="00B93493" w:rsidRDefault="00CF04BC" w:rsidP="00CF04BC">
      <w:pPr>
        <w:pStyle w:val="enumlev1"/>
      </w:pPr>
      <w:r w:rsidRPr="00B93493">
        <w:t>(3)</w:t>
      </w:r>
      <w:r w:rsidRPr="00B93493">
        <w:tab/>
        <w:t xml:space="preserve">recovery for the public of a portion of the value of the public spectrum resource made available for commercial use and avoidance of unjust enrichment through the methods employed to award uses of that resource; </w:t>
      </w:r>
    </w:p>
    <w:p w14:paraId="7F975613" w14:textId="77777777" w:rsidR="00CF04BC" w:rsidRPr="00B93493" w:rsidRDefault="00CF04BC" w:rsidP="00CF04BC">
      <w:pPr>
        <w:pStyle w:val="enumlev1"/>
      </w:pPr>
      <w:r w:rsidRPr="00B93493">
        <w:t>(4)</w:t>
      </w:r>
      <w:r w:rsidRPr="00B93493">
        <w:tab/>
        <w:t>efficient and intensive use of the electromagnetic spectrum.”</w:t>
      </w:r>
    </w:p>
    <w:p w14:paraId="6BCE0C2A" w14:textId="77777777" w:rsidR="00CF04BC" w:rsidRPr="00B93493" w:rsidRDefault="00CF04BC" w:rsidP="00CF04BC">
      <w:r w:rsidRPr="00B93493">
        <w:t>In granting authority to use competitive bidding, the U.S. Congress also specified that the use of competitive bidding:</w:t>
      </w:r>
    </w:p>
    <w:p w14:paraId="5AB58B70" w14:textId="77777777" w:rsidR="00CF04BC" w:rsidRPr="00B93493" w:rsidRDefault="00CF04BC" w:rsidP="00CF04BC">
      <w:pPr>
        <w:pStyle w:val="enumlev1"/>
      </w:pPr>
      <w:r w:rsidRPr="00B93493">
        <w:t>“(1)</w:t>
      </w:r>
      <w:r w:rsidRPr="00B93493">
        <w:tab/>
        <w:t>shall not alter spectrum allocation criteria and procedures;</w:t>
      </w:r>
    </w:p>
    <w:p w14:paraId="01B31BFC" w14:textId="77777777" w:rsidR="00CF04BC" w:rsidRPr="00B93493" w:rsidRDefault="00CF04BC" w:rsidP="00CF04BC">
      <w:pPr>
        <w:pStyle w:val="enumlev1"/>
      </w:pPr>
      <w:r w:rsidRPr="00B93493">
        <w:t>(2)</w:t>
      </w:r>
      <w:r w:rsidRPr="00B93493">
        <w:tab/>
        <w:t>shall not be construed to relieve the FCC of the obligation in the public interest to continue to use engineering solutions, negotiation, threshold qualifications, service regulations, and other means in order to avoid mutual exclusivity in application and licensing proceedings.”</w:t>
      </w:r>
    </w:p>
    <w:p w14:paraId="4F455349" w14:textId="77777777" w:rsidR="00CF04BC" w:rsidRPr="00B93493" w:rsidRDefault="00CF04BC" w:rsidP="00CF04BC">
      <w:r w:rsidRPr="00B93493">
        <w:t>The U.S. Congress further specified that the FCC cannot make allocation or service decisions based on the expectation of public revenue from auctions.</w:t>
      </w:r>
    </w:p>
    <w:p w14:paraId="3198EEF7" w14:textId="77777777" w:rsidR="00CF04BC" w:rsidRPr="00B93493" w:rsidRDefault="00CF04BC" w:rsidP="00CF04BC">
      <w:r w:rsidRPr="00B93493">
        <w:t>The majority of the proceeds from auctions conducted by the FCC are deposited in the general U.S. treasury. The FCC is permitted to retain only that portion of the auction proceeds necessary to pay for the cost of holding the auctions. This portion is well under 1% of the revenues generated by auctions. Generally, the licences that have been issued pursuant to auction are for a ten-year period, and it is intended that after this period the licence would be renewed if the licensee has complied with applicable FCC rules and has provided substantial service.</w:t>
      </w:r>
    </w:p>
    <w:p w14:paraId="5314433C" w14:textId="77777777" w:rsidR="00CF04BC" w:rsidRPr="00B93493" w:rsidRDefault="00CF04BC" w:rsidP="00CF04BC">
      <w:r w:rsidRPr="00B93493">
        <w:t>The following are services that have been licensed in the United States of America pursuant to auctions. The complete listing inclusive of the aforementioned auctions may be found at:</w:t>
      </w:r>
    </w:p>
    <w:p w14:paraId="4B6435E7" w14:textId="77777777" w:rsidR="00CF04BC" w:rsidRPr="00722A00" w:rsidRDefault="00CF04BC" w:rsidP="00CF04BC">
      <w:pPr>
        <w:textAlignment w:val="auto"/>
      </w:pPr>
      <w:hyperlink r:id="rId161" w:history="1">
        <w:r w:rsidRPr="00722A00">
          <w:rPr>
            <w:rStyle w:val="Hyperlink"/>
          </w:rPr>
          <w:t>https://www.fcc.gov/auctions</w:t>
        </w:r>
      </w:hyperlink>
      <w:r w:rsidRPr="00B93493">
        <w:fldChar w:fldCharType="begin"/>
      </w:r>
      <w:r w:rsidRPr="00BF109A">
        <w:instrText>https://www.fcc.gov/auctions</w:instrText>
      </w:r>
      <w:r w:rsidRPr="00B93493">
        <w:fldChar w:fldCharType="separate"/>
      </w:r>
      <w:r w:rsidRPr="00722A00">
        <w:rPr>
          <w:rStyle w:val="Hyperlink"/>
        </w:rPr>
        <w:t>https://www.fcc.gov/auctions</w:t>
      </w:r>
      <w:r w:rsidRPr="00B93493">
        <w:fldChar w:fldCharType="end"/>
      </w:r>
    </w:p>
    <w:p w14:paraId="5E74C857" w14:textId="77777777" w:rsidR="00CF04BC" w:rsidRPr="00B027D0" w:rsidRDefault="00CF04BC" w:rsidP="00CF04BC">
      <w:pPr>
        <w:pStyle w:val="Heading4"/>
        <w:rPr>
          <w:lang w:val="en-US"/>
        </w:rPr>
      </w:pPr>
      <w:bookmarkStart w:id="2180" w:name="_Toc391269580"/>
      <w:bookmarkStart w:id="2181" w:name="_Toc497033203"/>
      <w:bookmarkStart w:id="2182" w:name="_Toc459746733"/>
      <w:bookmarkStart w:id="2183" w:name="_Toc497034001"/>
      <w:r w:rsidRPr="00B027D0">
        <w:rPr>
          <w:lang w:val="en-US"/>
        </w:rPr>
        <w:t>5.1.5.2</w:t>
      </w:r>
      <w:r w:rsidRPr="00B027D0">
        <w:rPr>
          <w:lang w:val="en-US"/>
        </w:rPr>
        <w:tab/>
        <w:t>Personal communications services</w:t>
      </w:r>
      <w:bookmarkEnd w:id="2180"/>
      <w:bookmarkEnd w:id="2181"/>
      <w:bookmarkEnd w:id="2182"/>
      <w:bookmarkEnd w:id="2183"/>
    </w:p>
    <w:p w14:paraId="4136A140" w14:textId="77777777" w:rsidR="00CF04BC" w:rsidRPr="00B93493" w:rsidRDefault="00CF04BC" w:rsidP="00CF04BC">
      <w:r w:rsidRPr="00B93493">
        <w:t>Personal communications services (PCS) providers are expected to give the public new communications capabilities by providing a variety of mobile services to compete with existing cellular, paging and other land mobile services. These services will be provided via a new generation of communications devices with two-way voice, data and/or message capabilities. These devices include small, lightweight, multi-function wireless phones, portable facsimiles and other devices. PCS is composed of several distinct categories, two of which are narrow-band PCS and broadband PCS.</w:t>
      </w:r>
    </w:p>
    <w:p w14:paraId="67D4E073" w14:textId="77777777" w:rsidR="00CF04BC" w:rsidRPr="00B93493" w:rsidRDefault="00CF04BC" w:rsidP="00CF04BC">
      <w:r w:rsidRPr="00B93493">
        <w:t>The FCC held its first auction in July 1994, auctioning 11 nationwide licences to provide narrow</w:t>
      </w:r>
      <w:r w:rsidRPr="00B93493">
        <w:noBreakHyphen/>
        <w:t>band PCS in the 900 MHz band. Narrow-band PCS can be used to provide new services such as voice message paging, two-way acknowledgment paging in which a subscriber can receive a message and transmit a response back to the sender, and other data services. Licences for narrow</w:t>
      </w:r>
      <w:r w:rsidRPr="00B93493">
        <w:noBreakHyphen/>
        <w:t>band PCS may cover the entire nation (nationwide licence), large regions (regional licence), or smaller areas. Of the nationwide licences, five are 50/50 kHz paired, three are 50/12.5 kHz paired, and three are 50 kHz unpaired.</w:t>
      </w:r>
    </w:p>
    <w:p w14:paraId="6CB39190" w14:textId="77777777" w:rsidR="00CF04BC" w:rsidRPr="00B93493" w:rsidRDefault="00CF04BC" w:rsidP="00CF04BC">
      <w:r w:rsidRPr="00B93493">
        <w:t>From 26 October through 8 November 1994, the FCC auctioned 30 regional narrow-band PCS licences: six licences in each of five regions of the United States of America. Two licences in each region are 50/50 kHz paired and the remaining four are 50/12.5 kHz paired.</w:t>
      </w:r>
    </w:p>
    <w:p w14:paraId="3FE42FD5" w14:textId="77777777" w:rsidR="00CF04BC" w:rsidRPr="00B93493" w:rsidRDefault="00CF04BC" w:rsidP="00CF04BC">
      <w:r w:rsidRPr="00B93493">
        <w:t>In December 1994, the FCC held its first auction of licences to provide broadband PCS in the 2 GHz (1</w:t>
      </w:r>
      <w:r w:rsidRPr="00B93493">
        <w:rPr>
          <w:rFonts w:ascii="Tms Rmn" w:hAnsi="Tms Rmn"/>
          <w:sz w:val="12"/>
        </w:rPr>
        <w:t> </w:t>
      </w:r>
      <w:r w:rsidRPr="00B93493">
        <w:t>850</w:t>
      </w:r>
      <w:r w:rsidRPr="00B93493">
        <w:noBreakHyphen/>
        <w:t>1</w:t>
      </w:r>
      <w:r w:rsidRPr="00B93493">
        <w:rPr>
          <w:rFonts w:ascii="Tms Rmn" w:hAnsi="Tms Rmn"/>
          <w:sz w:val="12"/>
        </w:rPr>
        <w:t> </w:t>
      </w:r>
      <w:r w:rsidRPr="00B93493">
        <w:t>990 MHz) band. Broadband PCS encompasses a variety of mobile and/or portable radio services, using such devices as small lightweight, multifunction portable phones, portable facsimile machines, and advanced devices with two-way data capabilities that are expected to compete with existing cellular, paging and other land mobile services.</w:t>
      </w:r>
    </w:p>
    <w:p w14:paraId="300BD539" w14:textId="77777777" w:rsidR="00CF04BC" w:rsidRPr="00B93493" w:rsidRDefault="00CF04BC" w:rsidP="00CF04BC">
      <w:r w:rsidRPr="00B93493">
        <w:t>The 1</w:t>
      </w:r>
      <w:r w:rsidRPr="00B93493">
        <w:rPr>
          <w:rFonts w:ascii="Tms Rmn" w:hAnsi="Tms Rmn"/>
          <w:sz w:val="12"/>
        </w:rPr>
        <w:t> </w:t>
      </w:r>
      <w:r w:rsidRPr="00B93493">
        <w:t>850-1</w:t>
      </w:r>
      <w:r w:rsidRPr="00B93493">
        <w:rPr>
          <w:rFonts w:ascii="Tms Rmn" w:hAnsi="Tms Rmn"/>
          <w:sz w:val="12"/>
        </w:rPr>
        <w:t> </w:t>
      </w:r>
      <w:r w:rsidRPr="00B93493">
        <w:t>990 MHz band was divided into six licence blocks. Licence blocks A, B, and C are each for 30 MHz of spectrum (two paired 15 MHz-wide segments). Licence blocks D, E, and F are each for 10 MHz of spectrum (two paired 5 MHz-wide segments). (Note that all six blocks combined contain 120 MHz of spectrum. The other 20 MHz (1</w:t>
      </w:r>
      <w:r w:rsidRPr="00B93493">
        <w:rPr>
          <w:rFonts w:ascii="Tms Rmn" w:hAnsi="Tms Rmn"/>
          <w:sz w:val="12"/>
        </w:rPr>
        <w:t> </w:t>
      </w:r>
      <w:r w:rsidRPr="00B93493">
        <w:t>910–1</w:t>
      </w:r>
      <w:r w:rsidRPr="00B93493">
        <w:rPr>
          <w:rFonts w:ascii="Tms Rmn" w:hAnsi="Tms Rmn"/>
          <w:sz w:val="12"/>
        </w:rPr>
        <w:t> </w:t>
      </w:r>
      <w:r w:rsidRPr="00B93493">
        <w:t>930 MHz) in the 1</w:t>
      </w:r>
      <w:r w:rsidRPr="00B93493">
        <w:rPr>
          <w:rFonts w:ascii="Tms Rmn" w:hAnsi="Tms Rmn"/>
          <w:sz w:val="12"/>
        </w:rPr>
        <w:t> </w:t>
      </w:r>
      <w:r w:rsidRPr="00B93493">
        <w:t>850</w:t>
      </w:r>
      <w:r w:rsidRPr="00B93493">
        <w:noBreakHyphen/>
        <w:t>1</w:t>
      </w:r>
      <w:r w:rsidRPr="00B93493">
        <w:rPr>
          <w:rFonts w:ascii="Tms Rmn" w:hAnsi="Tms Rmn"/>
          <w:sz w:val="12"/>
        </w:rPr>
        <w:t> </w:t>
      </w:r>
      <w:r w:rsidRPr="00B93493">
        <w:t>990 MHz band is used by unlicensed PCS services.)</w:t>
      </w:r>
    </w:p>
    <w:p w14:paraId="50FFB330" w14:textId="77777777" w:rsidR="00CF04BC" w:rsidRPr="00B93493" w:rsidRDefault="00CF04BC" w:rsidP="00CF04BC">
      <w:r w:rsidRPr="00B93493">
        <w:t>Licences for blocks A and B cover regional major trading areas (MTAs). There are 51 MTAs that, combined, cover the entire United States of America and its territories. Licences for blocks C, D, E, and F cover basic trading areas (BTAs). BTAs are components of MTAs, and there are 493 BTAs that combine to cover the entire United States of America and its territories. MTAs and BTAs are economic trading areas based on designations contained in the Rand McNally Commercial Atlas and Marketing Guide.</w:t>
      </w:r>
    </w:p>
    <w:p w14:paraId="7C8A1D36" w14:textId="77777777" w:rsidR="00CF04BC" w:rsidRPr="00B93493" w:rsidRDefault="00CF04BC" w:rsidP="00CF04BC">
      <w:r w:rsidRPr="00B93493">
        <w:t>In the auction beginning in December 1994, the FCC auctioned licences in both frequency blocks A and B in 48 MTAs. In the other three MTAs, only the block B licence was auctioned. In those three MTAs (New York, Los Angeles, and Washington-Baltimore), the block A licence was previously awarded under the FCC’s pioneer’s preference rules. Thus, a total of 99 licences were auctioned. Thirty bidders qualified to bid in the auction and the auction lasted more than 112 rounds before concluding in March 1995.</w:t>
      </w:r>
    </w:p>
    <w:p w14:paraId="598FAC95" w14:textId="77777777" w:rsidR="00CF04BC" w:rsidRPr="00B93493" w:rsidRDefault="00CF04BC" w:rsidP="00CF04BC">
      <w:r w:rsidRPr="00B93493">
        <w:t>The FCC began auctioning licences for broadband PCS block C in the 493 BTAs in December 1995. Unlike the MTA auction, bidding credits and instalment payment plans were available to small entities for Block C. The auction concluded in May 1996 after 184 rounds. Auctioning for broadband PCS blocks D, E and F began in August 1996 for 153 bidders who qualified to participate for 1</w:t>
      </w:r>
      <w:r w:rsidRPr="00B93493">
        <w:rPr>
          <w:rFonts w:ascii="Tms Rmn" w:hAnsi="Tms Rmn"/>
          <w:sz w:val="12"/>
        </w:rPr>
        <w:t> </w:t>
      </w:r>
      <w:r w:rsidRPr="00B93493">
        <w:t>479 different licences. Bidding credits and instalment payment plans were available for block F only. The auction concluded in January 1997 after 276 rounds.</w:t>
      </w:r>
    </w:p>
    <w:p w14:paraId="77DCB5A7" w14:textId="77777777" w:rsidR="00CF04BC" w:rsidRPr="00B93493" w:rsidRDefault="00CF04BC" w:rsidP="00CF04BC">
      <w:r w:rsidRPr="00B93493">
        <w:t>Although PCS is a new service, the spectrum that it occupies was previously allocated and licensed to a variety of fixed service (point-to-point) microwave users, including public safety services. Therefore, it is necessary either to move the incumbent microwave systems to another frequency band or to provide for their communications needs through some alternative means, such as cable. In establishing the PCS service, the FCC determined that the fastest and fairest way to make this transition was to have the new PCS licensees pay to move the microwave users out of the band. The FCC therefore established a procedure whereby the new PCS licensees and the incumbent microwave users have a certain period to negotiate the terms of the re-accommodation. In any event, however, the microwave users must vacate the band as of a certain date and cannot therefore prevent implementation of the new services.</w:t>
      </w:r>
    </w:p>
    <w:p w14:paraId="6931CC97" w14:textId="77777777" w:rsidR="00CF04BC" w:rsidRPr="00B93493" w:rsidRDefault="00CF04BC" w:rsidP="00CF04BC">
      <w:pPr>
        <w:pStyle w:val="Heading4"/>
      </w:pPr>
      <w:bookmarkStart w:id="2184" w:name="_Toc459746734"/>
      <w:bookmarkStart w:id="2185" w:name="_Toc391269581"/>
      <w:bookmarkStart w:id="2186" w:name="_Toc497034002"/>
      <w:bookmarkStart w:id="2187" w:name="_Toc497033204"/>
      <w:r w:rsidRPr="00B93493">
        <w:t>5.1.5.3</w:t>
      </w:r>
      <w:r w:rsidRPr="00B93493">
        <w:tab/>
        <w:t>Interactive video data service</w:t>
      </w:r>
      <w:bookmarkEnd w:id="2184"/>
      <w:bookmarkEnd w:id="2185"/>
      <w:bookmarkEnd w:id="2186"/>
      <w:bookmarkEnd w:id="2187"/>
    </w:p>
    <w:p w14:paraId="36829FB0" w14:textId="77777777" w:rsidR="00CF04BC" w:rsidRPr="00B93493" w:rsidRDefault="00CF04BC" w:rsidP="00CF04BC">
      <w:r w:rsidRPr="00B93493">
        <w:t>The FCC held its second auction, for 594 interactive video data service (IVDS) licences, during July 1994. IVDS is a two</w:t>
      </w:r>
      <w:r w:rsidRPr="00B93493">
        <w:noBreakHyphen/>
        <w:t>way communications service in the 218-219 MHz band. Licences are for a ten-year period, and consist of two 500 kHz licences in each of 297 metropolitan statistical areas (MSAs), which are essentially the urbanized areas of the United States of America. In each market, both licences were available for auction at the same time, with the highest bidder given a choice between the two available licences and the second highest bidder winning the remaining licence. The FCC auctioned all 594 licences within two days.</w:t>
      </w:r>
    </w:p>
    <w:p w14:paraId="4C34ECD1" w14:textId="77777777" w:rsidR="00CF04BC" w:rsidRPr="00B93493" w:rsidRDefault="00CF04BC" w:rsidP="00CF04BC">
      <w:pPr>
        <w:pStyle w:val="Heading4"/>
      </w:pPr>
      <w:bookmarkStart w:id="2188" w:name="_Toc497033205"/>
      <w:bookmarkStart w:id="2189" w:name="_Toc391269582"/>
      <w:bookmarkStart w:id="2190" w:name="_Toc497034003"/>
      <w:bookmarkStart w:id="2191" w:name="_Toc459746735"/>
      <w:r w:rsidRPr="00B93493">
        <w:t>5.1.5.4</w:t>
      </w:r>
      <w:r w:rsidRPr="00B93493">
        <w:tab/>
        <w:t>Specialized mobile radio service</w:t>
      </w:r>
      <w:bookmarkEnd w:id="2188"/>
      <w:bookmarkEnd w:id="2189"/>
      <w:bookmarkEnd w:id="2190"/>
      <w:bookmarkEnd w:id="2191"/>
    </w:p>
    <w:p w14:paraId="256DEB83" w14:textId="77777777" w:rsidR="00CF04BC" w:rsidRPr="00B93493" w:rsidRDefault="00CF04BC" w:rsidP="00CF04BC">
      <w:r w:rsidRPr="00B93493">
        <w:t>The specialized mobile radio (SMR) service is a land mobile radio service that provides dispatch, voice, and data services to commercial businesses and specialized users, although licensees are also permitted to provide service to the general public. The SMR service operates in both the 800 MHz and 900 MHz bands.</w:t>
      </w:r>
    </w:p>
    <w:p w14:paraId="04F0D56A" w14:textId="77777777" w:rsidR="00CF04BC" w:rsidRPr="00B93493" w:rsidRDefault="00CF04BC" w:rsidP="00CF04BC">
      <w:r w:rsidRPr="00B93493">
        <w:t>The FCC established the SMR service in the 800 MHz band in 1974 as a private land mobile radio service intended as a spectrally efficient method to provide dispatch radio service to businesses and other users that qualified as private radio users. Originally, applicants were limited to a relatively small number of channels to be located at a single base station. Coverage and service options were therefore limited. These licences were issued on a first-come, first-served basis, with a lottery used to resolve instances of mutual exclusivity. Over the years, however, the demand for this service increased and the rules limiting eligibility and licensing were gradually reduced. SMR providers today offer a range of services from traditional radio dispatch for local customers to more sophisticated voice and data transmissions for customers over large geographic areas. SMR licensees, in recent years, have been authorized to expand the geographic scope of their services and aggregate large numbers of channels to provide service more directly comparable to cellular radio and PCS. In October 1994, the FCC proposed to issue 800 MHz SMR licences based on FCC</w:t>
      </w:r>
      <w:r w:rsidRPr="00B93493">
        <w:noBreakHyphen/>
        <w:t>defined service areas and subject to competitive bidding. The 800 MHz band will be the subject of a future auction.</w:t>
      </w:r>
    </w:p>
    <w:p w14:paraId="2637E84D" w14:textId="77777777" w:rsidR="00CF04BC" w:rsidRPr="00B93493" w:rsidRDefault="00CF04BC" w:rsidP="00CF04BC">
      <w:r w:rsidRPr="00B93493">
        <w:t>The 900 MHz SMR service consists of 5 MHz of spectrum divided into twenty 10-channel blocks in each MTA. Assignments in the 900 MHz SMR service offer the potential for such competitive services as wireless data, specialized dispatch, two-way paging, and interconnected voice transmission. Licences for this service were initially issued for single transmitter sites in the 50 largest cities in the United States of America with licensees selected by lottery. Licensing, however, was suspended for a number of years, and the FCC recently restructured the service to issue area-wide licences pursuant to competitive bidding. Original licensees are protected from interference from new licensees; however, they can expand their operations only by obtaining a new licence.</w:t>
      </w:r>
    </w:p>
    <w:p w14:paraId="49D78C91" w14:textId="77777777" w:rsidR="00CF04BC" w:rsidRPr="00B93493" w:rsidRDefault="00CF04BC" w:rsidP="00CF04BC">
      <w:pPr>
        <w:pStyle w:val="Heading4"/>
      </w:pPr>
      <w:bookmarkStart w:id="2192" w:name="_Toc391269583"/>
      <w:bookmarkStart w:id="2193" w:name="_Toc459746736"/>
      <w:bookmarkStart w:id="2194" w:name="_Toc497033206"/>
      <w:bookmarkStart w:id="2195" w:name="_Toc497034004"/>
      <w:r w:rsidRPr="00B93493">
        <w:t>5.1.5.5</w:t>
      </w:r>
      <w:r w:rsidRPr="00B93493">
        <w:tab/>
        <w:t>Multichannel multipoint distribution s</w:t>
      </w:r>
      <w:bookmarkEnd w:id="2192"/>
      <w:bookmarkEnd w:id="2193"/>
      <w:bookmarkEnd w:id="2194"/>
      <w:bookmarkEnd w:id="2195"/>
      <w:r w:rsidRPr="00B93493">
        <w:t>ystem</w:t>
      </w:r>
    </w:p>
    <w:p w14:paraId="6D387229" w14:textId="77777777" w:rsidR="00CF04BC" w:rsidRPr="00B93493" w:rsidRDefault="00CF04BC" w:rsidP="00CF04BC">
      <w:r w:rsidRPr="00B93493">
        <w:t>Multichannel multipoint distribution system (MMDS) is often referred to as “wireless cable”. It offers delivery of video programming to subscribers using MMDS and/or instructional television fixed service (ITFS) channels. Only MMDS channels at 2</w:t>
      </w:r>
      <w:r w:rsidRPr="00B93493">
        <w:rPr>
          <w:rFonts w:ascii="Tms Rmn" w:hAnsi="Tms Rmn"/>
          <w:sz w:val="12"/>
        </w:rPr>
        <w:t> </w:t>
      </w:r>
      <w:r w:rsidRPr="00B93493">
        <w:t>150-2</w:t>
      </w:r>
      <w:r w:rsidRPr="00B93493">
        <w:rPr>
          <w:rFonts w:ascii="Tms Rmn" w:hAnsi="Tms Rmn"/>
          <w:sz w:val="12"/>
        </w:rPr>
        <w:t> </w:t>
      </w:r>
      <w:r w:rsidRPr="00B93493">
        <w:t>160 MHz and 2</w:t>
      </w:r>
      <w:r w:rsidRPr="00B93493">
        <w:rPr>
          <w:rFonts w:ascii="Tms Rmn" w:hAnsi="Tms Rmn"/>
          <w:sz w:val="12"/>
        </w:rPr>
        <w:t> </w:t>
      </w:r>
      <w:r w:rsidRPr="00B93493">
        <w:t>596</w:t>
      </w:r>
      <w:r w:rsidRPr="00B93493">
        <w:noBreakHyphen/>
        <w:t>2</w:t>
      </w:r>
      <w:r w:rsidRPr="00B93493">
        <w:rPr>
          <w:rFonts w:ascii="Tms Rmn" w:hAnsi="Tms Rmn"/>
          <w:sz w:val="12"/>
        </w:rPr>
        <w:t> </w:t>
      </w:r>
      <w:r w:rsidRPr="00B93493">
        <w:t>680 MHz have been auctioned. MMDS resembles cable television, but instead of coaxial cable, “wireless cable” uses microwave transmission and signals. In the past, MMDS licences have been issued for specific coordinates at which the central transmitter was located. However, the FCC recently revised the MMDS licensing procedures so that all licensees will be authorized to operate throughout particular BTAs. New licensees will be required to avoid interference within the protected area of existing MMDS operations (a 35-mile radius). The FCC stated that mutually exclusive applications that are filed for a particular BTA will be processed using competitive bidding.</w:t>
      </w:r>
    </w:p>
    <w:p w14:paraId="298086C8" w14:textId="77777777" w:rsidR="00CF04BC" w:rsidRPr="00B93493" w:rsidRDefault="00CF04BC" w:rsidP="00CF04BC">
      <w:pPr>
        <w:pStyle w:val="Heading4"/>
      </w:pPr>
      <w:bookmarkStart w:id="2196" w:name="_Toc497034005"/>
      <w:bookmarkStart w:id="2197" w:name="_Toc459746737"/>
      <w:bookmarkStart w:id="2198" w:name="_Toc497033207"/>
      <w:bookmarkStart w:id="2199" w:name="_Toc391269584"/>
      <w:r w:rsidRPr="00B93493">
        <w:t>5.1.5.6</w:t>
      </w:r>
      <w:r w:rsidRPr="00B93493">
        <w:tab/>
        <w:t>Direct broadcast satellite</w:t>
      </w:r>
      <w:bookmarkEnd w:id="2196"/>
      <w:bookmarkEnd w:id="2197"/>
      <w:bookmarkEnd w:id="2198"/>
      <w:bookmarkEnd w:id="2199"/>
      <w:r w:rsidRPr="00B93493">
        <w:t xml:space="preserve"> </w:t>
      </w:r>
    </w:p>
    <w:p w14:paraId="42BF721C" w14:textId="77777777" w:rsidR="00CF04BC" w:rsidRPr="00B93493" w:rsidRDefault="00CF04BC" w:rsidP="00CF04BC">
      <w:r w:rsidRPr="00B93493">
        <w:t>The direct broadcast satellite (DBS) service is a radiocommunication service in which signals transmitted or retransmitted by space stations are intended for direct reception by the general public. This includes direct reception by both individuals and the community. The FCC held a very limited DBS auction for two orbital slots in January 1996. In adopting auction procedures, the FCC noted that there are characteristics of a national broadcast satellite service, such as the footprint of the satellite falling within the United States of America, that make DBS different from many other satellite services. One winning bidder received a construction permit for 28 channels and the second winning bidder received a construction permit for use of 24 channels.</w:t>
      </w:r>
    </w:p>
    <w:p w14:paraId="458972A4" w14:textId="77777777" w:rsidR="00CF04BC" w:rsidRPr="00B93493" w:rsidRDefault="00CF04BC" w:rsidP="00CF04BC">
      <w:pPr>
        <w:pStyle w:val="Heading4"/>
      </w:pPr>
      <w:bookmarkStart w:id="2200" w:name="_Toc391269585"/>
      <w:bookmarkStart w:id="2201" w:name="_Toc497034006"/>
      <w:bookmarkStart w:id="2202" w:name="_Toc497033208"/>
      <w:bookmarkStart w:id="2203" w:name="_Toc459746738"/>
      <w:r w:rsidRPr="00B93493">
        <w:t>5.1.5.7</w:t>
      </w:r>
      <w:r w:rsidRPr="00B93493">
        <w:tab/>
        <w:t>Satellite digital audio radio</w:t>
      </w:r>
      <w:bookmarkEnd w:id="2200"/>
      <w:bookmarkEnd w:id="2201"/>
      <w:bookmarkEnd w:id="2202"/>
      <w:bookmarkEnd w:id="2203"/>
      <w:r w:rsidRPr="00B93493">
        <w:t xml:space="preserve"> </w:t>
      </w:r>
    </w:p>
    <w:p w14:paraId="44FFC895" w14:textId="77777777" w:rsidR="00CF04BC" w:rsidRPr="00B93493" w:rsidRDefault="00CF04BC" w:rsidP="00CF04BC">
      <w:r w:rsidRPr="00B93493">
        <w:t>The satellite digital audio radio (DAR) service is a broadcasting-satellite (sound) radiocommunication service located in the 2</w:t>
      </w:r>
      <w:r w:rsidRPr="00B93493">
        <w:rPr>
          <w:rFonts w:ascii="Tms Rmn" w:hAnsi="Tms Rmn"/>
          <w:sz w:val="12"/>
        </w:rPr>
        <w:t> </w:t>
      </w:r>
      <w:r w:rsidRPr="00B93493">
        <w:t>320-2</w:t>
      </w:r>
      <w:r w:rsidRPr="00B93493">
        <w:rPr>
          <w:rFonts w:ascii="Tms Rmn" w:hAnsi="Tms Rmn"/>
          <w:sz w:val="12"/>
        </w:rPr>
        <w:t> </w:t>
      </w:r>
      <w:r w:rsidRPr="00B93493">
        <w:t>345 MHz band, in which high-quality audio signals are transmitted to the Earth by satellite, either to subscribers or to the general public. The FCC held a satellite DAR service auction for two 12.5 MHz licences in April 1997. Both winning bidders plan to offer subscription-based services. Licences are for an eight-year period.</w:t>
      </w:r>
    </w:p>
    <w:p w14:paraId="23BECF27" w14:textId="77777777" w:rsidR="00CF04BC" w:rsidRPr="00B93493" w:rsidRDefault="00CF04BC" w:rsidP="00CF04BC">
      <w:pPr>
        <w:pStyle w:val="Heading4"/>
      </w:pPr>
      <w:bookmarkStart w:id="2204" w:name="_Toc497034007"/>
      <w:bookmarkStart w:id="2205" w:name="_Toc391269586"/>
      <w:bookmarkStart w:id="2206" w:name="_Toc459746739"/>
      <w:bookmarkStart w:id="2207" w:name="_Toc497033209"/>
      <w:r w:rsidRPr="00B93493">
        <w:t>5.1.5.8</w:t>
      </w:r>
      <w:r w:rsidRPr="00B93493">
        <w:tab/>
        <w:t>Wireless communications</w:t>
      </w:r>
      <w:bookmarkEnd w:id="2204"/>
      <w:bookmarkEnd w:id="2205"/>
      <w:bookmarkEnd w:id="2206"/>
      <w:bookmarkEnd w:id="2207"/>
    </w:p>
    <w:p w14:paraId="6A1DC888" w14:textId="77777777" w:rsidR="00CF04BC" w:rsidRPr="00B93493" w:rsidRDefault="00CF04BC" w:rsidP="00CF04BC">
      <w:r w:rsidRPr="00B93493">
        <w:t>The wireless communications service (WCS) is a radiocommunication service located in the 2</w:t>
      </w:r>
      <w:r w:rsidRPr="00B93493">
        <w:rPr>
          <w:rFonts w:ascii="Tms Rmn" w:hAnsi="Tms Rmn"/>
          <w:sz w:val="12"/>
        </w:rPr>
        <w:t> </w:t>
      </w:r>
      <w:r w:rsidRPr="00B93493">
        <w:t>305</w:t>
      </w:r>
      <w:r w:rsidRPr="00B93493">
        <w:noBreakHyphen/>
        <w:t>2</w:t>
      </w:r>
      <w:r w:rsidRPr="00B93493">
        <w:rPr>
          <w:rFonts w:ascii="Tms Rmn" w:hAnsi="Tms Rmn"/>
          <w:sz w:val="12"/>
        </w:rPr>
        <w:t> </w:t>
      </w:r>
      <w:r w:rsidRPr="00B93493">
        <w:t>320 MHz and 2</w:t>
      </w:r>
      <w:r w:rsidRPr="00B93493">
        <w:rPr>
          <w:rFonts w:ascii="Tms Rmn" w:hAnsi="Tms Rmn"/>
          <w:sz w:val="12"/>
        </w:rPr>
        <w:t> </w:t>
      </w:r>
      <w:r w:rsidRPr="00B93493">
        <w:t>345</w:t>
      </w:r>
      <w:r w:rsidRPr="00B93493">
        <w:noBreakHyphen/>
        <w:t>2</w:t>
      </w:r>
      <w:r w:rsidRPr="00B93493">
        <w:rPr>
          <w:rFonts w:ascii="Tms Rmn" w:hAnsi="Tms Rmn"/>
          <w:sz w:val="12"/>
        </w:rPr>
        <w:t> </w:t>
      </w:r>
      <w:r w:rsidRPr="00B93493">
        <w:t>360 MHz bands. WCS licensees have the flexibility to offer a variety of fixed, mobile, radiolocation, and broadcasting-satellite (sound) services, except that broadcasting-satellite (sound) and aeronautical mobile services may not be offered at 2</w:t>
      </w:r>
      <w:r w:rsidRPr="00B93493">
        <w:rPr>
          <w:rFonts w:ascii="Tms Rmn" w:hAnsi="Tms Rmn"/>
          <w:sz w:val="12"/>
        </w:rPr>
        <w:t> </w:t>
      </w:r>
      <w:r w:rsidRPr="00B93493">
        <w:t>305</w:t>
      </w:r>
      <w:r w:rsidRPr="00B93493">
        <w:noBreakHyphen/>
        <w:t>2</w:t>
      </w:r>
      <w:r w:rsidRPr="00B93493">
        <w:rPr>
          <w:rFonts w:ascii="Tms Rmn" w:hAnsi="Tms Rmn"/>
          <w:sz w:val="12"/>
        </w:rPr>
        <w:t> </w:t>
      </w:r>
      <w:r w:rsidRPr="00B93493">
        <w:t>310 MHz. The FCC held a WCS auction for two 10 MHz licences for each of 52 major economic areas (MEAs) and two 5 MHz licences for each of 12 regional economic area groupings (REAGs) in April 1997. MEAs and REAGs consist of groupings of smaller economic areas, as defined by the U.S. Department of Commerce. There are 176 economic areas that cover the United States of America and its territories. A large variety of companies won licences in the WCS auction. Licences are for a ten-year period.</w:t>
      </w:r>
    </w:p>
    <w:p w14:paraId="13A3008C" w14:textId="77777777" w:rsidR="00CF04BC" w:rsidRPr="00B93493" w:rsidRDefault="00CF04BC" w:rsidP="00CF04BC">
      <w:pPr>
        <w:pStyle w:val="Heading3"/>
      </w:pPr>
      <w:bookmarkStart w:id="2208" w:name="_Toc182391574"/>
      <w:bookmarkStart w:id="2209" w:name="_Toc182391985"/>
      <w:r w:rsidRPr="00B93493">
        <w:t>5.1.6</w:t>
      </w:r>
      <w:r w:rsidRPr="00B93493">
        <w:tab/>
        <w:t>India</w:t>
      </w:r>
      <w:bookmarkEnd w:id="2208"/>
      <w:bookmarkEnd w:id="2209"/>
    </w:p>
    <w:p w14:paraId="6F58A6FD" w14:textId="77777777" w:rsidR="00CF04BC" w:rsidRPr="00B93493" w:rsidRDefault="00CF04BC" w:rsidP="00CF04BC">
      <w:r w:rsidRPr="00B93493">
        <w:t xml:space="preserve">Indian administration (the “Government”), through the Department of Telecommunications (“DoT”), assigns the right to use certain specified radio spectrum frequencies in various bands by means of auction. The Government has set itself the following objectives for the Auction: </w:t>
      </w:r>
    </w:p>
    <w:p w14:paraId="370B3797" w14:textId="77777777" w:rsidR="00CF04BC" w:rsidRPr="00B93493" w:rsidRDefault="00CF04BC" w:rsidP="00CF04BC">
      <w:pPr>
        <w:pStyle w:val="enumlev1"/>
      </w:pPr>
      <w:r w:rsidRPr="00B93493">
        <w:t>–</w:t>
      </w:r>
      <w:r w:rsidRPr="00B93493">
        <w:tab/>
        <w:t xml:space="preserve">obtain a market determined price of Spectrum through a transparent process; </w:t>
      </w:r>
    </w:p>
    <w:p w14:paraId="4460631D" w14:textId="77777777" w:rsidR="00CF04BC" w:rsidRPr="00B93493" w:rsidRDefault="00CF04BC" w:rsidP="00CF04BC">
      <w:pPr>
        <w:pStyle w:val="enumlev1"/>
      </w:pPr>
      <w:r w:rsidRPr="00B93493">
        <w:t>–</w:t>
      </w:r>
      <w:r w:rsidRPr="00B93493">
        <w:tab/>
        <w:t xml:space="preserve">ensure efficient use of spectrum and avoid hoarding; </w:t>
      </w:r>
    </w:p>
    <w:p w14:paraId="40C71F69" w14:textId="77777777" w:rsidR="00CF04BC" w:rsidRPr="00B93493" w:rsidRDefault="00CF04BC" w:rsidP="00CF04BC">
      <w:pPr>
        <w:pStyle w:val="enumlev1"/>
      </w:pPr>
      <w:r w:rsidRPr="00B93493">
        <w:t>–</w:t>
      </w:r>
      <w:r w:rsidRPr="00B93493">
        <w:tab/>
        <w:t>stimulate competition in the sector;</w:t>
      </w:r>
    </w:p>
    <w:p w14:paraId="320CCAC0" w14:textId="77777777" w:rsidR="00CF04BC" w:rsidRPr="00B93493" w:rsidRDefault="00CF04BC" w:rsidP="00CF04BC">
      <w:pPr>
        <w:pStyle w:val="enumlev1"/>
      </w:pPr>
      <w:r w:rsidRPr="00B93493">
        <w:t>–</w:t>
      </w:r>
      <w:r w:rsidRPr="00B93493">
        <w:tab/>
        <w:t xml:space="preserve">promote rollout of the respective services; </w:t>
      </w:r>
    </w:p>
    <w:p w14:paraId="2FCAE5CB" w14:textId="77777777" w:rsidR="00CF04BC" w:rsidRPr="00B93493" w:rsidRDefault="00CF04BC" w:rsidP="00CF04BC">
      <w:pPr>
        <w:pStyle w:val="enumlev1"/>
      </w:pPr>
      <w:r w:rsidRPr="00B93493">
        <w:t>–</w:t>
      </w:r>
      <w:r w:rsidRPr="00B93493">
        <w:tab/>
        <w:t>to arrive at optimal price of spectrum to ensure sustainable and affordable access to Digital Communications.</w:t>
      </w:r>
    </w:p>
    <w:p w14:paraId="15DE5F83" w14:textId="77777777" w:rsidR="00CF04BC" w:rsidRPr="00B93493" w:rsidRDefault="00CF04BC" w:rsidP="00CF04BC">
      <w:pPr>
        <w:rPr>
          <w:color w:val="0D0D0D"/>
          <w:shd w:val="clear" w:color="auto" w:fill="FFFFFF"/>
        </w:rPr>
      </w:pPr>
      <w:r w:rsidRPr="00B93493">
        <w:rPr>
          <w:color w:val="0D0D0D"/>
          <w:shd w:val="clear" w:color="auto" w:fill="FFFFFF"/>
        </w:rPr>
        <w:t>India</w:t>
      </w:r>
      <w:r>
        <w:rPr>
          <w:color w:val="0D0D0D"/>
          <w:shd w:val="clear" w:color="auto" w:fill="FFFFFF"/>
        </w:rPr>
        <w:t>n</w:t>
      </w:r>
      <w:r w:rsidRPr="00B93493">
        <w:rPr>
          <w:color w:val="0D0D0D"/>
          <w:shd w:val="clear" w:color="auto" w:fill="FFFFFF"/>
        </w:rPr>
        <w:t xml:space="preserve"> </w:t>
      </w:r>
      <w:r w:rsidRPr="00B93493">
        <w:t xml:space="preserve">Administration </w:t>
      </w:r>
      <w:r w:rsidRPr="00B93493">
        <w:rPr>
          <w:color w:val="0D0D0D"/>
          <w:shd w:val="clear" w:color="auto" w:fill="FFFFFF"/>
        </w:rPr>
        <w:t xml:space="preserve">conducts spectrum auctions via </w:t>
      </w:r>
      <w:r w:rsidRPr="00B93493">
        <w:rPr>
          <w:bCs/>
        </w:rPr>
        <w:t xml:space="preserve">Simultaneous Multiple Round Ascending Auction (SMRA) </w:t>
      </w:r>
      <w:r w:rsidRPr="00B93493">
        <w:t xml:space="preserve">e-auction. </w:t>
      </w:r>
      <w:r w:rsidRPr="00B93493">
        <w:rPr>
          <w:color w:val="0D0D0D"/>
          <w:shd w:val="clear" w:color="auto" w:fill="FFFFFF"/>
        </w:rPr>
        <w:t xml:space="preserve">In an SMRA, multiple spectrum bands are auctioned simultaneously over multiple rounds. </w:t>
      </w:r>
      <w:r w:rsidRPr="00B93493">
        <w:t xml:space="preserve">Bidders are provided access the Electronic Auction System (EAS) for participation in the auctions. </w:t>
      </w:r>
      <w:r w:rsidRPr="00B93493">
        <w:rPr>
          <w:color w:val="0D0D0D"/>
          <w:shd w:val="clear" w:color="auto" w:fill="FFFFFF"/>
        </w:rPr>
        <w:t xml:space="preserve">Bidders place their initial bids at the reserve price in the first round. The auction proceeds in multiple rounds, with prices increasing in each round based on demand. Bidders can place bids on number of License service Area (LSA)-band combination in each round, with the auction continuing until no more new bids are placed. As the auction progresses, the competitive bidding process allows for dynamic price discovery, where prices are driven up based on the demand for specific spectrum blocks. These auctions provide flexibility for bidders to shift their focus across bands based on competition. To ensure consistent participation in the auction, activity rules are set which require bidders to remain active throughout the auction. The auction includes provisions such as ‘Spectrum Caps’, which limits the maximum amount of spectrum </w:t>
      </w:r>
      <w:r w:rsidRPr="00B93493">
        <w:rPr>
          <w:color w:val="000000"/>
        </w:rPr>
        <w:t>that can be held by each successful bidder after the completion of the auction</w:t>
      </w:r>
      <w:r w:rsidRPr="00B93493">
        <w:rPr>
          <w:color w:val="0D0D0D"/>
          <w:shd w:val="clear" w:color="auto" w:fill="FFFFFF"/>
        </w:rPr>
        <w:t>. This avoids hoarding of spectrum by few operators and ensures healthy competition in the telecom market.</w:t>
      </w:r>
    </w:p>
    <w:p w14:paraId="0F02D200" w14:textId="77777777" w:rsidR="00CF04BC" w:rsidRPr="00B93493" w:rsidRDefault="00CF04BC" w:rsidP="00CF04BC">
      <w:r w:rsidRPr="00B93493">
        <w:t xml:space="preserve">The right to use of the spectrum in various bands is granted for the period of twenty years. The licensee to whom the spectrum is assigned are required to fulfil network rollout obligations. The obligation reflects both the need to ensure the efficient use of spectrum and provide a </w:t>
      </w:r>
      <w:r>
        <w:t xml:space="preserve">fairly </w:t>
      </w:r>
      <w:r w:rsidRPr="00B93493">
        <w:t>reasonable</w:t>
      </w:r>
      <w:r>
        <w:t xml:space="preserve"> </w:t>
      </w:r>
      <w:r w:rsidRPr="00B93493">
        <w:t xml:space="preserve">level of service to customers. </w:t>
      </w:r>
    </w:p>
    <w:p w14:paraId="7A3F0052" w14:textId="77777777" w:rsidR="00CF04BC" w:rsidRPr="00B93493" w:rsidRDefault="00CF04BC" w:rsidP="00CF04BC">
      <w:r w:rsidRPr="00B93493">
        <w:t xml:space="preserve">Indian Administration has allowed Sharing, Trading, Surrender and Leasing of Spectrum to enhance the spectrum efficiency and economic value of spectrum. The details about the Spectrum Sharing, Trading, Surrender and Leasing are mentioned in sections 5.6, 5.7, 5.8 and 5.10 of Notice Inviting Applications 2024 available at </w:t>
      </w:r>
      <w:hyperlink r:id="rId162" w:history="1">
        <w:r w:rsidRPr="00B93493">
          <w:rPr>
            <w:rStyle w:val="Hyperlink"/>
          </w:rPr>
          <w:t>https://dot.gov.in/sites/default/files/Notice%20Inviting%20Applications%202023-24.pdf</w:t>
        </w:r>
      </w:hyperlink>
      <w:r w:rsidRPr="00B93493">
        <w:t>.</w:t>
      </w:r>
    </w:p>
    <w:p w14:paraId="5DFC3E14" w14:textId="77777777" w:rsidR="00CF04BC" w:rsidRPr="00B93493" w:rsidRDefault="00CF04BC" w:rsidP="00CF04BC">
      <w:pPr>
        <w:rPr>
          <w:shd w:val="clear" w:color="auto" w:fill="FFFFFF"/>
        </w:rPr>
      </w:pPr>
      <w:r w:rsidRPr="00B93493">
        <w:rPr>
          <w:shd w:val="clear" w:color="auto" w:fill="FFFFFF"/>
        </w:rPr>
        <w:t xml:space="preserve">Indian Administration has conducted spectrum auctions in various bands in the years 2010, 2012, 2013, 2015, 2016, 2021 and 2022. </w:t>
      </w:r>
    </w:p>
    <w:p w14:paraId="30E65B82" w14:textId="77777777" w:rsidR="00CF04BC" w:rsidRPr="00B93493" w:rsidRDefault="00CF04BC" w:rsidP="00CF04BC">
      <w:pPr>
        <w:pStyle w:val="Heading2"/>
      </w:pPr>
      <w:bookmarkStart w:id="2210" w:name="_Toc289868860"/>
      <w:bookmarkStart w:id="2211" w:name="_Toc291852937"/>
      <w:bookmarkStart w:id="2212" w:name="_Toc394386071"/>
      <w:bookmarkStart w:id="2213" w:name="_Toc497033210"/>
      <w:bookmarkStart w:id="2214" w:name="_Toc459793828"/>
      <w:bookmarkStart w:id="2215" w:name="_Toc497034008"/>
      <w:bookmarkStart w:id="2216" w:name="_Toc289933374"/>
      <w:bookmarkStart w:id="2217" w:name="_Toc394385984"/>
      <w:bookmarkStart w:id="2218" w:name="_Toc392515921"/>
      <w:bookmarkStart w:id="2219" w:name="_Toc462234137"/>
      <w:bookmarkStart w:id="2220" w:name="_Toc289932328"/>
      <w:bookmarkStart w:id="2221" w:name="_Toc459746740"/>
      <w:bookmarkStart w:id="2222" w:name="_Toc518394256"/>
      <w:bookmarkStart w:id="2223" w:name="_Toc289869020"/>
      <w:bookmarkStart w:id="2224" w:name="_Toc459792662"/>
      <w:bookmarkStart w:id="2225" w:name="_Toc395503175"/>
      <w:bookmarkStart w:id="2226" w:name="_Toc459793970"/>
      <w:bookmarkStart w:id="2227" w:name="_Toc459970431"/>
      <w:bookmarkStart w:id="2228" w:name="_Toc182391575"/>
      <w:bookmarkStart w:id="2229" w:name="_Toc182391986"/>
      <w:bookmarkStart w:id="2230" w:name="_Toc201822293"/>
      <w:r w:rsidRPr="00B93493">
        <w:t>5.2</w:t>
      </w:r>
      <w:r w:rsidRPr="00B93493">
        <w:tab/>
        <w:t>Experience with fees</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105166B1" w14:textId="77777777" w:rsidR="00CF04BC" w:rsidRPr="00B93493" w:rsidRDefault="00CF04BC" w:rsidP="00CF04BC">
      <w:pPr>
        <w:pStyle w:val="Heading3"/>
      </w:pPr>
      <w:bookmarkStart w:id="2231" w:name="_Toc459793829"/>
      <w:bookmarkStart w:id="2232" w:name="_Toc497033211"/>
      <w:bookmarkStart w:id="2233" w:name="_Toc289932329"/>
      <w:bookmarkStart w:id="2234" w:name="_Toc497034009"/>
      <w:bookmarkStart w:id="2235" w:name="_Toc459970432"/>
      <w:bookmarkStart w:id="2236" w:name="_Toc289868861"/>
      <w:bookmarkStart w:id="2237" w:name="_Toc462234138"/>
      <w:bookmarkStart w:id="2238" w:name="_Toc518394257"/>
      <w:bookmarkStart w:id="2239" w:name="_Toc392515922"/>
      <w:bookmarkStart w:id="2240" w:name="_Toc459792663"/>
      <w:bookmarkStart w:id="2241" w:name="_Toc459793971"/>
      <w:bookmarkStart w:id="2242" w:name="_Toc289869021"/>
      <w:bookmarkStart w:id="2243" w:name="_Toc291852938"/>
      <w:bookmarkStart w:id="2244" w:name="_Toc459746741"/>
      <w:bookmarkStart w:id="2245" w:name="_Toc289933375"/>
      <w:bookmarkStart w:id="2246" w:name="_Toc182391576"/>
      <w:bookmarkStart w:id="2247" w:name="_Toc182391987"/>
      <w:r w:rsidRPr="00B93493">
        <w:t>5.2.1</w:t>
      </w:r>
      <w:r w:rsidRPr="00B93493">
        <w:tab/>
        <w:t>Australia’s experience with licence fees</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DDD4D53" w14:textId="77777777" w:rsidR="00CF04BC" w:rsidRPr="00B93493" w:rsidRDefault="00CF04BC" w:rsidP="00CF04BC">
      <w:r w:rsidRPr="00B93493">
        <w:t>In addition to conducting spectrum auctions and implementing a limited system of property rights, the Australian Communications and Media Authority (ACMA) has attempted to improve the efficiency of the traditional system of licensing. Underpinning the ACMA’s approach has been a fundamental restructuring of radiocommunications apparatus licence fees. In April 1995, then Spectrum Management Agency (now ACMA), in consultation with industry, moved from a traditional, service-based methodology of charging for spectrum usage, to a system which charges on the basis of the amount of spectrum that a particular service denies to other users. Thus, licence fees are calculated in a more consistent and transparent manner, as opposed to the somewhat arbitrary approach that focused predominantly on the characteristics of the radiocommunications service being licensed.</w:t>
      </w:r>
    </w:p>
    <w:p w14:paraId="4DEC2565" w14:textId="77777777" w:rsidR="00CF04BC" w:rsidRPr="00B93493" w:rsidRDefault="00CF04BC" w:rsidP="00CF04BC">
      <w:r w:rsidRPr="00B93493">
        <w:t>Under the new apparatus licence fee structure, each licence fee generally consists of three identifiable components:</w:t>
      </w:r>
    </w:p>
    <w:p w14:paraId="77636F07" w14:textId="77777777" w:rsidR="00CF04BC" w:rsidRPr="00B93493" w:rsidRDefault="00CF04BC" w:rsidP="00CF04BC">
      <w:pPr>
        <w:pStyle w:val="enumlev1"/>
      </w:pPr>
      <w:r w:rsidRPr="00B93493">
        <w:t>–</w:t>
      </w:r>
      <w:r w:rsidRPr="00B93493">
        <w:tab/>
        <w:t>an issue or renewal component, reflecting the cost of issuing or renewing the licence;</w:t>
      </w:r>
    </w:p>
    <w:p w14:paraId="3CA7497E" w14:textId="77777777" w:rsidR="00CF04BC" w:rsidRPr="00B93493" w:rsidRDefault="00CF04BC" w:rsidP="00CF04BC">
      <w:pPr>
        <w:pStyle w:val="enumlev1"/>
      </w:pPr>
      <w:r w:rsidRPr="00B93493">
        <w:t>–</w:t>
      </w:r>
      <w:r w:rsidRPr="00B93493">
        <w:tab/>
        <w:t>a spectrum maintenance component, reflecting the ongoing cost of managing the spectrum, including protection from interference (a fixed percentage of the spectrum access tax (SAT) described below);</w:t>
      </w:r>
    </w:p>
    <w:p w14:paraId="78BB3A9D" w14:textId="77777777" w:rsidR="00CF04BC" w:rsidRPr="00B93493" w:rsidRDefault="00CF04BC" w:rsidP="00CF04BC">
      <w:pPr>
        <w:pStyle w:val="enumlev1"/>
      </w:pPr>
      <w:r w:rsidRPr="00B93493">
        <w:t>–</w:t>
      </w:r>
      <w:r w:rsidRPr="00B93493">
        <w:tab/>
        <w:t>a SAT, which represents a return to the government for use of a community resource, and is based on a formula involving spectrum location, geographic location, channel bandwidth, and communications coverage area.</w:t>
      </w:r>
    </w:p>
    <w:p w14:paraId="41C4A30E" w14:textId="77777777" w:rsidR="00CF04BC" w:rsidRPr="00B93493" w:rsidRDefault="00CF04BC" w:rsidP="00CF04BC">
      <w:r w:rsidRPr="00B93493">
        <w:t>The calculation of the SAT represents a market demand based pricing strategy in so far as services operating in higher demand areas of the spectrum (i.e. UHF/VHF) or more densely populated geographic areas (i.e. major capital cities) attract a higher licence fee than those operating in lower spectrum demand or geographic demand areas. Furthermore, in accordance with the spectrum denial methodology, services with larger operating bandwidths attract a higher licence fee than more spectrum efficient services, thereby encouraging users to seek more technically advanced equipment that utilizes narrower operating bandwidths, or alternatively encouraging users to operate in segments of the spectrum that are in greater supply.</w:t>
      </w:r>
    </w:p>
    <w:p w14:paraId="2FB01A0B" w14:textId="77777777" w:rsidR="00CF04BC" w:rsidRPr="00B93493" w:rsidRDefault="00CF04BC" w:rsidP="00CF04BC">
      <w:r w:rsidRPr="00B93493">
        <w:t>The ACMA has also introduced measures which allow greater flexibility and certainty for users in the radiocommunications market. Flexibility has been achieved by allowing licensees to transfer their apparatus licences to third parties, while greater certainty has been accomplished by permitting licensees to acquire licences for periods of up to five years.</w:t>
      </w:r>
    </w:p>
    <w:p w14:paraId="11E3D631" w14:textId="77777777" w:rsidR="00CF04BC" w:rsidRPr="00B93493" w:rsidRDefault="00CF04BC" w:rsidP="00CF04BC">
      <w:pPr>
        <w:pStyle w:val="Heading3"/>
      </w:pPr>
      <w:bookmarkStart w:id="2248" w:name="_Toc392515923"/>
      <w:bookmarkStart w:id="2249" w:name="_Toc497033212"/>
      <w:bookmarkStart w:id="2250" w:name="_Toc289933376"/>
      <w:bookmarkStart w:id="2251" w:name="_Toc459793830"/>
      <w:bookmarkStart w:id="2252" w:name="_Toc459746742"/>
      <w:bookmarkStart w:id="2253" w:name="_Toc497034010"/>
      <w:bookmarkStart w:id="2254" w:name="_Toc289869022"/>
      <w:bookmarkStart w:id="2255" w:name="_Toc462234139"/>
      <w:bookmarkStart w:id="2256" w:name="_Toc459792664"/>
      <w:bookmarkStart w:id="2257" w:name="_Toc459970433"/>
      <w:bookmarkStart w:id="2258" w:name="_Toc289932330"/>
      <w:bookmarkStart w:id="2259" w:name="_Toc289868862"/>
      <w:bookmarkStart w:id="2260" w:name="_Toc518394258"/>
      <w:bookmarkStart w:id="2261" w:name="_Toc459793972"/>
      <w:bookmarkStart w:id="2262" w:name="_Toc291852939"/>
      <w:bookmarkStart w:id="2263" w:name="_Toc182391577"/>
      <w:bookmarkStart w:id="2264" w:name="_Toc182391988"/>
      <w:r w:rsidRPr="00B93493">
        <w:t>5.2.2</w:t>
      </w:r>
      <w:r w:rsidRPr="00B93493">
        <w:tab/>
        <w:t>Canada’s experience with licence fees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6C9CC022" w14:textId="77777777" w:rsidR="00CF04BC" w:rsidRPr="00B93493" w:rsidRDefault="00CF04BC" w:rsidP="00CF04BC">
      <w:pPr>
        <w:rPr>
          <w:szCs w:val="24"/>
        </w:rPr>
      </w:pPr>
      <w:bookmarkStart w:id="2265" w:name="_Toc459793831"/>
      <w:bookmarkStart w:id="2266" w:name="_Toc459792665"/>
      <w:bookmarkStart w:id="2267" w:name="_Toc497034011"/>
      <w:bookmarkStart w:id="2268" w:name="_Toc497033213"/>
      <w:bookmarkStart w:id="2269" w:name="_Toc459746743"/>
      <w:bookmarkStart w:id="2270" w:name="_Toc459793973"/>
      <w:bookmarkStart w:id="2271" w:name="_Toc459970434"/>
      <w:r w:rsidRPr="00B93493">
        <w:rPr>
          <w:szCs w:val="24"/>
        </w:rPr>
        <w:t xml:space="preserve">Industry Canada’s policy objective in managing the spectrum, as reflected in the 2007 </w:t>
      </w:r>
      <w:r w:rsidRPr="00B93493">
        <w:rPr>
          <w:i/>
          <w:szCs w:val="24"/>
        </w:rPr>
        <w:t>Spectrum Policy Framework for Canada</w:t>
      </w:r>
      <w:r w:rsidRPr="00B93493">
        <w:rPr>
          <w:szCs w:val="24"/>
        </w:rPr>
        <w:t xml:space="preserve">, is to maximize the economic and social benefits that Canadians derive from the use of this resource. The Policy Framework also includes enabling guidelines that call for increased reliance on market forces, implementation of flexibility in spectrum management, and minimization of administrative burden. </w:t>
      </w:r>
    </w:p>
    <w:p w14:paraId="5483CA3E" w14:textId="77777777" w:rsidR="00CF04BC" w:rsidRPr="00B93493" w:rsidRDefault="00CF04BC" w:rsidP="00CF04BC">
      <w:pPr>
        <w:rPr>
          <w:szCs w:val="24"/>
        </w:rPr>
      </w:pPr>
      <w:r w:rsidRPr="00B93493">
        <w:rPr>
          <w:szCs w:val="24"/>
        </w:rPr>
        <w:t>In accordance with these enabling guidelines, the department has been moving in the direction of increased reliance on market forces as a means of carrying out its policy objective. This includes relying on technology and service neutral licences, auctions and fees that promote the efficient use of the spectrum resource and earn a fair return to Canadians for its use. For a number of years, Industry Canada has been issuing spectrum licences for new services that are technology neutral, tradable and have ten year terms.</w:t>
      </w:r>
    </w:p>
    <w:p w14:paraId="5EF289F5" w14:textId="77777777" w:rsidR="00CF04BC" w:rsidRPr="00B93493" w:rsidRDefault="00CF04BC" w:rsidP="00CF04BC">
      <w:pPr>
        <w:rPr>
          <w:szCs w:val="24"/>
        </w:rPr>
      </w:pPr>
      <w:r w:rsidRPr="00B93493">
        <w:rPr>
          <w:szCs w:val="24"/>
        </w:rPr>
        <w:t>Currently, Industry Canada is studying the development of a fee model based on spectrum consumption in three dimensions: bandwidth, geographic coverage, and exclusive use. Although this model has not been implemented, its methodology and recommendations remain under consideration for future licensing regime modifications.</w:t>
      </w:r>
    </w:p>
    <w:p w14:paraId="19A36941" w14:textId="77777777" w:rsidR="00CF04BC" w:rsidRPr="00B93493" w:rsidRDefault="00CF04BC" w:rsidP="00CF04BC">
      <w:pPr>
        <w:pStyle w:val="Heading3"/>
      </w:pPr>
      <w:bookmarkStart w:id="2272" w:name="_Toc518394259"/>
      <w:bookmarkStart w:id="2273" w:name="_Toc289932331"/>
      <w:bookmarkStart w:id="2274" w:name="_Toc291852940"/>
      <w:bookmarkStart w:id="2275" w:name="_Toc289933377"/>
      <w:bookmarkStart w:id="2276" w:name="_Toc289868863"/>
      <w:bookmarkStart w:id="2277" w:name="_Toc392515924"/>
      <w:bookmarkStart w:id="2278" w:name="_Toc462234140"/>
      <w:bookmarkStart w:id="2279" w:name="_Toc289869023"/>
      <w:bookmarkStart w:id="2280" w:name="_Toc182391578"/>
      <w:bookmarkStart w:id="2281" w:name="_Toc182391989"/>
      <w:r w:rsidRPr="00B93493">
        <w:t>5.2.3</w:t>
      </w:r>
      <w:r w:rsidRPr="00B93493">
        <w:tab/>
        <w:t>China’s experience with licence fees</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14:paraId="2D098FA6" w14:textId="77777777" w:rsidR="00CF04BC" w:rsidRPr="00B93493" w:rsidRDefault="00CF04BC" w:rsidP="00CF04BC">
      <w:pPr>
        <w:rPr>
          <w:lang w:eastAsia="zh-CN"/>
        </w:rPr>
      </w:pPr>
      <w:bookmarkStart w:id="2282" w:name="_Toc459793832"/>
      <w:bookmarkStart w:id="2283" w:name="_Toc459746747"/>
      <w:bookmarkStart w:id="2284" w:name="_Toc459970435"/>
      <w:bookmarkStart w:id="2285" w:name="_Toc459792666"/>
      <w:bookmarkStart w:id="2286" w:name="_Toc459793974"/>
      <w:r w:rsidRPr="00B93493">
        <w:t>In 1989, the Radio Regulatory Department (the former Office of State Radio Regulatory Commission) of China began collecting licence fees, most of which were spent on spectrum management facilities. This spending has improved spectrum management and has contributed to the deployment of radio services. In 1998, the fee mechanism was adjusted to make fee collection formulas simpler, in order to avoid ambiguity and reduce the cost of fee collecting.</w:t>
      </w:r>
      <w:bookmarkStart w:id="2287" w:name="_Toc459746744"/>
      <w:r w:rsidRPr="00B93493">
        <w:t xml:space="preserve"> </w:t>
      </w:r>
      <w:r w:rsidRPr="00B93493">
        <w:rPr>
          <w:lang w:eastAsia="zh-CN"/>
        </w:rPr>
        <w:t xml:space="preserve">In the period of </w:t>
      </w:r>
      <w:r w:rsidRPr="00B93493">
        <w:t>2009</w:t>
      </w:r>
      <w:r w:rsidRPr="00B93493">
        <w:rPr>
          <w:lang w:eastAsia="zh-CN"/>
        </w:rPr>
        <w:t xml:space="preserve"> to </w:t>
      </w:r>
      <w:r w:rsidRPr="00B93493">
        <w:t>2012, the Radio Regulatory Department</w:t>
      </w:r>
      <w:r w:rsidRPr="00B93493">
        <w:rPr>
          <w:lang w:eastAsia="zh-CN"/>
        </w:rPr>
        <w:t xml:space="preserve"> has published legislations continuously as follows:&lt;</w:t>
      </w:r>
      <w:r w:rsidRPr="00B93493">
        <w:t xml:space="preserve"> </w:t>
      </w:r>
      <w:r w:rsidRPr="00B93493">
        <w:rPr>
          <w:lang w:eastAsia="zh-CN"/>
        </w:rPr>
        <w:t>Measures for the Administration of the Radio Frequency Occupation Fee &gt;,&lt;</w:t>
      </w:r>
      <w:r w:rsidRPr="00B93493">
        <w:t xml:space="preserve"> </w:t>
      </w:r>
      <w:r w:rsidRPr="00B93493">
        <w:rPr>
          <w:lang w:eastAsia="zh-CN"/>
        </w:rPr>
        <w:t>Radio Frequency Allocation of the Peopleʼs Republic of China (2010) &gt;. The spectrum management policy and spectrum fees policy are continuously promoted to convergence well.</w:t>
      </w:r>
    </w:p>
    <w:p w14:paraId="62D88D26" w14:textId="77777777" w:rsidR="00CF04BC" w:rsidRPr="00B93493" w:rsidRDefault="00CF04BC" w:rsidP="00CF04BC">
      <w:r w:rsidRPr="00B93493">
        <w:rPr>
          <w:rFonts w:ascii="timesnewroman" w:hAnsi="timesnewroman" w:cs="timesnewroman"/>
          <w:szCs w:val="24"/>
          <w:lang w:eastAsia="zh-CN"/>
        </w:rPr>
        <w:t>Fee collecting in China is not only regarded as a source of revenue but also an effective means of increasing the efficiency of spectrum management.</w:t>
      </w:r>
      <w:r w:rsidRPr="00B93493">
        <w:t xml:space="preserve"> </w:t>
      </w:r>
      <w:r w:rsidRPr="00B93493">
        <w:rPr>
          <w:rFonts w:ascii="timesnewroman" w:hAnsi="timesnewroman" w:cs="timesnewroman"/>
          <w:szCs w:val="24"/>
          <w:lang w:eastAsia="zh-CN"/>
        </w:rPr>
        <w:t>At present, Chinaʼs charging policy takes the mode of charge and expenditure management by different government departments. The following factors are taken into consideration when setting fee levels:</w:t>
      </w:r>
    </w:p>
    <w:p w14:paraId="28ABCD56" w14:textId="77777777" w:rsidR="00CF04BC" w:rsidRPr="00B93493" w:rsidRDefault="00CF04BC" w:rsidP="00CF04BC">
      <w:pPr>
        <w:pStyle w:val="enumlev1"/>
      </w:pPr>
      <w:r w:rsidRPr="00B93493">
        <w:t>–</w:t>
      </w:r>
      <w:r w:rsidRPr="00B93493">
        <w:tab/>
      </w:r>
      <w:r w:rsidRPr="00B93493">
        <w:rPr>
          <w:i/>
          <w:iCs/>
        </w:rPr>
        <w:t>Bandwidth used</w:t>
      </w:r>
      <w:bookmarkEnd w:id="2287"/>
      <w:r w:rsidRPr="00B93493">
        <w:t>: Setting the fee level according to the amount of spectrum a user receives encourages the applicant to apply for only the necessary amount of spectrum, thus reducing hoarding.</w:t>
      </w:r>
    </w:p>
    <w:p w14:paraId="61F1309C" w14:textId="77777777" w:rsidR="00CF04BC" w:rsidRPr="00B93493" w:rsidRDefault="00CF04BC" w:rsidP="00CF04BC">
      <w:pPr>
        <w:pStyle w:val="enumlev1"/>
      </w:pPr>
      <w:bookmarkStart w:id="2288" w:name="_Toc459746745"/>
      <w:r w:rsidRPr="00B93493">
        <w:t>–</w:t>
      </w:r>
      <w:r w:rsidRPr="00B93493">
        <w:tab/>
      </w:r>
      <w:r w:rsidRPr="00B93493">
        <w:rPr>
          <w:i/>
          <w:iCs/>
        </w:rPr>
        <w:t>Coverage area</w:t>
      </w:r>
      <w:bookmarkEnd w:id="2288"/>
      <w:r w:rsidRPr="00B93493">
        <w:t>: The coverage area may be a city, a province or more than one province. For each type of coverage area, there is a different fee level.</w:t>
      </w:r>
    </w:p>
    <w:p w14:paraId="7CE2BEBD" w14:textId="77777777" w:rsidR="00CF04BC" w:rsidRPr="00B93493" w:rsidRDefault="00CF04BC" w:rsidP="00CF04BC">
      <w:pPr>
        <w:pStyle w:val="enumlev1"/>
      </w:pPr>
      <w:bookmarkStart w:id="2289" w:name="_Toc459746746"/>
      <w:r w:rsidRPr="00B93493">
        <w:t>–</w:t>
      </w:r>
      <w:r w:rsidRPr="00B93493">
        <w:tab/>
      </w:r>
      <w:r w:rsidRPr="00B93493">
        <w:rPr>
          <w:i/>
          <w:iCs/>
        </w:rPr>
        <w:t>Frequency</w:t>
      </w:r>
      <w:bookmarkEnd w:id="2289"/>
      <w:r w:rsidRPr="00B93493">
        <w:t xml:space="preserve">: For the same service, different fees are charged, depending on the frequency band. For example, the fee per MHz for a microwave station operating above 10 GHz is only half as much as for a station operating below 10 GHz. Thus, the fee structure encourages service operators to introduce new services in less congested parts of the spectrum. </w:t>
      </w:r>
    </w:p>
    <w:p w14:paraId="21BC5259" w14:textId="77777777" w:rsidR="00CF04BC" w:rsidRPr="00B93493" w:rsidRDefault="00CF04BC" w:rsidP="00CF04BC">
      <w:pPr>
        <w:widowControl w:val="0"/>
        <w:overflowPunct/>
        <w:textAlignment w:val="auto"/>
        <w:rPr>
          <w:rFonts w:ascii="timesnewroman" w:hAnsi="timesnewroman" w:cs="timesnewroman"/>
          <w:szCs w:val="24"/>
          <w:lang w:eastAsia="zh-CN"/>
        </w:rPr>
      </w:pPr>
      <w:r w:rsidRPr="00B93493">
        <w:rPr>
          <w:rFonts w:ascii="timesnewroman" w:hAnsi="timesnewroman" w:cs="timesnewroman"/>
          <w:szCs w:val="24"/>
          <w:lang w:eastAsia="zh-CN"/>
        </w:rPr>
        <w:t>The following factors are taken into consideration when setting expenses levels:</w:t>
      </w:r>
    </w:p>
    <w:p w14:paraId="50AFD335" w14:textId="77777777" w:rsidR="00CF04BC" w:rsidRPr="00B93493" w:rsidRDefault="00CF04BC" w:rsidP="00CF04BC">
      <w:pPr>
        <w:pStyle w:val="enumlev1"/>
        <w:rPr>
          <w:lang w:eastAsia="zh-CN"/>
        </w:rPr>
      </w:pPr>
      <w:r w:rsidRPr="00B93493">
        <w:rPr>
          <w:lang w:eastAsia="zh-CN"/>
        </w:rPr>
        <w:t>–</w:t>
      </w:r>
      <w:r w:rsidRPr="00B93493">
        <w:rPr>
          <w:lang w:eastAsia="zh-CN"/>
        </w:rPr>
        <w:tab/>
      </w:r>
      <w:r w:rsidRPr="00B93493">
        <w:rPr>
          <w:i/>
          <w:iCs/>
          <w:lang w:eastAsia="zh-CN"/>
        </w:rPr>
        <w:t>Base factor</w:t>
      </w:r>
      <w:r w:rsidRPr="00B93493">
        <w:rPr>
          <w:lang w:eastAsia="zh-CN"/>
        </w:rPr>
        <w:t>:</w:t>
      </w:r>
      <w:r w:rsidRPr="00B93493">
        <w:t xml:space="preserve"> </w:t>
      </w:r>
      <w:r w:rsidRPr="00B93493">
        <w:rPr>
          <w:lang w:eastAsia="zh-CN"/>
        </w:rPr>
        <w:t>Calculated in accordance with the value of houses and buildings, vehicles, specified equipment of radio management.</w:t>
      </w:r>
    </w:p>
    <w:p w14:paraId="04467EE9" w14:textId="77777777" w:rsidR="00CF04BC" w:rsidRPr="00B93493" w:rsidRDefault="00CF04BC" w:rsidP="00CF04BC">
      <w:pPr>
        <w:pStyle w:val="enumlev1"/>
        <w:rPr>
          <w:b/>
          <w:bCs/>
          <w:lang w:eastAsia="zh-CN"/>
        </w:rPr>
      </w:pPr>
      <w:r w:rsidRPr="00B93493">
        <w:rPr>
          <w:lang w:eastAsia="zh-CN"/>
        </w:rPr>
        <w:t>–</w:t>
      </w:r>
      <w:r w:rsidRPr="00B93493">
        <w:rPr>
          <w:lang w:eastAsia="zh-CN"/>
        </w:rPr>
        <w:tab/>
      </w:r>
      <w:r w:rsidRPr="00B93493">
        <w:rPr>
          <w:i/>
          <w:iCs/>
          <w:lang w:eastAsia="zh-CN"/>
        </w:rPr>
        <w:t>Dynamic factor</w:t>
      </w:r>
      <w:r w:rsidRPr="00B93493">
        <w:rPr>
          <w:lang w:eastAsia="zh-CN"/>
        </w:rPr>
        <w:t>:</w:t>
      </w:r>
      <w:r w:rsidRPr="00B93493">
        <w:t xml:space="preserve"> </w:t>
      </w:r>
      <w:r w:rsidRPr="00B93493">
        <w:rPr>
          <w:lang w:eastAsia="zh-CN"/>
        </w:rPr>
        <w:t>Consideration by the number of management areas, radio stations, plan and investment of management facilities construction.</w:t>
      </w:r>
    </w:p>
    <w:p w14:paraId="1F7F5E47" w14:textId="77777777" w:rsidR="00CF04BC" w:rsidRPr="00B93493" w:rsidRDefault="00CF04BC" w:rsidP="00CF04BC">
      <w:pPr>
        <w:pStyle w:val="enumlev1"/>
      </w:pPr>
      <w:r w:rsidRPr="00B93493">
        <w:rPr>
          <w:lang w:eastAsia="zh-CN"/>
        </w:rPr>
        <w:t>–</w:t>
      </w:r>
      <w:r w:rsidRPr="00B93493">
        <w:rPr>
          <w:lang w:eastAsia="zh-CN"/>
        </w:rPr>
        <w:tab/>
      </w:r>
      <w:r w:rsidRPr="00B93493">
        <w:rPr>
          <w:i/>
          <w:iCs/>
          <w:lang w:eastAsia="zh-CN"/>
        </w:rPr>
        <w:t>Other factor</w:t>
      </w:r>
      <w:r w:rsidRPr="00B93493">
        <w:rPr>
          <w:lang w:eastAsia="zh-CN"/>
        </w:rPr>
        <w:t>:</w:t>
      </w:r>
      <w:r w:rsidRPr="00B93493">
        <w:t xml:space="preserve"> </w:t>
      </w:r>
      <w:r w:rsidRPr="00B93493">
        <w:rPr>
          <w:lang w:eastAsia="zh-CN"/>
        </w:rPr>
        <w:t>Consideration by others such as major events, radio technology and equipment research and development, communication support and other factors.</w:t>
      </w:r>
    </w:p>
    <w:p w14:paraId="74509505" w14:textId="77777777" w:rsidR="00CF04BC" w:rsidRPr="00B93493" w:rsidRDefault="00CF04BC" w:rsidP="00CF04BC">
      <w:r w:rsidRPr="00B93493">
        <w:t>According to factors mentioned above, China’s license fees policies are implemented in two ways. The first one is that fees are collected according to the bandwidth of assigned spectrum. For example, mobile communication operators apply for many frequency spectrum</w:t>
      </w:r>
      <w:r w:rsidRPr="00B93493">
        <w:rPr>
          <w:lang w:eastAsia="zh-CN"/>
        </w:rPr>
        <w:t>s</w:t>
      </w:r>
      <w:r w:rsidRPr="00B93493">
        <w:t xml:space="preserve"> to construct their networks. In order to encourage operators to make full use of spectrum and to provide more convenient service for the public, license fees of mobile communication networks are charged according to the </w:t>
      </w:r>
      <w:r w:rsidRPr="00B93493">
        <w:rPr>
          <w:lang w:eastAsia="zh-CN"/>
        </w:rPr>
        <w:t xml:space="preserve">total </w:t>
      </w:r>
      <w:r w:rsidRPr="00B93493">
        <w:t>width</w:t>
      </w:r>
      <w:r w:rsidRPr="00B93493">
        <w:rPr>
          <w:lang w:eastAsia="zh-CN"/>
        </w:rPr>
        <w:t xml:space="preserve"> of spectrums which allocated to the network</w:t>
      </w:r>
      <w:r w:rsidRPr="00B93493">
        <w:t xml:space="preserve">, but not levied for every station in the network. Meanwhile, as radio waves in different frequency bands have different characteristics, the license fee policy (price for spectrums) varies in different bands used by mobile communication. For example, compared with radio waves in 1 800 MHz band, those in 900 MHz band have better propagation characteristics and larger coverage. Therefore, the price of spectrum in 900 MHz band is higher than that of in 1 800 MHz band by 13.3%. The second way of license fee charging is that services operators pay for every station that has been assigned frequencies, such as earth station, microwave station. </w:t>
      </w:r>
    </w:p>
    <w:p w14:paraId="5271C8BE" w14:textId="77777777" w:rsidR="00CF04BC" w:rsidRPr="00B93493" w:rsidRDefault="00CF04BC" w:rsidP="00CF04BC">
      <w:r w:rsidRPr="00B93493">
        <w:t>In additional, there</w:t>
      </w:r>
      <w:r>
        <w:t xml:space="preserve"> a</w:t>
      </w:r>
      <w:r w:rsidRPr="00B93493">
        <w:t>re some favourable policies. For instance, stations meet with the followed situation can be exempt from license fees:</w:t>
      </w:r>
    </w:p>
    <w:p w14:paraId="722EF876" w14:textId="77777777" w:rsidR="00CF04BC" w:rsidRPr="00B93493" w:rsidRDefault="00CF04BC" w:rsidP="00CF04BC">
      <w:pPr>
        <w:pStyle w:val="enumlev1"/>
      </w:pPr>
      <w:r w:rsidRPr="00B93493">
        <w:t>1.</w:t>
      </w:r>
      <w:r w:rsidRPr="00B93493">
        <w:tab/>
        <w:t>Stations set up by government for official business.</w:t>
      </w:r>
    </w:p>
    <w:p w14:paraId="0EFEC619" w14:textId="77777777" w:rsidR="00CF04BC" w:rsidRPr="00B93493" w:rsidRDefault="00CF04BC" w:rsidP="00CF04BC">
      <w:pPr>
        <w:pStyle w:val="enumlev1"/>
      </w:pPr>
      <w:r w:rsidRPr="00B93493">
        <w:t>2.</w:t>
      </w:r>
      <w:r w:rsidRPr="00B93493">
        <w:tab/>
        <w:t>Special stations for national defence.</w:t>
      </w:r>
    </w:p>
    <w:p w14:paraId="5F02710A" w14:textId="77777777" w:rsidR="00CF04BC" w:rsidRPr="00B93493" w:rsidRDefault="00CF04BC" w:rsidP="00CF04BC">
      <w:pPr>
        <w:pStyle w:val="enumlev1"/>
      </w:pPr>
      <w:r w:rsidRPr="00B93493">
        <w:t>3.</w:t>
      </w:r>
      <w:r w:rsidRPr="00B93493">
        <w:tab/>
        <w:t>Official business stations owned by police, security department, justice organs, penitentiary, fishery administration.</w:t>
      </w:r>
    </w:p>
    <w:p w14:paraId="7BB7832B" w14:textId="77777777" w:rsidR="00CF04BC" w:rsidRPr="00B93493" w:rsidRDefault="00CF04BC" w:rsidP="00CF04BC">
      <w:pPr>
        <w:pStyle w:val="enumlev1"/>
      </w:pPr>
      <w:r w:rsidRPr="00B93493">
        <w:t>4.</w:t>
      </w:r>
      <w:r w:rsidRPr="00B93493">
        <w:tab/>
        <w:t>Emergency rescue and disaster relief work stations, maritime distress stations on guard, safety information delivery stations, safety navigation stations.</w:t>
      </w:r>
    </w:p>
    <w:p w14:paraId="4A2FF019" w14:textId="77777777" w:rsidR="00CF04BC" w:rsidRPr="00B93493" w:rsidRDefault="00CF04BC" w:rsidP="00CF04BC">
      <w:pPr>
        <w:pStyle w:val="enumlev1"/>
      </w:pPr>
      <w:r w:rsidRPr="00B93493">
        <w:t>5.</w:t>
      </w:r>
      <w:r w:rsidRPr="00B93493">
        <w:tab/>
        <w:t>Experimental stations installed by broadcasting authorities, stations for foreign radio and TV broadcasting.</w:t>
      </w:r>
    </w:p>
    <w:p w14:paraId="2C1AC314" w14:textId="77777777" w:rsidR="00CF04BC" w:rsidRPr="00B93493" w:rsidRDefault="00CF04BC" w:rsidP="00CF04BC">
      <w:pPr>
        <w:pStyle w:val="enumlev1"/>
      </w:pPr>
      <w:r w:rsidRPr="00B93493">
        <w:t>6.</w:t>
      </w:r>
      <w:r w:rsidRPr="00B93493">
        <w:tab/>
        <w:t>Amateur station.</w:t>
      </w:r>
    </w:p>
    <w:p w14:paraId="19BAA17F" w14:textId="77777777" w:rsidR="00CF04BC" w:rsidRPr="00B93493" w:rsidRDefault="00CF04BC" w:rsidP="00CF04BC">
      <w:pPr>
        <w:pStyle w:val="enumlev1"/>
      </w:pPr>
      <w:r w:rsidRPr="00B93493">
        <w:t>7.</w:t>
      </w:r>
      <w:r w:rsidRPr="00B93493">
        <w:tab/>
        <w:t>TV transposing stations set up by the peasant through funding.</w:t>
      </w:r>
    </w:p>
    <w:p w14:paraId="27D246B3" w14:textId="77777777" w:rsidR="00CF04BC" w:rsidRPr="00B93493" w:rsidRDefault="00CF04BC" w:rsidP="00CF04BC">
      <w:r w:rsidRPr="00B93493">
        <w:t xml:space="preserve">The policy of license fee exemption mentioned above was carried out within the first license fee collection rule in 1998. In 2006, another favourable policy about license fees was made which primarily prompts communication and broadcast services for farmers in rural area. In a lot of rural area, economy develops correspondingly slow. In order to provide universal communication and broadcast services, the government launched a special project to set up communication and broadcast establishments in rural area, which facilitates farmers in every village of China to communicate with others and receive radio and TV broadcasting programs. To support this project, the government brings out a favourable policy which reduces or exempts the license fee of stations. In this favourable policy, the operator of any station of analogue wireless access system, MMDS and SCDMA could pay the license fee at half price of normal, and the license fee of earth station, radio and TV transposing station are totally exempted. The objective of above favourable policy is to ensure people in countryside to get necessary and guaranteed radio services with low cost. </w:t>
      </w:r>
    </w:p>
    <w:p w14:paraId="48EF1865" w14:textId="77777777" w:rsidR="00CF04BC" w:rsidRPr="00B93493" w:rsidRDefault="00CF04BC" w:rsidP="00CF04BC">
      <w:pPr>
        <w:rPr>
          <w:lang w:eastAsia="zh-CN"/>
        </w:rPr>
      </w:pPr>
      <w:r w:rsidRPr="00B93493">
        <w:rPr>
          <w:lang w:eastAsia="zh-CN"/>
        </w:rPr>
        <w:t xml:space="preserve">In 2018, preferential policies were once again introduced in China to increase the efforts to reduce </w:t>
      </w:r>
      <w:r w:rsidRPr="00B93493">
        <w:t>license fees</w:t>
      </w:r>
      <w:r w:rsidRPr="00B93493">
        <w:rPr>
          <w:lang w:eastAsia="zh-CN"/>
        </w:rPr>
        <w:t xml:space="preserve">. One is to implement a preferential policy of reducing the </w:t>
      </w:r>
      <w:r w:rsidRPr="00B93493">
        <w:t>license fee</w:t>
      </w:r>
      <w:r w:rsidRPr="00B93493">
        <w:rPr>
          <w:lang w:eastAsia="zh-CN"/>
        </w:rPr>
        <w:t xml:space="preserve"> for IMT-2020 (5G) public mobile communication system frequencies in the first three years and gradually </w:t>
      </w:r>
      <w:r w:rsidRPr="00B93493">
        <w:t>increasing to the specified</w:t>
      </w:r>
      <w:r w:rsidRPr="00B93493">
        <w:rPr>
          <w:lang w:eastAsia="zh-CN"/>
        </w:rPr>
        <w:t xml:space="preserve"> </w:t>
      </w:r>
      <w:r w:rsidRPr="00B93493">
        <w:t>license fee</w:t>
      </w:r>
      <w:r w:rsidRPr="00B93493">
        <w:rPr>
          <w:lang w:eastAsia="zh-CN"/>
        </w:rPr>
        <w:t xml:space="preserve"> level in the following three years. The second is to lower the </w:t>
      </w:r>
      <w:r w:rsidRPr="00B93493">
        <w:t>license fee</w:t>
      </w:r>
      <w:r w:rsidRPr="00B93493">
        <w:rPr>
          <w:lang w:eastAsia="zh-CN"/>
        </w:rPr>
        <w:t xml:space="preserve"> criteria for frequencies above 3 000 MHz, further reducing the cost of using IMT-2020 (5G) frequency resources, promoting the development and application of IMT-2020 (5G) in various industries.</w:t>
      </w:r>
    </w:p>
    <w:p w14:paraId="1787AC97" w14:textId="77777777" w:rsidR="00CF04BC" w:rsidRPr="00B93493" w:rsidRDefault="00CF04BC" w:rsidP="00CF04BC">
      <w:pPr>
        <w:pStyle w:val="Heading3"/>
      </w:pPr>
      <w:bookmarkStart w:id="2290" w:name="_Toc497034012"/>
      <w:bookmarkStart w:id="2291" w:name="_Toc289869024"/>
      <w:bookmarkStart w:id="2292" w:name="_Toc518394260"/>
      <w:bookmarkStart w:id="2293" w:name="_Toc289868864"/>
      <w:bookmarkStart w:id="2294" w:name="_Toc291852941"/>
      <w:bookmarkStart w:id="2295" w:name="_Toc497033214"/>
      <w:bookmarkStart w:id="2296" w:name="_Toc289933378"/>
      <w:bookmarkStart w:id="2297" w:name="_Toc392515925"/>
      <w:bookmarkStart w:id="2298" w:name="_Toc462234141"/>
      <w:bookmarkStart w:id="2299" w:name="_Toc289932332"/>
      <w:bookmarkStart w:id="2300" w:name="_Toc182391579"/>
      <w:bookmarkStart w:id="2301" w:name="_Toc182391990"/>
      <w:r w:rsidRPr="00B93493">
        <w:t>5.2.4</w:t>
      </w:r>
      <w:r w:rsidRPr="00B93493">
        <w:tab/>
        <w:t>Germany’s experience with spectrum usage fees</w:t>
      </w:r>
      <w:bookmarkEnd w:id="2282"/>
      <w:bookmarkEnd w:id="2283"/>
      <w:bookmarkEnd w:id="2284"/>
      <w:bookmarkEnd w:id="2285"/>
      <w:bookmarkEnd w:id="2286"/>
      <w:bookmarkEnd w:id="2290"/>
      <w:bookmarkEnd w:id="2291"/>
      <w:bookmarkEnd w:id="2292"/>
      <w:bookmarkEnd w:id="2293"/>
      <w:bookmarkEnd w:id="2294"/>
      <w:bookmarkEnd w:id="2295"/>
      <w:bookmarkEnd w:id="2296"/>
      <w:bookmarkEnd w:id="2297"/>
      <w:bookmarkEnd w:id="2298"/>
      <w:bookmarkEnd w:id="2299"/>
      <w:bookmarkEnd w:id="2300"/>
      <w:bookmarkEnd w:id="2301"/>
    </w:p>
    <w:p w14:paraId="4AF4E4C9" w14:textId="77777777" w:rsidR="00CF04BC" w:rsidRPr="00B93493" w:rsidRDefault="00CF04BC" w:rsidP="00CF04BC">
      <w:bookmarkStart w:id="2302" w:name="_Toc459793978"/>
      <w:bookmarkStart w:id="2303" w:name="_Toc459746762"/>
      <w:bookmarkStart w:id="2304" w:name="_Toc459793836"/>
      <w:bookmarkStart w:id="2305" w:name="_Toc459970436"/>
      <w:bookmarkStart w:id="2306" w:name="_Toc459792672"/>
      <w:r w:rsidRPr="00B93493">
        <w:t>The telecommunications sector in Germany is subject to the Telecommunications Act of 22 June 2004. The purpose of the Act is, through technology-neutral regulation, to promote competition and efficient infrastructures in telecommunications and to guarantee appropriate and adequate services throughout the Federal Republic of Germany.</w:t>
      </w:r>
    </w:p>
    <w:p w14:paraId="2FF9DB3F" w14:textId="77777777" w:rsidR="00CF04BC" w:rsidRPr="00B93493" w:rsidRDefault="00CF04BC" w:rsidP="00CF04BC">
      <w:r w:rsidRPr="00B93493">
        <w:t>The Federal Network Agency for Electricity, Gas, Telecommunications, Post and Railway is a separate higher federal authority within the scope of business of the German Federal Ministry of Economics and Technology, and has its headquarters in Bonn. On 13 July 2005 the Regulatory Authority for Telecommunications and Posts which superseded the Federal Ministry of Posts and Telecommunications (BMPT) and the Federal Office for Posts and Telecommunications (BAPT), was renamed Federal Network Agency. The Federal Network Agency's task is to provide, by liberalization and deregulation, for the further development of the electricity, gas, telecommunications and postal markets and, as from 1 January 2006, also of the railway infrastructure market.</w:t>
      </w:r>
    </w:p>
    <w:p w14:paraId="1F5CCCC4" w14:textId="77777777" w:rsidR="00CF04BC" w:rsidRPr="00B93493" w:rsidRDefault="00CF04BC" w:rsidP="00CF04BC">
      <w:r w:rsidRPr="00B93493">
        <w:t>Frequency regulation is based on a national table of frequency band allocations, frequency usage plans and frequency assignment procedures.</w:t>
      </w:r>
    </w:p>
    <w:p w14:paraId="46283C9E" w14:textId="77777777" w:rsidR="00CF04BC" w:rsidRPr="00B93493" w:rsidRDefault="00CF04BC" w:rsidP="00CF04BC">
      <w:r w:rsidRPr="00B93493">
        <w:t>Frequency assignment fees and frequency usage contribution charges are regulated by the Telecommunications Act and ordinances having the force of law.</w:t>
      </w:r>
    </w:p>
    <w:p w14:paraId="10AA42D5" w14:textId="77777777" w:rsidR="00CF04BC" w:rsidRPr="00B93493" w:rsidRDefault="00CF04BC" w:rsidP="00CF04BC">
      <w:pPr>
        <w:pStyle w:val="Heading4"/>
      </w:pPr>
      <w:bookmarkStart w:id="2307" w:name="_Toc459746751"/>
      <w:bookmarkStart w:id="2308" w:name="_Toc459793975"/>
      <w:bookmarkStart w:id="2309" w:name="_Toc459793833"/>
      <w:bookmarkStart w:id="2310" w:name="_Toc459792667"/>
      <w:bookmarkStart w:id="2311" w:name="_Toc497034013"/>
      <w:bookmarkStart w:id="2312" w:name="_Toc497033215"/>
      <w:r w:rsidRPr="00B93493">
        <w:t>5.2.4.1</w:t>
      </w:r>
      <w:r w:rsidRPr="00B93493">
        <w:tab/>
        <w:t>Frequency assignment and frequency assignment fees</w:t>
      </w:r>
    </w:p>
    <w:p w14:paraId="6ED29927" w14:textId="77777777" w:rsidR="00CF04BC" w:rsidRPr="00B93493" w:rsidRDefault="00CF04BC" w:rsidP="00CF04BC">
      <w:r w:rsidRPr="00B93493">
        <w:t>Each frequency usage requires prior assignment by the Federal Network Agency. Frequencies are assigned for a particular purpose in accordance with the frequency usage plan in a non</w:t>
      </w:r>
      <w:r w:rsidRPr="00B93493">
        <w:noBreakHyphen/>
        <w:t xml:space="preserve">discriminatory manner on the basis of transparent and objective procedures. </w:t>
      </w:r>
    </w:p>
    <w:p w14:paraId="204A5AB7" w14:textId="77777777" w:rsidR="00CF04BC" w:rsidRPr="00B93493" w:rsidRDefault="00CF04BC" w:rsidP="00CF04BC">
      <w:r w:rsidRPr="00B93493">
        <w:t>Frequencies are typically assigned ex officio by the Federal Network Agency as general assignments for the use of particular frequencies by the general public or a group of persons defined or capable of being defined by general characteristics. Where general assignment is not possible, frequencies for particular usages are assigned by the Regulatory Authority upon written application, as individual assignments.</w:t>
      </w:r>
    </w:p>
    <w:p w14:paraId="5F86E789" w14:textId="77777777" w:rsidR="00CF04BC" w:rsidRPr="00B93493" w:rsidRDefault="00CF04BC" w:rsidP="00CF04BC">
      <w:r w:rsidRPr="00B93493">
        <w:t xml:space="preserve">The Federal Network Agency shall charge fees for the decisions on the grant of rights of use for frequencies. The fee scales are to be calculated in such a way as to recover the costs incurred by the official acts. In addition the fees payable for decisions on the grant of rights of use for frequencies may be determined in such a way that they serve as a steering mechanism to secure optimal and efficient use. </w:t>
      </w:r>
    </w:p>
    <w:p w14:paraId="556D506E" w14:textId="77777777" w:rsidR="00CF04BC" w:rsidRPr="00B93493" w:rsidRDefault="00CF04BC" w:rsidP="00CF04BC">
      <w:pPr>
        <w:pStyle w:val="Heading4"/>
        <w:rPr>
          <w:rFonts w:ascii="Arial" w:hAnsi="Arial" w:cs="Arial"/>
          <w:sz w:val="20"/>
        </w:rPr>
      </w:pPr>
      <w:r w:rsidRPr="00B93493">
        <w:t>5.2.4.2</w:t>
      </w:r>
      <w:r w:rsidRPr="00B93493">
        <w:tab/>
        <w:t>Frequency usage contribution charges</w:t>
      </w:r>
    </w:p>
    <w:p w14:paraId="5DB367BF" w14:textId="77777777" w:rsidR="00CF04BC" w:rsidRPr="00B93493" w:rsidRDefault="00CF04BC" w:rsidP="00CF04BC">
      <w:r w:rsidRPr="00B93493">
        <w:t>The Federal Network Agency shall levy annual contribution charges to recover costs it incurs for the management, control and enforcement of general assignments and rights of use for spectrum usage. This includes, in particular, costs incurred by the Federal Network Agency for the following activities:</w:t>
      </w:r>
    </w:p>
    <w:p w14:paraId="469FF7C8" w14:textId="77777777" w:rsidR="00CF04BC" w:rsidRPr="00B93493" w:rsidRDefault="00CF04BC" w:rsidP="00CF04BC">
      <w:pPr>
        <w:pStyle w:val="enumlev1"/>
      </w:pPr>
      <w:r w:rsidRPr="00B93493">
        <w:t>1.</w:t>
      </w:r>
      <w:r w:rsidRPr="00B93493">
        <w:tab/>
        <w:t>the planning and further development of frequency usages, including the necessary measurements, tests and compatibility studies to secure efficient and interference-free use of frequencies;</w:t>
      </w:r>
    </w:p>
    <w:p w14:paraId="01F194FE" w14:textId="77777777" w:rsidR="00CF04BC" w:rsidRPr="00B93493" w:rsidRDefault="00CF04BC" w:rsidP="00CF04BC">
      <w:pPr>
        <w:pStyle w:val="enumlev1"/>
      </w:pPr>
      <w:r w:rsidRPr="00B93493">
        <w:t>2.</w:t>
      </w:r>
      <w:r w:rsidRPr="00B93493">
        <w:tab/>
        <w:t>international cooperation, harmonization and standardization.</w:t>
      </w:r>
    </w:p>
    <w:p w14:paraId="2BED85E1" w14:textId="77777777" w:rsidR="00CF04BC" w:rsidRPr="00B93493" w:rsidRDefault="00CF04BC" w:rsidP="00CF04BC">
      <w:r w:rsidRPr="00B93493">
        <w:t xml:space="preserve">Liable to make contributions are all those who have been assigned frequencies. The share of the costs shall be allocated to the separate user groups produced by frequency allocation, as far as possible on an expenditure-related basis. Within these groups, the costs shall be split in accordance with the use of frequencies. </w:t>
      </w:r>
    </w:p>
    <w:p w14:paraId="5235C5A8" w14:textId="77777777" w:rsidR="00CF04BC" w:rsidRPr="00B93493" w:rsidRDefault="00CF04BC" w:rsidP="00CF04BC">
      <w:pPr>
        <w:pStyle w:val="Heading4"/>
      </w:pPr>
      <w:r w:rsidRPr="00B93493">
        <w:t>5.2.4.3</w:t>
      </w:r>
      <w:r w:rsidRPr="00B93493">
        <w:tab/>
        <w:t>Current procedure for calculation of frequency assignment fees and frequency usage contribution charges</w:t>
      </w:r>
    </w:p>
    <w:p w14:paraId="73ECA25B" w14:textId="77777777" w:rsidR="00CF04BC" w:rsidRPr="00B93493" w:rsidRDefault="00CF04BC" w:rsidP="00CF04BC">
      <w:r w:rsidRPr="00B93493">
        <w:t>In 1994 the former Reg TP introduced a performance and accounting system (known by the acronym KLR) with the intention of establishing a recording system and a controlling instrument for the calculation of frequency assignment fees and contribution-related costs (staff costs and other expenditure). The idea – based on the new German telecommunication legislation – was to develop a tool which offers the possibility to carry out real calculations instead of estimations in terms of fees and contributions. With the introduction of the KLR a step was made towards the development of performance and cost transparency within the Federal Network Agency. The definition of cost units (e.g. user groups) as the smallest unit in the performance structure of the Federal Network Agency is the basic element of the whole KLR concept. A module called “expense record” was developed which allows the direct assignment of upcoming costs with regard to the most important categories of staff costs, costs for measurement equipment as well as costs for cars for individual transport and for vans of the monitoring service. The expense record is carried out by using an electronic aided worksheet which has to be filled in by the employees who worked in the relevant performance range. The expense record contains on a daily basis precisely (accuracy-limit of time is equal to half an hour) the duration of the period needed for the accomplishment of the specified tasks in the framework of a monthly evaluation.</w:t>
      </w:r>
    </w:p>
    <w:p w14:paraId="581D8594" w14:textId="77777777" w:rsidR="00CF04BC" w:rsidRPr="00B93493" w:rsidRDefault="00CF04BC" w:rsidP="00CF04BC">
      <w:pPr>
        <w:pStyle w:val="Heading4"/>
      </w:pPr>
      <w:r w:rsidRPr="00B93493">
        <w:t>5.2.4.4</w:t>
      </w:r>
      <w:r w:rsidRPr="00B93493">
        <w:tab/>
        <w:t>Calculation of frequency assignment fees</w:t>
      </w:r>
    </w:p>
    <w:p w14:paraId="7F9A56CE" w14:textId="77777777" w:rsidR="00CF04BC" w:rsidRPr="00B93493" w:rsidRDefault="00CF04BC" w:rsidP="00CF04BC">
      <w:r w:rsidRPr="00B93493">
        <w:t>Frequency assignment fees are calculated on the basis of firstly the costs according to the cost accounting data and secondly statistical data (e.g. number of new frequency assignment applications, changes in frequency assignments, frequency assignment waivers). Under the cost accounting method, all fee-related costs (staff costs and other expenditure) are recorded and allocated according to service and user group on a daily basis.</w:t>
      </w:r>
    </w:p>
    <w:p w14:paraId="5F010715" w14:textId="77777777" w:rsidR="00CF04BC" w:rsidRPr="00B93493" w:rsidRDefault="00CF04BC" w:rsidP="00CF04BC">
      <w:r w:rsidRPr="00B93493">
        <w:t>A number of spectrum management functions carried out by the Federal Network Agency do not lead to an income. For this reason the cost coverage cannot be 100%. However, the record and the evaluation of the free-cost spectrum management functions (specified in the Ordinance of frequency usage contributions) and for other authorities (e.g. Ministry of Defence) provides the necessary transparency of the fee and the reasons for not being able to achieve full cost recovery.</w:t>
      </w:r>
    </w:p>
    <w:p w14:paraId="4579A059" w14:textId="77777777" w:rsidR="00CF04BC" w:rsidRPr="00B93493" w:rsidRDefault="00CF04BC" w:rsidP="00CF04BC">
      <w:pPr>
        <w:pStyle w:val="Heading4"/>
      </w:pPr>
      <w:r w:rsidRPr="00B93493">
        <w:t>5.2.4.5</w:t>
      </w:r>
      <w:r w:rsidRPr="00B93493">
        <w:tab/>
        <w:t>Calculation of frequency usage contribution charges</w:t>
      </w:r>
    </w:p>
    <w:p w14:paraId="66094980" w14:textId="77777777" w:rsidR="00CF04BC" w:rsidRPr="00B93493" w:rsidRDefault="00CF04BC" w:rsidP="00CF04BC">
      <w:r w:rsidRPr="00B93493">
        <w:t>Frequency usage contributions are also calculated on the basis of all the contribution-related costs according to the cost accounting data. As with the fee-related costs, the contribution-related costs (staff costs and other expenditure) are recorded and allocated according to service and user group on a daily basis. The contribution per user group is calculated taking account of the number of frequencies assigned to each user group. The principle of solidarity applies within each user group, i.e. all user groups under the same service group pay, although one individual user group may have a financial advantage.</w:t>
      </w:r>
    </w:p>
    <w:p w14:paraId="0D55A52B" w14:textId="77777777" w:rsidR="00CF04BC" w:rsidRPr="00B93493" w:rsidRDefault="00CF04BC" w:rsidP="00CF04BC">
      <w:pPr>
        <w:rPr>
          <w:rFonts w:ascii="TimesNewRoman,Bold" w:hAnsi="TimesNewRoman,Bold" w:cs="TimesNewRoman,Bold"/>
          <w:sz w:val="20"/>
        </w:rPr>
      </w:pPr>
      <w:r w:rsidRPr="00B93493">
        <w:t>The annual contribution must be recalculated annually on a cost-recovery basis in relation to each user group. The underlying principle in the calculation of frequency assignment fees and frequency usage contributions is that the fees and contributions must cover the staff costs and other expenditure associated with the activity in question. However, the cost-accounting method applied in Germany forms the basis for calculation.</w:t>
      </w:r>
    </w:p>
    <w:p w14:paraId="29AE2B27" w14:textId="77777777" w:rsidR="00CF04BC" w:rsidRPr="00B93493" w:rsidRDefault="00CF04BC" w:rsidP="00CF04BC">
      <w:pPr>
        <w:pStyle w:val="Heading3"/>
      </w:pPr>
      <w:bookmarkStart w:id="2313" w:name="_Toc518394261"/>
      <w:bookmarkStart w:id="2314" w:name="_Toc392515926"/>
      <w:bookmarkStart w:id="2315" w:name="_Toc291852942"/>
      <w:bookmarkStart w:id="2316" w:name="_Toc497033218"/>
      <w:bookmarkStart w:id="2317" w:name="_Toc289933379"/>
      <w:bookmarkStart w:id="2318" w:name="_Toc462234142"/>
      <w:bookmarkStart w:id="2319" w:name="_Toc289868865"/>
      <w:bookmarkStart w:id="2320" w:name="_Toc497034016"/>
      <w:bookmarkStart w:id="2321" w:name="_Toc289869025"/>
      <w:bookmarkStart w:id="2322" w:name="_Toc289932333"/>
      <w:bookmarkStart w:id="2323" w:name="_Toc182391580"/>
      <w:bookmarkStart w:id="2324" w:name="_Toc182391991"/>
      <w:bookmarkEnd w:id="2307"/>
      <w:bookmarkEnd w:id="2308"/>
      <w:bookmarkEnd w:id="2309"/>
      <w:bookmarkEnd w:id="2310"/>
      <w:bookmarkEnd w:id="2311"/>
      <w:bookmarkEnd w:id="2312"/>
      <w:r w:rsidRPr="00B93493">
        <w:t>5.2.5</w:t>
      </w:r>
      <w:r w:rsidRPr="00B93493">
        <w:tab/>
        <w:t>Israel’s experience with licence fees</w:t>
      </w:r>
      <w:bookmarkEnd w:id="2302"/>
      <w:bookmarkEnd w:id="2303"/>
      <w:bookmarkEnd w:id="2304"/>
      <w:bookmarkEnd w:id="2305"/>
      <w:bookmarkEnd w:id="2306"/>
      <w:bookmarkEnd w:id="2313"/>
      <w:bookmarkEnd w:id="2314"/>
      <w:bookmarkEnd w:id="2315"/>
      <w:bookmarkEnd w:id="2316"/>
      <w:bookmarkEnd w:id="2317"/>
      <w:bookmarkEnd w:id="2318"/>
      <w:bookmarkEnd w:id="2319"/>
      <w:bookmarkEnd w:id="2320"/>
      <w:bookmarkEnd w:id="2321"/>
      <w:bookmarkEnd w:id="2322"/>
      <w:bookmarkEnd w:id="2323"/>
      <w:bookmarkEnd w:id="2324"/>
    </w:p>
    <w:p w14:paraId="19BA4A6A" w14:textId="77777777" w:rsidR="00CF04BC" w:rsidRPr="00B93493" w:rsidRDefault="00CF04BC" w:rsidP="00CF04BC">
      <w:r w:rsidRPr="00B93493">
        <w:t>The Ministry of Communications of the State of Israel has established a few licence mechanisms:</w:t>
      </w:r>
    </w:p>
    <w:p w14:paraId="1AC596C8" w14:textId="77777777" w:rsidR="00CF04BC" w:rsidRPr="00B93493" w:rsidRDefault="00CF04BC" w:rsidP="00CF04BC">
      <w:pPr>
        <w:pStyle w:val="enumlev1"/>
      </w:pPr>
      <w:r w:rsidRPr="00B93493">
        <w:t>–</w:t>
      </w:r>
      <w:r w:rsidRPr="00B93493">
        <w:tab/>
        <w:t>one time payment for submittal of application for telecommunication service providing;</w:t>
      </w:r>
    </w:p>
    <w:p w14:paraId="29363B11" w14:textId="77777777" w:rsidR="00CF04BC" w:rsidRPr="00B93493" w:rsidRDefault="00CF04BC" w:rsidP="00CF04BC">
      <w:pPr>
        <w:pStyle w:val="enumlev1"/>
      </w:pPr>
      <w:r w:rsidRPr="00B93493">
        <w:t>–</w:t>
      </w:r>
      <w:r w:rsidRPr="00B93493">
        <w:tab/>
        <w:t>annual fee for usage of the frequency spectrum;</w:t>
      </w:r>
    </w:p>
    <w:p w14:paraId="2084CECC" w14:textId="77777777" w:rsidR="00CF04BC" w:rsidRPr="00B93493" w:rsidRDefault="00CF04BC" w:rsidP="00CF04BC">
      <w:pPr>
        <w:pStyle w:val="enumlev1"/>
      </w:pPr>
      <w:r w:rsidRPr="00B93493">
        <w:t>–</w:t>
      </w:r>
      <w:r w:rsidRPr="00B93493">
        <w:tab/>
        <w:t>annual royalties, which are a percentage of the income, for telecommunications service provider;</w:t>
      </w:r>
    </w:p>
    <w:p w14:paraId="21FE36DC" w14:textId="77777777" w:rsidR="00CF04BC" w:rsidRPr="00B93493" w:rsidRDefault="00CF04BC" w:rsidP="00CF04BC">
      <w:pPr>
        <w:pStyle w:val="enumlev1"/>
      </w:pPr>
      <w:r w:rsidRPr="00B93493">
        <w:t>–</w:t>
      </w:r>
      <w:r w:rsidRPr="00B93493">
        <w:tab/>
        <w:t>one time payment, paid by a winner of an auction.</w:t>
      </w:r>
    </w:p>
    <w:p w14:paraId="308B6C17" w14:textId="77777777" w:rsidR="00CF04BC" w:rsidRPr="00B93493" w:rsidRDefault="00CF04BC" w:rsidP="00CF04BC">
      <w:pPr>
        <w:pStyle w:val="Headingb"/>
      </w:pPr>
      <w:bookmarkStart w:id="2325" w:name="_Toc289868866"/>
      <w:bookmarkStart w:id="2326" w:name="_Toc454284974"/>
      <w:bookmarkStart w:id="2327" w:name="_Toc462234143"/>
      <w:bookmarkStart w:id="2328" w:name="_Toc289869026"/>
      <w:r w:rsidRPr="00B93493">
        <w:t>Annual spectrum fees</w:t>
      </w:r>
      <w:bookmarkEnd w:id="2325"/>
      <w:bookmarkEnd w:id="2326"/>
      <w:bookmarkEnd w:id="2327"/>
      <w:bookmarkEnd w:id="2328"/>
    </w:p>
    <w:p w14:paraId="6FBE83D9" w14:textId="77777777" w:rsidR="00CF04BC" w:rsidRPr="00B93493" w:rsidRDefault="00CF04BC" w:rsidP="00CF04BC">
      <w:r w:rsidRPr="00B93493">
        <w:t>As an amendment to the Wireless Telegraph Order, the Administration of Israel started annual spectrum fees in January 1995, in order to persuade operators and private users to pursue more efficient spectrum use. The Ministry of Communications may modify, once a year, the structure or the value of a specific fee. This is done through the Financial Committee of the Kneset (The Israeli Parliament), and any service provider or a private user of the spectrum who may be affected by those modifications, has the right to present his case to the Committee.</w:t>
      </w:r>
    </w:p>
    <w:p w14:paraId="7AD4FF55" w14:textId="77777777" w:rsidR="00CF04BC" w:rsidRPr="00B93493" w:rsidRDefault="00CF04BC" w:rsidP="00CF04BC">
      <w:r w:rsidRPr="00B93493">
        <w:t>Because the fee decreases with frequencies above 960 MHz, the use of a higher frequency is encouraged. Below 960 MHz, the spectrum fee is about USD 170</w:t>
      </w:r>
      <w:r w:rsidRPr="00B93493">
        <w:rPr>
          <w:rFonts w:ascii="Tms Rmn" w:hAnsi="Tms Rmn"/>
          <w:sz w:val="12"/>
        </w:rPr>
        <w:t> </w:t>
      </w:r>
      <w:r w:rsidRPr="00B93493">
        <w:t>000 per 1 MHz. This approach has been taken to encourage the use of less occupied bands and to encourage spectrum users to take advantage of the higher frequency reuse associated with high attenuation and lower antenna side-lobes at higher frequencies.</w:t>
      </w:r>
    </w:p>
    <w:p w14:paraId="58546879" w14:textId="77777777" w:rsidR="00CF04BC" w:rsidRPr="00B93493" w:rsidRDefault="00CF04BC" w:rsidP="00CF04BC">
      <w:pPr>
        <w:keepNext/>
      </w:pPr>
      <w:r w:rsidRPr="00B93493">
        <w:t>The frequencies spectrum fees are categorized to different services, such as:</w:t>
      </w:r>
    </w:p>
    <w:p w14:paraId="3938C8E4" w14:textId="77777777" w:rsidR="00CF04BC" w:rsidRPr="00B93493" w:rsidRDefault="00CF04BC" w:rsidP="00CF04BC">
      <w:pPr>
        <w:pStyle w:val="enumlev1"/>
      </w:pPr>
      <w:r w:rsidRPr="00B93493">
        <w:t>–</w:t>
      </w:r>
      <w:r w:rsidRPr="00B93493">
        <w:tab/>
        <w:t>Private mobile radio.</w:t>
      </w:r>
    </w:p>
    <w:p w14:paraId="527FB1FC" w14:textId="77777777" w:rsidR="00CF04BC" w:rsidRPr="00B93493" w:rsidRDefault="00CF04BC" w:rsidP="00CF04BC">
      <w:pPr>
        <w:pStyle w:val="enumlev1"/>
      </w:pPr>
      <w:r w:rsidRPr="00B93493">
        <w:t>–</w:t>
      </w:r>
      <w:r w:rsidRPr="00B93493">
        <w:tab/>
        <w:t>Trunking mobile radio service providers.</w:t>
      </w:r>
    </w:p>
    <w:p w14:paraId="07DC049D" w14:textId="77777777" w:rsidR="00CF04BC" w:rsidRPr="00B93493" w:rsidRDefault="00CF04BC" w:rsidP="00CF04BC">
      <w:pPr>
        <w:pStyle w:val="enumlev1"/>
      </w:pPr>
      <w:r w:rsidRPr="00B93493">
        <w:t>–</w:t>
      </w:r>
      <w:r w:rsidRPr="00B93493">
        <w:tab/>
        <w:t>Cellular service providers.</w:t>
      </w:r>
    </w:p>
    <w:p w14:paraId="1EA9BC60" w14:textId="77777777" w:rsidR="00CF04BC" w:rsidRPr="00B93493" w:rsidRDefault="00CF04BC" w:rsidP="00CF04BC">
      <w:pPr>
        <w:pStyle w:val="enumlev1"/>
      </w:pPr>
      <w:r w:rsidRPr="00B93493">
        <w:t>–</w:t>
      </w:r>
      <w:r w:rsidRPr="00B93493">
        <w:tab/>
        <w:t>TV and radio broadcasting.</w:t>
      </w:r>
    </w:p>
    <w:p w14:paraId="70AC7155" w14:textId="77777777" w:rsidR="00CF04BC" w:rsidRPr="00B93493" w:rsidRDefault="00CF04BC" w:rsidP="00CF04BC">
      <w:pPr>
        <w:pStyle w:val="enumlev1"/>
      </w:pPr>
      <w:r w:rsidRPr="00B93493">
        <w:t>–</w:t>
      </w:r>
      <w:r w:rsidRPr="00B93493">
        <w:tab/>
        <w:t>Microwave point-to-point link.</w:t>
      </w:r>
    </w:p>
    <w:p w14:paraId="2284CE81" w14:textId="77777777" w:rsidR="00CF04BC" w:rsidRPr="00B93493" w:rsidRDefault="00CF04BC" w:rsidP="00CF04BC">
      <w:pPr>
        <w:pStyle w:val="enumlev1"/>
      </w:pPr>
      <w:r w:rsidRPr="00B93493">
        <w:t>–</w:t>
      </w:r>
      <w:r w:rsidRPr="00B93493">
        <w:tab/>
        <w:t>Fixed wireless access.</w:t>
      </w:r>
    </w:p>
    <w:p w14:paraId="5BF2F1D2" w14:textId="77777777" w:rsidR="00CF04BC" w:rsidRPr="00B93493" w:rsidRDefault="00CF04BC" w:rsidP="00CF04BC">
      <w:pPr>
        <w:pStyle w:val="enumlev1"/>
      </w:pPr>
      <w:r w:rsidRPr="00B93493">
        <w:t>–</w:t>
      </w:r>
      <w:r w:rsidRPr="00B93493">
        <w:tab/>
        <w:t>Satellite communication (private and commercial users).</w:t>
      </w:r>
    </w:p>
    <w:p w14:paraId="1233DFA8" w14:textId="77777777" w:rsidR="00CF04BC" w:rsidRPr="00B93493" w:rsidRDefault="00CF04BC" w:rsidP="00CF04BC">
      <w:pPr>
        <w:pStyle w:val="enumlev1"/>
      </w:pPr>
      <w:r w:rsidRPr="00B93493">
        <w:t>–</w:t>
      </w:r>
      <w:r w:rsidRPr="00B93493">
        <w:tab/>
        <w:t>Radio amateurs.</w:t>
      </w:r>
    </w:p>
    <w:p w14:paraId="6B17E5C1" w14:textId="77777777" w:rsidR="00CF04BC" w:rsidRPr="00B93493" w:rsidRDefault="00CF04BC" w:rsidP="00CF04BC">
      <w:pPr>
        <w:pStyle w:val="enumlev1"/>
      </w:pPr>
      <w:r w:rsidRPr="00B93493">
        <w:t>–</w:t>
      </w:r>
      <w:r w:rsidRPr="00B93493">
        <w:tab/>
        <w:t>Aeronautical and maritime services.</w:t>
      </w:r>
    </w:p>
    <w:p w14:paraId="0ED60006" w14:textId="77777777" w:rsidR="00CF04BC" w:rsidRPr="00B93493" w:rsidRDefault="00CF04BC" w:rsidP="00CF04BC">
      <w:pPr>
        <w:pStyle w:val="enumlev1"/>
      </w:pPr>
      <w:r w:rsidRPr="00B93493">
        <w:t>–</w:t>
      </w:r>
      <w:r w:rsidRPr="00B93493">
        <w:tab/>
        <w:t>Temporary licences for tests or demonstrations.</w:t>
      </w:r>
    </w:p>
    <w:p w14:paraId="42CB90AA" w14:textId="77777777" w:rsidR="00CF04BC" w:rsidRPr="00B93493" w:rsidRDefault="00CF04BC" w:rsidP="00CF04BC">
      <w:r w:rsidRPr="00B93493">
        <w:t>The fee system has some measures to encourage better and higher reuse of frequencies. Some examples are:</w:t>
      </w:r>
    </w:p>
    <w:p w14:paraId="1679A33A" w14:textId="77777777" w:rsidR="00CF04BC" w:rsidRPr="00B93493" w:rsidRDefault="00CF04BC" w:rsidP="00CF04BC">
      <w:pPr>
        <w:pStyle w:val="enumlev1"/>
      </w:pPr>
      <w:r w:rsidRPr="00B93493">
        <w:t>–</w:t>
      </w:r>
      <w:r w:rsidRPr="00B93493">
        <w:tab/>
        <w:t>Lower fee for lower transmission power, for TV and radio broadcasters.</w:t>
      </w:r>
    </w:p>
    <w:p w14:paraId="537796E6" w14:textId="77777777" w:rsidR="00CF04BC" w:rsidRPr="00B93493" w:rsidRDefault="00CF04BC" w:rsidP="00CF04BC">
      <w:pPr>
        <w:pStyle w:val="enumlev1"/>
      </w:pPr>
      <w:r w:rsidRPr="00B93493">
        <w:t>–</w:t>
      </w:r>
      <w:r w:rsidRPr="00B93493">
        <w:tab/>
        <w:t>Discount for TV broadcasters which reuse the same frequency in different locations.</w:t>
      </w:r>
    </w:p>
    <w:p w14:paraId="2DE4E38D" w14:textId="77777777" w:rsidR="00CF04BC" w:rsidRPr="00B93493" w:rsidRDefault="00CF04BC" w:rsidP="00CF04BC">
      <w:pPr>
        <w:pStyle w:val="enumlev1"/>
      </w:pPr>
      <w:r w:rsidRPr="00B93493">
        <w:t>–</w:t>
      </w:r>
      <w:r w:rsidRPr="00B93493">
        <w:tab/>
        <w:t>No charge for radio broadcasters that reuse the same frequency in additional locations.</w:t>
      </w:r>
    </w:p>
    <w:p w14:paraId="40FA6493" w14:textId="77777777" w:rsidR="00CF04BC" w:rsidRPr="00B93493" w:rsidRDefault="00CF04BC" w:rsidP="00CF04BC">
      <w:pPr>
        <w:pStyle w:val="enumlev1"/>
      </w:pPr>
      <w:r w:rsidRPr="00B93493">
        <w:t>–</w:t>
      </w:r>
      <w:r w:rsidRPr="00B93493">
        <w:tab/>
        <w:t>Discount for telecom service providers which reuse the same frequency for multiple point-to-point microwave links.</w:t>
      </w:r>
    </w:p>
    <w:p w14:paraId="60F138C3" w14:textId="77777777" w:rsidR="00CF04BC" w:rsidRPr="00B93493" w:rsidRDefault="00CF04BC" w:rsidP="00CF04BC">
      <w:r w:rsidRPr="00B93493">
        <w:t>Some examples from Israel’s short experience of the last few years, utilizing incentive fees:</w:t>
      </w:r>
    </w:p>
    <w:p w14:paraId="211B771F" w14:textId="77777777" w:rsidR="00CF04BC" w:rsidRPr="00B93493" w:rsidRDefault="00CF04BC" w:rsidP="00CF04BC">
      <w:pPr>
        <w:pStyle w:val="enumlev1"/>
      </w:pPr>
      <w:r w:rsidRPr="00B93493">
        <w:t>–</w:t>
      </w:r>
      <w:r w:rsidRPr="00B93493">
        <w:tab/>
        <w:t>Within two years all point-to-point links on frequencies below 960 MHz (about 100), were relocated to higher frequencies.</w:t>
      </w:r>
    </w:p>
    <w:p w14:paraId="35B5916A" w14:textId="77777777" w:rsidR="00CF04BC" w:rsidRPr="00B93493" w:rsidRDefault="00CF04BC" w:rsidP="00CF04BC">
      <w:pPr>
        <w:pStyle w:val="enumlev1"/>
      </w:pPr>
      <w:r w:rsidRPr="00B93493">
        <w:t>–</w:t>
      </w:r>
      <w:r w:rsidRPr="00B93493">
        <w:tab/>
        <w:t>An agreement with TV broadcasters to modify frequencies, to obtain more efficient use of the spectrum.</w:t>
      </w:r>
    </w:p>
    <w:p w14:paraId="11986F58" w14:textId="77777777" w:rsidR="00CF04BC" w:rsidRPr="00B93493" w:rsidRDefault="00CF04BC" w:rsidP="00CF04BC">
      <w:pPr>
        <w:pStyle w:val="enumlev1"/>
      </w:pPr>
      <w:r w:rsidRPr="00B93493">
        <w:t>–</w:t>
      </w:r>
      <w:r w:rsidRPr="00B93493">
        <w:tab/>
        <w:t>Migration of different systems from frequencies below 1 GHz, to clear bandwidth for a third cellular operator in the GSM band.</w:t>
      </w:r>
    </w:p>
    <w:p w14:paraId="1FF442A9" w14:textId="77777777" w:rsidR="00CF04BC" w:rsidRPr="00B93493" w:rsidRDefault="00CF04BC" w:rsidP="00CF04BC">
      <w:pPr>
        <w:pStyle w:val="enumlev1"/>
      </w:pPr>
      <w:r w:rsidRPr="00B93493">
        <w:t>–</w:t>
      </w:r>
      <w:r w:rsidRPr="00B93493">
        <w:tab/>
        <w:t>Some of the operators have been paid to move their systems, and the cost of this migration was covered by the licence fee advanced payment paid by the new entrant to the Government (not directly to the existing user of that spectrum).</w:t>
      </w:r>
    </w:p>
    <w:p w14:paraId="78AE1001" w14:textId="77777777" w:rsidR="00CF04BC" w:rsidRPr="00B93493" w:rsidRDefault="00CF04BC" w:rsidP="00CF04BC">
      <w:pPr>
        <w:pStyle w:val="Heading3"/>
      </w:pPr>
      <w:bookmarkStart w:id="2329" w:name="_Toc459970437"/>
      <w:bookmarkStart w:id="2330" w:name="_Toc459793837"/>
      <w:bookmarkStart w:id="2331" w:name="_Toc462234144"/>
      <w:bookmarkStart w:id="2332" w:name="_Toc289869027"/>
      <w:bookmarkStart w:id="2333" w:name="_Toc459746763"/>
      <w:bookmarkStart w:id="2334" w:name="_Toc518394262"/>
      <w:bookmarkStart w:id="2335" w:name="_Toc289933380"/>
      <w:bookmarkStart w:id="2336" w:name="_Toc497034017"/>
      <w:bookmarkStart w:id="2337" w:name="_Toc459793979"/>
      <w:bookmarkStart w:id="2338" w:name="_Toc459792673"/>
      <w:bookmarkStart w:id="2339" w:name="_Toc289868867"/>
      <w:bookmarkStart w:id="2340" w:name="_Toc392515927"/>
      <w:bookmarkStart w:id="2341" w:name="_Toc497033219"/>
      <w:bookmarkStart w:id="2342" w:name="_Toc291852943"/>
      <w:bookmarkStart w:id="2343" w:name="_Toc289932334"/>
      <w:bookmarkStart w:id="2344" w:name="_Toc182391581"/>
      <w:bookmarkStart w:id="2345" w:name="_Toc182391992"/>
      <w:r w:rsidRPr="00B93493">
        <w:t>5.2.6</w:t>
      </w:r>
      <w:r w:rsidRPr="00B93493">
        <w:tab/>
        <w:t>Experience of the Kyrgyz Republic on application of licence fees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48A8E28F" w14:textId="77777777" w:rsidR="00CF04BC" w:rsidRPr="00B93493" w:rsidRDefault="00CF04BC" w:rsidP="00CF04BC">
      <w:r w:rsidRPr="00B93493">
        <w:t>In 1997 in the Kyrgyz Republic, the independent regulating body of communications, the National Communications Agency (NCA), was established. According to the Law of the Kyrgyz Republic on “Postal and Telecommunications”, accepted in 1998, spectrum management began.</w:t>
      </w:r>
    </w:p>
    <w:p w14:paraId="12086CE1" w14:textId="77777777" w:rsidR="00CF04BC" w:rsidRPr="00B93493" w:rsidRDefault="00CF04BC" w:rsidP="00CF04BC">
      <w:r w:rsidRPr="00B93493">
        <w:t>In 1998 the NCA created a licence fee model. The purpose of this model was to increase spectrum efficiency, introduce a non-discriminatory approach to various categories of users, stimulate the use of unused frequency ranges, develop radiocommunications services throughout the Republic, and cover the cost of spectrum management.</w:t>
      </w:r>
    </w:p>
    <w:p w14:paraId="6845C0EA" w14:textId="77777777" w:rsidR="00CF04BC" w:rsidRPr="00B93493" w:rsidRDefault="00CF04BC" w:rsidP="00CF04BC">
      <w:r w:rsidRPr="00B93493">
        <w:t>The model determines the value of annual payment for the spectrum and contains the following basic elements:</w:t>
      </w:r>
    </w:p>
    <w:p w14:paraId="5706AE4B" w14:textId="77777777" w:rsidR="00CF04BC" w:rsidRPr="00B93493" w:rsidRDefault="00CF04BC" w:rsidP="00CF04BC">
      <w:pPr>
        <w:pStyle w:val="enumlev1"/>
      </w:pPr>
      <w:r w:rsidRPr="00B93493">
        <w:t>–</w:t>
      </w:r>
      <w:r w:rsidRPr="00B93493">
        <w:tab/>
        <w:t>radio-frequency resource, used in the Republic, representing all frequency assignments stored in the national database, is determined on an annual basis. For each frequency assignment this resource is determined in view of the band used and the coordination area;</w:t>
      </w:r>
    </w:p>
    <w:p w14:paraId="3659528E" w14:textId="77777777" w:rsidR="00CF04BC" w:rsidRPr="00B93493" w:rsidRDefault="00CF04BC" w:rsidP="00CF04BC">
      <w:pPr>
        <w:pStyle w:val="enumlev1"/>
      </w:pPr>
      <w:r w:rsidRPr="00B93493">
        <w:t>–</w:t>
      </w:r>
      <w:r w:rsidRPr="00B93493">
        <w:tab/>
        <w:t>the annual cost of spectrum management;</w:t>
      </w:r>
    </w:p>
    <w:p w14:paraId="1BC0ED3A" w14:textId="77777777" w:rsidR="00CF04BC" w:rsidRPr="00B93493" w:rsidRDefault="00CF04BC" w:rsidP="00CF04BC">
      <w:pPr>
        <w:pStyle w:val="enumlev1"/>
      </w:pPr>
      <w:r w:rsidRPr="00B93493">
        <w:t>–</w:t>
      </w:r>
      <w:r w:rsidRPr="00B93493">
        <w:tab/>
        <w:t>the average price for the unit of the frequency resource used is determined from the above values;</w:t>
      </w:r>
    </w:p>
    <w:p w14:paraId="5359832A" w14:textId="77777777" w:rsidR="00CF04BC" w:rsidRPr="00B93493" w:rsidRDefault="00CF04BC" w:rsidP="00CF04BC">
      <w:pPr>
        <w:pStyle w:val="enumlev1"/>
      </w:pPr>
      <w:r w:rsidRPr="00B93493">
        <w:t>–</w:t>
      </w:r>
      <w:r w:rsidRPr="00B93493">
        <w:tab/>
        <w:t>the annual payment of a specific user is determined from the value of the frequency resource used.</w:t>
      </w:r>
    </w:p>
    <w:p w14:paraId="2C09CBD5" w14:textId="77777777" w:rsidR="00CF04BC" w:rsidRPr="00B93493" w:rsidRDefault="00CF04BC" w:rsidP="00CF04BC">
      <w:r w:rsidRPr="00B93493">
        <w:t>A number of incentive factors are entered in the formula, so the payment depends not only on the bandwidth used and coverage area, but also on geographical location of the station, population density in the coverage area, social factors, exclusivity, type of radiocommunications service, spectrum employment, and spectrum monitoring complexity.</w:t>
      </w:r>
    </w:p>
    <w:p w14:paraId="0EDD8199" w14:textId="77777777" w:rsidR="00CF04BC" w:rsidRPr="00B93493" w:rsidRDefault="00CF04BC" w:rsidP="00CF04BC">
      <w:r w:rsidRPr="00B93493">
        <w:t>The developed software allows the user at any moment to determine the value of the annual payment for the spectrum and also renders the model transparent and accessible to all users.</w:t>
      </w:r>
    </w:p>
    <w:p w14:paraId="62C18E8A" w14:textId="77777777" w:rsidR="00CF04BC" w:rsidRPr="00B93493" w:rsidRDefault="00CF04BC" w:rsidP="00CF04BC">
      <w:r w:rsidRPr="00B93493">
        <w:t>Thus, for the user the greater the bandwidth and the more populated the geographical area, the larger the payment. This encourages the use of more modern equipment, new frequency ranges and expansion of coverage to rural and remote areas.</w:t>
      </w:r>
    </w:p>
    <w:p w14:paraId="36863AAC" w14:textId="77777777" w:rsidR="00CF04BC" w:rsidRPr="00B93493" w:rsidRDefault="00CF04BC" w:rsidP="00CF04BC">
      <w:pPr>
        <w:keepNext/>
        <w:keepLines/>
      </w:pPr>
      <w:r w:rsidRPr="00B93493">
        <w:t>The NCA has adopted licence terms of up to seven years. Determination of the spectrum payment algorithm includes the determination of:</w:t>
      </w:r>
    </w:p>
    <w:p w14:paraId="56859999" w14:textId="77777777" w:rsidR="00CF04BC" w:rsidRPr="00B93493" w:rsidRDefault="00CF04BC" w:rsidP="00CF04BC">
      <w:pPr>
        <w:pStyle w:val="enumlev1"/>
      </w:pPr>
      <w:r w:rsidRPr="00B93493">
        <w:t>–</w:t>
      </w:r>
      <w:r w:rsidRPr="00B93493">
        <w:tab/>
        <w:t>the annual expenditures of the State on management of radio-frequency resource use and determination on this basis of the common value of the annual payment for all radio</w:t>
      </w:r>
      <w:r w:rsidRPr="00B93493">
        <w:noBreakHyphen/>
        <w:t>frequency resources;</w:t>
      </w:r>
    </w:p>
    <w:p w14:paraId="5E625680" w14:textId="77777777" w:rsidR="00CF04BC" w:rsidRPr="00B93493" w:rsidRDefault="00CF04BC" w:rsidP="00CF04BC">
      <w:pPr>
        <w:pStyle w:val="enumlev1"/>
      </w:pPr>
      <w:r w:rsidRPr="00B93493">
        <w:t>–</w:t>
      </w:r>
      <w:r w:rsidRPr="00B93493">
        <w:tab/>
        <w:t>the value of the radio-frequency resource;</w:t>
      </w:r>
    </w:p>
    <w:p w14:paraId="7D9D571F" w14:textId="77777777" w:rsidR="00CF04BC" w:rsidRPr="00B93493" w:rsidRDefault="00CF04BC" w:rsidP="00CF04BC">
      <w:pPr>
        <w:pStyle w:val="enumlev1"/>
      </w:pPr>
      <w:r w:rsidRPr="00B93493">
        <w:t>–</w:t>
      </w:r>
      <w:r w:rsidRPr="00B93493">
        <w:tab/>
        <w:t>the price for a unit of the radio-frequency resource;</w:t>
      </w:r>
    </w:p>
    <w:p w14:paraId="18242C50" w14:textId="77777777" w:rsidR="00CF04BC" w:rsidRPr="00B93493" w:rsidRDefault="00CF04BC" w:rsidP="00CF04BC">
      <w:pPr>
        <w:pStyle w:val="enumlev1"/>
      </w:pPr>
      <w:r w:rsidRPr="00B93493">
        <w:t>–</w:t>
      </w:r>
      <w:r w:rsidRPr="00B93493">
        <w:tab/>
        <w:t>the annual payment for a specific user on a differential and non-discriminatory basis, determined from the value of the frequency resource and the unit price of this resource.</w:t>
      </w:r>
    </w:p>
    <w:p w14:paraId="3EC4A9D7" w14:textId="77777777" w:rsidR="00CF04BC" w:rsidRPr="00B93493" w:rsidRDefault="00CF04BC" w:rsidP="00CF04BC">
      <w:pPr>
        <w:pStyle w:val="Heading4"/>
      </w:pPr>
      <w:bookmarkStart w:id="2346" w:name="_Toc459793838"/>
      <w:bookmarkStart w:id="2347" w:name="_Toc459793980"/>
      <w:bookmarkStart w:id="2348" w:name="_Toc459792674"/>
      <w:bookmarkStart w:id="2349" w:name="_Toc497034018"/>
      <w:bookmarkStart w:id="2350" w:name="_Toc497033220"/>
      <w:r w:rsidRPr="00B93493">
        <w:t>5.2.6.1</w:t>
      </w:r>
      <w:r w:rsidRPr="00B93493">
        <w:tab/>
        <w:t>Expenditures and income of the State on spectrum management</w:t>
      </w:r>
      <w:bookmarkEnd w:id="2346"/>
      <w:bookmarkEnd w:id="2347"/>
      <w:bookmarkEnd w:id="2348"/>
      <w:bookmarkEnd w:id="2349"/>
      <w:bookmarkEnd w:id="2350"/>
    </w:p>
    <w:p w14:paraId="19B48077" w14:textId="77777777" w:rsidR="00CF04BC" w:rsidRPr="00B93493" w:rsidRDefault="00CF04BC" w:rsidP="00CF04BC">
      <w:pPr>
        <w:keepNext/>
        <w:keepLines/>
      </w:pPr>
      <w:r w:rsidRPr="00B93493">
        <w:t xml:space="preserve">The total amount of the annual payments for spectrum, </w:t>
      </w:r>
      <w:r w:rsidRPr="00B93493">
        <w:rPr>
          <w:i/>
          <w:iCs/>
        </w:rPr>
        <w:t>C</w:t>
      </w:r>
      <w:r w:rsidRPr="00B93493">
        <w:rPr>
          <w:i/>
          <w:iCs/>
          <w:vertAlign w:val="subscript"/>
        </w:rPr>
        <w:t>ann</w:t>
      </w:r>
      <w:r w:rsidRPr="00B93493">
        <w:t>, collected from all users, can be submitted as:</w:t>
      </w:r>
    </w:p>
    <w:p w14:paraId="3CB10329" w14:textId="77777777" w:rsidR="00CF04BC" w:rsidRPr="00B93493" w:rsidRDefault="00CF04BC" w:rsidP="00CF04BC">
      <w:pPr>
        <w:pStyle w:val="Blanc"/>
      </w:pPr>
    </w:p>
    <w:p w14:paraId="6DD322FE" w14:textId="77777777" w:rsidR="00CF04BC" w:rsidRPr="00B93493" w:rsidRDefault="00CF04BC" w:rsidP="00CF04BC">
      <w:pPr>
        <w:pStyle w:val="Equation"/>
        <w:keepNext/>
        <w:keepLines/>
      </w:pPr>
      <w:r w:rsidRPr="00B93493">
        <w:tab/>
      </w:r>
      <w:r w:rsidRPr="00B93493">
        <w:tab/>
      </w:r>
      <w:r w:rsidRPr="00B93493">
        <w:rPr>
          <w:position w:val="-12"/>
        </w:rPr>
        <w:object w:dxaOrig="1606" w:dyaOrig="391" w14:anchorId="4913B7FD">
          <v:shape id="_x0000_i1088" type="#_x0000_t75" style="width:80.65pt;height:20.15pt" o:ole="">
            <v:imagedata r:id="rId163" o:title=""/>
          </v:shape>
          <o:OLEObject Type="Embed" ProgID="Equation.3" ShapeID="_x0000_i1088" DrawAspect="Content" ObjectID="_1812968370" r:id="rId164"/>
        </w:object>
      </w:r>
      <w:r w:rsidRPr="00B93493">
        <w:rPr>
          <w:position w:val="-4"/>
          <w:sz w:val="16"/>
        </w:rPr>
        <w:tab/>
      </w:r>
      <w:r w:rsidRPr="00B93493">
        <w:t>(56)</w:t>
      </w:r>
    </w:p>
    <w:p w14:paraId="57F26814" w14:textId="77777777" w:rsidR="00CF04BC" w:rsidRPr="00B93493" w:rsidRDefault="00CF04BC" w:rsidP="00CF04BC">
      <w:pPr>
        <w:keepNext/>
        <w:keepLines/>
      </w:pPr>
      <w:r w:rsidRPr="00B93493">
        <w:t>where:</w:t>
      </w:r>
    </w:p>
    <w:p w14:paraId="098FA036" w14:textId="77777777" w:rsidR="00CF04BC" w:rsidRPr="00B93493" w:rsidRDefault="00CF04BC" w:rsidP="00CF04BC">
      <w:pPr>
        <w:pStyle w:val="Equationlegend"/>
        <w:keepNext/>
        <w:keepLines/>
      </w:pPr>
      <w:r w:rsidRPr="00B93493">
        <w:tab/>
      </w:r>
      <w:r w:rsidRPr="00B93493">
        <w:rPr>
          <w:i/>
          <w:iCs/>
        </w:rPr>
        <w:t>C</w:t>
      </w:r>
      <w:r w:rsidRPr="00B93493">
        <w:rPr>
          <w:i/>
          <w:iCs/>
          <w:vertAlign w:val="subscript"/>
        </w:rPr>
        <w:t>ann</w:t>
      </w:r>
      <w:r w:rsidRPr="00B93493">
        <w:rPr>
          <w:sz w:val="12"/>
        </w:rPr>
        <w:t> </w:t>
      </w:r>
      <w:r w:rsidRPr="00B93493">
        <w:t>:</w:t>
      </w:r>
      <w:r w:rsidRPr="00B93493">
        <w:tab/>
        <w:t>total annual cost of the users for the spectrum</w:t>
      </w:r>
    </w:p>
    <w:p w14:paraId="6601DC08" w14:textId="77777777" w:rsidR="00CF04BC" w:rsidRPr="00B93493" w:rsidRDefault="00CF04BC" w:rsidP="00CF04BC">
      <w:pPr>
        <w:pStyle w:val="Equationlegend"/>
        <w:keepNext/>
        <w:keepLines/>
        <w:rPr>
          <w:i/>
          <w:iCs/>
        </w:rPr>
      </w:pPr>
      <w:r w:rsidRPr="00B93493">
        <w:tab/>
      </w:r>
      <w:r w:rsidRPr="00B93493">
        <w:rPr>
          <w:i/>
          <w:iCs/>
        </w:rPr>
        <w:t>C</w:t>
      </w:r>
      <w:r w:rsidRPr="00B93493">
        <w:rPr>
          <w:vertAlign w:val="subscript"/>
        </w:rPr>
        <w:t>1</w:t>
      </w:r>
      <w:r w:rsidRPr="00B93493">
        <w:rPr>
          <w:sz w:val="12"/>
        </w:rPr>
        <w:t> </w:t>
      </w:r>
      <w:r w:rsidRPr="00B93493">
        <w:t>:</w:t>
      </w:r>
      <w:r w:rsidRPr="00B93493">
        <w:tab/>
        <w:t>share of resources that is necessary for covering of costs of the State on spectrum use management</w:t>
      </w:r>
    </w:p>
    <w:p w14:paraId="70630362" w14:textId="77777777" w:rsidR="00CF04BC" w:rsidRPr="00B93493" w:rsidRDefault="00CF04BC" w:rsidP="00CF04BC">
      <w:pPr>
        <w:pStyle w:val="Equationlegend"/>
      </w:pPr>
      <w:r w:rsidRPr="00B93493">
        <w:tab/>
      </w:r>
      <w:r w:rsidRPr="00B93493">
        <w:rPr>
          <w:i/>
          <w:iCs/>
        </w:rPr>
        <w:t>C</w:t>
      </w:r>
      <w:r w:rsidRPr="00B93493">
        <w:rPr>
          <w:vertAlign w:val="subscript"/>
        </w:rPr>
        <w:t>2</w:t>
      </w:r>
      <w:r w:rsidRPr="00B93493">
        <w:rPr>
          <w:sz w:val="12"/>
        </w:rPr>
        <w:t> </w:t>
      </w:r>
      <w:r w:rsidRPr="00B93493">
        <w:t>:</w:t>
      </w:r>
      <w:r w:rsidRPr="00B93493">
        <w:tab/>
        <w:t>net income of the State.</w:t>
      </w:r>
    </w:p>
    <w:p w14:paraId="2185B6B2" w14:textId="77777777" w:rsidR="00CF04BC" w:rsidRPr="00B93493" w:rsidRDefault="00CF04BC" w:rsidP="00CF04BC">
      <w:r w:rsidRPr="00B93493">
        <w:t xml:space="preserve">It is possible to separate the terms </w:t>
      </w:r>
      <w:r w:rsidRPr="00B93493">
        <w:rPr>
          <w:i/>
          <w:iCs/>
        </w:rPr>
        <w:t>C</w:t>
      </w:r>
      <w:r w:rsidRPr="00B93493">
        <w:rPr>
          <w:vertAlign w:val="subscript"/>
        </w:rPr>
        <w:t>1</w:t>
      </w:r>
      <w:r w:rsidRPr="00B93493">
        <w:t xml:space="preserve"> and </w:t>
      </w:r>
      <w:r w:rsidRPr="00B93493">
        <w:rPr>
          <w:i/>
          <w:iCs/>
        </w:rPr>
        <w:t>C</w:t>
      </w:r>
      <w:r w:rsidRPr="00B93493">
        <w:rPr>
          <w:vertAlign w:val="subscript"/>
        </w:rPr>
        <w:t>2</w:t>
      </w:r>
      <w:r w:rsidRPr="00B93493">
        <w:t xml:space="preserve"> into additional components:</w:t>
      </w:r>
    </w:p>
    <w:p w14:paraId="21BE9A51" w14:textId="77777777" w:rsidR="00CF04BC" w:rsidRPr="00B93493" w:rsidRDefault="00CF04BC" w:rsidP="00CF04BC">
      <w:pPr>
        <w:pStyle w:val="Blanc"/>
      </w:pPr>
    </w:p>
    <w:p w14:paraId="2832CC20" w14:textId="77777777" w:rsidR="00CF04BC" w:rsidRPr="00B93493" w:rsidRDefault="00CF04BC" w:rsidP="00CF04BC">
      <w:pPr>
        <w:pStyle w:val="Equation"/>
      </w:pPr>
      <w:r w:rsidRPr="00B93493">
        <w:tab/>
      </w:r>
      <w:r w:rsidRPr="00B93493">
        <w:tab/>
      </w:r>
      <w:r w:rsidRPr="00B93493">
        <w:rPr>
          <w:position w:val="-12"/>
        </w:rPr>
        <w:object w:dxaOrig="2098" w:dyaOrig="391" w14:anchorId="148646D8">
          <v:shape id="_x0000_i1089" type="#_x0000_t75" style="width:105.4pt;height:20.15pt" o:ole="">
            <v:imagedata r:id="rId165" o:title=""/>
          </v:shape>
          <o:OLEObject Type="Embed" ProgID="Equation.3" ShapeID="_x0000_i1089" DrawAspect="Content" ObjectID="_1812968371" r:id="rId166"/>
        </w:object>
      </w:r>
      <w:r w:rsidRPr="00B93493">
        <w:tab/>
        <w:t>(57)</w:t>
      </w:r>
    </w:p>
    <w:p w14:paraId="3FCDB207" w14:textId="77777777" w:rsidR="00CF04BC" w:rsidRPr="00B93493" w:rsidRDefault="00CF04BC" w:rsidP="00CF04BC">
      <w:r w:rsidRPr="00B93493">
        <w:t>where:</w:t>
      </w:r>
    </w:p>
    <w:p w14:paraId="51339E8B" w14:textId="77777777" w:rsidR="00CF04BC" w:rsidRPr="00B93493" w:rsidRDefault="00CF04BC" w:rsidP="00CF04BC">
      <w:pPr>
        <w:pStyle w:val="Equationlegend"/>
      </w:pPr>
      <w:r w:rsidRPr="00B93493">
        <w:tab/>
      </w:r>
      <w:r w:rsidRPr="00B93493">
        <w:rPr>
          <w:i/>
          <w:iCs/>
        </w:rPr>
        <w:t>C</w:t>
      </w:r>
      <w:r w:rsidRPr="00B93493">
        <w:rPr>
          <w:vertAlign w:val="subscript"/>
        </w:rPr>
        <w:t>11</w:t>
      </w:r>
      <w:r w:rsidRPr="00B93493">
        <w:rPr>
          <w:sz w:val="12"/>
        </w:rPr>
        <w:t> </w:t>
      </w:r>
      <w:r w:rsidRPr="00B93493">
        <w:t>:</w:t>
      </w:r>
      <w:r w:rsidRPr="00B93493">
        <w:tab/>
        <w:t>means necessary for purchase and operation of a spectrum management system, including radio monitoring station equipment, direction finders, computers, software, materials, amortization of buildings, etc.</w:t>
      </w:r>
    </w:p>
    <w:p w14:paraId="445618D5" w14:textId="77777777" w:rsidR="00CF04BC" w:rsidRPr="00B93493" w:rsidRDefault="00CF04BC" w:rsidP="00CF04BC">
      <w:pPr>
        <w:pStyle w:val="Equationlegend"/>
        <w:rPr>
          <w:i/>
          <w:iCs/>
        </w:rPr>
      </w:pPr>
      <w:r w:rsidRPr="00B93493">
        <w:tab/>
      </w:r>
      <w:r w:rsidRPr="00B93493">
        <w:rPr>
          <w:i/>
          <w:iCs/>
        </w:rPr>
        <w:t>C</w:t>
      </w:r>
      <w:r w:rsidRPr="00B93493">
        <w:rPr>
          <w:vertAlign w:val="subscript"/>
        </w:rPr>
        <w:t>12</w:t>
      </w:r>
      <w:r w:rsidRPr="00B93493">
        <w:rPr>
          <w:sz w:val="12"/>
        </w:rPr>
        <w:t> </w:t>
      </w:r>
      <w:r w:rsidRPr="00B93493">
        <w:t>:</w:t>
      </w:r>
      <w:r w:rsidRPr="00B93493">
        <w:tab/>
        <w:t>means necessary for carrying out scientific research, purchase of scientific literature and recommendations, electromagnetic compatibility analysis, frequency assignment, coordination, etc.</w:t>
      </w:r>
    </w:p>
    <w:p w14:paraId="36037128" w14:textId="77777777" w:rsidR="00CF04BC" w:rsidRPr="00B93493" w:rsidRDefault="00CF04BC" w:rsidP="00CF04BC">
      <w:pPr>
        <w:pStyle w:val="Equationlegend"/>
      </w:pPr>
      <w:r w:rsidRPr="00B93493">
        <w:tab/>
      </w:r>
      <w:r w:rsidRPr="00B93493">
        <w:rPr>
          <w:i/>
          <w:iCs/>
        </w:rPr>
        <w:t>C</w:t>
      </w:r>
      <w:r w:rsidRPr="00B93493">
        <w:rPr>
          <w:vertAlign w:val="subscript"/>
        </w:rPr>
        <w:t>13</w:t>
      </w:r>
      <w:r w:rsidRPr="00B93493">
        <w:rPr>
          <w:sz w:val="12"/>
        </w:rPr>
        <w:t> </w:t>
      </w:r>
      <w:r w:rsidRPr="00B93493">
        <w:t>:</w:t>
      </w:r>
      <w:r w:rsidRPr="00B93493">
        <w:tab/>
        <w:t>spectrum management staff salaries.</w:t>
      </w:r>
    </w:p>
    <w:p w14:paraId="3D18D3D6" w14:textId="77777777" w:rsidR="00CF04BC" w:rsidRPr="00B93493" w:rsidRDefault="00CF04BC" w:rsidP="00CF04BC">
      <w:pPr>
        <w:rPr>
          <w:rFonts w:ascii="Arial" w:hAnsi="Arial"/>
        </w:rPr>
      </w:pPr>
      <w:r w:rsidRPr="00B93493">
        <w:t xml:space="preserve">Taxes are not included in the amounts </w:t>
      </w:r>
      <w:r w:rsidRPr="00B93493">
        <w:rPr>
          <w:i/>
          <w:iCs/>
        </w:rPr>
        <w:t>C</w:t>
      </w:r>
      <w:r w:rsidRPr="00B93493">
        <w:rPr>
          <w:vertAlign w:val="subscript"/>
        </w:rPr>
        <w:t>11</w:t>
      </w:r>
      <w:r w:rsidRPr="00B93493">
        <w:t xml:space="preserve">, </w:t>
      </w:r>
      <w:r w:rsidRPr="00B93493">
        <w:rPr>
          <w:i/>
          <w:iCs/>
        </w:rPr>
        <w:t>C</w:t>
      </w:r>
      <w:r w:rsidRPr="00B93493">
        <w:rPr>
          <w:vertAlign w:val="subscript"/>
        </w:rPr>
        <w:t>12</w:t>
      </w:r>
      <w:r w:rsidRPr="00B93493">
        <w:t xml:space="preserve">, </w:t>
      </w:r>
      <w:r w:rsidRPr="00B93493">
        <w:rPr>
          <w:i/>
          <w:iCs/>
        </w:rPr>
        <w:t>C</w:t>
      </w:r>
      <w:r w:rsidRPr="00B93493">
        <w:rPr>
          <w:vertAlign w:val="subscript"/>
        </w:rPr>
        <w:t>13</w:t>
      </w:r>
      <w:r w:rsidRPr="00B93493">
        <w:t>.</w:t>
      </w:r>
    </w:p>
    <w:p w14:paraId="7C839D71" w14:textId="77777777" w:rsidR="00CF04BC" w:rsidRPr="00B93493" w:rsidRDefault="00CF04BC" w:rsidP="00CF04BC">
      <w:r w:rsidRPr="00B93493">
        <w:rPr>
          <w:i/>
          <w:iCs/>
        </w:rPr>
        <w:t>C</w:t>
      </w:r>
      <w:r w:rsidRPr="00B93493">
        <w:rPr>
          <w:vertAlign w:val="subscript"/>
        </w:rPr>
        <w:t>2</w:t>
      </w:r>
      <w:r w:rsidRPr="00B93493">
        <w:t xml:space="preserve"> can be separated into the following components:</w:t>
      </w:r>
    </w:p>
    <w:p w14:paraId="603BFD0C" w14:textId="77777777" w:rsidR="00CF04BC" w:rsidRPr="00B93493" w:rsidRDefault="00CF04BC" w:rsidP="00CF04BC">
      <w:pPr>
        <w:pStyle w:val="Blanc"/>
      </w:pPr>
    </w:p>
    <w:p w14:paraId="78679F14" w14:textId="77777777" w:rsidR="00CF04BC" w:rsidRPr="00B93493" w:rsidRDefault="00CF04BC" w:rsidP="00CF04BC">
      <w:pPr>
        <w:pStyle w:val="Equation"/>
      </w:pPr>
      <w:r w:rsidRPr="00B93493">
        <w:tab/>
      </w:r>
      <w:r w:rsidRPr="00B93493">
        <w:tab/>
      </w:r>
      <w:r w:rsidRPr="00B93493">
        <w:rPr>
          <w:position w:val="-10"/>
        </w:rPr>
        <w:object w:dxaOrig="1540" w:dyaOrig="341" w14:anchorId="7E588F73">
          <v:shape id="_x0000_i1090" type="#_x0000_t75" style="width:76.6pt;height:20.15pt" o:ole="">
            <v:imagedata r:id="rId167" o:title=""/>
          </v:shape>
          <o:OLEObject Type="Embed" ProgID="Equation.3" ShapeID="_x0000_i1090" DrawAspect="Content" ObjectID="_1812968372" r:id="rId168"/>
        </w:object>
      </w:r>
      <w:r w:rsidRPr="00B93493">
        <w:tab/>
        <w:t>(58)</w:t>
      </w:r>
    </w:p>
    <w:p w14:paraId="3A4ECDC8" w14:textId="77777777" w:rsidR="00CF04BC" w:rsidRPr="00B93493" w:rsidRDefault="00CF04BC" w:rsidP="00CF04BC">
      <w:r w:rsidRPr="00B93493">
        <w:t>where:</w:t>
      </w:r>
    </w:p>
    <w:p w14:paraId="7C3953E2" w14:textId="77777777" w:rsidR="00CF04BC" w:rsidRPr="00B93493" w:rsidRDefault="00CF04BC" w:rsidP="00CF04BC">
      <w:pPr>
        <w:pStyle w:val="Equationlegend"/>
      </w:pPr>
      <w:r w:rsidRPr="00B93493">
        <w:tab/>
      </w:r>
      <w:r w:rsidRPr="00B93493">
        <w:rPr>
          <w:i/>
          <w:iCs/>
        </w:rPr>
        <w:t>C</w:t>
      </w:r>
      <w:r w:rsidRPr="00B93493">
        <w:rPr>
          <w:vertAlign w:val="subscript"/>
        </w:rPr>
        <w:t>21</w:t>
      </w:r>
      <w:r w:rsidRPr="00B93493">
        <w:rPr>
          <w:rFonts w:ascii="Tms Rmn" w:hAnsi="Tms Rmn"/>
          <w:sz w:val="12"/>
        </w:rPr>
        <w:t> </w:t>
      </w:r>
      <w:r w:rsidRPr="00B93493">
        <w:t>:</w:t>
      </w:r>
      <w:r w:rsidRPr="00B93493">
        <w:rPr>
          <w:rFonts w:ascii="Tms Rmn" w:hAnsi="Tms Rmn"/>
        </w:rPr>
        <w:tab/>
      </w:r>
      <w:r w:rsidRPr="00B93493">
        <w:t>taxes imposed by State spectrum management agency on telecommunications equipment, software, materials etc.;</w:t>
      </w:r>
    </w:p>
    <w:p w14:paraId="3E540A53" w14:textId="77777777" w:rsidR="00CF04BC" w:rsidRPr="00B93493" w:rsidRDefault="00CF04BC" w:rsidP="00CF04BC">
      <w:pPr>
        <w:pStyle w:val="Equationlegend"/>
      </w:pPr>
      <w:r w:rsidRPr="00B93493">
        <w:tab/>
      </w:r>
      <w:r w:rsidRPr="00B93493">
        <w:rPr>
          <w:i/>
          <w:iCs/>
        </w:rPr>
        <w:t>C</w:t>
      </w:r>
      <w:r w:rsidRPr="00B93493">
        <w:rPr>
          <w:vertAlign w:val="subscript"/>
        </w:rPr>
        <w:t>22</w:t>
      </w:r>
      <w:r w:rsidRPr="00B93493">
        <w:rPr>
          <w:rFonts w:ascii="Tms Rmn" w:hAnsi="Tms Rmn"/>
          <w:sz w:val="12"/>
        </w:rPr>
        <w:t> </w:t>
      </w:r>
      <w:r w:rsidRPr="00B93493">
        <w:t>:</w:t>
      </w:r>
      <w:r w:rsidRPr="00B93493">
        <w:rPr>
          <w:rFonts w:ascii="Tms Rmn" w:hAnsi="Tms Rmn"/>
        </w:rPr>
        <w:tab/>
      </w:r>
      <w:r w:rsidRPr="00B93493">
        <w:t xml:space="preserve">payments for spectrum use. At present in Kyrgyzstan, to encourage development of radiocommunications services </w:t>
      </w:r>
      <w:r w:rsidRPr="00B93493">
        <w:rPr>
          <w:i/>
          <w:iCs/>
        </w:rPr>
        <w:t>C</w:t>
      </w:r>
      <w:r w:rsidRPr="00B93493">
        <w:rPr>
          <w:vertAlign w:val="subscript"/>
        </w:rPr>
        <w:t>22</w:t>
      </w:r>
      <w:r w:rsidRPr="00B93493">
        <w:t> </w:t>
      </w:r>
      <w:r w:rsidRPr="00B93493">
        <w:rPr>
          <w:rFonts w:ascii="Symbol" w:hAnsi="Symbol"/>
        </w:rPr>
        <w:t></w:t>
      </w:r>
      <w:r w:rsidRPr="00B93493">
        <w:t> 0.</w:t>
      </w:r>
    </w:p>
    <w:p w14:paraId="391CEA7E" w14:textId="77777777" w:rsidR="00CF04BC" w:rsidRPr="00B93493" w:rsidRDefault="00CF04BC" w:rsidP="00CF04BC">
      <w:r w:rsidRPr="00B93493">
        <w:t>Formulas (56) and (58) do not take into account the indirect income of the State taxes on the incomes of telecommunication operators whose activity is connected with radio-frequency resource use (for example, taxes from the income of cellular communication operators). This component of the income of the State is essential and exceeds component </w:t>
      </w:r>
      <w:r w:rsidRPr="00B93493">
        <w:rPr>
          <w:i/>
          <w:iCs/>
        </w:rPr>
        <w:t>C</w:t>
      </w:r>
      <w:r w:rsidRPr="00B93493">
        <w:rPr>
          <w:vertAlign w:val="subscript"/>
        </w:rPr>
        <w:t>22</w:t>
      </w:r>
      <w:r w:rsidRPr="00B93493">
        <w:t>.</w:t>
      </w:r>
    </w:p>
    <w:p w14:paraId="255CC389" w14:textId="77777777" w:rsidR="00CF04BC" w:rsidRPr="00B93493" w:rsidRDefault="00CF04BC" w:rsidP="00CF04BC">
      <w:r w:rsidRPr="00B93493">
        <w:t xml:space="preserve">In essence </w:t>
      </w:r>
      <w:r w:rsidRPr="00B93493">
        <w:rPr>
          <w:i/>
          <w:iCs/>
        </w:rPr>
        <w:t>C</w:t>
      </w:r>
      <w:r w:rsidRPr="00B93493">
        <w:rPr>
          <w:vertAlign w:val="subscript"/>
        </w:rPr>
        <w:t>22</w:t>
      </w:r>
      <w:r w:rsidRPr="00B93493">
        <w:t xml:space="preserve"> is an initial payment for spectrum. However, no telecommunication operator, especially in the developing countries, will immediately be able to make a large payment and this would be an obstacle to development. A good way to provide an economic incentive is reducing to a minimum the </w:t>
      </w:r>
      <w:r w:rsidRPr="00B93493">
        <w:rPr>
          <w:i/>
          <w:iCs/>
        </w:rPr>
        <w:t>C</w:t>
      </w:r>
      <w:r w:rsidRPr="00B93493">
        <w:rPr>
          <w:vertAlign w:val="subscript"/>
        </w:rPr>
        <w:t>22</w:t>
      </w:r>
      <w:r w:rsidRPr="00B93493">
        <w:rPr>
          <w:position w:val="-4"/>
          <w:sz w:val="16"/>
        </w:rPr>
        <w:t xml:space="preserve"> </w:t>
      </w:r>
      <w:r w:rsidRPr="00B93493">
        <w:t>component, so that the telecommunication operator may begin to provide service with no initial spectrum payment. The loss,</w:t>
      </w:r>
      <w:r w:rsidRPr="00B93493">
        <w:rPr>
          <w:sz w:val="28"/>
        </w:rPr>
        <w:t xml:space="preserve"> </w:t>
      </w:r>
      <w:r w:rsidRPr="00B93493">
        <w:rPr>
          <w:i/>
          <w:iCs/>
        </w:rPr>
        <w:t>C</w:t>
      </w:r>
      <w:r w:rsidRPr="00B93493">
        <w:rPr>
          <w:vertAlign w:val="subscript"/>
        </w:rPr>
        <w:t>22</w:t>
      </w:r>
      <w:r w:rsidRPr="00B93493">
        <w:t>,</w:t>
      </w:r>
      <w:r w:rsidRPr="00B93493">
        <w:rPr>
          <w:position w:val="-5"/>
          <w:sz w:val="18"/>
          <w:vertAlign w:val="subscript"/>
        </w:rPr>
        <w:t xml:space="preserve"> </w:t>
      </w:r>
      <w:r w:rsidRPr="00B93493">
        <w:t>will be compensated for the State by the taxes from the telecommunication operator’s activity.</w:t>
      </w:r>
    </w:p>
    <w:p w14:paraId="72C6177D" w14:textId="77777777" w:rsidR="00CF04BC" w:rsidRPr="00B93493" w:rsidRDefault="00CF04BC" w:rsidP="00CF04BC">
      <w:pPr>
        <w:keepNext/>
        <w:keepLines/>
      </w:pPr>
      <w:r w:rsidRPr="00B93493">
        <w:t>Thus, for the purposes of rapid development of telecommunication and information services in the country and the provision of economic incentives to the telecommunication operators, it is essential to hold spectrum payments</w:t>
      </w:r>
      <w:r w:rsidRPr="00B93493">
        <w:rPr>
          <w:b/>
        </w:rPr>
        <w:t xml:space="preserve"> </w:t>
      </w:r>
      <w:r w:rsidRPr="00B93493">
        <w:t>to the minimum</w:t>
      </w:r>
      <w:r w:rsidRPr="00B93493">
        <w:rPr>
          <w:b/>
        </w:rPr>
        <w:t xml:space="preserve"> </w:t>
      </w:r>
      <w:r w:rsidRPr="00B93493">
        <w:t>necessary for covering the costs of spectrum management.</w:t>
      </w:r>
    </w:p>
    <w:p w14:paraId="34800382" w14:textId="77777777" w:rsidR="00CF04BC" w:rsidRPr="00B93493" w:rsidRDefault="00CF04BC" w:rsidP="00CF04BC">
      <w:pPr>
        <w:pStyle w:val="Heading4"/>
      </w:pPr>
      <w:bookmarkStart w:id="2351" w:name="_Toc497033221"/>
      <w:bookmarkStart w:id="2352" w:name="_Toc497034019"/>
      <w:r w:rsidRPr="00B93493">
        <w:t>5.2.6.2</w:t>
      </w:r>
      <w:r w:rsidRPr="00B93493">
        <w:tab/>
        <w:t>Determination of the value of the radio spectrum</w:t>
      </w:r>
      <w:bookmarkEnd w:id="2351"/>
      <w:bookmarkEnd w:id="2352"/>
    </w:p>
    <w:p w14:paraId="2E1357B0" w14:textId="77777777" w:rsidR="00CF04BC" w:rsidRPr="00B93493" w:rsidRDefault="00CF04BC" w:rsidP="00CF04BC">
      <w:r w:rsidRPr="00B93493">
        <w:t xml:space="preserve">Proceeding from </w:t>
      </w:r>
      <w:r>
        <w:t>equations</w:t>
      </w:r>
      <w:r w:rsidRPr="00B93493">
        <w:t xml:space="preserve"> (56), (57) and (58) it is possible to determine </w:t>
      </w:r>
      <w:r w:rsidRPr="00B93493">
        <w:rPr>
          <w:i/>
          <w:iCs/>
        </w:rPr>
        <w:t>C</w:t>
      </w:r>
      <w:r w:rsidRPr="00B93493">
        <w:rPr>
          <w:i/>
          <w:iCs/>
          <w:vertAlign w:val="subscript"/>
        </w:rPr>
        <w:t>ann</w:t>
      </w:r>
      <w:r w:rsidRPr="00B93493">
        <w:t>, representing annual payment for all radio</w:t>
      </w:r>
      <w:r w:rsidRPr="00B93493">
        <w:noBreakHyphen/>
        <w:t>frequency resource, used in the country. Further this amount is necessary for collecting from all telecommunication operators using radio-frequency spectrum on a fair and non</w:t>
      </w:r>
      <w:r w:rsidRPr="00B93493">
        <w:noBreakHyphen/>
        <w:t>discriminatory basis. To accomplish this, according to this Report and the ITU World Telecommunication Development Conference (Valetta, 1998), it is necessary to determine the value of the spectrum used by each operator.</w:t>
      </w:r>
    </w:p>
    <w:p w14:paraId="3717BD06" w14:textId="77777777" w:rsidR="00CF04BC" w:rsidRPr="00B93493" w:rsidRDefault="00CF04BC" w:rsidP="00CF04BC">
      <w:r w:rsidRPr="00B93493">
        <w:t>Limitations regarding use of frequency assignments are given to users by the NCA. These limitations concern installation and operation of their radio equipment. The necessary information on all frequency assignments (frequency bands, transmitter capacity, geographical coordinates, antenna type and height of its installation, etc.) is stored in the national database. Total frequency assignments are designated as “</w:t>
      </w:r>
      <w:r w:rsidRPr="00B93493">
        <w:rPr>
          <w:i/>
          <w:iCs/>
        </w:rPr>
        <w:t>n</w:t>
      </w:r>
      <w:r w:rsidRPr="00B93493">
        <w:t>”.</w:t>
      </w:r>
    </w:p>
    <w:p w14:paraId="24BB70F7" w14:textId="77777777" w:rsidR="00CF04BC" w:rsidRPr="00B93493" w:rsidRDefault="00CF04BC" w:rsidP="00CF04BC">
      <w:r w:rsidRPr="00B93493">
        <w:t>The method used is as follows.</w:t>
      </w:r>
    </w:p>
    <w:p w14:paraId="45E968C8" w14:textId="77777777" w:rsidR="00CF04BC" w:rsidRPr="00B93493" w:rsidRDefault="00CF04BC" w:rsidP="00CF04BC">
      <w:r w:rsidRPr="00B93493">
        <w:t xml:space="preserve">For any </w:t>
      </w:r>
      <w:r w:rsidRPr="00B93493">
        <w:rPr>
          <w:i/>
          <w:iCs/>
        </w:rPr>
        <w:t>i</w:t>
      </w:r>
      <w:r w:rsidRPr="00B93493">
        <w:t>-th user on the basis of its frequency assignment characteristic incorporated in the national database, it is possible to determine a three-dimensional value of the spectrum used, as follows:</w:t>
      </w:r>
    </w:p>
    <w:p w14:paraId="26658B36" w14:textId="77777777" w:rsidR="00CF04BC" w:rsidRPr="00B93493" w:rsidRDefault="00CF04BC" w:rsidP="00CF04BC">
      <w:pPr>
        <w:pStyle w:val="Blanc"/>
      </w:pPr>
    </w:p>
    <w:p w14:paraId="209A6631" w14:textId="77777777" w:rsidR="00CF04BC" w:rsidRPr="00B93493" w:rsidRDefault="00CF04BC" w:rsidP="00CF04BC">
      <w:pPr>
        <w:pStyle w:val="Equation"/>
      </w:pPr>
      <w:r w:rsidRPr="00B93493">
        <w:tab/>
      </w:r>
      <w:r w:rsidRPr="00B93493">
        <w:tab/>
      </w:r>
      <w:r w:rsidRPr="00B93493">
        <w:rPr>
          <w:position w:val="-12"/>
        </w:rPr>
        <w:object w:dxaOrig="1540" w:dyaOrig="391" w14:anchorId="26843DD1">
          <v:shape id="_x0000_i1091" type="#_x0000_t75" style="width:76.6pt;height:20.15pt" o:ole="">
            <v:imagedata r:id="rId169" o:title=""/>
          </v:shape>
          <o:OLEObject Type="Embed" ProgID="Equation.3" ShapeID="_x0000_i1091" DrawAspect="Content" ObjectID="_1812968373" r:id="rId170"/>
        </w:object>
      </w:r>
      <w:r w:rsidRPr="00B93493">
        <w:tab/>
        <w:t>(59)</w:t>
      </w:r>
    </w:p>
    <w:p w14:paraId="5E4F3BE4" w14:textId="77777777" w:rsidR="00CF04BC" w:rsidRPr="00B93493" w:rsidRDefault="00CF04BC" w:rsidP="00CF04BC">
      <w:pPr>
        <w:pStyle w:val="Blanc"/>
      </w:pPr>
    </w:p>
    <w:p w14:paraId="20B98EB8" w14:textId="77777777" w:rsidR="00CF04BC" w:rsidRPr="00B93493" w:rsidRDefault="00CF04BC" w:rsidP="00CF04BC">
      <w:r w:rsidRPr="00B93493">
        <w:t>where:</w:t>
      </w:r>
    </w:p>
    <w:p w14:paraId="09A4EA1C" w14:textId="77777777" w:rsidR="00CF04BC" w:rsidRPr="00B93493" w:rsidRDefault="00CF04BC" w:rsidP="00CF04BC">
      <w:pPr>
        <w:pStyle w:val="Equationlegend"/>
      </w:pPr>
      <w:r w:rsidRPr="00B93493">
        <w:tab/>
      </w:r>
      <w:r w:rsidRPr="00B93493">
        <w:rPr>
          <w:i/>
          <w:iCs/>
        </w:rPr>
        <w:t>Z</w:t>
      </w:r>
      <w:r w:rsidRPr="00B93493">
        <w:rPr>
          <w:i/>
          <w:iCs/>
          <w:vertAlign w:val="subscript"/>
        </w:rPr>
        <w:t>i</w:t>
      </w:r>
      <w:r w:rsidRPr="00B93493">
        <w:rPr>
          <w:sz w:val="12"/>
        </w:rPr>
        <w:t> </w:t>
      </w:r>
      <w:r w:rsidRPr="00B93493">
        <w:t>:</w:t>
      </w:r>
      <w:r w:rsidRPr="00B93493">
        <w:tab/>
        <w:t xml:space="preserve">frequency resource used for </w:t>
      </w:r>
      <w:r w:rsidRPr="00B93493">
        <w:rPr>
          <w:i/>
          <w:iCs/>
        </w:rPr>
        <w:t>i</w:t>
      </w:r>
      <w:r w:rsidRPr="00B93493">
        <w:t>-th frequency assignment</w:t>
      </w:r>
    </w:p>
    <w:p w14:paraId="16B5EFAB" w14:textId="77777777" w:rsidR="00CF04BC" w:rsidRPr="00B93493" w:rsidRDefault="00CF04BC" w:rsidP="00CF04BC">
      <w:pPr>
        <w:pStyle w:val="Equationlegend"/>
      </w:pPr>
      <w:r w:rsidRPr="00B93493">
        <w:tab/>
      </w:r>
      <w:r w:rsidRPr="00B93493">
        <w:rPr>
          <w:i/>
          <w:iCs/>
        </w:rPr>
        <w:t>F</w:t>
      </w:r>
      <w:r w:rsidRPr="00B93493">
        <w:rPr>
          <w:i/>
          <w:iCs/>
          <w:vertAlign w:val="subscript"/>
        </w:rPr>
        <w:t>i</w:t>
      </w:r>
      <w:r w:rsidRPr="00B93493">
        <w:rPr>
          <w:sz w:val="12"/>
        </w:rPr>
        <w:t> </w:t>
      </w:r>
      <w:r w:rsidRPr="00B93493">
        <w:t>:</w:t>
      </w:r>
      <w:r w:rsidRPr="00B93493">
        <w:tab/>
        <w:t xml:space="preserve">radio frequency band used for </w:t>
      </w:r>
      <w:r w:rsidRPr="00B93493">
        <w:rPr>
          <w:i/>
          <w:iCs/>
        </w:rPr>
        <w:t>i</w:t>
      </w:r>
      <w:r w:rsidRPr="00B93493">
        <w:t>-th frequency assignment</w:t>
      </w:r>
    </w:p>
    <w:p w14:paraId="5CB82F23" w14:textId="77777777" w:rsidR="00CF04BC" w:rsidRPr="00B93493" w:rsidRDefault="00CF04BC" w:rsidP="00CF04BC">
      <w:pPr>
        <w:pStyle w:val="Equationlegend"/>
      </w:pPr>
      <w:r w:rsidRPr="00B93493">
        <w:tab/>
      </w:r>
      <w:r w:rsidRPr="00B93493">
        <w:rPr>
          <w:i/>
          <w:iCs/>
        </w:rPr>
        <w:t>S</w:t>
      </w:r>
      <w:r w:rsidRPr="00B93493">
        <w:rPr>
          <w:i/>
          <w:iCs/>
          <w:vertAlign w:val="subscript"/>
        </w:rPr>
        <w:t>i</w:t>
      </w:r>
      <w:r w:rsidRPr="00B93493">
        <w:rPr>
          <w:sz w:val="12"/>
        </w:rPr>
        <w:t> </w:t>
      </w:r>
      <w:r w:rsidRPr="00B93493">
        <w:t>:</w:t>
      </w:r>
      <w:r w:rsidRPr="00B93493">
        <w:tab/>
        <w:t xml:space="preserve">area of the territory used for </w:t>
      </w:r>
      <w:r w:rsidRPr="00B93493">
        <w:rPr>
          <w:i/>
          <w:iCs/>
        </w:rPr>
        <w:t>i</w:t>
      </w:r>
      <w:r w:rsidRPr="00B93493">
        <w:t>-th frequency assignment</w:t>
      </w:r>
    </w:p>
    <w:p w14:paraId="20F53E83" w14:textId="77777777" w:rsidR="00CF04BC" w:rsidRPr="00B93493" w:rsidRDefault="00CF04BC" w:rsidP="00CF04BC">
      <w:pPr>
        <w:pStyle w:val="Equationlegend"/>
      </w:pPr>
      <w:r w:rsidRPr="00B93493">
        <w:tab/>
      </w:r>
      <w:r w:rsidRPr="00B93493">
        <w:rPr>
          <w:i/>
          <w:iCs/>
        </w:rPr>
        <w:t>t</w:t>
      </w:r>
      <w:r w:rsidRPr="00B93493">
        <w:rPr>
          <w:sz w:val="12"/>
        </w:rPr>
        <w:t> </w:t>
      </w:r>
      <w:r w:rsidRPr="00B93493">
        <w:t>:</w:t>
      </w:r>
      <w:r w:rsidRPr="00B93493">
        <w:tab/>
        <w:t>time.</w:t>
      </w:r>
    </w:p>
    <w:p w14:paraId="7B6BF789" w14:textId="77777777" w:rsidR="00CF04BC" w:rsidRPr="00B93493" w:rsidRDefault="00CF04BC" w:rsidP="00CF04BC">
      <w:r w:rsidRPr="00B93493">
        <w:t>Each component may be considered in more detail:</w:t>
      </w:r>
    </w:p>
    <w:p w14:paraId="78043BB3" w14:textId="77777777" w:rsidR="00CF04BC" w:rsidRPr="00B93493" w:rsidRDefault="00CF04BC" w:rsidP="00CF04BC">
      <w:pPr>
        <w:pStyle w:val="enumlev1"/>
      </w:pPr>
      <w:r w:rsidRPr="00B93493">
        <w:t>a)</w:t>
      </w:r>
      <w:r w:rsidRPr="00B93493">
        <w:rPr>
          <w:rFonts w:ascii="Arial" w:hAnsi="Arial"/>
        </w:rPr>
        <w:tab/>
      </w:r>
      <w:r w:rsidRPr="00B93493">
        <w:rPr>
          <w:bCs/>
        </w:rPr>
        <w:t>The</w:t>
      </w:r>
      <w:r w:rsidRPr="00B93493">
        <w:t xml:space="preserve"> time </w:t>
      </w:r>
      <w:r w:rsidRPr="00B93493">
        <w:rPr>
          <w:i/>
          <w:iCs/>
        </w:rPr>
        <w:t>t</w:t>
      </w:r>
      <w:r w:rsidRPr="00B93493">
        <w:t xml:space="preserve"> for all users is equal to one year (</w:t>
      </w:r>
      <w:r w:rsidRPr="00B93493">
        <w:rPr>
          <w:i/>
          <w:iCs/>
        </w:rPr>
        <w:t>t</w:t>
      </w:r>
      <w:r w:rsidRPr="00B93493">
        <w:t> </w:t>
      </w:r>
      <w:r w:rsidRPr="00B93493">
        <w:rPr>
          <w:rFonts w:ascii="Symbol" w:hAnsi="Symbol"/>
        </w:rPr>
        <w:t></w:t>
      </w:r>
      <w:r w:rsidRPr="00B93493">
        <w:t> 1).</w:t>
      </w:r>
    </w:p>
    <w:p w14:paraId="557348D3" w14:textId="77777777" w:rsidR="00CF04BC" w:rsidRPr="00B93493" w:rsidRDefault="00CF04BC" w:rsidP="00CF04BC">
      <w:pPr>
        <w:pStyle w:val="enumlev1"/>
      </w:pPr>
      <w:r w:rsidRPr="00B93493">
        <w:t>b)</w:t>
      </w:r>
      <w:r w:rsidRPr="00B93493">
        <w:tab/>
        <w:t xml:space="preserve">The population density of the territory is not uniform. The high population density area is more attractive to the telecommunication service operator. Therefore, the whole territory of the republic is divided into, </w:t>
      </w:r>
      <w:r w:rsidRPr="00B93493">
        <w:rPr>
          <w:i/>
          <w:iCs/>
        </w:rPr>
        <w:t>m</w:t>
      </w:r>
      <w:r w:rsidRPr="00B93493">
        <w:t xml:space="preserve">, territories according to its administrative structure and for each </w:t>
      </w:r>
      <w:r w:rsidRPr="00B93493">
        <w:rPr>
          <w:i/>
          <w:iCs/>
        </w:rPr>
        <w:t>j</w:t>
      </w:r>
      <w:r w:rsidRPr="00B93493">
        <w:t>-th territory, 1 </w:t>
      </w:r>
      <w:r w:rsidRPr="00B93493">
        <w:sym w:font="Symbol" w:char="F0A3"/>
      </w:r>
      <w:r w:rsidRPr="00B93493">
        <w:t> </w:t>
      </w:r>
      <w:r w:rsidRPr="00B93493">
        <w:rPr>
          <w:i/>
          <w:iCs/>
        </w:rPr>
        <w:t>j</w:t>
      </w:r>
      <w:r w:rsidRPr="00B93493">
        <w:t> </w:t>
      </w:r>
      <w:r w:rsidRPr="00B93493">
        <w:sym w:font="Symbol" w:char="F0A3"/>
      </w:r>
      <w:r w:rsidRPr="00B93493">
        <w:t> </w:t>
      </w:r>
      <w:r w:rsidRPr="00B93493">
        <w:rPr>
          <w:i/>
          <w:iCs/>
        </w:rPr>
        <w:t>m</w:t>
      </w:r>
      <w:r w:rsidRPr="00B93493">
        <w:t xml:space="preserve">, the population density coefficient (according to the data of the census) is </w:t>
      </w:r>
      <w:r w:rsidRPr="00B93493">
        <w:rPr>
          <w:i/>
          <w:iCs/>
        </w:rPr>
        <w:t>K</w:t>
      </w:r>
      <w:r w:rsidRPr="00B93493">
        <w:rPr>
          <w:i/>
          <w:iCs/>
          <w:vertAlign w:val="subscript"/>
        </w:rPr>
        <w:t>j</w:t>
      </w:r>
      <w:r w:rsidRPr="00B93493">
        <w:t xml:space="preserve"> (see Table 2</w:t>
      </w:r>
      <w:r>
        <w:rPr>
          <w:rFonts w:hint="eastAsia"/>
          <w:lang w:eastAsia="zh-CN"/>
        </w:rPr>
        <w:t>8</w:t>
      </w:r>
      <w:r w:rsidRPr="00B93493">
        <w:t xml:space="preserve">). </w:t>
      </w:r>
      <w:r w:rsidRPr="00B93493">
        <w:rPr>
          <w:i/>
          <w:iCs/>
        </w:rPr>
        <w:t>K</w:t>
      </w:r>
      <w:r w:rsidRPr="00B93493">
        <w:rPr>
          <w:i/>
          <w:iCs/>
          <w:vertAlign w:val="subscript"/>
        </w:rPr>
        <w:t>j</w:t>
      </w:r>
      <w:r w:rsidRPr="00B93493">
        <w:t> = 1 for the area with the lowest population density.</w:t>
      </w:r>
    </w:p>
    <w:p w14:paraId="42BD97CD" w14:textId="77777777" w:rsidR="00CF04BC" w:rsidRPr="00B93493" w:rsidRDefault="00CF04BC" w:rsidP="00CF04BC">
      <w:pPr>
        <w:pStyle w:val="TableNo"/>
        <w:rPr>
          <w:lang w:eastAsia="zh-CN"/>
        </w:rPr>
      </w:pPr>
      <w:r w:rsidRPr="00B93493">
        <w:t>TABLE 2</w:t>
      </w:r>
      <w:r>
        <w:rPr>
          <w:rFonts w:hint="eastAsia"/>
          <w:lang w:eastAsia="zh-CN"/>
        </w:rPr>
        <w:t>8</w:t>
      </w:r>
    </w:p>
    <w:p w14:paraId="7E756272" w14:textId="77777777" w:rsidR="00CF04BC" w:rsidRPr="00B93493" w:rsidRDefault="00CF04BC" w:rsidP="00CF04BC">
      <w:pPr>
        <w:pStyle w:val="Tabletitle"/>
      </w:pPr>
      <w:r w:rsidRPr="00B93493">
        <w:t xml:space="preserve">Population density coefficient for various </w:t>
      </w:r>
      <w:r w:rsidRPr="00B93493">
        <w:br/>
        <w:t>territories of the Kyrgyz Republic</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6237"/>
        <w:gridCol w:w="1134"/>
      </w:tblGrid>
      <w:tr w:rsidR="00CF04BC" w:rsidRPr="00B93493" w14:paraId="069850B6" w14:textId="77777777" w:rsidTr="002E7F54">
        <w:trPr>
          <w:cantSplit/>
          <w:jc w:val="center"/>
        </w:trPr>
        <w:tc>
          <w:tcPr>
            <w:tcW w:w="6237" w:type="dxa"/>
          </w:tcPr>
          <w:p w14:paraId="784E9A7C" w14:textId="77777777" w:rsidR="00CF04BC" w:rsidRPr="00B93493" w:rsidRDefault="00CF04BC" w:rsidP="002E7F54">
            <w:pPr>
              <w:pStyle w:val="Tablehead"/>
            </w:pPr>
            <w:r w:rsidRPr="00B93493">
              <w:t>Designation – Province (oblast)</w:t>
            </w:r>
          </w:p>
        </w:tc>
        <w:tc>
          <w:tcPr>
            <w:tcW w:w="1134" w:type="dxa"/>
          </w:tcPr>
          <w:p w14:paraId="7A89769D" w14:textId="77777777" w:rsidR="00CF04BC" w:rsidRPr="00B93493" w:rsidRDefault="00CF04BC" w:rsidP="002E7F54">
            <w:pPr>
              <w:pStyle w:val="Tablehead"/>
              <w:rPr>
                <w:i/>
                <w:iCs/>
              </w:rPr>
            </w:pPr>
            <w:r w:rsidRPr="00B93493">
              <w:rPr>
                <w:i/>
                <w:iCs/>
              </w:rPr>
              <w:t>B</w:t>
            </w:r>
            <w:r w:rsidRPr="00B93493">
              <w:rPr>
                <w:i/>
                <w:iCs/>
                <w:position w:val="-4"/>
              </w:rPr>
              <w:t>j</w:t>
            </w:r>
          </w:p>
        </w:tc>
      </w:tr>
      <w:tr w:rsidR="00CF04BC" w:rsidRPr="00B93493" w14:paraId="3A1E7020" w14:textId="77777777" w:rsidTr="002E7F54">
        <w:trPr>
          <w:cantSplit/>
          <w:jc w:val="center"/>
        </w:trPr>
        <w:tc>
          <w:tcPr>
            <w:tcW w:w="6237" w:type="dxa"/>
          </w:tcPr>
          <w:p w14:paraId="1C5D0A58" w14:textId="77777777" w:rsidR="00CF04BC" w:rsidRPr="00B93493" w:rsidRDefault="00CF04BC" w:rsidP="002E7F54">
            <w:pPr>
              <w:pStyle w:val="Tabletext"/>
            </w:pPr>
            <w:r w:rsidRPr="00B93493">
              <w:t>Naryn</w:t>
            </w:r>
          </w:p>
        </w:tc>
        <w:tc>
          <w:tcPr>
            <w:tcW w:w="1134" w:type="dxa"/>
          </w:tcPr>
          <w:p w14:paraId="38629C99" w14:textId="77777777" w:rsidR="00CF04BC" w:rsidRPr="00B93493" w:rsidRDefault="00CF04BC" w:rsidP="002E7F54">
            <w:pPr>
              <w:pStyle w:val="Tabletext"/>
              <w:jc w:val="center"/>
            </w:pPr>
            <w:r w:rsidRPr="00B93493">
              <w:t>1</w:t>
            </w:r>
          </w:p>
        </w:tc>
      </w:tr>
      <w:tr w:rsidR="00CF04BC" w:rsidRPr="00B93493" w14:paraId="63D813C9" w14:textId="77777777" w:rsidTr="002E7F54">
        <w:trPr>
          <w:cantSplit/>
          <w:jc w:val="center"/>
        </w:trPr>
        <w:tc>
          <w:tcPr>
            <w:tcW w:w="6237" w:type="dxa"/>
          </w:tcPr>
          <w:p w14:paraId="3CC04D99" w14:textId="77777777" w:rsidR="00CF04BC" w:rsidRPr="00B93493" w:rsidRDefault="00CF04BC" w:rsidP="002E7F54">
            <w:pPr>
              <w:pStyle w:val="Tabletext"/>
            </w:pPr>
            <w:r w:rsidRPr="00B93493">
              <w:t>Talas</w:t>
            </w:r>
          </w:p>
        </w:tc>
        <w:tc>
          <w:tcPr>
            <w:tcW w:w="1134" w:type="dxa"/>
          </w:tcPr>
          <w:p w14:paraId="386DB57B" w14:textId="77777777" w:rsidR="00CF04BC" w:rsidRPr="00B93493" w:rsidRDefault="00CF04BC" w:rsidP="002E7F54">
            <w:pPr>
              <w:pStyle w:val="Tabletext"/>
              <w:jc w:val="center"/>
            </w:pPr>
            <w:r w:rsidRPr="00B93493">
              <w:t>3.7</w:t>
            </w:r>
          </w:p>
        </w:tc>
      </w:tr>
      <w:tr w:rsidR="00CF04BC" w:rsidRPr="00B93493" w14:paraId="761F0725" w14:textId="77777777" w:rsidTr="002E7F54">
        <w:trPr>
          <w:cantSplit/>
          <w:jc w:val="center"/>
        </w:trPr>
        <w:tc>
          <w:tcPr>
            <w:tcW w:w="6237" w:type="dxa"/>
          </w:tcPr>
          <w:p w14:paraId="737BF9A2" w14:textId="77777777" w:rsidR="00CF04BC" w:rsidRPr="00B93493" w:rsidRDefault="00CF04BC" w:rsidP="002E7F54">
            <w:pPr>
              <w:pStyle w:val="Tabletext"/>
            </w:pPr>
            <w:r w:rsidRPr="00B93493">
              <w:t>Issyk-Kul</w:t>
            </w:r>
          </w:p>
        </w:tc>
        <w:tc>
          <w:tcPr>
            <w:tcW w:w="1134" w:type="dxa"/>
          </w:tcPr>
          <w:p w14:paraId="7624A01A" w14:textId="77777777" w:rsidR="00CF04BC" w:rsidRPr="00B93493" w:rsidRDefault="00CF04BC" w:rsidP="002E7F54">
            <w:pPr>
              <w:pStyle w:val="Tabletext"/>
              <w:jc w:val="center"/>
            </w:pPr>
            <w:r w:rsidRPr="00B93493">
              <w:t>3.5</w:t>
            </w:r>
          </w:p>
        </w:tc>
      </w:tr>
      <w:tr w:rsidR="00CF04BC" w:rsidRPr="00B93493" w14:paraId="014395AA" w14:textId="77777777" w:rsidTr="002E7F54">
        <w:trPr>
          <w:cantSplit/>
          <w:jc w:val="center"/>
        </w:trPr>
        <w:tc>
          <w:tcPr>
            <w:tcW w:w="6237" w:type="dxa"/>
          </w:tcPr>
          <w:p w14:paraId="1F620078" w14:textId="77777777" w:rsidR="00CF04BC" w:rsidRPr="00B93493" w:rsidRDefault="00CF04BC" w:rsidP="002E7F54">
            <w:pPr>
              <w:pStyle w:val="Tabletext"/>
            </w:pPr>
            <w:r w:rsidRPr="00B93493">
              <w:t>Jalal-Abad</w:t>
            </w:r>
          </w:p>
        </w:tc>
        <w:tc>
          <w:tcPr>
            <w:tcW w:w="1134" w:type="dxa"/>
          </w:tcPr>
          <w:p w14:paraId="0DB8AFF9" w14:textId="77777777" w:rsidR="00CF04BC" w:rsidRPr="00B93493" w:rsidRDefault="00CF04BC" w:rsidP="002E7F54">
            <w:pPr>
              <w:pStyle w:val="Tabletext"/>
              <w:jc w:val="center"/>
            </w:pPr>
            <w:r w:rsidRPr="00B93493">
              <w:t>5.6</w:t>
            </w:r>
          </w:p>
        </w:tc>
      </w:tr>
      <w:tr w:rsidR="00CF04BC" w:rsidRPr="00B93493" w14:paraId="0D559E53" w14:textId="77777777" w:rsidTr="002E7F54">
        <w:trPr>
          <w:cantSplit/>
          <w:jc w:val="center"/>
        </w:trPr>
        <w:tc>
          <w:tcPr>
            <w:tcW w:w="6237" w:type="dxa"/>
          </w:tcPr>
          <w:p w14:paraId="18D142B3" w14:textId="77777777" w:rsidR="00CF04BC" w:rsidRPr="00B93493" w:rsidRDefault="00CF04BC" w:rsidP="002E7F54">
            <w:pPr>
              <w:pStyle w:val="Tabletext"/>
            </w:pPr>
            <w:r w:rsidRPr="00B93493">
              <w:t>Osh</w:t>
            </w:r>
          </w:p>
        </w:tc>
        <w:tc>
          <w:tcPr>
            <w:tcW w:w="1134" w:type="dxa"/>
          </w:tcPr>
          <w:p w14:paraId="2EF87963" w14:textId="77777777" w:rsidR="00CF04BC" w:rsidRPr="00B93493" w:rsidRDefault="00CF04BC" w:rsidP="002E7F54">
            <w:pPr>
              <w:pStyle w:val="Tabletext"/>
              <w:jc w:val="center"/>
            </w:pPr>
            <w:r w:rsidRPr="00B93493">
              <w:t>5</w:t>
            </w:r>
          </w:p>
        </w:tc>
      </w:tr>
      <w:tr w:rsidR="00CF04BC" w:rsidRPr="00B93493" w14:paraId="221B4A16" w14:textId="77777777" w:rsidTr="002E7F54">
        <w:trPr>
          <w:cantSplit/>
          <w:jc w:val="center"/>
        </w:trPr>
        <w:tc>
          <w:tcPr>
            <w:tcW w:w="6237" w:type="dxa"/>
          </w:tcPr>
          <w:p w14:paraId="28A79FB2" w14:textId="77777777" w:rsidR="00CF04BC" w:rsidRPr="00B93493" w:rsidRDefault="00CF04BC" w:rsidP="002E7F54">
            <w:pPr>
              <w:pStyle w:val="Tabletext"/>
            </w:pPr>
            <w:r w:rsidRPr="00B93493">
              <w:t>Chuy</w:t>
            </w:r>
          </w:p>
        </w:tc>
        <w:tc>
          <w:tcPr>
            <w:tcW w:w="1134" w:type="dxa"/>
          </w:tcPr>
          <w:p w14:paraId="41A64113" w14:textId="77777777" w:rsidR="00CF04BC" w:rsidRPr="00B93493" w:rsidRDefault="00CF04BC" w:rsidP="002E7F54">
            <w:pPr>
              <w:pStyle w:val="Tabletext"/>
              <w:jc w:val="center"/>
            </w:pPr>
            <w:r w:rsidRPr="00B93493">
              <w:t>8</w:t>
            </w:r>
          </w:p>
        </w:tc>
      </w:tr>
      <w:tr w:rsidR="00CF04BC" w:rsidRPr="00B93493" w14:paraId="7621C45F" w14:textId="77777777" w:rsidTr="002E7F54">
        <w:trPr>
          <w:cantSplit/>
          <w:jc w:val="center"/>
        </w:trPr>
        <w:tc>
          <w:tcPr>
            <w:tcW w:w="7371" w:type="dxa"/>
            <w:gridSpan w:val="2"/>
          </w:tcPr>
          <w:p w14:paraId="0BF5F76D" w14:textId="77777777" w:rsidR="00CF04BC" w:rsidRPr="00B93493" w:rsidRDefault="00CF04BC" w:rsidP="002E7F54">
            <w:pPr>
              <w:pStyle w:val="Tablehead"/>
            </w:pPr>
            <w:r w:rsidRPr="00B93493">
              <w:t>Cities and settlement of an urban type</w:t>
            </w:r>
          </w:p>
        </w:tc>
      </w:tr>
      <w:tr w:rsidR="00CF04BC" w:rsidRPr="00B93493" w14:paraId="12E4E887" w14:textId="77777777" w:rsidTr="002E7F54">
        <w:trPr>
          <w:cantSplit/>
          <w:jc w:val="center"/>
        </w:trPr>
        <w:tc>
          <w:tcPr>
            <w:tcW w:w="6237" w:type="dxa"/>
          </w:tcPr>
          <w:p w14:paraId="08775E10" w14:textId="77777777" w:rsidR="00CF04BC" w:rsidRPr="00B93493" w:rsidRDefault="00CF04BC" w:rsidP="002E7F54">
            <w:pPr>
              <w:pStyle w:val="Tabletext"/>
            </w:pPr>
            <w:r w:rsidRPr="00B93493">
              <w:t>With a population of 10</w:t>
            </w:r>
            <w:r w:rsidRPr="00B93493">
              <w:rPr>
                <w:rFonts w:ascii="Tms Rmn" w:hAnsi="Tms Rmn"/>
              </w:rPr>
              <w:t> </w:t>
            </w:r>
            <w:r w:rsidRPr="00B93493">
              <w:t>000 to 50</w:t>
            </w:r>
            <w:r w:rsidRPr="00B93493">
              <w:rPr>
                <w:rFonts w:ascii="Tms Rmn" w:hAnsi="Tms Rmn"/>
              </w:rPr>
              <w:t> </w:t>
            </w:r>
            <w:r w:rsidRPr="00B93493">
              <w:t>000 inhabitants</w:t>
            </w:r>
          </w:p>
        </w:tc>
        <w:tc>
          <w:tcPr>
            <w:tcW w:w="1134" w:type="dxa"/>
          </w:tcPr>
          <w:p w14:paraId="66602E81" w14:textId="77777777" w:rsidR="00CF04BC" w:rsidRPr="00B93493" w:rsidRDefault="00CF04BC" w:rsidP="002E7F54">
            <w:pPr>
              <w:pStyle w:val="Tabletext"/>
              <w:jc w:val="center"/>
            </w:pPr>
            <w:r w:rsidRPr="00B93493">
              <w:t>16</w:t>
            </w:r>
          </w:p>
        </w:tc>
      </w:tr>
      <w:tr w:rsidR="00CF04BC" w:rsidRPr="00B93493" w14:paraId="1FE24D76" w14:textId="77777777" w:rsidTr="002E7F54">
        <w:trPr>
          <w:cantSplit/>
          <w:jc w:val="center"/>
        </w:trPr>
        <w:tc>
          <w:tcPr>
            <w:tcW w:w="6237" w:type="dxa"/>
          </w:tcPr>
          <w:p w14:paraId="72B93877" w14:textId="77777777" w:rsidR="00CF04BC" w:rsidRPr="00B93493" w:rsidRDefault="00CF04BC" w:rsidP="002E7F54">
            <w:pPr>
              <w:pStyle w:val="Tabletext"/>
            </w:pPr>
            <w:r w:rsidRPr="00B93493">
              <w:t>With a population of 50</w:t>
            </w:r>
            <w:r w:rsidRPr="00B93493">
              <w:rPr>
                <w:rFonts w:ascii="Tms Rmn" w:hAnsi="Tms Rmn"/>
              </w:rPr>
              <w:t> </w:t>
            </w:r>
            <w:r w:rsidRPr="00B93493">
              <w:t>000 to 100</w:t>
            </w:r>
            <w:r w:rsidRPr="00B93493">
              <w:rPr>
                <w:rFonts w:ascii="Tms Rmn" w:hAnsi="Tms Rmn"/>
              </w:rPr>
              <w:t> </w:t>
            </w:r>
            <w:r w:rsidRPr="00B93493">
              <w:t>000 inhabitants</w:t>
            </w:r>
          </w:p>
        </w:tc>
        <w:tc>
          <w:tcPr>
            <w:tcW w:w="1134" w:type="dxa"/>
          </w:tcPr>
          <w:p w14:paraId="46B81AA0" w14:textId="77777777" w:rsidR="00CF04BC" w:rsidRPr="00B93493" w:rsidRDefault="00CF04BC" w:rsidP="002E7F54">
            <w:pPr>
              <w:pStyle w:val="Tabletext"/>
              <w:jc w:val="center"/>
            </w:pPr>
            <w:r w:rsidRPr="00B93493">
              <w:t>32</w:t>
            </w:r>
          </w:p>
        </w:tc>
      </w:tr>
      <w:tr w:rsidR="00CF04BC" w:rsidRPr="00B93493" w14:paraId="44A5E5B3" w14:textId="77777777" w:rsidTr="002E7F54">
        <w:trPr>
          <w:cantSplit/>
          <w:jc w:val="center"/>
        </w:trPr>
        <w:tc>
          <w:tcPr>
            <w:tcW w:w="6237" w:type="dxa"/>
          </w:tcPr>
          <w:p w14:paraId="47C25978" w14:textId="77777777" w:rsidR="00CF04BC" w:rsidRPr="00B93493" w:rsidRDefault="00CF04BC" w:rsidP="002E7F54">
            <w:pPr>
              <w:pStyle w:val="Tabletext"/>
            </w:pPr>
            <w:r w:rsidRPr="00B93493">
              <w:t>With a population of 100</w:t>
            </w:r>
            <w:r w:rsidRPr="00B93493">
              <w:rPr>
                <w:rFonts w:ascii="Tms Rmn" w:hAnsi="Tms Rmn"/>
              </w:rPr>
              <w:t> </w:t>
            </w:r>
            <w:r w:rsidRPr="00B93493">
              <w:t>000 to 500</w:t>
            </w:r>
            <w:r w:rsidRPr="00B93493">
              <w:rPr>
                <w:rFonts w:ascii="Tms Rmn" w:hAnsi="Tms Rmn"/>
              </w:rPr>
              <w:t> </w:t>
            </w:r>
            <w:r w:rsidRPr="00B93493">
              <w:t>000 inhabitants</w:t>
            </w:r>
          </w:p>
        </w:tc>
        <w:tc>
          <w:tcPr>
            <w:tcW w:w="1134" w:type="dxa"/>
          </w:tcPr>
          <w:p w14:paraId="05EF33E1" w14:textId="77777777" w:rsidR="00CF04BC" w:rsidRPr="00B93493" w:rsidRDefault="00CF04BC" w:rsidP="002E7F54">
            <w:pPr>
              <w:pStyle w:val="Tabletext"/>
              <w:jc w:val="center"/>
            </w:pPr>
            <w:r w:rsidRPr="00B93493">
              <w:t>64</w:t>
            </w:r>
          </w:p>
        </w:tc>
      </w:tr>
      <w:tr w:rsidR="00CF04BC" w:rsidRPr="00B93493" w14:paraId="63329CCF" w14:textId="77777777" w:rsidTr="002E7F54">
        <w:trPr>
          <w:cantSplit/>
          <w:jc w:val="center"/>
        </w:trPr>
        <w:tc>
          <w:tcPr>
            <w:tcW w:w="6237" w:type="dxa"/>
          </w:tcPr>
          <w:p w14:paraId="2B69EF40" w14:textId="77777777" w:rsidR="00CF04BC" w:rsidRPr="00B93493" w:rsidRDefault="00CF04BC" w:rsidP="002E7F54">
            <w:pPr>
              <w:pStyle w:val="Tabletext"/>
            </w:pPr>
            <w:r w:rsidRPr="00B93493">
              <w:t>With a population over 500</w:t>
            </w:r>
            <w:r w:rsidRPr="00B93493">
              <w:rPr>
                <w:rFonts w:ascii="Tms Rmn" w:hAnsi="Tms Rmn"/>
              </w:rPr>
              <w:t> </w:t>
            </w:r>
            <w:r w:rsidRPr="00B93493">
              <w:t>000 inhabitants</w:t>
            </w:r>
          </w:p>
        </w:tc>
        <w:tc>
          <w:tcPr>
            <w:tcW w:w="1134" w:type="dxa"/>
          </w:tcPr>
          <w:p w14:paraId="1A0C4152" w14:textId="77777777" w:rsidR="00CF04BC" w:rsidRPr="00B93493" w:rsidRDefault="00CF04BC" w:rsidP="002E7F54">
            <w:pPr>
              <w:pStyle w:val="Tabletext"/>
              <w:jc w:val="center"/>
            </w:pPr>
            <w:r w:rsidRPr="00B93493">
              <w:t>128</w:t>
            </w:r>
          </w:p>
        </w:tc>
      </w:tr>
    </w:tbl>
    <w:p w14:paraId="27B6AFFB" w14:textId="77777777" w:rsidR="00CF04BC" w:rsidRPr="00B93493" w:rsidRDefault="00CF04BC" w:rsidP="00CF04BC">
      <w:pPr>
        <w:pStyle w:val="Tablefin"/>
      </w:pPr>
    </w:p>
    <w:p w14:paraId="2689F08D" w14:textId="77777777" w:rsidR="00CF04BC" w:rsidRPr="00B93493" w:rsidRDefault="00CF04BC" w:rsidP="00CF04BC">
      <w:r w:rsidRPr="00B93493">
        <w:t xml:space="preserve">The population density coefficient permits a fair annual payment for users. Then, if the coordination area of </w:t>
      </w:r>
      <w:r w:rsidRPr="00B93493">
        <w:rPr>
          <w:i/>
          <w:iCs/>
        </w:rPr>
        <w:t>i</w:t>
      </w:r>
      <w:r w:rsidRPr="00B93493">
        <w:noBreakHyphen/>
        <w:t xml:space="preserve">th frequency assignment covers, </w:t>
      </w:r>
      <w:r w:rsidRPr="00B93493">
        <w:rPr>
          <w:i/>
          <w:iCs/>
        </w:rPr>
        <w:t>q</w:t>
      </w:r>
      <w:r w:rsidRPr="00B93493">
        <w:t>, sites in different territories, the area is determined as follows:</w:t>
      </w:r>
    </w:p>
    <w:p w14:paraId="14DE05D3" w14:textId="77777777" w:rsidR="00CF04BC" w:rsidRPr="00B93493" w:rsidRDefault="00CF04BC" w:rsidP="00CF04BC">
      <w:pPr>
        <w:pStyle w:val="Blanc"/>
      </w:pPr>
    </w:p>
    <w:p w14:paraId="249236C3" w14:textId="77777777" w:rsidR="00CF04BC" w:rsidRPr="00B93493" w:rsidRDefault="00CF04BC" w:rsidP="00CF04BC">
      <w:pPr>
        <w:pStyle w:val="Equation"/>
      </w:pPr>
      <w:r w:rsidRPr="00B93493">
        <w:tab/>
      </w:r>
      <w:r w:rsidRPr="00B93493">
        <w:tab/>
      </w:r>
      <w:r w:rsidRPr="00B93493">
        <w:rPr>
          <w:position w:val="-36"/>
          <w:sz w:val="20"/>
        </w:rPr>
        <w:object w:dxaOrig="1457" w:dyaOrig="832" w14:anchorId="3A444B53">
          <v:shape id="_x0000_i1092" type="#_x0000_t75" style="width:75.45pt;height:38.6pt" o:ole="">
            <v:imagedata r:id="rId171" o:title=""/>
          </v:shape>
          <o:OLEObject Type="Embed" ProgID="Equation.3" ShapeID="_x0000_i1092" DrawAspect="Content" ObjectID="_1812968374" r:id="rId172"/>
        </w:object>
      </w:r>
      <w:r w:rsidRPr="00B93493">
        <w:t>               km</w:t>
      </w:r>
      <w:r w:rsidRPr="00B93493">
        <w:rPr>
          <w:position w:val="6"/>
          <w:sz w:val="18"/>
        </w:rPr>
        <w:t>2</w:t>
      </w:r>
      <w:r w:rsidRPr="00B93493">
        <w:tab/>
        <w:t>(60)</w:t>
      </w:r>
    </w:p>
    <w:p w14:paraId="184B98C8" w14:textId="77777777" w:rsidR="00CF04BC" w:rsidRPr="00B93493" w:rsidRDefault="00CF04BC" w:rsidP="00CF04BC">
      <w:pPr>
        <w:pStyle w:val="Blanc"/>
      </w:pPr>
    </w:p>
    <w:p w14:paraId="2730DE24" w14:textId="77777777" w:rsidR="00CF04BC" w:rsidRPr="00B93493" w:rsidRDefault="00CF04BC" w:rsidP="00CF04BC">
      <w:r w:rsidRPr="00B93493">
        <w:t>where:</w:t>
      </w:r>
    </w:p>
    <w:p w14:paraId="18C6C85F" w14:textId="77777777" w:rsidR="00CF04BC" w:rsidRPr="00B93493" w:rsidRDefault="00CF04BC" w:rsidP="00CF04BC">
      <w:pPr>
        <w:pStyle w:val="Equationlegend"/>
      </w:pPr>
      <w:r w:rsidRPr="00B93493">
        <w:tab/>
      </w:r>
      <w:r w:rsidRPr="00B93493">
        <w:rPr>
          <w:i/>
          <w:iCs/>
        </w:rPr>
        <w:t>S</w:t>
      </w:r>
      <w:r w:rsidRPr="00B93493">
        <w:rPr>
          <w:i/>
          <w:iCs/>
          <w:vertAlign w:val="subscript"/>
        </w:rPr>
        <w:t>i</w:t>
      </w:r>
      <w:r w:rsidRPr="00B93493">
        <w:rPr>
          <w:sz w:val="12"/>
        </w:rPr>
        <w:t> </w:t>
      </w:r>
      <w:r w:rsidRPr="00B93493">
        <w:t>:</w:t>
      </w:r>
      <w:r w:rsidRPr="00B93493">
        <w:tab/>
        <w:t xml:space="preserve">area of the territory used by the </w:t>
      </w:r>
      <w:r w:rsidRPr="00B93493">
        <w:rPr>
          <w:i/>
          <w:iCs/>
        </w:rPr>
        <w:t>i</w:t>
      </w:r>
      <w:r w:rsidRPr="00B93493">
        <w:t>-th frequency assignment;</w:t>
      </w:r>
    </w:p>
    <w:p w14:paraId="1D01AE52" w14:textId="77777777" w:rsidR="00CF04BC" w:rsidRPr="00B93493" w:rsidRDefault="00CF04BC" w:rsidP="00CF04BC">
      <w:pPr>
        <w:pStyle w:val="Equationlegend"/>
      </w:pPr>
      <w:r w:rsidRPr="00B93493">
        <w:tab/>
      </w:r>
      <w:r w:rsidRPr="00B93493">
        <w:rPr>
          <w:i/>
          <w:iCs/>
        </w:rPr>
        <w:t>q</w:t>
      </w:r>
      <w:r w:rsidRPr="00B93493">
        <w:rPr>
          <w:sz w:val="12"/>
        </w:rPr>
        <w:t> </w:t>
      </w:r>
      <w:r w:rsidRPr="00B93493">
        <w:t>:</w:t>
      </w:r>
      <w:r w:rsidRPr="00B93493">
        <w:tab/>
        <w:t xml:space="preserve">overall number of territories covered by coordination area of </w:t>
      </w:r>
      <w:r w:rsidRPr="00B93493">
        <w:rPr>
          <w:i/>
          <w:iCs/>
        </w:rPr>
        <w:t>i</w:t>
      </w:r>
      <w:r w:rsidRPr="00B93493">
        <w:t>-th frequency assignment (</w:t>
      </w:r>
      <w:r w:rsidRPr="00B93493">
        <w:rPr>
          <w:i/>
          <w:iCs/>
        </w:rPr>
        <w:t>q</w:t>
      </w:r>
      <w:r w:rsidRPr="00B93493">
        <w:t> </w:t>
      </w:r>
      <w:r w:rsidRPr="00B93493">
        <w:sym w:font="Symbol" w:char="F0A3"/>
      </w:r>
      <w:r w:rsidRPr="00B93493">
        <w:t> </w:t>
      </w:r>
      <w:r w:rsidRPr="00B93493">
        <w:rPr>
          <w:i/>
          <w:iCs/>
        </w:rPr>
        <w:t>m</w:t>
      </w:r>
      <w:r w:rsidRPr="00B93493">
        <w:t>);</w:t>
      </w:r>
    </w:p>
    <w:p w14:paraId="6489300A" w14:textId="77777777" w:rsidR="00CF04BC" w:rsidRPr="00B93493" w:rsidRDefault="00CF04BC" w:rsidP="00CF04BC">
      <w:pPr>
        <w:pStyle w:val="Equationlegend"/>
      </w:pPr>
      <w:r w:rsidRPr="00B93493">
        <w:tab/>
      </w:r>
      <w:r w:rsidRPr="00B93493">
        <w:rPr>
          <w:i/>
          <w:iCs/>
        </w:rPr>
        <w:t>K</w:t>
      </w:r>
      <w:r w:rsidRPr="00B93493">
        <w:rPr>
          <w:i/>
          <w:iCs/>
          <w:vertAlign w:val="subscript"/>
        </w:rPr>
        <w:t>j</w:t>
      </w:r>
      <w:r w:rsidRPr="00B93493">
        <w:rPr>
          <w:sz w:val="12"/>
        </w:rPr>
        <w:t> </w:t>
      </w:r>
      <w:r w:rsidRPr="00B93493">
        <w:t>:</w:t>
      </w:r>
      <w:r w:rsidRPr="00B93493">
        <w:tab/>
        <w:t xml:space="preserve">population density coefficient in </w:t>
      </w:r>
      <w:r w:rsidRPr="00B93493">
        <w:rPr>
          <w:i/>
          <w:iCs/>
        </w:rPr>
        <w:t>j</w:t>
      </w:r>
      <w:r w:rsidRPr="00B93493">
        <w:t>-th territory (from Table 2</w:t>
      </w:r>
      <w:r>
        <w:rPr>
          <w:rFonts w:hint="eastAsia"/>
          <w:lang w:eastAsia="zh-CN"/>
        </w:rPr>
        <w:t>8</w:t>
      </w:r>
      <w:r w:rsidRPr="00B93493">
        <w:t>);</w:t>
      </w:r>
    </w:p>
    <w:p w14:paraId="7E04EEEF" w14:textId="77777777" w:rsidR="00CF04BC" w:rsidRPr="00B93493" w:rsidRDefault="00CF04BC" w:rsidP="00CF04BC">
      <w:pPr>
        <w:pStyle w:val="Equationlegend"/>
      </w:pPr>
      <w:r w:rsidRPr="00B93493">
        <w:tab/>
      </w:r>
      <w:r w:rsidRPr="00B93493">
        <w:sym w:font="Symbol" w:char="F06C"/>
      </w:r>
      <w:r w:rsidRPr="00B93493">
        <w:rPr>
          <w:i/>
          <w:iCs/>
          <w:vertAlign w:val="subscript"/>
        </w:rPr>
        <w:t>j</w:t>
      </w:r>
      <w:r w:rsidRPr="00B93493">
        <w:rPr>
          <w:sz w:val="12"/>
        </w:rPr>
        <w:t> </w:t>
      </w:r>
      <w:r w:rsidRPr="00B93493">
        <w:t>:</w:t>
      </w:r>
      <w:r w:rsidRPr="00B93493">
        <w:tab/>
        <w:t xml:space="preserve">area of coordination area site located in </w:t>
      </w:r>
      <w:r w:rsidRPr="00B93493">
        <w:rPr>
          <w:i/>
          <w:iCs/>
        </w:rPr>
        <w:t>j</w:t>
      </w:r>
      <w:r w:rsidRPr="00B93493">
        <w:t>-th territory.</w:t>
      </w:r>
    </w:p>
    <w:p w14:paraId="1E4F37F8" w14:textId="77777777" w:rsidR="00CF04BC" w:rsidRPr="00B93493" w:rsidRDefault="00CF04BC" w:rsidP="00CF04BC">
      <w:pPr>
        <w:pStyle w:val="enumlev1"/>
      </w:pPr>
      <w:r w:rsidRPr="00B93493">
        <w:t>c</w:t>
      </w:r>
      <w:r w:rsidRPr="00B93493">
        <w:rPr>
          <w:rFonts w:ascii="Arial" w:hAnsi="Arial"/>
        </w:rPr>
        <w:t>)</w:t>
      </w:r>
      <w:r w:rsidRPr="00B93493">
        <w:rPr>
          <w:rFonts w:ascii="Arial" w:hAnsi="Arial"/>
        </w:rPr>
        <w:tab/>
      </w:r>
      <w:r w:rsidRPr="00B93493">
        <w:t xml:space="preserve">For each </w:t>
      </w:r>
      <w:r w:rsidRPr="00B93493">
        <w:rPr>
          <w:i/>
          <w:iCs/>
        </w:rPr>
        <w:t>i</w:t>
      </w:r>
      <w:r w:rsidRPr="00B93493">
        <w:t xml:space="preserve">-th frequency assignment, frequency band </w:t>
      </w:r>
      <w:r w:rsidRPr="00B93493">
        <w:sym w:font="Symbol" w:char="F044"/>
      </w:r>
      <w:r w:rsidRPr="00B93493">
        <w:rPr>
          <w:i/>
          <w:iCs/>
        </w:rPr>
        <w:t>f</w:t>
      </w:r>
      <w:r w:rsidRPr="00B93493">
        <w:rPr>
          <w:i/>
          <w:iCs/>
          <w:vertAlign w:val="subscript"/>
        </w:rPr>
        <w:t>i</w:t>
      </w:r>
      <w:r w:rsidRPr="00B93493">
        <w:t xml:space="preserve"> is used. But different ranges are used by various radiocom</w:t>
      </w:r>
      <w:r w:rsidRPr="00B93493">
        <w:softHyphen/>
        <w:t xml:space="preserve">munication services. Therefore there is a number of the coefficients, which are necessary to take into account, as they influence are the price of the frequency band used. In the general case it is possible to determine the value of the used frequency band for </w:t>
      </w:r>
      <w:r w:rsidRPr="00B93493">
        <w:rPr>
          <w:i/>
          <w:iCs/>
        </w:rPr>
        <w:t>i</w:t>
      </w:r>
      <w:r w:rsidRPr="00B93493">
        <w:t>-th frequency assignment, as follows:</w:t>
      </w:r>
    </w:p>
    <w:p w14:paraId="6022E35C" w14:textId="77777777" w:rsidR="00CF04BC" w:rsidRPr="00B93493" w:rsidRDefault="00CF04BC" w:rsidP="00CF04BC">
      <w:pPr>
        <w:pStyle w:val="Blanc"/>
      </w:pPr>
    </w:p>
    <w:p w14:paraId="35791817" w14:textId="77777777" w:rsidR="00CF04BC" w:rsidRPr="00B93493" w:rsidRDefault="00CF04BC" w:rsidP="00CF04BC">
      <w:pPr>
        <w:pStyle w:val="Equation"/>
      </w:pPr>
      <w:r w:rsidRPr="00B93493">
        <w:tab/>
      </w:r>
      <w:r w:rsidRPr="00B93493">
        <w:tab/>
      </w:r>
      <w:r w:rsidRPr="00B93493">
        <w:rPr>
          <w:position w:val="-20"/>
        </w:rPr>
        <w:object w:dxaOrig="1706" w:dyaOrig="416" w14:anchorId="690A852B">
          <v:shape id="_x0000_i1093" type="#_x0000_t75" style="width:85.8pt;height:22.45pt" o:ole="">
            <v:imagedata r:id="rId173" o:title=""/>
          </v:shape>
          <o:OLEObject Type="Embed" ProgID="Equation.3" ShapeID="_x0000_i1093" DrawAspect="Content" ObjectID="_1812968375" r:id="rId174"/>
        </w:object>
      </w:r>
      <w:r w:rsidRPr="00B93493">
        <w:t>                    kHz</w:t>
      </w:r>
      <w:r w:rsidRPr="00B93493">
        <w:tab/>
        <w:t>(61)</w:t>
      </w:r>
    </w:p>
    <w:p w14:paraId="019DF1C4" w14:textId="77777777" w:rsidR="00CF04BC" w:rsidRPr="00B93493" w:rsidRDefault="00CF04BC" w:rsidP="00CF04BC">
      <w:pPr>
        <w:pStyle w:val="Blanc"/>
      </w:pPr>
    </w:p>
    <w:p w14:paraId="2350A3A7" w14:textId="77777777" w:rsidR="00CF04BC" w:rsidRPr="00B93493" w:rsidRDefault="00CF04BC" w:rsidP="00CF04BC">
      <w:r w:rsidRPr="00B93493">
        <w:t>where:</w:t>
      </w:r>
    </w:p>
    <w:p w14:paraId="67A30107" w14:textId="77777777" w:rsidR="00CF04BC" w:rsidRPr="00B93493" w:rsidRDefault="00CF04BC" w:rsidP="00CF04BC">
      <w:pPr>
        <w:pStyle w:val="Equationlegend"/>
      </w:pPr>
      <w:r w:rsidRPr="00B93493">
        <w:tab/>
      </w:r>
      <w:r w:rsidRPr="00B93493">
        <w:rPr>
          <w:i/>
          <w:iCs/>
        </w:rPr>
        <w:t>F</w:t>
      </w:r>
      <w:r w:rsidRPr="00B93493">
        <w:rPr>
          <w:i/>
          <w:iCs/>
          <w:vertAlign w:val="subscript"/>
        </w:rPr>
        <w:t>i</w:t>
      </w:r>
      <w:r w:rsidRPr="00B93493">
        <w:rPr>
          <w:sz w:val="12"/>
        </w:rPr>
        <w:t> </w:t>
      </w:r>
      <w:r w:rsidRPr="00B93493">
        <w:t>:</w:t>
      </w:r>
      <w:r w:rsidRPr="00B93493">
        <w:tab/>
        <w:t xml:space="preserve">theoretical frequency band used by </w:t>
      </w:r>
      <w:r w:rsidRPr="00B93493">
        <w:rPr>
          <w:i/>
          <w:iCs/>
        </w:rPr>
        <w:t>i</w:t>
      </w:r>
      <w:r w:rsidRPr="00B93493">
        <w:t>-th frequency assignment</w:t>
      </w:r>
    </w:p>
    <w:p w14:paraId="736B5A32" w14:textId="77777777" w:rsidR="00CF04BC" w:rsidRPr="00B93493" w:rsidRDefault="00CF04BC" w:rsidP="00CF04BC">
      <w:pPr>
        <w:pStyle w:val="Equationlegend"/>
      </w:pPr>
      <w:r w:rsidRPr="00B93493">
        <w:tab/>
      </w:r>
      <w:r w:rsidRPr="00B93493">
        <w:sym w:font="Symbol" w:char="F044"/>
      </w:r>
      <w:r w:rsidRPr="00B93493">
        <w:rPr>
          <w:i/>
          <w:iCs/>
        </w:rPr>
        <w:t>f</w:t>
      </w:r>
      <w:r w:rsidRPr="00B93493">
        <w:rPr>
          <w:i/>
          <w:iCs/>
          <w:vertAlign w:val="subscript"/>
        </w:rPr>
        <w:t>i</w:t>
      </w:r>
      <w:r w:rsidRPr="00B93493">
        <w:rPr>
          <w:sz w:val="12"/>
        </w:rPr>
        <w:t> </w:t>
      </w:r>
      <w:r w:rsidRPr="00B93493">
        <w:t>:</w:t>
      </w:r>
      <w:r w:rsidRPr="00B93493">
        <w:tab/>
        <w:t xml:space="preserve">actual frequency band used by </w:t>
      </w:r>
      <w:r w:rsidRPr="00B93493">
        <w:rPr>
          <w:i/>
          <w:iCs/>
        </w:rPr>
        <w:t>i</w:t>
      </w:r>
      <w:r w:rsidRPr="00B93493">
        <w:t>-th frequency assignment</w:t>
      </w:r>
    </w:p>
    <w:p w14:paraId="787020DA" w14:textId="77777777" w:rsidR="00CF04BC" w:rsidRPr="00B93493" w:rsidRDefault="00CF04BC" w:rsidP="00CF04BC">
      <w:pPr>
        <w:pStyle w:val="Equationlegend"/>
      </w:pPr>
      <w:r w:rsidRPr="00B93493">
        <w:tab/>
      </w:r>
      <w:r w:rsidRPr="00B93493">
        <w:sym w:font="Symbol" w:char="F061"/>
      </w:r>
      <w:r w:rsidRPr="00B93493">
        <w:rPr>
          <w:i/>
          <w:iCs/>
          <w:vertAlign w:val="subscript"/>
        </w:rPr>
        <w:t>i</w:t>
      </w:r>
      <w:r w:rsidRPr="00B93493">
        <w:rPr>
          <w:sz w:val="12"/>
        </w:rPr>
        <w:t> </w:t>
      </w:r>
      <w:r w:rsidRPr="00B93493">
        <w:t>:</w:t>
      </w:r>
      <w:r w:rsidRPr="00B93493">
        <w:tab/>
        <w:t>coefficient which takes into account a number of the factors, given below in equation (62)</w:t>
      </w:r>
    </w:p>
    <w:p w14:paraId="00A95298" w14:textId="77777777" w:rsidR="00CF04BC" w:rsidRPr="00B93493" w:rsidRDefault="00CF04BC" w:rsidP="00CF04BC">
      <w:pPr>
        <w:pStyle w:val="Equationlegend"/>
      </w:pPr>
      <w:r w:rsidRPr="00B93493">
        <w:tab/>
      </w:r>
      <w:r w:rsidRPr="00B93493">
        <w:sym w:font="Symbol" w:char="F062"/>
      </w:r>
      <w:r w:rsidRPr="00B93493">
        <w:rPr>
          <w:i/>
          <w:iCs/>
          <w:vertAlign w:val="subscript"/>
        </w:rPr>
        <w:t>i</w:t>
      </w:r>
      <w:r w:rsidRPr="00B93493">
        <w:rPr>
          <w:sz w:val="12"/>
        </w:rPr>
        <w:t> </w:t>
      </w:r>
      <w:r w:rsidRPr="00B93493">
        <w:t>:</w:t>
      </w:r>
      <w:r w:rsidRPr="00B93493">
        <w:tab/>
        <w:t xml:space="preserve">coefficient which determines exclusiveness of use. If the given site of the spectrum is used on an exclusive basis then </w:t>
      </w:r>
      <w:r w:rsidRPr="00B93493">
        <w:sym w:font="Symbol" w:char="F062"/>
      </w:r>
      <w:r w:rsidRPr="00B93493">
        <w:rPr>
          <w:i/>
          <w:iCs/>
          <w:vertAlign w:val="subscript"/>
        </w:rPr>
        <w:t>i</w:t>
      </w:r>
      <w:r w:rsidRPr="00B93493">
        <w:t xml:space="preserve"> = 1. With sharing </w:t>
      </w:r>
      <w:r w:rsidRPr="00B93493">
        <w:sym w:font="Symbol" w:char="F062"/>
      </w:r>
      <w:r w:rsidRPr="00B93493">
        <w:t xml:space="preserve"> varies within the limits of 0 &lt; </w:t>
      </w:r>
      <w:r w:rsidRPr="00B93493">
        <w:sym w:font="Symbol" w:char="F062"/>
      </w:r>
      <w:r w:rsidRPr="00B93493">
        <w:rPr>
          <w:i/>
          <w:iCs/>
          <w:vertAlign w:val="subscript"/>
        </w:rPr>
        <w:t>i</w:t>
      </w:r>
      <w:r w:rsidRPr="00B93493">
        <w:t> &lt; 1 depending on conditions of sharing.</w:t>
      </w:r>
    </w:p>
    <w:p w14:paraId="7AD24D62" w14:textId="77777777" w:rsidR="00CF04BC" w:rsidRPr="00B93493" w:rsidRDefault="00CF04BC" w:rsidP="00CF04BC">
      <w:r w:rsidRPr="00B93493">
        <w:t xml:space="preserve">It is possible to examine the coefficient </w:t>
      </w:r>
      <w:r w:rsidRPr="00B93493">
        <w:sym w:font="Symbol" w:char="F061"/>
      </w:r>
      <w:r w:rsidRPr="00B93493">
        <w:rPr>
          <w:i/>
          <w:iCs/>
          <w:vertAlign w:val="subscript"/>
        </w:rPr>
        <w:t>i</w:t>
      </w:r>
      <w:r w:rsidRPr="00B93493">
        <w:t xml:space="preserve"> in more detail. A number of factors influence the value of </w:t>
      </w:r>
      <w:r w:rsidRPr="00B93493">
        <w:rPr>
          <w:rFonts w:ascii="Symbol" w:hAnsi="Symbol"/>
        </w:rPr>
        <w:t></w:t>
      </w:r>
      <w:r w:rsidRPr="00B93493">
        <w:rPr>
          <w:i/>
          <w:iCs/>
          <w:vertAlign w:val="subscript"/>
        </w:rPr>
        <w:t>i</w:t>
      </w:r>
      <w:r w:rsidRPr="00B93493">
        <w:t xml:space="preserve"> factor and it can be presented as product:</w:t>
      </w:r>
    </w:p>
    <w:p w14:paraId="70EFA355" w14:textId="77777777" w:rsidR="00CF04BC" w:rsidRPr="00B93493" w:rsidRDefault="00CF04BC" w:rsidP="00CF04BC">
      <w:pPr>
        <w:pStyle w:val="Equation"/>
      </w:pPr>
      <w:r w:rsidRPr="00B93493">
        <w:tab/>
      </w:r>
      <w:r w:rsidRPr="00B93493">
        <w:tab/>
      </w:r>
      <w:r w:rsidRPr="00B93493">
        <w:rPr>
          <w:position w:val="-12"/>
        </w:rPr>
        <w:object w:dxaOrig="2031" w:dyaOrig="366" w14:anchorId="53A3B08A">
          <v:shape id="_x0000_i1094" type="#_x0000_t75" style="width:101.4pt;height:20.15pt" o:ole="">
            <v:imagedata r:id="rId175" o:title=""/>
          </v:shape>
          <o:OLEObject Type="Embed" ProgID="Equation.3" ShapeID="_x0000_i1094" DrawAspect="Content" ObjectID="_1812968376" r:id="rId176"/>
        </w:object>
      </w:r>
      <w:r w:rsidRPr="00B93493">
        <w:tab/>
        <w:t>(62)</w:t>
      </w:r>
    </w:p>
    <w:p w14:paraId="3459ED7D" w14:textId="77777777" w:rsidR="00CF04BC" w:rsidRPr="00B93493" w:rsidRDefault="00CF04BC" w:rsidP="00CF04BC">
      <w:r w:rsidRPr="00B93493">
        <w:t>where:</w:t>
      </w:r>
    </w:p>
    <w:p w14:paraId="78F8A6C1" w14:textId="77777777" w:rsidR="00CF04BC" w:rsidRPr="00B93493" w:rsidRDefault="00CF04BC" w:rsidP="00CF04BC">
      <w:pPr>
        <w:pStyle w:val="Equationlegend"/>
      </w:pPr>
      <w:r w:rsidRPr="00B93493">
        <w:tab/>
      </w:r>
      <w:r w:rsidRPr="00B93493">
        <w:sym w:font="Symbol" w:char="F061"/>
      </w:r>
      <w:r w:rsidRPr="00B93493">
        <w:rPr>
          <w:i/>
          <w:iCs/>
          <w:vertAlign w:val="subscript"/>
        </w:rPr>
        <w:t>i</w:t>
      </w:r>
      <w:r w:rsidRPr="00B93493">
        <w:rPr>
          <w:sz w:val="12"/>
        </w:rPr>
        <w:t> </w:t>
      </w:r>
      <w:r w:rsidRPr="00B93493">
        <w:t>:</w:t>
      </w:r>
      <w:r w:rsidRPr="00B93493">
        <w:tab/>
        <w:t>general coefficient taking into account the various factors of spectrum use</w:t>
      </w:r>
    </w:p>
    <w:p w14:paraId="76222BDA" w14:textId="77777777" w:rsidR="00CF04BC" w:rsidRPr="00B93493" w:rsidRDefault="00CF04BC" w:rsidP="00CF04BC">
      <w:pPr>
        <w:pStyle w:val="Equationlegend"/>
      </w:pPr>
      <w:r w:rsidRPr="00B93493">
        <w:rPr>
          <w:sz w:val="28"/>
        </w:rPr>
        <w:tab/>
      </w:r>
      <w:r w:rsidRPr="00B93493">
        <w:sym w:font="Symbol" w:char="F061"/>
      </w:r>
      <w:r w:rsidRPr="00B93493">
        <w:rPr>
          <w:vertAlign w:val="subscript"/>
        </w:rPr>
        <w:t>1</w:t>
      </w:r>
      <w:r w:rsidRPr="00B93493">
        <w:rPr>
          <w:sz w:val="12"/>
        </w:rPr>
        <w:t> </w:t>
      </w:r>
      <w:r w:rsidRPr="00B93493">
        <w:t>:</w:t>
      </w:r>
      <w:r w:rsidRPr="00B93493">
        <w:tab/>
        <w:t>commercial value of the spectrum range used</w:t>
      </w:r>
    </w:p>
    <w:p w14:paraId="17F94036" w14:textId="77777777" w:rsidR="00CF04BC" w:rsidRPr="00B93493" w:rsidRDefault="00CF04BC" w:rsidP="00CF04BC">
      <w:pPr>
        <w:pStyle w:val="Equationlegend"/>
      </w:pPr>
      <w:r w:rsidRPr="00B93493">
        <w:rPr>
          <w:sz w:val="28"/>
        </w:rPr>
        <w:tab/>
      </w:r>
      <w:r w:rsidRPr="00B93493">
        <w:sym w:font="Symbol" w:char="F061"/>
      </w:r>
      <w:r w:rsidRPr="00B93493">
        <w:rPr>
          <w:vertAlign w:val="subscript"/>
        </w:rPr>
        <w:t>2</w:t>
      </w:r>
      <w:r w:rsidRPr="00B93493">
        <w:rPr>
          <w:sz w:val="12"/>
        </w:rPr>
        <w:t> </w:t>
      </w:r>
      <w:r w:rsidRPr="00B93493">
        <w:t>:</w:t>
      </w:r>
      <w:r w:rsidRPr="00B93493">
        <w:tab/>
        <w:t>social factor</w:t>
      </w:r>
    </w:p>
    <w:p w14:paraId="50210E64" w14:textId="77777777" w:rsidR="00CF04BC" w:rsidRPr="00B93493" w:rsidRDefault="00CF04BC" w:rsidP="00CF04BC">
      <w:pPr>
        <w:pStyle w:val="Equationlegend"/>
      </w:pPr>
      <w:r w:rsidRPr="00B93493">
        <w:rPr>
          <w:sz w:val="28"/>
        </w:rPr>
        <w:tab/>
      </w:r>
      <w:r w:rsidRPr="00B93493">
        <w:sym w:font="Symbol" w:char="F061"/>
      </w:r>
      <w:r w:rsidRPr="00B93493">
        <w:rPr>
          <w:vertAlign w:val="subscript"/>
        </w:rPr>
        <w:t>3</w:t>
      </w:r>
      <w:r w:rsidRPr="00B93493">
        <w:rPr>
          <w:sz w:val="12"/>
        </w:rPr>
        <w:t> </w:t>
      </w:r>
      <w:r w:rsidRPr="00B93493">
        <w:t>:</w:t>
      </w:r>
      <w:r w:rsidRPr="00B93493">
        <w:tab/>
        <w:t>takes into account features of transmitter location</w:t>
      </w:r>
    </w:p>
    <w:p w14:paraId="1F31E3B4" w14:textId="77777777" w:rsidR="00CF04BC" w:rsidRPr="00B93493" w:rsidRDefault="00CF04BC" w:rsidP="00CF04BC">
      <w:pPr>
        <w:pStyle w:val="Equationlegend"/>
      </w:pPr>
      <w:r w:rsidRPr="00B93493">
        <w:rPr>
          <w:sz w:val="28"/>
        </w:rPr>
        <w:tab/>
      </w:r>
      <w:r w:rsidRPr="00B93493">
        <w:sym w:font="Symbol" w:char="F061"/>
      </w:r>
      <w:r w:rsidRPr="00B93493">
        <w:rPr>
          <w:vertAlign w:val="subscript"/>
        </w:rPr>
        <w:t>4</w:t>
      </w:r>
      <w:r w:rsidRPr="00B93493">
        <w:rPr>
          <w:sz w:val="12"/>
        </w:rPr>
        <w:t> </w:t>
      </w:r>
      <w:r w:rsidRPr="00B93493">
        <w:t>:</w:t>
      </w:r>
      <w:r w:rsidRPr="00B93493">
        <w:tab/>
        <w:t>takes into account the complexity of spectrum management functions.</w:t>
      </w:r>
    </w:p>
    <w:p w14:paraId="57F92DE8" w14:textId="77777777" w:rsidR="00CF04BC" w:rsidRPr="00B93493" w:rsidRDefault="00CF04BC" w:rsidP="00CF04BC">
      <w:r w:rsidRPr="00B93493">
        <w:t xml:space="preserve">The values of coefficients </w:t>
      </w:r>
      <w:r w:rsidRPr="00B93493">
        <w:sym w:font="Symbol" w:char="F061"/>
      </w:r>
      <w:r w:rsidRPr="00B93493">
        <w:rPr>
          <w:vertAlign w:val="subscript"/>
        </w:rPr>
        <w:t>1</w:t>
      </w:r>
      <w:r w:rsidRPr="00B93493">
        <w:t xml:space="preserve">, </w:t>
      </w:r>
      <w:r w:rsidRPr="00B93493">
        <w:sym w:font="Symbol" w:char="F061"/>
      </w:r>
      <w:r w:rsidRPr="00B93493">
        <w:rPr>
          <w:vertAlign w:val="subscript"/>
        </w:rPr>
        <w:t>2</w:t>
      </w:r>
      <w:r w:rsidRPr="00B93493">
        <w:t xml:space="preserve">, </w:t>
      </w:r>
      <w:r w:rsidRPr="00B93493">
        <w:sym w:font="Symbol" w:char="F061"/>
      </w:r>
      <w:r w:rsidRPr="00B93493">
        <w:rPr>
          <w:vertAlign w:val="subscript"/>
        </w:rPr>
        <w:t>3</w:t>
      </w:r>
      <w:r w:rsidRPr="00B93493">
        <w:t xml:space="preserve"> and </w:t>
      </w:r>
      <w:r w:rsidRPr="00B93493">
        <w:sym w:font="Symbol" w:char="F061"/>
      </w:r>
      <w:r w:rsidRPr="00B93493">
        <w:rPr>
          <w:vertAlign w:val="subscript"/>
        </w:rPr>
        <w:t>4</w:t>
      </w:r>
      <w:r w:rsidRPr="00B93493">
        <w:t> are given in Table 2</w:t>
      </w:r>
      <w:r>
        <w:rPr>
          <w:rFonts w:hint="eastAsia"/>
          <w:lang w:eastAsia="zh-CN"/>
        </w:rPr>
        <w:t>9</w:t>
      </w:r>
      <w:r w:rsidRPr="00B93493">
        <w:t>.</w:t>
      </w:r>
    </w:p>
    <w:p w14:paraId="0D62FBFE" w14:textId="77777777" w:rsidR="00CF04BC" w:rsidRPr="00B93493" w:rsidRDefault="00CF04BC" w:rsidP="00CF04BC">
      <w:r w:rsidRPr="00B93493">
        <w:t xml:space="preserve">Coefficient </w:t>
      </w:r>
      <w:r w:rsidRPr="00B93493">
        <w:sym w:font="Symbol" w:char="F061"/>
      </w:r>
      <w:r w:rsidRPr="00B93493">
        <w:rPr>
          <w:position w:val="-4"/>
          <w:sz w:val="16"/>
        </w:rPr>
        <w:t>1</w:t>
      </w:r>
      <w:r w:rsidRPr="00B93493">
        <w:t xml:space="preserve"> varies in limits from 0 up to 100 and, basically, is determined by two factors:</w:t>
      </w:r>
    </w:p>
    <w:p w14:paraId="296A0987" w14:textId="77777777" w:rsidR="00CF04BC" w:rsidRPr="00B93493" w:rsidRDefault="00CF04BC" w:rsidP="00CF04BC">
      <w:pPr>
        <w:pStyle w:val="enumlev1"/>
      </w:pPr>
      <w:r w:rsidRPr="00B93493">
        <w:t>–</w:t>
      </w:r>
      <w:r w:rsidRPr="00B93493">
        <w:tab/>
        <w:t>the commercial value of radio services; this factor increases with value;</w:t>
      </w:r>
    </w:p>
    <w:p w14:paraId="63FC5A1B" w14:textId="77777777" w:rsidR="00CF04BC" w:rsidRPr="00B93493" w:rsidRDefault="00CF04BC" w:rsidP="00CF04BC">
      <w:pPr>
        <w:pStyle w:val="enumlev1"/>
      </w:pPr>
      <w:r w:rsidRPr="00B93493">
        <w:t>–</w:t>
      </w:r>
      <w:r w:rsidRPr="00B93493">
        <w:tab/>
        <w:t xml:space="preserve">many radio services may be moved to higher frequencies as experience is gained, thus, decreasing the loading of lower frequency bands. This is the economic level which encourages use of higher bands. For example, for the purposes of encouraging transition of stations at frequencies below 1 GHz to frequencies above 1 GHz, the value of the coefficient </w:t>
      </w:r>
      <w:r w:rsidRPr="00B93493">
        <w:sym w:font="Symbol" w:char="F061"/>
      </w:r>
      <w:r w:rsidRPr="00B93493">
        <w:rPr>
          <w:vertAlign w:val="subscript"/>
        </w:rPr>
        <w:t>1</w:t>
      </w:r>
      <w:r w:rsidRPr="00B93493">
        <w:t xml:space="preserve"> in the range above 1 GHz is less than the value used for stations below 1 GHz. Currently frequencies below 1 GHz are used by several radio services at the same site and hence there is also a question of their electromagnetic compatibility. The range above 1 GHz is poorly mastered in the Republic, but at the same time in the world the newest technologies are used which, allow effective use of the spectrum.</w:t>
      </w:r>
    </w:p>
    <w:p w14:paraId="6319A462" w14:textId="77777777" w:rsidR="00CF04BC" w:rsidRPr="00B93493" w:rsidRDefault="00CF04BC" w:rsidP="00CF04BC">
      <w:r w:rsidRPr="00B93493">
        <w:t xml:space="preserve">Coefficient </w:t>
      </w:r>
      <w:r w:rsidRPr="00B93493">
        <w:sym w:font="Symbol" w:char="F061"/>
      </w:r>
      <w:r w:rsidRPr="00B93493">
        <w:rPr>
          <w:vertAlign w:val="subscript"/>
        </w:rPr>
        <w:t>2</w:t>
      </w:r>
      <w:r w:rsidRPr="00B93493">
        <w:t xml:space="preserve"> varies in limits from 0 up to 10 and takes into account a social factor. For those radio services whose existence is vital for all sections of the population, including the most needy, this coefficient has a low value. For example, for stations above 1 GHz in which long-distance communications are organized, as well as for television broadcasting, the coefficient </w:t>
      </w:r>
      <w:r w:rsidRPr="00B93493">
        <w:sym w:font="Symbol" w:char="F061"/>
      </w:r>
      <w:r w:rsidRPr="00B93493">
        <w:rPr>
          <w:vertAlign w:val="subscript"/>
        </w:rPr>
        <w:t>2</w:t>
      </w:r>
      <w:r w:rsidRPr="00B93493">
        <w:rPr>
          <w:position w:val="-4"/>
          <w:sz w:val="16"/>
        </w:rPr>
        <w:t xml:space="preserve"> </w:t>
      </w:r>
      <w:r w:rsidRPr="00B93493">
        <w:t xml:space="preserve">has a low value. However, for cellular communication, coefficient </w:t>
      </w:r>
      <w:r w:rsidRPr="00B93493">
        <w:sym w:font="Symbol" w:char="F061"/>
      </w:r>
      <w:r w:rsidRPr="00B93493">
        <w:rPr>
          <w:position w:val="-4"/>
          <w:sz w:val="16"/>
        </w:rPr>
        <w:t>2</w:t>
      </w:r>
      <w:r w:rsidRPr="00B93493">
        <w:t xml:space="preserve"> has a higher value.</w:t>
      </w:r>
    </w:p>
    <w:p w14:paraId="69C436FD" w14:textId="77777777" w:rsidR="00CF04BC" w:rsidRPr="00B93493" w:rsidRDefault="00CF04BC" w:rsidP="00C0502F">
      <w:pPr>
        <w:pStyle w:val="TableNo"/>
        <w:keepLines/>
        <w:rPr>
          <w:lang w:eastAsia="zh-CN"/>
        </w:rPr>
      </w:pPr>
      <w:r w:rsidRPr="00B93493">
        <w:t>TABLE 2</w:t>
      </w:r>
      <w:r>
        <w:rPr>
          <w:rFonts w:hint="eastAsia"/>
          <w:lang w:eastAsia="zh-CN"/>
        </w:rPr>
        <w:t>9</w:t>
      </w:r>
    </w:p>
    <w:p w14:paraId="277E7DA0" w14:textId="77777777" w:rsidR="00CF04BC" w:rsidRPr="00B93493" w:rsidRDefault="00CF04BC" w:rsidP="00C0502F">
      <w:pPr>
        <w:pStyle w:val="Tabletitle"/>
        <w:keepLines/>
        <w:rPr>
          <w:vertAlign w:val="subscript"/>
        </w:rPr>
      </w:pPr>
      <w:r w:rsidRPr="00B93493">
        <w:t xml:space="preserve">Values of coefficients </w:t>
      </w:r>
      <w:r w:rsidRPr="00B93493">
        <w:sym w:font="Symbol" w:char="F061"/>
      </w:r>
      <w:r w:rsidRPr="00B93493">
        <w:rPr>
          <w:vertAlign w:val="subscript"/>
        </w:rPr>
        <w:t>1</w:t>
      </w:r>
      <w:r w:rsidRPr="00B93493">
        <w:t xml:space="preserve">, </w:t>
      </w:r>
      <w:r w:rsidRPr="00B93493">
        <w:sym w:font="Symbol" w:char="F061"/>
      </w:r>
      <w:r w:rsidRPr="00B93493">
        <w:rPr>
          <w:vertAlign w:val="subscript"/>
        </w:rPr>
        <w:t>2</w:t>
      </w:r>
      <w:r w:rsidRPr="00B93493">
        <w:t xml:space="preserve">, </w:t>
      </w:r>
      <w:r w:rsidRPr="00B93493">
        <w:sym w:font="Symbol" w:char="F061"/>
      </w:r>
      <w:r w:rsidRPr="00B93493">
        <w:rPr>
          <w:vertAlign w:val="subscript"/>
        </w:rPr>
        <w:t>3</w:t>
      </w:r>
      <w:r w:rsidRPr="00B93493">
        <w:t xml:space="preserve">, </w:t>
      </w:r>
      <w:r w:rsidRPr="00B93493">
        <w:sym w:font="Symbol" w:char="F061"/>
      </w:r>
      <w:r w:rsidRPr="00B93493">
        <w:rPr>
          <w:vertAlign w:val="subscript"/>
        </w:rPr>
        <w:t>4</w:t>
      </w:r>
    </w:p>
    <w:tbl>
      <w:tblPr>
        <w:tblW w:w="9639" w:type="dxa"/>
        <w:jc w:val="center"/>
        <w:tblLayout w:type="fixed"/>
        <w:tblLook w:val="04A0" w:firstRow="1" w:lastRow="0" w:firstColumn="1" w:lastColumn="0" w:noHBand="0" w:noVBand="1"/>
      </w:tblPr>
      <w:tblGrid>
        <w:gridCol w:w="5405"/>
        <w:gridCol w:w="847"/>
        <w:gridCol w:w="756"/>
        <w:gridCol w:w="847"/>
        <w:gridCol w:w="937"/>
        <w:gridCol w:w="847"/>
      </w:tblGrid>
      <w:tr w:rsidR="00CF04BC" w:rsidRPr="00B93493" w14:paraId="4A45794B" w14:textId="77777777" w:rsidTr="002E7F54">
        <w:trPr>
          <w:cantSplit/>
          <w:jc w:val="center"/>
        </w:trPr>
        <w:tc>
          <w:tcPr>
            <w:tcW w:w="5443" w:type="dxa"/>
            <w:vMerge w:val="restart"/>
            <w:tcBorders>
              <w:top w:val="single" w:sz="6" w:space="0" w:color="auto"/>
              <w:left w:val="single" w:sz="6" w:space="0" w:color="auto"/>
              <w:bottom w:val="single" w:sz="6" w:space="0" w:color="auto"/>
              <w:right w:val="single" w:sz="6" w:space="0" w:color="auto"/>
              <w:tl2br w:val="single" w:sz="6" w:space="0" w:color="auto"/>
            </w:tcBorders>
          </w:tcPr>
          <w:p w14:paraId="3AA62450" w14:textId="77777777" w:rsidR="00CF04BC" w:rsidRPr="00B93493" w:rsidRDefault="00CF04BC" w:rsidP="00C0502F">
            <w:pPr>
              <w:pStyle w:val="Tablehead"/>
              <w:keepLines/>
              <w:jc w:val="right"/>
            </w:pPr>
            <w:r w:rsidRPr="00B93493">
              <w:sym w:font="Symbol" w:char="F061"/>
            </w:r>
          </w:p>
          <w:p w14:paraId="12CBEBF4" w14:textId="77777777" w:rsidR="00CF04BC" w:rsidRPr="00B93493" w:rsidRDefault="00CF04BC" w:rsidP="00C0502F">
            <w:pPr>
              <w:pStyle w:val="Tablehead"/>
              <w:keepLines/>
              <w:jc w:val="left"/>
            </w:pPr>
            <w:r w:rsidRPr="00B93493">
              <w:t>Service</w:t>
            </w:r>
          </w:p>
        </w:tc>
        <w:tc>
          <w:tcPr>
            <w:tcW w:w="851" w:type="dxa"/>
            <w:tcBorders>
              <w:top w:val="single" w:sz="6" w:space="0" w:color="auto"/>
              <w:left w:val="single" w:sz="6" w:space="0" w:color="auto"/>
              <w:right w:val="single" w:sz="6" w:space="0" w:color="auto"/>
            </w:tcBorders>
          </w:tcPr>
          <w:p w14:paraId="3427AFC8" w14:textId="77777777" w:rsidR="00CF04BC" w:rsidRPr="00B93493" w:rsidRDefault="00CF04BC" w:rsidP="00C0502F">
            <w:pPr>
              <w:pStyle w:val="Tablehead"/>
              <w:keepLines/>
            </w:pPr>
            <w:r w:rsidRPr="00B93493">
              <w:sym w:font="Symbol" w:char="F061"/>
            </w:r>
            <w:r w:rsidRPr="00B93493">
              <w:rPr>
                <w:vertAlign w:val="subscript"/>
              </w:rPr>
              <w:t>1</w:t>
            </w:r>
          </w:p>
        </w:tc>
        <w:tc>
          <w:tcPr>
            <w:tcW w:w="760" w:type="dxa"/>
            <w:tcBorders>
              <w:top w:val="single" w:sz="6" w:space="0" w:color="auto"/>
              <w:left w:val="single" w:sz="6" w:space="0" w:color="auto"/>
              <w:right w:val="single" w:sz="6" w:space="0" w:color="auto"/>
            </w:tcBorders>
          </w:tcPr>
          <w:p w14:paraId="718F51B6" w14:textId="77777777" w:rsidR="00CF04BC" w:rsidRPr="00B93493" w:rsidRDefault="00CF04BC" w:rsidP="00C0502F">
            <w:pPr>
              <w:pStyle w:val="Tablehead"/>
              <w:keepLines/>
            </w:pPr>
            <w:r w:rsidRPr="00B93493">
              <w:sym w:font="Symbol" w:char="F061"/>
            </w:r>
            <w:r w:rsidRPr="00B93493">
              <w:rPr>
                <w:vertAlign w:val="subscript"/>
              </w:rPr>
              <w:t>2</w:t>
            </w:r>
          </w:p>
        </w:tc>
        <w:tc>
          <w:tcPr>
            <w:tcW w:w="1793" w:type="dxa"/>
            <w:gridSpan w:val="2"/>
            <w:tcBorders>
              <w:top w:val="single" w:sz="6" w:space="0" w:color="auto"/>
              <w:left w:val="single" w:sz="6" w:space="0" w:color="auto"/>
              <w:bottom w:val="single" w:sz="6" w:space="0" w:color="auto"/>
              <w:right w:val="single" w:sz="6" w:space="0" w:color="auto"/>
            </w:tcBorders>
          </w:tcPr>
          <w:p w14:paraId="223EACF4" w14:textId="77777777" w:rsidR="00CF04BC" w:rsidRPr="00B93493" w:rsidRDefault="00CF04BC" w:rsidP="00C0502F">
            <w:pPr>
              <w:pStyle w:val="Tablehead"/>
              <w:keepLines/>
            </w:pPr>
            <w:r w:rsidRPr="00B93493">
              <w:sym w:font="Symbol" w:char="F061"/>
            </w:r>
            <w:r w:rsidRPr="00B93493">
              <w:rPr>
                <w:vertAlign w:val="subscript"/>
              </w:rPr>
              <w:t>3</w:t>
            </w:r>
          </w:p>
        </w:tc>
        <w:tc>
          <w:tcPr>
            <w:tcW w:w="851" w:type="dxa"/>
            <w:tcBorders>
              <w:top w:val="single" w:sz="6" w:space="0" w:color="auto"/>
              <w:left w:val="single" w:sz="6" w:space="0" w:color="auto"/>
              <w:right w:val="single" w:sz="6" w:space="0" w:color="auto"/>
            </w:tcBorders>
          </w:tcPr>
          <w:p w14:paraId="597DCD9A" w14:textId="77777777" w:rsidR="00CF04BC" w:rsidRPr="00B93493" w:rsidRDefault="00CF04BC" w:rsidP="00C0502F">
            <w:pPr>
              <w:pStyle w:val="Tablehead"/>
              <w:keepLines/>
            </w:pPr>
            <w:r w:rsidRPr="00B93493">
              <w:sym w:font="Symbol" w:char="F061"/>
            </w:r>
            <w:r w:rsidRPr="00B93493">
              <w:rPr>
                <w:vertAlign w:val="subscript"/>
              </w:rPr>
              <w:t>4</w:t>
            </w:r>
          </w:p>
        </w:tc>
      </w:tr>
      <w:tr w:rsidR="00CF04BC" w:rsidRPr="00B93493" w14:paraId="5DF97AE6" w14:textId="77777777" w:rsidTr="002E7F54">
        <w:trPr>
          <w:cantSplit/>
          <w:jc w:val="center"/>
        </w:trPr>
        <w:tc>
          <w:tcPr>
            <w:tcW w:w="5443" w:type="dxa"/>
            <w:vMerge/>
            <w:tcBorders>
              <w:left w:val="single" w:sz="6" w:space="0" w:color="auto"/>
              <w:bottom w:val="single" w:sz="4" w:space="0" w:color="auto"/>
              <w:right w:val="single" w:sz="6" w:space="0" w:color="auto"/>
              <w:tl2br w:val="single" w:sz="6" w:space="0" w:color="auto"/>
            </w:tcBorders>
          </w:tcPr>
          <w:p w14:paraId="664AFEBF" w14:textId="77777777" w:rsidR="00CF04BC" w:rsidRPr="00B93493" w:rsidRDefault="00CF04BC" w:rsidP="00C0502F">
            <w:pPr>
              <w:pStyle w:val="Tablehead"/>
              <w:keepLines/>
            </w:pPr>
          </w:p>
        </w:tc>
        <w:tc>
          <w:tcPr>
            <w:tcW w:w="851" w:type="dxa"/>
            <w:tcBorders>
              <w:left w:val="single" w:sz="6" w:space="0" w:color="auto"/>
              <w:bottom w:val="single" w:sz="4" w:space="0" w:color="auto"/>
              <w:right w:val="single" w:sz="6" w:space="0" w:color="auto"/>
            </w:tcBorders>
          </w:tcPr>
          <w:p w14:paraId="661BD0AF" w14:textId="77777777" w:rsidR="00CF04BC" w:rsidRPr="00B93493" w:rsidRDefault="00CF04BC" w:rsidP="00C0502F">
            <w:pPr>
              <w:pStyle w:val="Tablehead"/>
              <w:keepLines/>
            </w:pPr>
          </w:p>
        </w:tc>
        <w:tc>
          <w:tcPr>
            <w:tcW w:w="760" w:type="dxa"/>
            <w:tcBorders>
              <w:left w:val="single" w:sz="6" w:space="0" w:color="auto"/>
              <w:bottom w:val="single" w:sz="4" w:space="0" w:color="auto"/>
              <w:right w:val="single" w:sz="6" w:space="0" w:color="auto"/>
            </w:tcBorders>
          </w:tcPr>
          <w:p w14:paraId="5421A79C" w14:textId="77777777" w:rsidR="00CF04BC" w:rsidRPr="00B93493" w:rsidRDefault="00CF04BC" w:rsidP="00C0502F">
            <w:pPr>
              <w:pStyle w:val="Tablehead"/>
              <w:keepLines/>
            </w:pPr>
          </w:p>
        </w:tc>
        <w:tc>
          <w:tcPr>
            <w:tcW w:w="851" w:type="dxa"/>
            <w:tcBorders>
              <w:top w:val="single" w:sz="6" w:space="0" w:color="auto"/>
              <w:left w:val="single" w:sz="6" w:space="0" w:color="auto"/>
              <w:bottom w:val="single" w:sz="4" w:space="0" w:color="auto"/>
              <w:right w:val="single" w:sz="6" w:space="0" w:color="auto"/>
            </w:tcBorders>
          </w:tcPr>
          <w:p w14:paraId="2A27E3F0" w14:textId="77777777" w:rsidR="00CF04BC" w:rsidRPr="00B93493" w:rsidRDefault="00CF04BC" w:rsidP="00C0502F">
            <w:pPr>
              <w:pStyle w:val="Tablehead"/>
              <w:keepLines/>
            </w:pPr>
            <w:r w:rsidRPr="00B93493">
              <w:t>City</w:t>
            </w:r>
          </w:p>
        </w:tc>
        <w:tc>
          <w:tcPr>
            <w:tcW w:w="942" w:type="dxa"/>
            <w:tcBorders>
              <w:top w:val="single" w:sz="6" w:space="0" w:color="auto"/>
              <w:left w:val="single" w:sz="6" w:space="0" w:color="auto"/>
              <w:bottom w:val="single" w:sz="4" w:space="0" w:color="auto"/>
              <w:right w:val="single" w:sz="6" w:space="0" w:color="auto"/>
            </w:tcBorders>
          </w:tcPr>
          <w:p w14:paraId="576046FA" w14:textId="77777777" w:rsidR="00CF04BC" w:rsidRPr="00B93493" w:rsidRDefault="00CF04BC" w:rsidP="00C0502F">
            <w:pPr>
              <w:pStyle w:val="Tablehead"/>
              <w:keepLines/>
            </w:pPr>
            <w:r w:rsidRPr="00B93493">
              <w:t>Village</w:t>
            </w:r>
          </w:p>
        </w:tc>
        <w:tc>
          <w:tcPr>
            <w:tcW w:w="851" w:type="dxa"/>
            <w:tcBorders>
              <w:left w:val="single" w:sz="6" w:space="0" w:color="auto"/>
              <w:bottom w:val="single" w:sz="4" w:space="0" w:color="auto"/>
              <w:right w:val="single" w:sz="6" w:space="0" w:color="auto"/>
            </w:tcBorders>
          </w:tcPr>
          <w:p w14:paraId="238FC807" w14:textId="77777777" w:rsidR="00CF04BC" w:rsidRPr="00B93493" w:rsidRDefault="00CF04BC" w:rsidP="00C0502F">
            <w:pPr>
              <w:pStyle w:val="Tablehead"/>
              <w:keepLines/>
            </w:pPr>
          </w:p>
        </w:tc>
      </w:tr>
      <w:tr w:rsidR="00CF04BC" w:rsidRPr="00B93493" w14:paraId="77DE75DE"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46ECB8E6" w14:textId="77777777" w:rsidR="00CF04BC" w:rsidRPr="00B93493" w:rsidRDefault="00CF04BC" w:rsidP="00C0502F">
            <w:pPr>
              <w:pStyle w:val="Tabletext"/>
              <w:keepNext/>
              <w:keepLines/>
            </w:pPr>
            <w:r w:rsidRPr="00B93493">
              <w:t>Radio-relay line in a range above 1 GHz</w:t>
            </w:r>
          </w:p>
        </w:tc>
        <w:tc>
          <w:tcPr>
            <w:tcW w:w="851" w:type="dxa"/>
            <w:tcBorders>
              <w:top w:val="single" w:sz="4" w:space="0" w:color="auto"/>
              <w:left w:val="single" w:sz="4" w:space="0" w:color="auto"/>
              <w:bottom w:val="single" w:sz="4" w:space="0" w:color="auto"/>
              <w:right w:val="single" w:sz="4" w:space="0" w:color="auto"/>
            </w:tcBorders>
          </w:tcPr>
          <w:p w14:paraId="027E2640" w14:textId="77777777" w:rsidR="00CF04BC" w:rsidRPr="00B93493" w:rsidRDefault="00CF04BC" w:rsidP="00C0502F">
            <w:pPr>
              <w:pStyle w:val="Tabletext"/>
              <w:keepNext/>
              <w:keepLines/>
              <w:jc w:val="center"/>
            </w:pPr>
            <w:r w:rsidRPr="00B93493">
              <w:t>0.5</w:t>
            </w:r>
          </w:p>
        </w:tc>
        <w:tc>
          <w:tcPr>
            <w:tcW w:w="760" w:type="dxa"/>
            <w:tcBorders>
              <w:top w:val="single" w:sz="4" w:space="0" w:color="auto"/>
              <w:left w:val="single" w:sz="4" w:space="0" w:color="auto"/>
              <w:bottom w:val="single" w:sz="4" w:space="0" w:color="auto"/>
              <w:right w:val="single" w:sz="4" w:space="0" w:color="auto"/>
            </w:tcBorders>
          </w:tcPr>
          <w:p w14:paraId="3C8E1ECC" w14:textId="77777777" w:rsidR="00CF04BC" w:rsidRPr="00B93493" w:rsidRDefault="00CF04BC" w:rsidP="00C0502F">
            <w:pPr>
              <w:pStyle w:val="Tabletext"/>
              <w:keepNext/>
              <w:keepLines/>
              <w:jc w:val="center"/>
            </w:pPr>
            <w:r w:rsidRPr="00B93493">
              <w:t>0.30</w:t>
            </w:r>
          </w:p>
        </w:tc>
        <w:tc>
          <w:tcPr>
            <w:tcW w:w="851" w:type="dxa"/>
            <w:tcBorders>
              <w:top w:val="single" w:sz="4" w:space="0" w:color="auto"/>
              <w:left w:val="single" w:sz="4" w:space="0" w:color="auto"/>
              <w:bottom w:val="single" w:sz="4" w:space="0" w:color="auto"/>
              <w:right w:val="single" w:sz="4" w:space="0" w:color="auto"/>
            </w:tcBorders>
          </w:tcPr>
          <w:p w14:paraId="33403EC5"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42B4E10F"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302ADFF5" w14:textId="77777777" w:rsidR="00CF04BC" w:rsidRPr="00B93493" w:rsidRDefault="00CF04BC" w:rsidP="00C0502F">
            <w:pPr>
              <w:pStyle w:val="Tabletext"/>
              <w:keepNext/>
              <w:keepLines/>
              <w:jc w:val="center"/>
            </w:pPr>
            <w:r w:rsidRPr="00B93493">
              <w:t>1</w:t>
            </w:r>
          </w:p>
        </w:tc>
      </w:tr>
      <w:tr w:rsidR="00CF04BC" w:rsidRPr="00B93493" w14:paraId="31B8EB1A"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2C5CCADF" w14:textId="77777777" w:rsidR="00CF04BC" w:rsidRPr="00B93493" w:rsidRDefault="00CF04BC" w:rsidP="00C0502F">
            <w:pPr>
              <w:pStyle w:val="Tabletext"/>
              <w:keepNext/>
              <w:keepLines/>
            </w:pPr>
            <w:r w:rsidRPr="00B93493">
              <w:t>Radio-relay line in a range below 1 GHz</w:t>
            </w:r>
          </w:p>
        </w:tc>
        <w:tc>
          <w:tcPr>
            <w:tcW w:w="851" w:type="dxa"/>
            <w:tcBorders>
              <w:top w:val="single" w:sz="4" w:space="0" w:color="auto"/>
              <w:left w:val="single" w:sz="4" w:space="0" w:color="auto"/>
              <w:bottom w:val="single" w:sz="4" w:space="0" w:color="auto"/>
              <w:right w:val="single" w:sz="4" w:space="0" w:color="auto"/>
            </w:tcBorders>
          </w:tcPr>
          <w:p w14:paraId="7EDFA559" w14:textId="77777777" w:rsidR="00CF04BC" w:rsidRPr="00B93493" w:rsidRDefault="00CF04BC" w:rsidP="00C0502F">
            <w:pPr>
              <w:pStyle w:val="Tabletext"/>
              <w:keepNext/>
              <w:keepLines/>
              <w:jc w:val="center"/>
            </w:pPr>
            <w:r w:rsidRPr="00B93493">
              <w:t>1</w:t>
            </w:r>
          </w:p>
        </w:tc>
        <w:tc>
          <w:tcPr>
            <w:tcW w:w="760" w:type="dxa"/>
            <w:tcBorders>
              <w:top w:val="single" w:sz="4" w:space="0" w:color="auto"/>
              <w:left w:val="single" w:sz="4" w:space="0" w:color="auto"/>
              <w:bottom w:val="single" w:sz="4" w:space="0" w:color="auto"/>
              <w:right w:val="single" w:sz="4" w:space="0" w:color="auto"/>
            </w:tcBorders>
          </w:tcPr>
          <w:p w14:paraId="64D74D74" w14:textId="77777777" w:rsidR="00CF04BC" w:rsidRPr="00B93493" w:rsidRDefault="00CF04BC" w:rsidP="00C0502F">
            <w:pPr>
              <w:pStyle w:val="Tabletext"/>
              <w:keepNext/>
              <w:keepLines/>
              <w:jc w:val="center"/>
            </w:pPr>
            <w:r w:rsidRPr="00B93493">
              <w:t>4.00</w:t>
            </w:r>
          </w:p>
        </w:tc>
        <w:tc>
          <w:tcPr>
            <w:tcW w:w="851" w:type="dxa"/>
            <w:tcBorders>
              <w:top w:val="single" w:sz="4" w:space="0" w:color="auto"/>
              <w:left w:val="single" w:sz="4" w:space="0" w:color="auto"/>
              <w:bottom w:val="single" w:sz="4" w:space="0" w:color="auto"/>
              <w:right w:val="single" w:sz="4" w:space="0" w:color="auto"/>
            </w:tcBorders>
          </w:tcPr>
          <w:p w14:paraId="32C33A60"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06A3498C"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41493D13" w14:textId="77777777" w:rsidR="00CF04BC" w:rsidRPr="00B93493" w:rsidRDefault="00CF04BC" w:rsidP="00C0502F">
            <w:pPr>
              <w:pStyle w:val="Tabletext"/>
              <w:keepNext/>
              <w:keepLines/>
              <w:jc w:val="center"/>
            </w:pPr>
            <w:r w:rsidRPr="00B93493">
              <w:t>1</w:t>
            </w:r>
          </w:p>
        </w:tc>
      </w:tr>
      <w:tr w:rsidR="00CF04BC" w:rsidRPr="00B93493" w14:paraId="62774F3A"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1E201F30" w14:textId="77777777" w:rsidR="00CF04BC" w:rsidRPr="00B93493" w:rsidRDefault="00CF04BC" w:rsidP="00C0502F">
            <w:pPr>
              <w:pStyle w:val="Tabletext"/>
              <w:keepNext/>
              <w:keepLines/>
            </w:pPr>
            <w:r w:rsidRPr="00B93493">
              <w:t>Television in meter range (MW TV)</w:t>
            </w:r>
          </w:p>
        </w:tc>
        <w:tc>
          <w:tcPr>
            <w:tcW w:w="851" w:type="dxa"/>
            <w:tcBorders>
              <w:top w:val="single" w:sz="4" w:space="0" w:color="auto"/>
              <w:left w:val="single" w:sz="4" w:space="0" w:color="auto"/>
              <w:bottom w:val="single" w:sz="4" w:space="0" w:color="auto"/>
              <w:right w:val="single" w:sz="4" w:space="0" w:color="auto"/>
            </w:tcBorders>
          </w:tcPr>
          <w:p w14:paraId="515926A4" w14:textId="77777777" w:rsidR="00CF04BC" w:rsidRPr="00B93493" w:rsidRDefault="00CF04BC" w:rsidP="00C0502F">
            <w:pPr>
              <w:pStyle w:val="Tabletext"/>
              <w:keepNext/>
              <w:keepLines/>
              <w:jc w:val="center"/>
            </w:pPr>
            <w:r w:rsidRPr="00B93493">
              <w:t>5</w:t>
            </w:r>
          </w:p>
        </w:tc>
        <w:tc>
          <w:tcPr>
            <w:tcW w:w="760" w:type="dxa"/>
            <w:tcBorders>
              <w:top w:val="single" w:sz="4" w:space="0" w:color="auto"/>
              <w:left w:val="single" w:sz="4" w:space="0" w:color="auto"/>
              <w:bottom w:val="single" w:sz="4" w:space="0" w:color="auto"/>
              <w:right w:val="single" w:sz="4" w:space="0" w:color="auto"/>
            </w:tcBorders>
          </w:tcPr>
          <w:p w14:paraId="642C2FE0" w14:textId="77777777" w:rsidR="00CF04BC" w:rsidRPr="00B93493" w:rsidRDefault="00CF04BC" w:rsidP="00C0502F">
            <w:pPr>
              <w:pStyle w:val="Tabletext"/>
              <w:keepNext/>
              <w:keepLines/>
              <w:jc w:val="center"/>
            </w:pPr>
            <w:r w:rsidRPr="00B93493">
              <w:t>0.30</w:t>
            </w:r>
          </w:p>
        </w:tc>
        <w:tc>
          <w:tcPr>
            <w:tcW w:w="851" w:type="dxa"/>
            <w:tcBorders>
              <w:top w:val="single" w:sz="4" w:space="0" w:color="auto"/>
              <w:left w:val="single" w:sz="4" w:space="0" w:color="auto"/>
              <w:bottom w:val="single" w:sz="4" w:space="0" w:color="auto"/>
              <w:right w:val="single" w:sz="4" w:space="0" w:color="auto"/>
            </w:tcBorders>
          </w:tcPr>
          <w:p w14:paraId="0E359D76"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39E67FB9"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5ABEBD76" w14:textId="77777777" w:rsidR="00CF04BC" w:rsidRPr="00B93493" w:rsidRDefault="00CF04BC" w:rsidP="00C0502F">
            <w:pPr>
              <w:pStyle w:val="Tabletext"/>
              <w:keepNext/>
              <w:keepLines/>
              <w:jc w:val="center"/>
            </w:pPr>
            <w:r w:rsidRPr="00B93493">
              <w:t>5</w:t>
            </w:r>
          </w:p>
        </w:tc>
      </w:tr>
      <w:tr w:rsidR="00CF04BC" w:rsidRPr="00B93493" w14:paraId="1A46E05D"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16274B79" w14:textId="77777777" w:rsidR="00CF04BC" w:rsidRPr="00B93493" w:rsidRDefault="00CF04BC" w:rsidP="00C0502F">
            <w:pPr>
              <w:pStyle w:val="Tabletext"/>
              <w:keepNext/>
              <w:keepLines/>
            </w:pPr>
            <w:r w:rsidRPr="00B93493">
              <w:t>Television in meter range (DMW TV)</w:t>
            </w:r>
          </w:p>
        </w:tc>
        <w:tc>
          <w:tcPr>
            <w:tcW w:w="851" w:type="dxa"/>
            <w:tcBorders>
              <w:top w:val="single" w:sz="4" w:space="0" w:color="auto"/>
              <w:left w:val="single" w:sz="4" w:space="0" w:color="auto"/>
              <w:bottom w:val="single" w:sz="4" w:space="0" w:color="auto"/>
              <w:right w:val="single" w:sz="4" w:space="0" w:color="auto"/>
            </w:tcBorders>
          </w:tcPr>
          <w:p w14:paraId="7C872DE8" w14:textId="77777777" w:rsidR="00CF04BC" w:rsidRPr="00B93493" w:rsidRDefault="00CF04BC" w:rsidP="00C0502F">
            <w:pPr>
              <w:pStyle w:val="Tabletext"/>
              <w:keepNext/>
              <w:keepLines/>
              <w:jc w:val="center"/>
            </w:pPr>
            <w:r w:rsidRPr="00B93493">
              <w:t>5</w:t>
            </w:r>
          </w:p>
        </w:tc>
        <w:tc>
          <w:tcPr>
            <w:tcW w:w="760" w:type="dxa"/>
            <w:tcBorders>
              <w:top w:val="single" w:sz="4" w:space="0" w:color="auto"/>
              <w:left w:val="single" w:sz="4" w:space="0" w:color="auto"/>
              <w:bottom w:val="single" w:sz="4" w:space="0" w:color="auto"/>
              <w:right w:val="single" w:sz="4" w:space="0" w:color="auto"/>
            </w:tcBorders>
          </w:tcPr>
          <w:p w14:paraId="68F90C06" w14:textId="77777777" w:rsidR="00CF04BC" w:rsidRPr="00B93493" w:rsidRDefault="00CF04BC" w:rsidP="00C0502F">
            <w:pPr>
              <w:pStyle w:val="Tabletext"/>
              <w:keepNext/>
              <w:keepLines/>
              <w:jc w:val="center"/>
            </w:pPr>
            <w:r w:rsidRPr="00B93493">
              <w:t>0.40</w:t>
            </w:r>
          </w:p>
        </w:tc>
        <w:tc>
          <w:tcPr>
            <w:tcW w:w="851" w:type="dxa"/>
            <w:tcBorders>
              <w:top w:val="single" w:sz="4" w:space="0" w:color="auto"/>
              <w:left w:val="single" w:sz="4" w:space="0" w:color="auto"/>
              <w:bottom w:val="single" w:sz="4" w:space="0" w:color="auto"/>
              <w:right w:val="single" w:sz="4" w:space="0" w:color="auto"/>
            </w:tcBorders>
          </w:tcPr>
          <w:p w14:paraId="354F2E01"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39A49E73"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7B5F838E" w14:textId="77777777" w:rsidR="00CF04BC" w:rsidRPr="00B93493" w:rsidRDefault="00CF04BC" w:rsidP="00C0502F">
            <w:pPr>
              <w:pStyle w:val="Tabletext"/>
              <w:keepNext/>
              <w:keepLines/>
              <w:jc w:val="center"/>
            </w:pPr>
            <w:r w:rsidRPr="00B93493">
              <w:t>5</w:t>
            </w:r>
          </w:p>
        </w:tc>
      </w:tr>
      <w:tr w:rsidR="00CF04BC" w:rsidRPr="00B93493" w14:paraId="6703E783"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2C1A1A57" w14:textId="77777777" w:rsidR="00CF04BC" w:rsidRPr="00B93493" w:rsidRDefault="00CF04BC" w:rsidP="00C0502F">
            <w:pPr>
              <w:pStyle w:val="Tabletext"/>
              <w:keepNext/>
              <w:keepLines/>
            </w:pPr>
            <w:r w:rsidRPr="00B93493">
              <w:t>USW broadcasting</w:t>
            </w:r>
          </w:p>
        </w:tc>
        <w:tc>
          <w:tcPr>
            <w:tcW w:w="851" w:type="dxa"/>
            <w:tcBorders>
              <w:top w:val="single" w:sz="4" w:space="0" w:color="auto"/>
              <w:left w:val="single" w:sz="4" w:space="0" w:color="auto"/>
              <w:bottom w:val="single" w:sz="4" w:space="0" w:color="auto"/>
              <w:right w:val="single" w:sz="4" w:space="0" w:color="auto"/>
            </w:tcBorders>
          </w:tcPr>
          <w:p w14:paraId="00714B2F" w14:textId="77777777" w:rsidR="00CF04BC" w:rsidRPr="00B93493" w:rsidRDefault="00CF04BC" w:rsidP="00C0502F">
            <w:pPr>
              <w:pStyle w:val="Tabletext"/>
              <w:keepNext/>
              <w:keepLines/>
              <w:jc w:val="center"/>
            </w:pPr>
            <w:r w:rsidRPr="00B93493">
              <w:t>12</w:t>
            </w:r>
          </w:p>
        </w:tc>
        <w:tc>
          <w:tcPr>
            <w:tcW w:w="760" w:type="dxa"/>
            <w:tcBorders>
              <w:top w:val="single" w:sz="4" w:space="0" w:color="auto"/>
              <w:left w:val="single" w:sz="4" w:space="0" w:color="auto"/>
              <w:bottom w:val="single" w:sz="4" w:space="0" w:color="auto"/>
              <w:right w:val="single" w:sz="4" w:space="0" w:color="auto"/>
            </w:tcBorders>
          </w:tcPr>
          <w:p w14:paraId="155DF9CE" w14:textId="77777777" w:rsidR="00CF04BC" w:rsidRPr="00B93493" w:rsidRDefault="00CF04BC" w:rsidP="00C0502F">
            <w:pPr>
              <w:pStyle w:val="Tabletext"/>
              <w:keepNext/>
              <w:keepLines/>
              <w:jc w:val="center"/>
            </w:pPr>
            <w:r w:rsidRPr="00B93493">
              <w:t>5.00</w:t>
            </w:r>
          </w:p>
        </w:tc>
        <w:tc>
          <w:tcPr>
            <w:tcW w:w="851" w:type="dxa"/>
            <w:tcBorders>
              <w:top w:val="single" w:sz="4" w:space="0" w:color="auto"/>
              <w:left w:val="single" w:sz="4" w:space="0" w:color="auto"/>
              <w:bottom w:val="single" w:sz="4" w:space="0" w:color="auto"/>
              <w:right w:val="single" w:sz="4" w:space="0" w:color="auto"/>
            </w:tcBorders>
          </w:tcPr>
          <w:p w14:paraId="5145225C"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6444168C"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2321E967" w14:textId="77777777" w:rsidR="00CF04BC" w:rsidRPr="00B93493" w:rsidRDefault="00CF04BC" w:rsidP="00C0502F">
            <w:pPr>
              <w:pStyle w:val="Tabletext"/>
              <w:keepNext/>
              <w:keepLines/>
              <w:jc w:val="center"/>
            </w:pPr>
            <w:r w:rsidRPr="00B93493">
              <w:t>5</w:t>
            </w:r>
          </w:p>
        </w:tc>
      </w:tr>
      <w:tr w:rsidR="00CF04BC" w:rsidRPr="00B93493" w14:paraId="53464BBD"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1BD5774A" w14:textId="77777777" w:rsidR="00CF04BC" w:rsidRPr="00B93493" w:rsidRDefault="00CF04BC" w:rsidP="00C0502F">
            <w:pPr>
              <w:pStyle w:val="Tabletext"/>
              <w:keepNext/>
              <w:keepLines/>
            </w:pPr>
            <w:r w:rsidRPr="00B93493">
              <w:t>SW broadcasting</w:t>
            </w:r>
          </w:p>
        </w:tc>
        <w:tc>
          <w:tcPr>
            <w:tcW w:w="851" w:type="dxa"/>
            <w:tcBorders>
              <w:top w:val="single" w:sz="4" w:space="0" w:color="auto"/>
              <w:left w:val="single" w:sz="4" w:space="0" w:color="auto"/>
              <w:bottom w:val="single" w:sz="4" w:space="0" w:color="auto"/>
              <w:right w:val="single" w:sz="4" w:space="0" w:color="auto"/>
            </w:tcBorders>
          </w:tcPr>
          <w:p w14:paraId="674E1E88" w14:textId="77777777" w:rsidR="00CF04BC" w:rsidRPr="00B93493" w:rsidRDefault="00CF04BC" w:rsidP="00C0502F">
            <w:pPr>
              <w:pStyle w:val="Tabletext"/>
              <w:keepNext/>
              <w:keepLines/>
              <w:jc w:val="center"/>
            </w:pPr>
            <w:r w:rsidRPr="00B93493">
              <w:t>5</w:t>
            </w:r>
          </w:p>
        </w:tc>
        <w:tc>
          <w:tcPr>
            <w:tcW w:w="760" w:type="dxa"/>
            <w:tcBorders>
              <w:top w:val="single" w:sz="4" w:space="0" w:color="auto"/>
              <w:left w:val="single" w:sz="4" w:space="0" w:color="auto"/>
              <w:bottom w:val="single" w:sz="4" w:space="0" w:color="auto"/>
              <w:right w:val="single" w:sz="4" w:space="0" w:color="auto"/>
            </w:tcBorders>
          </w:tcPr>
          <w:p w14:paraId="3AF640A4" w14:textId="77777777" w:rsidR="00CF04BC" w:rsidRPr="00B93493" w:rsidRDefault="00CF04BC" w:rsidP="00C0502F">
            <w:pPr>
              <w:pStyle w:val="Tabletext"/>
              <w:keepNext/>
              <w:keepLines/>
              <w:jc w:val="center"/>
            </w:pPr>
            <w:r w:rsidRPr="00B93493">
              <w:t>5.00</w:t>
            </w:r>
          </w:p>
        </w:tc>
        <w:tc>
          <w:tcPr>
            <w:tcW w:w="851" w:type="dxa"/>
            <w:tcBorders>
              <w:top w:val="single" w:sz="4" w:space="0" w:color="auto"/>
              <w:left w:val="single" w:sz="4" w:space="0" w:color="auto"/>
              <w:bottom w:val="single" w:sz="4" w:space="0" w:color="auto"/>
              <w:right w:val="single" w:sz="4" w:space="0" w:color="auto"/>
            </w:tcBorders>
          </w:tcPr>
          <w:p w14:paraId="141AA960"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5DE07A86"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07C95ECB" w14:textId="77777777" w:rsidR="00CF04BC" w:rsidRPr="00B93493" w:rsidRDefault="00CF04BC" w:rsidP="00C0502F">
            <w:pPr>
              <w:pStyle w:val="Tabletext"/>
              <w:keepNext/>
              <w:keepLines/>
              <w:jc w:val="center"/>
            </w:pPr>
            <w:r w:rsidRPr="00B93493">
              <w:t>4</w:t>
            </w:r>
          </w:p>
        </w:tc>
      </w:tr>
      <w:tr w:rsidR="00CF04BC" w:rsidRPr="00B93493" w14:paraId="1DE43665"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4AD48221" w14:textId="77777777" w:rsidR="00CF04BC" w:rsidRPr="00B93493" w:rsidRDefault="00CF04BC" w:rsidP="00C0502F">
            <w:pPr>
              <w:pStyle w:val="Tabletext"/>
              <w:keepNext/>
              <w:keepLines/>
            </w:pPr>
            <w:r w:rsidRPr="00B93493">
              <w:t>SW radiocommunication</w:t>
            </w:r>
          </w:p>
        </w:tc>
        <w:tc>
          <w:tcPr>
            <w:tcW w:w="851" w:type="dxa"/>
            <w:tcBorders>
              <w:top w:val="single" w:sz="4" w:space="0" w:color="auto"/>
              <w:left w:val="single" w:sz="4" w:space="0" w:color="auto"/>
              <w:bottom w:val="single" w:sz="4" w:space="0" w:color="auto"/>
              <w:right w:val="single" w:sz="4" w:space="0" w:color="auto"/>
            </w:tcBorders>
          </w:tcPr>
          <w:p w14:paraId="5590F81D" w14:textId="77777777" w:rsidR="00CF04BC" w:rsidRPr="00B93493" w:rsidRDefault="00CF04BC" w:rsidP="00C0502F">
            <w:pPr>
              <w:pStyle w:val="Tabletext"/>
              <w:keepNext/>
              <w:keepLines/>
              <w:jc w:val="center"/>
            </w:pPr>
            <w:r w:rsidRPr="00B93493">
              <w:t>13</w:t>
            </w:r>
          </w:p>
        </w:tc>
        <w:tc>
          <w:tcPr>
            <w:tcW w:w="760" w:type="dxa"/>
            <w:tcBorders>
              <w:top w:val="single" w:sz="4" w:space="0" w:color="auto"/>
              <w:left w:val="single" w:sz="4" w:space="0" w:color="auto"/>
              <w:bottom w:val="single" w:sz="4" w:space="0" w:color="auto"/>
              <w:right w:val="single" w:sz="4" w:space="0" w:color="auto"/>
            </w:tcBorders>
          </w:tcPr>
          <w:p w14:paraId="358B5F5B" w14:textId="77777777" w:rsidR="00CF04BC" w:rsidRPr="00B93493" w:rsidRDefault="00CF04BC" w:rsidP="00C0502F">
            <w:pPr>
              <w:pStyle w:val="Tabletext"/>
              <w:keepNext/>
              <w:keepLines/>
              <w:jc w:val="center"/>
            </w:pPr>
            <w:r w:rsidRPr="00B93493">
              <w:t>6.00</w:t>
            </w:r>
          </w:p>
        </w:tc>
        <w:tc>
          <w:tcPr>
            <w:tcW w:w="851" w:type="dxa"/>
            <w:tcBorders>
              <w:top w:val="single" w:sz="4" w:space="0" w:color="auto"/>
              <w:left w:val="single" w:sz="4" w:space="0" w:color="auto"/>
              <w:bottom w:val="single" w:sz="4" w:space="0" w:color="auto"/>
              <w:right w:val="single" w:sz="4" w:space="0" w:color="auto"/>
            </w:tcBorders>
          </w:tcPr>
          <w:p w14:paraId="3ED5F256"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30BEA3A3"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1C986841" w14:textId="77777777" w:rsidR="00CF04BC" w:rsidRPr="00B93493" w:rsidRDefault="00CF04BC" w:rsidP="00C0502F">
            <w:pPr>
              <w:pStyle w:val="Tabletext"/>
              <w:keepNext/>
              <w:keepLines/>
              <w:jc w:val="center"/>
            </w:pPr>
            <w:r w:rsidRPr="00B93493">
              <w:t>4</w:t>
            </w:r>
          </w:p>
        </w:tc>
      </w:tr>
      <w:tr w:rsidR="00CF04BC" w:rsidRPr="00B93493" w14:paraId="6792A40F"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57077DAF" w14:textId="77777777" w:rsidR="00CF04BC" w:rsidRPr="00B93493" w:rsidRDefault="00CF04BC" w:rsidP="00C0502F">
            <w:pPr>
              <w:pStyle w:val="Tabletext"/>
              <w:keepNext/>
              <w:keepLines/>
            </w:pPr>
            <w:r w:rsidRPr="00B93493">
              <w:t>Trunking</w:t>
            </w:r>
          </w:p>
        </w:tc>
        <w:tc>
          <w:tcPr>
            <w:tcW w:w="851" w:type="dxa"/>
            <w:tcBorders>
              <w:top w:val="single" w:sz="4" w:space="0" w:color="auto"/>
              <w:left w:val="single" w:sz="4" w:space="0" w:color="auto"/>
              <w:bottom w:val="single" w:sz="4" w:space="0" w:color="auto"/>
              <w:right w:val="single" w:sz="4" w:space="0" w:color="auto"/>
            </w:tcBorders>
          </w:tcPr>
          <w:p w14:paraId="556D76DE" w14:textId="77777777" w:rsidR="00CF04BC" w:rsidRPr="00B93493" w:rsidRDefault="00CF04BC" w:rsidP="00C0502F">
            <w:pPr>
              <w:pStyle w:val="Tabletext"/>
              <w:keepNext/>
              <w:keepLines/>
              <w:jc w:val="center"/>
            </w:pPr>
            <w:r w:rsidRPr="00B93493">
              <w:t>12</w:t>
            </w:r>
          </w:p>
        </w:tc>
        <w:tc>
          <w:tcPr>
            <w:tcW w:w="760" w:type="dxa"/>
            <w:tcBorders>
              <w:top w:val="single" w:sz="4" w:space="0" w:color="auto"/>
              <w:left w:val="single" w:sz="4" w:space="0" w:color="auto"/>
              <w:bottom w:val="single" w:sz="4" w:space="0" w:color="auto"/>
              <w:right w:val="single" w:sz="4" w:space="0" w:color="auto"/>
            </w:tcBorders>
          </w:tcPr>
          <w:p w14:paraId="637609BF" w14:textId="77777777" w:rsidR="00CF04BC" w:rsidRPr="00B93493" w:rsidRDefault="00CF04BC" w:rsidP="00C0502F">
            <w:pPr>
              <w:pStyle w:val="Tabletext"/>
              <w:keepNext/>
              <w:keepLines/>
              <w:jc w:val="center"/>
            </w:pPr>
            <w:r w:rsidRPr="00B93493">
              <w:t>6.00</w:t>
            </w:r>
          </w:p>
        </w:tc>
        <w:tc>
          <w:tcPr>
            <w:tcW w:w="851" w:type="dxa"/>
            <w:tcBorders>
              <w:top w:val="single" w:sz="4" w:space="0" w:color="auto"/>
              <w:left w:val="single" w:sz="4" w:space="0" w:color="auto"/>
              <w:bottom w:val="single" w:sz="4" w:space="0" w:color="auto"/>
              <w:right w:val="single" w:sz="4" w:space="0" w:color="auto"/>
            </w:tcBorders>
          </w:tcPr>
          <w:p w14:paraId="4260E231" w14:textId="77777777" w:rsidR="00CF04BC" w:rsidRPr="00B93493" w:rsidRDefault="00CF04BC" w:rsidP="00C0502F">
            <w:pPr>
              <w:pStyle w:val="Tabletext"/>
              <w:keepNext/>
              <w:keepLines/>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19D24AAB" w14:textId="77777777" w:rsidR="00CF04BC" w:rsidRPr="00B93493" w:rsidRDefault="00CF04BC" w:rsidP="00C0502F">
            <w:pPr>
              <w:pStyle w:val="Tabletext"/>
              <w:keepNext/>
              <w:keepLines/>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338745EF" w14:textId="77777777" w:rsidR="00CF04BC" w:rsidRPr="00B93493" w:rsidRDefault="00CF04BC" w:rsidP="00C0502F">
            <w:pPr>
              <w:pStyle w:val="Tabletext"/>
              <w:keepNext/>
              <w:keepLines/>
              <w:jc w:val="center"/>
            </w:pPr>
            <w:r w:rsidRPr="00B93493">
              <w:t>5</w:t>
            </w:r>
          </w:p>
        </w:tc>
      </w:tr>
      <w:tr w:rsidR="00CF04BC" w:rsidRPr="00B93493" w14:paraId="60DAF050"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7FACC32A" w14:textId="77777777" w:rsidR="00CF04BC" w:rsidRPr="00B93493" w:rsidRDefault="00CF04BC" w:rsidP="002E7F54">
            <w:pPr>
              <w:pStyle w:val="Tabletext"/>
            </w:pPr>
            <w:r w:rsidRPr="00B93493">
              <w:t>Cellular communication</w:t>
            </w:r>
          </w:p>
        </w:tc>
        <w:tc>
          <w:tcPr>
            <w:tcW w:w="851" w:type="dxa"/>
            <w:tcBorders>
              <w:top w:val="single" w:sz="4" w:space="0" w:color="auto"/>
              <w:left w:val="single" w:sz="4" w:space="0" w:color="auto"/>
              <w:bottom w:val="single" w:sz="4" w:space="0" w:color="auto"/>
              <w:right w:val="single" w:sz="4" w:space="0" w:color="auto"/>
            </w:tcBorders>
          </w:tcPr>
          <w:p w14:paraId="21C81BCB" w14:textId="77777777" w:rsidR="00CF04BC" w:rsidRPr="00B93493" w:rsidRDefault="00CF04BC" w:rsidP="002E7F54">
            <w:pPr>
              <w:pStyle w:val="Tabletext"/>
              <w:jc w:val="center"/>
            </w:pPr>
            <w:r w:rsidRPr="00B93493">
              <w:t>13</w:t>
            </w:r>
          </w:p>
        </w:tc>
        <w:tc>
          <w:tcPr>
            <w:tcW w:w="760" w:type="dxa"/>
            <w:tcBorders>
              <w:top w:val="single" w:sz="4" w:space="0" w:color="auto"/>
              <w:left w:val="single" w:sz="4" w:space="0" w:color="auto"/>
              <w:bottom w:val="single" w:sz="4" w:space="0" w:color="auto"/>
              <w:right w:val="single" w:sz="4" w:space="0" w:color="auto"/>
            </w:tcBorders>
          </w:tcPr>
          <w:p w14:paraId="14DF0634" w14:textId="77777777" w:rsidR="00CF04BC" w:rsidRPr="00B93493" w:rsidRDefault="00CF04BC" w:rsidP="002E7F54">
            <w:pPr>
              <w:pStyle w:val="Tabletext"/>
              <w:jc w:val="center"/>
            </w:pPr>
            <w:r w:rsidRPr="00B93493">
              <w:t>6.00</w:t>
            </w:r>
          </w:p>
        </w:tc>
        <w:tc>
          <w:tcPr>
            <w:tcW w:w="851" w:type="dxa"/>
            <w:tcBorders>
              <w:top w:val="single" w:sz="4" w:space="0" w:color="auto"/>
              <w:left w:val="single" w:sz="4" w:space="0" w:color="auto"/>
              <w:bottom w:val="single" w:sz="4" w:space="0" w:color="auto"/>
              <w:right w:val="single" w:sz="4" w:space="0" w:color="auto"/>
            </w:tcBorders>
          </w:tcPr>
          <w:p w14:paraId="4AFDA8FF"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004909A5"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0D03AB9A" w14:textId="77777777" w:rsidR="00CF04BC" w:rsidRPr="00B93493" w:rsidRDefault="00CF04BC" w:rsidP="002E7F54">
            <w:pPr>
              <w:pStyle w:val="Tabletext"/>
              <w:jc w:val="center"/>
            </w:pPr>
            <w:r w:rsidRPr="00B93493">
              <w:t>5</w:t>
            </w:r>
          </w:p>
        </w:tc>
      </w:tr>
      <w:tr w:rsidR="00CF04BC" w:rsidRPr="00B93493" w14:paraId="141CBEAA"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4A420C36" w14:textId="77777777" w:rsidR="00CF04BC" w:rsidRPr="00B93493" w:rsidRDefault="00CF04BC" w:rsidP="002E7F54">
            <w:pPr>
              <w:pStyle w:val="Tabletext"/>
            </w:pPr>
            <w:r w:rsidRPr="00B93493">
              <w:t>Paging</w:t>
            </w:r>
          </w:p>
        </w:tc>
        <w:tc>
          <w:tcPr>
            <w:tcW w:w="851" w:type="dxa"/>
            <w:tcBorders>
              <w:top w:val="single" w:sz="4" w:space="0" w:color="auto"/>
              <w:left w:val="single" w:sz="4" w:space="0" w:color="auto"/>
              <w:bottom w:val="single" w:sz="4" w:space="0" w:color="auto"/>
              <w:right w:val="single" w:sz="4" w:space="0" w:color="auto"/>
            </w:tcBorders>
          </w:tcPr>
          <w:p w14:paraId="62DB5865" w14:textId="77777777" w:rsidR="00CF04BC" w:rsidRPr="00B93493" w:rsidRDefault="00CF04BC" w:rsidP="002E7F54">
            <w:pPr>
              <w:pStyle w:val="Tabletext"/>
              <w:jc w:val="center"/>
            </w:pPr>
            <w:r w:rsidRPr="00B93493">
              <w:t>60</w:t>
            </w:r>
          </w:p>
        </w:tc>
        <w:tc>
          <w:tcPr>
            <w:tcW w:w="760" w:type="dxa"/>
            <w:tcBorders>
              <w:top w:val="single" w:sz="4" w:space="0" w:color="auto"/>
              <w:left w:val="single" w:sz="4" w:space="0" w:color="auto"/>
              <w:bottom w:val="single" w:sz="4" w:space="0" w:color="auto"/>
              <w:right w:val="single" w:sz="4" w:space="0" w:color="auto"/>
            </w:tcBorders>
          </w:tcPr>
          <w:p w14:paraId="13DB004C" w14:textId="77777777" w:rsidR="00CF04BC" w:rsidRPr="00B93493" w:rsidRDefault="00CF04BC" w:rsidP="002E7F54">
            <w:pPr>
              <w:pStyle w:val="Tabletext"/>
              <w:jc w:val="center"/>
            </w:pPr>
            <w:r w:rsidRPr="00B93493">
              <w:t>6.00</w:t>
            </w:r>
          </w:p>
        </w:tc>
        <w:tc>
          <w:tcPr>
            <w:tcW w:w="851" w:type="dxa"/>
            <w:tcBorders>
              <w:top w:val="single" w:sz="4" w:space="0" w:color="auto"/>
              <w:left w:val="single" w:sz="4" w:space="0" w:color="auto"/>
              <w:bottom w:val="single" w:sz="4" w:space="0" w:color="auto"/>
              <w:right w:val="single" w:sz="4" w:space="0" w:color="auto"/>
            </w:tcBorders>
          </w:tcPr>
          <w:p w14:paraId="53A722C6"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4DEDE47D"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3A637217" w14:textId="77777777" w:rsidR="00CF04BC" w:rsidRPr="00B93493" w:rsidRDefault="00CF04BC" w:rsidP="002E7F54">
            <w:pPr>
              <w:pStyle w:val="Tabletext"/>
              <w:jc w:val="center"/>
            </w:pPr>
            <w:r w:rsidRPr="00B93493">
              <w:t>5</w:t>
            </w:r>
          </w:p>
        </w:tc>
      </w:tr>
      <w:tr w:rsidR="00CF04BC" w:rsidRPr="00B93493" w14:paraId="196FE1D2"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2DCB3F39" w14:textId="77777777" w:rsidR="00CF04BC" w:rsidRPr="00B93493" w:rsidRDefault="00CF04BC" w:rsidP="002E7F54">
            <w:pPr>
              <w:pStyle w:val="Tabletext"/>
            </w:pPr>
            <w:r w:rsidRPr="00B93493">
              <w:t>Mobile communication</w:t>
            </w:r>
          </w:p>
        </w:tc>
        <w:tc>
          <w:tcPr>
            <w:tcW w:w="851" w:type="dxa"/>
            <w:tcBorders>
              <w:top w:val="single" w:sz="4" w:space="0" w:color="auto"/>
              <w:left w:val="single" w:sz="4" w:space="0" w:color="auto"/>
              <w:bottom w:val="single" w:sz="4" w:space="0" w:color="auto"/>
              <w:right w:val="single" w:sz="4" w:space="0" w:color="auto"/>
            </w:tcBorders>
          </w:tcPr>
          <w:p w14:paraId="694541C6" w14:textId="77777777" w:rsidR="00CF04BC" w:rsidRPr="00B93493" w:rsidRDefault="00CF04BC" w:rsidP="002E7F54">
            <w:pPr>
              <w:pStyle w:val="Tabletext"/>
              <w:jc w:val="center"/>
            </w:pPr>
            <w:r w:rsidRPr="00B93493">
              <w:t>10</w:t>
            </w:r>
          </w:p>
        </w:tc>
        <w:tc>
          <w:tcPr>
            <w:tcW w:w="760" w:type="dxa"/>
            <w:tcBorders>
              <w:top w:val="single" w:sz="4" w:space="0" w:color="auto"/>
              <w:left w:val="single" w:sz="4" w:space="0" w:color="auto"/>
              <w:bottom w:val="single" w:sz="4" w:space="0" w:color="auto"/>
              <w:right w:val="single" w:sz="4" w:space="0" w:color="auto"/>
            </w:tcBorders>
          </w:tcPr>
          <w:p w14:paraId="20F9417E" w14:textId="77777777" w:rsidR="00CF04BC" w:rsidRPr="00B93493" w:rsidRDefault="00CF04BC" w:rsidP="002E7F54">
            <w:pPr>
              <w:pStyle w:val="Tabletext"/>
              <w:jc w:val="center"/>
            </w:pPr>
            <w:r w:rsidRPr="00B93493">
              <w:t>6.00</w:t>
            </w:r>
          </w:p>
        </w:tc>
        <w:tc>
          <w:tcPr>
            <w:tcW w:w="851" w:type="dxa"/>
            <w:tcBorders>
              <w:top w:val="single" w:sz="4" w:space="0" w:color="auto"/>
              <w:left w:val="single" w:sz="4" w:space="0" w:color="auto"/>
              <w:bottom w:val="single" w:sz="4" w:space="0" w:color="auto"/>
              <w:right w:val="single" w:sz="4" w:space="0" w:color="auto"/>
            </w:tcBorders>
          </w:tcPr>
          <w:p w14:paraId="15523C38"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0EDCE1BA"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4ACC4495" w14:textId="77777777" w:rsidR="00CF04BC" w:rsidRPr="00B93493" w:rsidRDefault="00CF04BC" w:rsidP="002E7F54">
            <w:pPr>
              <w:pStyle w:val="Tabletext"/>
              <w:jc w:val="center"/>
            </w:pPr>
            <w:r w:rsidRPr="00B93493">
              <w:t>5</w:t>
            </w:r>
          </w:p>
        </w:tc>
      </w:tr>
      <w:tr w:rsidR="00CF04BC" w:rsidRPr="00B93493" w14:paraId="1EA70C8D"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7436F905" w14:textId="77777777" w:rsidR="00CF04BC" w:rsidRPr="00B93493" w:rsidRDefault="00CF04BC" w:rsidP="002E7F54">
            <w:pPr>
              <w:pStyle w:val="Tabletext"/>
            </w:pPr>
            <w:r w:rsidRPr="00B93493">
              <w:t>Radiocommunication in CB range</w:t>
            </w:r>
          </w:p>
        </w:tc>
        <w:tc>
          <w:tcPr>
            <w:tcW w:w="851" w:type="dxa"/>
            <w:tcBorders>
              <w:top w:val="single" w:sz="4" w:space="0" w:color="auto"/>
              <w:left w:val="single" w:sz="4" w:space="0" w:color="auto"/>
              <w:bottom w:val="single" w:sz="4" w:space="0" w:color="auto"/>
              <w:right w:val="single" w:sz="4" w:space="0" w:color="auto"/>
            </w:tcBorders>
          </w:tcPr>
          <w:p w14:paraId="7BFC3CCF" w14:textId="77777777" w:rsidR="00CF04BC" w:rsidRPr="00B93493" w:rsidRDefault="00CF04BC" w:rsidP="002E7F54">
            <w:pPr>
              <w:pStyle w:val="Tabletext"/>
              <w:jc w:val="center"/>
            </w:pPr>
            <w:r w:rsidRPr="00B93493">
              <w:t>0.12</w:t>
            </w:r>
          </w:p>
        </w:tc>
        <w:tc>
          <w:tcPr>
            <w:tcW w:w="760" w:type="dxa"/>
            <w:tcBorders>
              <w:top w:val="single" w:sz="4" w:space="0" w:color="auto"/>
              <w:left w:val="single" w:sz="4" w:space="0" w:color="auto"/>
              <w:bottom w:val="single" w:sz="4" w:space="0" w:color="auto"/>
              <w:right w:val="single" w:sz="4" w:space="0" w:color="auto"/>
            </w:tcBorders>
          </w:tcPr>
          <w:p w14:paraId="16B5C51E" w14:textId="77777777" w:rsidR="00CF04BC" w:rsidRPr="00B93493" w:rsidRDefault="00CF04BC" w:rsidP="002E7F54">
            <w:pPr>
              <w:pStyle w:val="Tabletext"/>
              <w:jc w:val="center"/>
            </w:pPr>
            <w:r w:rsidRPr="00B93493">
              <w:t>1.00</w:t>
            </w:r>
          </w:p>
        </w:tc>
        <w:tc>
          <w:tcPr>
            <w:tcW w:w="851" w:type="dxa"/>
            <w:tcBorders>
              <w:top w:val="single" w:sz="4" w:space="0" w:color="auto"/>
              <w:left w:val="single" w:sz="4" w:space="0" w:color="auto"/>
              <w:bottom w:val="single" w:sz="4" w:space="0" w:color="auto"/>
              <w:right w:val="single" w:sz="4" w:space="0" w:color="auto"/>
            </w:tcBorders>
          </w:tcPr>
          <w:p w14:paraId="5657C360"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7FEF0B8B"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109AD341" w14:textId="77777777" w:rsidR="00CF04BC" w:rsidRPr="00B93493" w:rsidRDefault="00CF04BC" w:rsidP="002E7F54">
            <w:pPr>
              <w:pStyle w:val="Tabletext"/>
              <w:jc w:val="center"/>
            </w:pPr>
            <w:r w:rsidRPr="00B93493">
              <w:t>1</w:t>
            </w:r>
          </w:p>
        </w:tc>
      </w:tr>
      <w:tr w:rsidR="00CF04BC" w:rsidRPr="00B93493" w14:paraId="6F6CA406"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09994FF2" w14:textId="77777777" w:rsidR="00CF04BC" w:rsidRPr="00B93493" w:rsidRDefault="00CF04BC" w:rsidP="002E7F54">
            <w:pPr>
              <w:pStyle w:val="Tabletext"/>
            </w:pPr>
            <w:r w:rsidRPr="00B93493">
              <w:t>Radiolocation</w:t>
            </w:r>
          </w:p>
        </w:tc>
        <w:tc>
          <w:tcPr>
            <w:tcW w:w="851" w:type="dxa"/>
            <w:tcBorders>
              <w:top w:val="single" w:sz="4" w:space="0" w:color="auto"/>
              <w:left w:val="single" w:sz="4" w:space="0" w:color="auto"/>
              <w:bottom w:val="single" w:sz="4" w:space="0" w:color="auto"/>
              <w:right w:val="single" w:sz="4" w:space="0" w:color="auto"/>
            </w:tcBorders>
          </w:tcPr>
          <w:p w14:paraId="599CBEC5" w14:textId="77777777" w:rsidR="00CF04BC" w:rsidRPr="00B93493" w:rsidRDefault="00CF04BC" w:rsidP="002E7F54">
            <w:pPr>
              <w:pStyle w:val="Tabletext"/>
              <w:jc w:val="center"/>
            </w:pPr>
            <w:r w:rsidRPr="00B93493">
              <w:t>0.15</w:t>
            </w:r>
          </w:p>
        </w:tc>
        <w:tc>
          <w:tcPr>
            <w:tcW w:w="760" w:type="dxa"/>
            <w:tcBorders>
              <w:top w:val="single" w:sz="4" w:space="0" w:color="auto"/>
              <w:left w:val="single" w:sz="4" w:space="0" w:color="auto"/>
              <w:bottom w:val="single" w:sz="4" w:space="0" w:color="auto"/>
              <w:right w:val="single" w:sz="4" w:space="0" w:color="auto"/>
            </w:tcBorders>
          </w:tcPr>
          <w:p w14:paraId="6D4F6CD2" w14:textId="77777777" w:rsidR="00CF04BC" w:rsidRPr="00B93493" w:rsidRDefault="00CF04BC" w:rsidP="002E7F54">
            <w:pPr>
              <w:pStyle w:val="Tabletext"/>
              <w:jc w:val="center"/>
            </w:pPr>
            <w:r w:rsidRPr="00B93493">
              <w:t>0.10</w:t>
            </w:r>
          </w:p>
        </w:tc>
        <w:tc>
          <w:tcPr>
            <w:tcW w:w="851" w:type="dxa"/>
            <w:tcBorders>
              <w:top w:val="single" w:sz="4" w:space="0" w:color="auto"/>
              <w:left w:val="single" w:sz="4" w:space="0" w:color="auto"/>
              <w:bottom w:val="single" w:sz="4" w:space="0" w:color="auto"/>
              <w:right w:val="single" w:sz="4" w:space="0" w:color="auto"/>
            </w:tcBorders>
          </w:tcPr>
          <w:p w14:paraId="1B0EABA7"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1CDBE6C8"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3B315A94" w14:textId="77777777" w:rsidR="00CF04BC" w:rsidRPr="00B93493" w:rsidRDefault="00CF04BC" w:rsidP="002E7F54">
            <w:pPr>
              <w:pStyle w:val="Tabletext"/>
              <w:jc w:val="center"/>
            </w:pPr>
            <w:r w:rsidRPr="00B93493">
              <w:t>1</w:t>
            </w:r>
          </w:p>
        </w:tc>
      </w:tr>
      <w:tr w:rsidR="00CF04BC" w:rsidRPr="00B93493" w14:paraId="3912A1F9"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35DD663A" w14:textId="77777777" w:rsidR="00CF04BC" w:rsidRPr="00B93493" w:rsidRDefault="00CF04BC" w:rsidP="002E7F54">
            <w:pPr>
              <w:pStyle w:val="Tabletext"/>
            </w:pPr>
            <w:r w:rsidRPr="00B93493">
              <w:t>The security radio signal system</w:t>
            </w:r>
          </w:p>
        </w:tc>
        <w:tc>
          <w:tcPr>
            <w:tcW w:w="851" w:type="dxa"/>
            <w:tcBorders>
              <w:top w:val="single" w:sz="4" w:space="0" w:color="auto"/>
              <w:left w:val="single" w:sz="4" w:space="0" w:color="auto"/>
              <w:bottom w:val="single" w:sz="4" w:space="0" w:color="auto"/>
              <w:right w:val="single" w:sz="4" w:space="0" w:color="auto"/>
            </w:tcBorders>
          </w:tcPr>
          <w:p w14:paraId="09A79637" w14:textId="77777777" w:rsidR="00CF04BC" w:rsidRPr="00B93493" w:rsidRDefault="00CF04BC" w:rsidP="002E7F54">
            <w:pPr>
              <w:pStyle w:val="Tabletext"/>
              <w:jc w:val="center"/>
            </w:pPr>
            <w:r w:rsidRPr="00B93493">
              <w:t>6</w:t>
            </w:r>
          </w:p>
        </w:tc>
        <w:tc>
          <w:tcPr>
            <w:tcW w:w="760" w:type="dxa"/>
            <w:tcBorders>
              <w:top w:val="single" w:sz="4" w:space="0" w:color="auto"/>
              <w:left w:val="single" w:sz="4" w:space="0" w:color="auto"/>
              <w:bottom w:val="single" w:sz="4" w:space="0" w:color="auto"/>
              <w:right w:val="single" w:sz="4" w:space="0" w:color="auto"/>
            </w:tcBorders>
          </w:tcPr>
          <w:p w14:paraId="7D3A78F8" w14:textId="77777777" w:rsidR="00CF04BC" w:rsidRPr="00B93493" w:rsidRDefault="00CF04BC" w:rsidP="002E7F54">
            <w:pPr>
              <w:pStyle w:val="Tabletext"/>
              <w:jc w:val="center"/>
            </w:pPr>
            <w:r w:rsidRPr="00B93493">
              <w:t>1.0</w:t>
            </w:r>
          </w:p>
        </w:tc>
        <w:tc>
          <w:tcPr>
            <w:tcW w:w="851" w:type="dxa"/>
            <w:tcBorders>
              <w:top w:val="single" w:sz="4" w:space="0" w:color="auto"/>
              <w:left w:val="single" w:sz="4" w:space="0" w:color="auto"/>
              <w:bottom w:val="single" w:sz="4" w:space="0" w:color="auto"/>
              <w:right w:val="single" w:sz="4" w:space="0" w:color="auto"/>
            </w:tcBorders>
          </w:tcPr>
          <w:p w14:paraId="473FBCC0"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7338F8EC"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6BB27A81" w14:textId="77777777" w:rsidR="00CF04BC" w:rsidRPr="00B93493" w:rsidRDefault="00CF04BC" w:rsidP="002E7F54">
            <w:pPr>
              <w:pStyle w:val="Tabletext"/>
              <w:jc w:val="center"/>
            </w:pPr>
            <w:r w:rsidRPr="00B93493">
              <w:t>2</w:t>
            </w:r>
          </w:p>
        </w:tc>
      </w:tr>
      <w:tr w:rsidR="00CF04BC" w:rsidRPr="00B93493" w14:paraId="744E3AAD"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1ADC91B8" w14:textId="77777777" w:rsidR="00CF04BC" w:rsidRPr="00B93493" w:rsidRDefault="00CF04BC" w:rsidP="002E7F54">
            <w:pPr>
              <w:pStyle w:val="Tabletext"/>
            </w:pPr>
            <w:r w:rsidRPr="00B93493">
              <w:t>Earth station for fixed</w:t>
            </w:r>
            <w:r w:rsidRPr="00B93493">
              <w:noBreakHyphen/>
              <w:t>satellite service</w:t>
            </w:r>
          </w:p>
        </w:tc>
        <w:tc>
          <w:tcPr>
            <w:tcW w:w="851" w:type="dxa"/>
            <w:tcBorders>
              <w:top w:val="single" w:sz="4" w:space="0" w:color="auto"/>
              <w:left w:val="single" w:sz="4" w:space="0" w:color="auto"/>
              <w:bottom w:val="single" w:sz="4" w:space="0" w:color="auto"/>
              <w:right w:val="single" w:sz="4" w:space="0" w:color="auto"/>
            </w:tcBorders>
          </w:tcPr>
          <w:p w14:paraId="1ACF0588" w14:textId="77777777" w:rsidR="00CF04BC" w:rsidRPr="00B93493" w:rsidRDefault="00CF04BC" w:rsidP="002E7F54">
            <w:pPr>
              <w:pStyle w:val="Tabletext"/>
              <w:jc w:val="center"/>
            </w:pPr>
            <w:r w:rsidRPr="00B93493">
              <w:t>40</w:t>
            </w:r>
          </w:p>
        </w:tc>
        <w:tc>
          <w:tcPr>
            <w:tcW w:w="760" w:type="dxa"/>
            <w:tcBorders>
              <w:top w:val="single" w:sz="4" w:space="0" w:color="auto"/>
              <w:left w:val="single" w:sz="4" w:space="0" w:color="auto"/>
              <w:bottom w:val="single" w:sz="4" w:space="0" w:color="auto"/>
              <w:right w:val="single" w:sz="4" w:space="0" w:color="auto"/>
            </w:tcBorders>
          </w:tcPr>
          <w:p w14:paraId="1313E30A" w14:textId="77777777" w:rsidR="00CF04BC" w:rsidRPr="00B93493" w:rsidRDefault="00CF04BC" w:rsidP="002E7F54">
            <w:pPr>
              <w:pStyle w:val="Tabletext"/>
              <w:jc w:val="center"/>
            </w:pPr>
            <w:r w:rsidRPr="00B93493">
              <w:t>1.00</w:t>
            </w:r>
          </w:p>
          <w:p w14:paraId="7CF9A5AF" w14:textId="77777777" w:rsidR="00CF04BC" w:rsidRPr="00B93493" w:rsidRDefault="00CF04BC" w:rsidP="002E7F54">
            <w:pPr>
              <w:pStyle w:val="Tabletext"/>
              <w:jc w:val="center"/>
            </w:pPr>
            <w:r w:rsidRPr="00B93493">
              <w:t>0.30*</w:t>
            </w:r>
          </w:p>
        </w:tc>
        <w:tc>
          <w:tcPr>
            <w:tcW w:w="851" w:type="dxa"/>
            <w:tcBorders>
              <w:top w:val="single" w:sz="4" w:space="0" w:color="auto"/>
              <w:left w:val="single" w:sz="4" w:space="0" w:color="auto"/>
              <w:bottom w:val="single" w:sz="4" w:space="0" w:color="auto"/>
              <w:right w:val="single" w:sz="4" w:space="0" w:color="auto"/>
            </w:tcBorders>
          </w:tcPr>
          <w:p w14:paraId="10562D7A"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551B6162"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1673D20F" w14:textId="77777777" w:rsidR="00CF04BC" w:rsidRPr="00B93493" w:rsidRDefault="00CF04BC" w:rsidP="002E7F54">
            <w:pPr>
              <w:pStyle w:val="Tabletext"/>
              <w:jc w:val="center"/>
            </w:pPr>
            <w:r w:rsidRPr="00B93493">
              <w:t>1</w:t>
            </w:r>
          </w:p>
        </w:tc>
      </w:tr>
      <w:tr w:rsidR="00CF04BC" w:rsidRPr="00B93493" w14:paraId="2F72E386" w14:textId="77777777" w:rsidTr="002E7F54">
        <w:trPr>
          <w:cantSplit/>
          <w:jc w:val="center"/>
        </w:trPr>
        <w:tc>
          <w:tcPr>
            <w:tcW w:w="5443" w:type="dxa"/>
            <w:tcBorders>
              <w:top w:val="single" w:sz="4" w:space="0" w:color="auto"/>
              <w:left w:val="single" w:sz="4" w:space="0" w:color="auto"/>
              <w:bottom w:val="single" w:sz="4" w:space="0" w:color="auto"/>
              <w:right w:val="single" w:sz="4" w:space="0" w:color="auto"/>
            </w:tcBorders>
          </w:tcPr>
          <w:p w14:paraId="782DE5A5" w14:textId="77777777" w:rsidR="00CF04BC" w:rsidRPr="00B93493" w:rsidRDefault="00CF04BC" w:rsidP="002E7F54">
            <w:pPr>
              <w:pStyle w:val="Tabletext"/>
            </w:pPr>
            <w:r w:rsidRPr="00B93493">
              <w:t>Feeder link for broadcasting-satellite service</w:t>
            </w:r>
          </w:p>
        </w:tc>
        <w:tc>
          <w:tcPr>
            <w:tcW w:w="851" w:type="dxa"/>
            <w:tcBorders>
              <w:top w:val="single" w:sz="4" w:space="0" w:color="auto"/>
              <w:left w:val="single" w:sz="4" w:space="0" w:color="auto"/>
              <w:bottom w:val="single" w:sz="4" w:space="0" w:color="auto"/>
              <w:right w:val="single" w:sz="4" w:space="0" w:color="auto"/>
            </w:tcBorders>
          </w:tcPr>
          <w:p w14:paraId="13CFF33D" w14:textId="77777777" w:rsidR="00CF04BC" w:rsidRPr="00B93493" w:rsidRDefault="00CF04BC" w:rsidP="002E7F54">
            <w:pPr>
              <w:pStyle w:val="Tabletext"/>
              <w:jc w:val="center"/>
            </w:pPr>
            <w:r w:rsidRPr="00B93493">
              <w:t>7</w:t>
            </w:r>
          </w:p>
        </w:tc>
        <w:tc>
          <w:tcPr>
            <w:tcW w:w="760" w:type="dxa"/>
            <w:tcBorders>
              <w:top w:val="single" w:sz="4" w:space="0" w:color="auto"/>
              <w:left w:val="single" w:sz="4" w:space="0" w:color="auto"/>
              <w:bottom w:val="single" w:sz="4" w:space="0" w:color="auto"/>
              <w:right w:val="single" w:sz="4" w:space="0" w:color="auto"/>
            </w:tcBorders>
          </w:tcPr>
          <w:p w14:paraId="2BB32E39" w14:textId="77777777" w:rsidR="00CF04BC" w:rsidRPr="00B93493" w:rsidRDefault="00CF04BC" w:rsidP="002E7F54">
            <w:pPr>
              <w:pStyle w:val="Tabletext"/>
              <w:jc w:val="center"/>
            </w:pPr>
            <w:r w:rsidRPr="00B93493">
              <w:t>0.30</w:t>
            </w:r>
          </w:p>
        </w:tc>
        <w:tc>
          <w:tcPr>
            <w:tcW w:w="851" w:type="dxa"/>
            <w:tcBorders>
              <w:top w:val="single" w:sz="4" w:space="0" w:color="auto"/>
              <w:left w:val="single" w:sz="4" w:space="0" w:color="auto"/>
              <w:bottom w:val="single" w:sz="4" w:space="0" w:color="auto"/>
              <w:right w:val="single" w:sz="4" w:space="0" w:color="auto"/>
            </w:tcBorders>
          </w:tcPr>
          <w:p w14:paraId="140109FD" w14:textId="77777777" w:rsidR="00CF04BC" w:rsidRPr="00B93493" w:rsidRDefault="00CF04BC" w:rsidP="002E7F54">
            <w:pPr>
              <w:pStyle w:val="Tabletext"/>
              <w:jc w:val="center"/>
            </w:pPr>
            <w:r w:rsidRPr="00B93493">
              <w:t>1</w:t>
            </w:r>
          </w:p>
        </w:tc>
        <w:tc>
          <w:tcPr>
            <w:tcW w:w="942" w:type="dxa"/>
            <w:tcBorders>
              <w:top w:val="single" w:sz="4" w:space="0" w:color="auto"/>
              <w:left w:val="single" w:sz="4" w:space="0" w:color="auto"/>
              <w:bottom w:val="single" w:sz="4" w:space="0" w:color="auto"/>
              <w:right w:val="single" w:sz="4" w:space="0" w:color="auto"/>
            </w:tcBorders>
          </w:tcPr>
          <w:p w14:paraId="06E8FB1E" w14:textId="77777777" w:rsidR="00CF04BC" w:rsidRPr="00B93493" w:rsidRDefault="00CF04BC" w:rsidP="002E7F54">
            <w:pPr>
              <w:pStyle w:val="Tabletext"/>
              <w:jc w:val="center"/>
            </w:pPr>
            <w:r w:rsidRPr="00B93493">
              <w:t>0.1</w:t>
            </w:r>
          </w:p>
        </w:tc>
        <w:tc>
          <w:tcPr>
            <w:tcW w:w="851" w:type="dxa"/>
            <w:tcBorders>
              <w:top w:val="single" w:sz="4" w:space="0" w:color="auto"/>
              <w:left w:val="single" w:sz="4" w:space="0" w:color="auto"/>
              <w:bottom w:val="single" w:sz="4" w:space="0" w:color="auto"/>
              <w:right w:val="single" w:sz="4" w:space="0" w:color="auto"/>
            </w:tcBorders>
          </w:tcPr>
          <w:p w14:paraId="32F656F6" w14:textId="77777777" w:rsidR="00CF04BC" w:rsidRPr="00B93493" w:rsidRDefault="00CF04BC" w:rsidP="002E7F54">
            <w:pPr>
              <w:pStyle w:val="Tabletext"/>
              <w:jc w:val="center"/>
            </w:pPr>
            <w:r w:rsidRPr="00B93493">
              <w:t>1</w:t>
            </w:r>
          </w:p>
        </w:tc>
      </w:tr>
      <w:tr w:rsidR="00CF04BC" w:rsidRPr="00B93493" w14:paraId="48C0964A" w14:textId="77777777" w:rsidTr="002E7F54">
        <w:trPr>
          <w:cantSplit/>
          <w:jc w:val="center"/>
        </w:trPr>
        <w:tc>
          <w:tcPr>
            <w:tcW w:w="9698" w:type="dxa"/>
            <w:gridSpan w:val="6"/>
            <w:tcBorders>
              <w:top w:val="single" w:sz="4" w:space="0" w:color="auto"/>
            </w:tcBorders>
          </w:tcPr>
          <w:p w14:paraId="658F6272" w14:textId="77777777" w:rsidR="00CF04BC" w:rsidRPr="00B93493" w:rsidRDefault="00CF04BC" w:rsidP="002E7F54">
            <w:pPr>
              <w:pStyle w:val="TableLegendNote"/>
              <w:rPr>
                <w:lang w:val="en-GB"/>
              </w:rPr>
            </w:pPr>
            <w:r w:rsidRPr="00B93493">
              <w:rPr>
                <w:lang w:val="en-GB"/>
              </w:rPr>
              <w:t>NOTE 1 – </w:t>
            </w:r>
            <w:r w:rsidRPr="00B93493">
              <w:rPr>
                <w:lang w:val="en-GB"/>
              </w:rPr>
              <w:sym w:font="Symbol" w:char="F061"/>
            </w:r>
            <w:r w:rsidRPr="00B93493">
              <w:rPr>
                <w:position w:val="-4"/>
                <w:vertAlign w:val="subscript"/>
                <w:lang w:val="en-GB"/>
              </w:rPr>
              <w:t>2</w:t>
            </w:r>
            <w:r w:rsidRPr="00B93493">
              <w:rPr>
                <w:lang w:val="en-GB"/>
              </w:rPr>
              <w:t>* – Value taking into account a social factor is entered for international organizations working in the territory of the Kyrgyz Republic, not representing commercial communication services and whose activity is directed towards stability of economy, development of a science, or culture.</w:t>
            </w:r>
          </w:p>
        </w:tc>
      </w:tr>
    </w:tbl>
    <w:p w14:paraId="1F527DC9" w14:textId="77777777" w:rsidR="00CF04BC" w:rsidRPr="00B93493" w:rsidRDefault="00CF04BC" w:rsidP="00CF04BC">
      <w:pPr>
        <w:pStyle w:val="Tablefin"/>
      </w:pPr>
    </w:p>
    <w:p w14:paraId="3AB046E3" w14:textId="77777777" w:rsidR="00CF04BC" w:rsidRPr="00B93493" w:rsidRDefault="00CF04BC" w:rsidP="00CF04BC">
      <w:r w:rsidRPr="00B93493">
        <w:t xml:space="preserve">Coefficient </w:t>
      </w:r>
      <w:r w:rsidRPr="00B93493">
        <w:sym w:font="Symbol" w:char="F061"/>
      </w:r>
      <w:r w:rsidRPr="00B93493">
        <w:rPr>
          <w:position w:val="-4"/>
          <w:sz w:val="16"/>
        </w:rPr>
        <w:t>3</w:t>
      </w:r>
      <w:r w:rsidRPr="00B93493">
        <w:t xml:space="preserve"> takes into account features of site location in urban and rural areas. In rural areas, where the density of the population and the level of incomes is low, the commercial value of communication services is also low and the technological costs of providing these services is high. Therefore with the purpose of support of these telecommunication operators and services, as well as for encouraging development of radiocommunications services, there is a reduction coefficient </w:t>
      </w:r>
      <w:r w:rsidRPr="00B93493">
        <w:sym w:font="Symbol" w:char="F061"/>
      </w:r>
      <w:r w:rsidRPr="00B93493">
        <w:rPr>
          <w:vertAlign w:val="subscript"/>
        </w:rPr>
        <w:t>3</w:t>
      </w:r>
      <w:r w:rsidRPr="00B93493">
        <w:t xml:space="preserve"> = 0.1 (in urban district </w:t>
      </w:r>
      <w:r w:rsidRPr="00B93493">
        <w:sym w:font="Symbol" w:char="F061"/>
      </w:r>
      <w:r w:rsidRPr="00B93493">
        <w:rPr>
          <w:vertAlign w:val="subscript"/>
        </w:rPr>
        <w:t>3</w:t>
      </w:r>
      <w:r w:rsidRPr="00B93493">
        <w:t> = 1).</w:t>
      </w:r>
    </w:p>
    <w:p w14:paraId="179C3527" w14:textId="77777777" w:rsidR="00CF04BC" w:rsidRPr="00B93493" w:rsidRDefault="00CF04BC" w:rsidP="00CF04BC">
      <w:r w:rsidRPr="00B93493">
        <w:t xml:space="preserve">Coefficient </w:t>
      </w:r>
      <w:r w:rsidRPr="00B93493">
        <w:sym w:font="Symbol" w:char="F061"/>
      </w:r>
      <w:r w:rsidRPr="00B93493">
        <w:rPr>
          <w:vertAlign w:val="subscript"/>
        </w:rPr>
        <w:t>4</w:t>
      </w:r>
      <w:r w:rsidRPr="00B93493">
        <w:t xml:space="preserve"> varies in limits from 0 up to 10 and is determined by the complexity of spectrum management functions performed. This coefficient is the highest for mobile services, as here it is required to carry out the function of radiodeterminations of mobile objects, and for television broadcasting, where it is required to determine with high accuracy a number of parameters.</w:t>
      </w:r>
    </w:p>
    <w:p w14:paraId="5EAFE5F8" w14:textId="77777777" w:rsidR="00CF04BC" w:rsidRPr="00B93493" w:rsidRDefault="00CF04BC" w:rsidP="00CF04BC">
      <w:r w:rsidRPr="00B93493">
        <w:t xml:space="preserve">Thus, with the help of weighting coefficients </w:t>
      </w:r>
      <w:r w:rsidRPr="00B93493">
        <w:rPr>
          <w:i/>
          <w:iCs/>
        </w:rPr>
        <w:t>K</w:t>
      </w:r>
      <w:r w:rsidRPr="00B93493">
        <w:rPr>
          <w:i/>
          <w:iCs/>
          <w:vertAlign w:val="subscript"/>
        </w:rPr>
        <w:t>j</w:t>
      </w:r>
      <w:r w:rsidRPr="00B93493">
        <w:t xml:space="preserve">, </w:t>
      </w:r>
      <w:r w:rsidRPr="00B93493">
        <w:sym w:font="Symbol" w:char="F061"/>
      </w:r>
      <w:r w:rsidRPr="00B93493">
        <w:rPr>
          <w:i/>
          <w:iCs/>
          <w:vertAlign w:val="subscript"/>
        </w:rPr>
        <w:t>i</w:t>
      </w:r>
      <w:r w:rsidRPr="00B93493">
        <w:t xml:space="preserve">, and </w:t>
      </w:r>
      <w:r w:rsidRPr="00B93493">
        <w:sym w:font="Symbol" w:char="F062"/>
      </w:r>
      <w:r w:rsidRPr="00B93493">
        <w:rPr>
          <w:i/>
          <w:iCs/>
          <w:vertAlign w:val="subscript"/>
        </w:rPr>
        <w:t>i</w:t>
      </w:r>
      <w:r w:rsidRPr="00B93493">
        <w:t xml:space="preserve"> in formulas (60) and (61), according to formula (59) it is possible to determine the given (in view of the various factors) frequency resource </w:t>
      </w:r>
      <w:r w:rsidRPr="00B93493">
        <w:rPr>
          <w:i/>
          <w:iCs/>
        </w:rPr>
        <w:t>Z</w:t>
      </w:r>
      <w:r w:rsidRPr="00B93493">
        <w:rPr>
          <w:i/>
          <w:iCs/>
          <w:vertAlign w:val="subscript"/>
        </w:rPr>
        <w:t>i</w:t>
      </w:r>
      <w:r w:rsidRPr="00B93493">
        <w:t xml:space="preserve"> for each frequency assignment. Then it is possible to determine the general frequency resource used in the Kyrgyz Republic, according to formula (63):</w:t>
      </w:r>
    </w:p>
    <w:p w14:paraId="1D163BE7" w14:textId="77777777" w:rsidR="00CF04BC" w:rsidRPr="00B93493" w:rsidRDefault="00CF04BC" w:rsidP="00CF04BC">
      <w:pPr>
        <w:pStyle w:val="Blanc"/>
      </w:pPr>
    </w:p>
    <w:p w14:paraId="7904DA77" w14:textId="77777777" w:rsidR="00CF04BC" w:rsidRPr="00B93493" w:rsidRDefault="00CF04BC" w:rsidP="00CF04BC">
      <w:pPr>
        <w:pStyle w:val="Equation"/>
      </w:pPr>
      <w:r w:rsidRPr="00B93493">
        <w:tab/>
      </w:r>
      <w:r w:rsidRPr="00B93493">
        <w:tab/>
      </w:r>
      <w:r w:rsidRPr="00B93493">
        <w:rPr>
          <w:position w:val="-36"/>
          <w:sz w:val="20"/>
        </w:rPr>
        <w:object w:dxaOrig="1274" w:dyaOrig="832" w14:anchorId="49B889E1">
          <v:shape id="_x0000_i1095" type="#_x0000_t75" style="width:63.35pt;height:38.6pt" o:ole="">
            <v:imagedata r:id="rId177" o:title=""/>
          </v:shape>
          <o:OLEObject Type="Embed" ProgID="Equation.3" ShapeID="_x0000_i1095" DrawAspect="Content" ObjectID="_1812968377" r:id="rId178"/>
        </w:object>
      </w:r>
      <w:r w:rsidRPr="00B93493">
        <w:t>                kHz · km</w:t>
      </w:r>
      <w:r w:rsidRPr="00B93493">
        <w:rPr>
          <w:position w:val="6"/>
          <w:sz w:val="18"/>
        </w:rPr>
        <w:t>2</w:t>
      </w:r>
      <w:r w:rsidRPr="00B93493">
        <w:t> · 1 year</w:t>
      </w:r>
      <w:r w:rsidRPr="00B93493">
        <w:tab/>
        <w:t>(63)</w:t>
      </w:r>
    </w:p>
    <w:p w14:paraId="4A3E075C" w14:textId="77777777" w:rsidR="00CF04BC" w:rsidRPr="00B93493" w:rsidRDefault="00CF04BC" w:rsidP="00CF04BC">
      <w:pPr>
        <w:keepNext/>
        <w:keepLines/>
      </w:pPr>
      <w:r w:rsidRPr="00B93493">
        <w:t>where:</w:t>
      </w:r>
    </w:p>
    <w:p w14:paraId="48AD1F46" w14:textId="77777777" w:rsidR="00CF04BC" w:rsidRPr="00B93493" w:rsidRDefault="00CF04BC" w:rsidP="00CF04BC">
      <w:pPr>
        <w:pStyle w:val="Equationlegend"/>
        <w:keepNext/>
        <w:keepLines/>
      </w:pPr>
      <w:r w:rsidRPr="00B93493">
        <w:tab/>
      </w:r>
      <w:r w:rsidRPr="00B93493">
        <w:rPr>
          <w:i/>
          <w:iCs/>
        </w:rPr>
        <w:t>Z</w:t>
      </w:r>
      <w:r w:rsidRPr="00B93493">
        <w:rPr>
          <w:sz w:val="12"/>
        </w:rPr>
        <w:t> </w:t>
      </w:r>
      <w:r w:rsidRPr="00B93493">
        <w:t>:</w:t>
      </w:r>
      <w:r w:rsidRPr="00B93493">
        <w:tab/>
        <w:t>general frequency resource used in the Republic</w:t>
      </w:r>
    </w:p>
    <w:p w14:paraId="3495ABE1" w14:textId="77777777" w:rsidR="00CF04BC" w:rsidRPr="00B93493" w:rsidRDefault="00CF04BC" w:rsidP="00CF04BC">
      <w:pPr>
        <w:pStyle w:val="Equationlegend"/>
      </w:pPr>
      <w:r w:rsidRPr="00B93493">
        <w:tab/>
      </w:r>
      <w:r w:rsidRPr="00B93493">
        <w:rPr>
          <w:i/>
          <w:iCs/>
        </w:rPr>
        <w:t>Z</w:t>
      </w:r>
      <w:r w:rsidRPr="00B93493">
        <w:rPr>
          <w:i/>
          <w:iCs/>
          <w:vertAlign w:val="subscript"/>
        </w:rPr>
        <w:t>i</w:t>
      </w:r>
      <w:r w:rsidRPr="00B93493">
        <w:rPr>
          <w:sz w:val="12"/>
        </w:rPr>
        <w:t> </w:t>
      </w:r>
      <w:r w:rsidRPr="00B93493">
        <w:t>:</w:t>
      </w:r>
      <w:r w:rsidRPr="00B93493">
        <w:tab/>
        <w:t xml:space="preserve">frequency resource used with </w:t>
      </w:r>
      <w:r w:rsidRPr="00B93493">
        <w:rPr>
          <w:i/>
          <w:iCs/>
        </w:rPr>
        <w:t>i</w:t>
      </w:r>
      <w:r w:rsidRPr="00B93493">
        <w:t>-th frequency assignment</w:t>
      </w:r>
    </w:p>
    <w:p w14:paraId="6CEF9C58" w14:textId="77777777" w:rsidR="00CF04BC" w:rsidRPr="00B93493" w:rsidRDefault="00CF04BC" w:rsidP="00CF04BC">
      <w:pPr>
        <w:pStyle w:val="Equationlegend"/>
      </w:pPr>
      <w:r w:rsidRPr="00B93493">
        <w:tab/>
      </w:r>
      <w:r w:rsidRPr="00B93493">
        <w:rPr>
          <w:i/>
          <w:iCs/>
        </w:rPr>
        <w:t>n</w:t>
      </w:r>
      <w:r w:rsidRPr="00B93493">
        <w:rPr>
          <w:sz w:val="12"/>
        </w:rPr>
        <w:t> </w:t>
      </w:r>
      <w:r w:rsidRPr="00B93493">
        <w:t>:</w:t>
      </w:r>
      <w:r w:rsidRPr="00B93493">
        <w:tab/>
        <w:t>overall number of frequency assignments registered in the national database</w:t>
      </w:r>
    </w:p>
    <w:p w14:paraId="3F4DD25B" w14:textId="77777777" w:rsidR="00CF04BC" w:rsidRPr="00B93493" w:rsidRDefault="00CF04BC" w:rsidP="00CF04BC">
      <w:pPr>
        <w:pStyle w:val="Equationlegend"/>
      </w:pPr>
      <w:r w:rsidRPr="00B93493">
        <w:tab/>
      </w:r>
      <w:r w:rsidRPr="00B93493">
        <w:rPr>
          <w:i/>
          <w:iCs/>
        </w:rPr>
        <w:t>L</w:t>
      </w:r>
      <w:r w:rsidRPr="00B93493">
        <w:rPr>
          <w:sz w:val="12"/>
        </w:rPr>
        <w:t> </w:t>
      </w:r>
      <w:r w:rsidRPr="00B93493">
        <w:t>:</w:t>
      </w:r>
      <w:r w:rsidRPr="00B93493">
        <w:tab/>
        <w:t>estimated expansion coefficient for the spectrum used. The introduction of this coefficient permits prices for spectrum to be determined in advance for the next fiscal year.</w:t>
      </w:r>
    </w:p>
    <w:p w14:paraId="278BC69A" w14:textId="77777777" w:rsidR="00CF04BC" w:rsidRPr="00B93493" w:rsidRDefault="00CF04BC" w:rsidP="00CF04BC">
      <w:pPr>
        <w:pStyle w:val="Heading4"/>
      </w:pPr>
      <w:bookmarkStart w:id="2353" w:name="_Toc497033222"/>
      <w:bookmarkStart w:id="2354" w:name="_Toc497034020"/>
      <w:r w:rsidRPr="00B93493">
        <w:t>5.2.6.3</w:t>
      </w:r>
      <w:r w:rsidRPr="00B93493">
        <w:tab/>
        <w:t>Price for the unit of the frequency resource used</w:t>
      </w:r>
      <w:bookmarkEnd w:id="2353"/>
      <w:bookmarkEnd w:id="2354"/>
    </w:p>
    <w:p w14:paraId="384EB7BF" w14:textId="77777777" w:rsidR="00CF04BC" w:rsidRPr="00B93493" w:rsidRDefault="00CF04BC" w:rsidP="00CF04BC">
      <w:r w:rsidRPr="00B93493">
        <w:t xml:space="preserve">On the basis of </w:t>
      </w:r>
      <w:r>
        <w:t>equation</w:t>
      </w:r>
      <w:r w:rsidRPr="00B93493">
        <w:t xml:space="preserve"> (56), and in view of </w:t>
      </w:r>
      <w:r>
        <w:t>equations</w:t>
      </w:r>
      <w:r w:rsidRPr="00B93493">
        <w:t xml:space="preserve"> (57) and (58), the total amount of annual payments is determined.</w:t>
      </w:r>
    </w:p>
    <w:p w14:paraId="3EEBDDE6" w14:textId="77777777" w:rsidR="00CF04BC" w:rsidRPr="00B93493" w:rsidRDefault="00CF04BC" w:rsidP="00CF04BC">
      <w:r w:rsidRPr="00B93493">
        <w:t xml:space="preserve">On the basis of </w:t>
      </w:r>
      <w:r>
        <w:t>equation</w:t>
      </w:r>
      <w:r w:rsidRPr="00B93493">
        <w:t xml:space="preserve"> (63)</w:t>
      </w:r>
      <w:r>
        <w:t>,</w:t>
      </w:r>
      <w:r w:rsidRPr="00B93493">
        <w:t xml:space="preserve"> the value of the spectrum annually used in the Republic is determined.</w:t>
      </w:r>
    </w:p>
    <w:p w14:paraId="79AC8D47" w14:textId="77777777" w:rsidR="00CF04BC" w:rsidRPr="00B93493" w:rsidRDefault="00CF04BC" w:rsidP="00CF04BC">
      <w:r w:rsidRPr="00B93493">
        <w:t xml:space="preserve">Then it is possible to determine the price of </w:t>
      </w:r>
      <w:r w:rsidRPr="00B93493">
        <w:sym w:font="Symbol" w:char="F044"/>
      </w:r>
      <w:r w:rsidRPr="00B93493">
        <w:rPr>
          <w:i/>
          <w:iCs/>
        </w:rPr>
        <w:t>C</w:t>
      </w:r>
      <w:r w:rsidRPr="00B93493">
        <w:rPr>
          <w:i/>
          <w:iCs/>
          <w:vertAlign w:val="subscript"/>
        </w:rPr>
        <w:t>ann</w:t>
      </w:r>
      <w:r w:rsidRPr="00B93493">
        <w:t xml:space="preserve"> for a conventional unit of the frequency resource:</w:t>
      </w:r>
    </w:p>
    <w:p w14:paraId="6BB4DCFE" w14:textId="77777777" w:rsidR="00CF04BC" w:rsidRPr="00B93493" w:rsidRDefault="00CF04BC" w:rsidP="00CF04BC">
      <w:pPr>
        <w:pStyle w:val="Blanc"/>
      </w:pPr>
    </w:p>
    <w:p w14:paraId="148EF463" w14:textId="77777777" w:rsidR="00CF04BC" w:rsidRPr="00B93493" w:rsidRDefault="00CF04BC" w:rsidP="00CF04BC">
      <w:pPr>
        <w:pStyle w:val="Equation"/>
      </w:pPr>
      <w:r w:rsidRPr="00B93493">
        <w:tab/>
      </w:r>
      <w:r w:rsidRPr="00B93493">
        <w:tab/>
      </w:r>
      <w:r w:rsidRPr="00B93493">
        <w:rPr>
          <w:position w:val="-32"/>
          <w:sz w:val="20"/>
        </w:rPr>
        <w:object w:dxaOrig="3421" w:dyaOrig="708" w14:anchorId="478E5E38">
          <v:shape id="_x0000_i1096" type="#_x0000_t75" style="width:170.5pt;height:33.4pt" o:ole="">
            <v:imagedata r:id="rId179" o:title=""/>
          </v:shape>
          <o:OLEObject Type="Embed" ProgID="Equation.3" ShapeID="_x0000_i1096" DrawAspect="Content" ObjectID="_1812968378" r:id="rId180"/>
        </w:object>
      </w:r>
      <w:r w:rsidRPr="00B93493">
        <w:tab/>
        <w:t>(64)</w:t>
      </w:r>
    </w:p>
    <w:p w14:paraId="4B423409" w14:textId="77777777" w:rsidR="00CF04BC" w:rsidRPr="00B93493" w:rsidRDefault="00CF04BC" w:rsidP="00CF04BC">
      <w:pPr>
        <w:keepNext/>
        <w:keepLines/>
      </w:pPr>
      <w:r w:rsidRPr="00B93493">
        <w:t>where:</w:t>
      </w:r>
    </w:p>
    <w:p w14:paraId="45D30E58" w14:textId="77777777" w:rsidR="00CF04BC" w:rsidRPr="00B93493" w:rsidRDefault="00CF04BC" w:rsidP="00CF04BC">
      <w:pPr>
        <w:pStyle w:val="Equationlegend"/>
      </w:pPr>
      <w:r w:rsidRPr="00B93493">
        <w:tab/>
      </w:r>
      <w:r w:rsidRPr="00B93493">
        <w:rPr>
          <w:i/>
          <w:iCs/>
        </w:rPr>
        <w:t>Som</w:t>
      </w:r>
      <w:r w:rsidRPr="00B93493">
        <w:t>*</w:t>
      </w:r>
      <w:r w:rsidRPr="00B93493">
        <w:rPr>
          <w:rFonts w:ascii="Tms Rmn" w:hAnsi="Tms Rmn"/>
          <w:sz w:val="12"/>
        </w:rPr>
        <w:t> </w:t>
      </w:r>
      <w:r w:rsidRPr="00B93493">
        <w:rPr>
          <w:rFonts w:ascii="Tms Rmn" w:hAnsi="Tms Rmn"/>
        </w:rPr>
        <w:t>:</w:t>
      </w:r>
      <w:r w:rsidRPr="00B93493">
        <w:rPr>
          <w:rFonts w:ascii="Tms Rmn" w:hAnsi="Tms Rmn"/>
        </w:rPr>
        <w:tab/>
      </w:r>
      <w:r w:rsidRPr="00B93493">
        <w:t>name of the national currency.</w:t>
      </w:r>
    </w:p>
    <w:p w14:paraId="4CDA0DF9" w14:textId="77777777" w:rsidR="00CF04BC" w:rsidRPr="00B93493" w:rsidRDefault="00CF04BC" w:rsidP="00CF04BC">
      <w:pPr>
        <w:pStyle w:val="Heading4"/>
      </w:pPr>
      <w:bookmarkStart w:id="2355" w:name="_Toc497033223"/>
      <w:bookmarkStart w:id="2356" w:name="_Toc497034021"/>
      <w:r w:rsidRPr="00B93493">
        <w:t>5.2.6.4</w:t>
      </w:r>
      <w:r w:rsidRPr="00B93493">
        <w:tab/>
        <w:t>Annual fees for a particular frequency assignment</w:t>
      </w:r>
      <w:bookmarkEnd w:id="2355"/>
      <w:bookmarkEnd w:id="2356"/>
    </w:p>
    <w:p w14:paraId="6456F8A6" w14:textId="77777777" w:rsidR="00CF04BC" w:rsidRPr="00B93493" w:rsidRDefault="00CF04BC" w:rsidP="00CF04BC">
      <w:r w:rsidRPr="00B93493">
        <w:t xml:space="preserve">According to </w:t>
      </w:r>
      <w:r>
        <w:t>equation</w:t>
      </w:r>
      <w:r w:rsidRPr="00B93493">
        <w:t xml:space="preserve"> (64)</w:t>
      </w:r>
      <w:r>
        <w:t>,</w:t>
      </w:r>
      <w:r w:rsidRPr="00B93493">
        <w:t xml:space="preserve"> the price </w:t>
      </w:r>
      <w:r w:rsidRPr="00B93493">
        <w:sym w:font="Symbol" w:char="F044"/>
      </w:r>
      <w:r w:rsidRPr="00B93493">
        <w:rPr>
          <w:i/>
          <w:iCs/>
        </w:rPr>
        <w:t>C</w:t>
      </w:r>
      <w:r w:rsidRPr="00B93493">
        <w:rPr>
          <w:i/>
          <w:iCs/>
          <w:vertAlign w:val="subscript"/>
        </w:rPr>
        <w:t>ann</w:t>
      </w:r>
      <w:r w:rsidRPr="00B93493">
        <w:t xml:space="preserve"> for the conventional unit of the frequency resource is determined.</w:t>
      </w:r>
    </w:p>
    <w:p w14:paraId="778DE76C" w14:textId="77777777" w:rsidR="00CF04BC" w:rsidRPr="00B93493" w:rsidRDefault="00CF04BC" w:rsidP="00CF04BC">
      <w:r w:rsidRPr="00B93493">
        <w:t xml:space="preserve">According to </w:t>
      </w:r>
      <w:r>
        <w:t>equation</w:t>
      </w:r>
      <w:r w:rsidRPr="00B93493">
        <w:t xml:space="preserve"> (59)</w:t>
      </w:r>
      <w:r>
        <w:t>,</w:t>
      </w:r>
      <w:r w:rsidRPr="00B93493">
        <w:t xml:space="preserve"> the frequency resource </w:t>
      </w:r>
      <w:r w:rsidRPr="00B93493">
        <w:rPr>
          <w:i/>
          <w:iCs/>
        </w:rPr>
        <w:t>Z</w:t>
      </w:r>
      <w:r w:rsidRPr="00B93493">
        <w:rPr>
          <w:i/>
          <w:iCs/>
          <w:vertAlign w:val="subscript"/>
        </w:rPr>
        <w:t>i</w:t>
      </w:r>
      <w:r w:rsidRPr="00B93493">
        <w:t xml:space="preserve"> used for a particular frequency assignment is determined. Then the amount of the annual payment </w:t>
      </w:r>
      <w:r w:rsidRPr="00B93493">
        <w:rPr>
          <w:i/>
          <w:iCs/>
        </w:rPr>
        <w:t>C</w:t>
      </w:r>
      <w:r w:rsidRPr="00B93493">
        <w:rPr>
          <w:i/>
          <w:iCs/>
          <w:vertAlign w:val="subscript"/>
        </w:rPr>
        <w:t>i</w:t>
      </w:r>
      <w:r w:rsidRPr="00B93493">
        <w:t xml:space="preserve"> from a specific user of the spectrum for a specific </w:t>
      </w:r>
      <w:r w:rsidRPr="00B93493">
        <w:rPr>
          <w:i/>
          <w:iCs/>
        </w:rPr>
        <w:t>i</w:t>
      </w:r>
      <w:r w:rsidRPr="00B93493">
        <w:t>-th frequency assignment is determined by equation (65):</w:t>
      </w:r>
    </w:p>
    <w:p w14:paraId="19F40263" w14:textId="77777777" w:rsidR="00CF04BC" w:rsidRPr="00B93493" w:rsidRDefault="00CF04BC" w:rsidP="00CF04BC">
      <w:pPr>
        <w:pStyle w:val="Blanc"/>
      </w:pPr>
    </w:p>
    <w:p w14:paraId="410C5606" w14:textId="77777777" w:rsidR="00CF04BC" w:rsidRPr="00B93493" w:rsidRDefault="00CF04BC" w:rsidP="00CF04BC">
      <w:pPr>
        <w:pStyle w:val="Equation"/>
      </w:pPr>
      <w:r w:rsidRPr="00B93493">
        <w:tab/>
      </w:r>
      <w:r w:rsidRPr="00B93493">
        <w:tab/>
      </w:r>
      <w:r w:rsidRPr="00B93493">
        <w:rPr>
          <w:position w:val="-12"/>
        </w:rPr>
        <w:object w:dxaOrig="1557" w:dyaOrig="391" w14:anchorId="3BC1703F">
          <v:shape id="_x0000_i1097" type="#_x0000_t75" style="width:76.6pt;height:20.15pt" o:ole="">
            <v:imagedata r:id="rId181" o:title=""/>
          </v:shape>
          <o:OLEObject Type="Embed" ProgID="Equation.3" ShapeID="_x0000_i1097" DrawAspect="Content" ObjectID="_1812968379" r:id="rId182"/>
        </w:object>
      </w:r>
      <w:r w:rsidRPr="00B93493">
        <w:tab/>
        <w:t>(65)</w:t>
      </w:r>
    </w:p>
    <w:p w14:paraId="114CF7A7" w14:textId="77777777" w:rsidR="00CF04BC" w:rsidRPr="00B93493" w:rsidRDefault="00CF04BC" w:rsidP="00CF04BC">
      <w:pPr>
        <w:pStyle w:val="Blanc"/>
      </w:pPr>
    </w:p>
    <w:p w14:paraId="50C5827B" w14:textId="77777777" w:rsidR="00CF04BC" w:rsidRPr="00B93493" w:rsidRDefault="00CF04BC" w:rsidP="00CF04BC">
      <w:r w:rsidRPr="00B93493">
        <w:t>If any telecommunication operator has more than one frequency assignment, the payment for each assignment is determined and then they are summated.</w:t>
      </w:r>
    </w:p>
    <w:p w14:paraId="442B8718" w14:textId="77777777" w:rsidR="00CF04BC" w:rsidRPr="00B93493" w:rsidRDefault="00CF04BC" w:rsidP="00CF04BC">
      <w:pPr>
        <w:pStyle w:val="Heading4"/>
      </w:pPr>
      <w:bookmarkStart w:id="2357" w:name="_Toc497034022"/>
      <w:bookmarkStart w:id="2358" w:name="_Toc497033224"/>
      <w:r w:rsidRPr="00B93493">
        <w:t>5.2.6.5</w:t>
      </w:r>
      <w:r w:rsidRPr="00B93493">
        <w:tab/>
        <w:t>Application of the method</w:t>
      </w:r>
      <w:bookmarkEnd w:id="2357"/>
      <w:bookmarkEnd w:id="2358"/>
    </w:p>
    <w:p w14:paraId="54EA7876" w14:textId="77777777" w:rsidR="00CF04BC" w:rsidRPr="00B93493" w:rsidRDefault="00CF04BC" w:rsidP="00CF04BC">
      <w:r w:rsidRPr="00B93493">
        <w:t>This method is authorized by the NCA in a text on determination of the annual payment for all the spectrum used in the Republic. Its application is coordinated with the National Commission of the Kyrgyz Republic on Protection and Development of Competition.</w:t>
      </w:r>
    </w:p>
    <w:p w14:paraId="421C316A" w14:textId="77777777" w:rsidR="00CF04BC" w:rsidRPr="00B93493" w:rsidRDefault="00CF04BC" w:rsidP="00CF04BC">
      <w:r w:rsidRPr="00B93493">
        <w:t>There is software for the national database on frequency assignments, and calculation of the payment for a specific user does not present difficulties.</w:t>
      </w:r>
    </w:p>
    <w:p w14:paraId="4EA09496" w14:textId="77777777" w:rsidR="00CF04BC" w:rsidRPr="00B93493" w:rsidRDefault="00CF04BC" w:rsidP="00CF04BC">
      <w:r w:rsidRPr="00B93493">
        <w:t>Seminars for telecommunication operators regarding this method were conducted. Because the method is known for practically all users, transparency is provided.</w:t>
      </w:r>
    </w:p>
    <w:p w14:paraId="0171199C" w14:textId="77777777" w:rsidR="00CF04BC" w:rsidRPr="00B93493" w:rsidRDefault="00CF04BC" w:rsidP="00CF04BC">
      <w:pPr>
        <w:pStyle w:val="Heading4"/>
      </w:pPr>
      <w:bookmarkStart w:id="2359" w:name="_Toc497034023"/>
      <w:bookmarkStart w:id="2360" w:name="_Toc497033225"/>
      <w:r w:rsidRPr="00B93493">
        <w:t>5.2.6.6</w:t>
      </w:r>
      <w:r w:rsidRPr="00B93493">
        <w:tab/>
        <w:t>Funding the monitoring system</w:t>
      </w:r>
      <w:bookmarkEnd w:id="2359"/>
      <w:bookmarkEnd w:id="2360"/>
    </w:p>
    <w:p w14:paraId="6AF0245A" w14:textId="77777777" w:rsidR="00CF04BC" w:rsidRPr="00B93493" w:rsidRDefault="00CF04BC" w:rsidP="00CF04BC">
      <w:r w:rsidRPr="00B93493">
        <w:t>The Kyrgyz Republic, like the majority of new and developing countries, experienced difficulties in funding a modern system of spectrum management. The greatest difficulty was the funding of the national automated radio monitoring system, which can ensure effective spectrum management. Such a system is necessary, but its cost is high. The condition of the State budget does not allow funding of such a system.</w:t>
      </w:r>
    </w:p>
    <w:p w14:paraId="19AF70C2" w14:textId="77777777" w:rsidR="00CF04BC" w:rsidRPr="00B93493" w:rsidRDefault="00CF04BC" w:rsidP="00CF04BC">
      <w:r w:rsidRPr="00B93493">
        <w:t>One of the ways to fund such a system is a loan on preferential terms from international financial organizations or from other countries. The principal could be included in the amount of the annual payment and gradually returned to the creditor. The mechanism of return of the principal is shown in Fig. 14. It is possible to return the principal in equal payments each year. However, the payment (principal and interest) would be very high in the first years of return of the principal.</w:t>
      </w:r>
    </w:p>
    <w:p w14:paraId="7A857C3E" w14:textId="77777777" w:rsidR="00CF04BC" w:rsidRPr="00B93493" w:rsidRDefault="00CF04BC" w:rsidP="00CF04BC">
      <w:r w:rsidRPr="00B93493">
        <w:t>Such payments would result in substantial growth of expenses of the telecommunication operators and a rise in price of their services. Accordingly development would be impaired and in some cases operators would fail. The delay of expansion of telecommunication services would cause not only reduction of tax receipts, but a recession, as has happened in the past.</w:t>
      </w:r>
    </w:p>
    <w:p w14:paraId="6DFC5872" w14:textId="77777777" w:rsidR="00CF04BC" w:rsidRPr="00B93493" w:rsidRDefault="00CF04BC" w:rsidP="00CF04BC">
      <w:pPr>
        <w:pStyle w:val="FigureNo"/>
      </w:pPr>
      <w:r w:rsidRPr="00B93493">
        <w:t>Figure 14</w:t>
      </w:r>
    </w:p>
    <w:p w14:paraId="04DA0C6C" w14:textId="77777777" w:rsidR="00CF04BC" w:rsidRPr="00B93493" w:rsidRDefault="00CF04BC" w:rsidP="00CF04BC">
      <w:pPr>
        <w:pStyle w:val="Figuretitle"/>
      </w:pPr>
      <w:r w:rsidRPr="00B93493">
        <w:t>Mechanism of return of the principal</w:t>
      </w:r>
    </w:p>
    <w:p w14:paraId="3C1B3A37" w14:textId="0C043F32" w:rsidR="00CF04BC" w:rsidRPr="00B93493" w:rsidRDefault="004C6C5B" w:rsidP="00CF04BC">
      <w:pPr>
        <w:pStyle w:val="Figure"/>
      </w:pPr>
      <w:r w:rsidRPr="00B93493">
        <w:object w:dxaOrig="6775" w:dyaOrig="4570" w14:anchorId="06FBFBEE">
          <v:shape id="_x0000_i1098" type="#_x0000_t75" alt="Figure 14 shows a mechanism of return of the principal" style="width:339.85pt;height:229.8pt" o:ole="">
            <v:imagedata r:id="rId183" o:title=""/>
          </v:shape>
          <o:OLEObject Type="Embed" ProgID="CorelDRAW.Graphic.14" ShapeID="_x0000_i1098" DrawAspect="Content" ObjectID="_1812968380" r:id="rId184"/>
        </w:object>
      </w:r>
    </w:p>
    <w:p w14:paraId="7B95258C" w14:textId="77777777" w:rsidR="00CF04BC" w:rsidRPr="00B93493" w:rsidRDefault="00CF04BC" w:rsidP="00CF04BC">
      <w:pPr>
        <w:keepNext/>
        <w:keepLines/>
      </w:pPr>
      <w:r w:rsidRPr="00B93493">
        <w:t xml:space="preserve">A different approach is possible. Based on the experience of other countries, the number of the spectrum users will grow. Therefore, it is possible within reasonable limits to increase the price for the unit of the spectrum and to support it in hard currency until the annual total fee has reached the forecast size, </w:t>
      </w:r>
      <w:r w:rsidRPr="00B93493">
        <w:rPr>
          <w:i/>
          <w:iCs/>
        </w:rPr>
        <w:t>C</w:t>
      </w:r>
      <w:r w:rsidRPr="00B93493">
        <w:rPr>
          <w:i/>
          <w:iCs/>
          <w:vertAlign w:val="subscript"/>
        </w:rPr>
        <w:t>forecast</w:t>
      </w:r>
      <w:r w:rsidRPr="00B93493">
        <w:t xml:space="preserve">, in the middle of an amortization period (for example, </w:t>
      </w:r>
      <w:r>
        <w:t>five</w:t>
      </w:r>
      <w:r w:rsidRPr="00B93493">
        <w:t xml:space="preserve"> years after installation of the equipment, assuming the loan is for </w:t>
      </w:r>
      <w:r>
        <w:t>ten</w:t>
      </w:r>
      <w:r w:rsidRPr="00B93493">
        <w:t> years).</w:t>
      </w:r>
    </w:p>
    <w:p w14:paraId="23CE5656" w14:textId="77777777" w:rsidR="00CF04BC" w:rsidRPr="00B93493" w:rsidRDefault="00CF04BC" w:rsidP="00CF04BC">
      <w:r w:rsidRPr="00B93493">
        <w:t xml:space="preserve">The total amount of the taxes for </w:t>
      </w:r>
      <w:r>
        <w:t>ten</w:t>
      </w:r>
      <w:r w:rsidRPr="00B93493">
        <w:t xml:space="preserve"> years (including the principal, which it is necessary to return within </w:t>
      </w:r>
      <w:r>
        <w:t>ten</w:t>
      </w:r>
      <w:r w:rsidRPr="00B93493">
        <w:t xml:space="preserve"> years) is equivalent to the area shaded by vertical lines. For the first </w:t>
      </w:r>
      <w:r>
        <w:t>five</w:t>
      </w:r>
      <w:r w:rsidRPr="00B93493">
        <w:t xml:space="preserve"> years there would be a shortage, equivalent to the area shaded with vertical and horizontal lines, whereas in the next </w:t>
      </w:r>
      <w:r>
        <w:t>five</w:t>
      </w:r>
      <w:r w:rsidRPr="00B93493">
        <w:t> years there would be a surplus (area shaded with horizontal lines). The main advantage of such policy would be price stability, which would allow the telecommunication operators to plan their incomes, expenditures and development of services.</w:t>
      </w:r>
    </w:p>
    <w:p w14:paraId="3DD2D910" w14:textId="77777777" w:rsidR="00CF04BC" w:rsidRPr="00B93493" w:rsidRDefault="00CF04BC" w:rsidP="00CF04BC">
      <w:r w:rsidRPr="00B93493">
        <w:t xml:space="preserve">Of course, the above would be only the initial approach to price policy. If it </w:t>
      </w:r>
      <w:r>
        <w:t>was</w:t>
      </w:r>
      <w:r w:rsidRPr="00B93493">
        <w:t xml:space="preserve"> possible to forecast more accurately and to determine more precisely the price policy based on actual conditions, it would be possible to make faster payments.</w:t>
      </w:r>
    </w:p>
    <w:p w14:paraId="5CDE2103" w14:textId="77777777" w:rsidR="00CF04BC" w:rsidRPr="00B93493" w:rsidRDefault="00CF04BC" w:rsidP="00CF04BC">
      <w:r w:rsidRPr="00B93493">
        <w:t>The above technique would allow to determine the Kyrgyz Republic</w:t>
      </w:r>
      <w:r>
        <w:t>’s</w:t>
      </w:r>
      <w:r w:rsidRPr="00B93493">
        <w:t xml:space="preserve"> tariff policy regarding spectrum use in view of conditions of loan repayments, thus keeping a non-discriminatory approach to the various spectrum users.</w:t>
      </w:r>
    </w:p>
    <w:p w14:paraId="50A56700" w14:textId="77777777" w:rsidR="00CF04BC" w:rsidRPr="00B93493" w:rsidRDefault="00CF04BC" w:rsidP="00CF04BC">
      <w:pPr>
        <w:pStyle w:val="Heading3"/>
      </w:pPr>
      <w:bookmarkStart w:id="2361" w:name="_Toc462234145"/>
      <w:bookmarkStart w:id="2362" w:name="_Toc518394263"/>
      <w:bookmarkStart w:id="2363" w:name="_Toc182391582"/>
      <w:bookmarkStart w:id="2364" w:name="_Toc182391993"/>
      <w:r w:rsidRPr="00B93493">
        <w:t>5.2.7</w:t>
      </w:r>
      <w:r w:rsidRPr="00B93493">
        <w:tab/>
        <w:t>The Russian Federation’s experience with spectrum fees</w:t>
      </w:r>
      <w:bookmarkEnd w:id="2361"/>
      <w:bookmarkEnd w:id="2362"/>
      <w:bookmarkEnd w:id="2363"/>
      <w:bookmarkEnd w:id="2364"/>
    </w:p>
    <w:p w14:paraId="746D4EF4" w14:textId="77777777" w:rsidR="00CF04BC" w:rsidRPr="00B93493" w:rsidRDefault="00CF04BC" w:rsidP="00CF04BC">
      <w:pPr>
        <w:pStyle w:val="Headingb"/>
      </w:pPr>
      <w:bookmarkStart w:id="2365" w:name="_Toc462234146"/>
      <w:bookmarkStart w:id="2366" w:name="_Toc454284977"/>
      <w:r w:rsidRPr="00B93493">
        <w:t>Introduction</w:t>
      </w:r>
      <w:bookmarkEnd w:id="2365"/>
      <w:bookmarkEnd w:id="2366"/>
    </w:p>
    <w:p w14:paraId="207ACC52" w14:textId="77777777" w:rsidR="00CF04BC" w:rsidRPr="00B93493" w:rsidRDefault="00CF04BC" w:rsidP="00CF04BC">
      <w:r w:rsidRPr="00B93493">
        <w:t>The Methodology for the calculation of one-time payment and annual fee for radio spectrum use in the Russian Federation was adopted by the Decree of the Ministry of Communications and Mass Media of the Russian Federation No. 164 of 30.06.2011.</w:t>
      </w:r>
    </w:p>
    <w:p w14:paraId="21FD2C00" w14:textId="77777777" w:rsidR="00CF04BC" w:rsidRPr="00B93493" w:rsidRDefault="00CF04BC" w:rsidP="00CF04BC">
      <w:r w:rsidRPr="00B93493">
        <w:t xml:space="preserve">Table </w:t>
      </w:r>
      <w:r>
        <w:rPr>
          <w:rFonts w:hint="eastAsia"/>
          <w:lang w:eastAsia="zh-CN"/>
        </w:rPr>
        <w:t>30</w:t>
      </w:r>
      <w:r w:rsidRPr="00B93493">
        <w:t xml:space="preserve"> shows amount of spectrum fee per radio technology paid to the Federal budget in 2012.</w:t>
      </w:r>
    </w:p>
    <w:p w14:paraId="088DB70C" w14:textId="77777777" w:rsidR="00CF04BC" w:rsidRPr="00B93493" w:rsidRDefault="00CF04BC" w:rsidP="00CF04BC">
      <w:pPr>
        <w:pStyle w:val="TableNo"/>
        <w:rPr>
          <w:lang w:eastAsia="zh-CN"/>
        </w:rPr>
      </w:pPr>
      <w:r w:rsidRPr="00B93493">
        <w:t xml:space="preserve">TABLE </w:t>
      </w:r>
      <w:r>
        <w:rPr>
          <w:rFonts w:hint="eastAsia"/>
          <w:lang w:eastAsia="zh-CN"/>
        </w:rPr>
        <w:t>30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271"/>
        <w:gridCol w:w="2394"/>
        <w:gridCol w:w="2359"/>
      </w:tblGrid>
      <w:tr w:rsidR="00CF04BC" w:rsidRPr="00B93493" w14:paraId="24AC4660" w14:textId="77777777" w:rsidTr="002E7F54">
        <w:trPr>
          <w:cantSplit/>
          <w:jc w:val="center"/>
        </w:trPr>
        <w:tc>
          <w:tcPr>
            <w:tcW w:w="2498" w:type="dxa"/>
            <w:vAlign w:val="center"/>
          </w:tcPr>
          <w:p w14:paraId="3FB3FFEE" w14:textId="77777777" w:rsidR="00CF04BC" w:rsidRPr="00B93493" w:rsidRDefault="00CF04BC" w:rsidP="002E7F54">
            <w:pPr>
              <w:pStyle w:val="Tablehead"/>
            </w:pPr>
            <w:r w:rsidRPr="00B93493">
              <w:t xml:space="preserve">Radio technologies </w:t>
            </w:r>
          </w:p>
        </w:tc>
        <w:tc>
          <w:tcPr>
            <w:tcW w:w="2170" w:type="dxa"/>
            <w:vAlign w:val="center"/>
          </w:tcPr>
          <w:p w14:paraId="776E2C9E" w14:textId="7E421998" w:rsidR="00CF04BC" w:rsidRPr="00B93493" w:rsidRDefault="00CF04BC" w:rsidP="002E7F54">
            <w:pPr>
              <w:pStyle w:val="Tablehead"/>
            </w:pPr>
            <w:r w:rsidRPr="00B93493">
              <w:t xml:space="preserve">Annual fee for authorizations, </w:t>
            </w:r>
            <w:r w:rsidRPr="00B93493">
              <w:br/>
              <w:t xml:space="preserve">mln </w:t>
            </w:r>
            <w:r w:rsidR="00092428">
              <w:t>roubles</w:t>
            </w:r>
          </w:p>
        </w:tc>
        <w:tc>
          <w:tcPr>
            <w:tcW w:w="2287" w:type="dxa"/>
            <w:vAlign w:val="center"/>
          </w:tcPr>
          <w:p w14:paraId="58B29D76" w14:textId="561D9304" w:rsidR="00CF04BC" w:rsidRPr="00B93493" w:rsidRDefault="00CF04BC" w:rsidP="002E7F54">
            <w:pPr>
              <w:pStyle w:val="Tablehead"/>
            </w:pPr>
            <w:r w:rsidRPr="00B93493">
              <w:t xml:space="preserve">One-time payment for authorizations, </w:t>
            </w:r>
            <w:r w:rsidRPr="00B93493">
              <w:br/>
              <w:t xml:space="preserve">mln </w:t>
            </w:r>
            <w:r w:rsidR="00092428">
              <w:t>roubles</w:t>
            </w:r>
          </w:p>
        </w:tc>
        <w:tc>
          <w:tcPr>
            <w:tcW w:w="2254" w:type="dxa"/>
            <w:vAlign w:val="center"/>
          </w:tcPr>
          <w:p w14:paraId="574F9FA4" w14:textId="0EF06F6B" w:rsidR="00CF04BC" w:rsidRPr="00B93493" w:rsidRDefault="00CF04BC" w:rsidP="002E7F54">
            <w:pPr>
              <w:pStyle w:val="Tablehead"/>
            </w:pPr>
            <w:r w:rsidRPr="00B93493">
              <w:t xml:space="preserve">Total, per technology, </w:t>
            </w:r>
            <w:r w:rsidRPr="00B93493">
              <w:br/>
              <w:t xml:space="preserve">mln </w:t>
            </w:r>
            <w:r w:rsidR="00092428">
              <w:t>roubles</w:t>
            </w:r>
          </w:p>
        </w:tc>
      </w:tr>
      <w:tr w:rsidR="00CF04BC" w:rsidRPr="00B93493" w14:paraId="3723181D" w14:textId="77777777" w:rsidTr="002E7F54">
        <w:trPr>
          <w:cantSplit/>
          <w:jc w:val="center"/>
        </w:trPr>
        <w:tc>
          <w:tcPr>
            <w:tcW w:w="2498" w:type="dxa"/>
            <w:vAlign w:val="center"/>
          </w:tcPr>
          <w:p w14:paraId="001484A8" w14:textId="77777777" w:rsidR="00CF04BC" w:rsidRPr="00B93493" w:rsidRDefault="00CF04BC" w:rsidP="002E7F54">
            <w:pPr>
              <w:pStyle w:val="Tabletext"/>
              <w:rPr>
                <w:bCs/>
              </w:rPr>
            </w:pPr>
            <w:r w:rsidRPr="00B93493">
              <w:t xml:space="preserve">Cellular radio technologies </w:t>
            </w:r>
          </w:p>
        </w:tc>
        <w:tc>
          <w:tcPr>
            <w:tcW w:w="2170" w:type="dxa"/>
            <w:vAlign w:val="center"/>
          </w:tcPr>
          <w:p w14:paraId="2E31C1DA" w14:textId="77777777" w:rsidR="00CF04BC" w:rsidRPr="00B93493" w:rsidRDefault="00CF04BC" w:rsidP="002E7F54">
            <w:pPr>
              <w:pStyle w:val="Tabletext"/>
              <w:jc w:val="center"/>
            </w:pPr>
            <w:r w:rsidRPr="00B93493">
              <w:t>12 965.61</w:t>
            </w:r>
          </w:p>
        </w:tc>
        <w:tc>
          <w:tcPr>
            <w:tcW w:w="2287" w:type="dxa"/>
            <w:vAlign w:val="center"/>
          </w:tcPr>
          <w:p w14:paraId="45E6911A" w14:textId="77777777" w:rsidR="00CF04BC" w:rsidRPr="00B93493" w:rsidRDefault="00CF04BC" w:rsidP="002E7F54">
            <w:pPr>
              <w:pStyle w:val="Tabletext"/>
              <w:jc w:val="center"/>
              <w:rPr>
                <w:bCs/>
              </w:rPr>
            </w:pPr>
            <w:r w:rsidRPr="00B93493">
              <w:rPr>
                <w:bCs/>
              </w:rPr>
              <w:t>870.08</w:t>
            </w:r>
          </w:p>
        </w:tc>
        <w:tc>
          <w:tcPr>
            <w:tcW w:w="2254" w:type="dxa"/>
            <w:vAlign w:val="center"/>
          </w:tcPr>
          <w:p w14:paraId="39596FCF" w14:textId="77777777" w:rsidR="00CF04BC" w:rsidRPr="00B93493" w:rsidRDefault="00CF04BC" w:rsidP="002E7F54">
            <w:pPr>
              <w:pStyle w:val="Tabletext"/>
              <w:jc w:val="center"/>
              <w:rPr>
                <w:bCs/>
              </w:rPr>
            </w:pPr>
            <w:r w:rsidRPr="00B93493">
              <w:rPr>
                <w:bCs/>
              </w:rPr>
              <w:t>13 835.69</w:t>
            </w:r>
          </w:p>
        </w:tc>
      </w:tr>
      <w:tr w:rsidR="00CF04BC" w:rsidRPr="00B93493" w14:paraId="744632A2" w14:textId="77777777" w:rsidTr="002E7F54">
        <w:trPr>
          <w:cantSplit/>
          <w:jc w:val="center"/>
        </w:trPr>
        <w:tc>
          <w:tcPr>
            <w:tcW w:w="2498" w:type="dxa"/>
            <w:vAlign w:val="center"/>
          </w:tcPr>
          <w:p w14:paraId="5860E80D" w14:textId="77777777" w:rsidR="00CF04BC" w:rsidRPr="00B93493" w:rsidRDefault="00CF04BC" w:rsidP="002E7F54">
            <w:pPr>
              <w:pStyle w:val="Tabletext"/>
              <w:rPr>
                <w:bCs/>
              </w:rPr>
            </w:pPr>
            <w:r w:rsidRPr="00B93493">
              <w:rPr>
                <w:bCs/>
              </w:rPr>
              <w:t xml:space="preserve">Other technologies </w:t>
            </w:r>
          </w:p>
        </w:tc>
        <w:tc>
          <w:tcPr>
            <w:tcW w:w="2170" w:type="dxa"/>
            <w:vAlign w:val="center"/>
          </w:tcPr>
          <w:p w14:paraId="18B31A8F" w14:textId="77777777" w:rsidR="00CF04BC" w:rsidRPr="00B93493" w:rsidRDefault="00CF04BC" w:rsidP="002E7F54">
            <w:pPr>
              <w:pStyle w:val="Tabletext"/>
              <w:jc w:val="center"/>
            </w:pPr>
            <w:r w:rsidRPr="00B93493">
              <w:t>1 326.65</w:t>
            </w:r>
          </w:p>
        </w:tc>
        <w:tc>
          <w:tcPr>
            <w:tcW w:w="2287" w:type="dxa"/>
            <w:vAlign w:val="center"/>
          </w:tcPr>
          <w:p w14:paraId="2A0E9FA4" w14:textId="77777777" w:rsidR="00CF04BC" w:rsidRPr="00B93493" w:rsidRDefault="00CF04BC" w:rsidP="002E7F54">
            <w:pPr>
              <w:pStyle w:val="Tabletext"/>
              <w:jc w:val="center"/>
              <w:rPr>
                <w:bCs/>
              </w:rPr>
            </w:pPr>
            <w:r w:rsidRPr="00B93493">
              <w:rPr>
                <w:bCs/>
              </w:rPr>
              <w:t>217.52</w:t>
            </w:r>
          </w:p>
        </w:tc>
        <w:tc>
          <w:tcPr>
            <w:tcW w:w="2254" w:type="dxa"/>
            <w:vAlign w:val="center"/>
          </w:tcPr>
          <w:p w14:paraId="0E0F1931" w14:textId="77777777" w:rsidR="00CF04BC" w:rsidRPr="00B93493" w:rsidRDefault="00CF04BC" w:rsidP="002E7F54">
            <w:pPr>
              <w:pStyle w:val="Tabletext"/>
              <w:jc w:val="center"/>
              <w:rPr>
                <w:bCs/>
              </w:rPr>
            </w:pPr>
            <w:r w:rsidRPr="00B93493">
              <w:rPr>
                <w:bCs/>
              </w:rPr>
              <w:t>1 544.17</w:t>
            </w:r>
          </w:p>
        </w:tc>
      </w:tr>
      <w:tr w:rsidR="00CF04BC" w:rsidRPr="00B93493" w14:paraId="46685317" w14:textId="77777777" w:rsidTr="002E7F54">
        <w:trPr>
          <w:cantSplit/>
          <w:jc w:val="center"/>
        </w:trPr>
        <w:tc>
          <w:tcPr>
            <w:tcW w:w="2498" w:type="dxa"/>
            <w:vAlign w:val="center"/>
          </w:tcPr>
          <w:p w14:paraId="441155C8" w14:textId="77777777" w:rsidR="00CF04BC" w:rsidRPr="00B93493" w:rsidRDefault="00CF04BC" w:rsidP="002E7F54">
            <w:pPr>
              <w:pStyle w:val="Tabletext"/>
              <w:rPr>
                <w:bCs/>
              </w:rPr>
            </w:pPr>
            <w:r w:rsidRPr="00B93493">
              <w:rPr>
                <w:bCs/>
              </w:rPr>
              <w:t>Total</w:t>
            </w:r>
          </w:p>
        </w:tc>
        <w:tc>
          <w:tcPr>
            <w:tcW w:w="2170" w:type="dxa"/>
            <w:vAlign w:val="center"/>
          </w:tcPr>
          <w:p w14:paraId="6814A6E8" w14:textId="77777777" w:rsidR="00CF04BC" w:rsidRPr="00B93493" w:rsidRDefault="00CF04BC" w:rsidP="002E7F54">
            <w:pPr>
              <w:pStyle w:val="Tabletext"/>
              <w:jc w:val="center"/>
              <w:rPr>
                <w:bCs/>
              </w:rPr>
            </w:pPr>
            <w:r w:rsidRPr="00B93493">
              <w:t>14 292.26</w:t>
            </w:r>
          </w:p>
        </w:tc>
        <w:tc>
          <w:tcPr>
            <w:tcW w:w="2287" w:type="dxa"/>
            <w:vAlign w:val="center"/>
          </w:tcPr>
          <w:p w14:paraId="7B53F688" w14:textId="77777777" w:rsidR="00CF04BC" w:rsidRPr="00B93493" w:rsidRDefault="00CF04BC" w:rsidP="002E7F54">
            <w:pPr>
              <w:pStyle w:val="Tabletext"/>
              <w:jc w:val="center"/>
              <w:rPr>
                <w:bCs/>
              </w:rPr>
            </w:pPr>
            <w:r w:rsidRPr="00B93493">
              <w:t>1 087.60</w:t>
            </w:r>
          </w:p>
        </w:tc>
        <w:tc>
          <w:tcPr>
            <w:tcW w:w="2254" w:type="dxa"/>
            <w:vAlign w:val="center"/>
          </w:tcPr>
          <w:p w14:paraId="5F25C0F5" w14:textId="77777777" w:rsidR="00CF04BC" w:rsidRPr="00B93493" w:rsidRDefault="00CF04BC" w:rsidP="002E7F54">
            <w:pPr>
              <w:pStyle w:val="Tabletext"/>
              <w:jc w:val="center"/>
              <w:rPr>
                <w:bCs/>
              </w:rPr>
            </w:pPr>
            <w:r w:rsidRPr="00B93493">
              <w:rPr>
                <w:bCs/>
              </w:rPr>
              <w:t>15 379.86</w:t>
            </w:r>
          </w:p>
        </w:tc>
      </w:tr>
    </w:tbl>
    <w:p w14:paraId="2B487C43" w14:textId="77777777" w:rsidR="00CF04BC" w:rsidRPr="00B93493" w:rsidRDefault="00CF04BC" w:rsidP="00CF04BC">
      <w:pPr>
        <w:pStyle w:val="Tablefin"/>
      </w:pPr>
    </w:p>
    <w:p w14:paraId="16D3E731" w14:textId="77777777" w:rsidR="00CF04BC" w:rsidRPr="00B93493" w:rsidRDefault="00CF04BC" w:rsidP="00CF04BC">
      <w:r w:rsidRPr="00B93493">
        <w:t>The review of the practical Methodology application in 2011-2014 showed that the current procedure of setting up the fee with regard to each authorization for frequency usage had a negative impact on the rate of network development for radio communication operators providing services in the territory of the Russian Federation Subjects within the allocated frequency bands. That means that the increased number of base stations and, consequently, extended service area covering the population resulted in an unreasonable increase in the fee while the amount of spectrum actually allocated to an operator remained unchanged.</w:t>
      </w:r>
    </w:p>
    <w:p w14:paraId="5A58F5E7" w14:textId="77777777" w:rsidR="00CF04BC" w:rsidRPr="00B93493" w:rsidRDefault="00CF04BC" w:rsidP="00CF04BC">
      <w:r w:rsidRPr="00B93493">
        <w:t>That was the reason for proposals on the implementation of a resource approach to defining the value of spectrum fee. These proposals were implemented by setting up both the one-time payment and annual fee for radio technologies of GSM (excluding GSM-R), IMT-MC-450, UMTS and LTE standards and their further modifications in the context of the frequency band allocated by the decision of the State Radio Frequency Commission (SRFC) or specified in the licence for provision of spectrum-based telecommunication services (hereinafter – the licence) for each Subject (part of Subject) of the Russian Federation specified in the decision of the SRFC. However, it is proposed to preserve the current applicability of calculated coefficients along with changes in the calculation procedures for the number of used radio frequencies (radio channels) and introduction of a calculated coefficient considering the intensity of use for relevant allocated frequency bands in a Subject (part of a Subject) of the Russian Federation.</w:t>
      </w:r>
    </w:p>
    <w:p w14:paraId="21DE741D" w14:textId="77777777" w:rsidR="00CF04BC" w:rsidRPr="00B93493" w:rsidRDefault="00CF04BC" w:rsidP="00CF04BC">
      <w:r w:rsidRPr="00B93493">
        <w:t>By applying the proposed approach, equal terms of payment for the allocated frequency bands will be ensured for operators providing communication services using radio technologies of GSM (excluding GSM-R), IMT-MC-450, UMTS and LTE standards and their further modifications.</w:t>
      </w:r>
    </w:p>
    <w:p w14:paraId="6E19442A" w14:textId="77777777" w:rsidR="00CF04BC" w:rsidRPr="00B93493" w:rsidRDefault="00CF04BC" w:rsidP="00CF04BC">
      <w:r w:rsidRPr="00B93493">
        <w:t>For other radio technologies, radio frequencies are assigned in the frequency bands allocated by the SRFC decisions to an unlimited number of spectrum users. Taking this into account, the current procedure of setting up the one-time payment and annual fee is preserved with regard to each granted authorization when deciding on the assignment (allocation) of a radio frequency or radio channel.</w:t>
      </w:r>
    </w:p>
    <w:p w14:paraId="5A58F1F9" w14:textId="77777777" w:rsidR="00CF04BC" w:rsidRPr="00B93493" w:rsidRDefault="00CF04BC" w:rsidP="00CF04BC">
      <w:r w:rsidRPr="00B93493">
        <w:t>The Methodology also included an increased payment for unused systems after one year from authorization. In this case the payment is increased tenfold for the period from the date of the expired one-year period till the date of the system registration.</w:t>
      </w:r>
    </w:p>
    <w:p w14:paraId="2147BAE5" w14:textId="77777777" w:rsidR="00CF04BC" w:rsidRPr="00B93493" w:rsidRDefault="00CF04BC" w:rsidP="00CF04BC">
      <w:r w:rsidRPr="00B93493">
        <w:t>The amount of payment for unused radio systems in technological and dedicated networks, radio and TV broadcasting systems, as well as radio systems in the regions of the Far North and equivalent regions, which were not registered within two years from the date of the radio system authorization, is increased tenfold from the date of the expired two-year period till the date of the system registration.</w:t>
      </w:r>
    </w:p>
    <w:p w14:paraId="57D9AA13" w14:textId="77777777" w:rsidR="00CF04BC" w:rsidRPr="00B93493" w:rsidRDefault="00CF04BC" w:rsidP="00CF04BC">
      <w:r w:rsidRPr="00B93493">
        <w:t xml:space="preserve">For radio technologies which are in the research, development or experimental phase, the payment is decreased by applying </w:t>
      </w:r>
      <w:r w:rsidRPr="00B93493">
        <w:rPr>
          <w:i/>
        </w:rPr>
        <w:t>K</w:t>
      </w:r>
      <w:r w:rsidRPr="00B93493">
        <w:rPr>
          <w:i/>
          <w:vertAlign w:val="subscript"/>
        </w:rPr>
        <w:t>adv </w:t>
      </w:r>
      <w:r w:rsidRPr="00B93493">
        <w:t>= 0.001 under the SRFC decision.</w:t>
      </w:r>
    </w:p>
    <w:p w14:paraId="545E6E4C" w14:textId="77777777" w:rsidR="00CF04BC" w:rsidRPr="00B93493" w:rsidRDefault="00CF04BC" w:rsidP="00CF04BC">
      <w:r w:rsidRPr="00B93493">
        <w:t>Thus, to increase the efficiency of one-time payment and annual fee for the spectrum usage in the Russian Federation, the above modifications were introduced to the Methodology by the Decree of the Ministry of Communications and Mass Media of the Russian Federation No. 279 of 4 September 2014. The modifications have entered in force 31 December 2014.</w:t>
      </w:r>
    </w:p>
    <w:p w14:paraId="45BA39D1" w14:textId="77777777" w:rsidR="00CF04BC" w:rsidRPr="00B93493" w:rsidRDefault="00CF04BC" w:rsidP="00CF04BC">
      <w:r w:rsidRPr="00B93493">
        <w:t xml:space="preserve">Figures 15 to 17 show the occupied spectrum, averaged annual fee per radio system (base station, BS) for certain radio technologies, </w:t>
      </w:r>
      <w:r w:rsidRPr="00B93493">
        <w:rPr>
          <w:color w:val="000000"/>
        </w:rPr>
        <w:t>communication modes, system types</w:t>
      </w:r>
      <w:r w:rsidRPr="00B93493">
        <w:t>, and averaged annual fee per 1 MHz calculated in accordance with the modified Methodology.</w:t>
      </w:r>
    </w:p>
    <w:p w14:paraId="1448E976" w14:textId="77777777" w:rsidR="00CF04BC" w:rsidRPr="00B93493" w:rsidRDefault="00CF04BC" w:rsidP="00CF04BC">
      <w:pPr>
        <w:pStyle w:val="FigureNo"/>
      </w:pPr>
      <w:r w:rsidRPr="00B93493">
        <w:t>Figure 15</w:t>
      </w:r>
    </w:p>
    <w:p w14:paraId="4C3101DF" w14:textId="77777777" w:rsidR="00CF04BC" w:rsidRPr="00B93493" w:rsidRDefault="00CF04BC" w:rsidP="00CF04BC">
      <w:pPr>
        <w:pStyle w:val="Figuretitle"/>
      </w:pPr>
      <w:r w:rsidRPr="00B93493">
        <w:t xml:space="preserve">Spectrum occupied by radio system (BS) of certain radio technologies, </w:t>
      </w:r>
      <w:r w:rsidRPr="00B93493">
        <w:br/>
        <w:t xml:space="preserve">communication modes, system types, MHz </w:t>
      </w:r>
    </w:p>
    <w:p w14:paraId="0F21B616" w14:textId="77777777" w:rsidR="00CF04BC" w:rsidRPr="00B93493" w:rsidRDefault="00CF04BC" w:rsidP="00CF04BC">
      <w:pPr>
        <w:pStyle w:val="Figure"/>
      </w:pPr>
      <w:r w:rsidRPr="00B93493">
        <w:rPr>
          <w:noProof/>
        </w:rPr>
        <w:drawing>
          <wp:inline distT="0" distB="0" distL="0" distR="0" wp14:anchorId="46669417" wp14:editId="4A89CDE5">
            <wp:extent cx="5123815" cy="3798570"/>
            <wp:effectExtent l="0" t="0" r="635" b="11430"/>
            <wp:docPr id="36" name="Chart 36" descr="Figure 15 shows a Spectrum occupied by radio system (BS) of certain radio technologies, communication modes, system types, MHz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1B5316F4" w14:textId="77777777" w:rsidR="00CF04BC" w:rsidRPr="00B93493" w:rsidRDefault="00CF04BC" w:rsidP="00CF04BC">
      <w:pPr>
        <w:pStyle w:val="FigureNo"/>
        <w:spacing w:before="240"/>
      </w:pPr>
      <w:r w:rsidRPr="00B93493">
        <w:t>Figure 16</w:t>
      </w:r>
    </w:p>
    <w:p w14:paraId="5DA44184" w14:textId="52D3F38F" w:rsidR="00CF04BC" w:rsidRPr="00B93493" w:rsidRDefault="00CF04BC" w:rsidP="00CF04BC">
      <w:pPr>
        <w:pStyle w:val="Figuretitle"/>
      </w:pPr>
      <w:r w:rsidRPr="00B93493">
        <w:t xml:space="preserve">Averaged annual fee per radio system (BS) for certain radio technologies, </w:t>
      </w:r>
      <w:r w:rsidRPr="00B93493">
        <w:br/>
        <w:t>communication</w:t>
      </w:r>
      <w:r w:rsidRPr="00B93493">
        <w:rPr>
          <w:color w:val="000000"/>
        </w:rPr>
        <w:t xml:space="preserve"> modes, system types</w:t>
      </w:r>
      <w:r w:rsidRPr="00B93493">
        <w:t xml:space="preserve">, </w:t>
      </w:r>
      <w:r w:rsidR="00092428">
        <w:t>Roubles</w:t>
      </w:r>
      <w:r w:rsidRPr="00B93493">
        <w:t xml:space="preserve"> </w:t>
      </w:r>
    </w:p>
    <w:p w14:paraId="01724B9C" w14:textId="77777777" w:rsidR="00CF04BC" w:rsidRPr="00B93493" w:rsidRDefault="00CF04BC" w:rsidP="00CF04BC">
      <w:pPr>
        <w:pStyle w:val="Figure"/>
      </w:pPr>
      <w:r w:rsidRPr="00B93493">
        <w:rPr>
          <w:noProof/>
        </w:rPr>
        <w:drawing>
          <wp:inline distT="0" distB="0" distL="0" distR="0" wp14:anchorId="4A5AF139" wp14:editId="2C7A13EF">
            <wp:extent cx="4874260" cy="3613785"/>
            <wp:effectExtent l="0" t="0" r="2540" b="5715"/>
            <wp:docPr id="35" name="Chart 35" descr="Figure 16 shows Averaged annual fee per radio system (BS) for certain radio technologies, communication modes, system types, Rubl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8CB4D4E" w14:textId="77777777" w:rsidR="00CF04BC" w:rsidRPr="00B93493" w:rsidRDefault="00CF04BC" w:rsidP="00CF04BC">
      <w:pPr>
        <w:pStyle w:val="FigureNo"/>
      </w:pPr>
      <w:r w:rsidRPr="00B93493">
        <w:t>Figure 17</w:t>
      </w:r>
    </w:p>
    <w:p w14:paraId="4A617491" w14:textId="0A8EB926" w:rsidR="00CF04BC" w:rsidRPr="00B93493" w:rsidRDefault="00CF04BC" w:rsidP="00CF04BC">
      <w:pPr>
        <w:pStyle w:val="Figuretitle"/>
      </w:pPr>
      <w:r w:rsidRPr="00B93493">
        <w:t xml:space="preserve">Averaged annual fee per 1 MHz for certain radio technologies, </w:t>
      </w:r>
      <w:r w:rsidRPr="00B93493">
        <w:rPr>
          <w:color w:val="000000"/>
        </w:rPr>
        <w:t>communication modes, system types</w:t>
      </w:r>
      <w:r w:rsidRPr="00B93493">
        <w:t xml:space="preserve">, </w:t>
      </w:r>
      <w:r w:rsidR="00092428">
        <w:rPr>
          <w:rFonts w:hint="eastAsia"/>
          <w:lang w:eastAsia="zh-CN"/>
        </w:rPr>
        <w:t>Roubles</w:t>
      </w:r>
      <w:r w:rsidRPr="00B93493">
        <w:t xml:space="preserve"> </w:t>
      </w:r>
    </w:p>
    <w:p w14:paraId="17C1ABBE" w14:textId="77777777" w:rsidR="00CF04BC" w:rsidRPr="00B93493" w:rsidRDefault="00CF04BC" w:rsidP="00CF04BC">
      <w:pPr>
        <w:pStyle w:val="Figure"/>
      </w:pPr>
      <w:r w:rsidRPr="00B93493">
        <w:rPr>
          <w:noProof/>
        </w:rPr>
        <w:drawing>
          <wp:inline distT="0" distB="0" distL="0" distR="0" wp14:anchorId="7236037D" wp14:editId="24306059">
            <wp:extent cx="4572000" cy="3593465"/>
            <wp:effectExtent l="0" t="0" r="0" b="6985"/>
            <wp:docPr id="34" name="Chart 34" descr="Figure 17 shows Averaged annual fee per 1 MHz for certain radio technologies, communication modes, system types, Rub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7BE657B6" w14:textId="77777777" w:rsidR="00CF04BC" w:rsidRPr="00B93493" w:rsidRDefault="00CF04BC" w:rsidP="00CF04BC">
      <w:r w:rsidRPr="00B93493">
        <w:t>General provisions of the modified Methodology for the calculation of one-time payment and annual fee for radio spectrum usage in the Russian Federation and calculation of coefficients are described below.</w:t>
      </w:r>
    </w:p>
    <w:p w14:paraId="4EBFCA17" w14:textId="77777777" w:rsidR="00CF04BC" w:rsidRPr="00B93493" w:rsidRDefault="00CF04BC" w:rsidP="00CF04BC">
      <w:pPr>
        <w:pStyle w:val="Heading4"/>
      </w:pPr>
      <w:bookmarkStart w:id="2367" w:name="_Toc454284978"/>
      <w:bookmarkStart w:id="2368" w:name="sub_1100"/>
      <w:r w:rsidRPr="00B93493">
        <w:t>5.2.7.1</w:t>
      </w:r>
      <w:r w:rsidRPr="00B93493">
        <w:tab/>
        <w:t>General provisions</w:t>
      </w:r>
      <w:bookmarkEnd w:id="2367"/>
    </w:p>
    <w:p w14:paraId="2EB8C0A1" w14:textId="77777777" w:rsidR="00CF04BC" w:rsidRPr="00B93493" w:rsidRDefault="00CF04BC" w:rsidP="00CF04BC">
      <w:bookmarkStart w:id="2369" w:name="sub_1101"/>
      <w:bookmarkEnd w:id="2368"/>
      <w:r w:rsidRPr="00B93493">
        <w:t>The Methodology for the calculation of one-time payment and annual fee for radio spectrum usage (hereinafter – the Methodology) was developed according to the Russian Federation Federal Law of 7 July 2003 No. 126-FZ “On communications” and the Government Resolution of 16 March 2011 No. 171 “Regulations for Calculating and Levying One-time and Annual Payments for the Use of Radio Spectrum Bands” (</w:t>
      </w:r>
      <w:hyperlink r:id="rId188" w:history="1">
        <w:r w:rsidRPr="00B93493">
          <w:t>Legislation</w:t>
        </w:r>
      </w:hyperlink>
      <w:r w:rsidRPr="00B93493">
        <w:t xml:space="preserve"> Collection of the Russian Federation, 2011, No. 12, Article 1648).</w:t>
      </w:r>
    </w:p>
    <w:p w14:paraId="00C2A607" w14:textId="77777777" w:rsidR="00CF04BC" w:rsidRPr="00B93493" w:rsidRDefault="00CF04BC" w:rsidP="00CF04BC">
      <w:bookmarkStart w:id="2370" w:name="sub_1102"/>
      <w:bookmarkEnd w:id="2369"/>
      <w:r w:rsidRPr="00B93493">
        <w:t>The Methodology includes rates and coefficients differentiated depending on the frequency bands used, number of radio frequencies (radio channels) used and radio technologies applied.</w:t>
      </w:r>
    </w:p>
    <w:bookmarkEnd w:id="2370"/>
    <w:p w14:paraId="4667FD3C" w14:textId="77777777" w:rsidR="00CF04BC" w:rsidRPr="00B93493" w:rsidRDefault="00CF04BC" w:rsidP="00CF04BC">
      <w:r w:rsidRPr="00B93493">
        <w:t>The number of used radio frequencies (radio channels) is calculated in accordance with the present Methodology per each authorization for usage of radio frequencies or radio channels (hereinafter – the authorization), and for radio technologies of GSM (excluding GSM-R), UMTS, IMT-MC-450 and LTE standards and their further modifications (hereinafter – cellular radio technologies) – per each decision adopted by the State Radio Frequency Commission (hereinafter – SRFC) and (or) license for provision of the telecommunication services using spectrum (hereinafter – the license) with regard to each frequency band and each Russian Federation Subject (part of the Subject), specified in the SRFC decision or in the license.</w:t>
      </w:r>
    </w:p>
    <w:p w14:paraId="1E6AC476" w14:textId="77777777" w:rsidR="00CF04BC" w:rsidRPr="00B93493" w:rsidRDefault="00CF04BC" w:rsidP="00CF04BC">
      <w:r w:rsidRPr="00B93493">
        <w:t>The one-time payment and annual fee for usage of the radio spectrum per quarter and values of calculated coefficients as well as the ratio of the number of effective days of the authorization in the payable quarter to the number of days in the payable quarter shall be rounded to the second decimal digit.</w:t>
      </w:r>
    </w:p>
    <w:p w14:paraId="00FFA3C2" w14:textId="77777777" w:rsidR="00CF04BC" w:rsidRPr="00B93493" w:rsidRDefault="00CF04BC" w:rsidP="00CF04BC">
      <w:pPr>
        <w:pStyle w:val="Heading4"/>
      </w:pPr>
      <w:bookmarkStart w:id="2371" w:name="_Toc454284979"/>
      <w:bookmarkStart w:id="2372" w:name="sub_1200"/>
      <w:r w:rsidRPr="00B93493">
        <w:t>5.2.7.2</w:t>
      </w:r>
      <w:r w:rsidRPr="00B93493">
        <w:tab/>
        <w:t>Calculation of one-time payment</w:t>
      </w:r>
      <w:bookmarkEnd w:id="2371"/>
    </w:p>
    <w:p w14:paraId="6A3A087D" w14:textId="77777777" w:rsidR="00CF04BC" w:rsidRPr="00B93493" w:rsidRDefault="00CF04BC" w:rsidP="00CF04BC">
      <w:bookmarkStart w:id="2373" w:name="sub_12041"/>
      <w:bookmarkEnd w:id="2372"/>
      <w:r w:rsidRPr="00B93493">
        <w:t>One-time payment for usage of radio spectrum for cellular radio technologies is set for each frequency band assigned by the SRFC decision and (or) specified in the license per each of the Russian Federation Subject (part of the Subject), specified in the SRFC decision or in the license, for other technologies it is set for each granted authorization, and calculated using the following formula:</w:t>
      </w:r>
    </w:p>
    <w:bookmarkEnd w:id="2373"/>
    <w:p w14:paraId="4F649A66" w14:textId="77777777" w:rsidR="00CF04BC" w:rsidRPr="00B93493" w:rsidRDefault="00CF04BC" w:rsidP="00CF04BC">
      <w:pPr>
        <w:pStyle w:val="Equation"/>
      </w:pPr>
      <w:r w:rsidRPr="00B93493">
        <w:tab/>
      </w:r>
      <w:r w:rsidRPr="00B93493">
        <w:tab/>
      </w:r>
      <w:r w:rsidRPr="00B93493">
        <w:rPr>
          <w:position w:val="-14"/>
        </w:rPr>
        <w:object w:dxaOrig="3221" w:dyaOrig="458" w14:anchorId="0BFC812D">
          <v:shape id="_x0000_i1099" type="#_x0000_t75" style="width:164.15pt;height:23.05pt" o:ole="">
            <v:imagedata r:id="rId189" o:title=""/>
          </v:shape>
          <o:OLEObject Type="Embed" ProgID="Equation.3" ShapeID="_x0000_i1099" DrawAspect="Content" ObjectID="_1812968381" r:id="rId190"/>
        </w:object>
      </w:r>
    </w:p>
    <w:p w14:paraId="61840B14" w14:textId="77777777" w:rsidR="00CF04BC" w:rsidRPr="00B93493" w:rsidRDefault="00CF04BC" w:rsidP="00CF04BC">
      <w:r w:rsidRPr="00B93493">
        <w:t>where:</w:t>
      </w:r>
    </w:p>
    <w:p w14:paraId="21A9D7CF" w14:textId="1C07DA5E" w:rsidR="00CF04BC" w:rsidRPr="00B93493" w:rsidRDefault="00CF04BC" w:rsidP="00CF04BC">
      <w:pPr>
        <w:pStyle w:val="Equationlegend"/>
      </w:pPr>
      <w:r w:rsidRPr="00B93493">
        <w:tab/>
      </w:r>
      <w:r w:rsidRPr="00B93493">
        <w:rPr>
          <w:position w:val="-12"/>
        </w:rPr>
        <w:object w:dxaOrig="308" w:dyaOrig="391" w14:anchorId="70F45929">
          <v:shape id="_x0000_i1100" type="#_x0000_t75" style="width:14.4pt;height:20.15pt" o:ole="">
            <v:imagedata r:id="rId191" o:title=""/>
          </v:shape>
          <o:OLEObject Type="Embed" ProgID="Equation.3" ShapeID="_x0000_i1100" DrawAspect="Content" ObjectID="_1812968382" r:id="rId192"/>
        </w:object>
      </w:r>
      <w:r w:rsidRPr="00B93493">
        <w:t>:</w:t>
      </w:r>
      <w:r w:rsidRPr="00B93493">
        <w:tab/>
        <w:t xml:space="preserve">total one-time payment, </w:t>
      </w:r>
      <w:r w:rsidR="00092428">
        <w:t>roubles</w:t>
      </w:r>
    </w:p>
    <w:p w14:paraId="0BC8D600" w14:textId="6672A085" w:rsidR="00CF04BC" w:rsidRPr="00B93493" w:rsidRDefault="00CF04BC" w:rsidP="00CF04BC">
      <w:pPr>
        <w:pStyle w:val="Equationlegend"/>
      </w:pPr>
      <w:r w:rsidRPr="00B93493">
        <w:tab/>
      </w:r>
      <w:r w:rsidRPr="00B93493">
        <w:rPr>
          <w:position w:val="-12"/>
        </w:rPr>
        <w:object w:dxaOrig="341" w:dyaOrig="391" w14:anchorId="690D747A">
          <v:shape id="_x0000_i1101" type="#_x0000_t75" style="width:20.15pt;height:20.15pt" o:ole="">
            <v:imagedata r:id="rId193" o:title=""/>
          </v:shape>
          <o:OLEObject Type="Embed" ProgID="Equation.3" ShapeID="_x0000_i1101" DrawAspect="Content" ObjectID="_1812968383" r:id="rId194"/>
        </w:object>
      </w:r>
      <w:r w:rsidRPr="00B93493">
        <w:t xml:space="preserve">: </w:t>
      </w:r>
      <w:r w:rsidRPr="00B93493">
        <w:tab/>
        <w:t xml:space="preserve">rate of tariff for one-time payment, </w:t>
      </w:r>
      <w:r w:rsidR="00092428">
        <w:t>roubles</w:t>
      </w:r>
    </w:p>
    <w:p w14:paraId="32C68183" w14:textId="77777777" w:rsidR="00CF04BC" w:rsidRPr="00B93493" w:rsidRDefault="00CF04BC" w:rsidP="00CF04BC">
      <w:pPr>
        <w:pStyle w:val="Equationlegend"/>
      </w:pPr>
      <w:r w:rsidRPr="00B93493">
        <w:tab/>
      </w:r>
      <w:r w:rsidRPr="00B93493">
        <w:rPr>
          <w:position w:val="-12"/>
        </w:rPr>
        <w:object w:dxaOrig="583" w:dyaOrig="391" w14:anchorId="443A4C74">
          <v:shape id="_x0000_i1102" type="#_x0000_t75" style="width:26.5pt;height:20.15pt" o:ole="">
            <v:imagedata r:id="rId195" o:title=""/>
          </v:shape>
          <o:OLEObject Type="Embed" ProgID="Equation.3" ShapeID="_x0000_i1102" DrawAspect="Content" ObjectID="_1812968384" r:id="rId196"/>
        </w:object>
      </w:r>
      <w:r w:rsidRPr="00B93493">
        <w:t xml:space="preserve">: </w:t>
      </w:r>
      <w:r w:rsidRPr="00B93493">
        <w:tab/>
        <w:t>coefficient depending on used frequency band</w:t>
      </w:r>
    </w:p>
    <w:p w14:paraId="04634B52" w14:textId="77777777" w:rsidR="00CF04BC" w:rsidRPr="00B93493" w:rsidRDefault="00CF04BC" w:rsidP="00CF04BC">
      <w:pPr>
        <w:pStyle w:val="Equationlegend"/>
      </w:pPr>
      <w:r w:rsidRPr="00B93493">
        <w:tab/>
      </w:r>
      <w:r w:rsidRPr="00B93493">
        <w:rPr>
          <w:position w:val="-14"/>
        </w:rPr>
        <w:object w:dxaOrig="458" w:dyaOrig="391" w14:anchorId="0B93D9B5">
          <v:shape id="_x0000_i1103" type="#_x0000_t75" style="width:23.05pt;height:20.15pt" o:ole="">
            <v:imagedata r:id="rId197" o:title=""/>
          </v:shape>
          <o:OLEObject Type="Embed" ProgID="Equation.3" ShapeID="_x0000_i1103" DrawAspect="Content" ObjectID="_1812968385" r:id="rId198"/>
        </w:object>
      </w:r>
      <w:r w:rsidRPr="00B93493">
        <w:t xml:space="preserve">: </w:t>
      </w:r>
      <w:r w:rsidRPr="00B93493">
        <w:tab/>
        <w:t>coefficient depending on number of used radio frequencies (radio channels)</w:t>
      </w:r>
    </w:p>
    <w:p w14:paraId="704D3C43" w14:textId="77777777" w:rsidR="00CF04BC" w:rsidRPr="00B93493" w:rsidRDefault="00CF04BC" w:rsidP="00CF04BC">
      <w:pPr>
        <w:pStyle w:val="Equationlegend"/>
      </w:pPr>
      <w:r w:rsidRPr="00B93493">
        <w:tab/>
      </w:r>
      <w:r w:rsidRPr="00B93493">
        <w:rPr>
          <w:position w:val="-12"/>
        </w:rPr>
        <w:object w:dxaOrig="491" w:dyaOrig="391" w14:anchorId="4213A6E2">
          <v:shape id="_x0000_i1104" type="#_x0000_t75" style="width:22.45pt;height:20.15pt" o:ole="">
            <v:imagedata r:id="rId199" o:title=""/>
          </v:shape>
          <o:OLEObject Type="Embed" ProgID="Equation.3" ShapeID="_x0000_i1104" DrawAspect="Content" ObjectID="_1812968386" r:id="rId200"/>
        </w:object>
      </w:r>
      <w:r w:rsidRPr="00B93493">
        <w:t xml:space="preserve">: </w:t>
      </w:r>
      <w:r w:rsidRPr="00B93493">
        <w:tab/>
        <w:t>coefficient depending on applicable technology.</w:t>
      </w:r>
    </w:p>
    <w:p w14:paraId="5E0DCE60" w14:textId="77777777" w:rsidR="00CF04BC" w:rsidRPr="00B93493" w:rsidRDefault="00CF04BC" w:rsidP="00CF04BC">
      <w:r w:rsidRPr="00B93493">
        <w:t>The coefficients are applied per each radio frequency (radio channel) and/or frequency bandwidth.</w:t>
      </w:r>
    </w:p>
    <w:p w14:paraId="52B3126A" w14:textId="77777777" w:rsidR="00CF04BC" w:rsidRPr="00B93493" w:rsidRDefault="00CF04BC" w:rsidP="00CF04BC">
      <w:r w:rsidRPr="00B93493">
        <w:t>In case of extending validity, re-issuing and (or) amending the SRFC decisions, that is not related to changes in terms of using radio frequencies, one-time payment is not charged.</w:t>
      </w:r>
    </w:p>
    <w:p w14:paraId="3AD648AC" w14:textId="77777777" w:rsidR="00CF04BC" w:rsidRPr="00B93493" w:rsidRDefault="00CF04BC" w:rsidP="00CF04BC">
      <w:pPr>
        <w:pStyle w:val="Heading4"/>
      </w:pPr>
      <w:bookmarkStart w:id="2374" w:name="_Toc454284980"/>
      <w:bookmarkStart w:id="2375" w:name="sub_1300"/>
      <w:r w:rsidRPr="00B93493">
        <w:t>5.2.7.3</w:t>
      </w:r>
      <w:r w:rsidRPr="00B93493">
        <w:tab/>
        <w:t>Calculation of annual fee</w:t>
      </w:r>
      <w:bookmarkEnd w:id="2374"/>
    </w:p>
    <w:p w14:paraId="49AEB1FF" w14:textId="77777777" w:rsidR="00CF04BC" w:rsidRPr="00B93493" w:rsidRDefault="00CF04BC" w:rsidP="00CF04BC">
      <w:bookmarkStart w:id="2376" w:name="sub_13051"/>
      <w:bookmarkEnd w:id="2375"/>
      <w:r w:rsidRPr="00B93493">
        <w:t>The annual fee for cellular radio technologies is set for each frequency band, assigned by the SRFC decision and (or) specified in the license per each of the Russian Federation Subjects (part of the Subject), specified in the SRFC decision or in the license, for other technologies it is set for each granted authorization and calculated using the following formula:</w:t>
      </w:r>
    </w:p>
    <w:bookmarkEnd w:id="2376"/>
    <w:p w14:paraId="4DEF505D" w14:textId="77777777" w:rsidR="00CF04BC" w:rsidRPr="00B93493" w:rsidRDefault="00CF04BC" w:rsidP="00CF04BC">
      <w:pPr>
        <w:pStyle w:val="Equation"/>
      </w:pPr>
      <w:r w:rsidRPr="00B93493">
        <w:tab/>
      </w:r>
      <w:r w:rsidRPr="00B93493">
        <w:tab/>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4</m:t>
            </m:r>
          </m:sup>
          <m:e>
            <m:r>
              <m:rPr>
                <m:sty m:val="p"/>
              </m:rPr>
              <w:rPr>
                <w:rFonts w:ascii="Cambria Math" w:hAnsi="Cambria Math"/>
                <w:position w:val="-14"/>
              </w:rPr>
              <w:object w:dxaOrig="416" w:dyaOrig="416" w14:anchorId="4BE2F3AC">
                <v:shape id="_x0000_i1106" type="#_x0000_t75" style="width:22.45pt;height:22.45pt" o:ole="">
                  <v:imagedata r:id="rId201" o:title=""/>
                </v:shape>
                <o:OLEObject Type="Embed" ProgID="Equation.3" ShapeID="_x0000_i1106" DrawAspect="Content" ObjectID="_1812968387" r:id="rId202"/>
              </w:object>
            </m:r>
          </m:e>
        </m:nary>
      </m:oMath>
    </w:p>
    <w:p w14:paraId="70EAD99F" w14:textId="77777777" w:rsidR="00CF04BC" w:rsidRPr="00B93493" w:rsidRDefault="00CF04BC" w:rsidP="00CF04BC">
      <w:bookmarkStart w:id="2377" w:name="sub_130513"/>
      <w:r w:rsidRPr="00B93493">
        <w:t>where:</w:t>
      </w:r>
    </w:p>
    <w:p w14:paraId="7CABA0CB" w14:textId="77777777" w:rsidR="00CF04BC" w:rsidRPr="00B93493" w:rsidRDefault="00CF04BC" w:rsidP="00CF04BC">
      <w:pPr>
        <w:pStyle w:val="Equation"/>
      </w:pPr>
      <w:bookmarkStart w:id="2378" w:name="sub_1301514"/>
      <w:bookmarkEnd w:id="2377"/>
      <w:r w:rsidRPr="00B93493">
        <w:tab/>
      </w:r>
      <w:r w:rsidRPr="00B93493">
        <w:tab/>
      </w:r>
      <w:r w:rsidRPr="00B93493">
        <w:object w:dxaOrig="5069" w:dyaOrig="541" w14:anchorId="2488C02B">
          <v:shape id="_x0000_i1107" type="#_x0000_t75" style="width:205.05pt;height:21.9pt" o:ole="">
            <v:imagedata r:id="rId203" o:title=""/>
          </v:shape>
          <o:OLEObject Type="Embed" ProgID="Equation.3" ShapeID="_x0000_i1107" DrawAspect="Content" ObjectID="_1812968388" r:id="rId204"/>
        </w:object>
      </w:r>
    </w:p>
    <w:bookmarkEnd w:id="2378"/>
    <w:p w14:paraId="5F448BA6" w14:textId="6BCCBB7B" w:rsidR="00CF04BC" w:rsidRPr="00B93493" w:rsidRDefault="00CF04BC" w:rsidP="00CF04BC">
      <w:pPr>
        <w:pStyle w:val="Equationlegend"/>
      </w:pPr>
      <w:r w:rsidRPr="00B93493">
        <w:rPr>
          <w:i/>
        </w:rPr>
        <w:tab/>
        <w:t>P</w:t>
      </w:r>
      <w:r w:rsidRPr="00B93493">
        <w:rPr>
          <w:i/>
          <w:vertAlign w:val="subscript"/>
        </w:rPr>
        <w:t>a</w:t>
      </w:r>
      <w:r w:rsidRPr="00B93493">
        <w:t xml:space="preserve">: </w:t>
      </w:r>
      <w:r w:rsidRPr="00B93493">
        <w:tab/>
        <w:t xml:space="preserve">annual fee, </w:t>
      </w:r>
      <w:r w:rsidR="00092428">
        <w:t>roubles</w:t>
      </w:r>
    </w:p>
    <w:p w14:paraId="63AE3B8A" w14:textId="4FCB5912" w:rsidR="00CF04BC" w:rsidRPr="00B93493" w:rsidRDefault="00CF04BC" w:rsidP="00CF04BC">
      <w:pPr>
        <w:pStyle w:val="Equationlegend"/>
      </w:pPr>
      <w:r w:rsidRPr="00B93493">
        <w:rPr>
          <w:i/>
        </w:rPr>
        <w:tab/>
        <w:t>P</w:t>
      </w:r>
      <w:r w:rsidRPr="00B93493">
        <w:rPr>
          <w:i/>
          <w:vertAlign w:val="subscript"/>
        </w:rPr>
        <w:t>a(q)</w:t>
      </w:r>
      <w:r w:rsidRPr="00B93493">
        <w:t xml:space="preserve">: </w:t>
      </w:r>
      <w:r w:rsidRPr="00B93493">
        <w:tab/>
        <w:t xml:space="preserve">annual fee per a quarter, </w:t>
      </w:r>
      <w:r w:rsidR="00092428">
        <w:t>roubles</w:t>
      </w:r>
    </w:p>
    <w:p w14:paraId="2E2F0DFA" w14:textId="077D51BC" w:rsidR="00CF04BC" w:rsidRPr="00B93493" w:rsidRDefault="00CF04BC" w:rsidP="00CF04BC">
      <w:pPr>
        <w:pStyle w:val="Equationlegend"/>
      </w:pPr>
      <w:r w:rsidRPr="00B93493">
        <w:rPr>
          <w:i/>
        </w:rPr>
        <w:tab/>
        <w:t>R</w:t>
      </w:r>
      <w:r w:rsidRPr="00B93493">
        <w:rPr>
          <w:i/>
          <w:vertAlign w:val="subscript"/>
        </w:rPr>
        <w:t>a</w:t>
      </w:r>
      <w:r w:rsidRPr="00B93493">
        <w:t xml:space="preserve">: </w:t>
      </w:r>
      <w:r w:rsidRPr="00B93493">
        <w:tab/>
        <w:t xml:space="preserve">rate of annual fee, </w:t>
      </w:r>
      <w:r w:rsidR="00092428">
        <w:t>roubles</w:t>
      </w:r>
    </w:p>
    <w:p w14:paraId="5E37F86D" w14:textId="77777777" w:rsidR="00CF04BC" w:rsidRPr="00B93493" w:rsidRDefault="00CF04BC" w:rsidP="00CF04BC">
      <w:pPr>
        <w:pStyle w:val="Equationlegend"/>
      </w:pPr>
      <w:r w:rsidRPr="00B93493">
        <w:rPr>
          <w:i/>
        </w:rPr>
        <w:tab/>
        <w:t>K</w:t>
      </w:r>
      <w:r w:rsidRPr="00B93493">
        <w:rPr>
          <w:i/>
          <w:vertAlign w:val="subscript"/>
        </w:rPr>
        <w:t>band</w:t>
      </w:r>
      <w:r w:rsidRPr="00B93493">
        <w:t xml:space="preserve">: </w:t>
      </w:r>
      <w:r>
        <w:tab/>
      </w:r>
      <w:r w:rsidRPr="00B93493">
        <w:t>coefficient depending on used frequency band</w:t>
      </w:r>
    </w:p>
    <w:p w14:paraId="244247D0" w14:textId="77777777" w:rsidR="00CF04BC" w:rsidRPr="00B93493" w:rsidRDefault="00CF04BC" w:rsidP="00CF04BC">
      <w:pPr>
        <w:pStyle w:val="Equationlegend"/>
      </w:pPr>
      <w:r w:rsidRPr="00B93493">
        <w:rPr>
          <w:i/>
        </w:rPr>
        <w:tab/>
        <w:t>K</w:t>
      </w:r>
      <w:r w:rsidRPr="00B93493">
        <w:rPr>
          <w:i/>
          <w:vertAlign w:val="subscript"/>
        </w:rPr>
        <w:t>Nf</w:t>
      </w:r>
      <w:r w:rsidRPr="00B93493">
        <w:t xml:space="preserve">: </w:t>
      </w:r>
      <w:r w:rsidRPr="00B93493">
        <w:tab/>
        <w:t>coefficient depending on number of used radio frequencies (radio channels)</w:t>
      </w:r>
    </w:p>
    <w:p w14:paraId="1DC9C4B7" w14:textId="77777777" w:rsidR="00CF04BC" w:rsidRPr="00B93493" w:rsidRDefault="00CF04BC" w:rsidP="00CF04BC">
      <w:pPr>
        <w:pStyle w:val="Equationlegend"/>
      </w:pPr>
      <w:r w:rsidRPr="00B93493">
        <w:rPr>
          <w:i/>
        </w:rPr>
        <w:tab/>
        <w:t>K</w:t>
      </w:r>
      <w:r w:rsidRPr="00B93493">
        <w:rPr>
          <w:i/>
          <w:vertAlign w:val="subscript"/>
        </w:rPr>
        <w:t>tech</w:t>
      </w:r>
      <w:r w:rsidRPr="00B93493">
        <w:t xml:space="preserve">: </w:t>
      </w:r>
      <w:r w:rsidRPr="00B93493">
        <w:tab/>
        <w:t>coefficient depending on applicable technology</w:t>
      </w:r>
    </w:p>
    <w:p w14:paraId="608C6543" w14:textId="77777777" w:rsidR="00CF04BC" w:rsidRPr="00B93493" w:rsidRDefault="00CF04BC" w:rsidP="00CF04BC">
      <w:pPr>
        <w:pStyle w:val="Equationlegend"/>
      </w:pPr>
      <w:r w:rsidRPr="00B93493">
        <w:rPr>
          <w:i/>
        </w:rPr>
        <w:tab/>
        <w:t>N</w:t>
      </w:r>
      <w:r w:rsidRPr="00B93493">
        <w:rPr>
          <w:i/>
          <w:vertAlign w:val="subscript"/>
        </w:rPr>
        <w:t>auth(q)</w:t>
      </w:r>
      <w:r w:rsidRPr="00B93493">
        <w:t xml:space="preserve">: </w:t>
      </w:r>
      <w:r w:rsidRPr="00B93493">
        <w:tab/>
        <w:t>number of effective days of authorization in a payable quarter</w:t>
      </w:r>
    </w:p>
    <w:p w14:paraId="0515B1CE" w14:textId="77777777" w:rsidR="00CF04BC" w:rsidRPr="00B93493" w:rsidRDefault="00CF04BC" w:rsidP="00CF04BC">
      <w:pPr>
        <w:pStyle w:val="Equationlegend"/>
      </w:pPr>
      <w:r w:rsidRPr="00B93493">
        <w:rPr>
          <w:i/>
        </w:rPr>
        <w:tab/>
        <w:t>N</w:t>
      </w:r>
      <w:r w:rsidRPr="00B93493">
        <w:rPr>
          <w:i/>
          <w:vertAlign w:val="subscript"/>
        </w:rPr>
        <w:t>q</w:t>
      </w:r>
      <w:r w:rsidRPr="00B93493">
        <w:t xml:space="preserve">: </w:t>
      </w:r>
      <w:r w:rsidRPr="00B93493">
        <w:tab/>
        <w:t>number of days in a payable quarter.</w:t>
      </w:r>
    </w:p>
    <w:p w14:paraId="2C52E5FB" w14:textId="77777777" w:rsidR="00CF04BC" w:rsidRPr="00B93493" w:rsidRDefault="00CF04BC" w:rsidP="00CF04BC">
      <w:r w:rsidRPr="00B93493">
        <w:t xml:space="preserve">The coefficients are applied per each radio frequency (radio channel) and/or frequency band. </w:t>
      </w:r>
    </w:p>
    <w:p w14:paraId="034DA63A" w14:textId="77777777" w:rsidR="00CF04BC" w:rsidRPr="00B93493" w:rsidRDefault="00CF04BC" w:rsidP="00CF04BC">
      <w:r w:rsidRPr="00B93493">
        <w:t xml:space="preserve">When using several cellular radio technologies within one frequency band by a spectrum user (hereinafter – user), the annual fee per frequency band is calculated using maximum </w:t>
      </w:r>
      <w:r w:rsidRPr="00B93493">
        <w:rPr>
          <w:i/>
        </w:rPr>
        <w:t>K</w:t>
      </w:r>
      <w:r w:rsidRPr="00B93493">
        <w:rPr>
          <w:i/>
          <w:vertAlign w:val="subscript"/>
        </w:rPr>
        <w:t>tech</w:t>
      </w:r>
      <w:r w:rsidRPr="00B93493">
        <w:rPr>
          <w:vertAlign w:val="subscript"/>
        </w:rPr>
        <w:t xml:space="preserve"> </w:t>
      </w:r>
      <w:r w:rsidRPr="00B93493">
        <w:t>for the radio technology used in the frequency band.</w:t>
      </w:r>
    </w:p>
    <w:p w14:paraId="54EEC2F4" w14:textId="77777777" w:rsidR="00CF04BC" w:rsidRPr="00B93493" w:rsidRDefault="00CF04BC" w:rsidP="00CF04BC">
      <w:r w:rsidRPr="00B93493">
        <w:t>The amount of established annual fee with regard to authorizations for usage of radio frequencies or radio channels by radio systems in public networks, which were not registered within one year from the day of the radio system authorization, is increased tenfold from the day of the expired date and until the radio system is registered.</w:t>
      </w:r>
    </w:p>
    <w:p w14:paraId="66B9FA36" w14:textId="77777777" w:rsidR="00CF04BC" w:rsidRPr="00B93493" w:rsidRDefault="00CF04BC" w:rsidP="00CF04BC">
      <w:r w:rsidRPr="00B93493">
        <w:t>The amount of established annual fee with regard to authorizations for usage of radio frequencies or radio channels by radio systems in technological and dedicated networks, radio and TV broadcasting systems, as well as radio systems used in the regions of the Far North and equivalent regions, which were not registered within two years from the day of the radio system authorization, is increased tenfold from the day of the expired date and until the radio system is registered.</w:t>
      </w:r>
    </w:p>
    <w:p w14:paraId="07C0C5DC" w14:textId="77777777" w:rsidR="00CF04BC" w:rsidRPr="00B93493" w:rsidRDefault="00CF04BC" w:rsidP="00CF04BC">
      <w:pPr>
        <w:pStyle w:val="Heading4"/>
      </w:pPr>
      <w:bookmarkStart w:id="2379" w:name="_Toc454284981"/>
      <w:bookmarkStart w:id="2380" w:name="sub_1500"/>
      <w:r w:rsidRPr="00B93493">
        <w:t>5.7.2.4</w:t>
      </w:r>
      <w:r w:rsidRPr="00B93493">
        <w:tab/>
        <w:t>Calculation of coefficient depending on the number of used radio frequencies (radio channels)</w:t>
      </w:r>
      <w:bookmarkEnd w:id="2379"/>
    </w:p>
    <w:bookmarkEnd w:id="2380"/>
    <w:p w14:paraId="09732D0A" w14:textId="77777777" w:rsidR="00CF04BC" w:rsidRPr="00B93493" w:rsidRDefault="00CF04BC" w:rsidP="00CF04BC">
      <w:pPr>
        <w:spacing w:after="240"/>
      </w:pPr>
      <w:r w:rsidRPr="00B93493">
        <w:t xml:space="preserve">The coefficient depending on the number of radio frequencies (radio channels) used by radio systems, including cellular radio systems and technologies which have specified frequency band in the authorization, excluding MMDS radio systems, earth stations of satellite systems (ESSS) and VSAT Hub (Central) stations, is calculated using the following </w:t>
      </w:r>
      <w:r>
        <w:t>equation</w:t>
      </w:r>
      <w:r w:rsidRPr="00B93493">
        <w:t xml:space="preserve">: </w:t>
      </w:r>
    </w:p>
    <w:p w14:paraId="2293A13E" w14:textId="77777777" w:rsidR="00CF04BC" w:rsidRPr="00B93493" w:rsidRDefault="00CF04BC" w:rsidP="00CF04BC">
      <w:pPr>
        <w:pStyle w:val="Equation"/>
      </w:pPr>
      <w:r w:rsidRPr="00B93493">
        <w:tab/>
      </w:r>
      <w:r w:rsidRPr="00B93493">
        <w:tab/>
      </w:r>
      <m:oMath>
        <m:sSub>
          <m:sSubPr>
            <m:ctrlPr>
              <w:rPr>
                <w:rFonts w:ascii="Cambria Math" w:hAnsi="Cambria Math"/>
              </w:rPr>
            </m:ctrlPr>
          </m:sSubPr>
          <m:e>
            <m:r>
              <w:rPr>
                <w:rFonts w:ascii="Cambria Math" w:hAnsi="Cambria Math"/>
              </w:rPr>
              <m:t>K</m:t>
            </m:r>
          </m:e>
          <m:sub>
            <m:r>
              <w:rPr>
                <w:rFonts w:ascii="Cambria Math" w:hAnsi="Cambria Math"/>
              </w:rPr>
              <m:t>Nf</m:t>
            </m:r>
          </m:sub>
        </m:sSub>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N</m:t>
            </m:r>
          </m:e>
        </m:nary>
      </m:oMath>
    </w:p>
    <w:p w14:paraId="149D7B60" w14:textId="77777777" w:rsidR="00CF04BC" w:rsidRPr="00B93493" w:rsidRDefault="00CF04BC" w:rsidP="00CF04BC">
      <w:r w:rsidRPr="00B93493">
        <w:t>where:</w:t>
      </w:r>
    </w:p>
    <w:p w14:paraId="7892E006" w14:textId="77777777" w:rsidR="00CF04BC" w:rsidRPr="00B93493" w:rsidRDefault="00CF04BC" w:rsidP="00CF04BC">
      <w:pPr>
        <w:pStyle w:val="Equationlegend"/>
      </w:pPr>
      <w:r w:rsidRPr="00B93493">
        <w:rPr>
          <w:i/>
        </w:rPr>
        <w:tab/>
        <w:t>K</w:t>
      </w:r>
      <w:r w:rsidRPr="00B93493">
        <w:rPr>
          <w:i/>
          <w:vertAlign w:val="subscript"/>
        </w:rPr>
        <w:t>Nf</w:t>
      </w:r>
      <w:r w:rsidRPr="00B93493">
        <w:t xml:space="preserve"> </w:t>
      </w:r>
      <w:r>
        <w:t>:</w:t>
      </w:r>
      <w:r w:rsidRPr="00B93493">
        <w:tab/>
        <w:t>coefficient depending on number of used radio frequencies (radio channels)</w:t>
      </w:r>
    </w:p>
    <w:p w14:paraId="35A93154" w14:textId="77777777" w:rsidR="00CF04BC" w:rsidRPr="00B93493" w:rsidRDefault="00CF04BC" w:rsidP="00CF04BC">
      <w:pPr>
        <w:pStyle w:val="Equationlegend"/>
      </w:pPr>
      <w:r w:rsidRPr="00B93493">
        <w:rPr>
          <w:i/>
        </w:rPr>
        <w:tab/>
        <w:t>N</w:t>
      </w:r>
      <w:r>
        <w:rPr>
          <w:i/>
        </w:rPr>
        <w:t xml:space="preserve"> </w:t>
      </w:r>
      <w:r w:rsidRPr="00B93493">
        <w:t xml:space="preserve">: </w:t>
      </w:r>
      <w:r w:rsidRPr="00B93493">
        <w:tab/>
        <w:t xml:space="preserve">number of used radio frequencies (radio channels). </w:t>
      </w:r>
    </w:p>
    <w:p w14:paraId="36D633C4" w14:textId="77777777" w:rsidR="00CF04BC" w:rsidRPr="00B93493" w:rsidRDefault="00CF04BC" w:rsidP="00CF04BC">
      <w:pPr>
        <w:pStyle w:val="Note"/>
      </w:pPr>
      <w:r w:rsidRPr="00B93493">
        <w:rPr>
          <w:bCs/>
        </w:rPr>
        <w:t xml:space="preserve">NOTE </w:t>
      </w:r>
      <w:r w:rsidRPr="00B93493">
        <w:t xml:space="preserve">– A number </w:t>
      </w:r>
      <w:r w:rsidRPr="00B93493">
        <w:rPr>
          <w:i/>
        </w:rPr>
        <w:t>N</w:t>
      </w:r>
      <w:r w:rsidRPr="00B93493">
        <w:t xml:space="preserve"> for TV transmitters (excluding MMDS radio systems) is calculated according to a number of used radio channels, while for radio relay stations, outside news-gathering broadcasting stations and base (subscriber) stations of telephone radio extenders it is calculated according to a number of radio frequencies used by transmitters.</w:t>
      </w:r>
    </w:p>
    <w:p w14:paraId="528CAE49" w14:textId="77777777" w:rsidR="00CF04BC" w:rsidRPr="00B93493" w:rsidRDefault="00CF04BC" w:rsidP="00CF04BC">
      <w:r w:rsidRPr="00B93493">
        <w:t xml:space="preserve">Number </w:t>
      </w:r>
      <w:r w:rsidRPr="00B93493">
        <w:rPr>
          <w:i/>
        </w:rPr>
        <w:t>N</w:t>
      </w:r>
      <w:r w:rsidRPr="00B93493">
        <w:t xml:space="preserve"> of used radio frequencies (radio channels) for cellular radio technologies is calculated for each frequency band assigned by the SRFC decision or specified by the license with regard to each Russian Federation Subject (part of the Subject) specified in the SRFC decision or license.</w:t>
      </w:r>
    </w:p>
    <w:p w14:paraId="7A06F651" w14:textId="77777777" w:rsidR="00CF04BC" w:rsidRPr="00B93493" w:rsidRDefault="00CF04BC" w:rsidP="00CF04BC">
      <w:r w:rsidRPr="00B93493">
        <w:t xml:space="preserve">When the SRFC decision or license assigns a frequency band to a user not for the entire territory of the Subject but for some part of its territory, a number of used radio frequencies (radio channels) is calculated only with regard to the part of the Russian Federation Subject. </w:t>
      </w:r>
    </w:p>
    <w:p w14:paraId="78246C6C" w14:textId="77777777" w:rsidR="00CF04BC" w:rsidRPr="00B93493" w:rsidRDefault="00CF04BC" w:rsidP="00CF04BC">
      <w:r w:rsidRPr="00B93493">
        <w:t>When repeated frequency bands are assigned to users for cellular radio technology application, based on SRFC decisions adopted with regard to uncertain range of (or several) people, a number of used radio frequencies (radio channels) is calculated based on the total bandwidth of unrepeated radio channels assigned to a user with regard to each of the Russian Federation Subjects (part of the Subject).</w:t>
      </w:r>
    </w:p>
    <w:p w14:paraId="286053C3" w14:textId="77777777" w:rsidR="00CF04BC" w:rsidRPr="00B93493" w:rsidRDefault="00CF04BC" w:rsidP="00CF04BC">
      <w:r w:rsidRPr="00B93493">
        <w:t>The number of used radio frequencies (radio channels) for other technologies is calculated according to the authorizations granted per each radio station site considering its geographical coordinates, by summing up the number of radio frequencies (radio channels) used to transmit and (or) receive radio signals.</w:t>
      </w:r>
    </w:p>
    <w:p w14:paraId="127A224E" w14:textId="77777777" w:rsidR="00CF04BC" w:rsidRPr="00B93493" w:rsidRDefault="00CF04BC" w:rsidP="00CF04BC">
      <w:bookmarkStart w:id="2381" w:name="sub_11046"/>
      <w:r w:rsidRPr="00B93493">
        <w:t xml:space="preserve">If the receive frequency is the same as transmit frequency, then </w:t>
      </w:r>
      <w:r w:rsidRPr="00B93493">
        <w:rPr>
          <w:i/>
        </w:rPr>
        <w:t>N</w:t>
      </w:r>
      <w:r w:rsidRPr="00B93493">
        <w:t xml:space="preserve"> for this frequency is assumed equal to 1 when calculating coefficient depending on the number of used frequencies (radio channels).</w:t>
      </w:r>
    </w:p>
    <w:p w14:paraId="7282C23B" w14:textId="77777777" w:rsidR="00CF04BC" w:rsidRPr="00B93493" w:rsidRDefault="00CF04BC" w:rsidP="00CF04BC">
      <w:bookmarkStart w:id="2382" w:name="sub_11055"/>
      <w:bookmarkEnd w:id="2381"/>
      <w:r w:rsidRPr="00B93493">
        <w:t>Radio frequencies (radio channels) which are recommended for re-assignment are not considered in the calculation of the fee for an authorization.</w:t>
      </w:r>
    </w:p>
    <w:p w14:paraId="1D623E9B" w14:textId="77777777" w:rsidR="00CF04BC" w:rsidRPr="00B93493" w:rsidRDefault="00CF04BC" w:rsidP="00CF04BC">
      <w:bookmarkStart w:id="2383" w:name="sub_11056"/>
      <w:bookmarkEnd w:id="2382"/>
      <w:r w:rsidRPr="00B93493">
        <w:t xml:space="preserve">When calculating the fee for an authorization where radio frequencies (radio channels) are recommended for re-assignment, the coefficient </w:t>
      </w:r>
      <w:r w:rsidRPr="00B93493">
        <w:rPr>
          <w:i/>
        </w:rPr>
        <w:t>K</w:t>
      </w:r>
      <w:r w:rsidRPr="00B93493">
        <w:rPr>
          <w:i/>
          <w:vertAlign w:val="subscript"/>
        </w:rPr>
        <w:t>Nf</w:t>
      </w:r>
      <w:r w:rsidRPr="00B93493">
        <w:rPr>
          <w:vertAlign w:val="subscript"/>
        </w:rPr>
        <w:t xml:space="preserve"> </w:t>
      </w:r>
      <w:r w:rsidRPr="00B93493">
        <w:t xml:space="preserve">is calculated as the number of all nominal frequencies (including repeated frequencies) specified in the table of frequency/territory plan of the authorization. </w:t>
      </w:r>
    </w:p>
    <w:p w14:paraId="5D088CCF" w14:textId="77777777" w:rsidR="00CF04BC" w:rsidRPr="00B93493" w:rsidRDefault="00CF04BC" w:rsidP="00CF04BC">
      <w:bookmarkStart w:id="2384" w:name="sub_15088"/>
      <w:bookmarkEnd w:id="2383"/>
      <w:r w:rsidRPr="00B93493">
        <w:t xml:space="preserve">When the table of the frequency-territory plan of the authorization specifies land mobile (hand-held, portable) subscriber stations within the operation area of base stations, </w:t>
      </w:r>
      <w:r w:rsidRPr="00B93493">
        <w:rPr>
          <w:i/>
        </w:rPr>
        <w:t>K</w:t>
      </w:r>
      <w:r w:rsidRPr="00B93493">
        <w:rPr>
          <w:i/>
          <w:vertAlign w:val="subscript"/>
        </w:rPr>
        <w:t>Nf</w:t>
      </w:r>
      <w:r w:rsidRPr="00B93493">
        <w:rPr>
          <w:vertAlign w:val="subscript"/>
        </w:rPr>
        <w:t xml:space="preserve"> </w:t>
      </w:r>
      <w:r w:rsidRPr="00B93493">
        <w:t>for such subscriber stations is not</w:t>
      </w:r>
      <w:r w:rsidRPr="00B93493">
        <w:rPr>
          <w:vertAlign w:val="subscript"/>
        </w:rPr>
        <w:t xml:space="preserve"> </w:t>
      </w:r>
      <w:r w:rsidRPr="00B93493">
        <w:t>calculated.</w:t>
      </w:r>
    </w:p>
    <w:bookmarkEnd w:id="2384"/>
    <w:p w14:paraId="2C0ECC80" w14:textId="77777777" w:rsidR="00CF04BC" w:rsidRPr="00B93493" w:rsidRDefault="00CF04BC" w:rsidP="00CF04BC">
      <w:r w:rsidRPr="00B93493">
        <w:t xml:space="preserve">A number </w:t>
      </w:r>
      <w:r w:rsidRPr="00B93493">
        <w:rPr>
          <w:i/>
        </w:rPr>
        <w:t>N</w:t>
      </w:r>
      <w:r w:rsidRPr="00B93493">
        <w:t xml:space="preserve"> for cellular radio technologies and other technologies, which have specified the frequency bandwidth in the authorization, is calculated using the following </w:t>
      </w:r>
      <w:r>
        <w:t>equation</w:t>
      </w:r>
      <w:r w:rsidRPr="00B93493">
        <w:t>:</w:t>
      </w:r>
    </w:p>
    <w:p w14:paraId="4EC8022C" w14:textId="77777777" w:rsidR="00CF04BC" w:rsidRPr="00B93493" w:rsidRDefault="00CF04BC" w:rsidP="00CF04BC">
      <w:pPr>
        <w:pStyle w:val="Equation"/>
      </w:pPr>
      <w:r w:rsidRPr="00B93493">
        <w:rPr>
          <w:iCs/>
        </w:rPr>
        <w:tab/>
      </w:r>
      <w:r w:rsidRPr="00B93493">
        <w:rPr>
          <w:iCs/>
        </w:rPr>
        <w:tab/>
      </w:r>
      <m:oMath>
        <m:r>
          <w:rPr>
            <w:rFonts w:ascii="Cambria Math" w:hAnsi="Cambria Math"/>
          </w:rPr>
          <m:t>N</m:t>
        </m:r>
        <m:r>
          <m:rPr>
            <m:sty m:val="p"/>
          </m:rPr>
          <w:rPr>
            <w:rFonts w:ascii="Cambria Math" w:hAnsi="Cambria Math"/>
          </w:rPr>
          <m:t>= ∆</m:t>
        </m:r>
        <m:r>
          <w:rPr>
            <w:rFonts w:ascii="Cambria Math" w:hAnsi="Cambria Math"/>
          </w:rPr>
          <m:t>F</m:t>
        </m:r>
        <m:r>
          <m:rPr>
            <m:sty m:val="p"/>
          </m:rPr>
          <w:rPr>
            <w:rFonts w:ascii="Cambria Math" w:hAnsi="Cambria Math"/>
          </w:rPr>
          <m:t xml:space="preserve"> (MHz)/1 MHz</m:t>
        </m:r>
      </m:oMath>
    </w:p>
    <w:p w14:paraId="6A082A3F" w14:textId="77777777" w:rsidR="00CF04BC" w:rsidRPr="00B93493" w:rsidRDefault="00CF04BC" w:rsidP="00CF04BC">
      <w:r w:rsidRPr="00B93493">
        <w:t>where:</w:t>
      </w:r>
    </w:p>
    <w:p w14:paraId="5649B20A" w14:textId="77777777" w:rsidR="00CF04BC" w:rsidRPr="00B93493" w:rsidRDefault="00CF04BC" w:rsidP="00CF04BC">
      <w:pPr>
        <w:pStyle w:val="Equationlegend"/>
      </w:pPr>
      <w:r w:rsidRPr="00B93493">
        <w:tab/>
        <w:t>Δ</w:t>
      </w:r>
      <w:r w:rsidRPr="00B93493">
        <w:rPr>
          <w:i/>
        </w:rPr>
        <w:t>F</w:t>
      </w:r>
      <w:r w:rsidRPr="00AB1BC9">
        <w:rPr>
          <w:iCs/>
        </w:rPr>
        <w:t xml:space="preserve"> </w:t>
      </w:r>
      <w:r w:rsidRPr="00B93493">
        <w:t xml:space="preserve">: </w:t>
      </w:r>
      <w:r w:rsidRPr="00B93493">
        <w:tab/>
        <w:t>frequency bandwidth assigned to spectrum user (total bandwidth of unrepeated radio channels) or frequency bandwidth specified in the authorization.</w:t>
      </w:r>
    </w:p>
    <w:p w14:paraId="64400CD6" w14:textId="77777777" w:rsidR="00CF04BC" w:rsidRPr="00B93493" w:rsidRDefault="00CF04BC" w:rsidP="00CF04BC">
      <w:r w:rsidRPr="00B93493">
        <w:t>The number of radio frequencies for digital cordless systems (DECT) is calculated according to the assigned frequency band.</w:t>
      </w:r>
    </w:p>
    <w:p w14:paraId="08395A78" w14:textId="77777777" w:rsidR="00CF04BC" w:rsidRPr="00B93493" w:rsidRDefault="00CF04BC" w:rsidP="00CF04BC">
      <w:r w:rsidRPr="00B93493">
        <w:rPr>
          <w:i/>
        </w:rPr>
        <w:t>K</w:t>
      </w:r>
      <w:r w:rsidRPr="00B93493">
        <w:rPr>
          <w:i/>
          <w:vertAlign w:val="subscript"/>
        </w:rPr>
        <w:t>Nf</w:t>
      </w:r>
      <w:r w:rsidRPr="00B93493">
        <w:t xml:space="preserve"> for radio stations of MMDS, ESSS and VSAT Hub (Central) stations is calculated using the following </w:t>
      </w:r>
      <w:r>
        <w:t>equation</w:t>
      </w:r>
      <w:r w:rsidRPr="00B93493">
        <w:t>:</w:t>
      </w:r>
    </w:p>
    <w:p w14:paraId="1B505037" w14:textId="77777777" w:rsidR="00CF04BC" w:rsidRPr="00B93493" w:rsidRDefault="00CF04BC" w:rsidP="00CF04BC">
      <w:pPr>
        <w:pStyle w:val="Equation"/>
      </w:pPr>
      <w:r w:rsidRPr="00B93493">
        <w:tab/>
      </w:r>
      <w:r w:rsidRPr="00B93493">
        <w:tab/>
      </w:r>
      <m:oMath>
        <m:sSub>
          <m:sSubPr>
            <m:ctrlPr>
              <w:rPr>
                <w:rFonts w:ascii="Cambria Math" w:hAnsi="Cambria Math"/>
              </w:rPr>
            </m:ctrlPr>
          </m:sSubPr>
          <m:e>
            <m:r>
              <w:rPr>
                <w:rFonts w:ascii="Cambria Math" w:hAnsi="Cambria Math"/>
              </w:rPr>
              <m:t>K</m:t>
            </m:r>
          </m:e>
          <m:sub>
            <m:r>
              <w:rPr>
                <w:rFonts w:ascii="Cambria Math" w:hAnsi="Cambria Math"/>
              </w:rPr>
              <m:t>Nf</m:t>
            </m:r>
          </m:sub>
        </m:sSub>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S</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min</m:t>
                        </m:r>
                      </m:sub>
                    </m:sSub>
                  </m:e>
                </m:d>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B</m:t>
                    </m:r>
                  </m:e>
                  <m:sub>
                    <m:r>
                      <w:rPr>
                        <w:rFonts w:ascii="Cambria Math" w:hAnsi="Cambria Math"/>
                      </w:rPr>
                      <m:t>req</m:t>
                    </m:r>
                    <m:r>
                      <m:rPr>
                        <m:sty m:val="p"/>
                      </m:rPr>
                      <w:rPr>
                        <w:rFonts w:ascii="Cambria Math" w:hAnsi="Cambria Math"/>
                      </w:rPr>
                      <m:t>_</m:t>
                    </m:r>
                    <m:r>
                      <w:rPr>
                        <w:rFonts w:ascii="Cambria Math" w:hAnsi="Cambria Math"/>
                      </w:rPr>
                      <m:t>fi</m:t>
                    </m:r>
                  </m:sub>
                </m:sSub>
              </m:e>
            </m:nary>
          </m:e>
        </m:d>
        <m:r>
          <m:rPr>
            <m:sty m:val="p"/>
          </m:rPr>
          <w:rPr>
            <w:rFonts w:ascii="Cambria Math" w:hAnsi="Cambria Math"/>
          </w:rPr>
          <m:t>/ 1 MHz</m:t>
        </m:r>
      </m:oMath>
    </w:p>
    <w:p w14:paraId="7321FE4E" w14:textId="77777777" w:rsidR="00CF04BC" w:rsidRPr="00B93493" w:rsidRDefault="00CF04BC" w:rsidP="00CF04BC">
      <w:r w:rsidRPr="00B93493">
        <w:t xml:space="preserve">where: </w:t>
      </w:r>
    </w:p>
    <w:p w14:paraId="7A25FC9B" w14:textId="77777777" w:rsidR="00CF04BC" w:rsidRPr="00B93493" w:rsidRDefault="00CF04BC" w:rsidP="00CF04BC">
      <w:pPr>
        <w:pStyle w:val="Equationlegend"/>
      </w:pPr>
      <w:r w:rsidRPr="00B93493">
        <w:rPr>
          <w:i/>
        </w:rPr>
        <w:tab/>
        <w:t>f</w:t>
      </w:r>
      <w:r w:rsidRPr="00B93493">
        <w:rPr>
          <w:i/>
          <w:vertAlign w:val="subscript"/>
        </w:rPr>
        <w:t>max</w:t>
      </w:r>
      <w:r>
        <w:t xml:space="preserve"> :</w:t>
      </w:r>
      <w:r w:rsidRPr="00B93493">
        <w:t xml:space="preserve"> </w:t>
      </w:r>
      <w:r w:rsidRPr="00B93493">
        <w:tab/>
        <w:t>maximum frequency within transponder (MHz), specified in the authorization</w:t>
      </w:r>
    </w:p>
    <w:p w14:paraId="1E58B355" w14:textId="77777777" w:rsidR="00CF04BC" w:rsidRPr="00B93493" w:rsidRDefault="00CF04BC" w:rsidP="00CF04BC">
      <w:pPr>
        <w:pStyle w:val="Equationlegend"/>
      </w:pPr>
      <w:r w:rsidRPr="00B93493">
        <w:rPr>
          <w:i/>
        </w:rPr>
        <w:tab/>
        <w:t>f</w:t>
      </w:r>
      <w:r w:rsidRPr="00B93493">
        <w:rPr>
          <w:i/>
          <w:vertAlign w:val="subscript"/>
        </w:rPr>
        <w:t>min</w:t>
      </w:r>
      <w:r>
        <w:t xml:space="preserve"> :</w:t>
      </w:r>
      <w:r w:rsidRPr="00B93493">
        <w:t xml:space="preserve"> </w:t>
      </w:r>
      <w:r w:rsidRPr="00B93493">
        <w:tab/>
        <w:t>minimum frequency within transponder (MHz), specified in the authorization</w:t>
      </w:r>
    </w:p>
    <w:p w14:paraId="4BE48272" w14:textId="77777777" w:rsidR="00CF04BC" w:rsidRPr="00B93493" w:rsidRDefault="00CF04BC" w:rsidP="00CF04BC">
      <w:pPr>
        <w:pStyle w:val="Equationlegend"/>
      </w:pPr>
      <w:r w:rsidRPr="00B93493">
        <w:rPr>
          <w:i/>
        </w:rPr>
        <w:tab/>
        <w:t>S</w:t>
      </w:r>
      <w:r w:rsidRPr="00B93493">
        <w:t xml:space="preserve">: </w:t>
      </w:r>
      <w:r w:rsidRPr="00B93493">
        <w:tab/>
        <w:t>number of transponders in the authorization</w:t>
      </w:r>
    </w:p>
    <w:p w14:paraId="186D1C98" w14:textId="77777777" w:rsidR="00CF04BC" w:rsidRPr="00B93493" w:rsidRDefault="00CF04BC" w:rsidP="00CF04BC">
      <w:pPr>
        <w:pStyle w:val="Equationlegend"/>
      </w:pPr>
      <w:r w:rsidRPr="00B93493">
        <w:rPr>
          <w:i/>
        </w:rPr>
        <w:tab/>
        <w:t>B</w:t>
      </w:r>
      <w:r w:rsidRPr="00B93493">
        <w:rPr>
          <w:i/>
          <w:vertAlign w:val="subscript"/>
        </w:rPr>
        <w:t>req_fi</w:t>
      </w:r>
      <w:r>
        <w:t xml:space="preserve"> :</w:t>
      </w:r>
      <w:r w:rsidRPr="00B93493">
        <w:t xml:space="preserve"> </w:t>
      </w:r>
      <w:r w:rsidRPr="00B93493">
        <w:tab/>
        <w:t xml:space="preserve">maximum required bandwidth specified for this frequency in the class of emission (hereinafter – </w:t>
      </w:r>
      <w:r w:rsidRPr="00B93493">
        <w:rPr>
          <w:i/>
        </w:rPr>
        <w:t>B</w:t>
      </w:r>
      <w:r w:rsidRPr="00B93493">
        <w:rPr>
          <w:i/>
          <w:vertAlign w:val="subscript"/>
        </w:rPr>
        <w:t>req_fi</w:t>
      </w:r>
      <w:r w:rsidRPr="00B93493">
        <w:t>)</w:t>
      </w:r>
    </w:p>
    <w:p w14:paraId="2CEEAA25" w14:textId="77777777" w:rsidR="00CF04BC" w:rsidRPr="00B93493" w:rsidRDefault="00CF04BC" w:rsidP="00CF04BC">
      <w:pPr>
        <w:pStyle w:val="Equationlegend"/>
      </w:pPr>
      <w:r w:rsidRPr="00B93493">
        <w:rPr>
          <w:i/>
        </w:rPr>
        <w:tab/>
        <w:t>М</w:t>
      </w:r>
      <w:r>
        <w:t xml:space="preserve"> :</w:t>
      </w:r>
      <w:r w:rsidRPr="00B93493">
        <w:t xml:space="preserve"> </w:t>
      </w:r>
      <w:r w:rsidRPr="00B93493">
        <w:tab/>
        <w:t>number of operating nominal frequencies.</w:t>
      </w:r>
    </w:p>
    <w:p w14:paraId="5B020663" w14:textId="77777777" w:rsidR="00CF04BC" w:rsidRPr="00B93493" w:rsidRDefault="00CF04BC" w:rsidP="00CF04BC">
      <w:r w:rsidRPr="00B93493">
        <w:t xml:space="preserve">If the operating transmit (receive) frequencies are specified in the authorization only by the formula or by frequency range, then </w:t>
      </w:r>
      <w:r w:rsidRPr="00B93493">
        <w:rPr>
          <w:i/>
        </w:rPr>
        <w:t>M</w:t>
      </w:r>
      <w:r w:rsidRPr="00B93493">
        <w:t xml:space="preserve"> and </w:t>
      </w:r>
      <w:r w:rsidRPr="00B93493">
        <w:rPr>
          <w:i/>
        </w:rPr>
        <w:t>B</w:t>
      </w:r>
      <w:r w:rsidRPr="00B93493">
        <w:rPr>
          <w:i/>
          <w:vertAlign w:val="subscript"/>
        </w:rPr>
        <w:t xml:space="preserve">reg_fi </w:t>
      </w:r>
      <w:r w:rsidRPr="00B93493">
        <w:t>are not considered in the calculation.</w:t>
      </w:r>
    </w:p>
    <w:p w14:paraId="77BBDF99" w14:textId="77777777" w:rsidR="00CF04BC" w:rsidRPr="00B93493" w:rsidRDefault="00CF04BC" w:rsidP="00CF04BC">
      <w:r w:rsidRPr="00B93493">
        <w:t xml:space="preserve">If only the nominal transmit (receive) frequencies are specified in the authorization, then S, </w:t>
      </w:r>
      <w:r w:rsidRPr="00B93493">
        <w:rPr>
          <w:i/>
        </w:rPr>
        <w:t>f</w:t>
      </w:r>
      <w:r w:rsidRPr="00B93493">
        <w:rPr>
          <w:i/>
          <w:vertAlign w:val="subscript"/>
        </w:rPr>
        <w:t>max</w:t>
      </w:r>
      <w:r w:rsidRPr="00B93493">
        <w:t xml:space="preserve">, </w:t>
      </w:r>
      <w:r w:rsidRPr="00B93493">
        <w:rPr>
          <w:i/>
        </w:rPr>
        <w:t>f</w:t>
      </w:r>
      <w:r w:rsidRPr="00B93493">
        <w:rPr>
          <w:i/>
          <w:vertAlign w:val="subscript"/>
        </w:rPr>
        <w:t>min</w:t>
      </w:r>
      <w:r w:rsidRPr="00B93493">
        <w:t xml:space="preserve"> are not considered in the calculations.</w:t>
      </w:r>
    </w:p>
    <w:p w14:paraId="7D7DF667" w14:textId="77777777" w:rsidR="00CF04BC" w:rsidRPr="00B93493" w:rsidRDefault="00CF04BC" w:rsidP="00CF04BC">
      <w:r w:rsidRPr="00B93493">
        <w:t xml:space="preserve">If for the operating nominal frequencies several classes of emission are specified, then the calculations will be conducted for the class of emission with maximum </w:t>
      </w:r>
      <w:r w:rsidRPr="00B93493">
        <w:rPr>
          <w:i/>
        </w:rPr>
        <w:t>B</w:t>
      </w:r>
      <w:r w:rsidRPr="00B93493">
        <w:rPr>
          <w:i/>
          <w:vertAlign w:val="subscript"/>
        </w:rPr>
        <w:t xml:space="preserve">reg_fi </w:t>
      </w:r>
      <w:r w:rsidRPr="00B93493">
        <w:t>for this operating frequency.</w:t>
      </w:r>
    </w:p>
    <w:p w14:paraId="6462B724" w14:textId="77777777" w:rsidR="00CF04BC" w:rsidRPr="00B93493" w:rsidRDefault="00CF04BC" w:rsidP="00CF04BC">
      <w:r w:rsidRPr="00B93493">
        <w:t>If the operating transmit (receive) frequencies in the authorization for ESSS and VSAT Hub (Central) and (or) subscriber stations are represented by several formulas with one central frequency, then the calculation shall be conducted according to the sum of receive (transmit) frequency ranges defined by these formulas, while considering the repeated parts of the ranges only once.</w:t>
      </w:r>
    </w:p>
    <w:p w14:paraId="3A18C54F" w14:textId="77777777" w:rsidR="00CF04BC" w:rsidRPr="00B93493" w:rsidRDefault="00CF04BC" w:rsidP="00CF04BC">
      <w:pPr>
        <w:pStyle w:val="Heading4"/>
      </w:pPr>
      <w:bookmarkStart w:id="2385" w:name="_Toc454284982"/>
      <w:bookmarkStart w:id="2386" w:name="sub_1600"/>
      <w:r w:rsidRPr="00B93493">
        <w:t>5.7.2.5</w:t>
      </w:r>
      <w:r w:rsidRPr="00B93493">
        <w:tab/>
        <w:t>Calculation of coefficient depending on the technology used in the radio spectrum</w:t>
      </w:r>
      <w:bookmarkEnd w:id="2385"/>
    </w:p>
    <w:bookmarkEnd w:id="2386"/>
    <w:p w14:paraId="63562A62" w14:textId="77777777" w:rsidR="00CF04BC" w:rsidRPr="00B93493" w:rsidRDefault="00CF04BC" w:rsidP="00CF04BC">
      <w:pPr>
        <w:rPr>
          <w:b/>
        </w:rPr>
      </w:pPr>
      <w:r w:rsidRPr="00B93493">
        <w:t xml:space="preserve">The coefficient </w:t>
      </w:r>
      <w:r w:rsidRPr="00B93493">
        <w:rPr>
          <w:i/>
        </w:rPr>
        <w:t>K</w:t>
      </w:r>
      <w:r w:rsidRPr="00B93493">
        <w:rPr>
          <w:i/>
          <w:vertAlign w:val="subscript"/>
        </w:rPr>
        <w:t>tech</w:t>
      </w:r>
      <w:r w:rsidRPr="00B93493">
        <w:t xml:space="preserve"> depending on the cellular radio technology used in the radio spectrum is calculated using the following </w:t>
      </w:r>
      <w:r>
        <w:t>equation</w:t>
      </w:r>
      <w:r w:rsidRPr="00B93493">
        <w:t xml:space="preserve">: </w:t>
      </w:r>
    </w:p>
    <w:p w14:paraId="7BA4E4C3" w14:textId="77777777" w:rsidR="00CF04BC" w:rsidRPr="00B93493" w:rsidRDefault="00CF04BC" w:rsidP="00CF04BC">
      <w:pPr>
        <w:pStyle w:val="Equation"/>
      </w:pPr>
      <w:r w:rsidRPr="00B93493">
        <w:tab/>
      </w:r>
      <w:r w:rsidRPr="00B93493">
        <w:tab/>
      </w:r>
      <w:r w:rsidRPr="00B93493">
        <w:object w:dxaOrig="2689" w:dyaOrig="458" w14:anchorId="2D40F91B">
          <v:shape id="_x0000_i1108" type="#_x0000_t75" style="width:133.65pt;height:23.05pt" o:ole="">
            <v:imagedata r:id="rId205" o:title=""/>
          </v:shape>
          <o:OLEObject Type="Embed" ProgID="Equation.3" ShapeID="_x0000_i1108" DrawAspect="Content" ObjectID="_1812968389" r:id="rId206"/>
        </w:object>
      </w:r>
    </w:p>
    <w:p w14:paraId="7FE91402" w14:textId="77777777" w:rsidR="00CF04BC" w:rsidRPr="00B93493" w:rsidRDefault="00CF04BC" w:rsidP="00CF04BC">
      <w:r w:rsidRPr="00B93493">
        <w:t xml:space="preserve">where: </w:t>
      </w:r>
    </w:p>
    <w:p w14:paraId="2BB184A4" w14:textId="77777777" w:rsidR="00CF04BC" w:rsidRPr="00B93493" w:rsidRDefault="00CF04BC" w:rsidP="00CF04BC">
      <w:pPr>
        <w:pStyle w:val="Equationlegend"/>
      </w:pPr>
      <w:r w:rsidRPr="00B93493">
        <w:rPr>
          <w:i/>
        </w:rPr>
        <w:tab/>
        <w:t>K</w:t>
      </w:r>
      <w:r w:rsidRPr="00B93493">
        <w:rPr>
          <w:i/>
          <w:vertAlign w:val="subscript"/>
        </w:rPr>
        <w:t>adv</w:t>
      </w:r>
      <w:r>
        <w:t xml:space="preserve"> :</w:t>
      </w:r>
      <w:r w:rsidRPr="00B93493">
        <w:t xml:space="preserve"> </w:t>
      </w:r>
      <w:r w:rsidRPr="00B93493">
        <w:tab/>
        <w:t>coefficient depending on the use of advanced technology. Coefficients corresponding to technologies for which the SRFC has taken a decision to cancel their further use and/or move to other frequency bands, are applicable from the date of the SRFC decision with regard to civil purpose radio system</w:t>
      </w:r>
    </w:p>
    <w:p w14:paraId="543A616B" w14:textId="77777777" w:rsidR="00CF04BC" w:rsidRPr="00B93493" w:rsidRDefault="00CF04BC" w:rsidP="00CF04BC">
      <w:pPr>
        <w:pStyle w:val="Equationlegend"/>
      </w:pPr>
      <w:r w:rsidRPr="00B93493">
        <w:rPr>
          <w:i/>
        </w:rPr>
        <w:tab/>
        <w:t>K</w:t>
      </w:r>
      <w:r w:rsidRPr="00B93493">
        <w:rPr>
          <w:i/>
          <w:vertAlign w:val="subscript"/>
        </w:rPr>
        <w:t>reg</w:t>
      </w:r>
      <w:r>
        <w:t xml:space="preserve"> :</w:t>
      </w:r>
      <w:r w:rsidRPr="00B93493">
        <w:t xml:space="preserve"> </w:t>
      </w:r>
      <w:r w:rsidRPr="00B93493">
        <w:tab/>
        <w:t>coefficient depending on the intensive use of assigned frequency bands in the Russian Federation Subject (part of the Subject). It is based on the population density in the territory of the Russian Federation Subject (part of the Subject), degree of development of mobile radio telephone networks and degree of economic development of the Russian Federation Subject (part of the Subject) (the coefficient value varies from 0.05 to 3)</w:t>
      </w:r>
    </w:p>
    <w:p w14:paraId="5EB8178B" w14:textId="77777777" w:rsidR="00CF04BC" w:rsidRPr="00B93493" w:rsidRDefault="00CF04BC" w:rsidP="00CF04BC">
      <w:pPr>
        <w:pStyle w:val="Equationlegend"/>
      </w:pPr>
      <w:r w:rsidRPr="00B93493">
        <w:rPr>
          <w:i/>
        </w:rPr>
        <w:tab/>
        <w:t>K</w:t>
      </w:r>
      <w:r w:rsidRPr="00B93493">
        <w:rPr>
          <w:i/>
          <w:vertAlign w:val="subscript"/>
        </w:rPr>
        <w:t>soc</w:t>
      </w:r>
      <w:r>
        <w:t xml:space="preserve"> :</w:t>
      </w:r>
      <w:r w:rsidRPr="00B93493">
        <w:t xml:space="preserve"> </w:t>
      </w:r>
      <w:r w:rsidRPr="00B93493">
        <w:tab/>
        <w:t>coefficient taking into account a social factor of the technology implementation.</w:t>
      </w:r>
    </w:p>
    <w:p w14:paraId="576C08E2" w14:textId="77777777" w:rsidR="00CF04BC" w:rsidRPr="00B93493" w:rsidRDefault="00CF04BC" w:rsidP="00CF04BC">
      <w:r w:rsidRPr="00B93493">
        <w:t xml:space="preserve">For other technologies, </w:t>
      </w:r>
      <w:r w:rsidRPr="00B93493">
        <w:rPr>
          <w:i/>
        </w:rPr>
        <w:t>K</w:t>
      </w:r>
      <w:r w:rsidRPr="00B93493">
        <w:rPr>
          <w:i/>
          <w:vertAlign w:val="subscript"/>
        </w:rPr>
        <w:t>tech</w:t>
      </w:r>
      <w:r w:rsidRPr="00B93493">
        <w:t xml:space="preserve"> is calculated according to the following </w:t>
      </w:r>
      <w:r>
        <w:t>equation</w:t>
      </w:r>
      <w:r w:rsidRPr="00B93493">
        <w:t xml:space="preserve"> with regard to each granted authorization:</w:t>
      </w:r>
    </w:p>
    <w:p w14:paraId="669DBAB0" w14:textId="77777777" w:rsidR="00CF04BC" w:rsidRPr="00B93493" w:rsidRDefault="00CF04BC" w:rsidP="00CF04BC">
      <w:pPr>
        <w:pStyle w:val="Equation"/>
      </w:pPr>
      <w:r w:rsidRPr="00B93493">
        <w:tab/>
      </w:r>
      <w:r w:rsidRPr="00B93493">
        <w:tab/>
      </w:r>
      <w:r w:rsidRPr="00B93493">
        <w:object w:dxaOrig="3488" w:dyaOrig="458" w14:anchorId="30A13F3A">
          <v:shape id="_x0000_i1109" type="#_x0000_t75" style="width:177.4pt;height:23.05pt" o:ole="">
            <v:imagedata r:id="rId207" o:title=""/>
          </v:shape>
          <o:OLEObject Type="Embed" ProgID="Equation.3" ShapeID="_x0000_i1109" DrawAspect="Content" ObjectID="_1812968390" r:id="rId208"/>
        </w:object>
      </w:r>
    </w:p>
    <w:p w14:paraId="4C0FE40E" w14:textId="77777777" w:rsidR="00CF04BC" w:rsidRPr="00B93493" w:rsidRDefault="00CF04BC" w:rsidP="00CF04BC">
      <w:pPr>
        <w:pStyle w:val="Equationlegend"/>
      </w:pPr>
      <w:r w:rsidRPr="00B93493">
        <w:rPr>
          <w:i/>
        </w:rPr>
        <w:tab/>
        <w:t>K</w:t>
      </w:r>
      <w:r w:rsidRPr="00B93493">
        <w:rPr>
          <w:i/>
          <w:vertAlign w:val="subscript"/>
        </w:rPr>
        <w:t>Breq</w:t>
      </w:r>
      <w:r>
        <w:t xml:space="preserve"> :</w:t>
      </w:r>
      <w:r w:rsidRPr="00B93493">
        <w:t xml:space="preserve"> </w:t>
      </w:r>
      <w:r w:rsidRPr="00B93493">
        <w:tab/>
        <w:t>coefficient depending on required signal bandwidth for transmission of information with specified quality within the used radio channel</w:t>
      </w:r>
    </w:p>
    <w:p w14:paraId="18ACB911" w14:textId="77777777" w:rsidR="00CF04BC" w:rsidRPr="00B93493" w:rsidRDefault="00CF04BC" w:rsidP="00CF04BC">
      <w:pPr>
        <w:pStyle w:val="Equationlegend"/>
      </w:pPr>
      <w:r w:rsidRPr="00B93493">
        <w:rPr>
          <w:i/>
        </w:rPr>
        <w:tab/>
        <w:t>K</w:t>
      </w:r>
      <w:r w:rsidRPr="00B93493">
        <w:rPr>
          <w:i/>
          <w:vertAlign w:val="subscript"/>
        </w:rPr>
        <w:t>pop</w:t>
      </w:r>
      <w:r>
        <w:t xml:space="preserve"> :</w:t>
      </w:r>
      <w:r w:rsidRPr="00B93493">
        <w:t xml:space="preserve"> </w:t>
      </w:r>
      <w:r w:rsidRPr="00B93493">
        <w:tab/>
        <w:t>coefficient depending on the population in the location of the radio system and taking into account administrative boundaries of the community</w:t>
      </w:r>
    </w:p>
    <w:p w14:paraId="35447BB2" w14:textId="77777777" w:rsidR="00CF04BC" w:rsidRPr="00B93493" w:rsidRDefault="00CF04BC" w:rsidP="00CF04BC">
      <w:pPr>
        <w:pStyle w:val="Equationlegend"/>
      </w:pPr>
      <w:r w:rsidRPr="00B93493">
        <w:rPr>
          <w:i/>
        </w:rPr>
        <w:tab/>
        <w:t>K</w:t>
      </w:r>
      <w:r w:rsidRPr="00B93493">
        <w:rPr>
          <w:i/>
          <w:vertAlign w:val="subscript"/>
        </w:rPr>
        <w:t>adv</w:t>
      </w:r>
      <w:r w:rsidRPr="00C0502F">
        <w:rPr>
          <w:i/>
        </w:rPr>
        <w:t xml:space="preserve"> </w:t>
      </w:r>
      <w:r w:rsidRPr="00B93493">
        <w:t>and</w:t>
      </w:r>
      <w:r w:rsidRPr="00B93493">
        <w:rPr>
          <w:i/>
          <w:vertAlign w:val="subscript"/>
        </w:rPr>
        <w:t xml:space="preserve"> </w:t>
      </w:r>
      <w:r w:rsidRPr="00B93493">
        <w:rPr>
          <w:i/>
        </w:rPr>
        <w:t>K</w:t>
      </w:r>
      <w:r w:rsidRPr="00B93493">
        <w:rPr>
          <w:i/>
          <w:vertAlign w:val="subscript"/>
        </w:rPr>
        <w:t>soc</w:t>
      </w:r>
      <w:r>
        <w:t xml:space="preserve"> :</w:t>
      </w:r>
      <w:r w:rsidRPr="00B93493">
        <w:t xml:space="preserve"> </w:t>
      </w:r>
      <w:r w:rsidRPr="00B93493">
        <w:tab/>
        <w:t xml:space="preserve">are as in the previous </w:t>
      </w:r>
      <w:r>
        <w:t>equation</w:t>
      </w:r>
      <w:r w:rsidRPr="00B93493">
        <w:t>.</w:t>
      </w:r>
    </w:p>
    <w:p w14:paraId="1F4A302F" w14:textId="77777777" w:rsidR="00CF04BC" w:rsidRPr="00B93493" w:rsidRDefault="00CF04BC" w:rsidP="00CF04BC">
      <w:pPr>
        <w:pStyle w:val="Headingb"/>
      </w:pPr>
      <w:bookmarkStart w:id="2387" w:name="_Toc454284983"/>
      <w:bookmarkStart w:id="2388" w:name="_Toc462234147"/>
      <w:r w:rsidRPr="00B93493">
        <w:t>Rates and coefficients used for calculation of one-time payment and annual fee for usage of radio spectrum</w:t>
      </w:r>
      <w:bookmarkEnd w:id="2387"/>
      <w:bookmarkEnd w:id="2388"/>
      <w:r w:rsidRPr="00B93493">
        <w:t xml:space="preserve"> </w:t>
      </w:r>
    </w:p>
    <w:p w14:paraId="7C2750B7" w14:textId="77777777" w:rsidR="00CF04BC" w:rsidRPr="00B93493" w:rsidRDefault="00CF04BC" w:rsidP="00CF04BC">
      <w:pPr>
        <w:pStyle w:val="TableNo"/>
        <w:spacing w:before="240"/>
        <w:rPr>
          <w:lang w:eastAsia="zh-CN"/>
        </w:rPr>
      </w:pPr>
      <w:r w:rsidRPr="00B93493">
        <w:t xml:space="preserve">TABLE </w:t>
      </w:r>
      <w:r>
        <w:rPr>
          <w:rFonts w:hint="eastAsia"/>
          <w:lang w:eastAsia="zh-CN"/>
        </w:rPr>
        <w:t>31</w:t>
      </w:r>
    </w:p>
    <w:p w14:paraId="0B506DED" w14:textId="77777777" w:rsidR="00CF04BC" w:rsidRPr="00B93493" w:rsidRDefault="00CF04BC" w:rsidP="00CF04BC">
      <w:pPr>
        <w:pStyle w:val="Tabletitle"/>
      </w:pPr>
      <w:r w:rsidRPr="00B93493">
        <w:t xml:space="preserve">Rates used for calculation of one-time payment and annual fee </w:t>
      </w:r>
    </w:p>
    <w:tbl>
      <w:tblPr>
        <w:tblW w:w="881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92"/>
        <w:gridCol w:w="3920"/>
      </w:tblGrid>
      <w:tr w:rsidR="00CF04BC" w:rsidRPr="00B93493" w14:paraId="3B387EDB" w14:textId="77777777" w:rsidTr="002E7F54">
        <w:trPr>
          <w:jc w:val="center"/>
        </w:trPr>
        <w:tc>
          <w:tcPr>
            <w:tcW w:w="4892" w:type="dxa"/>
            <w:tcBorders>
              <w:top w:val="single" w:sz="4" w:space="0" w:color="auto"/>
              <w:bottom w:val="single" w:sz="4" w:space="0" w:color="auto"/>
              <w:right w:val="single" w:sz="4" w:space="0" w:color="auto"/>
            </w:tcBorders>
          </w:tcPr>
          <w:p w14:paraId="2795D0E0" w14:textId="77777777" w:rsidR="00CF04BC" w:rsidRPr="00B93493" w:rsidRDefault="00CF04BC" w:rsidP="002E7F54">
            <w:pPr>
              <w:pStyle w:val="Tablehead"/>
            </w:pPr>
            <w:r w:rsidRPr="00B93493">
              <w:t>Payment</w:t>
            </w:r>
          </w:p>
        </w:tc>
        <w:tc>
          <w:tcPr>
            <w:tcW w:w="3920" w:type="dxa"/>
            <w:tcBorders>
              <w:top w:val="single" w:sz="4" w:space="0" w:color="auto"/>
              <w:left w:val="single" w:sz="4" w:space="0" w:color="auto"/>
              <w:bottom w:val="single" w:sz="4" w:space="0" w:color="auto"/>
            </w:tcBorders>
          </w:tcPr>
          <w:p w14:paraId="397AE88F" w14:textId="71D14B94" w:rsidR="00CF04BC" w:rsidRPr="00B93493" w:rsidRDefault="00CF04BC" w:rsidP="002E7F54">
            <w:pPr>
              <w:pStyle w:val="Tablehead"/>
            </w:pPr>
            <w:r w:rsidRPr="00B93493">
              <w:t xml:space="preserve">Rate </w:t>
            </w:r>
            <w:r>
              <w:t>(</w:t>
            </w:r>
            <w:r w:rsidR="00092428">
              <w:t>roubles</w:t>
            </w:r>
            <w:r>
              <w:t>)</w:t>
            </w:r>
          </w:p>
        </w:tc>
      </w:tr>
      <w:tr w:rsidR="00CF04BC" w:rsidRPr="00B93493" w14:paraId="40BD0CB9" w14:textId="77777777" w:rsidTr="002E7F54">
        <w:trPr>
          <w:jc w:val="center"/>
        </w:trPr>
        <w:tc>
          <w:tcPr>
            <w:tcW w:w="4892" w:type="dxa"/>
            <w:tcBorders>
              <w:top w:val="single" w:sz="4" w:space="0" w:color="auto"/>
              <w:bottom w:val="single" w:sz="4" w:space="0" w:color="auto"/>
              <w:right w:val="single" w:sz="4" w:space="0" w:color="auto"/>
            </w:tcBorders>
          </w:tcPr>
          <w:p w14:paraId="01676749" w14:textId="77777777" w:rsidR="00CF04BC" w:rsidRPr="00B93493" w:rsidRDefault="00CF04BC" w:rsidP="002E7F54">
            <w:pPr>
              <w:pStyle w:val="Tabletext"/>
            </w:pPr>
            <w:r w:rsidRPr="00B93493">
              <w:t>One-time payment for cellular radio technologies</w:t>
            </w:r>
          </w:p>
        </w:tc>
        <w:tc>
          <w:tcPr>
            <w:tcW w:w="3920" w:type="dxa"/>
            <w:tcBorders>
              <w:top w:val="single" w:sz="4" w:space="0" w:color="auto"/>
              <w:left w:val="single" w:sz="4" w:space="0" w:color="auto"/>
              <w:bottom w:val="single" w:sz="4" w:space="0" w:color="auto"/>
            </w:tcBorders>
          </w:tcPr>
          <w:p w14:paraId="76F2192F" w14:textId="77777777" w:rsidR="00CF04BC" w:rsidRPr="00B93493" w:rsidRDefault="00CF04BC" w:rsidP="002E7F54">
            <w:pPr>
              <w:pStyle w:val="Tabletext"/>
              <w:jc w:val="center"/>
            </w:pPr>
            <w:r w:rsidRPr="00B93493">
              <w:t>70 000</w:t>
            </w:r>
          </w:p>
        </w:tc>
      </w:tr>
      <w:tr w:rsidR="00CF04BC" w:rsidRPr="00B93493" w14:paraId="4329433A" w14:textId="77777777" w:rsidTr="002E7F54">
        <w:trPr>
          <w:jc w:val="center"/>
        </w:trPr>
        <w:tc>
          <w:tcPr>
            <w:tcW w:w="4892" w:type="dxa"/>
            <w:tcBorders>
              <w:top w:val="single" w:sz="4" w:space="0" w:color="auto"/>
              <w:bottom w:val="single" w:sz="4" w:space="0" w:color="auto"/>
              <w:right w:val="single" w:sz="4" w:space="0" w:color="auto"/>
            </w:tcBorders>
          </w:tcPr>
          <w:p w14:paraId="2F9DE2C2" w14:textId="77777777" w:rsidR="00CF04BC" w:rsidRPr="00B93493" w:rsidRDefault="00CF04BC" w:rsidP="002E7F54">
            <w:pPr>
              <w:pStyle w:val="Tabletext"/>
            </w:pPr>
            <w:bookmarkStart w:id="2389" w:name="sub_11048"/>
            <w:r w:rsidRPr="00B93493">
              <w:t>One-time payment for other technologies</w:t>
            </w:r>
            <w:bookmarkEnd w:id="2389"/>
          </w:p>
        </w:tc>
        <w:tc>
          <w:tcPr>
            <w:tcW w:w="3920" w:type="dxa"/>
            <w:tcBorders>
              <w:top w:val="single" w:sz="4" w:space="0" w:color="auto"/>
              <w:left w:val="single" w:sz="4" w:space="0" w:color="auto"/>
              <w:bottom w:val="single" w:sz="4" w:space="0" w:color="auto"/>
            </w:tcBorders>
          </w:tcPr>
          <w:p w14:paraId="5711063D" w14:textId="77777777" w:rsidR="00CF04BC" w:rsidRPr="00B93493" w:rsidRDefault="00CF04BC" w:rsidP="002E7F54">
            <w:pPr>
              <w:pStyle w:val="Tabletext"/>
              <w:jc w:val="center"/>
            </w:pPr>
            <w:r w:rsidRPr="00B93493">
              <w:t>300</w:t>
            </w:r>
          </w:p>
        </w:tc>
      </w:tr>
      <w:tr w:rsidR="00CF04BC" w:rsidRPr="00B93493" w14:paraId="12C43676" w14:textId="77777777" w:rsidTr="002E7F54">
        <w:trPr>
          <w:jc w:val="center"/>
        </w:trPr>
        <w:tc>
          <w:tcPr>
            <w:tcW w:w="4892" w:type="dxa"/>
            <w:tcBorders>
              <w:top w:val="single" w:sz="4" w:space="0" w:color="auto"/>
              <w:bottom w:val="single" w:sz="4" w:space="0" w:color="auto"/>
              <w:right w:val="single" w:sz="4" w:space="0" w:color="auto"/>
            </w:tcBorders>
          </w:tcPr>
          <w:p w14:paraId="2104E595" w14:textId="77777777" w:rsidR="00CF04BC" w:rsidRPr="00B93493" w:rsidRDefault="00CF04BC" w:rsidP="002E7F54">
            <w:pPr>
              <w:pStyle w:val="Tabletext"/>
            </w:pPr>
            <w:r w:rsidRPr="00B93493">
              <w:t>Annual fee for cellular radio technologies</w:t>
            </w:r>
          </w:p>
        </w:tc>
        <w:tc>
          <w:tcPr>
            <w:tcW w:w="3920" w:type="dxa"/>
            <w:tcBorders>
              <w:top w:val="single" w:sz="4" w:space="0" w:color="auto"/>
              <w:left w:val="single" w:sz="4" w:space="0" w:color="auto"/>
              <w:bottom w:val="single" w:sz="4" w:space="0" w:color="auto"/>
            </w:tcBorders>
          </w:tcPr>
          <w:p w14:paraId="53E852FA" w14:textId="77777777" w:rsidR="00CF04BC" w:rsidRPr="00B93493" w:rsidRDefault="00CF04BC" w:rsidP="002E7F54">
            <w:pPr>
              <w:pStyle w:val="Tabletext"/>
              <w:jc w:val="center"/>
            </w:pPr>
            <w:r w:rsidRPr="00B93493">
              <w:t>264 000</w:t>
            </w:r>
          </w:p>
        </w:tc>
      </w:tr>
      <w:tr w:rsidR="00CF04BC" w:rsidRPr="00B93493" w14:paraId="15B90421" w14:textId="77777777" w:rsidTr="002E7F54">
        <w:trPr>
          <w:jc w:val="center"/>
        </w:trPr>
        <w:tc>
          <w:tcPr>
            <w:tcW w:w="4892" w:type="dxa"/>
            <w:tcBorders>
              <w:top w:val="single" w:sz="4" w:space="0" w:color="auto"/>
              <w:bottom w:val="single" w:sz="4" w:space="0" w:color="auto"/>
              <w:right w:val="single" w:sz="4" w:space="0" w:color="auto"/>
            </w:tcBorders>
          </w:tcPr>
          <w:p w14:paraId="0C6A0717" w14:textId="77777777" w:rsidR="00CF04BC" w:rsidRPr="00B93493" w:rsidRDefault="00CF04BC" w:rsidP="002E7F54">
            <w:pPr>
              <w:pStyle w:val="Tabletext"/>
            </w:pPr>
            <w:r w:rsidRPr="00B93493">
              <w:t>Annual fee for other technologies</w:t>
            </w:r>
          </w:p>
        </w:tc>
        <w:tc>
          <w:tcPr>
            <w:tcW w:w="3920" w:type="dxa"/>
            <w:tcBorders>
              <w:top w:val="single" w:sz="4" w:space="0" w:color="auto"/>
              <w:left w:val="single" w:sz="4" w:space="0" w:color="auto"/>
              <w:bottom w:val="single" w:sz="4" w:space="0" w:color="auto"/>
            </w:tcBorders>
          </w:tcPr>
          <w:p w14:paraId="5A9EB600" w14:textId="77777777" w:rsidR="00CF04BC" w:rsidRPr="00B93493" w:rsidRDefault="00CF04BC" w:rsidP="002E7F54">
            <w:pPr>
              <w:pStyle w:val="Tabletext"/>
              <w:jc w:val="center"/>
            </w:pPr>
            <w:r w:rsidRPr="00B93493">
              <w:t>1400</w:t>
            </w:r>
          </w:p>
        </w:tc>
      </w:tr>
    </w:tbl>
    <w:p w14:paraId="75E02F91" w14:textId="77777777" w:rsidR="00CF04BC" w:rsidRPr="00B93493" w:rsidRDefault="00CF04BC" w:rsidP="00CF04BC">
      <w:pPr>
        <w:pStyle w:val="TableNo"/>
        <w:rPr>
          <w:lang w:eastAsia="zh-CN"/>
        </w:rPr>
      </w:pPr>
      <w:r w:rsidRPr="00B93493">
        <w:t xml:space="preserve">TABLE </w:t>
      </w:r>
      <w:r>
        <w:rPr>
          <w:rFonts w:hint="eastAsia"/>
          <w:lang w:eastAsia="zh-CN"/>
        </w:rPr>
        <w:t>32</w:t>
      </w:r>
    </w:p>
    <w:p w14:paraId="348DB5C1" w14:textId="77777777" w:rsidR="00CF04BC" w:rsidRPr="00B93493" w:rsidRDefault="00CF04BC" w:rsidP="00CF04BC">
      <w:pPr>
        <w:pStyle w:val="Tabletitle"/>
      </w:pPr>
      <w:r w:rsidRPr="00B93493">
        <w:t xml:space="preserve">Coefficients depending on frequency bands </w:t>
      </w:r>
    </w:p>
    <w:tbl>
      <w:tblPr>
        <w:tblW w:w="866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19"/>
        <w:gridCol w:w="3842"/>
      </w:tblGrid>
      <w:tr w:rsidR="00CF04BC" w:rsidRPr="00B93493" w14:paraId="2A869199" w14:textId="77777777" w:rsidTr="002E7F54">
        <w:trPr>
          <w:jc w:val="center"/>
        </w:trPr>
        <w:tc>
          <w:tcPr>
            <w:tcW w:w="4819" w:type="dxa"/>
            <w:tcBorders>
              <w:top w:val="single" w:sz="4" w:space="0" w:color="auto"/>
              <w:bottom w:val="single" w:sz="4" w:space="0" w:color="auto"/>
              <w:right w:val="single" w:sz="4" w:space="0" w:color="auto"/>
            </w:tcBorders>
          </w:tcPr>
          <w:p w14:paraId="3B826C21" w14:textId="77777777" w:rsidR="00CF04BC" w:rsidRPr="00B93493" w:rsidRDefault="00CF04BC" w:rsidP="002E7F54">
            <w:pPr>
              <w:pStyle w:val="Tablehead"/>
            </w:pPr>
            <w:r w:rsidRPr="00B93493">
              <w:t>Frequency band</w:t>
            </w:r>
          </w:p>
        </w:tc>
        <w:tc>
          <w:tcPr>
            <w:tcW w:w="3842" w:type="dxa"/>
            <w:tcBorders>
              <w:top w:val="single" w:sz="4" w:space="0" w:color="auto"/>
              <w:left w:val="single" w:sz="4" w:space="0" w:color="auto"/>
              <w:bottom w:val="single" w:sz="4" w:space="0" w:color="auto"/>
            </w:tcBorders>
          </w:tcPr>
          <w:p w14:paraId="157AFE9D" w14:textId="77777777" w:rsidR="00CF04BC" w:rsidRPr="00B93493" w:rsidRDefault="00CF04BC" w:rsidP="002E7F54">
            <w:pPr>
              <w:pStyle w:val="Tablehead"/>
              <w:rPr>
                <w:i/>
              </w:rPr>
            </w:pPr>
            <w:r w:rsidRPr="00B93493">
              <w:rPr>
                <w:i/>
              </w:rPr>
              <w:t>K</w:t>
            </w:r>
            <w:r w:rsidRPr="00B93493">
              <w:rPr>
                <w:i/>
                <w:vertAlign w:val="subscript"/>
              </w:rPr>
              <w:t>band</w:t>
            </w:r>
          </w:p>
        </w:tc>
      </w:tr>
      <w:tr w:rsidR="00CF04BC" w:rsidRPr="00B93493" w14:paraId="3F248464" w14:textId="77777777" w:rsidTr="002E7F54">
        <w:trPr>
          <w:jc w:val="center"/>
        </w:trPr>
        <w:tc>
          <w:tcPr>
            <w:tcW w:w="4819" w:type="dxa"/>
            <w:tcBorders>
              <w:top w:val="single" w:sz="4" w:space="0" w:color="auto"/>
              <w:bottom w:val="single" w:sz="4" w:space="0" w:color="auto"/>
              <w:right w:val="single" w:sz="4" w:space="0" w:color="auto"/>
            </w:tcBorders>
          </w:tcPr>
          <w:p w14:paraId="078C55C7" w14:textId="77777777" w:rsidR="00CF04BC" w:rsidRPr="00B93493" w:rsidRDefault="00CF04BC" w:rsidP="002E7F54">
            <w:pPr>
              <w:pStyle w:val="Tabletext"/>
              <w:jc w:val="center"/>
            </w:pPr>
            <w:r w:rsidRPr="00B93493">
              <w:t>above 3 kHz to 30 kHz inclusive</w:t>
            </w:r>
          </w:p>
        </w:tc>
        <w:tc>
          <w:tcPr>
            <w:tcW w:w="3842" w:type="dxa"/>
            <w:tcBorders>
              <w:top w:val="single" w:sz="4" w:space="0" w:color="auto"/>
              <w:left w:val="single" w:sz="4" w:space="0" w:color="auto"/>
              <w:bottom w:val="single" w:sz="4" w:space="0" w:color="auto"/>
            </w:tcBorders>
          </w:tcPr>
          <w:p w14:paraId="2DC379CD" w14:textId="77777777" w:rsidR="00CF04BC" w:rsidRPr="00B93493" w:rsidRDefault="00CF04BC" w:rsidP="002E7F54">
            <w:pPr>
              <w:pStyle w:val="Tabletext"/>
              <w:jc w:val="center"/>
            </w:pPr>
            <w:r w:rsidRPr="00B93493">
              <w:t>0.1</w:t>
            </w:r>
          </w:p>
        </w:tc>
      </w:tr>
      <w:tr w:rsidR="00CF04BC" w:rsidRPr="00B93493" w14:paraId="61EA2867" w14:textId="77777777" w:rsidTr="002E7F54">
        <w:trPr>
          <w:jc w:val="center"/>
        </w:trPr>
        <w:tc>
          <w:tcPr>
            <w:tcW w:w="4819" w:type="dxa"/>
            <w:tcBorders>
              <w:top w:val="single" w:sz="4" w:space="0" w:color="auto"/>
              <w:bottom w:val="single" w:sz="4" w:space="0" w:color="auto"/>
              <w:right w:val="single" w:sz="4" w:space="0" w:color="auto"/>
            </w:tcBorders>
          </w:tcPr>
          <w:p w14:paraId="76F7BEC6" w14:textId="77777777" w:rsidR="00CF04BC" w:rsidRPr="00B93493" w:rsidRDefault="00CF04BC" w:rsidP="002E7F54">
            <w:pPr>
              <w:pStyle w:val="Tabletext"/>
              <w:jc w:val="center"/>
            </w:pPr>
            <w:r w:rsidRPr="00B93493">
              <w:t>above 30 kHz to 300 kHz inclusive</w:t>
            </w:r>
          </w:p>
        </w:tc>
        <w:tc>
          <w:tcPr>
            <w:tcW w:w="3842" w:type="dxa"/>
            <w:tcBorders>
              <w:top w:val="single" w:sz="4" w:space="0" w:color="auto"/>
              <w:left w:val="single" w:sz="4" w:space="0" w:color="auto"/>
              <w:bottom w:val="single" w:sz="4" w:space="0" w:color="auto"/>
            </w:tcBorders>
          </w:tcPr>
          <w:p w14:paraId="195EB8F4" w14:textId="77777777" w:rsidR="00CF04BC" w:rsidRPr="00B93493" w:rsidRDefault="00CF04BC" w:rsidP="002E7F54">
            <w:pPr>
              <w:pStyle w:val="Tabletext"/>
              <w:jc w:val="center"/>
            </w:pPr>
            <w:r w:rsidRPr="00B93493">
              <w:t>0.1</w:t>
            </w:r>
          </w:p>
        </w:tc>
      </w:tr>
      <w:tr w:rsidR="00CF04BC" w:rsidRPr="00B93493" w14:paraId="57549983" w14:textId="77777777" w:rsidTr="002E7F54">
        <w:trPr>
          <w:jc w:val="center"/>
        </w:trPr>
        <w:tc>
          <w:tcPr>
            <w:tcW w:w="4819" w:type="dxa"/>
            <w:tcBorders>
              <w:top w:val="single" w:sz="4" w:space="0" w:color="auto"/>
              <w:bottom w:val="single" w:sz="4" w:space="0" w:color="auto"/>
              <w:right w:val="single" w:sz="4" w:space="0" w:color="auto"/>
            </w:tcBorders>
          </w:tcPr>
          <w:p w14:paraId="6F1CE75C" w14:textId="77777777" w:rsidR="00CF04BC" w:rsidRPr="00B93493" w:rsidRDefault="00CF04BC" w:rsidP="002E7F54">
            <w:pPr>
              <w:pStyle w:val="Tabletext"/>
              <w:jc w:val="center"/>
            </w:pPr>
            <w:r w:rsidRPr="00B93493">
              <w:t>above 300 kHz to 3000 kHz inclusive</w:t>
            </w:r>
          </w:p>
        </w:tc>
        <w:tc>
          <w:tcPr>
            <w:tcW w:w="3842" w:type="dxa"/>
            <w:tcBorders>
              <w:top w:val="single" w:sz="4" w:space="0" w:color="auto"/>
              <w:left w:val="single" w:sz="4" w:space="0" w:color="auto"/>
              <w:bottom w:val="single" w:sz="4" w:space="0" w:color="auto"/>
            </w:tcBorders>
          </w:tcPr>
          <w:p w14:paraId="42E49C7F" w14:textId="77777777" w:rsidR="00CF04BC" w:rsidRPr="00B93493" w:rsidRDefault="00CF04BC" w:rsidP="002E7F54">
            <w:pPr>
              <w:pStyle w:val="Tabletext"/>
              <w:jc w:val="center"/>
            </w:pPr>
            <w:r w:rsidRPr="00B93493">
              <w:t>0.1</w:t>
            </w:r>
          </w:p>
        </w:tc>
      </w:tr>
      <w:tr w:rsidR="00CF04BC" w:rsidRPr="00B93493" w14:paraId="52B590B5" w14:textId="77777777" w:rsidTr="002E7F54">
        <w:trPr>
          <w:jc w:val="center"/>
        </w:trPr>
        <w:tc>
          <w:tcPr>
            <w:tcW w:w="4819" w:type="dxa"/>
            <w:tcBorders>
              <w:top w:val="single" w:sz="4" w:space="0" w:color="auto"/>
              <w:bottom w:val="single" w:sz="4" w:space="0" w:color="auto"/>
              <w:right w:val="single" w:sz="4" w:space="0" w:color="auto"/>
            </w:tcBorders>
          </w:tcPr>
          <w:p w14:paraId="63922D93" w14:textId="77777777" w:rsidR="00CF04BC" w:rsidRPr="00B93493" w:rsidRDefault="00CF04BC" w:rsidP="002E7F54">
            <w:pPr>
              <w:pStyle w:val="Tabletext"/>
              <w:jc w:val="center"/>
            </w:pPr>
            <w:r w:rsidRPr="00B93493">
              <w:t>above 3 MHz to 30 MHz inclusive</w:t>
            </w:r>
          </w:p>
        </w:tc>
        <w:tc>
          <w:tcPr>
            <w:tcW w:w="3842" w:type="dxa"/>
            <w:tcBorders>
              <w:top w:val="single" w:sz="4" w:space="0" w:color="auto"/>
              <w:left w:val="single" w:sz="4" w:space="0" w:color="auto"/>
              <w:bottom w:val="single" w:sz="4" w:space="0" w:color="auto"/>
            </w:tcBorders>
          </w:tcPr>
          <w:p w14:paraId="79EB4B52" w14:textId="77777777" w:rsidR="00CF04BC" w:rsidRPr="00B93493" w:rsidRDefault="00CF04BC" w:rsidP="002E7F54">
            <w:pPr>
              <w:pStyle w:val="Tabletext"/>
              <w:jc w:val="center"/>
            </w:pPr>
            <w:r w:rsidRPr="00B93493">
              <w:t>0.5</w:t>
            </w:r>
          </w:p>
        </w:tc>
      </w:tr>
      <w:tr w:rsidR="00CF04BC" w:rsidRPr="00B93493" w14:paraId="485A713A" w14:textId="77777777" w:rsidTr="002E7F54">
        <w:trPr>
          <w:jc w:val="center"/>
        </w:trPr>
        <w:tc>
          <w:tcPr>
            <w:tcW w:w="4819" w:type="dxa"/>
            <w:tcBorders>
              <w:top w:val="single" w:sz="4" w:space="0" w:color="auto"/>
              <w:bottom w:val="single" w:sz="4" w:space="0" w:color="auto"/>
              <w:right w:val="single" w:sz="4" w:space="0" w:color="auto"/>
            </w:tcBorders>
          </w:tcPr>
          <w:p w14:paraId="1A7D5CC7" w14:textId="77777777" w:rsidR="00CF04BC" w:rsidRPr="00B93493" w:rsidRDefault="00CF04BC" w:rsidP="002E7F54">
            <w:pPr>
              <w:pStyle w:val="Tabletext"/>
              <w:jc w:val="center"/>
            </w:pPr>
            <w:r w:rsidRPr="00B93493">
              <w:t>above 30 MHz to 300 MHz inclusive</w:t>
            </w:r>
          </w:p>
        </w:tc>
        <w:tc>
          <w:tcPr>
            <w:tcW w:w="3842" w:type="dxa"/>
            <w:tcBorders>
              <w:top w:val="single" w:sz="4" w:space="0" w:color="auto"/>
              <w:left w:val="single" w:sz="4" w:space="0" w:color="auto"/>
              <w:bottom w:val="single" w:sz="4" w:space="0" w:color="auto"/>
            </w:tcBorders>
          </w:tcPr>
          <w:p w14:paraId="565CFCC8" w14:textId="77777777" w:rsidR="00CF04BC" w:rsidRPr="00B93493" w:rsidRDefault="00CF04BC" w:rsidP="002E7F54">
            <w:pPr>
              <w:pStyle w:val="Tabletext"/>
              <w:jc w:val="center"/>
            </w:pPr>
            <w:r w:rsidRPr="00B93493">
              <w:t>2</w:t>
            </w:r>
          </w:p>
        </w:tc>
      </w:tr>
      <w:tr w:rsidR="00CF04BC" w:rsidRPr="00B93493" w14:paraId="68F79EC5" w14:textId="77777777" w:rsidTr="002E7F54">
        <w:trPr>
          <w:jc w:val="center"/>
        </w:trPr>
        <w:tc>
          <w:tcPr>
            <w:tcW w:w="4819" w:type="dxa"/>
            <w:tcBorders>
              <w:top w:val="single" w:sz="4" w:space="0" w:color="auto"/>
              <w:bottom w:val="single" w:sz="4" w:space="0" w:color="auto"/>
              <w:right w:val="single" w:sz="4" w:space="0" w:color="auto"/>
            </w:tcBorders>
          </w:tcPr>
          <w:p w14:paraId="50B69F7A" w14:textId="77777777" w:rsidR="00CF04BC" w:rsidRPr="00B93493" w:rsidRDefault="00CF04BC" w:rsidP="002E7F54">
            <w:pPr>
              <w:pStyle w:val="Tabletext"/>
              <w:jc w:val="center"/>
            </w:pPr>
            <w:r w:rsidRPr="00B93493">
              <w:t>above 300 MHz to 3000 MHz inclusive</w:t>
            </w:r>
          </w:p>
        </w:tc>
        <w:tc>
          <w:tcPr>
            <w:tcW w:w="3842" w:type="dxa"/>
            <w:tcBorders>
              <w:top w:val="single" w:sz="4" w:space="0" w:color="auto"/>
              <w:left w:val="single" w:sz="4" w:space="0" w:color="auto"/>
              <w:bottom w:val="single" w:sz="4" w:space="0" w:color="auto"/>
            </w:tcBorders>
          </w:tcPr>
          <w:p w14:paraId="0910EA42" w14:textId="77777777" w:rsidR="00CF04BC" w:rsidRPr="00B93493" w:rsidRDefault="00CF04BC" w:rsidP="002E7F54">
            <w:pPr>
              <w:pStyle w:val="Tabletext"/>
              <w:jc w:val="center"/>
            </w:pPr>
            <w:r w:rsidRPr="00B93493">
              <w:t>2</w:t>
            </w:r>
          </w:p>
        </w:tc>
      </w:tr>
      <w:tr w:rsidR="00CF04BC" w:rsidRPr="00B93493" w14:paraId="27AC1944" w14:textId="77777777" w:rsidTr="002E7F54">
        <w:trPr>
          <w:jc w:val="center"/>
        </w:trPr>
        <w:tc>
          <w:tcPr>
            <w:tcW w:w="4819" w:type="dxa"/>
            <w:tcBorders>
              <w:top w:val="single" w:sz="4" w:space="0" w:color="auto"/>
              <w:bottom w:val="single" w:sz="4" w:space="0" w:color="auto"/>
              <w:right w:val="single" w:sz="4" w:space="0" w:color="auto"/>
            </w:tcBorders>
          </w:tcPr>
          <w:p w14:paraId="7E92DFA0" w14:textId="77777777" w:rsidR="00CF04BC" w:rsidRPr="00B93493" w:rsidRDefault="00CF04BC" w:rsidP="002E7F54">
            <w:pPr>
              <w:pStyle w:val="Tabletext"/>
              <w:jc w:val="center"/>
            </w:pPr>
            <w:r w:rsidRPr="00B93493">
              <w:t>above 3 GHz to 30 GHz inclusive</w:t>
            </w:r>
          </w:p>
        </w:tc>
        <w:tc>
          <w:tcPr>
            <w:tcW w:w="3842" w:type="dxa"/>
            <w:tcBorders>
              <w:top w:val="single" w:sz="4" w:space="0" w:color="auto"/>
              <w:left w:val="single" w:sz="4" w:space="0" w:color="auto"/>
              <w:bottom w:val="single" w:sz="4" w:space="0" w:color="auto"/>
            </w:tcBorders>
          </w:tcPr>
          <w:p w14:paraId="639A0B30" w14:textId="77777777" w:rsidR="00CF04BC" w:rsidRPr="00B93493" w:rsidRDefault="00CF04BC" w:rsidP="002E7F54">
            <w:pPr>
              <w:pStyle w:val="Tabletext"/>
              <w:jc w:val="center"/>
            </w:pPr>
            <w:r w:rsidRPr="00B93493">
              <w:t>1</w:t>
            </w:r>
          </w:p>
        </w:tc>
      </w:tr>
      <w:tr w:rsidR="00CF04BC" w:rsidRPr="00B93493" w14:paraId="64B48F8A" w14:textId="77777777" w:rsidTr="002E7F54">
        <w:trPr>
          <w:jc w:val="center"/>
        </w:trPr>
        <w:tc>
          <w:tcPr>
            <w:tcW w:w="4819" w:type="dxa"/>
            <w:tcBorders>
              <w:top w:val="single" w:sz="4" w:space="0" w:color="auto"/>
              <w:bottom w:val="single" w:sz="4" w:space="0" w:color="auto"/>
              <w:right w:val="single" w:sz="4" w:space="0" w:color="auto"/>
            </w:tcBorders>
          </w:tcPr>
          <w:p w14:paraId="1051FD9A" w14:textId="77777777" w:rsidR="00CF04BC" w:rsidRPr="00B93493" w:rsidRDefault="00CF04BC" w:rsidP="002E7F54">
            <w:pPr>
              <w:pStyle w:val="Tabletext"/>
              <w:jc w:val="center"/>
            </w:pPr>
            <w:r w:rsidRPr="00B93493">
              <w:t>above 30 GHz to 300 GHz inclusive</w:t>
            </w:r>
          </w:p>
        </w:tc>
        <w:tc>
          <w:tcPr>
            <w:tcW w:w="3842" w:type="dxa"/>
            <w:tcBorders>
              <w:top w:val="single" w:sz="4" w:space="0" w:color="auto"/>
              <w:left w:val="single" w:sz="4" w:space="0" w:color="auto"/>
              <w:bottom w:val="single" w:sz="4" w:space="0" w:color="auto"/>
            </w:tcBorders>
          </w:tcPr>
          <w:p w14:paraId="347AC3C1" w14:textId="77777777" w:rsidR="00CF04BC" w:rsidRPr="00B93493" w:rsidRDefault="00CF04BC" w:rsidP="002E7F54">
            <w:pPr>
              <w:pStyle w:val="Tabletext"/>
              <w:jc w:val="center"/>
            </w:pPr>
            <w:r w:rsidRPr="00B93493">
              <w:t>0.1</w:t>
            </w:r>
          </w:p>
        </w:tc>
      </w:tr>
    </w:tbl>
    <w:p w14:paraId="7DF38575" w14:textId="77777777" w:rsidR="00CF04BC" w:rsidRPr="00B93493" w:rsidRDefault="00CF04BC" w:rsidP="00CF04BC">
      <w:pPr>
        <w:pStyle w:val="TableNo"/>
        <w:rPr>
          <w:lang w:eastAsia="zh-CN"/>
        </w:rPr>
      </w:pPr>
      <w:r w:rsidRPr="00B93493">
        <w:t>TABLE 3</w:t>
      </w:r>
      <w:r>
        <w:rPr>
          <w:rFonts w:hint="eastAsia"/>
          <w:lang w:eastAsia="zh-CN"/>
        </w:rPr>
        <w:t>3</w:t>
      </w:r>
    </w:p>
    <w:p w14:paraId="0253E207" w14:textId="77777777" w:rsidR="00CF04BC" w:rsidRPr="00B93493" w:rsidRDefault="00CF04BC" w:rsidP="00CF04BC">
      <w:pPr>
        <w:pStyle w:val="Tabletitle"/>
      </w:pPr>
      <w:r w:rsidRPr="00B93493">
        <w:t>Coefficient depending on the use of advanced radio technology</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9"/>
        <w:gridCol w:w="6717"/>
        <w:gridCol w:w="1793"/>
      </w:tblGrid>
      <w:tr w:rsidR="00CF04BC" w:rsidRPr="00B93493" w14:paraId="36495921" w14:textId="77777777" w:rsidTr="00092428">
        <w:trPr>
          <w:jc w:val="center"/>
        </w:trPr>
        <w:tc>
          <w:tcPr>
            <w:tcW w:w="581" w:type="pct"/>
            <w:tcBorders>
              <w:top w:val="single" w:sz="4" w:space="0" w:color="auto"/>
              <w:bottom w:val="single" w:sz="4" w:space="0" w:color="auto"/>
              <w:right w:val="single" w:sz="4" w:space="0" w:color="auto"/>
            </w:tcBorders>
          </w:tcPr>
          <w:p w14:paraId="6712D838" w14:textId="77777777" w:rsidR="00CF04BC" w:rsidRPr="00B93493" w:rsidRDefault="00CF04BC" w:rsidP="002E7F54">
            <w:pPr>
              <w:pStyle w:val="Tablehead"/>
            </w:pPr>
            <w:r w:rsidRPr="00B93493">
              <w:t>No.</w:t>
            </w:r>
          </w:p>
        </w:tc>
        <w:tc>
          <w:tcPr>
            <w:tcW w:w="3488" w:type="pct"/>
            <w:tcBorders>
              <w:top w:val="single" w:sz="4" w:space="0" w:color="auto"/>
              <w:left w:val="single" w:sz="4" w:space="0" w:color="auto"/>
              <w:bottom w:val="single" w:sz="4" w:space="0" w:color="auto"/>
              <w:right w:val="single" w:sz="4" w:space="0" w:color="auto"/>
            </w:tcBorders>
          </w:tcPr>
          <w:p w14:paraId="58FDC698" w14:textId="77777777" w:rsidR="00CF04BC" w:rsidRPr="00B93493" w:rsidRDefault="00CF04BC" w:rsidP="002E7F54">
            <w:pPr>
              <w:pStyle w:val="Tablehead"/>
            </w:pPr>
            <w:r w:rsidRPr="00B93493">
              <w:t xml:space="preserve">Group of radio technologies </w:t>
            </w:r>
          </w:p>
        </w:tc>
        <w:tc>
          <w:tcPr>
            <w:tcW w:w="931" w:type="pct"/>
            <w:tcBorders>
              <w:top w:val="single" w:sz="4" w:space="0" w:color="auto"/>
              <w:left w:val="single" w:sz="4" w:space="0" w:color="auto"/>
              <w:bottom w:val="single" w:sz="4" w:space="0" w:color="auto"/>
            </w:tcBorders>
          </w:tcPr>
          <w:p w14:paraId="1AB8956E" w14:textId="77777777" w:rsidR="00CF04BC" w:rsidRPr="00B93493" w:rsidRDefault="00CF04BC" w:rsidP="002E7F54">
            <w:pPr>
              <w:pStyle w:val="Tablehead"/>
              <w:rPr>
                <w:i/>
              </w:rPr>
            </w:pPr>
            <w:r w:rsidRPr="00B93493">
              <w:rPr>
                <w:i/>
              </w:rPr>
              <w:t>K</w:t>
            </w:r>
            <w:r w:rsidRPr="00B93493">
              <w:rPr>
                <w:i/>
                <w:vertAlign w:val="subscript"/>
              </w:rPr>
              <w:t>adv</w:t>
            </w:r>
          </w:p>
        </w:tc>
      </w:tr>
      <w:tr w:rsidR="00CF04BC" w:rsidRPr="00B93493" w14:paraId="386DA0F1" w14:textId="77777777" w:rsidTr="00092428">
        <w:trPr>
          <w:jc w:val="center"/>
        </w:trPr>
        <w:tc>
          <w:tcPr>
            <w:tcW w:w="581" w:type="pct"/>
            <w:tcBorders>
              <w:top w:val="single" w:sz="4" w:space="0" w:color="auto"/>
              <w:bottom w:val="single" w:sz="4" w:space="0" w:color="auto"/>
              <w:right w:val="single" w:sz="4" w:space="0" w:color="auto"/>
            </w:tcBorders>
          </w:tcPr>
          <w:p w14:paraId="36ED1B5C" w14:textId="77777777" w:rsidR="00CF04BC" w:rsidRPr="00B93493" w:rsidRDefault="00CF04BC" w:rsidP="002E7F54">
            <w:pPr>
              <w:pStyle w:val="Tabletext"/>
              <w:jc w:val="center"/>
            </w:pPr>
            <w:bookmarkStart w:id="2390" w:name="sub_11041"/>
            <w:r w:rsidRPr="00B93493">
              <w:t>1</w:t>
            </w:r>
            <w:bookmarkEnd w:id="2390"/>
          </w:p>
        </w:tc>
        <w:tc>
          <w:tcPr>
            <w:tcW w:w="3488" w:type="pct"/>
            <w:tcBorders>
              <w:top w:val="single" w:sz="4" w:space="0" w:color="auto"/>
              <w:left w:val="single" w:sz="4" w:space="0" w:color="auto"/>
              <w:bottom w:val="single" w:sz="4" w:space="0" w:color="auto"/>
              <w:right w:val="single" w:sz="4" w:space="0" w:color="auto"/>
            </w:tcBorders>
          </w:tcPr>
          <w:p w14:paraId="413F6021" w14:textId="77777777" w:rsidR="00CF04BC" w:rsidRPr="00B93493" w:rsidRDefault="00CF04BC" w:rsidP="002E7F54">
            <w:pPr>
              <w:pStyle w:val="Tabletext"/>
              <w:rPr>
                <w:color w:val="000000"/>
              </w:rPr>
            </w:pPr>
            <w:r w:rsidRPr="00B93493">
              <w:rPr>
                <w:color w:val="000000"/>
              </w:rPr>
              <w:t>Radio technologies for which experimental studies are being conducted and (or) research and development activities are being performed according to the SRFC decision</w:t>
            </w:r>
          </w:p>
        </w:tc>
        <w:tc>
          <w:tcPr>
            <w:tcW w:w="931" w:type="pct"/>
            <w:tcBorders>
              <w:top w:val="single" w:sz="4" w:space="0" w:color="auto"/>
              <w:left w:val="single" w:sz="4" w:space="0" w:color="auto"/>
              <w:bottom w:val="single" w:sz="4" w:space="0" w:color="auto"/>
            </w:tcBorders>
          </w:tcPr>
          <w:p w14:paraId="3757A54F" w14:textId="77777777" w:rsidR="00CF04BC" w:rsidRPr="00B93493" w:rsidRDefault="00CF04BC" w:rsidP="002E7F54">
            <w:pPr>
              <w:pStyle w:val="Tabletext"/>
              <w:jc w:val="center"/>
            </w:pPr>
            <w:r w:rsidRPr="00B93493">
              <w:t>0.001</w:t>
            </w:r>
          </w:p>
        </w:tc>
      </w:tr>
      <w:tr w:rsidR="00CF04BC" w:rsidRPr="00B93493" w14:paraId="7F0CFB68" w14:textId="77777777" w:rsidTr="00092428">
        <w:trPr>
          <w:jc w:val="center"/>
        </w:trPr>
        <w:tc>
          <w:tcPr>
            <w:tcW w:w="581" w:type="pct"/>
            <w:tcBorders>
              <w:top w:val="single" w:sz="4" w:space="0" w:color="auto"/>
              <w:bottom w:val="single" w:sz="4" w:space="0" w:color="auto"/>
              <w:right w:val="single" w:sz="4" w:space="0" w:color="auto"/>
            </w:tcBorders>
          </w:tcPr>
          <w:p w14:paraId="60C3FDD6" w14:textId="77777777" w:rsidR="00CF04BC" w:rsidRPr="00B93493" w:rsidRDefault="00CF04BC" w:rsidP="002E7F54">
            <w:pPr>
              <w:pStyle w:val="Tabletext"/>
              <w:jc w:val="center"/>
            </w:pPr>
            <w:bookmarkStart w:id="2391" w:name="sub_11042"/>
            <w:r w:rsidRPr="00B93493">
              <w:t>2</w:t>
            </w:r>
            <w:bookmarkEnd w:id="2391"/>
          </w:p>
        </w:tc>
        <w:tc>
          <w:tcPr>
            <w:tcW w:w="3488" w:type="pct"/>
            <w:tcBorders>
              <w:top w:val="single" w:sz="4" w:space="0" w:color="auto"/>
              <w:left w:val="single" w:sz="4" w:space="0" w:color="auto"/>
              <w:bottom w:val="single" w:sz="4" w:space="0" w:color="auto"/>
              <w:right w:val="single" w:sz="4" w:space="0" w:color="auto"/>
            </w:tcBorders>
          </w:tcPr>
          <w:p w14:paraId="59EDF519" w14:textId="77777777" w:rsidR="00CF04BC" w:rsidRPr="00B93493" w:rsidRDefault="00CF04BC" w:rsidP="002E7F54">
            <w:pPr>
              <w:pStyle w:val="Tabletext"/>
              <w:rPr>
                <w:color w:val="000000"/>
              </w:rPr>
            </w:pPr>
            <w:r w:rsidRPr="00B93493">
              <w:rPr>
                <w:color w:val="000000"/>
              </w:rPr>
              <w:t xml:space="preserve">Civil radio technologies for which the SRFC take a decision to cancel their further use and (or) move radio systems based on this technology to other frequency bands </w:t>
            </w:r>
          </w:p>
        </w:tc>
        <w:tc>
          <w:tcPr>
            <w:tcW w:w="931" w:type="pct"/>
            <w:tcBorders>
              <w:top w:val="single" w:sz="4" w:space="0" w:color="auto"/>
              <w:left w:val="single" w:sz="4" w:space="0" w:color="auto"/>
              <w:bottom w:val="single" w:sz="4" w:space="0" w:color="auto"/>
            </w:tcBorders>
          </w:tcPr>
          <w:p w14:paraId="18E0B1AD" w14:textId="77777777" w:rsidR="00CF04BC" w:rsidRPr="00B93493" w:rsidRDefault="00CF04BC" w:rsidP="002E7F54">
            <w:pPr>
              <w:pStyle w:val="Tabletext"/>
              <w:jc w:val="center"/>
            </w:pPr>
            <w:r w:rsidRPr="00B93493">
              <w:t>3</w:t>
            </w:r>
          </w:p>
        </w:tc>
      </w:tr>
      <w:tr w:rsidR="00CF04BC" w:rsidRPr="00B93493" w14:paraId="63E9719C" w14:textId="77777777" w:rsidTr="00092428">
        <w:trPr>
          <w:jc w:val="center"/>
        </w:trPr>
        <w:tc>
          <w:tcPr>
            <w:tcW w:w="581" w:type="pct"/>
            <w:tcBorders>
              <w:top w:val="single" w:sz="4" w:space="0" w:color="auto"/>
              <w:bottom w:val="single" w:sz="4" w:space="0" w:color="auto"/>
              <w:right w:val="single" w:sz="4" w:space="0" w:color="auto"/>
            </w:tcBorders>
          </w:tcPr>
          <w:p w14:paraId="3015C283" w14:textId="77777777" w:rsidR="00CF04BC" w:rsidRPr="00B93493" w:rsidRDefault="00CF04BC" w:rsidP="002E7F54">
            <w:pPr>
              <w:pStyle w:val="Tabletext"/>
              <w:jc w:val="center"/>
            </w:pPr>
            <w:bookmarkStart w:id="2392" w:name="sub_11043"/>
            <w:r w:rsidRPr="00B93493">
              <w:t>3</w:t>
            </w:r>
            <w:bookmarkEnd w:id="2392"/>
          </w:p>
        </w:tc>
        <w:tc>
          <w:tcPr>
            <w:tcW w:w="3488" w:type="pct"/>
            <w:tcBorders>
              <w:top w:val="single" w:sz="4" w:space="0" w:color="auto"/>
              <w:left w:val="single" w:sz="4" w:space="0" w:color="auto"/>
              <w:bottom w:val="single" w:sz="4" w:space="0" w:color="auto"/>
              <w:right w:val="single" w:sz="4" w:space="0" w:color="auto"/>
            </w:tcBorders>
          </w:tcPr>
          <w:p w14:paraId="4DD3EDA3" w14:textId="77777777" w:rsidR="00CF04BC" w:rsidRPr="00B93493" w:rsidRDefault="00CF04BC" w:rsidP="002E7F54">
            <w:pPr>
              <w:pStyle w:val="Tabletext"/>
              <w:rPr>
                <w:color w:val="000000"/>
              </w:rPr>
            </w:pPr>
            <w:r w:rsidRPr="00B93493">
              <w:rPr>
                <w:color w:val="000000"/>
              </w:rPr>
              <w:t xml:space="preserve">Other civil radio technologies based on digital processing, not covered by No. 1 of this Table* </w:t>
            </w:r>
          </w:p>
        </w:tc>
        <w:tc>
          <w:tcPr>
            <w:tcW w:w="931" w:type="pct"/>
            <w:tcBorders>
              <w:top w:val="single" w:sz="4" w:space="0" w:color="auto"/>
              <w:left w:val="single" w:sz="4" w:space="0" w:color="auto"/>
              <w:bottom w:val="single" w:sz="4" w:space="0" w:color="auto"/>
            </w:tcBorders>
          </w:tcPr>
          <w:p w14:paraId="56505C15" w14:textId="77777777" w:rsidR="00CF04BC" w:rsidRPr="00B93493" w:rsidRDefault="00CF04BC" w:rsidP="002E7F54">
            <w:pPr>
              <w:pStyle w:val="Tabletext"/>
              <w:jc w:val="center"/>
            </w:pPr>
            <w:r w:rsidRPr="00B93493">
              <w:t>1</w:t>
            </w:r>
          </w:p>
        </w:tc>
      </w:tr>
      <w:tr w:rsidR="00CF04BC" w:rsidRPr="00B93493" w14:paraId="26A75013" w14:textId="77777777" w:rsidTr="00092428">
        <w:trPr>
          <w:jc w:val="center"/>
        </w:trPr>
        <w:tc>
          <w:tcPr>
            <w:tcW w:w="581" w:type="pct"/>
            <w:tcBorders>
              <w:top w:val="single" w:sz="4" w:space="0" w:color="auto"/>
              <w:bottom w:val="single" w:sz="4" w:space="0" w:color="auto"/>
              <w:right w:val="single" w:sz="4" w:space="0" w:color="auto"/>
            </w:tcBorders>
          </w:tcPr>
          <w:p w14:paraId="0DB861AA" w14:textId="77777777" w:rsidR="00CF04BC" w:rsidRPr="00B93493" w:rsidRDefault="00CF04BC" w:rsidP="002E7F54">
            <w:pPr>
              <w:pStyle w:val="Tabletext"/>
              <w:jc w:val="center"/>
            </w:pPr>
            <w:bookmarkStart w:id="2393" w:name="sub_11044"/>
            <w:r w:rsidRPr="00B93493">
              <w:t>4</w:t>
            </w:r>
            <w:bookmarkEnd w:id="2393"/>
          </w:p>
        </w:tc>
        <w:tc>
          <w:tcPr>
            <w:tcW w:w="3488" w:type="pct"/>
            <w:tcBorders>
              <w:top w:val="single" w:sz="4" w:space="0" w:color="auto"/>
              <w:left w:val="single" w:sz="4" w:space="0" w:color="auto"/>
              <w:bottom w:val="single" w:sz="4" w:space="0" w:color="auto"/>
              <w:right w:val="single" w:sz="4" w:space="0" w:color="auto"/>
            </w:tcBorders>
          </w:tcPr>
          <w:p w14:paraId="75877120" w14:textId="77777777" w:rsidR="00CF04BC" w:rsidRPr="00B93493" w:rsidRDefault="00CF04BC" w:rsidP="002E7F54">
            <w:pPr>
              <w:pStyle w:val="Tabletext"/>
              <w:rPr>
                <w:color w:val="000000"/>
              </w:rPr>
            </w:pPr>
            <w:r w:rsidRPr="00B93493">
              <w:rPr>
                <w:color w:val="000000"/>
              </w:rPr>
              <w:t>Other civil radio technologies based on analogue processing, not covered by No. 1 and No. 2 of this Table and also for other cases</w:t>
            </w:r>
            <w:hyperlink w:anchor="sub_222222" w:history="1">
              <w:r w:rsidRPr="00B93493">
                <w:rPr>
                  <w:color w:val="000000"/>
                </w:rPr>
                <w:t>**</w:t>
              </w:r>
            </w:hyperlink>
          </w:p>
        </w:tc>
        <w:tc>
          <w:tcPr>
            <w:tcW w:w="931" w:type="pct"/>
            <w:tcBorders>
              <w:top w:val="single" w:sz="4" w:space="0" w:color="auto"/>
              <w:left w:val="single" w:sz="4" w:space="0" w:color="auto"/>
              <w:bottom w:val="single" w:sz="4" w:space="0" w:color="auto"/>
            </w:tcBorders>
          </w:tcPr>
          <w:p w14:paraId="680BC592" w14:textId="77777777" w:rsidR="00CF04BC" w:rsidRPr="00B93493" w:rsidRDefault="00CF04BC" w:rsidP="002E7F54">
            <w:pPr>
              <w:pStyle w:val="Tabletext"/>
              <w:jc w:val="center"/>
            </w:pPr>
            <w:r w:rsidRPr="00B93493">
              <w:t>1.5</w:t>
            </w:r>
          </w:p>
        </w:tc>
      </w:tr>
      <w:tr w:rsidR="00CF04BC" w:rsidRPr="00B93493" w14:paraId="7642C4EC" w14:textId="77777777" w:rsidTr="00092428">
        <w:trPr>
          <w:jc w:val="center"/>
        </w:trPr>
        <w:tc>
          <w:tcPr>
            <w:tcW w:w="581" w:type="pct"/>
            <w:tcBorders>
              <w:top w:val="single" w:sz="4" w:space="0" w:color="auto"/>
              <w:bottom w:val="single" w:sz="4" w:space="0" w:color="auto"/>
              <w:right w:val="single" w:sz="4" w:space="0" w:color="auto"/>
            </w:tcBorders>
          </w:tcPr>
          <w:p w14:paraId="7BB7C12A" w14:textId="77777777" w:rsidR="00CF04BC" w:rsidRPr="00B93493" w:rsidRDefault="00CF04BC" w:rsidP="002E7F54">
            <w:pPr>
              <w:pStyle w:val="Tabletext"/>
              <w:jc w:val="center"/>
            </w:pPr>
            <w:bookmarkStart w:id="2394" w:name="sub_11045"/>
            <w:r w:rsidRPr="00B93493">
              <w:t>5</w:t>
            </w:r>
            <w:bookmarkEnd w:id="2394"/>
          </w:p>
        </w:tc>
        <w:tc>
          <w:tcPr>
            <w:tcW w:w="3488" w:type="pct"/>
            <w:tcBorders>
              <w:top w:val="single" w:sz="4" w:space="0" w:color="auto"/>
              <w:left w:val="single" w:sz="4" w:space="0" w:color="auto"/>
              <w:bottom w:val="single" w:sz="4" w:space="0" w:color="auto"/>
              <w:right w:val="single" w:sz="4" w:space="0" w:color="auto"/>
            </w:tcBorders>
          </w:tcPr>
          <w:p w14:paraId="537A6769" w14:textId="77777777" w:rsidR="00CF04BC" w:rsidRPr="00B93493" w:rsidRDefault="00CF04BC" w:rsidP="002E7F54">
            <w:pPr>
              <w:pStyle w:val="Tabletext"/>
              <w:rPr>
                <w:color w:val="000000"/>
              </w:rPr>
            </w:pPr>
            <w:r w:rsidRPr="00B93493">
              <w:rPr>
                <w:color w:val="000000"/>
              </w:rPr>
              <w:t>Radio technologies serving the state administration, including presidential and governmental communications, national defense, state security and law enforcement, not covered by No. 1 of this Table</w:t>
            </w:r>
          </w:p>
        </w:tc>
        <w:tc>
          <w:tcPr>
            <w:tcW w:w="931" w:type="pct"/>
            <w:tcBorders>
              <w:top w:val="single" w:sz="4" w:space="0" w:color="auto"/>
              <w:left w:val="single" w:sz="4" w:space="0" w:color="auto"/>
              <w:bottom w:val="single" w:sz="4" w:space="0" w:color="auto"/>
            </w:tcBorders>
          </w:tcPr>
          <w:p w14:paraId="19DE0A6D" w14:textId="77777777" w:rsidR="00CF04BC" w:rsidRPr="00B93493" w:rsidRDefault="00CF04BC" w:rsidP="002E7F54">
            <w:pPr>
              <w:pStyle w:val="Tabletext"/>
              <w:jc w:val="center"/>
            </w:pPr>
            <w:r w:rsidRPr="00B93493">
              <w:t>1</w:t>
            </w:r>
          </w:p>
        </w:tc>
      </w:tr>
    </w:tbl>
    <w:p w14:paraId="7A897CF4" w14:textId="77777777" w:rsidR="00CF04BC" w:rsidRPr="00B93493" w:rsidRDefault="00CF04BC" w:rsidP="00CF04BC">
      <w:pPr>
        <w:pStyle w:val="Note"/>
      </w:pPr>
      <w:bookmarkStart w:id="2395" w:name="sub_10000"/>
      <w:r w:rsidRPr="00B93493">
        <w:t xml:space="preserve">NOTE – </w:t>
      </w:r>
      <w:r w:rsidRPr="00B93493">
        <w:rPr>
          <w:i/>
        </w:rPr>
        <w:t>K</w:t>
      </w:r>
      <w:r w:rsidRPr="00B93493">
        <w:rPr>
          <w:i/>
          <w:vertAlign w:val="subscript"/>
        </w:rPr>
        <w:t>adv</w:t>
      </w:r>
      <w:r w:rsidRPr="00B93493">
        <w:t> = 0.5 when DVB-Т2 and WiMAX radio technologies are used, and when Ka VSAT subscriber earth stations are used in the frequency band 29.5-30 GHz and Ka VSAT central earth stations are used in the band 27.5</w:t>
      </w:r>
      <w:r w:rsidRPr="00B93493">
        <w:noBreakHyphen/>
        <w:t>29.5 GHz.</w:t>
      </w:r>
    </w:p>
    <w:bookmarkEnd w:id="2395"/>
    <w:p w14:paraId="078B9A26" w14:textId="77777777" w:rsidR="00CF04BC" w:rsidRPr="00B93493" w:rsidRDefault="00CF04BC" w:rsidP="00CF04BC">
      <w:pPr>
        <w:pStyle w:val="Equationlegend"/>
      </w:pPr>
      <w:r w:rsidRPr="00B93493">
        <w:rPr>
          <w:i/>
        </w:rPr>
        <w:tab/>
        <w:t>K</w:t>
      </w:r>
      <w:r w:rsidRPr="00B93493">
        <w:rPr>
          <w:i/>
          <w:vertAlign w:val="subscript"/>
        </w:rPr>
        <w:t>adv</w:t>
      </w:r>
      <w:r w:rsidRPr="00B93493">
        <w:t>: </w:t>
      </w:r>
      <w:r w:rsidRPr="00B93493">
        <w:tab/>
        <w:t>0.1 when radio technologies of LTE standard and its further modifications are used</w:t>
      </w:r>
    </w:p>
    <w:p w14:paraId="11A560E0" w14:textId="77777777" w:rsidR="00CF04BC" w:rsidRPr="00B93493" w:rsidRDefault="00CF04BC" w:rsidP="00CF04BC">
      <w:pPr>
        <w:pStyle w:val="Equationlegend"/>
      </w:pPr>
      <w:bookmarkStart w:id="2396" w:name="sub_111111"/>
      <w:r w:rsidRPr="00B93493">
        <w:tab/>
        <w:t xml:space="preserve">* </w:t>
      </w:r>
      <w:r w:rsidRPr="00B93493">
        <w:rPr>
          <w:i/>
        </w:rPr>
        <w:t>K</w:t>
      </w:r>
      <w:r w:rsidRPr="00B93493">
        <w:rPr>
          <w:i/>
          <w:vertAlign w:val="subscript"/>
        </w:rPr>
        <w:t>adv</w:t>
      </w:r>
      <w:r w:rsidRPr="00B93493">
        <w:t>: </w:t>
      </w:r>
      <w:r w:rsidRPr="00B93493">
        <w:tab/>
        <w:t>1 for pulse emission (sequence of pulses) when the main carrier is not directly modulated by the pulse waveform which is quantized</w:t>
      </w:r>
    </w:p>
    <w:p w14:paraId="10822647" w14:textId="77777777" w:rsidR="00CF04BC" w:rsidRPr="0030115C" w:rsidRDefault="00CF04BC" w:rsidP="00CF04BC">
      <w:pPr>
        <w:pStyle w:val="Equationlegend"/>
        <w:rPr>
          <w:spacing w:val="-2"/>
        </w:rPr>
      </w:pPr>
      <w:bookmarkStart w:id="2397" w:name="sub_222222"/>
      <w:bookmarkEnd w:id="2396"/>
      <w:r w:rsidRPr="00B93493">
        <w:tab/>
        <w:t xml:space="preserve">** </w:t>
      </w:r>
      <w:r w:rsidRPr="00B93493">
        <w:rPr>
          <w:i/>
        </w:rPr>
        <w:t>K</w:t>
      </w:r>
      <w:r w:rsidRPr="00B93493">
        <w:rPr>
          <w:i/>
          <w:vertAlign w:val="subscript"/>
        </w:rPr>
        <w:t>adv</w:t>
      </w:r>
      <w:r w:rsidRPr="00B93493">
        <w:t>: </w:t>
      </w:r>
      <w:r w:rsidRPr="00B93493">
        <w:tab/>
        <w:t>1</w:t>
      </w:r>
      <w:r w:rsidRPr="0030115C">
        <w:rPr>
          <w:spacing w:val="-2"/>
        </w:rPr>
        <w:t>.5 for advanced technology (excluding wireless broadband access) is applied if:</w:t>
      </w:r>
    </w:p>
    <w:bookmarkEnd w:id="2397"/>
    <w:p w14:paraId="6C032E68" w14:textId="3064B941" w:rsidR="00CF04BC" w:rsidRPr="00B93493" w:rsidRDefault="00C0502F" w:rsidP="00CF04BC">
      <w:pPr>
        <w:pStyle w:val="enumlev2"/>
        <w:tabs>
          <w:tab w:val="left" w:pos="2268"/>
        </w:tabs>
        <w:ind w:left="1985" w:hanging="567"/>
      </w:pPr>
      <w:r>
        <w:tab/>
      </w:r>
      <w:r w:rsidR="00CF04BC" w:rsidRPr="00B93493">
        <w:t>–</w:t>
      </w:r>
      <w:r w:rsidR="00CF04BC" w:rsidRPr="00B93493">
        <w:tab/>
        <w:t>the second symbol in the class of emission specified by the authorization, designating the nature of signal(s) modulating the main carrier is 9 (composite system with one or more channels containing quantized or digital information together with one or more channels containing analogue information) or X (class of emission not otherwise covered);</w:t>
      </w:r>
    </w:p>
    <w:p w14:paraId="511849F6" w14:textId="6D6EC9D1" w:rsidR="00CF04BC" w:rsidRPr="00B93493" w:rsidRDefault="00C0502F" w:rsidP="00CF04BC">
      <w:pPr>
        <w:pStyle w:val="enumlev2"/>
        <w:tabs>
          <w:tab w:val="left" w:pos="2268"/>
        </w:tabs>
        <w:ind w:left="1985" w:hanging="567"/>
      </w:pPr>
      <w:r>
        <w:tab/>
      </w:r>
      <w:r w:rsidR="00CF04BC" w:rsidRPr="00B93493">
        <w:t>–</w:t>
      </w:r>
      <w:r w:rsidR="00CF04BC" w:rsidRPr="00B93493">
        <w:tab/>
        <w:t>several classes of emission with different methods of information processing (analogue and digital) are specified for radio frequencies (radio channels) in the frequency-territory plan of the authorization.</w:t>
      </w:r>
    </w:p>
    <w:p w14:paraId="2BDA37B6" w14:textId="77777777" w:rsidR="00CF04BC" w:rsidRPr="00B93493" w:rsidRDefault="00CF04BC" w:rsidP="00CF04BC">
      <w:pPr>
        <w:pStyle w:val="TableNo"/>
        <w:rPr>
          <w:lang w:eastAsia="zh-CN"/>
        </w:rPr>
      </w:pPr>
      <w:r w:rsidRPr="00B93493">
        <w:t>TABLE 3</w:t>
      </w:r>
      <w:r>
        <w:rPr>
          <w:rFonts w:hint="eastAsia"/>
          <w:lang w:eastAsia="zh-CN"/>
        </w:rPr>
        <w:t>4</w:t>
      </w:r>
    </w:p>
    <w:p w14:paraId="6D9816AF" w14:textId="77777777" w:rsidR="00CF04BC" w:rsidRPr="00B93493" w:rsidRDefault="00CF04BC" w:rsidP="00CF04BC">
      <w:pPr>
        <w:pStyle w:val="Tabletitle"/>
      </w:pPr>
      <w:r w:rsidRPr="00B93493">
        <w:t xml:space="preserve">Coefficient depending on the signal bandwidth necessary to transmit information </w:t>
      </w:r>
      <w:r w:rsidRPr="00B93493">
        <w:br/>
        <w:t xml:space="preserve">with the specified quality in the used radio channel </w:t>
      </w:r>
    </w:p>
    <w:tbl>
      <w:tblPr>
        <w:tblW w:w="880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27"/>
        <w:gridCol w:w="3780"/>
      </w:tblGrid>
      <w:tr w:rsidR="00CF04BC" w:rsidRPr="00B93493" w14:paraId="47292EC6" w14:textId="77777777" w:rsidTr="002E7F54">
        <w:trPr>
          <w:jc w:val="center"/>
        </w:trPr>
        <w:tc>
          <w:tcPr>
            <w:tcW w:w="5027" w:type="dxa"/>
            <w:tcBorders>
              <w:top w:val="single" w:sz="4" w:space="0" w:color="auto"/>
              <w:bottom w:val="single" w:sz="4" w:space="0" w:color="auto"/>
              <w:right w:val="single" w:sz="4" w:space="0" w:color="auto"/>
            </w:tcBorders>
          </w:tcPr>
          <w:p w14:paraId="7EAB220B" w14:textId="77777777" w:rsidR="00CF04BC" w:rsidRPr="00B93493" w:rsidRDefault="00CF04BC" w:rsidP="002E7F54">
            <w:pPr>
              <w:pStyle w:val="Tablehead"/>
            </w:pPr>
            <w:r w:rsidRPr="00B93493">
              <w:t xml:space="preserve">Required bandwidth </w:t>
            </w:r>
          </w:p>
        </w:tc>
        <w:tc>
          <w:tcPr>
            <w:tcW w:w="3780" w:type="dxa"/>
            <w:tcBorders>
              <w:top w:val="single" w:sz="4" w:space="0" w:color="auto"/>
              <w:left w:val="single" w:sz="4" w:space="0" w:color="auto"/>
              <w:bottom w:val="single" w:sz="4" w:space="0" w:color="auto"/>
            </w:tcBorders>
          </w:tcPr>
          <w:p w14:paraId="0646048C" w14:textId="77777777" w:rsidR="00CF04BC" w:rsidRPr="00B93493" w:rsidRDefault="00CF04BC" w:rsidP="002E7F54">
            <w:pPr>
              <w:pStyle w:val="Tablehead"/>
            </w:pPr>
            <w:r w:rsidRPr="00B93493">
              <w:rPr>
                <w:i/>
              </w:rPr>
              <w:t>K</w:t>
            </w:r>
            <w:r w:rsidRPr="00B93493">
              <w:rPr>
                <w:i/>
                <w:vertAlign w:val="subscript"/>
              </w:rPr>
              <w:t>Breq</w:t>
            </w:r>
          </w:p>
        </w:tc>
      </w:tr>
      <w:tr w:rsidR="00CF04BC" w:rsidRPr="00B93493" w14:paraId="552C18F0" w14:textId="77777777" w:rsidTr="002E7F54">
        <w:trPr>
          <w:jc w:val="center"/>
        </w:trPr>
        <w:tc>
          <w:tcPr>
            <w:tcW w:w="5027" w:type="dxa"/>
            <w:tcBorders>
              <w:top w:val="single" w:sz="4" w:space="0" w:color="auto"/>
              <w:bottom w:val="single" w:sz="4" w:space="0" w:color="auto"/>
              <w:right w:val="single" w:sz="4" w:space="0" w:color="auto"/>
            </w:tcBorders>
          </w:tcPr>
          <w:p w14:paraId="11F43973" w14:textId="77777777" w:rsidR="00CF04BC" w:rsidRPr="00B93493" w:rsidRDefault="00CF04BC" w:rsidP="002E7F54">
            <w:pPr>
              <w:pStyle w:val="Tabletext"/>
              <w:jc w:val="center"/>
            </w:pPr>
            <w:r w:rsidRPr="00B93493">
              <w:t>Less than 100 kHz</w:t>
            </w:r>
          </w:p>
        </w:tc>
        <w:tc>
          <w:tcPr>
            <w:tcW w:w="3780" w:type="dxa"/>
            <w:tcBorders>
              <w:top w:val="single" w:sz="4" w:space="0" w:color="auto"/>
              <w:left w:val="single" w:sz="4" w:space="0" w:color="auto"/>
              <w:bottom w:val="single" w:sz="4" w:space="0" w:color="auto"/>
            </w:tcBorders>
          </w:tcPr>
          <w:p w14:paraId="614CAA3F" w14:textId="77777777" w:rsidR="00CF04BC" w:rsidRPr="00B93493" w:rsidRDefault="00CF04BC" w:rsidP="002E7F54">
            <w:pPr>
              <w:pStyle w:val="Tabletext"/>
              <w:jc w:val="center"/>
            </w:pPr>
            <w:r w:rsidRPr="00B93493">
              <w:t>1</w:t>
            </w:r>
          </w:p>
        </w:tc>
      </w:tr>
      <w:tr w:rsidR="00CF04BC" w:rsidRPr="00B93493" w14:paraId="38DFDC49" w14:textId="77777777" w:rsidTr="002E7F54">
        <w:trPr>
          <w:jc w:val="center"/>
        </w:trPr>
        <w:tc>
          <w:tcPr>
            <w:tcW w:w="5027" w:type="dxa"/>
            <w:tcBorders>
              <w:top w:val="single" w:sz="4" w:space="0" w:color="auto"/>
              <w:bottom w:val="single" w:sz="4" w:space="0" w:color="auto"/>
              <w:right w:val="single" w:sz="4" w:space="0" w:color="auto"/>
            </w:tcBorders>
          </w:tcPr>
          <w:p w14:paraId="17C5982A" w14:textId="77777777" w:rsidR="00CF04BC" w:rsidRPr="00B93493" w:rsidRDefault="00CF04BC" w:rsidP="002E7F54">
            <w:pPr>
              <w:pStyle w:val="Tabletext"/>
              <w:jc w:val="center"/>
            </w:pPr>
            <w:r w:rsidRPr="00B93493">
              <w:t>From 100 kHz to 1 MHz inclusive</w:t>
            </w:r>
          </w:p>
        </w:tc>
        <w:tc>
          <w:tcPr>
            <w:tcW w:w="3780" w:type="dxa"/>
            <w:tcBorders>
              <w:top w:val="single" w:sz="4" w:space="0" w:color="auto"/>
              <w:left w:val="single" w:sz="4" w:space="0" w:color="auto"/>
              <w:bottom w:val="single" w:sz="4" w:space="0" w:color="auto"/>
            </w:tcBorders>
          </w:tcPr>
          <w:p w14:paraId="126B4918" w14:textId="77777777" w:rsidR="00CF04BC" w:rsidRPr="00B93493" w:rsidRDefault="00CF04BC" w:rsidP="002E7F54">
            <w:pPr>
              <w:pStyle w:val="Tabletext"/>
              <w:jc w:val="center"/>
            </w:pPr>
            <w:r w:rsidRPr="00B93493">
              <w:t>2</w:t>
            </w:r>
          </w:p>
        </w:tc>
      </w:tr>
      <w:tr w:rsidR="00CF04BC" w:rsidRPr="00B93493" w14:paraId="7A4FBFA8" w14:textId="77777777" w:rsidTr="002E7F54">
        <w:trPr>
          <w:jc w:val="center"/>
        </w:trPr>
        <w:tc>
          <w:tcPr>
            <w:tcW w:w="5027" w:type="dxa"/>
            <w:tcBorders>
              <w:top w:val="single" w:sz="4" w:space="0" w:color="auto"/>
              <w:bottom w:val="single" w:sz="4" w:space="0" w:color="auto"/>
              <w:right w:val="single" w:sz="4" w:space="0" w:color="auto"/>
            </w:tcBorders>
          </w:tcPr>
          <w:p w14:paraId="7F12A9B1" w14:textId="77777777" w:rsidR="00CF04BC" w:rsidRPr="00B93493" w:rsidRDefault="00CF04BC" w:rsidP="002E7F54">
            <w:pPr>
              <w:pStyle w:val="Tabletext"/>
              <w:jc w:val="center"/>
            </w:pPr>
            <w:r w:rsidRPr="00B93493">
              <w:t>From 1 MHz to 10 MHz inclusive</w:t>
            </w:r>
          </w:p>
        </w:tc>
        <w:tc>
          <w:tcPr>
            <w:tcW w:w="3780" w:type="dxa"/>
            <w:tcBorders>
              <w:top w:val="single" w:sz="4" w:space="0" w:color="auto"/>
              <w:left w:val="single" w:sz="4" w:space="0" w:color="auto"/>
              <w:bottom w:val="single" w:sz="4" w:space="0" w:color="auto"/>
            </w:tcBorders>
          </w:tcPr>
          <w:p w14:paraId="0A04EEF4" w14:textId="77777777" w:rsidR="00CF04BC" w:rsidRPr="00B93493" w:rsidRDefault="00CF04BC" w:rsidP="002E7F54">
            <w:pPr>
              <w:pStyle w:val="Tabletext"/>
              <w:jc w:val="center"/>
            </w:pPr>
            <w:r w:rsidRPr="00B93493">
              <w:t>2.5</w:t>
            </w:r>
          </w:p>
        </w:tc>
      </w:tr>
      <w:tr w:rsidR="00CF04BC" w:rsidRPr="00B93493" w14:paraId="45EC7D31" w14:textId="77777777" w:rsidTr="002E7F54">
        <w:trPr>
          <w:jc w:val="center"/>
        </w:trPr>
        <w:tc>
          <w:tcPr>
            <w:tcW w:w="5027" w:type="dxa"/>
            <w:tcBorders>
              <w:top w:val="single" w:sz="4" w:space="0" w:color="auto"/>
              <w:bottom w:val="single" w:sz="4" w:space="0" w:color="auto"/>
              <w:right w:val="single" w:sz="4" w:space="0" w:color="auto"/>
            </w:tcBorders>
          </w:tcPr>
          <w:p w14:paraId="60789900" w14:textId="77777777" w:rsidR="00CF04BC" w:rsidRPr="00B93493" w:rsidRDefault="00CF04BC" w:rsidP="002E7F54">
            <w:pPr>
              <w:pStyle w:val="Tabletext"/>
              <w:jc w:val="center"/>
            </w:pPr>
            <w:r w:rsidRPr="00B93493">
              <w:t>More than 10 MHz</w:t>
            </w:r>
          </w:p>
        </w:tc>
        <w:tc>
          <w:tcPr>
            <w:tcW w:w="3780" w:type="dxa"/>
            <w:tcBorders>
              <w:top w:val="single" w:sz="4" w:space="0" w:color="auto"/>
              <w:left w:val="single" w:sz="4" w:space="0" w:color="auto"/>
              <w:bottom w:val="single" w:sz="4" w:space="0" w:color="auto"/>
            </w:tcBorders>
          </w:tcPr>
          <w:p w14:paraId="0D927057" w14:textId="77777777" w:rsidR="00CF04BC" w:rsidRPr="00B93493" w:rsidRDefault="00CF04BC" w:rsidP="002E7F54">
            <w:pPr>
              <w:pStyle w:val="Tabletext"/>
              <w:jc w:val="center"/>
            </w:pPr>
            <w:r w:rsidRPr="00B93493">
              <w:t>3</w:t>
            </w:r>
          </w:p>
        </w:tc>
      </w:tr>
    </w:tbl>
    <w:p w14:paraId="1C8B9480" w14:textId="77777777" w:rsidR="00CF04BC" w:rsidRPr="00B93493" w:rsidRDefault="00CF04BC" w:rsidP="00CF04BC">
      <w:pPr>
        <w:pStyle w:val="Note"/>
        <w:rPr>
          <w:b/>
        </w:rPr>
      </w:pPr>
      <w:bookmarkStart w:id="2398" w:name="sub_11049"/>
      <w:r w:rsidRPr="00B93493">
        <w:t xml:space="preserve">NOTE – If the authorization for using radio frequencies or radio channels specifies several required bandwidths, then the maximum value of </w:t>
      </w:r>
      <w:r w:rsidRPr="00B93493">
        <w:rPr>
          <w:i/>
        </w:rPr>
        <w:t>B</w:t>
      </w:r>
      <w:r w:rsidRPr="00B93493">
        <w:rPr>
          <w:i/>
          <w:vertAlign w:val="subscript"/>
        </w:rPr>
        <w:t>req</w:t>
      </w:r>
      <w:r w:rsidRPr="00B93493">
        <w:t xml:space="preserve"> is used.</w:t>
      </w:r>
    </w:p>
    <w:p w14:paraId="31CCA1DB" w14:textId="77777777" w:rsidR="00CF04BC" w:rsidRPr="00B93493" w:rsidRDefault="00CF04BC" w:rsidP="00CF04BC">
      <w:bookmarkStart w:id="2399" w:name="sub_11053"/>
      <w:bookmarkEnd w:id="2398"/>
      <w:r w:rsidRPr="00B93493">
        <w:t xml:space="preserve">For calculating </w:t>
      </w:r>
      <w:r w:rsidRPr="00B93493">
        <w:rPr>
          <w:i/>
        </w:rPr>
        <w:t>K</w:t>
      </w:r>
      <w:r w:rsidRPr="00B93493">
        <w:rPr>
          <w:i/>
          <w:vertAlign w:val="subscript"/>
        </w:rPr>
        <w:t>Nf</w:t>
      </w:r>
      <w:r w:rsidRPr="00B93493">
        <w:t xml:space="preserve"> (N) in accordance with 9 and 10 of the Methodology, </w:t>
      </w:r>
      <w:r w:rsidRPr="00B93493">
        <w:rPr>
          <w:i/>
        </w:rPr>
        <w:t>K</w:t>
      </w:r>
      <w:r w:rsidRPr="00B93493">
        <w:rPr>
          <w:i/>
          <w:vertAlign w:val="subscript"/>
        </w:rPr>
        <w:t>Breq</w:t>
      </w:r>
      <w:r w:rsidRPr="00B93493">
        <w:rPr>
          <w:bCs/>
          <w:vertAlign w:val="subscript"/>
        </w:rPr>
        <w:t xml:space="preserve"> </w:t>
      </w:r>
      <w:r w:rsidRPr="00B93493">
        <w:rPr>
          <w:bCs/>
        </w:rPr>
        <w:t xml:space="preserve">= </w:t>
      </w:r>
      <w:r w:rsidRPr="00B93493">
        <w:t>1.</w:t>
      </w:r>
    </w:p>
    <w:p w14:paraId="126A209C" w14:textId="77777777" w:rsidR="00CF04BC" w:rsidRPr="00B93493" w:rsidRDefault="00CF04BC" w:rsidP="00CF04BC">
      <w:pPr>
        <w:rPr>
          <w:b/>
          <w:bCs/>
        </w:rPr>
      </w:pPr>
      <w:r w:rsidRPr="00B93493">
        <w:t xml:space="preserve">For devices generating radio noise and for radio astronomy receivers (intended to receive radio astronomy signals only), </w:t>
      </w:r>
      <w:r w:rsidRPr="00B93493">
        <w:rPr>
          <w:i/>
        </w:rPr>
        <w:t>K</w:t>
      </w:r>
      <w:r w:rsidRPr="00B93493">
        <w:rPr>
          <w:i/>
          <w:vertAlign w:val="subscript"/>
        </w:rPr>
        <w:t>Breq</w:t>
      </w:r>
      <w:r w:rsidRPr="00B93493">
        <w:rPr>
          <w:bCs/>
        </w:rPr>
        <w:t xml:space="preserve"> = </w:t>
      </w:r>
      <w:r w:rsidRPr="00B93493">
        <w:t>0.</w:t>
      </w:r>
    </w:p>
    <w:p w14:paraId="0C71B02E" w14:textId="77777777" w:rsidR="00CF04BC" w:rsidRPr="00B93493" w:rsidRDefault="00CF04BC" w:rsidP="00CF04BC">
      <w:pPr>
        <w:pStyle w:val="TableNo"/>
        <w:rPr>
          <w:b/>
          <w:lang w:eastAsia="zh-CN"/>
        </w:rPr>
      </w:pPr>
      <w:bookmarkStart w:id="2400" w:name="sub_2222"/>
      <w:bookmarkEnd w:id="2399"/>
      <w:r w:rsidRPr="00B93493">
        <w:t xml:space="preserve">TABLE </w:t>
      </w:r>
      <w:bookmarkEnd w:id="2400"/>
      <w:r w:rsidRPr="00B93493">
        <w:t>3</w:t>
      </w:r>
      <w:r>
        <w:rPr>
          <w:rFonts w:hint="eastAsia"/>
          <w:lang w:eastAsia="zh-CN"/>
        </w:rPr>
        <w:t>5</w:t>
      </w:r>
    </w:p>
    <w:p w14:paraId="00808E56" w14:textId="77777777" w:rsidR="00CF04BC" w:rsidRPr="00B93493" w:rsidRDefault="00CF04BC" w:rsidP="00CF04BC">
      <w:pPr>
        <w:pStyle w:val="Tabletitle"/>
      </w:pPr>
      <w:r w:rsidRPr="00B93493">
        <w:t xml:space="preserve">Coefficient depending on the population in the location of the radio system, </w:t>
      </w:r>
      <w:r w:rsidRPr="00B93493">
        <w:br/>
        <w:t xml:space="preserve">taking into account administrative boundaries of the community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49"/>
        <w:gridCol w:w="1789"/>
      </w:tblGrid>
      <w:tr w:rsidR="00CF04BC" w:rsidRPr="00B93493" w14:paraId="511720A1" w14:textId="77777777" w:rsidTr="002E7F54">
        <w:trPr>
          <w:jc w:val="center"/>
        </w:trPr>
        <w:tc>
          <w:tcPr>
            <w:tcW w:w="6149" w:type="dxa"/>
            <w:tcBorders>
              <w:top w:val="single" w:sz="4" w:space="0" w:color="auto"/>
              <w:bottom w:val="single" w:sz="4" w:space="0" w:color="auto"/>
              <w:right w:val="single" w:sz="4" w:space="0" w:color="auto"/>
            </w:tcBorders>
          </w:tcPr>
          <w:p w14:paraId="5EE12081" w14:textId="77777777" w:rsidR="00CF04BC" w:rsidRPr="00B93493" w:rsidRDefault="00CF04BC" w:rsidP="002E7F54">
            <w:pPr>
              <w:pStyle w:val="Tablehead"/>
            </w:pPr>
            <w:r w:rsidRPr="00B93493">
              <w:t>Population (thousands)</w:t>
            </w:r>
          </w:p>
        </w:tc>
        <w:tc>
          <w:tcPr>
            <w:tcW w:w="1789" w:type="dxa"/>
            <w:tcBorders>
              <w:top w:val="single" w:sz="4" w:space="0" w:color="auto"/>
              <w:left w:val="single" w:sz="4" w:space="0" w:color="auto"/>
              <w:bottom w:val="single" w:sz="4" w:space="0" w:color="auto"/>
            </w:tcBorders>
          </w:tcPr>
          <w:p w14:paraId="7DA8D598" w14:textId="77777777" w:rsidR="00CF04BC" w:rsidRPr="00B93493" w:rsidRDefault="00CF04BC" w:rsidP="002E7F54">
            <w:pPr>
              <w:pStyle w:val="Tablehead"/>
              <w:rPr>
                <w:i/>
              </w:rPr>
            </w:pPr>
            <w:r w:rsidRPr="00B93493">
              <w:rPr>
                <w:i/>
              </w:rPr>
              <w:t>K</w:t>
            </w:r>
            <w:r w:rsidRPr="00B93493">
              <w:rPr>
                <w:i/>
                <w:vertAlign w:val="subscript"/>
              </w:rPr>
              <w:t>pop</w:t>
            </w:r>
          </w:p>
        </w:tc>
      </w:tr>
      <w:tr w:rsidR="00CF04BC" w:rsidRPr="00B93493" w14:paraId="7B7F3AA9" w14:textId="77777777" w:rsidTr="002E7F54">
        <w:trPr>
          <w:jc w:val="center"/>
        </w:trPr>
        <w:tc>
          <w:tcPr>
            <w:tcW w:w="6149" w:type="dxa"/>
            <w:tcBorders>
              <w:top w:val="single" w:sz="4" w:space="0" w:color="auto"/>
              <w:bottom w:val="single" w:sz="4" w:space="0" w:color="auto"/>
              <w:right w:val="single" w:sz="4" w:space="0" w:color="auto"/>
            </w:tcBorders>
          </w:tcPr>
          <w:p w14:paraId="7F4B966D" w14:textId="77777777" w:rsidR="00CF04BC" w:rsidRPr="00B93493" w:rsidRDefault="00CF04BC" w:rsidP="002E7F54">
            <w:pPr>
              <w:pStyle w:val="Tabletext"/>
              <w:jc w:val="center"/>
            </w:pPr>
            <w:r w:rsidRPr="00B93493">
              <w:t>Regions of the Far North and equivalent regions</w:t>
            </w:r>
          </w:p>
        </w:tc>
        <w:tc>
          <w:tcPr>
            <w:tcW w:w="1789" w:type="dxa"/>
            <w:tcBorders>
              <w:top w:val="single" w:sz="4" w:space="0" w:color="auto"/>
              <w:left w:val="single" w:sz="4" w:space="0" w:color="auto"/>
              <w:bottom w:val="single" w:sz="4" w:space="0" w:color="auto"/>
            </w:tcBorders>
          </w:tcPr>
          <w:p w14:paraId="11D6E0EA" w14:textId="77777777" w:rsidR="00CF04BC" w:rsidRPr="00B93493" w:rsidRDefault="00CF04BC" w:rsidP="002E7F54">
            <w:pPr>
              <w:pStyle w:val="Tabletext"/>
              <w:jc w:val="center"/>
              <w:rPr>
                <w:color w:val="000000"/>
              </w:rPr>
            </w:pPr>
            <w:r w:rsidRPr="00B93493">
              <w:rPr>
                <w:color w:val="000000"/>
              </w:rPr>
              <w:t>0.5</w:t>
            </w:r>
            <w:hyperlink w:anchor="sub_1111" w:history="1">
              <w:r w:rsidRPr="00B93493">
                <w:rPr>
                  <w:color w:val="000000"/>
                </w:rPr>
                <w:t>*</w:t>
              </w:r>
            </w:hyperlink>
          </w:p>
        </w:tc>
      </w:tr>
      <w:tr w:rsidR="00CF04BC" w:rsidRPr="00B93493" w14:paraId="46A04DC8" w14:textId="77777777" w:rsidTr="002E7F54">
        <w:trPr>
          <w:jc w:val="center"/>
        </w:trPr>
        <w:tc>
          <w:tcPr>
            <w:tcW w:w="6149" w:type="dxa"/>
            <w:tcBorders>
              <w:top w:val="single" w:sz="4" w:space="0" w:color="auto"/>
              <w:bottom w:val="single" w:sz="4" w:space="0" w:color="auto"/>
              <w:right w:val="single" w:sz="4" w:space="0" w:color="auto"/>
            </w:tcBorders>
          </w:tcPr>
          <w:p w14:paraId="5AFA5470" w14:textId="77777777" w:rsidR="00CF04BC" w:rsidRPr="00B93493" w:rsidRDefault="00CF04BC" w:rsidP="002E7F54">
            <w:pPr>
              <w:pStyle w:val="Tabletext"/>
              <w:jc w:val="center"/>
            </w:pPr>
            <w:r w:rsidRPr="00B93493">
              <w:t>Less than 200 and outside of communities</w:t>
            </w:r>
          </w:p>
        </w:tc>
        <w:tc>
          <w:tcPr>
            <w:tcW w:w="1789" w:type="dxa"/>
            <w:tcBorders>
              <w:top w:val="single" w:sz="4" w:space="0" w:color="auto"/>
              <w:left w:val="single" w:sz="4" w:space="0" w:color="auto"/>
              <w:bottom w:val="single" w:sz="4" w:space="0" w:color="auto"/>
            </w:tcBorders>
          </w:tcPr>
          <w:p w14:paraId="50862E05" w14:textId="77777777" w:rsidR="00CF04BC" w:rsidRPr="00B93493" w:rsidRDefault="00CF04BC" w:rsidP="002E7F54">
            <w:pPr>
              <w:pStyle w:val="Tabletext"/>
              <w:jc w:val="center"/>
              <w:rPr>
                <w:color w:val="000000"/>
              </w:rPr>
            </w:pPr>
            <w:r w:rsidRPr="00B93493">
              <w:rPr>
                <w:color w:val="000000"/>
              </w:rPr>
              <w:t>0.9</w:t>
            </w:r>
            <w:hyperlink w:anchor="sub_1111" w:history="1">
              <w:r w:rsidRPr="00B93493">
                <w:rPr>
                  <w:color w:val="000000"/>
                </w:rPr>
                <w:t>*</w:t>
              </w:r>
            </w:hyperlink>
          </w:p>
        </w:tc>
      </w:tr>
      <w:tr w:rsidR="00CF04BC" w:rsidRPr="00B93493" w14:paraId="2A8E34D0" w14:textId="77777777" w:rsidTr="002E7F54">
        <w:trPr>
          <w:jc w:val="center"/>
        </w:trPr>
        <w:tc>
          <w:tcPr>
            <w:tcW w:w="6149" w:type="dxa"/>
            <w:tcBorders>
              <w:top w:val="single" w:sz="4" w:space="0" w:color="auto"/>
              <w:bottom w:val="single" w:sz="4" w:space="0" w:color="auto"/>
              <w:right w:val="single" w:sz="4" w:space="0" w:color="auto"/>
            </w:tcBorders>
          </w:tcPr>
          <w:p w14:paraId="0ED4D4F1" w14:textId="77777777" w:rsidR="00CF04BC" w:rsidRPr="00B93493" w:rsidRDefault="00CF04BC" w:rsidP="002E7F54">
            <w:pPr>
              <w:pStyle w:val="Tabletext"/>
              <w:jc w:val="center"/>
            </w:pPr>
            <w:r w:rsidRPr="00B93493">
              <w:t>200-1 000</w:t>
            </w:r>
          </w:p>
        </w:tc>
        <w:tc>
          <w:tcPr>
            <w:tcW w:w="1789" w:type="dxa"/>
            <w:tcBorders>
              <w:top w:val="single" w:sz="4" w:space="0" w:color="auto"/>
              <w:left w:val="single" w:sz="4" w:space="0" w:color="auto"/>
              <w:bottom w:val="single" w:sz="4" w:space="0" w:color="auto"/>
            </w:tcBorders>
          </w:tcPr>
          <w:p w14:paraId="15F9C884" w14:textId="77777777" w:rsidR="00CF04BC" w:rsidRPr="00B93493" w:rsidRDefault="00CF04BC" w:rsidP="002E7F54">
            <w:pPr>
              <w:pStyle w:val="Tabletext"/>
              <w:jc w:val="center"/>
            </w:pPr>
            <w:r w:rsidRPr="00B93493">
              <w:t>1</w:t>
            </w:r>
          </w:p>
        </w:tc>
      </w:tr>
      <w:tr w:rsidR="00CF04BC" w:rsidRPr="00B93493" w14:paraId="0F748BCB" w14:textId="77777777" w:rsidTr="002E7F54">
        <w:trPr>
          <w:jc w:val="center"/>
        </w:trPr>
        <w:tc>
          <w:tcPr>
            <w:tcW w:w="6149" w:type="dxa"/>
            <w:tcBorders>
              <w:top w:val="single" w:sz="4" w:space="0" w:color="auto"/>
              <w:bottom w:val="single" w:sz="4" w:space="0" w:color="auto"/>
              <w:right w:val="single" w:sz="4" w:space="0" w:color="auto"/>
            </w:tcBorders>
          </w:tcPr>
          <w:p w14:paraId="2C8CE6A1" w14:textId="77777777" w:rsidR="00CF04BC" w:rsidRPr="00B93493" w:rsidRDefault="00CF04BC" w:rsidP="002E7F54">
            <w:pPr>
              <w:pStyle w:val="Tabletext"/>
              <w:jc w:val="center"/>
            </w:pPr>
            <w:r w:rsidRPr="00B93493">
              <w:t>1 000-3 000</w:t>
            </w:r>
          </w:p>
        </w:tc>
        <w:tc>
          <w:tcPr>
            <w:tcW w:w="1789" w:type="dxa"/>
            <w:tcBorders>
              <w:top w:val="single" w:sz="4" w:space="0" w:color="auto"/>
              <w:left w:val="single" w:sz="4" w:space="0" w:color="auto"/>
              <w:bottom w:val="single" w:sz="4" w:space="0" w:color="auto"/>
            </w:tcBorders>
          </w:tcPr>
          <w:p w14:paraId="34788AE0" w14:textId="77777777" w:rsidR="00CF04BC" w:rsidRPr="00B93493" w:rsidRDefault="00CF04BC" w:rsidP="002E7F54">
            <w:pPr>
              <w:pStyle w:val="Tabletext"/>
              <w:jc w:val="center"/>
            </w:pPr>
            <w:r w:rsidRPr="00B93493">
              <w:t>1.1</w:t>
            </w:r>
          </w:p>
        </w:tc>
      </w:tr>
      <w:tr w:rsidR="00CF04BC" w:rsidRPr="00B93493" w14:paraId="6B7201D2" w14:textId="77777777" w:rsidTr="002E7F54">
        <w:trPr>
          <w:jc w:val="center"/>
        </w:trPr>
        <w:tc>
          <w:tcPr>
            <w:tcW w:w="6149" w:type="dxa"/>
            <w:tcBorders>
              <w:top w:val="single" w:sz="4" w:space="0" w:color="auto"/>
              <w:bottom w:val="single" w:sz="4" w:space="0" w:color="auto"/>
              <w:right w:val="single" w:sz="4" w:space="0" w:color="auto"/>
            </w:tcBorders>
          </w:tcPr>
          <w:p w14:paraId="0523AB1D" w14:textId="77777777" w:rsidR="00CF04BC" w:rsidRPr="00B93493" w:rsidRDefault="00CF04BC" w:rsidP="002E7F54">
            <w:pPr>
              <w:pStyle w:val="Tabletext"/>
              <w:jc w:val="center"/>
            </w:pPr>
            <w:r w:rsidRPr="00B93493">
              <w:t>More than 3 000</w:t>
            </w:r>
          </w:p>
        </w:tc>
        <w:tc>
          <w:tcPr>
            <w:tcW w:w="1789" w:type="dxa"/>
            <w:tcBorders>
              <w:top w:val="single" w:sz="4" w:space="0" w:color="auto"/>
              <w:left w:val="single" w:sz="4" w:space="0" w:color="auto"/>
              <w:bottom w:val="single" w:sz="4" w:space="0" w:color="auto"/>
            </w:tcBorders>
          </w:tcPr>
          <w:p w14:paraId="44682C23" w14:textId="77777777" w:rsidR="00CF04BC" w:rsidRPr="00B93493" w:rsidRDefault="00CF04BC" w:rsidP="002E7F54">
            <w:pPr>
              <w:pStyle w:val="Tabletext"/>
              <w:jc w:val="center"/>
            </w:pPr>
            <w:r w:rsidRPr="00B93493">
              <w:t>1.2</w:t>
            </w:r>
          </w:p>
        </w:tc>
      </w:tr>
    </w:tbl>
    <w:p w14:paraId="0FBCBD98" w14:textId="77777777" w:rsidR="00CF04BC" w:rsidRPr="00B93493" w:rsidRDefault="00CF04BC" w:rsidP="00CF04BC">
      <w:pPr>
        <w:pStyle w:val="Tablefin"/>
      </w:pPr>
    </w:p>
    <w:p w14:paraId="56C21DB3" w14:textId="6D111415" w:rsidR="00CF04BC" w:rsidRPr="00B93493" w:rsidRDefault="00C0502F" w:rsidP="00CF04BC">
      <w:pPr>
        <w:pStyle w:val="Note"/>
      </w:pPr>
      <w:r w:rsidRPr="00B93493">
        <w:t xml:space="preserve">NOTE </w:t>
      </w:r>
      <w:r w:rsidR="00CF04BC" w:rsidRPr="00B93493">
        <w:t xml:space="preserve">1 – For users who are authorized to use the radio spectrum for state administration including presidential and government communications, national defense, state security and law enforcement, </w:t>
      </w:r>
      <w:r w:rsidR="00CF04BC" w:rsidRPr="00B93493">
        <w:rPr>
          <w:i/>
        </w:rPr>
        <w:t>K</w:t>
      </w:r>
      <w:r w:rsidR="00CF04BC" w:rsidRPr="00B93493">
        <w:rPr>
          <w:i/>
          <w:vertAlign w:val="subscript"/>
        </w:rPr>
        <w:t>pop</w:t>
      </w:r>
      <w:r w:rsidR="00CF04BC" w:rsidRPr="00B93493">
        <w:rPr>
          <w:i/>
        </w:rPr>
        <w:t> </w:t>
      </w:r>
      <w:r w:rsidR="00CF04BC" w:rsidRPr="00B93493">
        <w:t>= 0.5.</w:t>
      </w:r>
    </w:p>
    <w:p w14:paraId="6FFA3FAE" w14:textId="77777777" w:rsidR="00CF04BC" w:rsidRPr="00B93493" w:rsidRDefault="00CF04BC" w:rsidP="00CF04BC">
      <w:r w:rsidRPr="00B93493">
        <w:t xml:space="preserve">If geographic coordinates are not specified in the frequency-territorial plan of the authorization, then </w:t>
      </w:r>
      <w:r w:rsidRPr="00B93493">
        <w:rPr>
          <w:i/>
        </w:rPr>
        <w:t>K</w:t>
      </w:r>
      <w:r w:rsidRPr="00B93493">
        <w:rPr>
          <w:i/>
          <w:vertAlign w:val="subscript"/>
        </w:rPr>
        <w:t>pop</w:t>
      </w:r>
      <w:r w:rsidRPr="00B93493">
        <w:rPr>
          <w:vertAlign w:val="subscript"/>
        </w:rPr>
        <w:t xml:space="preserve"> </w:t>
      </w:r>
      <w:r w:rsidRPr="00B93493">
        <w:t>is applied according to the maximum population in the territory where the system is used.</w:t>
      </w:r>
    </w:p>
    <w:p w14:paraId="6E69E660" w14:textId="77777777" w:rsidR="00CF04BC" w:rsidRPr="00B93493" w:rsidRDefault="00CF04BC" w:rsidP="00CF04BC">
      <w:bookmarkStart w:id="2401" w:name="sub_1111"/>
      <w:r w:rsidRPr="00B93493">
        <w:t xml:space="preserve">* When distributing Russian-wide mandatory public TV and sound broadcasting channels, </w:t>
      </w:r>
      <w:r w:rsidRPr="00B93493">
        <w:rPr>
          <w:i/>
        </w:rPr>
        <w:t>K</w:t>
      </w:r>
      <w:r w:rsidRPr="00B93493">
        <w:rPr>
          <w:i/>
          <w:vertAlign w:val="subscript"/>
        </w:rPr>
        <w:t>pop </w:t>
      </w:r>
      <w:r w:rsidRPr="00B93493">
        <w:t>=0.3.</w:t>
      </w:r>
    </w:p>
    <w:bookmarkEnd w:id="2401"/>
    <w:p w14:paraId="6FB7EDEE" w14:textId="77777777" w:rsidR="00CF04BC" w:rsidRPr="00B93493" w:rsidRDefault="00CF04BC" w:rsidP="00CF04BC">
      <w:pPr>
        <w:pStyle w:val="TableNo"/>
        <w:rPr>
          <w:b/>
          <w:lang w:eastAsia="zh-CN"/>
        </w:rPr>
      </w:pPr>
      <w:r w:rsidRPr="00B93493">
        <w:t>TABLE 3</w:t>
      </w:r>
      <w:r>
        <w:rPr>
          <w:rFonts w:hint="eastAsia"/>
          <w:lang w:eastAsia="zh-CN"/>
        </w:rPr>
        <w:t>6</w:t>
      </w:r>
    </w:p>
    <w:p w14:paraId="7E2FA371" w14:textId="77777777" w:rsidR="00CF04BC" w:rsidRPr="00B93493" w:rsidRDefault="00CF04BC" w:rsidP="00CF04BC">
      <w:pPr>
        <w:pStyle w:val="Tabletitle"/>
      </w:pPr>
      <w:r w:rsidRPr="00B93493">
        <w:t>Coefficients depending on the social factors for the implemented technology</w:t>
      </w:r>
    </w:p>
    <w:tbl>
      <w:tblPr>
        <w:tblW w:w="97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60"/>
        <w:gridCol w:w="1516"/>
      </w:tblGrid>
      <w:tr w:rsidR="00CF04BC" w:rsidRPr="00B93493" w14:paraId="3F31707E" w14:textId="77777777" w:rsidTr="002E7F54">
        <w:trPr>
          <w:jc w:val="center"/>
        </w:trPr>
        <w:tc>
          <w:tcPr>
            <w:tcW w:w="8260" w:type="dxa"/>
            <w:tcBorders>
              <w:top w:val="single" w:sz="4" w:space="0" w:color="auto"/>
              <w:bottom w:val="single" w:sz="4" w:space="0" w:color="auto"/>
              <w:right w:val="single" w:sz="4" w:space="0" w:color="auto"/>
            </w:tcBorders>
          </w:tcPr>
          <w:p w14:paraId="049E1A1E" w14:textId="77777777" w:rsidR="00CF04BC" w:rsidRPr="00B93493" w:rsidRDefault="00CF04BC" w:rsidP="002E7F54">
            <w:pPr>
              <w:pStyle w:val="Tablehead"/>
            </w:pPr>
            <w:r w:rsidRPr="00B93493">
              <w:t>Social factors</w:t>
            </w:r>
          </w:p>
        </w:tc>
        <w:tc>
          <w:tcPr>
            <w:tcW w:w="1516" w:type="dxa"/>
            <w:tcBorders>
              <w:top w:val="single" w:sz="4" w:space="0" w:color="auto"/>
              <w:left w:val="single" w:sz="4" w:space="0" w:color="auto"/>
              <w:bottom w:val="single" w:sz="4" w:space="0" w:color="auto"/>
            </w:tcBorders>
          </w:tcPr>
          <w:p w14:paraId="405CB250" w14:textId="77777777" w:rsidR="00CF04BC" w:rsidRPr="00B93493" w:rsidRDefault="00CF04BC" w:rsidP="002E7F54">
            <w:pPr>
              <w:pStyle w:val="Tablehead"/>
              <w:rPr>
                <w:i/>
              </w:rPr>
            </w:pPr>
            <w:r w:rsidRPr="00B93493">
              <w:rPr>
                <w:i/>
              </w:rPr>
              <w:t>K</w:t>
            </w:r>
            <w:r w:rsidRPr="00B93493">
              <w:rPr>
                <w:i/>
                <w:vertAlign w:val="subscript"/>
              </w:rPr>
              <w:t>soc</w:t>
            </w:r>
          </w:p>
        </w:tc>
      </w:tr>
      <w:tr w:rsidR="00CF04BC" w:rsidRPr="00B93493" w14:paraId="7EF59BB4" w14:textId="77777777" w:rsidTr="002E7F54">
        <w:trPr>
          <w:jc w:val="center"/>
        </w:trPr>
        <w:tc>
          <w:tcPr>
            <w:tcW w:w="8260" w:type="dxa"/>
            <w:tcBorders>
              <w:top w:val="single" w:sz="4" w:space="0" w:color="auto"/>
              <w:bottom w:val="single" w:sz="4" w:space="0" w:color="auto"/>
              <w:right w:val="single" w:sz="4" w:space="0" w:color="auto"/>
            </w:tcBorders>
          </w:tcPr>
          <w:p w14:paraId="66B56BE9" w14:textId="77777777" w:rsidR="00CF04BC" w:rsidRPr="00B93493" w:rsidRDefault="00CF04BC" w:rsidP="00C65E6B">
            <w:pPr>
              <w:pStyle w:val="Tabletext"/>
              <w:jc w:val="left"/>
            </w:pPr>
            <w:r w:rsidRPr="00B93493">
              <w:t>Technology used to ensure public safety including emergency situations</w:t>
            </w:r>
            <w:hyperlink w:anchor="sub_111" w:history="1">
              <w:r w:rsidRPr="00B93493">
                <w:rPr>
                  <w:color w:val="000000"/>
                </w:rPr>
                <w:t>*</w:t>
              </w:r>
            </w:hyperlink>
          </w:p>
        </w:tc>
        <w:tc>
          <w:tcPr>
            <w:tcW w:w="1516" w:type="dxa"/>
            <w:tcBorders>
              <w:top w:val="single" w:sz="4" w:space="0" w:color="auto"/>
              <w:left w:val="single" w:sz="4" w:space="0" w:color="auto"/>
              <w:bottom w:val="single" w:sz="4" w:space="0" w:color="auto"/>
            </w:tcBorders>
          </w:tcPr>
          <w:p w14:paraId="58F9B730" w14:textId="77777777" w:rsidR="00CF04BC" w:rsidRPr="00B93493" w:rsidRDefault="00CF04BC" w:rsidP="002E7F54">
            <w:pPr>
              <w:pStyle w:val="Tabletext"/>
              <w:jc w:val="center"/>
            </w:pPr>
            <w:r w:rsidRPr="00B93493">
              <w:t>0.3</w:t>
            </w:r>
          </w:p>
        </w:tc>
      </w:tr>
      <w:tr w:rsidR="00CF04BC" w:rsidRPr="00B93493" w14:paraId="51A6ECFA" w14:textId="77777777" w:rsidTr="002E7F54">
        <w:trPr>
          <w:jc w:val="center"/>
        </w:trPr>
        <w:tc>
          <w:tcPr>
            <w:tcW w:w="8260" w:type="dxa"/>
            <w:tcBorders>
              <w:top w:val="single" w:sz="4" w:space="0" w:color="auto"/>
              <w:bottom w:val="single" w:sz="4" w:space="0" w:color="auto"/>
              <w:right w:val="single" w:sz="4" w:space="0" w:color="auto"/>
            </w:tcBorders>
          </w:tcPr>
          <w:p w14:paraId="2F633E7B" w14:textId="77777777" w:rsidR="00CF04BC" w:rsidRPr="00B93493" w:rsidRDefault="00CF04BC" w:rsidP="00C65E6B">
            <w:pPr>
              <w:pStyle w:val="Tabletext"/>
              <w:jc w:val="left"/>
            </w:pPr>
            <w:bookmarkStart w:id="2402" w:name="sub_11050"/>
            <w:r w:rsidRPr="00B93493">
              <w:t>Technology used by civil purpose systems for railway radio communications (including radio communications for access railways) in the bands 2 124-2 136 kHz (nominal frequency 2 130 kHz); 2 144-2 156 kHz (nominal frequency 2 150 kHz); 151.7125-154.0125 MHz; 154.9875-156.0125 MHz; 307.0-307.4625 MHz; 343.0-343.4625 MHz</w:t>
            </w:r>
            <w:bookmarkEnd w:id="2402"/>
          </w:p>
        </w:tc>
        <w:tc>
          <w:tcPr>
            <w:tcW w:w="1516" w:type="dxa"/>
            <w:tcBorders>
              <w:top w:val="single" w:sz="4" w:space="0" w:color="auto"/>
              <w:left w:val="single" w:sz="4" w:space="0" w:color="auto"/>
              <w:bottom w:val="single" w:sz="4" w:space="0" w:color="auto"/>
            </w:tcBorders>
          </w:tcPr>
          <w:p w14:paraId="0D60B25A" w14:textId="77777777" w:rsidR="00CF04BC" w:rsidRPr="00B93493" w:rsidRDefault="00CF04BC" w:rsidP="002E7F54">
            <w:pPr>
              <w:pStyle w:val="Tabletext"/>
              <w:jc w:val="center"/>
            </w:pPr>
            <w:r w:rsidRPr="00B93493">
              <w:t>0.5</w:t>
            </w:r>
          </w:p>
        </w:tc>
      </w:tr>
      <w:tr w:rsidR="00CF04BC" w:rsidRPr="00B93493" w14:paraId="66F8815A" w14:textId="77777777" w:rsidTr="002E7F54">
        <w:trPr>
          <w:jc w:val="center"/>
        </w:trPr>
        <w:tc>
          <w:tcPr>
            <w:tcW w:w="8260" w:type="dxa"/>
            <w:tcBorders>
              <w:top w:val="single" w:sz="4" w:space="0" w:color="auto"/>
              <w:bottom w:val="single" w:sz="4" w:space="0" w:color="auto"/>
              <w:right w:val="single" w:sz="4" w:space="0" w:color="auto"/>
            </w:tcBorders>
          </w:tcPr>
          <w:p w14:paraId="0BDE1B33" w14:textId="77777777" w:rsidR="00CF04BC" w:rsidRPr="00B93493" w:rsidRDefault="00CF04BC" w:rsidP="00C65E6B">
            <w:pPr>
              <w:pStyle w:val="Tabletext"/>
              <w:jc w:val="left"/>
            </w:pPr>
            <w:bookmarkStart w:id="2403" w:name="sub_11051"/>
            <w:r w:rsidRPr="00B93493">
              <w:t>Technology used by radio extenders of telephone channels, and radio telephone systems “Altai” and “Actionet</w:t>
            </w:r>
            <w:bookmarkEnd w:id="2403"/>
            <w:r w:rsidRPr="00B93493">
              <w:t>”</w:t>
            </w:r>
          </w:p>
        </w:tc>
        <w:tc>
          <w:tcPr>
            <w:tcW w:w="1516" w:type="dxa"/>
            <w:tcBorders>
              <w:top w:val="single" w:sz="4" w:space="0" w:color="auto"/>
              <w:left w:val="single" w:sz="4" w:space="0" w:color="auto"/>
              <w:bottom w:val="single" w:sz="4" w:space="0" w:color="auto"/>
            </w:tcBorders>
          </w:tcPr>
          <w:p w14:paraId="62C627FA" w14:textId="77777777" w:rsidR="00CF04BC" w:rsidRPr="00B93493" w:rsidRDefault="00CF04BC" w:rsidP="002E7F54">
            <w:pPr>
              <w:pStyle w:val="Tabletext"/>
              <w:jc w:val="center"/>
            </w:pPr>
            <w:r w:rsidRPr="00B93493">
              <w:t>0.3</w:t>
            </w:r>
          </w:p>
        </w:tc>
      </w:tr>
      <w:tr w:rsidR="00CF04BC" w:rsidRPr="00B93493" w14:paraId="4C967D50" w14:textId="77777777" w:rsidTr="002E7F54">
        <w:trPr>
          <w:jc w:val="center"/>
        </w:trPr>
        <w:tc>
          <w:tcPr>
            <w:tcW w:w="8260" w:type="dxa"/>
            <w:tcBorders>
              <w:top w:val="single" w:sz="4" w:space="0" w:color="auto"/>
              <w:bottom w:val="single" w:sz="4" w:space="0" w:color="auto"/>
              <w:right w:val="single" w:sz="4" w:space="0" w:color="auto"/>
            </w:tcBorders>
          </w:tcPr>
          <w:p w14:paraId="66874A3C" w14:textId="77777777" w:rsidR="00CF04BC" w:rsidRPr="00B93493" w:rsidRDefault="00CF04BC" w:rsidP="00C65E6B">
            <w:pPr>
              <w:pStyle w:val="Tabletext"/>
              <w:jc w:val="left"/>
            </w:pPr>
            <w:r w:rsidRPr="00B93493">
              <w:t>Technology used for terrestrial and satellite TV and sound broadcasting to distribute mandatory public TV and sound programs</w:t>
            </w:r>
          </w:p>
        </w:tc>
        <w:tc>
          <w:tcPr>
            <w:tcW w:w="1516" w:type="dxa"/>
            <w:tcBorders>
              <w:top w:val="single" w:sz="4" w:space="0" w:color="auto"/>
              <w:left w:val="single" w:sz="4" w:space="0" w:color="auto"/>
              <w:bottom w:val="single" w:sz="4" w:space="0" w:color="auto"/>
            </w:tcBorders>
          </w:tcPr>
          <w:p w14:paraId="6F37D941" w14:textId="77777777" w:rsidR="00CF04BC" w:rsidRPr="00B93493" w:rsidRDefault="00CF04BC" w:rsidP="002E7F54">
            <w:pPr>
              <w:pStyle w:val="Tabletext"/>
              <w:jc w:val="center"/>
            </w:pPr>
            <w:r w:rsidRPr="00B93493">
              <w:t>0.3</w:t>
            </w:r>
          </w:p>
        </w:tc>
      </w:tr>
      <w:tr w:rsidR="00CF04BC" w:rsidRPr="00B93493" w14:paraId="1386777E" w14:textId="77777777" w:rsidTr="002E7F54">
        <w:trPr>
          <w:jc w:val="center"/>
        </w:trPr>
        <w:tc>
          <w:tcPr>
            <w:tcW w:w="8260" w:type="dxa"/>
            <w:tcBorders>
              <w:top w:val="single" w:sz="4" w:space="0" w:color="auto"/>
              <w:bottom w:val="single" w:sz="4" w:space="0" w:color="auto"/>
              <w:right w:val="single" w:sz="4" w:space="0" w:color="auto"/>
            </w:tcBorders>
          </w:tcPr>
          <w:p w14:paraId="445232B7" w14:textId="77777777" w:rsidR="00CF04BC" w:rsidRPr="00B93493" w:rsidRDefault="00CF04BC" w:rsidP="00C65E6B">
            <w:pPr>
              <w:pStyle w:val="Tabletext"/>
              <w:jc w:val="left"/>
            </w:pPr>
            <w:bookmarkStart w:id="2404" w:name="sub_13052"/>
            <w:r w:rsidRPr="00B93493">
              <w:t>Wireless radio access technology of IEEE 802.11</w:t>
            </w:r>
            <w:bookmarkEnd w:id="2404"/>
            <w:r w:rsidRPr="00B93493">
              <w:t xml:space="preserve"> series</w:t>
            </w:r>
          </w:p>
        </w:tc>
        <w:tc>
          <w:tcPr>
            <w:tcW w:w="1516" w:type="dxa"/>
            <w:tcBorders>
              <w:top w:val="single" w:sz="4" w:space="0" w:color="auto"/>
              <w:left w:val="single" w:sz="4" w:space="0" w:color="auto"/>
              <w:bottom w:val="single" w:sz="4" w:space="0" w:color="auto"/>
            </w:tcBorders>
          </w:tcPr>
          <w:p w14:paraId="2070695A" w14:textId="77777777" w:rsidR="00CF04BC" w:rsidRPr="00B93493" w:rsidRDefault="00CF04BC" w:rsidP="002E7F54">
            <w:pPr>
              <w:pStyle w:val="Tabletext"/>
              <w:jc w:val="center"/>
            </w:pPr>
            <w:r w:rsidRPr="00B93493">
              <w:t>0.1</w:t>
            </w:r>
          </w:p>
        </w:tc>
      </w:tr>
      <w:tr w:rsidR="00CF04BC" w:rsidRPr="00B93493" w14:paraId="5422C253" w14:textId="77777777" w:rsidTr="002E7F54">
        <w:trPr>
          <w:jc w:val="center"/>
        </w:trPr>
        <w:tc>
          <w:tcPr>
            <w:tcW w:w="8260" w:type="dxa"/>
            <w:tcBorders>
              <w:top w:val="single" w:sz="4" w:space="0" w:color="auto"/>
              <w:bottom w:val="single" w:sz="4" w:space="0" w:color="auto"/>
              <w:right w:val="single" w:sz="4" w:space="0" w:color="auto"/>
            </w:tcBorders>
          </w:tcPr>
          <w:p w14:paraId="28A2CF6D" w14:textId="77777777" w:rsidR="00CF04BC" w:rsidRPr="00B93493" w:rsidRDefault="00CF04BC" w:rsidP="00C65E6B">
            <w:pPr>
              <w:pStyle w:val="Tabletext"/>
              <w:jc w:val="left"/>
            </w:pPr>
            <w:r w:rsidRPr="00B93493">
              <w:t>Earth stations of satellite system (ESSS) and VSAT Hub (Central) stations</w:t>
            </w:r>
          </w:p>
        </w:tc>
        <w:tc>
          <w:tcPr>
            <w:tcW w:w="1516" w:type="dxa"/>
            <w:tcBorders>
              <w:top w:val="single" w:sz="4" w:space="0" w:color="auto"/>
              <w:left w:val="single" w:sz="4" w:space="0" w:color="auto"/>
              <w:bottom w:val="single" w:sz="4" w:space="0" w:color="auto"/>
            </w:tcBorders>
          </w:tcPr>
          <w:p w14:paraId="08FC5A59" w14:textId="77777777" w:rsidR="00CF04BC" w:rsidRPr="00B93493" w:rsidRDefault="00CF04BC" w:rsidP="002E7F54">
            <w:pPr>
              <w:pStyle w:val="Tabletext"/>
              <w:jc w:val="center"/>
            </w:pPr>
            <w:r w:rsidRPr="00B93493">
              <w:t>0.1</w:t>
            </w:r>
          </w:p>
        </w:tc>
      </w:tr>
      <w:tr w:rsidR="00CF04BC" w:rsidRPr="00B93493" w14:paraId="3C20E049" w14:textId="77777777" w:rsidTr="002E7F54">
        <w:trPr>
          <w:jc w:val="center"/>
        </w:trPr>
        <w:tc>
          <w:tcPr>
            <w:tcW w:w="8260" w:type="dxa"/>
            <w:tcBorders>
              <w:top w:val="single" w:sz="4" w:space="0" w:color="auto"/>
              <w:bottom w:val="single" w:sz="4" w:space="0" w:color="auto"/>
              <w:right w:val="single" w:sz="4" w:space="0" w:color="auto"/>
            </w:tcBorders>
          </w:tcPr>
          <w:p w14:paraId="5485DA9E" w14:textId="77777777" w:rsidR="00CF04BC" w:rsidRPr="00B93493" w:rsidRDefault="00CF04BC" w:rsidP="00C65E6B">
            <w:pPr>
              <w:pStyle w:val="Tabletext"/>
              <w:jc w:val="left"/>
            </w:pPr>
            <w:r w:rsidRPr="00B93493">
              <w:t>Systems in amateur service (amateur repeater and amateur radio beacon)</w:t>
            </w:r>
          </w:p>
        </w:tc>
        <w:tc>
          <w:tcPr>
            <w:tcW w:w="1516" w:type="dxa"/>
            <w:tcBorders>
              <w:top w:val="single" w:sz="4" w:space="0" w:color="auto"/>
              <w:left w:val="single" w:sz="4" w:space="0" w:color="auto"/>
              <w:bottom w:val="single" w:sz="4" w:space="0" w:color="auto"/>
            </w:tcBorders>
          </w:tcPr>
          <w:p w14:paraId="2E20D1E4" w14:textId="77777777" w:rsidR="00CF04BC" w:rsidRPr="00B93493" w:rsidRDefault="00CF04BC" w:rsidP="002E7F54">
            <w:pPr>
              <w:pStyle w:val="Tabletext"/>
              <w:jc w:val="center"/>
            </w:pPr>
            <w:r w:rsidRPr="00B93493">
              <w:t>0.1</w:t>
            </w:r>
          </w:p>
        </w:tc>
      </w:tr>
      <w:tr w:rsidR="00CF04BC" w:rsidRPr="00B93493" w14:paraId="7667DCE5" w14:textId="77777777" w:rsidTr="002E7F54">
        <w:trPr>
          <w:jc w:val="center"/>
        </w:trPr>
        <w:tc>
          <w:tcPr>
            <w:tcW w:w="8260" w:type="dxa"/>
            <w:tcBorders>
              <w:top w:val="single" w:sz="4" w:space="0" w:color="auto"/>
              <w:bottom w:val="single" w:sz="4" w:space="0" w:color="auto"/>
              <w:right w:val="single" w:sz="4" w:space="0" w:color="auto"/>
            </w:tcBorders>
          </w:tcPr>
          <w:p w14:paraId="54491CCC" w14:textId="77777777" w:rsidR="00CF04BC" w:rsidRPr="00B93493" w:rsidRDefault="00CF04BC" w:rsidP="00C65E6B">
            <w:pPr>
              <w:pStyle w:val="Tabletext"/>
              <w:jc w:val="left"/>
            </w:pPr>
            <w:r w:rsidRPr="00B93493">
              <w:t xml:space="preserve">Technology used for LF, MF and HF broadcasting in the territory of other states in accordance with a season schedule </w:t>
            </w:r>
          </w:p>
        </w:tc>
        <w:tc>
          <w:tcPr>
            <w:tcW w:w="1516" w:type="dxa"/>
            <w:tcBorders>
              <w:top w:val="single" w:sz="4" w:space="0" w:color="auto"/>
              <w:left w:val="single" w:sz="4" w:space="0" w:color="auto"/>
              <w:bottom w:val="single" w:sz="4" w:space="0" w:color="auto"/>
            </w:tcBorders>
          </w:tcPr>
          <w:p w14:paraId="13E29481" w14:textId="77777777" w:rsidR="00CF04BC" w:rsidRPr="00B93493" w:rsidRDefault="00CF04BC" w:rsidP="002E7F54">
            <w:pPr>
              <w:pStyle w:val="Tabletext"/>
              <w:jc w:val="center"/>
            </w:pPr>
            <w:r w:rsidRPr="00B93493">
              <w:t>0.01</w:t>
            </w:r>
          </w:p>
        </w:tc>
      </w:tr>
      <w:tr w:rsidR="00CF04BC" w:rsidRPr="00B93493" w14:paraId="16714DFC" w14:textId="77777777" w:rsidTr="002E7F54">
        <w:trPr>
          <w:jc w:val="center"/>
        </w:trPr>
        <w:tc>
          <w:tcPr>
            <w:tcW w:w="8260" w:type="dxa"/>
            <w:tcBorders>
              <w:top w:val="single" w:sz="4" w:space="0" w:color="auto"/>
              <w:bottom w:val="single" w:sz="4" w:space="0" w:color="auto"/>
              <w:right w:val="single" w:sz="4" w:space="0" w:color="auto"/>
            </w:tcBorders>
          </w:tcPr>
          <w:p w14:paraId="09923AB3" w14:textId="77777777" w:rsidR="00CF04BC" w:rsidRPr="00B93493" w:rsidRDefault="00CF04BC" w:rsidP="00C65E6B">
            <w:pPr>
              <w:pStyle w:val="Tabletext"/>
              <w:jc w:val="left"/>
            </w:pPr>
            <w:r w:rsidRPr="00B93493">
              <w:t>Radio stations of digital wireless systems (DECT)</w:t>
            </w:r>
          </w:p>
        </w:tc>
        <w:tc>
          <w:tcPr>
            <w:tcW w:w="1516" w:type="dxa"/>
            <w:tcBorders>
              <w:top w:val="single" w:sz="4" w:space="0" w:color="auto"/>
              <w:left w:val="single" w:sz="4" w:space="0" w:color="auto"/>
              <w:bottom w:val="single" w:sz="4" w:space="0" w:color="auto"/>
            </w:tcBorders>
          </w:tcPr>
          <w:p w14:paraId="49E2A218" w14:textId="77777777" w:rsidR="00CF04BC" w:rsidRPr="00B93493" w:rsidRDefault="00CF04BC" w:rsidP="002E7F54">
            <w:pPr>
              <w:pStyle w:val="Tabletext"/>
              <w:jc w:val="center"/>
            </w:pPr>
            <w:r w:rsidRPr="00B93493">
              <w:t>0.01</w:t>
            </w:r>
          </w:p>
        </w:tc>
      </w:tr>
      <w:tr w:rsidR="00CF04BC" w:rsidRPr="00B93493" w14:paraId="56BA663F" w14:textId="77777777" w:rsidTr="002E7F54">
        <w:trPr>
          <w:jc w:val="center"/>
        </w:trPr>
        <w:tc>
          <w:tcPr>
            <w:tcW w:w="8260" w:type="dxa"/>
            <w:tcBorders>
              <w:top w:val="single" w:sz="4" w:space="0" w:color="auto"/>
              <w:bottom w:val="single" w:sz="4" w:space="0" w:color="auto"/>
              <w:right w:val="single" w:sz="4" w:space="0" w:color="auto"/>
            </w:tcBorders>
          </w:tcPr>
          <w:p w14:paraId="13C9792B" w14:textId="77777777" w:rsidR="00CF04BC" w:rsidRPr="00B93493" w:rsidRDefault="00CF04BC" w:rsidP="00C65E6B">
            <w:pPr>
              <w:pStyle w:val="Tabletext"/>
              <w:jc w:val="left"/>
            </w:pPr>
            <w:r w:rsidRPr="00B93493">
              <w:t>Radars</w:t>
            </w:r>
          </w:p>
        </w:tc>
        <w:tc>
          <w:tcPr>
            <w:tcW w:w="1516" w:type="dxa"/>
            <w:tcBorders>
              <w:top w:val="single" w:sz="4" w:space="0" w:color="auto"/>
              <w:left w:val="single" w:sz="4" w:space="0" w:color="auto"/>
              <w:bottom w:val="single" w:sz="4" w:space="0" w:color="auto"/>
            </w:tcBorders>
          </w:tcPr>
          <w:p w14:paraId="333A1813" w14:textId="77777777" w:rsidR="00CF04BC" w:rsidRPr="00B93493" w:rsidRDefault="00CF04BC" w:rsidP="002E7F54">
            <w:pPr>
              <w:pStyle w:val="Tabletext"/>
              <w:jc w:val="center"/>
            </w:pPr>
            <w:r w:rsidRPr="00B93493">
              <w:t>0.01</w:t>
            </w:r>
          </w:p>
        </w:tc>
      </w:tr>
    </w:tbl>
    <w:p w14:paraId="47F15474" w14:textId="77777777" w:rsidR="00CF04BC" w:rsidRPr="00B93493" w:rsidRDefault="00CF04BC" w:rsidP="00CF04BC">
      <w:pPr>
        <w:pStyle w:val="Tablefin"/>
      </w:pPr>
    </w:p>
    <w:p w14:paraId="1041D09E" w14:textId="77777777" w:rsidR="00CF04BC" w:rsidRPr="00B93493" w:rsidRDefault="00CF04BC" w:rsidP="00CF04BC">
      <w:pPr>
        <w:pStyle w:val="Note"/>
      </w:pPr>
      <w:r w:rsidRPr="00B93493">
        <w:t xml:space="preserve">NOTE – For other cases </w:t>
      </w:r>
      <w:r w:rsidRPr="00B93493">
        <w:rPr>
          <w:i/>
        </w:rPr>
        <w:t>K</w:t>
      </w:r>
      <w:r w:rsidRPr="00B93493">
        <w:rPr>
          <w:i/>
          <w:vertAlign w:val="subscript"/>
        </w:rPr>
        <w:t>soc</w:t>
      </w:r>
      <w:r w:rsidRPr="00B93493">
        <w:t xml:space="preserve"> = 1.</w:t>
      </w:r>
    </w:p>
    <w:p w14:paraId="47ECF525" w14:textId="77777777" w:rsidR="00CF04BC" w:rsidRPr="00B93493" w:rsidRDefault="00CF04BC" w:rsidP="00CF04BC">
      <w:bookmarkStart w:id="2405" w:name="sub_702"/>
      <w:r w:rsidRPr="00B93493">
        <w:t>If the applied technology is related to several groups in this table, then the coefficient depending on the social factors is selected according to its minimum value.</w:t>
      </w:r>
    </w:p>
    <w:p w14:paraId="68856BAC" w14:textId="77777777" w:rsidR="00CF04BC" w:rsidRPr="00B93493" w:rsidRDefault="00CF04BC" w:rsidP="00CF04BC">
      <w:pPr>
        <w:pStyle w:val="Note"/>
        <w:ind w:left="284" w:hanging="284"/>
      </w:pPr>
      <w:bookmarkStart w:id="2406" w:name="sub_111"/>
      <w:bookmarkEnd w:id="2405"/>
      <w:r w:rsidRPr="00B93493">
        <w:t xml:space="preserve">* </w:t>
      </w:r>
      <w:r w:rsidRPr="00B93493">
        <w:tab/>
        <w:t xml:space="preserve">Radio technologies used to ensure public safety in the Russian Federation, including emergency situations, are the following: </w:t>
      </w:r>
    </w:p>
    <w:p w14:paraId="6180A084" w14:textId="77777777" w:rsidR="00CF04BC" w:rsidRPr="00B93493" w:rsidRDefault="00CF04BC" w:rsidP="00CF04BC">
      <w:pPr>
        <w:pStyle w:val="Note"/>
      </w:pPr>
      <w:r>
        <w:tab/>
      </w:r>
      <w:r w:rsidRPr="00B93493">
        <w:t xml:space="preserve">– </w:t>
      </w:r>
      <w:r w:rsidRPr="00B93493">
        <w:tab/>
        <w:t>radio navigation</w:t>
      </w:r>
    </w:p>
    <w:p w14:paraId="1E9ACB89" w14:textId="77777777" w:rsidR="00CF04BC" w:rsidRPr="00B93493" w:rsidRDefault="00CF04BC" w:rsidP="00CF04BC">
      <w:pPr>
        <w:pStyle w:val="Note"/>
      </w:pPr>
      <w:r>
        <w:tab/>
      </w:r>
      <w:r w:rsidRPr="00B93493">
        <w:t xml:space="preserve">– </w:t>
      </w:r>
      <w:r w:rsidRPr="00B93493">
        <w:tab/>
        <w:t>meteorological including weather radars</w:t>
      </w:r>
    </w:p>
    <w:p w14:paraId="337F099B" w14:textId="77777777" w:rsidR="00CF04BC" w:rsidRPr="00B93493" w:rsidRDefault="00CF04BC" w:rsidP="00CF04BC">
      <w:pPr>
        <w:pStyle w:val="Note"/>
      </w:pPr>
      <w:r>
        <w:tab/>
      </w:r>
      <w:r w:rsidRPr="00B93493">
        <w:t xml:space="preserve">– </w:t>
      </w:r>
      <w:r w:rsidRPr="00B93493">
        <w:tab/>
        <w:t>radio determination</w:t>
      </w:r>
    </w:p>
    <w:p w14:paraId="2BA05A0C" w14:textId="77777777" w:rsidR="00CF04BC" w:rsidRPr="00B93493" w:rsidRDefault="00CF04BC" w:rsidP="00CF04BC">
      <w:pPr>
        <w:pStyle w:val="Note"/>
      </w:pPr>
      <w:r>
        <w:tab/>
      </w:r>
      <w:r w:rsidRPr="00B93493">
        <w:t xml:space="preserve">– </w:t>
      </w:r>
      <w:r w:rsidRPr="00B93493">
        <w:tab/>
        <w:t>services using calling and distress frequencies defined in the Radio Regulations.</w:t>
      </w:r>
    </w:p>
    <w:bookmarkEnd w:id="2406"/>
    <w:p w14:paraId="41AB56ED" w14:textId="77777777" w:rsidR="00CF04BC" w:rsidRDefault="00CF04BC" w:rsidP="00CF04BC">
      <w:r w:rsidRPr="00B93493">
        <w:t xml:space="preserve">If the radio system uses other nominal frequencies along with calling and distress frequencies defined in the ITU Radio Regulations, the coefficient depending on the social factors for the implemented technology </w:t>
      </w:r>
      <w:r w:rsidRPr="00B93493">
        <w:rPr>
          <w:i/>
        </w:rPr>
        <w:t>K</w:t>
      </w:r>
      <w:r w:rsidRPr="00B93493">
        <w:rPr>
          <w:i/>
          <w:vertAlign w:val="subscript"/>
        </w:rPr>
        <w:t>soc</w:t>
      </w:r>
      <w:r w:rsidRPr="00B93493">
        <w:t xml:space="preserve"> = 0.3 is used only for calling and distress frequencies.</w:t>
      </w:r>
    </w:p>
    <w:p w14:paraId="65329065" w14:textId="09048B32" w:rsidR="00CF04BC" w:rsidRPr="00B93493" w:rsidRDefault="00CF04BC" w:rsidP="00CF04BC">
      <w:pPr>
        <w:jc w:val="center"/>
      </w:pPr>
      <w:r w:rsidRPr="00B93493">
        <w:rPr>
          <w:position w:val="-14"/>
        </w:rPr>
        <w:object w:dxaOrig="2930" w:dyaOrig="416" w14:anchorId="35035350">
          <v:shape id="_x0000_i1110" type="#_x0000_t75" style="width:146.9pt;height:22.45pt" o:ole="">
            <v:imagedata r:id="rId209" o:title=""/>
          </v:shape>
          <o:OLEObject Type="Embed" ProgID="Equation.3" ShapeID="_x0000_i1110" DrawAspect="Content" ObjectID="_1812968391" r:id="rId210"/>
        </w:object>
      </w:r>
      <w:r>
        <w:t xml:space="preserve">      </w:t>
      </w:r>
      <w:r w:rsidRPr="00B93493">
        <w:rPr>
          <w:position w:val="-28"/>
        </w:rPr>
        <w:object w:dxaOrig="1440" w:dyaOrig="782" w14:anchorId="5B9FE33A">
          <v:shape id="_x0000_i1111" type="#_x0000_t75" style="width:1in;height:38.6pt" o:ole="">
            <v:imagedata r:id="rId211" o:title=""/>
          </v:shape>
          <o:OLEObject Type="Embed" ProgID="Equation.3" ShapeID="_x0000_i1111" DrawAspect="Content" ObjectID="_1812968392" r:id="rId212"/>
        </w:object>
      </w:r>
      <w:r w:rsidRPr="00B93493">
        <w:rPr>
          <w:position w:val="-16"/>
        </w:rPr>
        <w:object w:dxaOrig="5452" w:dyaOrig="583" w14:anchorId="1FDD06A2">
          <v:shape id="_x0000_i1112" type="#_x0000_t75" style="width:272.45pt;height:26.5pt" o:ole="">
            <v:imagedata r:id="rId213" o:title=""/>
          </v:shape>
          <o:OLEObject Type="Embed" ProgID="Equation.3" ShapeID="_x0000_i1112" DrawAspect="Content" ObjectID="_1812968393" r:id="rId214"/>
        </w:object>
      </w:r>
      <w:r>
        <w:t xml:space="preserve">     </w:t>
      </w:r>
      <w:r w:rsidRPr="00B93493">
        <w:rPr>
          <w:position w:val="-14"/>
        </w:rPr>
        <w:object w:dxaOrig="2123" w:dyaOrig="391" w14:anchorId="7D54312A">
          <v:shape id="_x0000_i1113" type="#_x0000_t75" style="width:105.4pt;height:20.15pt" o:ole="">
            <v:imagedata r:id="rId215" o:title=""/>
          </v:shape>
          <o:OLEObject Type="Embed" ProgID="Equation.3" ShapeID="_x0000_i1113" DrawAspect="Content" ObjectID="_1812968394" r:id="rId216"/>
        </w:object>
      </w:r>
      <w:r>
        <w:t xml:space="preserve">     </w:t>
      </w:r>
      <w:r w:rsidRPr="00B93493">
        <w:rPr>
          <w:position w:val="-14"/>
        </w:rPr>
        <w:object w:dxaOrig="1232" w:dyaOrig="391" w14:anchorId="21EF20EE">
          <v:shape id="_x0000_i1114" type="#_x0000_t75" style="width:63.35pt;height:20.15pt" o:ole="">
            <v:imagedata r:id="rId217" o:title=""/>
          </v:shape>
          <o:OLEObject Type="Embed" ProgID="Equation.3" ShapeID="_x0000_i1114" DrawAspect="Content" ObjectID="_1812968395" r:id="rId218"/>
        </w:object>
      </w:r>
      <w:r w:rsidR="00092428" w:rsidRPr="00B93493">
        <w:rPr>
          <w:position w:val="-10"/>
        </w:rPr>
        <w:object w:dxaOrig="2222" w:dyaOrig="341" w14:anchorId="6DCF09EC">
          <v:shape id="_x0000_i1115" type="#_x0000_t75" style="width:101.95pt;height:18.45pt" o:ole="">
            <v:imagedata r:id="rId219" o:title=""/>
          </v:shape>
          <o:OLEObject Type="Embed" ProgID="Equation.3" ShapeID="_x0000_i1115" DrawAspect="Content" ObjectID="_1812968396" r:id="rId220"/>
        </w:object>
      </w:r>
      <w:r>
        <w:t xml:space="preserve">    </w:t>
      </w:r>
      <w:r w:rsidRPr="00B93493">
        <w:rPr>
          <w:position w:val="-10"/>
          <w:szCs w:val="24"/>
        </w:rPr>
        <w:object w:dxaOrig="2672" w:dyaOrig="391" w14:anchorId="3ABC9D2B">
          <v:shape id="_x0000_i1116" type="#_x0000_t75" style="width:125.55pt;height:17.85pt" o:ole="">
            <v:imagedata r:id="rId221" o:title=""/>
          </v:shape>
          <o:OLEObject Type="Embed" ProgID="Equation.3" ShapeID="_x0000_i1116" DrawAspect="Content" ObjectID="_1812968397" r:id="rId222"/>
        </w:object>
      </w:r>
      <w:r>
        <w:rPr>
          <w:szCs w:val="24"/>
        </w:rPr>
        <w:t xml:space="preserve">    </w:t>
      </w:r>
      <w:r w:rsidR="00092428" w:rsidRPr="00B93493">
        <w:rPr>
          <w:position w:val="-28"/>
        </w:rPr>
        <w:object w:dxaOrig="3588" w:dyaOrig="732" w14:anchorId="70E64CF7">
          <v:shape id="_x0000_i1117" type="#_x0000_t75" style="width:149.75pt;height:31.7pt" o:ole="">
            <v:imagedata r:id="rId223" o:title=""/>
          </v:shape>
          <o:OLEObject Type="Embed" ProgID="Equation.3" ShapeID="_x0000_i1117" DrawAspect="Content" ObjectID="_1812968398" r:id="rId224"/>
        </w:object>
      </w:r>
      <w:r w:rsidRPr="00B93493">
        <w:rPr>
          <w:position w:val="-28"/>
          <w:szCs w:val="24"/>
        </w:rPr>
        <w:object w:dxaOrig="3022" w:dyaOrig="732" w14:anchorId="4E239179">
          <v:shape id="_x0000_i1118" type="#_x0000_t75" style="width:151.5pt;height:38.6pt" o:ole="">
            <v:imagedata r:id="rId225" o:title=""/>
          </v:shape>
          <o:OLEObject Type="Embed" ProgID="Equation.3" ShapeID="_x0000_i1118" DrawAspect="Content" ObjectID="_1812968399" r:id="rId226"/>
        </w:object>
      </w:r>
      <w:r>
        <w:rPr>
          <w:szCs w:val="24"/>
        </w:rPr>
        <w:t xml:space="preserve">    </w:t>
      </w:r>
      <w:r w:rsidRPr="00B93493">
        <w:rPr>
          <w:position w:val="-30"/>
        </w:rPr>
        <w:object w:dxaOrig="4928" w:dyaOrig="749" w14:anchorId="45909E9B">
          <v:shape id="_x0000_i1119" type="#_x0000_t75" style="width:245.4pt;height:38.6pt" o:ole="">
            <v:imagedata r:id="rId227" o:title=""/>
          </v:shape>
          <o:OLEObject Type="Embed" ProgID="Equation.3" ShapeID="_x0000_i1119" DrawAspect="Content" ObjectID="_1812968400" r:id="rId228"/>
        </w:object>
      </w:r>
      <w:r w:rsidRPr="00B93493">
        <w:rPr>
          <w:position w:val="-14"/>
        </w:rPr>
        <w:object w:dxaOrig="3171" w:dyaOrig="416" w14:anchorId="58217D5E">
          <v:shape id="_x0000_i1120" type="#_x0000_t75" style="width:158.4pt;height:22.45pt" o:ole="">
            <v:imagedata r:id="rId229" o:title=""/>
          </v:shape>
          <o:OLEObject Type="Embed" ProgID="Equation.3" ShapeID="_x0000_i1120" DrawAspect="Content" ObjectID="_1812968401" r:id="rId230"/>
        </w:object>
      </w:r>
    </w:p>
    <w:p w14:paraId="5FDA6BC6" w14:textId="77777777" w:rsidR="00CF04BC" w:rsidRPr="00B93493" w:rsidRDefault="00CF04BC" w:rsidP="00CF04BC">
      <w:pPr>
        <w:pStyle w:val="Heading3"/>
      </w:pPr>
      <w:bookmarkStart w:id="2407" w:name="_Toc518394264"/>
      <w:bookmarkStart w:id="2408" w:name="_Toc392515929"/>
      <w:bookmarkStart w:id="2409" w:name="_Toc462234148"/>
      <w:bookmarkStart w:id="2410" w:name="_Toc182391583"/>
      <w:bookmarkStart w:id="2411" w:name="_Toc182391994"/>
      <w:r w:rsidRPr="00B93493">
        <w:t>5.2.8</w:t>
      </w:r>
      <w:r w:rsidRPr="00B93493">
        <w:tab/>
        <w:t>The United Kingdom’s experience with licence fees</w:t>
      </w:r>
      <w:bookmarkEnd w:id="2407"/>
      <w:bookmarkEnd w:id="2408"/>
      <w:bookmarkEnd w:id="2409"/>
      <w:bookmarkEnd w:id="2410"/>
      <w:bookmarkEnd w:id="2411"/>
    </w:p>
    <w:p w14:paraId="59657926" w14:textId="77777777" w:rsidR="00CF04BC" w:rsidRPr="00B93493" w:rsidRDefault="00CF04BC" w:rsidP="00CF04BC">
      <w:bookmarkStart w:id="2412" w:name="_Toc459792677"/>
      <w:bookmarkStart w:id="2413" w:name="_Toc459793841"/>
      <w:bookmarkStart w:id="2414" w:name="_Toc459793983"/>
      <w:bookmarkStart w:id="2415" w:name="_Toc459970440"/>
      <w:bookmarkStart w:id="2416" w:name="_Toc459746767"/>
      <w:r w:rsidRPr="00B93493">
        <w:t>Administered Incentive Pricing (AIP) was first introduced in the UK in 1998. AIP aims to set licence fees to reflect the opportunity cost of spectrum denied to other uses and users, rather than just the costs of managing the radio spectrum. As a new and fundamentally different approach to fee-setting, it has to date been applied in a conservative manner: implementation has been rolled out to different users of spectrum slowly, and fee levels have generally been set at most at around 50% of the estimated full opportunity cost. Significant fee increases have also been phased in over a number of years.</w:t>
      </w:r>
    </w:p>
    <w:p w14:paraId="24E58810" w14:textId="77777777" w:rsidR="00CF04BC" w:rsidRPr="00B93493" w:rsidRDefault="00CF04BC" w:rsidP="00CF04BC">
      <w:r w:rsidRPr="00B93493">
        <w:t xml:space="preserve">AIP is intended to provide long term signals of spectrum value to spectrum users. These long-term value signals are intended to help spectrum users (and their suppliers) make more efficient decisions concerning their use of spectrum and investment in radio technology. At the same time, given the significant investment that many users have tied up in radio equipment which in most cases cannot easily and quickly be returned to different frequencies and has a lifetime of many years it cannot be expected that AIP will lead to significant changes to spectrum use in the short term. AIP is not intended to achieve any specific short term spectrum reallocation goals. </w:t>
      </w:r>
    </w:p>
    <w:p w14:paraId="14A19ED0" w14:textId="77777777" w:rsidR="00CF04BC" w:rsidRPr="00B93493" w:rsidRDefault="00CF04BC" w:rsidP="00CF04BC">
      <w:pPr>
        <w:rPr>
          <w:b/>
          <w:lang w:eastAsia="zh-CN"/>
        </w:rPr>
      </w:pPr>
      <w:r w:rsidRPr="00B93493">
        <w:t xml:space="preserve">UK had carried out an evaluation of the policy of charging spectrum fees based on AIP. </w:t>
      </w:r>
      <w:r w:rsidRPr="00B93493">
        <w:rPr>
          <w:lang w:eastAsia="zh-CN"/>
        </w:rPr>
        <w:t>The full policy document is available in:</w:t>
      </w:r>
      <w:r w:rsidRPr="00B93493">
        <w:rPr>
          <w:b/>
          <w:lang w:eastAsia="zh-CN"/>
        </w:rPr>
        <w:t xml:space="preserve"> </w:t>
      </w:r>
    </w:p>
    <w:p w14:paraId="1756529A" w14:textId="77777777" w:rsidR="00CF04BC" w:rsidRPr="00B93493" w:rsidRDefault="00CF04BC" w:rsidP="00CF04BC">
      <w:pPr>
        <w:rPr>
          <w:b/>
          <w:lang w:eastAsia="zh-CN"/>
        </w:rPr>
      </w:pPr>
      <w:hyperlink r:id="rId231" w:history="1">
        <w:r w:rsidRPr="00B93493">
          <w:rPr>
            <w:rStyle w:val="Hyperlink"/>
          </w:rPr>
          <w:t>http://www.ofcom.org.uk/research/radiocomms/reports/policy_report/evaluation_report_AIP.pdf</w:t>
        </w:r>
      </w:hyperlink>
    </w:p>
    <w:p w14:paraId="65ABAAE5" w14:textId="77777777" w:rsidR="00CF04BC" w:rsidRPr="00B93493" w:rsidRDefault="00CF04BC" w:rsidP="00CF04BC">
      <w:r w:rsidRPr="00B93493">
        <w:t>The overall conclusions of this report are:</w:t>
      </w:r>
    </w:p>
    <w:p w14:paraId="05C801F0" w14:textId="77777777" w:rsidR="00CF04BC" w:rsidRPr="00B93493" w:rsidRDefault="00CF04BC" w:rsidP="00CF04BC">
      <w:pPr>
        <w:pStyle w:val="enumlev1"/>
      </w:pPr>
      <w:r w:rsidRPr="00B93493">
        <w:t>–</w:t>
      </w:r>
      <w:r w:rsidRPr="00B93493">
        <w:tab/>
        <w:t>In the main, AIP has met its primary objective in helping to incentivize spectrum users to consider more carefully the value of the spectrum they use alongside that of other inputs, and to take decisions that are more likely to lead to optimal use of the available spectrum. Because each individual users decisions reflect their particular circumstances and objectives, improvements in spectrum allocation are difficult to attribute, with confidence, solely to the influence of AIP. However in the course of this evaluation a number of important actions by users were identified, in the period since AIP has been implemented, where it was believe</w:t>
      </w:r>
      <w:r>
        <w:rPr>
          <w:rFonts w:hint="eastAsia"/>
          <w:lang w:eastAsia="zh-CN"/>
        </w:rPr>
        <w:t>d</w:t>
      </w:r>
      <w:r w:rsidRPr="00B93493">
        <w:t xml:space="preserve"> that AIP may have contributed to incentivizing more efficient use. </w:t>
      </w:r>
    </w:p>
    <w:p w14:paraId="64FF197F" w14:textId="77777777" w:rsidR="00CF04BC" w:rsidRPr="00B93493" w:rsidRDefault="00CF04BC" w:rsidP="00CF04BC">
      <w:pPr>
        <w:pStyle w:val="enumlev1"/>
      </w:pPr>
      <w:r w:rsidRPr="00B93493">
        <w:t>–</w:t>
      </w:r>
      <w:r w:rsidRPr="00B93493">
        <w:tab/>
        <w:t xml:space="preserve">In particular: </w:t>
      </w:r>
    </w:p>
    <w:p w14:paraId="2981F7A7" w14:textId="77777777" w:rsidR="00CF04BC" w:rsidRPr="00B93493" w:rsidRDefault="00CF04BC" w:rsidP="00CF04BC">
      <w:pPr>
        <w:pStyle w:val="enumlev2"/>
      </w:pPr>
      <w:r w:rsidRPr="00B93493">
        <w:t>•</w:t>
      </w:r>
      <w:r w:rsidRPr="00B93493">
        <w:tab/>
        <w:t>the removal of legacy fixed links in the 4 GHz band, generally regarded as technically inefficient due to the age of the equipment deployed;</w:t>
      </w:r>
    </w:p>
    <w:p w14:paraId="7A068553" w14:textId="77777777" w:rsidR="00CF04BC" w:rsidRPr="00B93493" w:rsidRDefault="00CF04BC" w:rsidP="00CF04BC">
      <w:pPr>
        <w:pStyle w:val="enumlev2"/>
      </w:pPr>
      <w:r w:rsidRPr="00B93493">
        <w:t>•</w:t>
      </w:r>
      <w:r w:rsidRPr="00B93493">
        <w:tab/>
        <w:t>the removal of constraints on active services in spectrum bands, used by the Radio Astronomy Service, following the introduction of AIP fees for grants of Recognized Spectrum Access (RSA);</w:t>
      </w:r>
    </w:p>
    <w:p w14:paraId="6735C22D" w14:textId="77777777" w:rsidR="00CF04BC" w:rsidRPr="00B93493" w:rsidRDefault="00CF04BC" w:rsidP="00CF04BC">
      <w:pPr>
        <w:pStyle w:val="enumlev2"/>
      </w:pPr>
      <w:r w:rsidRPr="00B93493">
        <w:t>•</w:t>
      </w:r>
      <w:r w:rsidRPr="00B93493">
        <w:tab/>
        <w:t>the return of some UHF2 spectrum used by the police in Scotland;</w:t>
      </w:r>
    </w:p>
    <w:p w14:paraId="14673076" w14:textId="77777777" w:rsidR="00CF04BC" w:rsidRPr="00B93493" w:rsidRDefault="00CF04BC" w:rsidP="00CF04BC">
      <w:pPr>
        <w:pStyle w:val="enumlev2"/>
      </w:pPr>
      <w:r w:rsidRPr="00B93493">
        <w:t>•</w:t>
      </w:r>
      <w:r w:rsidRPr="00B93493">
        <w:tab/>
        <w:t>no evidence was found to suggest that the application of AIP has given rise to material adverse consequences for spectrum efficiency. In particular it has not resulted in demand for spectrum falling off significantly where AIP has been applied.</w:t>
      </w:r>
    </w:p>
    <w:p w14:paraId="55BAD8DC" w14:textId="77777777" w:rsidR="00CF04BC" w:rsidRPr="00B93493" w:rsidRDefault="00CF04BC" w:rsidP="00CF04BC">
      <w:pPr>
        <w:pStyle w:val="Heading3"/>
        <w:rPr>
          <w:u w:val="single"/>
        </w:rPr>
      </w:pPr>
      <w:bookmarkStart w:id="2417" w:name="_Toc289932337"/>
      <w:bookmarkStart w:id="2418" w:name="_Toc518394265"/>
      <w:bookmarkStart w:id="2419" w:name="_Toc497033233"/>
      <w:bookmarkStart w:id="2420" w:name="_Toc289933383"/>
      <w:bookmarkStart w:id="2421" w:name="_Toc289868870"/>
      <w:bookmarkStart w:id="2422" w:name="_Toc392515930"/>
      <w:bookmarkStart w:id="2423" w:name="_Toc462234149"/>
      <w:bookmarkStart w:id="2424" w:name="_Toc291852946"/>
      <w:bookmarkStart w:id="2425" w:name="_Toc289869030"/>
      <w:bookmarkStart w:id="2426" w:name="_Toc497034031"/>
      <w:bookmarkStart w:id="2427" w:name="_Toc182391584"/>
      <w:bookmarkStart w:id="2428" w:name="_Toc182391995"/>
      <w:r w:rsidRPr="00B93493">
        <w:t>5.2.9</w:t>
      </w:r>
      <w:r w:rsidRPr="00B93493">
        <w:tab/>
        <w:t>United States of America’s experience with licence fees</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7C1E6063" w14:textId="77777777" w:rsidR="00CF04BC" w:rsidRPr="00B93493" w:rsidRDefault="00CF04BC" w:rsidP="00CF04BC">
      <w:r w:rsidRPr="00B93493">
        <w:t>The FCC regulates both spectrum and wired services for the civilian sector and charges application fees (also known as filing fees) and regulatory fees (information is included here for wired services only for background and completeness). The FCC process of imposing and collecting fees is mandated by statute of the U.S. Congress solely as a means to reimburse costs of issuing licences and of associated regulatory services.</w:t>
      </w:r>
    </w:p>
    <w:p w14:paraId="3464A875" w14:textId="77777777" w:rsidR="00CF04BC" w:rsidRPr="00B93493" w:rsidRDefault="00CF04BC" w:rsidP="00CF04BC">
      <w:r w:rsidRPr="00B93493">
        <w:t>In 1987, the FCC began collecting application fees that are charged for all FCC</w:t>
      </w:r>
      <w:r w:rsidRPr="00B93493">
        <w:noBreakHyphen/>
        <w:t>licensed radio services and are intended to cover the direct administrative costs of processing a licence application. They are paid when a licence is obtained or renewed. Local and state governments and non-profit entities are generally exempt from application fees. Application fees vary from service to service.</w:t>
      </w:r>
    </w:p>
    <w:p w14:paraId="149F58F6" w14:textId="77777777" w:rsidR="00CF04BC" w:rsidRPr="00B93493" w:rsidRDefault="00CF04BC" w:rsidP="00CF04BC">
      <w:r w:rsidRPr="00B93493">
        <w:t>The authority to impose and collect application fees was not assumed independently by the FCC, but was established by the U.S. Congress and is contained in Title III, Section 3001 of the Omnibus Budget Reconciliation Act of 1989 (Public Law 101-239), Section 8, revising 47 U.S.C. 158, which directs the FCC to prescribe charges for certain types of application processing or authorization services it provides to communications entities over which it has jurisdiction. Funds collected as application or filing fees pursuant to Section 8 of the Act are deposited into the General Fund of the U.S. Treasury as reimbursement to the United States of America Federal Government. They do not offset funds appropriated to the FCC (47 U.S.C. 158(a)). Section 8(b) of the Communications Act, as amended, requires that the FCC review and adjust its application fees every two years after 1 October 1991 (47 U.S.C. Section 158(b)). The adjusted or increased fees reflect the net change in the Consumer Price Index for all Urban Consumers (CPI-U).</w:t>
      </w:r>
    </w:p>
    <w:p w14:paraId="4024A1A5" w14:textId="77777777" w:rsidR="00CF04BC" w:rsidRPr="00B93493" w:rsidRDefault="00CF04BC" w:rsidP="00CF04BC">
      <w:r w:rsidRPr="00B93493">
        <w:t>Since 1990, the FCC has collected application fees averaging about USD 39 million annually. The programme encompasses over 300 different fees with the vast majority collected at the time an original licence application, renewal or request for licence modification is filed with the FCC.</w:t>
      </w:r>
    </w:p>
    <w:p w14:paraId="585A0D55" w14:textId="77777777" w:rsidR="00CF04BC" w:rsidRPr="00B93493" w:rsidRDefault="00CF04BC" w:rsidP="00CF04BC">
      <w:r w:rsidRPr="00B93493">
        <w:t>Most fees are assessed as a one-time charge on a per-application basis, although there are certain exceptions. Local (state, county, city, etc.) government, non</w:t>
      </w:r>
      <w:r w:rsidRPr="00B93493">
        <w:noBreakHyphen/>
        <w:t>profit, non-commercial broadcast and amateur licence applicants are exempt from the fees.</w:t>
      </w:r>
    </w:p>
    <w:p w14:paraId="11BE6048" w14:textId="77777777" w:rsidR="00CF04BC" w:rsidRPr="00B93493" w:rsidRDefault="00CF04BC" w:rsidP="00CF04BC">
      <w:r w:rsidRPr="00B93493">
        <w:t>The schedule of charges is exactly as reviewed and approved by Congress. The charges represent the best estimate of the FCC’s actual direct administrative costs of processing a licence application.</w:t>
      </w:r>
    </w:p>
    <w:p w14:paraId="4F805AEF" w14:textId="77777777" w:rsidR="00CF04BC" w:rsidRPr="00B93493" w:rsidRDefault="00CF04BC" w:rsidP="00CF04BC">
      <w:r w:rsidRPr="00B93493">
        <w:t xml:space="preserve">The public notices, orders, and guidelines for these application processing fees may be found at </w:t>
      </w:r>
      <w:hyperlink r:id="rId232" w:history="1">
        <w:r w:rsidRPr="00B93493">
          <w:rPr>
            <w:rStyle w:val="Hyperlink"/>
          </w:rPr>
          <w:t>https://www.fcc.gov/licensing-databases/fees/application-processing-fees</w:t>
        </w:r>
      </w:hyperlink>
      <w:r w:rsidRPr="00B93493">
        <w:t>.</w:t>
      </w:r>
    </w:p>
    <w:p w14:paraId="0A2D662F" w14:textId="77777777" w:rsidR="00CF04BC" w:rsidRPr="00B93493" w:rsidRDefault="00CF04BC" w:rsidP="00CF04BC">
      <w:pPr>
        <w:keepNext/>
        <w:keepLines/>
      </w:pPr>
      <w:r w:rsidRPr="00B93493">
        <w:t xml:space="preserve">In addition to application and regulatory fees, the FCC may assess penalties for violations of law or non-compliance with authorizations. The rules for forfeiture proceedings may be found at </w:t>
      </w:r>
      <w:hyperlink r:id="rId233" w:history="1">
        <w:r w:rsidRPr="00B93493">
          <w:rPr>
            <w:rStyle w:val="Hyperlink"/>
          </w:rPr>
          <w:t>https://www.ecfr.gov/current/title-47/chapter-I/subchapter-A/part-1/subpart-A/subject-group-ECFRe23796df9028e47/section-1.80</w:t>
        </w:r>
      </w:hyperlink>
      <w:r w:rsidRPr="00B93493">
        <w:t>.</w:t>
      </w:r>
    </w:p>
    <w:p w14:paraId="0AB5C702" w14:textId="77777777" w:rsidR="00CF04BC" w:rsidRPr="00B93493" w:rsidRDefault="00CF04BC" w:rsidP="00CF04BC">
      <w:r w:rsidRPr="00B93493">
        <w:t>In 1993, Congress mandated that the FCC must collect regulatory fees to cover its enforcement activities, policy and rule-making activities, user information services, and international activities. Consequently, regulatory-related fees were implemented in 1994.</w:t>
      </w:r>
    </w:p>
    <w:p w14:paraId="7AA05876" w14:textId="77777777" w:rsidR="00CF04BC" w:rsidRPr="00B93493" w:rsidRDefault="00CF04BC" w:rsidP="00CF04BC">
      <w:r w:rsidRPr="00B93493">
        <w:t>The requirement to collect annual regulatory fees is contained in Public Law 103-66 “The Omnibus Budget Reconciliation Act of 1993”. These regulatory fees, which may change yearly, are used to offset costs associated with the FCC’s enforcement, public service, international, policy and rulemaking activities. These fees are in addition to any application processing fees associated with obtaining a licence or other authorization from the FCC.</w:t>
      </w:r>
    </w:p>
    <w:p w14:paraId="746EA4AB" w14:textId="77777777" w:rsidR="00CF04BC" w:rsidRPr="00B93493" w:rsidRDefault="00CF04BC" w:rsidP="00CF04BC">
      <w:r w:rsidRPr="00B93493">
        <w:t>Without regulatory fees to offset the FCC’s costs, the agency would have required a Congressional appropriation of USD 189 million for fiscal year 1997 (1 October 1996 to 30 September 1998). When offsetting regulatory fees (USD 152 million) were taken into consideration, only USD 37 million had to be appropriated from the U.S. Treasury to fund the FCC.</w:t>
      </w:r>
    </w:p>
    <w:p w14:paraId="53B0336C" w14:textId="77777777" w:rsidR="00CF04BC" w:rsidRPr="00B93493" w:rsidRDefault="00CF04BC" w:rsidP="00CF04BC">
      <w:r w:rsidRPr="00B93493">
        <w:t>By statute, the total fees collected should cover, but cannot exceed, the amount of money appropriated by Congress to the FCC for these activities. Regulatory fees collected are deposited into an account providing appropriations to the FCC.</w:t>
      </w:r>
    </w:p>
    <w:p w14:paraId="29B1A774" w14:textId="77777777" w:rsidR="00CF04BC" w:rsidRPr="00B93493" w:rsidRDefault="00CF04BC" w:rsidP="00CF04BC">
      <w:r w:rsidRPr="00B93493">
        <w:t>Some of the activities included in the regulatory fees are considered below.</w:t>
      </w:r>
    </w:p>
    <w:p w14:paraId="1F71D23A" w14:textId="77777777" w:rsidR="00CF04BC" w:rsidRPr="00B93493" w:rsidRDefault="00CF04BC" w:rsidP="00CF04BC">
      <w:pPr>
        <w:pStyle w:val="Heading4"/>
      </w:pPr>
      <w:bookmarkStart w:id="2429" w:name="_Toc426514005"/>
      <w:bookmarkStart w:id="2430" w:name="_Toc426513725"/>
      <w:bookmarkStart w:id="2431" w:name="_Toc497033234"/>
      <w:bookmarkStart w:id="2432" w:name="_Toc459746768"/>
      <w:bookmarkStart w:id="2433" w:name="_Toc497034032"/>
      <w:r w:rsidRPr="00B93493">
        <w:t>5.2.9.1</w:t>
      </w:r>
      <w:r w:rsidRPr="00B93493">
        <w:tab/>
        <w:t>Policy and rulemaking</w:t>
      </w:r>
      <w:bookmarkEnd w:id="2429"/>
      <w:bookmarkEnd w:id="2430"/>
      <w:bookmarkEnd w:id="2431"/>
      <w:bookmarkEnd w:id="2432"/>
      <w:bookmarkEnd w:id="2433"/>
    </w:p>
    <w:p w14:paraId="6C9AC0AD" w14:textId="77777777" w:rsidR="00CF04BC" w:rsidRPr="00B93493" w:rsidRDefault="00CF04BC" w:rsidP="00CF04BC">
      <w:r w:rsidRPr="00B93493">
        <w:t>Formal inquiries, rulemaking proceedings to establish or amend the FCC’s rules and regulations, action on petitions for rulemaking, and requests for rule interpretations or waivers; economic studies and analyses; spectrum planning, modelling, propagation interference analyses, and allocation; and development of equipment standards. This also includes policy direction, programme development, legal services, and executive direction, as well as support services associated with policy and rulemaking activities.</w:t>
      </w:r>
    </w:p>
    <w:p w14:paraId="07DEA33D" w14:textId="77777777" w:rsidR="00CF04BC" w:rsidRPr="00B93493" w:rsidRDefault="00CF04BC" w:rsidP="00CF04BC">
      <w:pPr>
        <w:pStyle w:val="Heading4"/>
      </w:pPr>
      <w:bookmarkStart w:id="2434" w:name="_Toc459746769"/>
      <w:bookmarkStart w:id="2435" w:name="_Toc497033235"/>
      <w:bookmarkStart w:id="2436" w:name="_Toc426514006"/>
      <w:bookmarkStart w:id="2437" w:name="_Toc497034033"/>
      <w:bookmarkStart w:id="2438" w:name="_Toc426513726"/>
      <w:r w:rsidRPr="00B93493">
        <w:t>5.2.9.2</w:t>
      </w:r>
      <w:r w:rsidRPr="00B93493">
        <w:tab/>
        <w:t>Enforcement</w:t>
      </w:r>
      <w:bookmarkEnd w:id="2434"/>
      <w:bookmarkEnd w:id="2435"/>
      <w:bookmarkEnd w:id="2436"/>
      <w:bookmarkEnd w:id="2437"/>
      <w:bookmarkEnd w:id="2438"/>
    </w:p>
    <w:p w14:paraId="03290E57" w14:textId="77777777" w:rsidR="00CF04BC" w:rsidRPr="00B93493" w:rsidRDefault="00CF04BC" w:rsidP="00CF04BC">
      <w:r w:rsidRPr="00B93493">
        <w:t>Enforcement of the FCC’s rules, regulations and authorizations, including investigations, inspections, compliance monitoring, and sanctions of all types. This also includes the receipt and disposition of formal and informal complaints regarding common carrier rates and services, the review and acceptance/rejection of carrier tariffs, and the review, prescription and audit of carrier accounting practices. It also includes policy direction, programme development, legal services, and executive direction, as well as support services associated with enforcement activities.</w:t>
      </w:r>
    </w:p>
    <w:p w14:paraId="5917D567" w14:textId="77777777" w:rsidR="00CF04BC" w:rsidRPr="00B93493" w:rsidRDefault="00CF04BC" w:rsidP="00CF04BC">
      <w:pPr>
        <w:pStyle w:val="Heading4"/>
      </w:pPr>
      <w:bookmarkStart w:id="2439" w:name="_Toc497033236"/>
      <w:bookmarkStart w:id="2440" w:name="_Toc426514007"/>
      <w:bookmarkStart w:id="2441" w:name="_Toc497034034"/>
      <w:bookmarkStart w:id="2442" w:name="_Toc426513727"/>
      <w:bookmarkStart w:id="2443" w:name="_Toc459746770"/>
      <w:r w:rsidRPr="00B93493">
        <w:t>5.2.9.3</w:t>
      </w:r>
      <w:r w:rsidRPr="00B93493">
        <w:tab/>
        <w:t>Public information services</w:t>
      </w:r>
      <w:bookmarkEnd w:id="2439"/>
      <w:bookmarkEnd w:id="2440"/>
      <w:bookmarkEnd w:id="2441"/>
      <w:bookmarkEnd w:id="2442"/>
      <w:bookmarkEnd w:id="2443"/>
    </w:p>
    <w:p w14:paraId="0262BA4C" w14:textId="77777777" w:rsidR="00CF04BC" w:rsidRPr="00B93493" w:rsidRDefault="00CF04BC" w:rsidP="00CF04BC">
      <w:r w:rsidRPr="00B93493">
        <w:t>The publication and dissemination of FCC decisions and actions, and related activities; public reference and library services; the duplication and dissemination of FCC records and databases; the receipt and disposition of public inquiries; consumer, small business, and public assistance; and public affairs and media relations. This activity also includes policy direction, programme development, legal services, and executive direction, as well as support services associated with public information activities.</w:t>
      </w:r>
    </w:p>
    <w:p w14:paraId="2091B2FA" w14:textId="77777777" w:rsidR="00CF04BC" w:rsidRPr="00B93493" w:rsidRDefault="00CF04BC" w:rsidP="00CF04BC">
      <w:r w:rsidRPr="00B93493">
        <w:t>The following licensees and other entities regulated by the FCC must pay regulatory fees:</w:t>
      </w:r>
    </w:p>
    <w:p w14:paraId="108BF199" w14:textId="4C86CB06" w:rsidR="00CF04BC" w:rsidRPr="00B93493" w:rsidRDefault="00CF04BC" w:rsidP="00CF04BC">
      <w:r w:rsidRPr="00B93493">
        <w:rPr>
          <w:i/>
          <w:iCs/>
        </w:rPr>
        <w:t>Common carrier regulatees</w:t>
      </w:r>
      <w:r w:rsidRPr="00B93493">
        <w:t>:  inter-exchange carriers (long-distance companies), local exchange carriers (local telephone operating companies), competitive access providers (companies other than the traditional local telephone companies that provide interstate access services to long-distance carriers and other companies), operator service providers (carriers that enable customers to make away from home calls and to place calls with alternative billing arrangements), pay telephone operators (owners of pay telephones), resellers (companies that obtain lines from facilities-based carriers and sell service to others, but does not include mobile resellers governed by the commercial wireless radio services), and other interstate providers (e.g. calling card providers).</w:t>
      </w:r>
    </w:p>
    <w:p w14:paraId="63C03DB7" w14:textId="77777777" w:rsidR="00CF04BC" w:rsidRPr="00B93493" w:rsidRDefault="00CF04BC" w:rsidP="00CF04BC">
      <w:r w:rsidRPr="00B93493">
        <w:rPr>
          <w:i/>
          <w:iCs/>
        </w:rPr>
        <w:t>Commercial mobile radio services (CMRS) regulatees</w:t>
      </w:r>
      <w:r w:rsidRPr="00B93493">
        <w:t>:  specialized mobile radio services (Part 90); public coast stations (Part 80); public mobile radio, cellular, 800 MHz air-ground radiotelephone, and offshore radio services (Part 22); and PCS broadband services (Part 24). The CMRS messaging services category includes all one-way paging (Parts 22 and 90), two-way paging, qualifying interconnected business radio services, 220-222 MHz land mobile systems (Part 90), and PCS narrow-band services (Part 24). All other private wireless regulatory fees are paid in advance for the full licence term and submitted along with the appropriate application fee.</w:t>
      </w:r>
    </w:p>
    <w:p w14:paraId="610C8C17" w14:textId="77777777" w:rsidR="00CF04BC" w:rsidRPr="00B93493" w:rsidRDefault="00CF04BC" w:rsidP="00CF04BC">
      <w:r w:rsidRPr="00B93493">
        <w:rPr>
          <w:bCs/>
          <w:i/>
          <w:iCs/>
        </w:rPr>
        <w:t>Mass media licensees</w:t>
      </w:r>
      <w:r w:rsidRPr="00B93493">
        <w:t>:  commercial AM and FM radio stations, commercial TV stations, low power television and television translator and booster licensees, broadcast auxiliary, FM translator and FM booster licensees, and multipoint distribution service licensees (includes multichannel multipoint distribution service). Non-commercial educational licensees are exempt from regulatory fees as are licensees of auxiliary broadcast services such as low power auxiliary stations, television auxiliary service stations, remote pickup stations and aural broadcast auxiliary stations where such licences are used in conjunction with commonly owned non-commercial educational stations. Emergency alert system (EAS) licences for auxiliary service facilities are also exempt as are instructional television fixed service (ITFS) licensees. In the event that there has been a change in ownership of a system after the effective date, but before the date payment is due, responsibility for payment of the regulatory fees rests with the owner of record on the effective date noted.</w:t>
      </w:r>
    </w:p>
    <w:p w14:paraId="39673CCD" w14:textId="77777777" w:rsidR="00CF04BC" w:rsidRPr="00B93493" w:rsidRDefault="00CF04BC" w:rsidP="00CF04BC">
      <w:r w:rsidRPr="00B93493">
        <w:rPr>
          <w:bCs/>
          <w:i/>
          <w:iCs/>
        </w:rPr>
        <w:t>Cable television systems</w:t>
      </w:r>
      <w:r w:rsidRPr="00B93493">
        <w:rPr>
          <w:bCs/>
        </w:rPr>
        <w:t>:  </w:t>
      </w:r>
      <w:r w:rsidRPr="00B93493">
        <w:t>cable television systems operating on 31 December 1996, were requested to pay regulatory fees per subscriber in the fiscal year 1997. All cable television systems were requested to pay regulatory fees of USD 0.54 per subscriber for each community unit in which they operate. Additionally, each system operating on 1 October 1996, was requested to pay a USD 65.00 fee for each community antenna relay service licence held and, if applicable, a USD 25.00 fee for each broadcast auxiliary service licence held. In the event that there had been a change in ownership of a system after the effective dates above, but before the date payment was due, responsibility for payment of the regulatory fees rested with the owner of record on the appropriate effective date noted above.</w:t>
      </w:r>
    </w:p>
    <w:p w14:paraId="48945445" w14:textId="77777777" w:rsidR="00CF04BC" w:rsidRPr="00B93493" w:rsidRDefault="00CF04BC" w:rsidP="00CF04BC">
      <w:r w:rsidRPr="00B93493">
        <w:t>International public fixed licensees (Part 23), international (HF) broadcast licensees (Part 73), providers of international bearer circuits, earth station regulatees (Part 25), geosynchronous space station regulatees (Part 25) and direct broadcast satellite licensees (Part 100), and low-Earth orbit system licensees (Part 25).</w:t>
      </w:r>
    </w:p>
    <w:p w14:paraId="7D71C610" w14:textId="77777777" w:rsidR="00CF04BC" w:rsidRPr="00B93493" w:rsidRDefault="00CF04BC" w:rsidP="00CF04BC">
      <w:r w:rsidRPr="00B93493">
        <w:t>Local governments and non-profit entities are not required to pay regulatory fees. However, the FCC is considering a proposal which would require that each exempt entity submit, or have on file with the FCC, a current internal revenue service determination letter documenting its non-profit status, a certification of local governmental authority, or certification from a local governmental authority attesting to its exempt status. Under the proposal, a regulatee would be relieved of its fee payment requirement if its total fee due, including all categories of fees, amounts to less than USD 10.</w:t>
      </w:r>
    </w:p>
    <w:p w14:paraId="10C83C57" w14:textId="77777777" w:rsidR="00CF04BC" w:rsidRPr="00B93493" w:rsidRDefault="00CF04BC" w:rsidP="00CF04BC">
      <w:r w:rsidRPr="00B93493">
        <w:t>For the fiscal year 1997, the FCC adjusted the estimated regulatory payment units for each service from the fiscal year 1996 fees. The FCC obtained its estimated payment units through a variety of means, including its licensee databases, actual prior-year payment records, and industry and trade group projections. Whenever possible, the FCC verified these estimates from multiple sources to ensure their accuracy.</w:t>
      </w:r>
    </w:p>
    <w:p w14:paraId="6CBF9811" w14:textId="77777777" w:rsidR="00CF04BC" w:rsidRPr="00B93493" w:rsidRDefault="00CF04BC" w:rsidP="00CF04BC">
      <w:r w:rsidRPr="00B93493">
        <w:t>The FCC multiplied the revised payment units for each service by its fiscal year 1996 fee amounts in each fee category to estimate how much revenue the FCC would collect in the fiscal year 1997 without any change to the existing schedule of regulatory fees. The amount of revenue the FCC would have collected was approximately USD 137.3 million. This amount was approximately USD 15.2 million less than the amount the FCC was required to collect in the fiscal year 1997. The FCC therefore adjusted the revenue requirements for each fee category on a proportional basis, consistent with Section 9(b)(2) of the Act, to obtain an estimate of revenue requirements for each fee category necessary to collect the USD 152 million required by Congress for the fiscal year 1997.</w:t>
      </w:r>
    </w:p>
    <w:p w14:paraId="0D39A270" w14:textId="77777777" w:rsidR="00CF04BC" w:rsidRPr="00B93493" w:rsidRDefault="00CF04BC" w:rsidP="00CF04BC">
      <w:r w:rsidRPr="00B93493">
        <w:t>On 1 October 1995, the FCC implemented, in accordance with 47 U.S.C. § 159(i), a cost accounting system designed, in part, to provide the FCC with useful data, in combination with other information, to help ensure that fees closely reflected the FCC’s actual costs of regulation.</w:t>
      </w:r>
    </w:p>
    <w:p w14:paraId="771969A4" w14:textId="77777777" w:rsidR="00CF04BC" w:rsidRPr="00B93493" w:rsidRDefault="00CF04BC" w:rsidP="00CF04BC">
      <w:r w:rsidRPr="00B93493">
        <w:t>In order to utilize actual costs derived from the FCC’s cost accounting system for fee development purposes, indirect support costs contained in the cost accounting system had to be added to direct costs (see Note 1) and the results adjusted further to approximate the amount of revenue that Congress required the FCC to collect in the fiscal year 1997 (USD 152 million) (see Note 2).</w:t>
      </w:r>
      <w:r w:rsidRPr="00B93493">
        <w:rPr>
          <w:position w:val="6"/>
        </w:rPr>
        <w:t xml:space="preserve"> </w:t>
      </w:r>
      <w:r w:rsidRPr="00B93493">
        <w:t>Thus, the FCC proportionally adjusted the actual cost data related to regulatory fee activities recorded for the period 1 October 1995, through 30 September 1996, among the fee categories so that total costs approximated the USD 152 million.</w:t>
      </w:r>
    </w:p>
    <w:p w14:paraId="24F6B94F" w14:textId="77777777" w:rsidR="00CF04BC" w:rsidRPr="00B93493" w:rsidRDefault="00CF04BC" w:rsidP="00CF04BC">
      <w:r w:rsidRPr="00B93493">
        <w:t>The FCC’s next step was to determine whether reliance on actual costs to develop fiscal year 1997 regulatory fees would result in fees which were too disparate from the corresponding fiscal year 1996 fees. As a result of this analysis, the FCC proposed establishing a ceiling of 25% on the increase in the revenue requirement of any service over and above the Congressionally mandated overall increase in the revenue requirement and after taking into consideration changes in payment unit counts (see Note 3).</w:t>
      </w:r>
    </w:p>
    <w:p w14:paraId="282FC193" w14:textId="77777777" w:rsidR="00CF04BC" w:rsidRPr="00B93493" w:rsidRDefault="00CF04BC" w:rsidP="00CF04BC">
      <w:r w:rsidRPr="00B93493">
        <w:t>Because Congress, for the fiscal year 1997, increased the FCC’s overall fee collection requirement, the FCC was required to collect substantially more than it collected in the fiscal year 1996. Nevertheless, capping each service’s revenue requirement at no more than a 25% increase enabled the FCC to begin the process of realigning fees to account for differences in regulatory costs. The 25% increase was over and above the revenue which was required after adjusting for the projected fiscal year 1997 payment units and the proportional share of the 21% increase in the amount that Congress requires the FCC to collect. Thus, the fiscal year 1997 fees increased by more than 25% over the fiscal year 1996 fees. Under this methodology, fees actually increased by as much as 40%.</w:t>
      </w:r>
    </w:p>
    <w:p w14:paraId="4B21EEE1" w14:textId="77777777" w:rsidR="00CF04BC" w:rsidRPr="00B93493" w:rsidRDefault="00CF04BC" w:rsidP="00CF04BC">
      <w:pPr>
        <w:rPr>
          <w:position w:val="6"/>
        </w:rPr>
      </w:pPr>
      <w:r w:rsidRPr="00B93493">
        <w:t>An important consideration in establishing a revenue ceiling is the impact on other fee payers. Because the FCC was required to collect USD 152 million in the fiscal year 1997 regulatory fees, the additional revenue that would have been collected from classes of licensees subject to a revenue ceiling, instead needs to be collected from licensees not subject to the ceiling. This results in a certain amount of cross-subsidization between fee payer classes (see Note 4). The FCC asserted, however, that the public interest would best be served by adopting a revenue ceiling because, otherwise, several entities would be subjected to unexpected, substantial increases which could severely impact the economic well-being of these licensees.</w:t>
      </w:r>
    </w:p>
    <w:p w14:paraId="6FD61CB4" w14:textId="77777777" w:rsidR="00CF04BC" w:rsidRPr="00B93493" w:rsidRDefault="00CF04BC" w:rsidP="00CF04BC">
      <w:r w:rsidRPr="00B93493">
        <w:t>Regulation of interstate telephone service providers accounts for approximately 36% of all FCC costs. Therefore, any methodology which employs a subsidization feature, such as the FCC’s proposed revenue ceiling, will impact these regulatees to a greater extent than others, at least in the short term. As other fee payers’ fees approach amounts that bring their revenues closer to their actual costs, as the FCC’s phased-in revenue ceiling technique would do, the amount of subsidization required of fee payers below their revenue ceilings (such as those common carriers providing interstate telephone service) will steadily decrease. Thus, in the long term, cross-subsidization will decrease and revenue requirements for all services will approach actual costs (assuming other factors, such as the total amount that Congress requires the FCC to collect, remain constant).</w:t>
      </w:r>
    </w:p>
    <w:p w14:paraId="041825F9" w14:textId="77777777" w:rsidR="00CF04BC" w:rsidRPr="00B93493" w:rsidRDefault="00CF04BC" w:rsidP="00CF04BC">
      <w:r w:rsidRPr="00B93493">
        <w:t>The FCC adopted the 25% revenue ceiling as proposed. Application of the 25% ceiling was accomplished by choosing a “target” fee revenue requirement for each individual fee category. This “target” was either the actual calculated revenue requirement (for those categories at or below the 25% ceiling) or, in cases where the calculated revenue exceeded the ceiling, an amount equal to the ceiling. The shortfall created by reducing the revenue requirement of those whose revenue requirement exceeded the revenue ceiling was proportionately spread among those fee categories whose revenue requirements were below the ceiling. This computation required more than one round of adjustment because the allocation of this revenue, in a few instances, caused the new revenue requirement amount to exceed the 25% ceiling. After two iterations (rounds), all the revenue requirements were at or below the revenue ceiling.</w:t>
      </w:r>
    </w:p>
    <w:p w14:paraId="2D75693F" w14:textId="77777777" w:rsidR="00CF04BC" w:rsidRPr="00B93493" w:rsidRDefault="00CF04BC" w:rsidP="00CF04BC">
      <w:r w:rsidRPr="00B93493">
        <w:t>Once the FCC determined the amount of fee revenue needed to be collected from each class of licensee, the FCC divided the individual revenue requirements by the number of associated payment units (and by the licence term, if applicable, for “small” fees) to obtain actual fee amounts for each fee category. These calculated fee amounts were then rounded to an even amount.</w:t>
      </w:r>
    </w:p>
    <w:p w14:paraId="0C535AAD" w14:textId="77777777" w:rsidR="00CF04BC" w:rsidRPr="00B93493" w:rsidRDefault="00CF04BC" w:rsidP="00CF04BC">
      <w:pPr>
        <w:pStyle w:val="Note"/>
      </w:pPr>
      <w:r w:rsidRPr="00B93493">
        <w:t>NOTE 1 – One feature of the cost accounting system is that it separately identifies direct and indirect costs. Direct costs include salary and expenses for:</w:t>
      </w:r>
    </w:p>
    <w:p w14:paraId="74CA4894" w14:textId="77777777" w:rsidR="00CF04BC" w:rsidRPr="00B93493" w:rsidRDefault="00CF04BC" w:rsidP="00CF04BC">
      <w:pPr>
        <w:pStyle w:val="enumlev1"/>
        <w:rPr>
          <w:sz w:val="22"/>
          <w:szCs w:val="22"/>
        </w:rPr>
      </w:pPr>
      <w:r w:rsidRPr="00B93493">
        <w:rPr>
          <w:sz w:val="22"/>
          <w:szCs w:val="22"/>
        </w:rPr>
        <w:t>a)</w:t>
      </w:r>
      <w:r w:rsidRPr="00B93493">
        <w:rPr>
          <w:sz w:val="22"/>
          <w:szCs w:val="22"/>
        </w:rPr>
        <w:tab/>
        <w:t xml:space="preserve">staff directly assigned to the FCC’s operating Bureaus and performing regulatory activities; </w:t>
      </w:r>
    </w:p>
    <w:p w14:paraId="0F4F5CA4" w14:textId="77777777" w:rsidR="00CF04BC" w:rsidRPr="00B93493" w:rsidRDefault="00CF04BC" w:rsidP="00CF04BC">
      <w:pPr>
        <w:pStyle w:val="enumlev1"/>
        <w:rPr>
          <w:sz w:val="22"/>
          <w:szCs w:val="22"/>
        </w:rPr>
      </w:pPr>
      <w:r w:rsidRPr="00B93493">
        <w:rPr>
          <w:sz w:val="22"/>
          <w:szCs w:val="22"/>
        </w:rPr>
        <w:t>b)</w:t>
      </w:r>
      <w:r w:rsidRPr="00B93493">
        <w:rPr>
          <w:sz w:val="22"/>
          <w:szCs w:val="22"/>
        </w:rPr>
        <w:tab/>
        <w:t>staff assigned outside the operating Bureaus to the extent that their time is spent performing regulatory activities pertinent to an operating Bureau.</w:t>
      </w:r>
    </w:p>
    <w:p w14:paraId="72A1B141" w14:textId="77777777" w:rsidR="00CF04BC" w:rsidRPr="00B93493" w:rsidRDefault="00CF04BC" w:rsidP="00CF04BC">
      <w:pPr>
        <w:pStyle w:val="Note"/>
      </w:pPr>
      <w:r w:rsidRPr="00B93493">
        <w:t>These costs include rent, utilities and contractual costs attributable to such personnel. Indirect costs include support personnel assigned to overhead functions such as field and laboratory staff and certain staff assigned to the Office of the Managing Director. The combining of direct and indirect costs is accomplished on a proportional basis among all fee categories.</w:t>
      </w:r>
    </w:p>
    <w:p w14:paraId="4019F4DD" w14:textId="77777777" w:rsidR="00CF04BC" w:rsidRPr="00B93493" w:rsidRDefault="00CF04BC" w:rsidP="00CF04BC">
      <w:pPr>
        <w:pStyle w:val="Note"/>
      </w:pPr>
      <w:r w:rsidRPr="00B93493">
        <w:t>NOTE 2 – Congress's estimate of costs to be recovered through regulatory fees is generally determined at least twelve months before the end of the fiscal year to which the fees actually apply. As such, year-end actual activity costs will not equal exactly the amount Congress designates for collection in a particular fiscal year.</w:t>
      </w:r>
    </w:p>
    <w:p w14:paraId="3ED38BA4" w14:textId="77777777" w:rsidR="00CF04BC" w:rsidRPr="00B93493" w:rsidRDefault="00CF04BC" w:rsidP="00CF04BC">
      <w:pPr>
        <w:pStyle w:val="Note"/>
      </w:pPr>
      <w:r w:rsidRPr="00B93493">
        <w:t>NOTE 3 – For example, the regulatory cost associated with the Aviation (Aircraft) service is USD 934 905. If no change were made to this service’s fiscal year 1996 regulatory fee (USD 3 per year), the total revenue collected from licensees in this service would have been only USD 70 634 in the fiscal year 1997, a shortfall of USD 864 271. Application of the proposed 25% revenue ceiling to this service resulted in a capped revenue ceiling of USD 88 293 (USD 70 634 × 125%).</w:t>
      </w:r>
    </w:p>
    <w:p w14:paraId="54A0E5BF" w14:textId="77777777" w:rsidR="00CF04BC" w:rsidRPr="00B93493" w:rsidRDefault="00CF04BC" w:rsidP="00CF04BC">
      <w:pPr>
        <w:pStyle w:val="Note"/>
      </w:pPr>
      <w:r w:rsidRPr="00B93493">
        <w:t>NOTE 4 – Revenues from current fee payers already offset significant costs attributable to regulatees exempt from payment of a fee or otherwise not subject to a fee pursuant to Section 9(h) of the Act or the Commission’s rules. For example, CB and ship radio station users, amateur radio licensees, governmental entities, licensees in the public safety radio services, and all non-profit groups are not required to pay a fee. The costs of regulating these entities are borne by those regulatees subject to a fee requirement.</w:t>
      </w:r>
    </w:p>
    <w:p w14:paraId="3B9AC20E" w14:textId="77777777" w:rsidR="00CF04BC" w:rsidRPr="00B93493" w:rsidRDefault="00CF04BC" w:rsidP="00CF04BC">
      <w:pPr>
        <w:pStyle w:val="Heading3"/>
      </w:pPr>
      <w:bookmarkStart w:id="2444" w:name="_Toc289932338"/>
      <w:bookmarkStart w:id="2445" w:name="_Toc291852947"/>
      <w:bookmarkStart w:id="2446" w:name="_Toc289933384"/>
      <w:bookmarkStart w:id="2447" w:name="_Toc289868871"/>
      <w:bookmarkStart w:id="2448" w:name="_Toc392515931"/>
      <w:bookmarkStart w:id="2449" w:name="_Toc518394266"/>
      <w:bookmarkStart w:id="2450" w:name="_Toc462234150"/>
      <w:bookmarkStart w:id="2451" w:name="_Toc289869031"/>
      <w:bookmarkStart w:id="2452" w:name="_Toc182391585"/>
      <w:bookmarkStart w:id="2453" w:name="_Toc182391996"/>
      <w:r w:rsidRPr="00B93493">
        <w:t>5.2.10</w:t>
      </w:r>
      <w:r w:rsidRPr="00B93493">
        <w:tab/>
        <w:t>Brazil’s experience with spectrum fees</w:t>
      </w:r>
      <w:bookmarkEnd w:id="2444"/>
      <w:bookmarkEnd w:id="2445"/>
      <w:bookmarkEnd w:id="2446"/>
      <w:bookmarkEnd w:id="2447"/>
      <w:bookmarkEnd w:id="2448"/>
      <w:bookmarkEnd w:id="2449"/>
      <w:bookmarkEnd w:id="2450"/>
      <w:bookmarkEnd w:id="2451"/>
      <w:bookmarkEnd w:id="2452"/>
      <w:bookmarkEnd w:id="2453"/>
    </w:p>
    <w:p w14:paraId="3B135B9E" w14:textId="77777777" w:rsidR="00CF04BC" w:rsidRPr="00B93493" w:rsidRDefault="00CF04BC" w:rsidP="00CF04BC">
      <w:r w:rsidRPr="00B93493">
        <w:t xml:space="preserve">The Brazilian General Telecommunication Law, Law 9 472, 16 July 1997, established that the use of radio frequency for radiocommunication services would be charged as a rule. </w:t>
      </w:r>
    </w:p>
    <w:p w14:paraId="70AE8FA4" w14:textId="77777777" w:rsidR="00CF04BC" w:rsidRPr="00B93493" w:rsidRDefault="00CF04BC" w:rsidP="00CF04BC">
      <w:r w:rsidRPr="00B93493">
        <w:t>The value of the charge should alternatively be:</w:t>
      </w:r>
    </w:p>
    <w:p w14:paraId="73C97F36" w14:textId="77777777" w:rsidR="00CF04BC" w:rsidRPr="00B93493" w:rsidRDefault="00CF04BC" w:rsidP="00CF04BC">
      <w:pPr>
        <w:pStyle w:val="enumlev1"/>
      </w:pPr>
      <w:r w:rsidRPr="00B93493">
        <w:rPr>
          <w:szCs w:val="24"/>
        </w:rPr>
        <w:sym w:font="Symbol" w:char="F02D"/>
      </w:r>
      <w:r w:rsidRPr="00B93493">
        <w:tab/>
        <w:t>determined by the regulations or the tender invitation document; or</w:t>
      </w:r>
    </w:p>
    <w:p w14:paraId="1422258B" w14:textId="77777777" w:rsidR="00CF04BC" w:rsidRPr="00B93493" w:rsidRDefault="00CF04BC" w:rsidP="00CF04BC">
      <w:pPr>
        <w:pStyle w:val="enumlev1"/>
      </w:pPr>
      <w:r w:rsidRPr="00B93493">
        <w:rPr>
          <w:szCs w:val="24"/>
        </w:rPr>
        <w:sym w:font="Symbol" w:char="F02D"/>
      </w:r>
      <w:r w:rsidRPr="00B93493">
        <w:tab/>
        <w:t>established as per the winning proposal, when it becomes a judgment item or established in the concession contract or license act, in the cases where bidding is required.</w:t>
      </w:r>
    </w:p>
    <w:p w14:paraId="7D0700C3" w14:textId="77777777" w:rsidR="00CF04BC" w:rsidRPr="00B93493" w:rsidRDefault="00CF04BC" w:rsidP="00CF04BC">
      <w:pPr>
        <w:keepNext/>
        <w:keepLines/>
      </w:pPr>
      <w:r w:rsidRPr="00B93493">
        <w:t>In 2018, the National Telecommunication Agency, Anatel, reviewed the regulation on the collection of public fees for the right to use radio frequencies. The regulation was approved by Resolution 695, 20 July 2018, exempt fees in four cases:</w:t>
      </w:r>
    </w:p>
    <w:p w14:paraId="10B52CAF" w14:textId="77777777" w:rsidR="00CF04BC" w:rsidRPr="00B93493" w:rsidRDefault="00CF04BC" w:rsidP="00CF04BC">
      <w:pPr>
        <w:pStyle w:val="enumlev1"/>
      </w:pPr>
      <w:r w:rsidRPr="00B93493">
        <w:rPr>
          <w:szCs w:val="24"/>
        </w:rPr>
        <w:sym w:font="Symbol" w:char="F02D"/>
      </w:r>
      <w:r w:rsidRPr="00B93493">
        <w:tab/>
        <w:t>the use of radio frequency by means of short-range device equipment as defined by the Anatel;</w:t>
      </w:r>
    </w:p>
    <w:p w14:paraId="117FE229" w14:textId="77777777" w:rsidR="00CF04BC" w:rsidRPr="00B93493" w:rsidRDefault="00CF04BC" w:rsidP="00CF04BC">
      <w:pPr>
        <w:pStyle w:val="enumlev1"/>
      </w:pPr>
      <w:r w:rsidRPr="00B93493">
        <w:rPr>
          <w:szCs w:val="24"/>
        </w:rPr>
        <w:sym w:font="Symbol" w:char="F02D"/>
      </w:r>
      <w:r w:rsidRPr="00B93493">
        <w:tab/>
        <w:t>the use, by the Armed Forces, of radio frequencies in the bands intended for exclusively military purposes;</w:t>
      </w:r>
    </w:p>
    <w:p w14:paraId="7213F54A" w14:textId="77777777" w:rsidR="00CF04BC" w:rsidRPr="00B93493" w:rsidRDefault="00CF04BC" w:rsidP="00CF04BC">
      <w:pPr>
        <w:pStyle w:val="enumlev1"/>
      </w:pPr>
      <w:r w:rsidRPr="00B93493">
        <w:rPr>
          <w:szCs w:val="24"/>
        </w:rPr>
        <w:sym w:font="Symbol" w:char="F02D"/>
      </w:r>
      <w:r w:rsidRPr="00B93493">
        <w:tab/>
        <w:t>the temporary use of radio frequencies by diplomatic missions, representations of international organizations and consular offices, including foreign military aircraft and vessels;</w:t>
      </w:r>
    </w:p>
    <w:p w14:paraId="02B61325" w14:textId="77777777" w:rsidR="00CF04BC" w:rsidRPr="00B93493" w:rsidRDefault="00CF04BC" w:rsidP="00CF04BC">
      <w:pPr>
        <w:pStyle w:val="enumlev1"/>
      </w:pPr>
      <w:r w:rsidRPr="00B93493">
        <w:rPr>
          <w:szCs w:val="24"/>
        </w:rPr>
        <w:sym w:font="Symbol" w:char="F02D"/>
      </w:r>
      <w:r w:rsidRPr="00B93493">
        <w:tab/>
        <w:t>the transfer of authorization to use radio frequencies authorization granted to another entity.</w:t>
      </w:r>
    </w:p>
    <w:p w14:paraId="1E091E47" w14:textId="77777777" w:rsidR="00CF04BC" w:rsidRPr="00B93493" w:rsidRDefault="00CF04BC" w:rsidP="00CF04BC">
      <w:pPr>
        <w:keepNext/>
        <w:keepLines/>
      </w:pPr>
      <w:r w:rsidRPr="00B93493">
        <w:t>The price should be based on how one precludes the use of a specific radio frequency to other users. So the following aspects were considered: time, space (</w:t>
      </w:r>
      <w:r>
        <w:t>geometric/</w:t>
      </w:r>
      <w:r w:rsidRPr="00B93493">
        <w:t>geographic</w:t>
      </w:r>
      <w:r>
        <w:t xml:space="preserve"> space</w:t>
      </w:r>
      <w:r w:rsidRPr="00B93493">
        <w:t>), bandwidth, population of the area of the service, and frequency band.</w:t>
      </w:r>
    </w:p>
    <w:p w14:paraId="5EDB473C" w14:textId="77777777" w:rsidR="00CF04BC" w:rsidRPr="00B93493" w:rsidRDefault="00CF04BC" w:rsidP="00CF04BC">
      <w:r w:rsidRPr="00B93493">
        <w:t>The public price for the right to use radiofrequency (PPDUR) is a fee defined by the function below:</w:t>
      </w:r>
    </w:p>
    <w:p w14:paraId="1D48B78B" w14:textId="77777777" w:rsidR="00CF04BC" w:rsidRPr="00B93493" w:rsidRDefault="00CF04BC" w:rsidP="00CF04BC">
      <w:pPr>
        <w:pStyle w:val="Equation"/>
      </w:pPr>
      <m:oMathPara>
        <m:oMath>
          <m:r>
            <w:rPr>
              <w:rFonts w:ascii="Cambria Math" w:hAnsi="Cambria Math"/>
            </w:rPr>
            <m:t>PPDUR</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oMath>
      </m:oMathPara>
    </w:p>
    <w:p w14:paraId="09B614CF" w14:textId="77777777" w:rsidR="00CF04BC" w:rsidRPr="00B93493" w:rsidRDefault="00CF04BC" w:rsidP="00CF04BC">
      <w:pPr>
        <w:spacing w:after="120"/>
      </w:pPr>
      <w:r w:rsidRPr="00B93493">
        <w:t>where: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5948"/>
      </w:tblGrid>
      <w:tr w:rsidR="00CF04BC" w:rsidRPr="00B93493" w14:paraId="264724F5" w14:textId="77777777" w:rsidTr="00C65E6B">
        <w:tc>
          <w:tcPr>
            <w:tcW w:w="1129" w:type="dxa"/>
          </w:tcPr>
          <w:p w14:paraId="2948FD5A" w14:textId="77777777" w:rsidR="00CF04BC" w:rsidRPr="00B93493" w:rsidRDefault="00CF04BC" w:rsidP="002E7F54">
            <w:pPr>
              <w:pStyle w:val="Tablehead"/>
            </w:pPr>
            <w:r w:rsidRPr="00B93493">
              <w:t>Variable</w:t>
            </w:r>
          </w:p>
        </w:tc>
        <w:tc>
          <w:tcPr>
            <w:tcW w:w="2552" w:type="dxa"/>
          </w:tcPr>
          <w:p w14:paraId="702C295A" w14:textId="77777777" w:rsidR="00CF04BC" w:rsidRPr="00B93493" w:rsidRDefault="00CF04BC" w:rsidP="002E7F54">
            <w:pPr>
              <w:pStyle w:val="Tablehead"/>
            </w:pPr>
            <w:r w:rsidRPr="00B93493">
              <w:t>Description</w:t>
            </w:r>
          </w:p>
        </w:tc>
        <w:tc>
          <w:tcPr>
            <w:tcW w:w="5948" w:type="dxa"/>
          </w:tcPr>
          <w:p w14:paraId="693B62B8" w14:textId="77777777" w:rsidR="00CF04BC" w:rsidRPr="00B93493" w:rsidRDefault="00CF04BC" w:rsidP="002E7F54">
            <w:pPr>
              <w:pStyle w:val="Tablehead"/>
            </w:pPr>
            <w:r w:rsidRPr="00B93493">
              <w:t>Values</w:t>
            </w:r>
          </w:p>
        </w:tc>
      </w:tr>
      <w:tr w:rsidR="00CF04BC" w:rsidRPr="00B93493" w14:paraId="31593F4B" w14:textId="77777777" w:rsidTr="00C65E6B">
        <w:trPr>
          <w:trHeight w:val="684"/>
        </w:trPr>
        <w:tc>
          <w:tcPr>
            <w:tcW w:w="1129" w:type="dxa"/>
            <w:vMerge w:val="restart"/>
          </w:tcPr>
          <w:p w14:paraId="12618500" w14:textId="77777777" w:rsidR="00CF04BC" w:rsidRPr="00B93493" w:rsidRDefault="00CF04BC" w:rsidP="002E7F54">
            <w:pPr>
              <w:pStyle w:val="Tabletext"/>
              <w:rPr>
                <w:i/>
                <w:iCs/>
              </w:rPr>
            </w:pPr>
            <w:r w:rsidRPr="00B93493">
              <w:rPr>
                <w:i/>
                <w:iCs/>
              </w:rPr>
              <w:t>L</w:t>
            </w:r>
          </w:p>
        </w:tc>
        <w:tc>
          <w:tcPr>
            <w:tcW w:w="2552" w:type="dxa"/>
          </w:tcPr>
          <w:p w14:paraId="42381B1B" w14:textId="77777777" w:rsidR="00CF04BC" w:rsidRPr="00B93493" w:rsidRDefault="00CF04BC" w:rsidP="002E7F54">
            <w:pPr>
              <w:pStyle w:val="Tabletext"/>
            </w:pPr>
            <w:r w:rsidRPr="00B93493">
              <w:t>Frequency capacity</w:t>
            </w:r>
          </w:p>
        </w:tc>
        <w:tc>
          <w:tcPr>
            <w:tcW w:w="5948" w:type="dxa"/>
          </w:tcPr>
          <w:p w14:paraId="7D74A6EF" w14:textId="77777777" w:rsidR="00CF04BC" w:rsidRPr="00B93493" w:rsidRDefault="00CF04BC" w:rsidP="002E7F54">
            <w:pPr>
              <w:pStyle w:val="Tabletext"/>
            </w:pPr>
            <w:r w:rsidRPr="00B93493">
              <w:t>3×</w:t>
            </w:r>
            <w:r w:rsidRPr="00B93493">
              <w:rPr>
                <w:i/>
                <w:iCs/>
              </w:rPr>
              <w:t>b</w:t>
            </w:r>
            <w:r w:rsidRPr="00B93493">
              <w:t xml:space="preserve"> </w:t>
            </w:r>
            <w:r w:rsidRPr="00B93493">
              <w:tab/>
            </w:r>
            <w:r w:rsidRPr="00B93493">
              <w:tab/>
              <w:t>for frequencies equal or below 100 MHz</w:t>
            </w:r>
          </w:p>
          <w:p w14:paraId="7F350DA4" w14:textId="77777777" w:rsidR="00CF04BC" w:rsidRPr="00B93493" w:rsidRDefault="00CF04BC" w:rsidP="002E7F54">
            <w:pPr>
              <w:pStyle w:val="Tabletext"/>
            </w:pPr>
            <w:r w:rsidRPr="00B93493">
              <w:t xml:space="preserve">300 </w:t>
            </w:r>
            <w:r w:rsidRPr="00B93493">
              <w:tab/>
            </w:r>
            <w:r w:rsidRPr="00B93493">
              <w:tab/>
              <w:t>for frequencies above 100 MHz</w:t>
            </w:r>
          </w:p>
        </w:tc>
      </w:tr>
      <w:tr w:rsidR="00CF04BC" w:rsidRPr="00B93493" w14:paraId="565E00E6" w14:textId="77777777" w:rsidTr="00C65E6B">
        <w:tc>
          <w:tcPr>
            <w:tcW w:w="1129" w:type="dxa"/>
            <w:vMerge/>
          </w:tcPr>
          <w:p w14:paraId="47DDFDAE" w14:textId="77777777" w:rsidR="00CF04BC" w:rsidRPr="00B93493" w:rsidRDefault="00CF04BC" w:rsidP="002E7F54">
            <w:pPr>
              <w:pStyle w:val="Tabletext"/>
              <w:rPr>
                <w:i/>
                <w:iCs/>
              </w:rPr>
            </w:pPr>
          </w:p>
        </w:tc>
        <w:tc>
          <w:tcPr>
            <w:tcW w:w="8500" w:type="dxa"/>
            <w:gridSpan w:val="2"/>
          </w:tcPr>
          <w:p w14:paraId="2A59E975" w14:textId="77777777" w:rsidR="00CF04BC" w:rsidRPr="00B93493" w:rsidRDefault="00CF04BC" w:rsidP="002E7F54">
            <w:pPr>
              <w:pStyle w:val="Tabletext"/>
            </w:pPr>
            <w:r w:rsidRPr="00B93493">
              <w:rPr>
                <w:i/>
                <w:iCs/>
              </w:rPr>
              <w:t>b</w:t>
            </w:r>
            <w:r w:rsidRPr="00B93493">
              <w:t>: bandwidth, in MHz</w:t>
            </w:r>
          </w:p>
        </w:tc>
      </w:tr>
      <w:tr w:rsidR="00CF04BC" w:rsidRPr="00B93493" w14:paraId="51895169" w14:textId="77777777" w:rsidTr="00C65E6B">
        <w:trPr>
          <w:trHeight w:val="684"/>
        </w:trPr>
        <w:tc>
          <w:tcPr>
            <w:tcW w:w="1129" w:type="dxa"/>
            <w:vMerge w:val="restart"/>
          </w:tcPr>
          <w:p w14:paraId="6F5557C3" w14:textId="77777777" w:rsidR="00CF04BC" w:rsidRPr="00B93493" w:rsidRDefault="00CF04BC" w:rsidP="002E7F54">
            <w:pPr>
              <w:pStyle w:val="Tabletext"/>
              <w:rPr>
                <w:i/>
                <w:iCs/>
              </w:rPr>
            </w:pPr>
            <w:r w:rsidRPr="00B93493">
              <w:rPr>
                <w:i/>
                <w:iCs/>
              </w:rPr>
              <w:t>C</w:t>
            </w:r>
          </w:p>
        </w:tc>
        <w:tc>
          <w:tcPr>
            <w:tcW w:w="2552" w:type="dxa"/>
          </w:tcPr>
          <w:p w14:paraId="3814B65F" w14:textId="77777777" w:rsidR="00CF04BC" w:rsidRPr="00B93493" w:rsidRDefault="00CF04BC" w:rsidP="002E7F54">
            <w:pPr>
              <w:pStyle w:val="Tabletext"/>
            </w:pPr>
            <w:r w:rsidRPr="00B93493">
              <w:t>Frequency coverage</w:t>
            </w:r>
          </w:p>
        </w:tc>
        <w:tc>
          <w:tcPr>
            <w:tcW w:w="5948" w:type="dxa"/>
          </w:tcPr>
          <w:p w14:paraId="0DA52EF6" w14:textId="77777777" w:rsidR="00CF04BC" w:rsidRPr="00B93493" w:rsidRDefault="00CF04BC" w:rsidP="002E7F54">
            <w:pPr>
              <w:pStyle w:val="Tabletext"/>
            </w:pPr>
            <m:oMath>
              <m:r>
                <w:rPr>
                  <w:rFonts w:ascii="Cambria Math" w:hAnsi="Cambria Math"/>
                </w:rPr>
                <m:t>101-</m:t>
              </m:r>
              <m:sSup>
                <m:sSupPr>
                  <m:ctrlPr>
                    <w:rPr>
                      <w:rFonts w:ascii="Cambria Math" w:hAnsi="Cambria Math"/>
                      <w:i/>
                      <w:iCs/>
                    </w:rPr>
                  </m:ctrlPr>
                </m:sSupPr>
                <m:e>
                  <m:r>
                    <w:rPr>
                      <w:rFonts w:ascii="Cambria Math" w:hAnsi="Cambria Math"/>
                    </w:rPr>
                    <m:t>f</m:t>
                  </m:r>
                </m:e>
                <m:sup>
                  <m:r>
                    <w:rPr>
                      <w:rFonts w:ascii="Cambria Math" w:hAnsi="Cambria Math"/>
                    </w:rPr>
                    <m:t>2</m:t>
                  </m:r>
                </m:sup>
              </m:sSup>
            </m:oMath>
            <w:r w:rsidRPr="00B93493">
              <w:t xml:space="preserve"> </w:t>
            </w:r>
            <w:r w:rsidRPr="00B93493">
              <w:tab/>
              <w:t>for frequencies equal or below 10 GHz</w:t>
            </w:r>
          </w:p>
          <w:p w14:paraId="15073BAE" w14:textId="77777777" w:rsidR="00CF04BC" w:rsidRPr="00B93493" w:rsidRDefault="00CF04BC" w:rsidP="002E7F54">
            <w:pPr>
              <w:pStyle w:val="Tabletext"/>
              <w:rPr>
                <w:i/>
                <w:iCs/>
              </w:rPr>
            </w:pPr>
            <w:r w:rsidRPr="00B93493">
              <w:t xml:space="preserve">1 </w:t>
            </w:r>
            <w:r w:rsidRPr="00B93493">
              <w:tab/>
            </w:r>
            <w:r w:rsidRPr="00B93493">
              <w:tab/>
              <w:t>for frequencies above 10 GHz</w:t>
            </w:r>
          </w:p>
        </w:tc>
      </w:tr>
      <w:tr w:rsidR="00CF04BC" w:rsidRPr="00B93493" w14:paraId="6428B30F" w14:textId="77777777" w:rsidTr="00C65E6B">
        <w:tc>
          <w:tcPr>
            <w:tcW w:w="1129" w:type="dxa"/>
            <w:vMerge/>
          </w:tcPr>
          <w:p w14:paraId="1C0502C3" w14:textId="77777777" w:rsidR="00CF04BC" w:rsidRPr="00B93493" w:rsidRDefault="00CF04BC" w:rsidP="002E7F54">
            <w:pPr>
              <w:pStyle w:val="Tabletext"/>
              <w:rPr>
                <w:i/>
                <w:iCs/>
              </w:rPr>
            </w:pPr>
          </w:p>
        </w:tc>
        <w:tc>
          <w:tcPr>
            <w:tcW w:w="8500" w:type="dxa"/>
            <w:gridSpan w:val="2"/>
          </w:tcPr>
          <w:p w14:paraId="0747AF9C" w14:textId="77777777" w:rsidR="00CF04BC" w:rsidRPr="00B93493" w:rsidRDefault="00CF04BC" w:rsidP="002E7F54">
            <w:pPr>
              <w:pStyle w:val="Tabletext"/>
            </w:pPr>
            <w:r w:rsidRPr="00B93493">
              <w:rPr>
                <w:i/>
                <w:iCs/>
              </w:rPr>
              <w:t>f</w:t>
            </w:r>
            <w:r w:rsidRPr="00B93493">
              <w:t xml:space="preserve">: central frequency, in GHz </w:t>
            </w:r>
          </w:p>
        </w:tc>
      </w:tr>
      <w:tr w:rsidR="00CF04BC" w:rsidRPr="00B93493" w14:paraId="666AD277" w14:textId="77777777" w:rsidTr="00C65E6B">
        <w:trPr>
          <w:trHeight w:val="685"/>
        </w:trPr>
        <w:tc>
          <w:tcPr>
            <w:tcW w:w="1129" w:type="dxa"/>
            <w:vMerge w:val="restart"/>
          </w:tcPr>
          <w:p w14:paraId="086A39EB" w14:textId="77777777" w:rsidR="00CF04BC" w:rsidRPr="00B93493" w:rsidRDefault="00CF04BC" w:rsidP="002E7F54">
            <w:pPr>
              <w:pStyle w:val="Tabletext"/>
              <w:rPr>
                <w:i/>
                <w:iCs/>
              </w:rPr>
            </w:pPr>
            <w:r w:rsidRPr="00B93493">
              <w:rPr>
                <w:i/>
                <w:iCs/>
              </w:rPr>
              <w:t>P</w:t>
            </w:r>
          </w:p>
        </w:tc>
        <w:tc>
          <w:tcPr>
            <w:tcW w:w="2552" w:type="dxa"/>
          </w:tcPr>
          <w:p w14:paraId="6E3C9C53" w14:textId="77777777" w:rsidR="00CF04BC" w:rsidRPr="00B93493" w:rsidRDefault="00CF04BC" w:rsidP="002E7F54">
            <w:pPr>
              <w:pStyle w:val="Tabletext"/>
            </w:pPr>
            <w:r w:rsidRPr="00B93493">
              <w:t>Population of the area</w:t>
            </w:r>
          </w:p>
        </w:tc>
        <w:tc>
          <w:tcPr>
            <w:tcW w:w="5948" w:type="dxa"/>
          </w:tcPr>
          <w:p w14:paraId="2645FF96" w14:textId="77777777" w:rsidR="00CF04BC" w:rsidRPr="00B93493" w:rsidRDefault="006640E0" w:rsidP="002E7F54">
            <w:pPr>
              <w:pStyle w:val="Tabletext"/>
              <w:rPr>
                <w:i/>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pop</m:t>
                        </m:r>
                      </m:e>
                      <m:sub>
                        <m:r>
                          <w:rPr>
                            <w:rFonts w:ascii="Cambria Math" w:hAnsi="Cambria Math"/>
                          </w:rPr>
                          <m:t>auth</m:t>
                        </m:r>
                      </m:sub>
                    </m:sSub>
                  </m:num>
                  <m:den>
                    <m:sSub>
                      <m:sSubPr>
                        <m:ctrlPr>
                          <w:rPr>
                            <w:rFonts w:ascii="Cambria Math" w:hAnsi="Cambria Math"/>
                            <w:i/>
                            <w:iCs/>
                          </w:rPr>
                        </m:ctrlPr>
                      </m:sSubPr>
                      <m:e>
                        <m:r>
                          <w:rPr>
                            <w:rFonts w:ascii="Cambria Math" w:hAnsi="Cambria Math"/>
                          </w:rPr>
                          <m:t>pop</m:t>
                        </m:r>
                      </m:e>
                      <m:sub>
                        <m:r>
                          <w:rPr>
                            <w:rFonts w:ascii="Cambria Math" w:hAnsi="Cambria Math"/>
                          </w:rPr>
                          <m:t>Brazil</m:t>
                        </m:r>
                      </m:sub>
                    </m:sSub>
                  </m:den>
                </m:f>
                <m:r>
                  <w:rPr>
                    <w:rFonts w:ascii="Cambria Math" w:hAnsi="Cambria Math"/>
                  </w:rPr>
                  <m:t>×100</m:t>
                </m:r>
              </m:oMath>
            </m:oMathPara>
          </w:p>
        </w:tc>
      </w:tr>
      <w:tr w:rsidR="00CF04BC" w:rsidRPr="00B93493" w14:paraId="172D848D" w14:textId="77777777" w:rsidTr="00C65E6B">
        <w:trPr>
          <w:trHeight w:val="992"/>
        </w:trPr>
        <w:tc>
          <w:tcPr>
            <w:tcW w:w="1129" w:type="dxa"/>
            <w:vMerge/>
          </w:tcPr>
          <w:p w14:paraId="2B19092E" w14:textId="77777777" w:rsidR="00CF04BC" w:rsidRPr="00B93493" w:rsidRDefault="00CF04BC" w:rsidP="002E7F54">
            <w:pPr>
              <w:pStyle w:val="Tabletext"/>
              <w:rPr>
                <w:i/>
                <w:iCs/>
              </w:rPr>
            </w:pPr>
          </w:p>
        </w:tc>
        <w:tc>
          <w:tcPr>
            <w:tcW w:w="8500" w:type="dxa"/>
            <w:gridSpan w:val="2"/>
          </w:tcPr>
          <w:p w14:paraId="7A81FD67" w14:textId="77777777" w:rsidR="00CF04BC" w:rsidRPr="00B93493" w:rsidRDefault="00CF04BC" w:rsidP="002E7F54">
            <w:pPr>
              <w:pStyle w:val="Tabletext"/>
            </w:pPr>
            <w:r w:rsidRPr="00B93493">
              <w:rPr>
                <w:i/>
                <w:iCs/>
              </w:rPr>
              <w:t>pop</w:t>
            </w:r>
            <w:r w:rsidRPr="00B93493">
              <w:rPr>
                <w:i/>
                <w:iCs/>
                <w:vertAlign w:val="subscript"/>
              </w:rPr>
              <w:t>auth</w:t>
            </w:r>
            <w:r w:rsidRPr="00B93493">
              <w:t>: number of habitants of the area of the authorization, or the number of habitants of the cities where the point-to-point links will be deployed.</w:t>
            </w:r>
          </w:p>
          <w:p w14:paraId="67E3547F" w14:textId="77777777" w:rsidR="00CF04BC" w:rsidRPr="00B93493" w:rsidRDefault="00CF04BC" w:rsidP="002E7F54">
            <w:pPr>
              <w:pStyle w:val="Tabletext"/>
              <w:rPr>
                <w:i/>
                <w:iCs/>
              </w:rPr>
            </w:pPr>
            <w:r w:rsidRPr="00B93493">
              <w:rPr>
                <w:i/>
                <w:iCs/>
              </w:rPr>
              <w:t>pop</w:t>
            </w:r>
            <w:r w:rsidRPr="00B93493">
              <w:rPr>
                <w:i/>
                <w:iCs/>
                <w:vertAlign w:val="subscript"/>
              </w:rPr>
              <w:t>Brazil</w:t>
            </w:r>
            <w:r w:rsidRPr="00B93493">
              <w:t>: population of Brazil.</w:t>
            </w:r>
          </w:p>
        </w:tc>
      </w:tr>
      <w:tr w:rsidR="00CF04BC" w:rsidRPr="00B93493" w14:paraId="0D03645A" w14:textId="77777777" w:rsidTr="00C65E6B">
        <w:trPr>
          <w:trHeight w:val="561"/>
        </w:trPr>
        <w:tc>
          <w:tcPr>
            <w:tcW w:w="1129" w:type="dxa"/>
            <w:vMerge w:val="restart"/>
          </w:tcPr>
          <w:p w14:paraId="4842C4BA" w14:textId="77777777" w:rsidR="00CF04BC" w:rsidRPr="00B93493" w:rsidRDefault="00CF04BC" w:rsidP="002E7F54">
            <w:pPr>
              <w:pStyle w:val="Tabletext"/>
              <w:keepNext/>
              <w:rPr>
                <w:i/>
                <w:iCs/>
              </w:rPr>
            </w:pPr>
            <w:r w:rsidRPr="00B93493">
              <w:rPr>
                <w:i/>
                <w:iCs/>
              </w:rPr>
              <w:t>A</w:t>
            </w:r>
          </w:p>
        </w:tc>
        <w:tc>
          <w:tcPr>
            <w:tcW w:w="2552" w:type="dxa"/>
          </w:tcPr>
          <w:p w14:paraId="4481F38E" w14:textId="77777777" w:rsidR="00CF04BC" w:rsidRPr="00B93493" w:rsidRDefault="00CF04BC" w:rsidP="002E7F54">
            <w:pPr>
              <w:pStyle w:val="Tabletext"/>
              <w:keepNext/>
            </w:pPr>
            <w:r w:rsidRPr="00B93493">
              <w:t>G</w:t>
            </w:r>
            <w:r>
              <w:t>eometric/g</w:t>
            </w:r>
            <w:r w:rsidRPr="00B93493">
              <w:t xml:space="preserve">eographic </w:t>
            </w:r>
            <w:r>
              <w:t>space</w:t>
            </w:r>
          </w:p>
        </w:tc>
        <w:tc>
          <w:tcPr>
            <w:tcW w:w="5948" w:type="dxa"/>
          </w:tcPr>
          <w:p w14:paraId="48695C36" w14:textId="77777777" w:rsidR="00CF04BC" w:rsidRPr="00B93493" w:rsidRDefault="006640E0" w:rsidP="002E7F54">
            <w:pPr>
              <w:pStyle w:val="Tabletext"/>
              <w:keepNext/>
              <w:rPr>
                <w:i/>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area</m:t>
                        </m:r>
                      </m:e>
                      <m:sub>
                        <m:r>
                          <w:rPr>
                            <w:rFonts w:ascii="Cambria Math" w:hAnsi="Cambria Math"/>
                          </w:rPr>
                          <m:t>auth</m:t>
                        </m:r>
                      </m:sub>
                    </m:sSub>
                  </m:num>
                  <m:den>
                    <m:sSub>
                      <m:sSubPr>
                        <m:ctrlPr>
                          <w:rPr>
                            <w:rFonts w:ascii="Cambria Math" w:hAnsi="Cambria Math"/>
                            <w:i/>
                            <w:iCs/>
                          </w:rPr>
                        </m:ctrlPr>
                      </m:sSubPr>
                      <m:e>
                        <m:r>
                          <w:rPr>
                            <w:rFonts w:ascii="Cambria Math" w:hAnsi="Cambria Math"/>
                          </w:rPr>
                          <m:t>area</m:t>
                        </m:r>
                      </m:e>
                      <m:sub>
                        <m:r>
                          <w:rPr>
                            <w:rFonts w:ascii="Cambria Math" w:hAnsi="Cambria Math"/>
                          </w:rPr>
                          <m:t>Brazil</m:t>
                        </m:r>
                      </m:sub>
                    </m:sSub>
                  </m:den>
                </m:f>
                <m:r>
                  <w:rPr>
                    <w:rFonts w:ascii="Cambria Math" w:hAnsi="Cambria Math"/>
                  </w:rPr>
                  <m:t>×100</m:t>
                </m:r>
              </m:oMath>
            </m:oMathPara>
          </w:p>
        </w:tc>
      </w:tr>
      <w:tr w:rsidR="00CF04BC" w:rsidRPr="00B93493" w14:paraId="5F1EAD9A" w14:textId="77777777" w:rsidTr="00C65E6B">
        <w:trPr>
          <w:trHeight w:val="3560"/>
        </w:trPr>
        <w:tc>
          <w:tcPr>
            <w:tcW w:w="1129" w:type="dxa"/>
            <w:vMerge/>
          </w:tcPr>
          <w:p w14:paraId="562D9747" w14:textId="77777777" w:rsidR="00CF04BC" w:rsidRPr="00B93493" w:rsidRDefault="00CF04BC" w:rsidP="002E7F54">
            <w:pPr>
              <w:pStyle w:val="Tabletext"/>
              <w:rPr>
                <w:i/>
                <w:iCs/>
              </w:rPr>
            </w:pPr>
          </w:p>
        </w:tc>
        <w:tc>
          <w:tcPr>
            <w:tcW w:w="8500" w:type="dxa"/>
            <w:gridSpan w:val="2"/>
          </w:tcPr>
          <w:p w14:paraId="2E115CAE" w14:textId="77777777" w:rsidR="00CF04BC" w:rsidRPr="00B93493" w:rsidRDefault="00CF04BC" w:rsidP="002E7F54">
            <w:pPr>
              <w:pStyle w:val="Tabletext"/>
            </w:pPr>
            <w:r w:rsidRPr="00B93493">
              <w:rPr>
                <w:i/>
                <w:iCs/>
              </w:rPr>
              <w:t>area</w:t>
            </w:r>
            <w:r w:rsidRPr="00B93493">
              <w:rPr>
                <w:i/>
                <w:iCs/>
                <w:vertAlign w:val="subscript"/>
              </w:rPr>
              <w:t>auth</w:t>
            </w:r>
            <w:r w:rsidRPr="00B93493">
              <w:t>: geographic area in km</w:t>
            </w:r>
            <w:r w:rsidRPr="00B93493">
              <w:rPr>
                <w:vertAlign w:val="superscript"/>
              </w:rPr>
              <w:t>2</w:t>
            </w:r>
            <w:r w:rsidRPr="00B93493">
              <w:t xml:space="preserve"> indicated as requested, if the information is not provided, it will </w:t>
            </w:r>
            <w:r>
              <w:t xml:space="preserve">be </w:t>
            </w:r>
            <w:r w:rsidRPr="00B93493">
              <w:t>calculated as</w:t>
            </w:r>
          </w:p>
          <w:p w14:paraId="6B1D498A" w14:textId="77777777" w:rsidR="00CF04BC" w:rsidRPr="00B93493" w:rsidRDefault="006640E0" w:rsidP="002E7F54">
            <w:pPr>
              <w:pStyle w:val="Tabletext"/>
            </w:pPr>
            <m:oMathPara>
              <m:oMath>
                <m:sSub>
                  <m:sSubPr>
                    <m:ctrlPr>
                      <w:rPr>
                        <w:rFonts w:ascii="Cambria Math" w:hAnsi="Cambria Math"/>
                        <w:i/>
                      </w:rPr>
                    </m:ctrlPr>
                  </m:sSubPr>
                  <m:e>
                    <m:r>
                      <w:rPr>
                        <w:rFonts w:ascii="Cambria Math" w:hAnsi="Cambria Math"/>
                      </w:rPr>
                      <m:t>area</m:t>
                    </m:r>
                  </m:e>
                  <m:sub>
                    <m:r>
                      <w:rPr>
                        <w:rFonts w:ascii="Cambria Math" w:hAnsi="Cambria Math"/>
                      </w:rPr>
                      <m:t>auth</m:t>
                    </m:r>
                  </m:sub>
                </m:sSub>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α</m:t>
                    </m:r>
                  </m:num>
                  <m:den>
                    <m:r>
                      <w:rPr>
                        <w:rFonts w:ascii="Cambria Math" w:hAnsi="Cambria Math"/>
                      </w:rPr>
                      <m:t>360°</m:t>
                    </m:r>
                  </m:den>
                </m:f>
              </m:oMath>
            </m:oMathPara>
          </w:p>
          <w:p w14:paraId="5D9B142A" w14:textId="77777777" w:rsidR="00CF04BC" w:rsidRPr="00B93493" w:rsidRDefault="00CF04BC" w:rsidP="002E7F54">
            <w:pPr>
              <w:pStyle w:val="Tabletext"/>
            </w:pPr>
            <w:r w:rsidRPr="00B93493">
              <w:t>where</w:t>
            </w:r>
            <w:r>
              <w:t>:</w:t>
            </w:r>
            <w:r w:rsidRPr="00B93493">
              <w:t xml:space="preserve"> </w:t>
            </w:r>
          </w:p>
          <w:p w14:paraId="216171CA" w14:textId="77777777" w:rsidR="00CF04BC" w:rsidRPr="00B93493" w:rsidRDefault="00CF04BC" w:rsidP="002E7F54">
            <w:pPr>
              <w:pStyle w:val="Tabletext"/>
            </w:pPr>
            <w:r w:rsidRPr="00B93493">
              <w:tab/>
              <w:t>for point-to-point systems,</w:t>
            </w:r>
          </w:p>
          <w:p w14:paraId="325726C1" w14:textId="77777777" w:rsidR="00CF04BC" w:rsidRPr="00B93493" w:rsidRDefault="00CF04BC" w:rsidP="002E7F54">
            <w:pPr>
              <w:pStyle w:val="Tabletext"/>
            </w:pPr>
            <w:r w:rsidRPr="00B93493">
              <w:tab/>
            </w:r>
            <w:r w:rsidRPr="00B93493">
              <w:tab/>
              <w:t xml:space="preserve"> “</w:t>
            </w:r>
            <w:r w:rsidRPr="00B93493">
              <w:rPr>
                <w:i/>
                <w:iCs/>
              </w:rPr>
              <w:t>d”</w:t>
            </w:r>
            <w:r w:rsidRPr="00B93493">
              <w:t xml:space="preserve"> is the distance between the stations involved, in km, and </w:t>
            </w:r>
          </w:p>
          <w:p w14:paraId="547681D2" w14:textId="77777777" w:rsidR="00CF04BC" w:rsidRPr="00B93493" w:rsidRDefault="00CF04BC" w:rsidP="002E7F54">
            <w:pPr>
              <w:pStyle w:val="Tabletext"/>
            </w:pPr>
            <w:r w:rsidRPr="00B93493">
              <w:tab/>
            </w:r>
            <w:r w:rsidRPr="00B93493">
              <w:tab/>
              <w:t xml:space="preserve">“α” is the half-power angle of the radiating system, in degrees; </w:t>
            </w:r>
          </w:p>
          <w:p w14:paraId="615F289C" w14:textId="77777777" w:rsidR="00CF04BC" w:rsidRPr="00B93493" w:rsidRDefault="00CF04BC" w:rsidP="002E7F54">
            <w:pPr>
              <w:pStyle w:val="Tabletext"/>
            </w:pPr>
            <w:r w:rsidRPr="00B93493">
              <w:tab/>
              <w:t>for point-to-area systems, “</w:t>
            </w:r>
            <w:r w:rsidRPr="00B93493">
              <w:rPr>
                <w:i/>
                <w:iCs/>
              </w:rPr>
              <w:t>d”</w:t>
            </w:r>
            <w:r w:rsidRPr="00B93493">
              <w:t xml:space="preserve"> is the distance to be considered is the greatest distance in km covered by the base or node station or the greatest distance to the service contour of a broadcasting station, in km;</w:t>
            </w:r>
          </w:p>
          <w:p w14:paraId="1AA5C1EA" w14:textId="77777777" w:rsidR="00CF04BC" w:rsidRPr="00B93493" w:rsidRDefault="00CF04BC" w:rsidP="002E7F54">
            <w:pPr>
              <w:pStyle w:val="Tabletext"/>
            </w:pPr>
            <w:r w:rsidRPr="00B93493">
              <w:t>in any circumstance, the surface to be considered for the calculation of the area will be limited to the national territory, including territorial waters.</w:t>
            </w:r>
          </w:p>
          <w:p w14:paraId="640CEE4B" w14:textId="77777777" w:rsidR="00CF04BC" w:rsidRPr="00B93493" w:rsidRDefault="00CF04BC" w:rsidP="002E7F54">
            <w:pPr>
              <w:pStyle w:val="Tabletext"/>
              <w:rPr>
                <w:i/>
                <w:iCs/>
              </w:rPr>
            </w:pPr>
            <w:r w:rsidRPr="00B93493">
              <w:rPr>
                <w:i/>
                <w:iCs/>
              </w:rPr>
              <w:t>area</w:t>
            </w:r>
            <w:r w:rsidRPr="00B93493">
              <w:rPr>
                <w:i/>
                <w:iCs/>
                <w:vertAlign w:val="subscript"/>
              </w:rPr>
              <w:t>Brazil</w:t>
            </w:r>
            <w:r w:rsidRPr="00B93493">
              <w:t>: geographic area of Brazil in km</w:t>
            </w:r>
            <w:r w:rsidRPr="00B93493">
              <w:rPr>
                <w:vertAlign w:val="superscript"/>
              </w:rPr>
              <w:t>2</w:t>
            </w:r>
            <w:r w:rsidRPr="00B93493">
              <w:t>.</w:t>
            </w:r>
          </w:p>
        </w:tc>
      </w:tr>
      <w:tr w:rsidR="00CF04BC" w:rsidRPr="00B93493" w14:paraId="0D7675CE" w14:textId="77777777" w:rsidTr="00C65E6B">
        <w:trPr>
          <w:trHeight w:val="265"/>
        </w:trPr>
        <w:tc>
          <w:tcPr>
            <w:tcW w:w="1129" w:type="dxa"/>
          </w:tcPr>
          <w:p w14:paraId="36F6DE8A" w14:textId="77777777" w:rsidR="00CF04BC" w:rsidRPr="00B93493" w:rsidRDefault="00CF04BC" w:rsidP="002E7F54">
            <w:pPr>
              <w:pStyle w:val="Tabletext"/>
              <w:rPr>
                <w:i/>
                <w:iCs/>
              </w:rPr>
            </w:pPr>
            <w:r w:rsidRPr="00B93493">
              <w:rPr>
                <w:i/>
                <w:iCs/>
              </w:rPr>
              <w:t>T</w:t>
            </w:r>
          </w:p>
        </w:tc>
        <w:tc>
          <w:tcPr>
            <w:tcW w:w="2552" w:type="dxa"/>
          </w:tcPr>
          <w:p w14:paraId="37C415B2" w14:textId="77777777" w:rsidR="00CF04BC" w:rsidRPr="00B93493" w:rsidRDefault="00CF04BC" w:rsidP="002E7F54">
            <w:pPr>
              <w:pStyle w:val="Tabletext"/>
              <w:rPr>
                <w:i/>
                <w:iCs/>
              </w:rPr>
            </w:pPr>
            <w:r w:rsidRPr="00B93493">
              <w:rPr>
                <w:i/>
                <w:iCs/>
              </w:rPr>
              <w:t>Grant time</w:t>
            </w:r>
          </w:p>
        </w:tc>
        <w:tc>
          <w:tcPr>
            <w:tcW w:w="5948" w:type="dxa"/>
          </w:tcPr>
          <w:p w14:paraId="78812507" w14:textId="77777777" w:rsidR="00CF04BC" w:rsidRPr="00B93493" w:rsidRDefault="00CF04BC" w:rsidP="002E7F54">
            <w:pPr>
              <w:pStyle w:val="Tabletext"/>
            </w:pPr>
            <w:r w:rsidRPr="00B93493">
              <w:t>Time of the grant requested, in years</w:t>
            </w:r>
          </w:p>
        </w:tc>
      </w:tr>
      <w:tr w:rsidR="00CF04BC" w:rsidRPr="00B93493" w14:paraId="1C9A326F" w14:textId="77777777" w:rsidTr="00C65E6B">
        <w:trPr>
          <w:trHeight w:val="808"/>
        </w:trPr>
        <w:tc>
          <w:tcPr>
            <w:tcW w:w="1129" w:type="dxa"/>
          </w:tcPr>
          <w:p w14:paraId="149227D8" w14:textId="77777777" w:rsidR="00CF04BC" w:rsidRPr="00B93493" w:rsidRDefault="00CF04BC" w:rsidP="002E7F54">
            <w:pPr>
              <w:pStyle w:val="Tabletext"/>
              <w:rPr>
                <w:i/>
                <w:iCs/>
              </w:rPr>
            </w:pPr>
            <w:r w:rsidRPr="00B93493">
              <w:rPr>
                <w:i/>
                <w:iCs/>
              </w:rPr>
              <w:t>S</w:t>
            </w:r>
          </w:p>
        </w:tc>
        <w:tc>
          <w:tcPr>
            <w:tcW w:w="2552" w:type="dxa"/>
          </w:tcPr>
          <w:p w14:paraId="460F524D" w14:textId="77777777" w:rsidR="00CF04BC" w:rsidRPr="00B93493" w:rsidRDefault="00CF04BC" w:rsidP="002E7F54">
            <w:pPr>
              <w:pStyle w:val="Tabletext"/>
              <w:rPr>
                <w:i/>
                <w:iCs/>
              </w:rPr>
            </w:pPr>
            <w:r w:rsidRPr="00B93493">
              <w:rPr>
                <w:i/>
                <w:iCs/>
              </w:rPr>
              <w:t>Service</w:t>
            </w:r>
          </w:p>
        </w:tc>
        <w:tc>
          <w:tcPr>
            <w:tcW w:w="5948" w:type="dxa"/>
          </w:tcPr>
          <w:p w14:paraId="54D51CBA" w14:textId="77777777" w:rsidR="00CF04BC" w:rsidRPr="00B93493" w:rsidRDefault="00CF04BC" w:rsidP="002E7F54">
            <w:pPr>
              <w:pStyle w:val="Tabletext"/>
            </w:pPr>
            <w:r w:rsidRPr="00B93493">
              <w:t>1</w:t>
            </w:r>
            <w:r w:rsidRPr="00B93493">
              <w:tab/>
            </w:r>
            <w:r w:rsidRPr="00B93493">
              <w:tab/>
              <w:t>for point to area services</w:t>
            </w:r>
          </w:p>
          <w:p w14:paraId="0EBBF3B9" w14:textId="77777777" w:rsidR="00CF04BC" w:rsidRPr="00B93493" w:rsidRDefault="00CF04BC" w:rsidP="002E7F54">
            <w:pPr>
              <w:pStyle w:val="Tabletext"/>
            </w:pPr>
            <w:r w:rsidRPr="00B93493">
              <w:t>0.1</w:t>
            </w:r>
            <w:r w:rsidRPr="00B93493">
              <w:tab/>
            </w:r>
            <w:r w:rsidRPr="00B93493">
              <w:tab/>
              <w:t>for broadcasting services</w:t>
            </w:r>
          </w:p>
          <w:p w14:paraId="5B81C61D" w14:textId="77777777" w:rsidR="00CF04BC" w:rsidRPr="00B93493" w:rsidRDefault="00CF04BC" w:rsidP="002E7F54">
            <w:pPr>
              <w:pStyle w:val="Tabletext"/>
            </w:pPr>
            <w:r w:rsidRPr="00B93493">
              <w:t>0.00056478</w:t>
            </w:r>
            <w:r w:rsidRPr="00B93493">
              <w:tab/>
              <w:t>for other services</w:t>
            </w:r>
          </w:p>
        </w:tc>
      </w:tr>
    </w:tbl>
    <w:p w14:paraId="628D9561" w14:textId="77777777" w:rsidR="00CF04BC" w:rsidRPr="00B93493" w:rsidRDefault="00CF04BC" w:rsidP="00CF04BC">
      <w:r w:rsidRPr="00B93493">
        <w:t>The amount to be paid for the grant must not be less than T×R$ 28.07.</w:t>
      </w:r>
    </w:p>
    <w:p w14:paraId="6CA887E5" w14:textId="77777777" w:rsidR="00CF04BC" w:rsidRPr="00B93493" w:rsidRDefault="00CF04BC" w:rsidP="00CF04BC">
      <w:r w:rsidRPr="00B93493">
        <w:t>The formula is not applied to amateur radio, citizen radio, aeronautical mobile service, maritime mobile service, community radio and the temporary use of spectrum. For those cases, there is a fixed table of values.</w:t>
      </w:r>
    </w:p>
    <w:p w14:paraId="18725E58" w14:textId="77777777" w:rsidR="00CF04BC" w:rsidRPr="00B93493" w:rsidRDefault="00CF04BC" w:rsidP="00CF04BC">
      <w:r w:rsidRPr="00B93493">
        <w:t>The price paid by government entities will be reduced by 90% (ninety percent).</w:t>
      </w:r>
    </w:p>
    <w:p w14:paraId="769A1D13" w14:textId="77777777" w:rsidR="00CF04BC" w:rsidRPr="00B93493" w:rsidRDefault="00CF04BC" w:rsidP="00CF04BC">
      <w:r w:rsidRPr="00B93493">
        <w:t>In the cases where bidding is not required, the value of the extension of the right to use radio frequencies is the same as shown above. Otherwise, the value of the extension (</w:t>
      </w:r>
      <w:r w:rsidRPr="00B93493">
        <w:rPr>
          <w:i/>
          <w:iCs/>
        </w:rPr>
        <w:t>V</w:t>
      </w:r>
      <w:r w:rsidRPr="00B93493">
        <w:rPr>
          <w:i/>
          <w:iCs/>
          <w:vertAlign w:val="subscript"/>
        </w:rPr>
        <w:t>e</w:t>
      </w:r>
      <w:r w:rsidRPr="00B93493">
        <w:t>) is calculated by the formula:</w:t>
      </w:r>
    </w:p>
    <w:p w14:paraId="115A4A35" w14:textId="77777777" w:rsidR="00CF04BC" w:rsidRPr="00B93493" w:rsidRDefault="00CF04BC" w:rsidP="00CF04BC">
      <w:pPr>
        <w:pStyle w:val="Equation"/>
      </w:pPr>
      <w:r w:rsidRPr="00B93493">
        <w:tab/>
      </w:r>
      <w:r w:rsidRPr="00B93493">
        <w:tab/>
      </w:r>
      <m:oMath>
        <m:sSub>
          <m:sSubPr>
            <m:ctrlPr>
              <w:rPr>
                <w:rFonts w:ascii="Cambria Math" w:hAnsi="Cambria Math"/>
              </w:rPr>
            </m:ctrlPr>
          </m:sSubPr>
          <m:e>
            <m:r>
              <w:rPr>
                <w:rFonts w:ascii="Cambria Math" w:hAnsi="Cambria Math"/>
              </w:rPr>
              <m:t>V</m:t>
            </m:r>
          </m:e>
          <m:sub>
            <m:r>
              <w:rPr>
                <w:rFonts w:ascii="Cambria Math" w:hAnsi="Cambria Math"/>
              </w:rPr>
              <m:t>e</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e</m:t>
                </m:r>
              </m:sub>
            </m:sSub>
          </m:num>
          <m:den>
            <m:r>
              <m:rPr>
                <m:sty m:val="p"/>
              </m:rPr>
              <w:rPr>
                <w:rFonts w:ascii="Cambria Math" w:hAnsi="Cambria Math"/>
              </w:rPr>
              <m:t>100</m:t>
            </m:r>
          </m:den>
        </m:f>
      </m:oMath>
    </w:p>
    <w:p w14:paraId="4FDD80BC" w14:textId="77777777" w:rsidR="00CF04BC" w:rsidRPr="00B93493" w:rsidRDefault="00CF04BC" w:rsidP="00CF04BC">
      <w:pPr>
        <w:spacing w:after="120"/>
      </w:pPr>
      <w:r w:rsidRPr="00B93493">
        <w:t>where: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5948"/>
      </w:tblGrid>
      <w:tr w:rsidR="00CF04BC" w:rsidRPr="00B93493" w14:paraId="20041CB8" w14:textId="77777777" w:rsidTr="00C65E6B">
        <w:tc>
          <w:tcPr>
            <w:tcW w:w="1129" w:type="dxa"/>
          </w:tcPr>
          <w:p w14:paraId="7FA08FF3" w14:textId="77777777" w:rsidR="00CF04BC" w:rsidRPr="00B93493" w:rsidRDefault="00CF04BC" w:rsidP="002E7F54">
            <w:pPr>
              <w:pStyle w:val="Tablehead"/>
            </w:pPr>
            <w:r w:rsidRPr="00B93493">
              <w:t>Variable</w:t>
            </w:r>
          </w:p>
        </w:tc>
        <w:tc>
          <w:tcPr>
            <w:tcW w:w="2552" w:type="dxa"/>
          </w:tcPr>
          <w:p w14:paraId="4DBF4D72" w14:textId="77777777" w:rsidR="00CF04BC" w:rsidRPr="00B93493" w:rsidRDefault="00CF04BC" w:rsidP="002E7F54">
            <w:pPr>
              <w:pStyle w:val="Tablehead"/>
            </w:pPr>
            <w:r w:rsidRPr="00B93493">
              <w:t>Description</w:t>
            </w:r>
          </w:p>
        </w:tc>
        <w:tc>
          <w:tcPr>
            <w:tcW w:w="5948" w:type="dxa"/>
          </w:tcPr>
          <w:p w14:paraId="3F0AE51B" w14:textId="77777777" w:rsidR="00CF04BC" w:rsidRPr="00B93493" w:rsidRDefault="00CF04BC" w:rsidP="002E7F54">
            <w:pPr>
              <w:pStyle w:val="Tablehead"/>
            </w:pPr>
            <w:r w:rsidRPr="00B93493">
              <w:t>Values</w:t>
            </w:r>
          </w:p>
        </w:tc>
      </w:tr>
      <w:tr w:rsidR="00CF04BC" w:rsidRPr="00B93493" w14:paraId="396BBB1C" w14:textId="77777777" w:rsidTr="00C65E6B">
        <w:tc>
          <w:tcPr>
            <w:tcW w:w="1129" w:type="dxa"/>
          </w:tcPr>
          <w:p w14:paraId="58CE8580" w14:textId="77777777" w:rsidR="00CF04BC" w:rsidRPr="00B93493" w:rsidRDefault="00CF04BC" w:rsidP="002E7F54">
            <w:pPr>
              <w:pStyle w:val="Tabletext"/>
              <w:rPr>
                <w:i/>
                <w:iCs/>
              </w:rPr>
            </w:pPr>
            <w:r w:rsidRPr="00B93493">
              <w:rPr>
                <w:i/>
                <w:iCs/>
              </w:rPr>
              <w:t>R</w:t>
            </w:r>
          </w:p>
        </w:tc>
        <w:tc>
          <w:tcPr>
            <w:tcW w:w="2552" w:type="dxa"/>
          </w:tcPr>
          <w:p w14:paraId="05E4645B" w14:textId="77777777" w:rsidR="00CF04BC" w:rsidRPr="00B93493" w:rsidRDefault="00CF04BC" w:rsidP="002E7F54">
            <w:pPr>
              <w:pStyle w:val="Tabletext"/>
            </w:pPr>
            <w:r w:rsidRPr="00B93493">
              <w:t>Net operating income</w:t>
            </w:r>
          </w:p>
        </w:tc>
        <w:tc>
          <w:tcPr>
            <w:tcW w:w="5948" w:type="dxa"/>
          </w:tcPr>
          <w:p w14:paraId="25EABD45" w14:textId="77777777" w:rsidR="00CF04BC" w:rsidRPr="00B93493" w:rsidRDefault="00CF04BC" w:rsidP="002E7F54">
            <w:pPr>
              <w:pStyle w:val="Tabletext"/>
            </w:pPr>
            <w:r w:rsidRPr="00B93493">
              <w:t>corresponds to the net operating income of the service provider in the year prior to the extension decision, calculated proportionally to the number of users of the provider served by the radiofrequency bands of the grant that is the subject of the extension.</w:t>
            </w:r>
          </w:p>
        </w:tc>
      </w:tr>
      <w:tr w:rsidR="00CF04BC" w:rsidRPr="00B93493" w14:paraId="32D98830" w14:textId="77777777" w:rsidTr="00C65E6B">
        <w:tc>
          <w:tcPr>
            <w:tcW w:w="1129" w:type="dxa"/>
            <w:vMerge w:val="restart"/>
          </w:tcPr>
          <w:p w14:paraId="74F6001A" w14:textId="77777777" w:rsidR="00CF04BC" w:rsidRPr="00B93493" w:rsidRDefault="00CF04BC" w:rsidP="002E7F54">
            <w:pPr>
              <w:pStyle w:val="Tabletext"/>
              <w:rPr>
                <w:i/>
                <w:iCs/>
              </w:rPr>
            </w:pPr>
            <w:r w:rsidRPr="00B93493">
              <w:rPr>
                <w:i/>
                <w:iCs/>
              </w:rPr>
              <w:t>F</w:t>
            </w:r>
          </w:p>
        </w:tc>
        <w:tc>
          <w:tcPr>
            <w:tcW w:w="2552" w:type="dxa"/>
          </w:tcPr>
          <w:p w14:paraId="1C6EEAF8" w14:textId="77777777" w:rsidR="00CF04BC" w:rsidRPr="00B93493" w:rsidRDefault="00CF04BC" w:rsidP="002E7F54">
            <w:pPr>
              <w:pStyle w:val="Tabletext"/>
            </w:pPr>
            <w:r w:rsidRPr="00B93493">
              <w:t>Frequency propor</w:t>
            </w:r>
            <w:r>
              <w:t>t</w:t>
            </w:r>
            <w:r w:rsidRPr="00B93493">
              <w:t>ionality</w:t>
            </w:r>
          </w:p>
        </w:tc>
        <w:tc>
          <w:tcPr>
            <w:tcW w:w="5948" w:type="dxa"/>
          </w:tcPr>
          <w:p w14:paraId="6638F9F1" w14:textId="77777777" w:rsidR="00CF04BC" w:rsidRPr="00B93493" w:rsidRDefault="006640E0" w:rsidP="002E7F54">
            <w:pPr>
              <w:pStyle w:val="Tabletext"/>
              <w:rPr>
                <w:i/>
                <w:iCs/>
              </w:rPr>
            </w:pPr>
            <m:oMathPara>
              <m:oMath>
                <m:f>
                  <m:fPr>
                    <m:ctrlPr>
                      <w:rPr>
                        <w:rFonts w:ascii="Cambria Math" w:hAnsi="Cambria Math"/>
                        <w:i/>
                        <w:iCs/>
                      </w:rPr>
                    </m:ctrlPr>
                  </m:fPr>
                  <m:num>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i</m:t>
                            </m:r>
                          </m:sub>
                        </m:sSub>
                      </m:num>
                      <m:den>
                        <m:sSub>
                          <m:sSubPr>
                            <m:ctrlPr>
                              <w:rPr>
                                <w:rFonts w:ascii="Cambria Math" w:hAnsi="Cambria Math"/>
                                <w:i/>
                                <w:iCs/>
                              </w:rPr>
                            </m:ctrlPr>
                          </m:sSubPr>
                          <m:e>
                            <m:r>
                              <w:rPr>
                                <w:rFonts w:ascii="Cambria Math" w:hAnsi="Cambria Math"/>
                              </w:rPr>
                              <m:t>fc</m:t>
                            </m:r>
                          </m:e>
                          <m:sub>
                            <m:r>
                              <w:rPr>
                                <w:rFonts w:ascii="Cambria Math" w:hAnsi="Cambria Math"/>
                              </w:rPr>
                              <m:t>i</m:t>
                            </m:r>
                          </m:sub>
                        </m:sSub>
                      </m:den>
                    </m:f>
                  </m:num>
                  <m:den>
                    <m:nary>
                      <m:naryPr>
                        <m:chr m:val="∑"/>
                        <m:limLoc m:val="undOvr"/>
                        <m:ctrlPr>
                          <w:rPr>
                            <w:rFonts w:ascii="Cambria Math" w:hAnsi="Cambria Math"/>
                            <w:i/>
                            <w:iCs/>
                          </w:rPr>
                        </m:ctrlPr>
                      </m:naryPr>
                      <m:sub>
                        <m:r>
                          <w:rPr>
                            <w:rFonts w:ascii="Cambria Math" w:hAnsi="Cambria Math"/>
                          </w:rPr>
                          <m:t>k=1</m:t>
                        </m:r>
                      </m:sub>
                      <m:sup>
                        <m:r>
                          <w:rPr>
                            <w:rFonts w:ascii="Cambria Math" w:hAnsi="Cambria Math"/>
                          </w:rPr>
                          <m:t>n</m:t>
                        </m:r>
                      </m:sup>
                      <m:e>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k</m:t>
                                </m:r>
                              </m:sub>
                            </m:sSub>
                          </m:num>
                          <m:den>
                            <m:sSub>
                              <m:sSubPr>
                                <m:ctrlPr>
                                  <w:rPr>
                                    <w:rFonts w:ascii="Cambria Math" w:hAnsi="Cambria Math"/>
                                    <w:i/>
                                    <w:iCs/>
                                  </w:rPr>
                                </m:ctrlPr>
                              </m:sSubPr>
                              <m:e>
                                <m:r>
                                  <w:rPr>
                                    <w:rFonts w:ascii="Cambria Math" w:hAnsi="Cambria Math"/>
                                  </w:rPr>
                                  <m:t>fc</m:t>
                                </m:r>
                              </m:e>
                              <m:sub>
                                <m:r>
                                  <w:rPr>
                                    <w:rFonts w:ascii="Cambria Math" w:hAnsi="Cambria Math"/>
                                  </w:rPr>
                                  <m:t>k</m:t>
                                </m:r>
                              </m:sub>
                            </m:sSub>
                          </m:den>
                        </m:f>
                      </m:e>
                    </m:nary>
                  </m:den>
                </m:f>
              </m:oMath>
            </m:oMathPara>
          </w:p>
        </w:tc>
      </w:tr>
      <w:tr w:rsidR="00CF04BC" w:rsidRPr="00B93493" w14:paraId="787D5BDC" w14:textId="77777777" w:rsidTr="00C65E6B">
        <w:tc>
          <w:tcPr>
            <w:tcW w:w="1129" w:type="dxa"/>
            <w:vMerge/>
          </w:tcPr>
          <w:p w14:paraId="5E4A7A05" w14:textId="77777777" w:rsidR="00CF04BC" w:rsidRPr="00B93493" w:rsidRDefault="00CF04BC" w:rsidP="002E7F54">
            <w:pPr>
              <w:pStyle w:val="Tabletext"/>
              <w:rPr>
                <w:i/>
                <w:iCs/>
              </w:rPr>
            </w:pPr>
          </w:p>
        </w:tc>
        <w:tc>
          <w:tcPr>
            <w:tcW w:w="8500" w:type="dxa"/>
            <w:gridSpan w:val="2"/>
          </w:tcPr>
          <w:p w14:paraId="6A37F0D3" w14:textId="77777777" w:rsidR="00CF04BC" w:rsidRPr="00B93493" w:rsidRDefault="00CF04BC" w:rsidP="002E7F54">
            <w:pPr>
              <w:pStyle w:val="Tabletext"/>
              <w:rPr>
                <w:rStyle w:val="rynqvb"/>
                <w:rFonts w:eastAsia="Arial Narrow"/>
              </w:rPr>
            </w:pPr>
            <m:oMath>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i</m:t>
                  </m:r>
                </m:sub>
              </m:sSub>
            </m:oMath>
            <w:r w:rsidRPr="00B93493">
              <w:t xml:space="preserve">: is the bandwidth </w:t>
            </w:r>
            <w:r w:rsidRPr="00B93493">
              <w:rPr>
                <w:rStyle w:val="rynqvb"/>
                <w:rFonts w:eastAsia="Arial Narrow"/>
              </w:rPr>
              <w:t>of the frequency object of the extension request, in MHz;</w:t>
            </w:r>
          </w:p>
          <w:p w14:paraId="7F1EB4C7" w14:textId="77777777" w:rsidR="00CF04BC" w:rsidRPr="00B93493" w:rsidRDefault="006640E0" w:rsidP="002E7F54">
            <w:pPr>
              <w:pStyle w:val="Tabletext"/>
            </w:pPr>
            <m:oMath>
              <m:sSub>
                <m:sSubPr>
                  <m:ctrlPr>
                    <w:rPr>
                      <w:rFonts w:ascii="Cambria Math" w:hAnsi="Cambria Math"/>
                      <w:i/>
                    </w:rPr>
                  </m:ctrlPr>
                </m:sSubPr>
                <m:e>
                  <m:r>
                    <w:rPr>
                      <w:rFonts w:ascii="Cambria Math" w:hAnsi="Cambria Math"/>
                    </w:rPr>
                    <m:t>fc</m:t>
                  </m:r>
                </m:e>
                <m:sub>
                  <m:r>
                    <w:rPr>
                      <w:rFonts w:ascii="Cambria Math" w:hAnsi="Cambria Math"/>
                    </w:rPr>
                    <m:t>i</m:t>
                  </m:r>
                </m:sub>
              </m:sSub>
            </m:oMath>
            <w:r w:rsidR="00CF04BC" w:rsidRPr="00B93493">
              <w:t>: is the central frequency of the frequency band object of the extension, in MHz;</w:t>
            </w:r>
          </w:p>
          <w:p w14:paraId="580A263C" w14:textId="77777777" w:rsidR="00CF04BC" w:rsidRPr="00B93493" w:rsidRDefault="00CF04BC" w:rsidP="002E7F54">
            <w:pPr>
              <w:pStyle w:val="Tabletext"/>
              <w:rPr>
                <w:rStyle w:val="rynqvb"/>
                <w:rFonts w:eastAsia="Arial Narrow"/>
              </w:rPr>
            </w:pP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oMath>
            <w:r w:rsidRPr="00B93493">
              <w:t xml:space="preserve">: </w:t>
            </w:r>
            <w:r w:rsidRPr="00B93493">
              <w:rPr>
                <w:rStyle w:val="rynqvb"/>
                <w:rFonts w:eastAsia="Arial Narrow"/>
              </w:rPr>
              <w:t xml:space="preserve">is the bandwidth of each frequency band in use by the provider of the telecommunications services of collective interest in the region of authorization of the band </w:t>
            </w:r>
            <w:r w:rsidRPr="00B93493">
              <w:t>object of the extension</w:t>
            </w:r>
            <w:r w:rsidRPr="00B93493">
              <w:rPr>
                <w:rStyle w:val="rynqvb"/>
                <w:rFonts w:eastAsia="Arial Narrow"/>
              </w:rPr>
              <w:t>;</w:t>
            </w:r>
          </w:p>
          <w:p w14:paraId="1869B406" w14:textId="77777777" w:rsidR="00CF04BC" w:rsidRPr="00B93493" w:rsidRDefault="006640E0" w:rsidP="002E7F54">
            <w:pPr>
              <w:pStyle w:val="Tabletext"/>
            </w:pPr>
            <m:oMath>
              <m:sSub>
                <m:sSubPr>
                  <m:ctrlPr>
                    <w:rPr>
                      <w:rStyle w:val="rynqvb"/>
                      <w:rFonts w:ascii="Cambria Math" w:eastAsia="Arial Narrow" w:hAnsi="Cambria Math"/>
                      <w:i/>
                    </w:rPr>
                  </m:ctrlPr>
                </m:sSubPr>
                <m:e>
                  <m:r>
                    <w:rPr>
                      <w:rStyle w:val="rynqvb"/>
                      <w:rFonts w:ascii="Cambria Math" w:eastAsia="Arial Narrow" w:hAnsi="Cambria Math"/>
                    </w:rPr>
                    <m:t>fc</m:t>
                  </m:r>
                </m:e>
                <m:sub>
                  <m:r>
                    <w:rPr>
                      <w:rStyle w:val="rynqvb"/>
                      <w:rFonts w:ascii="Cambria Math" w:eastAsia="Arial Narrow" w:hAnsi="Cambria Math"/>
                    </w:rPr>
                    <m:t>k</m:t>
                  </m:r>
                </m:sub>
              </m:sSub>
            </m:oMath>
            <w:r w:rsidR="00CF04BC" w:rsidRPr="00B93493">
              <w:rPr>
                <w:rStyle w:val="rynqvb"/>
                <w:rFonts w:eastAsia="Arial Narrow"/>
              </w:rPr>
              <w:t xml:space="preserve">: is the central frequency of each frequency band in use by the provider of the telecommunications services of collective interest in the region of authorization of the band </w:t>
            </w:r>
            <w:r w:rsidR="00CF04BC" w:rsidRPr="00B93493">
              <w:t>object of the extension;</w:t>
            </w:r>
          </w:p>
          <w:p w14:paraId="2A2C170F" w14:textId="77777777" w:rsidR="00CF04BC" w:rsidRPr="00B93493" w:rsidRDefault="00CF04BC" w:rsidP="002E7F54">
            <w:pPr>
              <w:pStyle w:val="Tabletext"/>
            </w:pPr>
            <m:oMath>
              <m:r>
                <w:rPr>
                  <w:rFonts w:ascii="Cambria Math" w:hAnsi="Cambria Math"/>
                </w:rPr>
                <m:t>n</m:t>
              </m:r>
            </m:oMath>
            <w:r w:rsidRPr="00B93493">
              <w:t xml:space="preserve">: is the total number of different frequency bands in use by </w:t>
            </w:r>
            <w:r w:rsidRPr="00B93493">
              <w:rPr>
                <w:rStyle w:val="rynqvb"/>
                <w:rFonts w:eastAsia="Arial Narrow"/>
              </w:rPr>
              <w:t xml:space="preserve">the provider of the telecommunications services of collective interest in the region of authorization of the band </w:t>
            </w:r>
            <w:r w:rsidRPr="00B93493">
              <w:t>object of the extension.</w:t>
            </w:r>
          </w:p>
        </w:tc>
      </w:tr>
      <w:tr w:rsidR="00CF04BC" w:rsidRPr="00B93493" w14:paraId="25FAA2B1" w14:textId="77777777" w:rsidTr="00C65E6B">
        <w:tc>
          <w:tcPr>
            <w:tcW w:w="1129" w:type="dxa"/>
          </w:tcPr>
          <w:p w14:paraId="7C39F6B6" w14:textId="77777777" w:rsidR="00CF04BC" w:rsidRPr="00B93493" w:rsidRDefault="00CF04BC" w:rsidP="002E7F54">
            <w:pPr>
              <w:pStyle w:val="Tabletext"/>
              <w:rPr>
                <w:i/>
                <w:iCs/>
                <w:vertAlign w:val="subscript"/>
              </w:rPr>
            </w:pPr>
            <w:r w:rsidRPr="00B93493">
              <w:rPr>
                <w:i/>
                <w:iCs/>
              </w:rPr>
              <w:t>T</w:t>
            </w:r>
            <w:r w:rsidRPr="00B93493">
              <w:rPr>
                <w:i/>
                <w:iCs/>
                <w:vertAlign w:val="subscript"/>
              </w:rPr>
              <w:t>e</w:t>
            </w:r>
          </w:p>
        </w:tc>
        <w:tc>
          <w:tcPr>
            <w:tcW w:w="2552" w:type="dxa"/>
          </w:tcPr>
          <w:p w14:paraId="56BAA49E" w14:textId="77777777" w:rsidR="00CF04BC" w:rsidRPr="00B93493" w:rsidRDefault="00CF04BC" w:rsidP="002E7F54">
            <w:pPr>
              <w:pStyle w:val="Tabletext"/>
            </w:pPr>
            <w:r w:rsidRPr="00B93493">
              <w:t>Extension time</w:t>
            </w:r>
          </w:p>
        </w:tc>
        <w:tc>
          <w:tcPr>
            <w:tcW w:w="5948" w:type="dxa"/>
          </w:tcPr>
          <w:p w14:paraId="514A2F05" w14:textId="77777777" w:rsidR="00CF04BC" w:rsidRPr="00B93493" w:rsidRDefault="00CF04BC" w:rsidP="002E7F54">
            <w:pPr>
              <w:pStyle w:val="Tabletext"/>
            </w:pPr>
            <w:r w:rsidRPr="00B93493">
              <w:t>corresponds to the period of extension, in years</w:t>
            </w:r>
          </w:p>
        </w:tc>
      </w:tr>
    </w:tbl>
    <w:p w14:paraId="1B402BE8" w14:textId="77777777" w:rsidR="00CF04BC" w:rsidRPr="00B93493" w:rsidRDefault="00CF04BC" w:rsidP="00CF04BC">
      <w:r w:rsidRPr="00B93493">
        <w:t>If the value calculated to be paid for the extension is less than the value calculated by the PPDUR formula, the efficiency of the use of the frequency band</w:t>
      </w:r>
      <w:r w:rsidRPr="00A579C5">
        <w:t xml:space="preserve"> </w:t>
      </w:r>
      <w:r w:rsidRPr="00B93493">
        <w:t>will be evaluated. The extension request will be denied in the case of the efficiency is not verified.</w:t>
      </w:r>
    </w:p>
    <w:p w14:paraId="07E12153" w14:textId="77777777" w:rsidR="00CF04BC" w:rsidRPr="00B93493" w:rsidRDefault="00CF04BC" w:rsidP="00CF04BC">
      <w:r w:rsidRPr="00B93493">
        <w:t>Whenever applicable, upon issuance or renewal of an authorization for the utilization of a radio frequency, such authorization will be charged.</w:t>
      </w:r>
    </w:p>
    <w:p w14:paraId="62C82FE9" w14:textId="77777777" w:rsidR="00CF04BC" w:rsidRPr="00B93493" w:rsidRDefault="00CF04BC" w:rsidP="00CF04BC">
      <w:pPr>
        <w:pStyle w:val="enumlev1"/>
      </w:pPr>
    </w:p>
    <w:p w14:paraId="34E2F7C7" w14:textId="77777777" w:rsidR="00CF04BC" w:rsidRPr="00B93493" w:rsidRDefault="00CF04BC" w:rsidP="00CF04BC">
      <w:pPr>
        <w:pStyle w:val="Heading3"/>
      </w:pPr>
      <w:bookmarkStart w:id="2454" w:name="_Toc518394267"/>
      <w:bookmarkStart w:id="2455" w:name="_Toc182391586"/>
      <w:bookmarkStart w:id="2456" w:name="_Toc182391997"/>
      <w:r w:rsidRPr="00B93493">
        <w:t>5.2.11</w:t>
      </w:r>
      <w:r w:rsidRPr="00B93493">
        <w:tab/>
        <w:t xml:space="preserve">Experience with spectrum </w:t>
      </w:r>
      <w:r w:rsidRPr="00B93493">
        <w:rPr>
          <w:lang w:eastAsia="ko-KR"/>
        </w:rPr>
        <w:t>usage fees</w:t>
      </w:r>
      <w:r w:rsidRPr="00B93493">
        <w:t xml:space="preserve"> – Republic of Korea</w:t>
      </w:r>
      <w:bookmarkEnd w:id="2454"/>
      <w:bookmarkEnd w:id="2455"/>
      <w:bookmarkEnd w:id="2456"/>
    </w:p>
    <w:p w14:paraId="024869FC" w14:textId="77777777" w:rsidR="00CF04BC" w:rsidRPr="00B93493" w:rsidRDefault="00CF04BC" w:rsidP="00CF04BC">
      <w:pPr>
        <w:rPr>
          <w:lang w:eastAsia="ko-KR"/>
        </w:rPr>
      </w:pPr>
      <w:r w:rsidRPr="00B93493">
        <w:rPr>
          <w:lang w:eastAsia="ko-KR"/>
        </w:rPr>
        <w:t>Radio spectrum is public assets rather than private properties and spectrum users gain economic benefits by using radio spectrum. It means that users take advantage of public assets through radio station operation. Therefore, spectrum users have to pay adequate amount of spectrum usage fees equivalent to economic value of radio spectrum.</w:t>
      </w:r>
    </w:p>
    <w:p w14:paraId="2F16901C" w14:textId="77777777" w:rsidR="00CF04BC" w:rsidRPr="00B93493" w:rsidRDefault="00CF04BC" w:rsidP="00CF04BC">
      <w:pPr>
        <w:rPr>
          <w:lang w:eastAsia="ko-KR"/>
        </w:rPr>
      </w:pPr>
      <w:r w:rsidRPr="00B93493">
        <w:rPr>
          <w:lang w:eastAsia="ko-KR"/>
        </w:rPr>
        <w:t>Spectrum usage fees provides the Government with practical information such as spectrum preference in the market, radio services qualities and the measurement of proper volume of spectrum demand. The demand for spectrum has been rapidly increasing with growth in telecommunications services. Moreover, spectrum usage fees can suppress over-utilization of radio spectrum, and induce radio spectrum users to withdraw unused radio spectrum to the Government.</w:t>
      </w:r>
    </w:p>
    <w:p w14:paraId="0FA3586C" w14:textId="77777777" w:rsidR="00CF04BC" w:rsidRPr="00B93493" w:rsidRDefault="00CF04BC" w:rsidP="00CF04BC">
      <w:pPr>
        <w:rPr>
          <w:lang w:eastAsia="ko-KR"/>
        </w:rPr>
      </w:pPr>
      <w:r w:rsidRPr="00B93493">
        <w:t xml:space="preserve">The Administration of the Republic of Korea implemented spectrum </w:t>
      </w:r>
      <w:r w:rsidRPr="00B93493">
        <w:rPr>
          <w:lang w:eastAsia="ko-KR"/>
        </w:rPr>
        <w:t>usage fees</w:t>
      </w:r>
      <w:r w:rsidRPr="00B93493">
        <w:t xml:space="preserve"> in 1993 in accordance with </w:t>
      </w:r>
      <w:r w:rsidRPr="00B93493">
        <w:rPr>
          <w:lang w:eastAsia="ko-KR"/>
        </w:rPr>
        <w:t xml:space="preserve">Radio Waves Act </w:t>
      </w:r>
      <w:r w:rsidRPr="00B93493">
        <w:t xml:space="preserve">in order to </w:t>
      </w:r>
      <w:r w:rsidRPr="00B93493">
        <w:rPr>
          <w:lang w:eastAsia="ko-KR"/>
        </w:rPr>
        <w:t xml:space="preserve">implement cost recovery </w:t>
      </w:r>
      <w:r w:rsidRPr="00B93493">
        <w:t xml:space="preserve">for effective spectrum management and radio technology development programs. The assessment and collection of spectrum </w:t>
      </w:r>
      <w:r w:rsidRPr="00B93493">
        <w:rPr>
          <w:lang w:eastAsia="ko-KR"/>
        </w:rPr>
        <w:t>usage fees</w:t>
      </w:r>
      <w:r w:rsidRPr="00B93493">
        <w:t xml:space="preserve"> is prescribed in </w:t>
      </w:r>
      <w:r w:rsidRPr="00B93493">
        <w:rPr>
          <w:lang w:eastAsia="ko-KR"/>
        </w:rPr>
        <w:t>the Presidential Decree of the Radio Waves Act</w:t>
      </w:r>
      <w:r w:rsidRPr="00B93493">
        <w:t>.</w:t>
      </w:r>
    </w:p>
    <w:p w14:paraId="0883CDFA" w14:textId="77777777" w:rsidR="00CF04BC" w:rsidRPr="00B93493" w:rsidRDefault="00CF04BC" w:rsidP="00CF04BC">
      <w:pPr>
        <w:rPr>
          <w:lang w:eastAsia="ko-KR"/>
        </w:rPr>
      </w:pPr>
      <w:r w:rsidRPr="00B93493">
        <w:rPr>
          <w:lang w:eastAsia="ko-KR"/>
        </w:rPr>
        <w:t>No fees are imposed on radio stations as follows:</w:t>
      </w:r>
    </w:p>
    <w:p w14:paraId="43819FC6" w14:textId="77777777" w:rsidR="00CF04BC" w:rsidRPr="00B93493" w:rsidRDefault="00CF04BC" w:rsidP="00CF04BC">
      <w:pPr>
        <w:pStyle w:val="enumlev1"/>
        <w:rPr>
          <w:lang w:eastAsia="ko-KR"/>
        </w:rPr>
      </w:pPr>
      <w:r w:rsidRPr="00B93493">
        <w:rPr>
          <w:lang w:eastAsia="ko-KR"/>
        </w:rPr>
        <w:t>–</w:t>
      </w:r>
      <w:r w:rsidRPr="00B93493">
        <w:rPr>
          <w:lang w:eastAsia="ko-KR"/>
        </w:rPr>
        <w:tab/>
        <w:t>used for government affair;</w:t>
      </w:r>
    </w:p>
    <w:p w14:paraId="5EDB525C" w14:textId="77777777" w:rsidR="00CF04BC" w:rsidRPr="00B93493" w:rsidRDefault="00CF04BC" w:rsidP="00CF04BC">
      <w:pPr>
        <w:pStyle w:val="enumlev1"/>
        <w:rPr>
          <w:lang w:eastAsia="ko-KR"/>
        </w:rPr>
      </w:pPr>
      <w:r w:rsidRPr="00B93493">
        <w:rPr>
          <w:lang w:eastAsia="ko-KR"/>
        </w:rPr>
        <w:t>–</w:t>
      </w:r>
      <w:r w:rsidRPr="00B93493">
        <w:rPr>
          <w:lang w:eastAsia="ko-KR"/>
        </w:rPr>
        <w:tab/>
        <w:t>used for non-profit broadcasting or paying broadcasting promotion fund;</w:t>
      </w:r>
    </w:p>
    <w:p w14:paraId="1EF36EB0" w14:textId="77777777" w:rsidR="00CF04BC" w:rsidRPr="00B93493" w:rsidRDefault="00CF04BC" w:rsidP="00CF04BC">
      <w:pPr>
        <w:pStyle w:val="enumlev1"/>
        <w:rPr>
          <w:lang w:eastAsia="ko-KR"/>
        </w:rPr>
      </w:pPr>
      <w:r w:rsidRPr="00B93493">
        <w:rPr>
          <w:lang w:eastAsia="ko-KR"/>
        </w:rPr>
        <w:t>–</w:t>
      </w:r>
      <w:r w:rsidRPr="00B93493">
        <w:rPr>
          <w:lang w:eastAsia="ko-KR"/>
        </w:rPr>
        <w:tab/>
        <w:t>used by subscribers of common carrier service;</w:t>
      </w:r>
    </w:p>
    <w:p w14:paraId="7BEA128D" w14:textId="77777777" w:rsidR="00CF04BC" w:rsidRPr="00B93493" w:rsidRDefault="00CF04BC" w:rsidP="00CF04BC">
      <w:pPr>
        <w:pStyle w:val="enumlev1"/>
        <w:rPr>
          <w:lang w:eastAsia="ko-KR"/>
        </w:rPr>
      </w:pPr>
      <w:r w:rsidRPr="00B93493">
        <w:rPr>
          <w:lang w:eastAsia="ko-KR"/>
        </w:rPr>
        <w:t>–</w:t>
      </w:r>
      <w:r w:rsidRPr="00B93493">
        <w:rPr>
          <w:lang w:eastAsia="ko-KR"/>
        </w:rPr>
        <w:tab/>
        <w:t>used for emergency, experimental, amateur communications;</w:t>
      </w:r>
    </w:p>
    <w:p w14:paraId="5DD6A967" w14:textId="77777777" w:rsidR="00CF04BC" w:rsidRPr="00B93493" w:rsidRDefault="00CF04BC" w:rsidP="00CF04BC">
      <w:pPr>
        <w:pStyle w:val="enumlev1"/>
        <w:rPr>
          <w:lang w:eastAsia="ko-KR"/>
        </w:rPr>
      </w:pPr>
      <w:r w:rsidRPr="00B93493">
        <w:rPr>
          <w:lang w:eastAsia="ko-KR"/>
        </w:rPr>
        <w:t>–</w:t>
      </w:r>
      <w:r w:rsidRPr="00B93493">
        <w:rPr>
          <w:lang w:eastAsia="ko-KR"/>
        </w:rPr>
        <w:tab/>
        <w:t>used for standard radio frequency/time signalling;</w:t>
      </w:r>
    </w:p>
    <w:p w14:paraId="0F2DA9C4" w14:textId="77777777" w:rsidR="00CF04BC" w:rsidRPr="00B93493" w:rsidRDefault="00CF04BC" w:rsidP="00CF04BC">
      <w:pPr>
        <w:pStyle w:val="enumlev1"/>
        <w:rPr>
          <w:lang w:eastAsia="ko-KR"/>
        </w:rPr>
      </w:pPr>
      <w:r w:rsidRPr="00B93493">
        <w:rPr>
          <w:lang w:eastAsia="ko-KR"/>
        </w:rPr>
        <w:t>–</w:t>
      </w:r>
      <w:r w:rsidRPr="00B93493">
        <w:rPr>
          <w:lang w:eastAsia="ko-KR"/>
        </w:rPr>
        <w:tab/>
        <w:t>used by the Korean Red Cross Association;</w:t>
      </w:r>
    </w:p>
    <w:p w14:paraId="65D67368" w14:textId="77777777" w:rsidR="00CF04BC" w:rsidRPr="00B93493" w:rsidRDefault="00CF04BC" w:rsidP="00CF04BC">
      <w:pPr>
        <w:pStyle w:val="enumlev1"/>
        <w:rPr>
          <w:lang w:eastAsia="ko-KR"/>
        </w:rPr>
      </w:pPr>
      <w:r w:rsidRPr="00B93493">
        <w:rPr>
          <w:lang w:eastAsia="ko-KR"/>
        </w:rPr>
        <w:t>–</w:t>
      </w:r>
      <w:r w:rsidRPr="00B93493">
        <w:rPr>
          <w:lang w:eastAsia="ko-KR"/>
        </w:rPr>
        <w:tab/>
        <w:t>installed in tunnels and other underground areas for relaying subscriber</w:t>
      </w:r>
      <w:r w:rsidRPr="00B93493">
        <w:rPr>
          <w:lang w:eastAsia="ko-KR"/>
        </w:rPr>
        <w:noBreakHyphen/>
        <w:t>based communications and broadcasting services;</w:t>
      </w:r>
    </w:p>
    <w:p w14:paraId="6F164740" w14:textId="77777777" w:rsidR="00CF04BC" w:rsidRPr="00B93493" w:rsidRDefault="00CF04BC" w:rsidP="00CF04BC">
      <w:pPr>
        <w:pStyle w:val="enumlev1"/>
        <w:rPr>
          <w:lang w:eastAsia="ko-KR"/>
        </w:rPr>
      </w:pPr>
      <w:r w:rsidRPr="00B93493">
        <w:rPr>
          <w:lang w:eastAsia="ko-KR"/>
        </w:rPr>
        <w:t>–</w:t>
      </w:r>
      <w:r w:rsidRPr="00B93493">
        <w:rPr>
          <w:lang w:eastAsia="ko-KR"/>
        </w:rPr>
        <w:tab/>
        <w:t xml:space="preserve">used for the purpose of disaster alarming and relief (such as flood warnings); </w:t>
      </w:r>
    </w:p>
    <w:p w14:paraId="44B866B9" w14:textId="77777777" w:rsidR="00CF04BC" w:rsidRPr="00B93493" w:rsidRDefault="00CF04BC" w:rsidP="00CF04BC">
      <w:pPr>
        <w:pStyle w:val="enumlev1"/>
        <w:rPr>
          <w:lang w:eastAsia="ko-KR"/>
        </w:rPr>
      </w:pPr>
      <w:r w:rsidRPr="00B93493">
        <w:rPr>
          <w:lang w:eastAsia="ko-KR"/>
        </w:rPr>
        <w:t>–</w:t>
      </w:r>
      <w:r w:rsidRPr="00B93493">
        <w:rPr>
          <w:lang w:eastAsia="ko-KR"/>
        </w:rPr>
        <w:tab/>
        <w:t>installed by common carriers but used for public purpose.</w:t>
      </w:r>
    </w:p>
    <w:p w14:paraId="7149A670" w14:textId="77777777" w:rsidR="00CF04BC" w:rsidRPr="00B93493" w:rsidRDefault="00CF04BC" w:rsidP="00CF04BC">
      <w:pPr>
        <w:rPr>
          <w:lang w:eastAsia="ko-KR"/>
        </w:rPr>
      </w:pPr>
      <w:r w:rsidRPr="00B93493">
        <w:rPr>
          <w:lang w:eastAsia="ko-KR"/>
        </w:rPr>
        <w:t>The spectrum usage fees is calculated using the parameters such as frequency band, bandwidth, power and number of subscribers. The spectrum usage fees categories can be classified in four categories.</w:t>
      </w:r>
    </w:p>
    <w:p w14:paraId="318311B9" w14:textId="77777777" w:rsidR="00CF04BC" w:rsidRPr="00B93493" w:rsidRDefault="00CF04BC" w:rsidP="00CF04BC">
      <w:pPr>
        <w:rPr>
          <w:bCs/>
          <w:iCs/>
          <w:lang w:eastAsia="ko-KR"/>
        </w:rPr>
      </w:pPr>
      <w:r w:rsidRPr="00B93493">
        <w:rPr>
          <w:bCs/>
          <w:iCs/>
          <w:lang w:eastAsia="ko-KR"/>
        </w:rPr>
        <w:t>Category 1: Based on the common carrier</w:t>
      </w:r>
      <w:r w:rsidRPr="00B93493">
        <w:rPr>
          <w:bCs/>
          <w:iCs/>
        </w:rPr>
        <w:t>.</w:t>
      </w:r>
    </w:p>
    <w:p w14:paraId="0C4BA394" w14:textId="77777777" w:rsidR="00CF04BC" w:rsidRPr="00B93493" w:rsidRDefault="00CF04BC" w:rsidP="00CF04BC">
      <w:pPr>
        <w:rPr>
          <w:bCs/>
          <w:iCs/>
          <w:lang w:eastAsia="ko-KR"/>
        </w:rPr>
      </w:pPr>
      <w:r w:rsidRPr="00B93493">
        <w:rPr>
          <w:bCs/>
          <w:iCs/>
        </w:rPr>
        <w:t xml:space="preserve">Category </w:t>
      </w:r>
      <w:r w:rsidRPr="00B93493">
        <w:rPr>
          <w:bCs/>
          <w:iCs/>
          <w:lang w:eastAsia="ko-KR"/>
        </w:rPr>
        <w:t>2</w:t>
      </w:r>
      <w:r w:rsidRPr="00B93493">
        <w:rPr>
          <w:bCs/>
          <w:iCs/>
        </w:rPr>
        <w:t xml:space="preserve">: </w:t>
      </w:r>
      <w:r w:rsidRPr="00B93493">
        <w:rPr>
          <w:bCs/>
          <w:iCs/>
          <w:lang w:eastAsia="ko-KR"/>
        </w:rPr>
        <w:t>Based on the radio station</w:t>
      </w:r>
      <w:r w:rsidRPr="00B93493">
        <w:rPr>
          <w:bCs/>
          <w:iCs/>
        </w:rPr>
        <w:t>.</w:t>
      </w:r>
    </w:p>
    <w:p w14:paraId="4CCF0F2D" w14:textId="77777777" w:rsidR="00CF04BC" w:rsidRPr="00B93493" w:rsidRDefault="00CF04BC" w:rsidP="00CF04BC">
      <w:pPr>
        <w:rPr>
          <w:bCs/>
          <w:iCs/>
        </w:rPr>
      </w:pPr>
      <w:r w:rsidRPr="00B93493">
        <w:rPr>
          <w:bCs/>
          <w:iCs/>
        </w:rPr>
        <w:t xml:space="preserve">Category </w:t>
      </w:r>
      <w:r w:rsidRPr="00B93493">
        <w:rPr>
          <w:bCs/>
          <w:iCs/>
          <w:lang w:eastAsia="ko-KR"/>
        </w:rPr>
        <w:t>3: Based on the assigned frequency of the transmitter of radio stations.</w:t>
      </w:r>
    </w:p>
    <w:p w14:paraId="3E8603D8" w14:textId="77777777" w:rsidR="00CF04BC" w:rsidRPr="00B93493" w:rsidRDefault="00CF04BC" w:rsidP="00CF04BC">
      <w:pPr>
        <w:rPr>
          <w:lang w:eastAsia="ko-KR"/>
        </w:rPr>
      </w:pPr>
      <w:r w:rsidRPr="00B93493">
        <w:rPr>
          <w:bCs/>
          <w:iCs/>
        </w:rPr>
        <w:t xml:space="preserve">Category </w:t>
      </w:r>
      <w:r w:rsidRPr="00B93493">
        <w:rPr>
          <w:bCs/>
          <w:iCs/>
          <w:lang w:eastAsia="ko-KR"/>
        </w:rPr>
        <w:t>4:</w:t>
      </w:r>
      <w:r w:rsidRPr="00B93493">
        <w:rPr>
          <w:lang w:eastAsia="ko-KR"/>
        </w:rPr>
        <w:t xml:space="preserve"> Based on an earth s</w:t>
      </w:r>
      <w:r w:rsidRPr="00B93493">
        <w:t>tations installed on vehicles</w:t>
      </w:r>
      <w:r w:rsidRPr="00B93493">
        <w:rPr>
          <w:lang w:eastAsia="ko-KR"/>
        </w:rPr>
        <w:t xml:space="preserve"> and common carrier</w:t>
      </w:r>
      <w:r w:rsidRPr="00B93493">
        <w:t>’s earth stations for lease</w:t>
      </w:r>
      <w:r w:rsidRPr="00B93493">
        <w:rPr>
          <w:lang w:eastAsia="ko-KR"/>
        </w:rPr>
        <w:t>).</w:t>
      </w:r>
    </w:p>
    <w:p w14:paraId="364E4EC9" w14:textId="77777777" w:rsidR="00CF04BC" w:rsidRPr="00B93493" w:rsidRDefault="00CF04BC" w:rsidP="00CF04BC">
      <w:pPr>
        <w:pStyle w:val="Note"/>
        <w:rPr>
          <w:lang w:eastAsia="ko-KR"/>
        </w:rPr>
      </w:pPr>
      <w:r w:rsidRPr="00B93493">
        <w:rPr>
          <w:lang w:eastAsia="ko-KR"/>
        </w:rPr>
        <w:t>NOTE – All fees are imposed quarterly.</w:t>
      </w:r>
    </w:p>
    <w:p w14:paraId="75313C46" w14:textId="77777777" w:rsidR="00CF04BC" w:rsidRPr="00B93493" w:rsidRDefault="00CF04BC" w:rsidP="00CF04BC">
      <w:pPr>
        <w:pStyle w:val="Headingb"/>
      </w:pPr>
      <w:bookmarkStart w:id="2457" w:name="_Toc462234158"/>
      <w:bookmarkStart w:id="2458" w:name="_Toc454284994"/>
      <w:r w:rsidRPr="00B93493">
        <w:t xml:space="preserve">Assessment criteria of spectrum </w:t>
      </w:r>
      <w:bookmarkEnd w:id="2457"/>
      <w:bookmarkEnd w:id="2458"/>
      <w:r w:rsidRPr="00B93493">
        <w:rPr>
          <w:lang w:eastAsia="ko-KR"/>
        </w:rPr>
        <w:t>usage fees</w:t>
      </w:r>
    </w:p>
    <w:p w14:paraId="7CE23FAA" w14:textId="77777777" w:rsidR="00CF04BC" w:rsidRPr="00B93493" w:rsidRDefault="00CF04BC" w:rsidP="00CF04BC">
      <w:pPr>
        <w:pStyle w:val="Headingb"/>
      </w:pPr>
      <w:r w:rsidRPr="00B93493">
        <w:rPr>
          <w:bCs/>
          <w:lang w:eastAsia="ko-KR"/>
        </w:rPr>
        <w:t>Category 1</w:t>
      </w:r>
      <w:r w:rsidRPr="00B93493">
        <w:rPr>
          <w:bCs/>
        </w:rPr>
        <w:t>:</w:t>
      </w:r>
      <w:r w:rsidRPr="00B93493">
        <w:rPr>
          <w:lang w:eastAsia="ko-KR"/>
        </w:rPr>
        <w:t xml:space="preserve"> Based on the common carrier</w:t>
      </w:r>
    </w:p>
    <w:p w14:paraId="0EB14EE0" w14:textId="77777777" w:rsidR="00CF04BC" w:rsidRPr="00B93493" w:rsidRDefault="00CF04BC" w:rsidP="00CF04BC">
      <w:pPr>
        <w:keepNext/>
        <w:keepLines/>
      </w:pPr>
      <w:r w:rsidRPr="00B93493">
        <w:t xml:space="preserve">Spectrum </w:t>
      </w:r>
      <w:r w:rsidRPr="00B93493">
        <w:rPr>
          <w:lang w:eastAsia="ko-KR"/>
        </w:rPr>
        <w:t>usage fees</w:t>
      </w:r>
      <w:r w:rsidRPr="00B93493">
        <w:t xml:space="preserve"> </w:t>
      </w:r>
      <w:r w:rsidRPr="00B93493">
        <w:rPr>
          <w:lang w:eastAsia="ko-KR"/>
        </w:rPr>
        <w:t>(SF)</w:t>
      </w:r>
      <w:r w:rsidRPr="00B93493">
        <w:t xml:space="preserve"> </w:t>
      </w:r>
      <w:r w:rsidRPr="00B93493">
        <w:rPr>
          <w:lang w:eastAsia="ko-KR"/>
        </w:rPr>
        <w:t xml:space="preserve">is </w:t>
      </w:r>
      <w:r w:rsidRPr="00B93493">
        <w:t xml:space="preserve">imposed on the </w:t>
      </w:r>
      <w:r w:rsidRPr="00B93493">
        <w:rPr>
          <w:lang w:eastAsia="ko-KR"/>
        </w:rPr>
        <w:t>common carrier based on the following</w:t>
      </w:r>
      <w:r w:rsidRPr="00B93493">
        <w:t xml:space="preserve"> equation:</w:t>
      </w:r>
    </w:p>
    <w:p w14:paraId="432BB36D" w14:textId="77777777" w:rsidR="00CF04BC" w:rsidRPr="00B93493" w:rsidRDefault="00CF04BC" w:rsidP="00CF04BC">
      <w:pPr>
        <w:pStyle w:val="Equation"/>
        <w:rPr>
          <w:lang w:eastAsia="ko-KR"/>
        </w:rPr>
      </w:pPr>
      <w:r w:rsidRPr="00B93493">
        <w:tab/>
      </w:r>
      <w:r w:rsidRPr="00B93493">
        <w:tab/>
      </w:r>
      <w:r w:rsidRPr="00B93493">
        <w:rPr>
          <w:position w:val="-14"/>
        </w:rPr>
        <w:object w:dxaOrig="4695" w:dyaOrig="408" w14:anchorId="17D36FEB">
          <v:shape id="_x0000_i1121" type="#_x0000_t75" style="width:236.15pt;height:20.15pt" o:ole="">
            <v:imagedata r:id="rId234" o:title=""/>
          </v:shape>
          <o:OLEObject Type="Embed" ProgID="Equation.3" ShapeID="_x0000_i1121" DrawAspect="Content" ObjectID="_1812968402" r:id="rId235"/>
        </w:object>
      </w:r>
      <w:r w:rsidRPr="00B93493">
        <w:tab/>
        <w:t>(66)</w:t>
      </w:r>
    </w:p>
    <w:p w14:paraId="7E8F4472" w14:textId="77777777" w:rsidR="00CF04BC" w:rsidRPr="00B93493" w:rsidRDefault="00CF04BC" w:rsidP="00CF04BC">
      <w:pPr>
        <w:pStyle w:val="Equation"/>
      </w:pPr>
      <w:r w:rsidRPr="00B93493">
        <w:t>where:</w:t>
      </w:r>
    </w:p>
    <w:p w14:paraId="5941C02D" w14:textId="77777777" w:rsidR="00CF04BC" w:rsidRPr="00B93493" w:rsidRDefault="00CF04BC" w:rsidP="00CF04BC">
      <w:pPr>
        <w:pStyle w:val="Equationlegend"/>
      </w:pPr>
      <w:r w:rsidRPr="00B93493">
        <w:tab/>
      </w:r>
      <w:r w:rsidRPr="00B93493">
        <w:rPr>
          <w:i/>
          <w:iCs/>
        </w:rPr>
        <w:t>N</w:t>
      </w:r>
      <w:r w:rsidRPr="00B93493">
        <w:rPr>
          <w:i/>
          <w:iCs/>
          <w:vertAlign w:val="subscript"/>
        </w:rPr>
        <w:t>s</w:t>
      </w:r>
      <w:r w:rsidRPr="00B93493">
        <w:rPr>
          <w:szCs w:val="24"/>
        </w:rPr>
        <w:t>:</w:t>
      </w:r>
      <w:r w:rsidRPr="00B93493">
        <w:rPr>
          <w:sz w:val="20"/>
        </w:rPr>
        <w:tab/>
      </w:r>
      <w:r w:rsidRPr="00B93493">
        <w:t>number of subscribers</w:t>
      </w:r>
    </w:p>
    <w:p w14:paraId="4A765471" w14:textId="77777777" w:rsidR="00CF04BC" w:rsidRPr="00B93493" w:rsidRDefault="00CF04BC" w:rsidP="00CF04BC">
      <w:pPr>
        <w:pStyle w:val="Equationlegend"/>
        <w:rPr>
          <w:lang w:eastAsia="ko-KR"/>
        </w:rPr>
      </w:pPr>
      <w:r w:rsidRPr="00B93493">
        <w:tab/>
      </w:r>
      <w:r w:rsidRPr="00B93493">
        <w:rPr>
          <w:i/>
          <w:iCs/>
        </w:rPr>
        <w:t>U</w:t>
      </w:r>
      <w:r w:rsidRPr="00B93493">
        <w:rPr>
          <w:i/>
          <w:iCs/>
          <w:vertAlign w:val="subscript"/>
          <w:lang w:eastAsia="ko-KR"/>
        </w:rPr>
        <w:t>p</w:t>
      </w:r>
      <w:r w:rsidRPr="00B93493">
        <w:rPr>
          <w:szCs w:val="24"/>
        </w:rPr>
        <w:t>:</w:t>
      </w:r>
      <w:r w:rsidRPr="00B93493">
        <w:rPr>
          <w:i/>
          <w:iCs/>
        </w:rPr>
        <w:tab/>
      </w:r>
      <w:r w:rsidRPr="00B93493">
        <w:t xml:space="preserve">unit </w:t>
      </w:r>
      <w:r w:rsidRPr="00B93493">
        <w:rPr>
          <w:lang w:eastAsia="ko-KR"/>
        </w:rPr>
        <w:t>price</w:t>
      </w:r>
    </w:p>
    <w:p w14:paraId="38924194" w14:textId="77777777" w:rsidR="00CF04BC" w:rsidRPr="00B93493" w:rsidRDefault="00CF04BC" w:rsidP="00CF04BC">
      <w:pPr>
        <w:pStyle w:val="Equationlegend"/>
      </w:pPr>
      <w:r w:rsidRPr="00B93493">
        <w:tab/>
      </w:r>
      <w:r w:rsidRPr="00B93493">
        <w:rPr>
          <w:i/>
          <w:lang w:eastAsia="ko-KR"/>
        </w:rPr>
        <w:t>F</w:t>
      </w:r>
      <w:r w:rsidRPr="00B93493">
        <w:rPr>
          <w:i/>
          <w:iCs/>
          <w:vertAlign w:val="subscript"/>
          <w:lang w:eastAsia="ko-KR"/>
        </w:rPr>
        <w:t>s</w:t>
      </w:r>
      <w:r w:rsidRPr="00B93493">
        <w:rPr>
          <w:i/>
          <w:iCs/>
          <w:sz w:val="12"/>
        </w:rPr>
        <w:t> </w:t>
      </w:r>
      <w:r w:rsidRPr="00B93493">
        <w:rPr>
          <w:i/>
          <w:iCs/>
        </w:rPr>
        <w:t xml:space="preserve"> </w:t>
      </w:r>
      <w:r w:rsidRPr="00B93493">
        <w:rPr>
          <w:i/>
          <w:iCs/>
        </w:rPr>
        <w:tab/>
      </w:r>
      <w:r w:rsidRPr="00B93493">
        <w:t xml:space="preserve">facilities </w:t>
      </w:r>
      <w:r w:rsidRPr="00B93493">
        <w:rPr>
          <w:lang w:eastAsia="ko-KR"/>
        </w:rPr>
        <w:t xml:space="preserve">sharing fee-waiver </w:t>
      </w:r>
      <w:r w:rsidRPr="00B93493">
        <w:t>factor</w:t>
      </w:r>
    </w:p>
    <w:p w14:paraId="5DEA8C07" w14:textId="77777777" w:rsidR="00CF04BC" w:rsidRPr="00B93493" w:rsidRDefault="00CF04BC" w:rsidP="00CF04BC">
      <w:pPr>
        <w:pStyle w:val="Equationlegend"/>
        <w:rPr>
          <w:i/>
          <w:iCs/>
          <w:lang w:eastAsia="ko-KR"/>
        </w:rPr>
      </w:pPr>
      <w:r w:rsidRPr="00B93493">
        <w:tab/>
      </w:r>
      <w:r w:rsidRPr="00B93493">
        <w:rPr>
          <w:i/>
          <w:iCs/>
        </w:rPr>
        <w:t>E</w:t>
      </w:r>
      <w:r w:rsidRPr="00B93493">
        <w:rPr>
          <w:i/>
          <w:iCs/>
          <w:vertAlign w:val="subscript"/>
        </w:rPr>
        <w:t>f</w:t>
      </w:r>
      <w:r w:rsidRPr="00B93493">
        <w:rPr>
          <w:i/>
          <w:iCs/>
          <w:sz w:val="12"/>
        </w:rPr>
        <w:t> </w:t>
      </w:r>
      <w:r w:rsidRPr="00B93493">
        <w:rPr>
          <w:i/>
          <w:iCs/>
          <w:vertAlign w:val="subscript"/>
        </w:rPr>
        <w:t>f</w:t>
      </w:r>
      <w:r w:rsidRPr="00B93493">
        <w:rPr>
          <w:i/>
          <w:iCs/>
          <w:sz w:val="12"/>
        </w:rPr>
        <w:t> </w:t>
      </w:r>
      <w:r w:rsidRPr="00B93493">
        <w:rPr>
          <w:szCs w:val="24"/>
        </w:rPr>
        <w:t>:</w:t>
      </w:r>
      <w:r w:rsidRPr="00B93493">
        <w:rPr>
          <w:i/>
          <w:iCs/>
        </w:rPr>
        <w:t xml:space="preserve"> </w:t>
      </w:r>
      <w:r w:rsidRPr="00B93493">
        <w:rPr>
          <w:i/>
          <w:iCs/>
        </w:rPr>
        <w:tab/>
      </w:r>
      <w:r w:rsidRPr="00B93493">
        <w:rPr>
          <w:lang w:eastAsia="ko-KR"/>
        </w:rPr>
        <w:t xml:space="preserve">eco-friendly fee-waiver </w:t>
      </w:r>
      <w:r w:rsidRPr="00B93493">
        <w:t>factor</w:t>
      </w:r>
    </w:p>
    <w:p w14:paraId="0A0ACA67" w14:textId="77777777" w:rsidR="00CF04BC" w:rsidRPr="00B93493" w:rsidRDefault="00CF04BC" w:rsidP="00CF04BC">
      <w:pPr>
        <w:pStyle w:val="Equationlegend"/>
        <w:rPr>
          <w:lang w:eastAsia="ko-KR"/>
        </w:rPr>
      </w:pPr>
      <w:r w:rsidRPr="00B93493">
        <w:rPr>
          <w:i/>
          <w:iCs/>
        </w:rPr>
        <w:tab/>
        <w:t>R</w:t>
      </w:r>
      <w:r w:rsidRPr="00B93493">
        <w:rPr>
          <w:i/>
          <w:iCs/>
          <w:vertAlign w:val="subscript"/>
        </w:rPr>
        <w:t>f</w:t>
      </w:r>
      <w:r w:rsidRPr="00B93493">
        <w:rPr>
          <w:szCs w:val="24"/>
        </w:rPr>
        <w:t>:</w:t>
      </w:r>
      <w:r w:rsidRPr="00B93493">
        <w:t xml:space="preserve"> </w:t>
      </w:r>
      <w:r w:rsidRPr="00B93493">
        <w:tab/>
        <w:t xml:space="preserve">roaming </w:t>
      </w:r>
      <w:r w:rsidRPr="00B93493">
        <w:rPr>
          <w:lang w:eastAsia="ko-KR"/>
        </w:rPr>
        <w:t xml:space="preserve">fee-waiver </w:t>
      </w:r>
      <w:r w:rsidRPr="00B93493">
        <w:t>factor</w:t>
      </w:r>
    </w:p>
    <w:p w14:paraId="5B038D6F" w14:textId="77777777" w:rsidR="00CF04BC" w:rsidRPr="00B93493" w:rsidRDefault="00CF04BC" w:rsidP="00CF04BC">
      <w:pPr>
        <w:pStyle w:val="Equationlegend"/>
        <w:rPr>
          <w:lang w:eastAsia="ko-KR"/>
        </w:rPr>
      </w:pPr>
      <w:r w:rsidRPr="00B93493">
        <w:tab/>
      </w:r>
      <w:r w:rsidRPr="00B93493">
        <w:rPr>
          <w:i/>
          <w:iCs/>
        </w:rPr>
        <w:t>E</w:t>
      </w:r>
      <w:r w:rsidRPr="00B93493">
        <w:rPr>
          <w:i/>
          <w:iCs/>
          <w:vertAlign w:val="subscript"/>
        </w:rPr>
        <w:t>f</w:t>
      </w:r>
      <w:r w:rsidRPr="00B93493">
        <w:rPr>
          <w:szCs w:val="24"/>
        </w:rPr>
        <w:t>:</w:t>
      </w:r>
      <w:r w:rsidRPr="00B93493">
        <w:rPr>
          <w:i/>
          <w:iCs/>
        </w:rPr>
        <w:t xml:space="preserve"> </w:t>
      </w:r>
      <w:r w:rsidRPr="00B93493">
        <w:rPr>
          <w:i/>
          <w:iCs/>
        </w:rPr>
        <w:tab/>
      </w:r>
      <w:r w:rsidRPr="00B93493">
        <w:rPr>
          <w:iCs/>
          <w:lang w:eastAsia="ko-KR"/>
        </w:rPr>
        <w:t xml:space="preserve">frequency </w:t>
      </w:r>
      <w:r w:rsidRPr="00B93493">
        <w:t xml:space="preserve">use efficiency </w:t>
      </w:r>
      <w:r w:rsidRPr="00B93493">
        <w:rPr>
          <w:lang w:eastAsia="ko-KR"/>
        </w:rPr>
        <w:t xml:space="preserve">fee-waiver </w:t>
      </w:r>
      <w:r w:rsidRPr="00B93493">
        <w:t>factor</w:t>
      </w:r>
    </w:p>
    <w:p w14:paraId="3255C81F" w14:textId="77777777" w:rsidR="00CF04BC" w:rsidRPr="00B93493" w:rsidRDefault="00CF04BC" w:rsidP="00CF04BC">
      <w:pPr>
        <w:pStyle w:val="Equationlegend"/>
        <w:rPr>
          <w:lang w:eastAsia="ko-KR"/>
        </w:rPr>
      </w:pPr>
      <w:r w:rsidRPr="00B93493">
        <w:tab/>
      </w:r>
      <w:r w:rsidRPr="00B93493">
        <w:rPr>
          <w:i/>
          <w:iCs/>
          <w:lang w:eastAsia="ko-KR"/>
        </w:rPr>
        <w:t>C</w:t>
      </w:r>
      <w:r w:rsidRPr="00B93493">
        <w:rPr>
          <w:szCs w:val="24"/>
        </w:rPr>
        <w:t>:</w:t>
      </w:r>
      <w:r w:rsidRPr="00B93493">
        <w:rPr>
          <w:i/>
          <w:iCs/>
        </w:rPr>
        <w:t xml:space="preserve"> </w:t>
      </w:r>
      <w:r w:rsidRPr="00B93493">
        <w:rPr>
          <w:i/>
          <w:iCs/>
        </w:rPr>
        <w:tab/>
      </w:r>
      <w:r w:rsidRPr="00B93493">
        <w:rPr>
          <w:szCs w:val="24"/>
          <w:lang w:eastAsia="ko-KR"/>
        </w:rPr>
        <w:t>radio characteristic factor</w:t>
      </w:r>
      <w:r w:rsidRPr="00B93493">
        <w:t>.</w:t>
      </w:r>
    </w:p>
    <w:p w14:paraId="1FEB1D36" w14:textId="77777777" w:rsidR="00CF04BC" w:rsidRPr="00B93493" w:rsidRDefault="00CF04BC" w:rsidP="00CF04BC">
      <w:pPr>
        <w:rPr>
          <w:lang w:eastAsia="ko-KR"/>
        </w:rPr>
      </w:pPr>
      <w:r w:rsidRPr="00B93493">
        <w:rPr>
          <w:lang w:eastAsia="ko-KR"/>
        </w:rPr>
        <w:t>Description of the parameters:</w:t>
      </w:r>
    </w:p>
    <w:p w14:paraId="19CC7331" w14:textId="77777777" w:rsidR="00CF04BC" w:rsidRPr="00B93493" w:rsidRDefault="00CF04BC" w:rsidP="00CF04BC">
      <w:bookmarkStart w:id="2459" w:name="_Toc454284995"/>
      <w:bookmarkStart w:id="2460" w:name="_Toc462234159"/>
      <w:r w:rsidRPr="00B93493">
        <w:rPr>
          <w:lang w:eastAsia="ko-KR"/>
        </w:rPr>
        <w:t>a)</w:t>
      </w:r>
      <w:r w:rsidRPr="00B93493">
        <w:rPr>
          <w:lang w:eastAsia="ko-KR"/>
        </w:rPr>
        <w:tab/>
        <w:t>N</w:t>
      </w:r>
      <w:r w:rsidRPr="00B93493">
        <w:t>umber of subscribers</w:t>
      </w:r>
      <w:bookmarkEnd w:id="2459"/>
      <w:bookmarkEnd w:id="2460"/>
      <w:r w:rsidRPr="00B93493">
        <w:t xml:space="preserve"> is the average on the first and last day of the quarter.</w:t>
      </w:r>
    </w:p>
    <w:p w14:paraId="536BD8B8" w14:textId="77777777" w:rsidR="00CF04BC" w:rsidRDefault="00CF04BC" w:rsidP="00CF04BC">
      <w:bookmarkStart w:id="2461" w:name="_Toc454284996"/>
      <w:bookmarkStart w:id="2462" w:name="_Toc462234160"/>
      <w:bookmarkEnd w:id="2461"/>
      <w:bookmarkEnd w:id="2462"/>
      <w:r w:rsidRPr="00B93493">
        <w:t>b)</w:t>
      </w:r>
      <w:r w:rsidRPr="00B93493">
        <w:tab/>
        <w:t>Unit price:</w:t>
      </w:r>
    </w:p>
    <w:p w14:paraId="6B65F457" w14:textId="77777777" w:rsidR="00CF04BC" w:rsidRPr="00F15ACD" w:rsidRDefault="00CF04BC" w:rsidP="00CF04BC">
      <w:pPr>
        <w:pStyle w:val="TableNo"/>
        <w:rPr>
          <w:b/>
          <w:lang w:eastAsia="zh-CN"/>
        </w:rPr>
      </w:pPr>
      <w:r w:rsidRPr="00B93493">
        <w:t>TABLE 3</w:t>
      </w:r>
      <w:r>
        <w:rPr>
          <w:rFonts w:hint="eastAsia"/>
          <w:lang w:eastAsia="zh-CN"/>
        </w:rPr>
        <w:t>7</w:t>
      </w:r>
    </w:p>
    <w:p w14:paraId="415BA438" w14:textId="77777777" w:rsidR="00CF04BC" w:rsidRPr="00B93493" w:rsidRDefault="00CF04BC" w:rsidP="00CF04BC">
      <w:pPr>
        <w:pStyle w:val="Blanc"/>
      </w:pPr>
    </w:p>
    <w:tbl>
      <w:tblPr>
        <w:tblW w:w="81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4A0" w:firstRow="1" w:lastRow="0" w:firstColumn="1" w:lastColumn="0" w:noHBand="0" w:noVBand="1"/>
      </w:tblPr>
      <w:tblGrid>
        <w:gridCol w:w="4517"/>
        <w:gridCol w:w="3650"/>
      </w:tblGrid>
      <w:tr w:rsidR="00CF04BC" w:rsidRPr="00B93493" w14:paraId="7A7CA8BA" w14:textId="77777777" w:rsidTr="002E7F54">
        <w:trPr>
          <w:jc w:val="center"/>
        </w:trPr>
        <w:tc>
          <w:tcPr>
            <w:tcW w:w="451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73B7C07F" w14:textId="77777777" w:rsidR="00CF04BC" w:rsidRPr="00B93493" w:rsidRDefault="00CF04BC" w:rsidP="002E7F54">
            <w:pPr>
              <w:pStyle w:val="Tablehead"/>
              <w:rPr>
                <w:szCs w:val="22"/>
              </w:rPr>
            </w:pPr>
            <w:r w:rsidRPr="00B93493">
              <w:rPr>
                <w:szCs w:val="22"/>
              </w:rPr>
              <w:t>Services</w:t>
            </w:r>
          </w:p>
        </w:tc>
        <w:tc>
          <w:tcPr>
            <w:tcW w:w="365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6B60C544" w14:textId="77777777" w:rsidR="00CF04BC" w:rsidRPr="00B93493" w:rsidRDefault="00CF04BC" w:rsidP="002E7F54">
            <w:pPr>
              <w:pStyle w:val="Tablehead"/>
              <w:rPr>
                <w:szCs w:val="22"/>
                <w:lang w:eastAsia="ko-KR"/>
              </w:rPr>
            </w:pPr>
            <w:r w:rsidRPr="00B93493">
              <w:rPr>
                <w:szCs w:val="22"/>
              </w:rPr>
              <w:t xml:space="preserve">Unit </w:t>
            </w:r>
            <w:r w:rsidRPr="00B93493">
              <w:rPr>
                <w:szCs w:val="22"/>
                <w:lang w:eastAsia="ko-KR"/>
              </w:rPr>
              <w:t>price</w:t>
            </w:r>
            <w:r w:rsidRPr="00B93493">
              <w:rPr>
                <w:szCs w:val="22"/>
                <w:lang w:eastAsia="ko-KR"/>
              </w:rPr>
              <w:br/>
            </w:r>
            <w:r w:rsidRPr="00B93493">
              <w:rPr>
                <w:szCs w:val="22"/>
              </w:rPr>
              <w:t>(</w:t>
            </w:r>
            <w:r w:rsidRPr="00B93493">
              <w:rPr>
                <w:szCs w:val="22"/>
                <w:lang w:eastAsia="ko-KR"/>
              </w:rPr>
              <w:t>KRW</w:t>
            </w:r>
            <w:r w:rsidRPr="00B93493">
              <w:rPr>
                <w:rStyle w:val="FootnoteAnchor"/>
                <w:szCs w:val="22"/>
                <w:lang w:eastAsia="ko-KR"/>
              </w:rPr>
              <w:footnoteReference w:id="17"/>
            </w:r>
            <w:r w:rsidRPr="00B93493">
              <w:rPr>
                <w:szCs w:val="22"/>
              </w:rPr>
              <w:t>/subscriber/quarter)</w:t>
            </w:r>
          </w:p>
        </w:tc>
      </w:tr>
      <w:tr w:rsidR="00CF04BC" w:rsidRPr="00B93493" w14:paraId="34CD1CFF" w14:textId="77777777" w:rsidTr="002E7F54">
        <w:trPr>
          <w:jc w:val="center"/>
        </w:trPr>
        <w:tc>
          <w:tcPr>
            <w:tcW w:w="451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B61DE7C" w14:textId="77777777" w:rsidR="00CF04BC" w:rsidRPr="00F15ACD" w:rsidRDefault="00CF04BC" w:rsidP="002E7F54">
            <w:pPr>
              <w:pStyle w:val="Tabletext"/>
              <w:rPr>
                <w:szCs w:val="22"/>
                <w:lang w:val="fr-FR" w:eastAsia="ko-KR"/>
              </w:rPr>
            </w:pPr>
            <w:r w:rsidRPr="00F15ACD">
              <w:rPr>
                <w:szCs w:val="22"/>
                <w:lang w:val="fr-FR"/>
              </w:rPr>
              <w:t>Mobile phone</w:t>
            </w:r>
            <w:r w:rsidRPr="00F15ACD">
              <w:rPr>
                <w:szCs w:val="22"/>
                <w:lang w:val="fr-FR" w:eastAsia="ko-KR"/>
              </w:rPr>
              <w:t xml:space="preserve"> service (Cellular, PCS, IMT)</w:t>
            </w:r>
          </w:p>
          <w:p w14:paraId="14A0F8B7" w14:textId="77777777" w:rsidR="00CF04BC" w:rsidRPr="00B93493" w:rsidRDefault="00CF04BC" w:rsidP="002E7F54">
            <w:pPr>
              <w:pStyle w:val="Tabletext"/>
              <w:rPr>
                <w:szCs w:val="22"/>
                <w:lang w:eastAsia="ko-KR"/>
              </w:rPr>
            </w:pPr>
            <w:r w:rsidRPr="00B93493">
              <w:rPr>
                <w:szCs w:val="22"/>
                <w:lang w:eastAsia="ko-KR"/>
              </w:rPr>
              <w:t>WiBro (wireless broadband internet)</w:t>
            </w:r>
          </w:p>
          <w:p w14:paraId="7E724AC2" w14:textId="77777777" w:rsidR="00CF04BC" w:rsidRPr="00B93493" w:rsidRDefault="00CF04BC" w:rsidP="002E7F54">
            <w:pPr>
              <w:pStyle w:val="Tabletext"/>
              <w:rPr>
                <w:szCs w:val="22"/>
                <w:lang w:eastAsia="ko-KR"/>
              </w:rPr>
            </w:pPr>
            <w:r w:rsidRPr="00B93493">
              <w:rPr>
                <w:szCs w:val="22"/>
                <w:lang w:eastAsia="ko-KR"/>
              </w:rPr>
              <w:t xml:space="preserve">Radio </w:t>
            </w:r>
            <w:r w:rsidRPr="00B93493">
              <w:rPr>
                <w:szCs w:val="22"/>
              </w:rPr>
              <w:t>pager</w:t>
            </w:r>
            <w:r w:rsidRPr="00B93493">
              <w:rPr>
                <w:szCs w:val="22"/>
                <w:lang w:eastAsia="ko-KR"/>
              </w:rPr>
              <w:t>/Trunked radio service</w:t>
            </w:r>
          </w:p>
          <w:p w14:paraId="01AB0338" w14:textId="77777777" w:rsidR="00CF04BC" w:rsidRPr="00B93493" w:rsidRDefault="00CF04BC" w:rsidP="002E7F54">
            <w:pPr>
              <w:pStyle w:val="Tabletext"/>
              <w:rPr>
                <w:szCs w:val="22"/>
                <w:lang w:eastAsia="ko-KR"/>
              </w:rPr>
            </w:pPr>
            <w:r w:rsidRPr="00B93493">
              <w:rPr>
                <w:szCs w:val="22"/>
                <w:lang w:eastAsia="ko-KR"/>
              </w:rPr>
              <w:t>Location-based service</w:t>
            </w:r>
          </w:p>
          <w:p w14:paraId="18A72FDF" w14:textId="77777777" w:rsidR="00CF04BC" w:rsidRPr="00B93493" w:rsidRDefault="00CF04BC" w:rsidP="002E7F54">
            <w:pPr>
              <w:pStyle w:val="Tabletext"/>
              <w:rPr>
                <w:szCs w:val="22"/>
                <w:lang w:eastAsia="ko-KR"/>
              </w:rPr>
            </w:pPr>
            <w:r w:rsidRPr="00B93493">
              <w:rPr>
                <w:szCs w:val="22"/>
                <w:lang w:eastAsia="ko-KR"/>
              </w:rPr>
              <w:t>Wireless</w:t>
            </w:r>
            <w:r w:rsidRPr="00B93493">
              <w:rPr>
                <w:szCs w:val="22"/>
              </w:rPr>
              <w:t xml:space="preserve"> data</w:t>
            </w:r>
            <w:r w:rsidRPr="00B93493">
              <w:rPr>
                <w:szCs w:val="22"/>
                <w:lang w:eastAsia="ko-KR"/>
              </w:rPr>
              <w:t xml:space="preserve"> service </w:t>
            </w:r>
          </w:p>
          <w:p w14:paraId="60E43E27" w14:textId="77777777" w:rsidR="00CF04BC" w:rsidRPr="00B93493" w:rsidRDefault="00CF04BC" w:rsidP="002E7F54">
            <w:pPr>
              <w:pStyle w:val="Tabletext"/>
              <w:rPr>
                <w:szCs w:val="22"/>
                <w:lang w:eastAsia="ko-KR"/>
              </w:rPr>
            </w:pPr>
            <w:r w:rsidRPr="00B93493">
              <w:rPr>
                <w:szCs w:val="22"/>
                <w:lang w:eastAsia="ko-KR"/>
              </w:rPr>
              <w:t>Satellite communication (portable)</w:t>
            </w:r>
          </w:p>
          <w:p w14:paraId="2F313B3B" w14:textId="77777777" w:rsidR="00CF04BC" w:rsidRPr="00B93493" w:rsidRDefault="00CF04BC" w:rsidP="002E7F54">
            <w:pPr>
              <w:pStyle w:val="Tabletext"/>
              <w:rPr>
                <w:szCs w:val="22"/>
                <w:lang w:eastAsia="ko-KR"/>
              </w:rPr>
            </w:pPr>
            <w:r w:rsidRPr="00B93493">
              <w:rPr>
                <w:szCs w:val="22"/>
                <w:lang w:eastAsia="ko-KR"/>
              </w:rPr>
              <w:t>–</w:t>
            </w:r>
            <w:r w:rsidRPr="00B93493">
              <w:rPr>
                <w:szCs w:val="22"/>
                <w:lang w:eastAsia="ko-KR"/>
              </w:rPr>
              <w:tab/>
              <w:t>Voice and data</w:t>
            </w:r>
          </w:p>
          <w:p w14:paraId="0EBA10D7" w14:textId="77777777" w:rsidR="00CF04BC" w:rsidRPr="00B93493" w:rsidRDefault="00CF04BC" w:rsidP="002E7F54">
            <w:pPr>
              <w:pStyle w:val="Tabletext"/>
              <w:rPr>
                <w:szCs w:val="22"/>
                <w:lang w:eastAsia="ko-KR"/>
              </w:rPr>
            </w:pPr>
            <w:r w:rsidRPr="00B93493">
              <w:rPr>
                <w:szCs w:val="22"/>
                <w:lang w:eastAsia="ko-KR"/>
              </w:rPr>
              <w:t>–</w:t>
            </w:r>
            <w:r w:rsidRPr="00B93493">
              <w:rPr>
                <w:szCs w:val="22"/>
                <w:lang w:eastAsia="ko-KR"/>
              </w:rPr>
              <w:tab/>
              <w:t>Data only</w:t>
            </w:r>
          </w:p>
        </w:tc>
        <w:tc>
          <w:tcPr>
            <w:tcW w:w="365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324C9BF" w14:textId="77777777" w:rsidR="00CF04BC" w:rsidRPr="00B93493" w:rsidRDefault="00CF04BC" w:rsidP="002E7F54">
            <w:pPr>
              <w:pStyle w:val="Tabletext"/>
              <w:jc w:val="center"/>
              <w:rPr>
                <w:szCs w:val="22"/>
              </w:rPr>
            </w:pPr>
            <w:r w:rsidRPr="00B93493">
              <w:rPr>
                <w:szCs w:val="22"/>
              </w:rPr>
              <w:t>2</w:t>
            </w:r>
            <w:r w:rsidRPr="00B93493">
              <w:rPr>
                <w:rFonts w:ascii="Tms Rmn" w:hAnsi="Tms Rmn"/>
                <w:szCs w:val="22"/>
              </w:rPr>
              <w:t> </w:t>
            </w:r>
            <w:r w:rsidRPr="00B93493">
              <w:rPr>
                <w:szCs w:val="22"/>
              </w:rPr>
              <w:t>000</w:t>
            </w:r>
          </w:p>
          <w:p w14:paraId="055C5C5D" w14:textId="77777777" w:rsidR="00CF04BC" w:rsidRPr="00B93493" w:rsidRDefault="00CF04BC" w:rsidP="002E7F54">
            <w:pPr>
              <w:pStyle w:val="Tabletext"/>
              <w:jc w:val="center"/>
              <w:rPr>
                <w:szCs w:val="22"/>
                <w:lang w:eastAsia="ko-KR"/>
              </w:rPr>
            </w:pPr>
            <w:r w:rsidRPr="00B93493">
              <w:rPr>
                <w:szCs w:val="22"/>
                <w:lang w:eastAsia="ko-KR"/>
              </w:rPr>
              <w:t>1 200</w:t>
            </w:r>
          </w:p>
          <w:p w14:paraId="43500333" w14:textId="77777777" w:rsidR="00CF04BC" w:rsidRPr="00B93493" w:rsidRDefault="00CF04BC" w:rsidP="002E7F54">
            <w:pPr>
              <w:pStyle w:val="Tabletext"/>
              <w:jc w:val="center"/>
              <w:rPr>
                <w:szCs w:val="22"/>
                <w:lang w:eastAsia="ko-KR"/>
              </w:rPr>
            </w:pPr>
            <w:r w:rsidRPr="00B93493">
              <w:rPr>
                <w:szCs w:val="22"/>
              </w:rPr>
              <w:t>150</w:t>
            </w:r>
          </w:p>
          <w:p w14:paraId="6F9783D5" w14:textId="77777777" w:rsidR="00CF04BC" w:rsidRPr="00B93493" w:rsidRDefault="00CF04BC" w:rsidP="002E7F54">
            <w:pPr>
              <w:pStyle w:val="Tabletext"/>
              <w:jc w:val="center"/>
              <w:rPr>
                <w:szCs w:val="22"/>
                <w:lang w:eastAsia="ko-KR"/>
              </w:rPr>
            </w:pPr>
            <w:r w:rsidRPr="00B93493">
              <w:rPr>
                <w:szCs w:val="22"/>
                <w:lang w:eastAsia="ko-KR"/>
              </w:rPr>
              <w:t>50</w:t>
            </w:r>
          </w:p>
          <w:p w14:paraId="22A96716" w14:textId="77777777" w:rsidR="00CF04BC" w:rsidRPr="00B93493" w:rsidRDefault="00CF04BC" w:rsidP="002E7F54">
            <w:pPr>
              <w:pStyle w:val="Tabletext"/>
              <w:jc w:val="center"/>
              <w:rPr>
                <w:szCs w:val="22"/>
                <w:lang w:eastAsia="ko-KR"/>
              </w:rPr>
            </w:pPr>
            <w:r w:rsidRPr="00B93493">
              <w:rPr>
                <w:szCs w:val="22"/>
              </w:rPr>
              <w:t>30</w:t>
            </w:r>
          </w:p>
          <w:p w14:paraId="57E46F43" w14:textId="77777777" w:rsidR="00CF04BC" w:rsidRPr="00B93493" w:rsidRDefault="00CF04BC" w:rsidP="002E7F54">
            <w:pPr>
              <w:pStyle w:val="Tabletext"/>
              <w:jc w:val="center"/>
              <w:rPr>
                <w:b/>
                <w:szCs w:val="22"/>
                <w:lang w:eastAsia="ko-KR"/>
              </w:rPr>
            </w:pPr>
          </w:p>
          <w:p w14:paraId="718D46FC" w14:textId="77777777" w:rsidR="00CF04BC" w:rsidRPr="00B93493" w:rsidRDefault="00CF04BC" w:rsidP="002E7F54">
            <w:pPr>
              <w:pStyle w:val="Tabletext"/>
              <w:jc w:val="center"/>
              <w:rPr>
                <w:szCs w:val="22"/>
                <w:lang w:eastAsia="ko-KR"/>
              </w:rPr>
            </w:pPr>
            <w:r w:rsidRPr="00B93493">
              <w:rPr>
                <w:szCs w:val="22"/>
                <w:lang w:eastAsia="ko-KR"/>
              </w:rPr>
              <w:t>500</w:t>
            </w:r>
          </w:p>
          <w:p w14:paraId="53E93618" w14:textId="77777777" w:rsidR="00CF04BC" w:rsidRPr="00B93493" w:rsidRDefault="00CF04BC" w:rsidP="002E7F54">
            <w:pPr>
              <w:pStyle w:val="Tabletext"/>
              <w:jc w:val="center"/>
              <w:rPr>
                <w:szCs w:val="22"/>
                <w:lang w:eastAsia="ko-KR"/>
              </w:rPr>
            </w:pPr>
            <w:r w:rsidRPr="00B93493">
              <w:rPr>
                <w:szCs w:val="22"/>
                <w:lang w:eastAsia="ko-KR"/>
              </w:rPr>
              <w:t>80</w:t>
            </w:r>
          </w:p>
        </w:tc>
      </w:tr>
    </w:tbl>
    <w:p w14:paraId="3BDE3A27" w14:textId="77777777" w:rsidR="00CF04BC" w:rsidRPr="00B93493" w:rsidRDefault="00CF04BC" w:rsidP="00CF04BC">
      <w:pPr>
        <w:pStyle w:val="Tablefin"/>
        <w:rPr>
          <w:lang w:eastAsia="ko-KR"/>
        </w:rPr>
      </w:pPr>
    </w:p>
    <w:p w14:paraId="5769CA00" w14:textId="77777777" w:rsidR="00CF04BC" w:rsidRDefault="00CF04BC" w:rsidP="00CF04BC">
      <w:bookmarkStart w:id="2463" w:name="_Toc462234161"/>
      <w:bookmarkStart w:id="2464" w:name="_Toc454284997"/>
      <w:r w:rsidRPr="00B93493">
        <w:rPr>
          <w:lang w:eastAsia="ko-KR"/>
        </w:rPr>
        <w:t>c</w:t>
      </w:r>
      <w:r w:rsidRPr="00B93493">
        <w:t>)</w:t>
      </w:r>
      <w:r w:rsidRPr="00B93493">
        <w:tab/>
        <w:t>The fee-waiver factors of facility sharing, eco-friendly and roaming</w:t>
      </w:r>
      <w:bookmarkEnd w:id="2463"/>
      <w:bookmarkEnd w:id="2464"/>
      <w:r w:rsidRPr="00B93493">
        <w:t>:</w:t>
      </w:r>
    </w:p>
    <w:p w14:paraId="1077480E" w14:textId="77777777" w:rsidR="00CF04BC" w:rsidRPr="00F15ACD" w:rsidRDefault="00CF04BC" w:rsidP="00CF04BC">
      <w:pPr>
        <w:pStyle w:val="TableNo"/>
        <w:rPr>
          <w:b/>
          <w:lang w:eastAsia="zh-CN"/>
        </w:rPr>
      </w:pPr>
      <w:r w:rsidRPr="00B93493">
        <w:t>TABLE 3</w:t>
      </w:r>
      <w:r>
        <w:rPr>
          <w:rFonts w:hint="eastAsia"/>
          <w:lang w:eastAsia="zh-CN"/>
        </w:rPr>
        <w:t>8</w:t>
      </w:r>
    </w:p>
    <w:p w14:paraId="4B1403B2" w14:textId="77777777" w:rsidR="00CF04BC" w:rsidRPr="00B93493" w:rsidRDefault="00CF04BC" w:rsidP="00CF04BC">
      <w:pPr>
        <w:pStyle w:val="Blanc"/>
        <w:rPr>
          <w:lang w:eastAsia="ko-KR"/>
        </w:rPr>
      </w:pPr>
    </w:p>
    <w:tbl>
      <w:tblPr>
        <w:tblW w:w="895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45"/>
        <w:gridCol w:w="601"/>
        <w:gridCol w:w="776"/>
        <w:gridCol w:w="776"/>
        <w:gridCol w:w="776"/>
        <w:gridCol w:w="776"/>
        <w:gridCol w:w="776"/>
        <w:gridCol w:w="776"/>
        <w:gridCol w:w="776"/>
        <w:gridCol w:w="776"/>
        <w:gridCol w:w="601"/>
      </w:tblGrid>
      <w:tr w:rsidR="00CF04BC" w:rsidRPr="00B93493" w14:paraId="2AA46FA2" w14:textId="77777777" w:rsidTr="002E7F54">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DEAFDC" w14:textId="77777777" w:rsidR="00CF04BC" w:rsidRPr="00B93493" w:rsidRDefault="00CF04BC" w:rsidP="00C65E6B">
            <w:pPr>
              <w:pStyle w:val="Tabletext"/>
              <w:jc w:val="left"/>
              <w:rPr>
                <w:lang w:eastAsia="ko-KR"/>
              </w:rPr>
            </w:pPr>
            <w:r w:rsidRPr="00B93493">
              <w:rPr>
                <w:lang w:eastAsia="ko-KR"/>
              </w:rPr>
              <w:t>Facility sharing ratio, eco-friendly ratio and roaming ratio</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0D6FDA" w14:textId="77777777" w:rsidR="00CF04BC" w:rsidRPr="00B93493" w:rsidRDefault="00CF04BC" w:rsidP="002E7F54">
            <w:pPr>
              <w:pStyle w:val="Tabletext"/>
              <w:jc w:val="center"/>
              <w:rPr>
                <w:lang w:eastAsia="ko-KR"/>
              </w:rPr>
            </w:pPr>
            <w:r w:rsidRPr="00B93493">
              <w:rPr>
                <w:lang w:eastAsia="ko-KR"/>
              </w:rPr>
              <w:t>&lt;10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88CB5F" w14:textId="77777777" w:rsidR="00CF04BC" w:rsidRPr="00B93493" w:rsidRDefault="00CF04BC" w:rsidP="002E7F54">
            <w:pPr>
              <w:pStyle w:val="Tabletext"/>
              <w:jc w:val="center"/>
              <w:rPr>
                <w:lang w:eastAsia="ko-KR"/>
              </w:rPr>
            </w:pPr>
            <w:r w:rsidRPr="00B93493">
              <w:rPr>
                <w:lang w:eastAsia="ko-KR"/>
              </w:rPr>
              <w:t>10~20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EED8CD" w14:textId="77777777" w:rsidR="00CF04BC" w:rsidRPr="00B93493" w:rsidRDefault="00CF04BC" w:rsidP="002E7F54">
            <w:pPr>
              <w:pStyle w:val="Tabletext"/>
              <w:jc w:val="center"/>
              <w:rPr>
                <w:lang w:eastAsia="ko-KR"/>
              </w:rPr>
            </w:pPr>
            <w:r w:rsidRPr="00B93493">
              <w:rPr>
                <w:lang w:eastAsia="ko-KR"/>
              </w:rPr>
              <w:t>20~30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FFE96A" w14:textId="77777777" w:rsidR="00CF04BC" w:rsidRPr="00B93493" w:rsidRDefault="00CF04BC" w:rsidP="002E7F54">
            <w:pPr>
              <w:pStyle w:val="Tabletext"/>
              <w:jc w:val="center"/>
              <w:rPr>
                <w:lang w:eastAsia="ko-KR"/>
              </w:rPr>
            </w:pPr>
            <w:r w:rsidRPr="00B93493">
              <w:rPr>
                <w:lang w:eastAsia="ko-KR"/>
              </w:rPr>
              <w:t>30~40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AA8983" w14:textId="77777777" w:rsidR="00CF04BC" w:rsidRPr="00B93493" w:rsidRDefault="00CF04BC" w:rsidP="002E7F54">
            <w:pPr>
              <w:pStyle w:val="Tabletext"/>
              <w:jc w:val="center"/>
              <w:rPr>
                <w:lang w:eastAsia="ko-KR"/>
              </w:rPr>
            </w:pPr>
            <w:r w:rsidRPr="00B93493">
              <w:rPr>
                <w:lang w:eastAsia="ko-KR"/>
              </w:rPr>
              <w:t>40~45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6A1FC3" w14:textId="77777777" w:rsidR="00CF04BC" w:rsidRPr="00B93493" w:rsidRDefault="00CF04BC" w:rsidP="002E7F54">
            <w:pPr>
              <w:pStyle w:val="Tabletext"/>
              <w:jc w:val="center"/>
              <w:rPr>
                <w:lang w:eastAsia="ko-KR"/>
              </w:rPr>
            </w:pPr>
            <w:r w:rsidRPr="00B93493">
              <w:rPr>
                <w:lang w:eastAsia="ko-KR"/>
              </w:rPr>
              <w:t>45~50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514605" w14:textId="77777777" w:rsidR="00CF04BC" w:rsidRPr="00B93493" w:rsidRDefault="00CF04BC" w:rsidP="002E7F54">
            <w:pPr>
              <w:pStyle w:val="Tabletext"/>
              <w:jc w:val="center"/>
              <w:rPr>
                <w:lang w:eastAsia="ko-KR"/>
              </w:rPr>
            </w:pPr>
            <w:r w:rsidRPr="00B93493">
              <w:rPr>
                <w:lang w:eastAsia="ko-KR"/>
              </w:rPr>
              <w:t>50~55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F800E9" w14:textId="77777777" w:rsidR="00CF04BC" w:rsidRPr="00B93493" w:rsidRDefault="00CF04BC" w:rsidP="002E7F54">
            <w:pPr>
              <w:pStyle w:val="Tabletext"/>
              <w:jc w:val="center"/>
              <w:rPr>
                <w:lang w:eastAsia="ko-KR"/>
              </w:rPr>
            </w:pPr>
            <w:r w:rsidRPr="00B93493">
              <w:rPr>
                <w:lang w:eastAsia="ko-KR"/>
              </w:rPr>
              <w:t>55~60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47D558" w14:textId="77777777" w:rsidR="00CF04BC" w:rsidRPr="00B93493" w:rsidRDefault="00CF04BC" w:rsidP="002E7F54">
            <w:pPr>
              <w:pStyle w:val="Tabletext"/>
              <w:jc w:val="center"/>
              <w:rPr>
                <w:lang w:eastAsia="ko-KR"/>
              </w:rPr>
            </w:pPr>
            <w:r w:rsidRPr="00B93493">
              <w:rPr>
                <w:lang w:eastAsia="ko-KR"/>
              </w:rPr>
              <w:t>60~70</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D05D9F" w14:textId="77777777" w:rsidR="00CF04BC" w:rsidRPr="00B93493" w:rsidRDefault="00CF04BC" w:rsidP="002E7F54">
            <w:pPr>
              <w:pStyle w:val="Tabletext"/>
              <w:jc w:val="center"/>
              <w:rPr>
                <w:lang w:eastAsia="ko-KR"/>
              </w:rPr>
            </w:pPr>
            <w:r w:rsidRPr="00B93493">
              <w:rPr>
                <w:lang w:eastAsia="ko-KR"/>
              </w:rPr>
              <w:t>&gt;70</w:t>
            </w:r>
          </w:p>
        </w:tc>
      </w:tr>
      <w:tr w:rsidR="00CF04BC" w:rsidRPr="00B93493" w14:paraId="259E983B" w14:textId="77777777" w:rsidTr="002E7F54">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5B6FA6" w14:textId="77777777" w:rsidR="00CF04BC" w:rsidRPr="00B93493" w:rsidRDefault="00CF04BC" w:rsidP="00C65E6B">
            <w:pPr>
              <w:pStyle w:val="Tabletext"/>
              <w:jc w:val="left"/>
              <w:rPr>
                <w:lang w:eastAsia="ko-KR"/>
              </w:rPr>
            </w:pPr>
            <w:r w:rsidRPr="00B93493">
              <w:rPr>
                <w:lang w:eastAsia="ko-KR"/>
              </w:rPr>
              <w:t>Facility sharing 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D6E5F5" w14:textId="77777777" w:rsidR="00CF04BC" w:rsidRPr="00B93493" w:rsidRDefault="00CF04BC" w:rsidP="002E7F54">
            <w:pPr>
              <w:pStyle w:val="Tabletext"/>
              <w:jc w:val="center"/>
              <w:rPr>
                <w:lang w:eastAsia="ko-KR"/>
              </w:rPr>
            </w:pPr>
            <w:r w:rsidRPr="00B93493">
              <w:rPr>
                <w:lang w:eastAsia="ko-KR"/>
              </w:rPr>
              <w:t>0.01</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40B9C0" w14:textId="77777777" w:rsidR="00CF04BC" w:rsidRPr="00B93493" w:rsidRDefault="00CF04BC" w:rsidP="002E7F54">
            <w:pPr>
              <w:pStyle w:val="Tabletext"/>
              <w:jc w:val="center"/>
              <w:rPr>
                <w:lang w:eastAsia="ko-KR"/>
              </w:rPr>
            </w:pPr>
            <w:r w:rsidRPr="00B93493">
              <w:rPr>
                <w:lang w:eastAsia="ko-KR"/>
              </w:rPr>
              <w:t>0.02</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22E69C" w14:textId="77777777" w:rsidR="00CF04BC" w:rsidRPr="00B93493" w:rsidRDefault="00CF04BC" w:rsidP="002E7F54">
            <w:pPr>
              <w:pStyle w:val="Tabletext"/>
              <w:jc w:val="center"/>
              <w:rPr>
                <w:lang w:eastAsia="ko-KR"/>
              </w:rPr>
            </w:pPr>
            <w:r w:rsidRPr="00B93493">
              <w:rPr>
                <w:lang w:eastAsia="ko-KR"/>
              </w:rPr>
              <w:t>0.03</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F5C777" w14:textId="77777777" w:rsidR="00CF04BC" w:rsidRPr="00B93493" w:rsidRDefault="00CF04BC" w:rsidP="002E7F54">
            <w:pPr>
              <w:pStyle w:val="Tabletext"/>
              <w:jc w:val="center"/>
              <w:rPr>
                <w:lang w:eastAsia="ko-KR"/>
              </w:rPr>
            </w:pPr>
            <w:r w:rsidRPr="00B93493">
              <w:rPr>
                <w:lang w:eastAsia="ko-KR"/>
              </w:rPr>
              <w:t>0.04</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F1DD13" w14:textId="77777777" w:rsidR="00CF04BC" w:rsidRPr="00B93493" w:rsidRDefault="00CF04BC" w:rsidP="002E7F54">
            <w:pPr>
              <w:pStyle w:val="Tabletext"/>
              <w:jc w:val="center"/>
              <w:rPr>
                <w:lang w:eastAsia="ko-KR"/>
              </w:rPr>
            </w:pPr>
            <w:r w:rsidRPr="00B93493">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BAE843" w14:textId="77777777" w:rsidR="00CF04BC" w:rsidRPr="00B93493" w:rsidRDefault="00CF04BC" w:rsidP="002E7F54">
            <w:pPr>
              <w:pStyle w:val="Tabletext"/>
              <w:jc w:val="center"/>
              <w:rPr>
                <w:lang w:eastAsia="ko-KR"/>
              </w:rPr>
            </w:pPr>
            <w:r w:rsidRPr="00B93493">
              <w:rPr>
                <w:lang w:eastAsia="ko-KR"/>
              </w:rPr>
              <w:t>0.06</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6D1B52" w14:textId="77777777" w:rsidR="00CF04BC" w:rsidRPr="00B93493" w:rsidRDefault="00CF04BC" w:rsidP="002E7F54">
            <w:pPr>
              <w:pStyle w:val="Tabletext"/>
              <w:jc w:val="center"/>
              <w:rPr>
                <w:lang w:eastAsia="ko-KR"/>
              </w:rPr>
            </w:pPr>
            <w:r w:rsidRPr="00B93493">
              <w:rPr>
                <w:lang w:eastAsia="ko-KR"/>
              </w:rPr>
              <w:t>0.07</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BDEF7B" w14:textId="77777777" w:rsidR="00CF04BC" w:rsidRPr="00B93493" w:rsidRDefault="00CF04BC" w:rsidP="002E7F54">
            <w:pPr>
              <w:pStyle w:val="Tabletext"/>
              <w:jc w:val="center"/>
              <w:rPr>
                <w:lang w:eastAsia="ko-KR"/>
              </w:rPr>
            </w:pPr>
            <w:r w:rsidRPr="00B93493">
              <w:rPr>
                <w:lang w:eastAsia="ko-KR"/>
              </w:rPr>
              <w:t>0.08</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992198" w14:textId="77777777" w:rsidR="00CF04BC" w:rsidRPr="00B93493" w:rsidRDefault="00CF04BC" w:rsidP="002E7F54">
            <w:pPr>
              <w:pStyle w:val="Tabletext"/>
              <w:jc w:val="center"/>
              <w:rPr>
                <w:lang w:eastAsia="ko-KR"/>
              </w:rPr>
            </w:pPr>
            <w:r w:rsidRPr="00B93493">
              <w:rPr>
                <w:lang w:eastAsia="ko-KR"/>
              </w:rPr>
              <w:t>0.09</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AA8AE1" w14:textId="77777777" w:rsidR="00CF04BC" w:rsidRPr="00B93493" w:rsidRDefault="00CF04BC" w:rsidP="002E7F54">
            <w:pPr>
              <w:pStyle w:val="Tabletext"/>
              <w:jc w:val="center"/>
              <w:rPr>
                <w:lang w:eastAsia="ko-KR"/>
              </w:rPr>
            </w:pPr>
            <w:r w:rsidRPr="00B93493">
              <w:rPr>
                <w:lang w:eastAsia="ko-KR"/>
              </w:rPr>
              <w:t>0.10</w:t>
            </w:r>
          </w:p>
        </w:tc>
      </w:tr>
      <w:tr w:rsidR="00CF04BC" w:rsidRPr="00B93493" w14:paraId="6DCBAEF4" w14:textId="77777777" w:rsidTr="002E7F54">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42D5A4" w14:textId="77777777" w:rsidR="00CF04BC" w:rsidRPr="00B93493" w:rsidRDefault="00CF04BC" w:rsidP="00C65E6B">
            <w:pPr>
              <w:pStyle w:val="Tabletext"/>
              <w:jc w:val="left"/>
              <w:rPr>
                <w:lang w:eastAsia="ko-KR"/>
              </w:rPr>
            </w:pPr>
            <w:r w:rsidRPr="00B93493">
              <w:rPr>
                <w:lang w:eastAsia="ko-KR"/>
              </w:rPr>
              <w:t>Eco-friendly 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0AD5FC" w14:textId="77777777" w:rsidR="00CF04BC" w:rsidRPr="00B93493" w:rsidRDefault="00CF04BC" w:rsidP="002E7F54">
            <w:pPr>
              <w:pStyle w:val="Tabletext"/>
              <w:jc w:val="center"/>
              <w:rPr>
                <w:lang w:eastAsia="ko-KR"/>
              </w:rPr>
            </w:pPr>
            <w:r w:rsidRPr="00B93493">
              <w:rPr>
                <w:lang w:eastAsia="ko-KR"/>
              </w:rPr>
              <w:t>0.01</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C0037B" w14:textId="77777777" w:rsidR="00CF04BC" w:rsidRPr="00B93493" w:rsidRDefault="00CF04BC" w:rsidP="002E7F54">
            <w:pPr>
              <w:pStyle w:val="Tabletext"/>
              <w:jc w:val="center"/>
              <w:rPr>
                <w:lang w:eastAsia="ko-KR"/>
              </w:rPr>
            </w:pPr>
            <w:r w:rsidRPr="00B93493">
              <w:rPr>
                <w:lang w:eastAsia="ko-KR"/>
              </w:rPr>
              <w:t>0.02</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264D7" w14:textId="77777777" w:rsidR="00CF04BC" w:rsidRPr="00B93493" w:rsidRDefault="00CF04BC" w:rsidP="002E7F54">
            <w:pPr>
              <w:pStyle w:val="Tabletext"/>
              <w:jc w:val="center"/>
              <w:rPr>
                <w:lang w:eastAsia="ko-KR"/>
              </w:rPr>
            </w:pPr>
            <w:r w:rsidRPr="00B93493">
              <w:rPr>
                <w:lang w:eastAsia="ko-KR"/>
              </w:rPr>
              <w:t>0.03</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F3802C" w14:textId="77777777" w:rsidR="00CF04BC" w:rsidRPr="00B93493" w:rsidRDefault="00CF04BC" w:rsidP="002E7F54">
            <w:pPr>
              <w:pStyle w:val="Tabletext"/>
              <w:jc w:val="center"/>
              <w:rPr>
                <w:lang w:eastAsia="ko-KR"/>
              </w:rPr>
            </w:pPr>
            <w:r w:rsidRPr="00B93493">
              <w:rPr>
                <w:lang w:eastAsia="ko-KR"/>
              </w:rPr>
              <w:t>0.04</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88D953" w14:textId="77777777" w:rsidR="00CF04BC" w:rsidRPr="00B93493" w:rsidRDefault="00CF04BC" w:rsidP="002E7F54">
            <w:pPr>
              <w:pStyle w:val="Tabletext"/>
              <w:jc w:val="center"/>
              <w:rPr>
                <w:lang w:eastAsia="ko-KR"/>
              </w:rPr>
            </w:pPr>
            <w:r w:rsidRPr="00B93493">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06079D" w14:textId="77777777" w:rsidR="00CF04BC" w:rsidRPr="00B93493" w:rsidRDefault="00CF04BC" w:rsidP="002E7F54">
            <w:pPr>
              <w:pStyle w:val="Tabletext"/>
              <w:jc w:val="center"/>
              <w:rPr>
                <w:lang w:eastAsia="ko-KR"/>
              </w:rPr>
            </w:pPr>
            <w:r w:rsidRPr="00B93493">
              <w:rPr>
                <w:lang w:eastAsia="ko-KR"/>
              </w:rPr>
              <w:t>0.06</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5EF04C" w14:textId="77777777" w:rsidR="00CF04BC" w:rsidRPr="00B93493" w:rsidRDefault="00CF04BC" w:rsidP="002E7F54">
            <w:pPr>
              <w:pStyle w:val="Tabletext"/>
              <w:jc w:val="center"/>
              <w:rPr>
                <w:lang w:eastAsia="ko-KR"/>
              </w:rPr>
            </w:pPr>
            <w:r w:rsidRPr="00B93493">
              <w:rPr>
                <w:lang w:eastAsia="ko-KR"/>
              </w:rPr>
              <w:t>0.07</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355A6C" w14:textId="77777777" w:rsidR="00CF04BC" w:rsidRPr="00B93493" w:rsidRDefault="00CF04BC" w:rsidP="002E7F54">
            <w:pPr>
              <w:pStyle w:val="Tabletext"/>
              <w:jc w:val="center"/>
              <w:rPr>
                <w:lang w:eastAsia="ko-KR"/>
              </w:rPr>
            </w:pPr>
            <w:r w:rsidRPr="00B93493">
              <w:rPr>
                <w:lang w:eastAsia="ko-KR"/>
              </w:rPr>
              <w:t>0.08</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DA874C" w14:textId="77777777" w:rsidR="00CF04BC" w:rsidRPr="00B93493" w:rsidRDefault="00CF04BC" w:rsidP="002E7F54">
            <w:pPr>
              <w:pStyle w:val="Tabletext"/>
              <w:jc w:val="center"/>
              <w:rPr>
                <w:lang w:eastAsia="ko-KR"/>
              </w:rPr>
            </w:pPr>
            <w:r w:rsidRPr="00B93493">
              <w:rPr>
                <w:lang w:eastAsia="ko-KR"/>
              </w:rPr>
              <w:t>0.09</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8552F1" w14:textId="77777777" w:rsidR="00CF04BC" w:rsidRPr="00B93493" w:rsidRDefault="00CF04BC" w:rsidP="002E7F54">
            <w:pPr>
              <w:pStyle w:val="Tabletext"/>
              <w:jc w:val="center"/>
              <w:rPr>
                <w:lang w:eastAsia="ko-KR"/>
              </w:rPr>
            </w:pPr>
            <w:r w:rsidRPr="00B93493">
              <w:rPr>
                <w:lang w:eastAsia="ko-KR"/>
              </w:rPr>
              <w:t>0.10</w:t>
            </w:r>
          </w:p>
        </w:tc>
      </w:tr>
      <w:tr w:rsidR="00CF04BC" w:rsidRPr="00B93493" w14:paraId="54DAF20C" w14:textId="77777777" w:rsidTr="002E7F54">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3CAD1" w14:textId="77777777" w:rsidR="00CF04BC" w:rsidRPr="00B93493" w:rsidRDefault="00CF04BC" w:rsidP="00C65E6B">
            <w:pPr>
              <w:pStyle w:val="Tabletext"/>
              <w:jc w:val="left"/>
              <w:rPr>
                <w:lang w:eastAsia="ko-KR"/>
              </w:rPr>
            </w:pPr>
            <w:r w:rsidRPr="00B93493">
              <w:rPr>
                <w:lang w:eastAsia="ko-KR"/>
              </w:rPr>
              <w:t>Roaming 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887749" w14:textId="77777777" w:rsidR="00CF04BC" w:rsidRPr="00B93493" w:rsidRDefault="00CF04BC" w:rsidP="002E7F54">
            <w:pPr>
              <w:pStyle w:val="Tabletext"/>
              <w:jc w:val="center"/>
              <w:rPr>
                <w:lang w:eastAsia="ko-KR"/>
              </w:rPr>
            </w:pPr>
            <w:r w:rsidRPr="00B93493">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5510AD" w14:textId="77777777" w:rsidR="00CF04BC" w:rsidRPr="00B93493" w:rsidRDefault="00CF04BC" w:rsidP="002E7F54">
            <w:pPr>
              <w:pStyle w:val="Tabletext"/>
              <w:jc w:val="center"/>
              <w:rPr>
                <w:lang w:eastAsia="ko-KR"/>
              </w:rPr>
            </w:pPr>
            <w:r w:rsidRPr="00B93493">
              <w:rPr>
                <w:lang w:eastAsia="ko-KR"/>
              </w:rPr>
              <w:t>0.10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6D7891" w14:textId="77777777" w:rsidR="00CF04BC" w:rsidRPr="00B93493" w:rsidRDefault="00CF04BC" w:rsidP="002E7F54">
            <w:pPr>
              <w:pStyle w:val="Tabletext"/>
              <w:jc w:val="center"/>
              <w:rPr>
                <w:lang w:eastAsia="ko-KR"/>
              </w:rPr>
            </w:pPr>
            <w:r w:rsidRPr="00B93493">
              <w:rPr>
                <w:lang w:eastAsia="ko-KR"/>
              </w:rPr>
              <w:t>0.15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B72399" w14:textId="77777777" w:rsidR="00CF04BC" w:rsidRPr="00B93493" w:rsidRDefault="00CF04BC" w:rsidP="002E7F54">
            <w:pPr>
              <w:pStyle w:val="Tabletext"/>
              <w:jc w:val="center"/>
              <w:rPr>
                <w:lang w:eastAsia="ko-KR"/>
              </w:rPr>
            </w:pPr>
            <w:r w:rsidRPr="00B93493">
              <w:rPr>
                <w:lang w:eastAsia="ko-KR"/>
              </w:rPr>
              <w:t>0.20</w:t>
            </w:r>
          </w:p>
        </w:tc>
        <w:tc>
          <w:tcPr>
            <w:tcW w:w="145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DD8504" w14:textId="77777777" w:rsidR="00CF04BC" w:rsidRPr="00B93493" w:rsidRDefault="00CF04BC" w:rsidP="002E7F54">
            <w:pPr>
              <w:pStyle w:val="Tabletext"/>
              <w:jc w:val="center"/>
              <w:rPr>
                <w:lang w:eastAsia="ko-KR"/>
              </w:rPr>
            </w:pPr>
            <w:r w:rsidRPr="00B93493">
              <w:rPr>
                <w:lang w:eastAsia="ko-KR"/>
              </w:rPr>
              <w:t>0.25</w:t>
            </w:r>
          </w:p>
        </w:tc>
        <w:tc>
          <w:tcPr>
            <w:tcW w:w="2746"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44BB86" w14:textId="77777777" w:rsidR="00CF04BC" w:rsidRPr="00B93493" w:rsidRDefault="00CF04BC" w:rsidP="002E7F54">
            <w:pPr>
              <w:pStyle w:val="Tabletext"/>
              <w:jc w:val="center"/>
              <w:rPr>
                <w:lang w:eastAsia="ko-KR"/>
              </w:rPr>
            </w:pPr>
            <w:r w:rsidRPr="00B93493">
              <w:rPr>
                <w:lang w:eastAsia="ko-KR"/>
              </w:rPr>
              <w:t>0.30</w:t>
            </w:r>
          </w:p>
        </w:tc>
      </w:tr>
    </w:tbl>
    <w:p w14:paraId="6E84A58D" w14:textId="77777777" w:rsidR="00CF04BC" w:rsidRPr="00B93493" w:rsidRDefault="00CF04BC" w:rsidP="00CF04BC">
      <w:pPr>
        <w:pStyle w:val="Tablefin"/>
      </w:pPr>
    </w:p>
    <w:p w14:paraId="71D00157" w14:textId="77777777" w:rsidR="00CF04BC" w:rsidRPr="00B93493" w:rsidRDefault="00CF04BC" w:rsidP="00CF04BC">
      <w:pPr>
        <w:pStyle w:val="Note"/>
        <w:rPr>
          <w:lang w:eastAsia="ko-KR"/>
        </w:rPr>
      </w:pPr>
      <w:r w:rsidRPr="00B93493">
        <w:rPr>
          <w:lang w:eastAsia="ko-KR"/>
        </w:rPr>
        <w:t>NOTE 1</w:t>
      </w:r>
      <w:r w:rsidRPr="00B93493">
        <w:rPr>
          <w:i/>
          <w:iCs/>
          <w:lang w:eastAsia="ko-KR"/>
        </w:rPr>
        <w:t xml:space="preserve"> – </w:t>
      </w:r>
      <w:r w:rsidRPr="00B93493">
        <w:rPr>
          <w:lang w:eastAsia="ko-KR"/>
        </w:rPr>
        <w:t>Facility sharing</w:t>
      </w:r>
      <w:r w:rsidRPr="00B93493">
        <w:t xml:space="preserve"> ratio</w:t>
      </w:r>
      <w:r w:rsidRPr="00B93493">
        <w:rPr>
          <w:bCs/>
          <w:iCs/>
        </w:rPr>
        <w:t>:</w:t>
      </w:r>
      <w:r w:rsidRPr="00B93493">
        <w:t xml:space="preserve"> Ratio of </w:t>
      </w:r>
      <w:r w:rsidRPr="00B93493">
        <w:rPr>
          <w:lang w:eastAsia="ko-KR"/>
        </w:rPr>
        <w:t>the number of radio statio</w:t>
      </w:r>
      <w:r w:rsidRPr="00B93493">
        <w:t>ns</w:t>
      </w:r>
      <w:r w:rsidRPr="00B93493">
        <w:rPr>
          <w:lang w:eastAsia="ko-KR"/>
        </w:rPr>
        <w:t xml:space="preserve"> served by a common carrier that shares</w:t>
      </w:r>
      <w:r w:rsidRPr="00B93493">
        <w:t xml:space="preserve"> radio facilities to t</w:t>
      </w:r>
      <w:r w:rsidRPr="00B93493">
        <w:rPr>
          <w:lang w:eastAsia="ko-KR"/>
        </w:rPr>
        <w:t xml:space="preserve">he total number of radio </w:t>
      </w:r>
      <w:r w:rsidRPr="00B93493">
        <w:t>station</w:t>
      </w:r>
      <w:r w:rsidRPr="00B93493">
        <w:rPr>
          <w:lang w:eastAsia="ko-KR"/>
        </w:rPr>
        <w:t>s</w:t>
      </w:r>
      <w:r w:rsidRPr="00B93493">
        <w:t xml:space="preserve"> served by </w:t>
      </w:r>
      <w:r w:rsidRPr="00B93493">
        <w:rPr>
          <w:lang w:eastAsia="ko-KR"/>
        </w:rPr>
        <w:t>the common carriers.</w:t>
      </w:r>
    </w:p>
    <w:p w14:paraId="53D04ED4" w14:textId="77777777" w:rsidR="00CF04BC" w:rsidRPr="00B93493" w:rsidRDefault="00CF04BC" w:rsidP="00CF04BC">
      <w:pPr>
        <w:pStyle w:val="Note"/>
        <w:rPr>
          <w:lang w:eastAsia="ko-KR"/>
        </w:rPr>
      </w:pPr>
      <w:r w:rsidRPr="00B93493">
        <w:rPr>
          <w:lang w:eastAsia="ko-KR"/>
        </w:rPr>
        <w:t>NOTE 2</w:t>
      </w:r>
      <w:r w:rsidRPr="00B93493">
        <w:rPr>
          <w:i/>
          <w:iCs/>
          <w:lang w:eastAsia="ko-KR"/>
        </w:rPr>
        <w:t xml:space="preserve"> – </w:t>
      </w:r>
      <w:r w:rsidRPr="00B93493">
        <w:rPr>
          <w:iCs/>
          <w:lang w:eastAsia="ko-KR"/>
        </w:rPr>
        <w:t>Eco-friendly ratio</w:t>
      </w:r>
      <w:r w:rsidRPr="00B93493">
        <w:rPr>
          <w:lang w:eastAsia="ko-KR"/>
        </w:rPr>
        <w:t xml:space="preserve">: </w:t>
      </w:r>
      <w:r w:rsidRPr="00B93493">
        <w:t xml:space="preserve">Ratio of </w:t>
      </w:r>
      <w:r w:rsidRPr="00B93493">
        <w:rPr>
          <w:lang w:eastAsia="ko-KR"/>
        </w:rPr>
        <w:t>the number of radio statio</w:t>
      </w:r>
      <w:r w:rsidRPr="00B93493">
        <w:t>ns</w:t>
      </w:r>
      <w:r w:rsidRPr="00B93493">
        <w:rPr>
          <w:lang w:eastAsia="ko-KR"/>
        </w:rPr>
        <w:t xml:space="preserve"> served by eco-friendly</w:t>
      </w:r>
      <w:r w:rsidRPr="00B93493">
        <w:t xml:space="preserve"> facilities to t</w:t>
      </w:r>
      <w:r w:rsidRPr="00B93493">
        <w:rPr>
          <w:lang w:eastAsia="ko-KR"/>
        </w:rPr>
        <w:t xml:space="preserve">he total number of radio </w:t>
      </w:r>
      <w:r w:rsidRPr="00B93493">
        <w:t>station</w:t>
      </w:r>
      <w:r w:rsidRPr="00B93493">
        <w:rPr>
          <w:lang w:eastAsia="ko-KR"/>
        </w:rPr>
        <w:t>s</w:t>
      </w:r>
      <w:r w:rsidRPr="00B93493">
        <w:t xml:space="preserve"> served by </w:t>
      </w:r>
      <w:r w:rsidRPr="00B93493">
        <w:rPr>
          <w:lang w:eastAsia="ko-KR"/>
        </w:rPr>
        <w:t>the common carrier.</w:t>
      </w:r>
    </w:p>
    <w:p w14:paraId="796D0E54" w14:textId="77777777" w:rsidR="00CF04BC" w:rsidRPr="00B93493" w:rsidRDefault="00CF04BC" w:rsidP="00CF04BC">
      <w:pPr>
        <w:pStyle w:val="Note"/>
        <w:rPr>
          <w:lang w:eastAsia="ko-KR"/>
        </w:rPr>
      </w:pPr>
      <w:r w:rsidRPr="00B93493">
        <w:rPr>
          <w:lang w:eastAsia="ko-KR"/>
        </w:rPr>
        <w:t>NOTE 3</w:t>
      </w:r>
      <w:r w:rsidRPr="00B93493">
        <w:rPr>
          <w:i/>
          <w:iCs/>
          <w:lang w:eastAsia="ko-KR"/>
        </w:rPr>
        <w:t xml:space="preserve"> – </w:t>
      </w:r>
      <w:r w:rsidRPr="00B93493">
        <w:t>Roaming ratio</w:t>
      </w:r>
      <w:r w:rsidRPr="00B93493">
        <w:rPr>
          <w:bCs/>
          <w:iCs/>
        </w:rPr>
        <w:t>:</w:t>
      </w:r>
      <w:r w:rsidRPr="00B93493">
        <w:t xml:space="preserve"> Ratio of </w:t>
      </w:r>
      <w:r w:rsidRPr="00B93493">
        <w:rPr>
          <w:lang w:eastAsia="ko-KR"/>
        </w:rPr>
        <w:t xml:space="preserve">the number of radio </w:t>
      </w:r>
      <w:r w:rsidRPr="00B93493">
        <w:t>stations</w:t>
      </w:r>
      <w:r w:rsidRPr="00B93493">
        <w:rPr>
          <w:lang w:eastAsia="ko-KR"/>
        </w:rPr>
        <w:t xml:space="preserve"> served by a common carrier that uses r</w:t>
      </w:r>
      <w:r w:rsidRPr="00B93493">
        <w:t>oaming technology to th</w:t>
      </w:r>
      <w:r w:rsidRPr="00B93493">
        <w:rPr>
          <w:lang w:eastAsia="ko-KR"/>
        </w:rPr>
        <w:t>e total number of radio stations served by the common carrier.</w:t>
      </w:r>
    </w:p>
    <w:p w14:paraId="67CB9B42" w14:textId="77777777" w:rsidR="00CF04BC" w:rsidRDefault="00CF04BC" w:rsidP="00CF04BC">
      <w:bookmarkStart w:id="2465" w:name="_Toc462234162"/>
      <w:bookmarkStart w:id="2466" w:name="_Toc454284998"/>
      <w:bookmarkEnd w:id="2465"/>
      <w:bookmarkEnd w:id="2466"/>
      <w:r w:rsidRPr="00B93493">
        <w:t>d)</w:t>
      </w:r>
      <w:r w:rsidRPr="00B93493">
        <w:tab/>
        <w:t>Frequency use efficiency fee-waiver factor:</w:t>
      </w:r>
    </w:p>
    <w:p w14:paraId="09101ECD" w14:textId="77777777" w:rsidR="00CF04BC" w:rsidRPr="00F15ACD" w:rsidRDefault="00CF04BC" w:rsidP="00CF04BC">
      <w:pPr>
        <w:pStyle w:val="TableNo"/>
        <w:rPr>
          <w:b/>
          <w:lang w:eastAsia="zh-CN"/>
        </w:rPr>
      </w:pPr>
      <w:r w:rsidRPr="00B93493">
        <w:t>TABLE 3</w:t>
      </w:r>
      <w:r>
        <w:rPr>
          <w:rFonts w:hint="eastAsia"/>
          <w:lang w:eastAsia="zh-CN"/>
        </w:rPr>
        <w:t>9</w:t>
      </w:r>
    </w:p>
    <w:p w14:paraId="4A7A608F" w14:textId="77777777" w:rsidR="00CF04BC" w:rsidRPr="00B93493" w:rsidRDefault="00CF04BC" w:rsidP="00CF04BC">
      <w:pPr>
        <w:pStyle w:val="Blanc"/>
        <w:rPr>
          <w:lang w:eastAsia="ko-KR"/>
        </w:rPr>
      </w:pPr>
    </w:p>
    <w:tbl>
      <w:tblPr>
        <w:tblW w:w="8828" w:type="dxa"/>
        <w:jc w:val="center"/>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left w:w="107" w:type="dxa"/>
        </w:tblCellMar>
        <w:tblLook w:val="04A0" w:firstRow="1" w:lastRow="0" w:firstColumn="1" w:lastColumn="0" w:noHBand="0" w:noVBand="1"/>
      </w:tblPr>
      <w:tblGrid>
        <w:gridCol w:w="3159"/>
        <w:gridCol w:w="1134"/>
        <w:gridCol w:w="1133"/>
        <w:gridCol w:w="1134"/>
        <w:gridCol w:w="1133"/>
        <w:gridCol w:w="1135"/>
      </w:tblGrid>
      <w:tr w:rsidR="00CF04BC" w:rsidRPr="00B93493" w14:paraId="2EC8E49E" w14:textId="77777777" w:rsidTr="002E7F54">
        <w:trPr>
          <w:jc w:val="center"/>
        </w:trPr>
        <w:tc>
          <w:tcPr>
            <w:tcW w:w="3158"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53D72FBB" w14:textId="77777777" w:rsidR="00CF04BC" w:rsidRPr="00B93493" w:rsidRDefault="00CF04BC" w:rsidP="00C65E6B">
            <w:pPr>
              <w:pStyle w:val="Tabletext"/>
              <w:jc w:val="left"/>
              <w:rPr>
                <w:szCs w:val="22"/>
              </w:rPr>
            </w:pPr>
            <w:r w:rsidRPr="00B93493">
              <w:rPr>
                <w:szCs w:val="22"/>
              </w:rPr>
              <w:t>Frequency use</w:t>
            </w:r>
            <w:r w:rsidRPr="00B93493">
              <w:rPr>
                <w:szCs w:val="22"/>
                <w:lang w:eastAsia="ko-KR"/>
              </w:rPr>
              <w:t xml:space="preserve"> </w:t>
            </w:r>
            <w:r w:rsidRPr="00B93493">
              <w:rPr>
                <w:szCs w:val="22"/>
              </w:rPr>
              <w:t>efficiency (%)</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014EF45A" w14:textId="77777777" w:rsidR="00CF04BC" w:rsidRPr="00B93493" w:rsidRDefault="00CF04BC" w:rsidP="002E7F54">
            <w:pPr>
              <w:pStyle w:val="Tabletext"/>
              <w:jc w:val="center"/>
              <w:rPr>
                <w:rFonts w:eastAsia="???"/>
                <w:szCs w:val="22"/>
              </w:rPr>
            </w:pPr>
            <w:r w:rsidRPr="00B93493">
              <w:rPr>
                <w:rFonts w:ascii="Symbol" w:eastAsia="Symbol" w:hAnsi="Symbol" w:cs="Symbol"/>
                <w:caps/>
              </w:rPr>
              <w:t></w:t>
            </w:r>
            <w:r w:rsidRPr="00B93493">
              <w:rPr>
                <w:caps/>
              </w:rPr>
              <w:t xml:space="preserve"> </w:t>
            </w:r>
            <w:r w:rsidRPr="00B93493">
              <w:rPr>
                <w:rFonts w:eastAsia="???"/>
                <w:szCs w:val="22"/>
              </w:rPr>
              <w:t>100</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4D00C4E3" w14:textId="77777777" w:rsidR="00CF04BC" w:rsidRPr="00B93493" w:rsidRDefault="00CF04BC" w:rsidP="002E7F54">
            <w:pPr>
              <w:pStyle w:val="Tabletext"/>
              <w:jc w:val="center"/>
              <w:rPr>
                <w:szCs w:val="22"/>
              </w:rPr>
            </w:pPr>
            <w:r w:rsidRPr="00B93493">
              <w:rPr>
                <w:szCs w:val="22"/>
              </w:rPr>
              <w:t>100~150</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318E080B" w14:textId="77777777" w:rsidR="00CF04BC" w:rsidRPr="00B93493" w:rsidRDefault="00CF04BC" w:rsidP="002E7F54">
            <w:pPr>
              <w:pStyle w:val="Tabletext"/>
              <w:jc w:val="center"/>
              <w:rPr>
                <w:szCs w:val="22"/>
              </w:rPr>
            </w:pPr>
            <w:r w:rsidRPr="00B93493">
              <w:rPr>
                <w:szCs w:val="22"/>
              </w:rPr>
              <w:t>150~200</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30D74931" w14:textId="77777777" w:rsidR="00CF04BC" w:rsidRPr="00B93493" w:rsidRDefault="00CF04BC" w:rsidP="002E7F54">
            <w:pPr>
              <w:pStyle w:val="Tabletext"/>
              <w:jc w:val="center"/>
              <w:rPr>
                <w:szCs w:val="22"/>
              </w:rPr>
            </w:pPr>
            <w:r w:rsidRPr="00B93493">
              <w:rPr>
                <w:szCs w:val="22"/>
              </w:rPr>
              <w:t>200~250</w:t>
            </w:r>
          </w:p>
        </w:tc>
        <w:tc>
          <w:tcPr>
            <w:tcW w:w="1135"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4E1FA34F" w14:textId="77777777" w:rsidR="00CF04BC" w:rsidRPr="00B93493" w:rsidRDefault="00CF04BC" w:rsidP="002E7F54">
            <w:pPr>
              <w:pStyle w:val="Tabletext"/>
              <w:jc w:val="center"/>
              <w:rPr>
                <w:szCs w:val="22"/>
              </w:rPr>
            </w:pPr>
            <w:r w:rsidRPr="00B93493">
              <w:rPr>
                <w:rFonts w:ascii="Symbol" w:eastAsia="Symbol" w:hAnsi="Symbol" w:cs="Symbol"/>
                <w:szCs w:val="22"/>
              </w:rPr>
              <w:t></w:t>
            </w:r>
            <w:r w:rsidRPr="00B93493">
              <w:rPr>
                <w:szCs w:val="22"/>
              </w:rPr>
              <w:t xml:space="preserve"> 250</w:t>
            </w:r>
          </w:p>
        </w:tc>
      </w:tr>
      <w:tr w:rsidR="00CF04BC" w:rsidRPr="00B93493" w14:paraId="302F90D6" w14:textId="77777777" w:rsidTr="002E7F54">
        <w:trPr>
          <w:jc w:val="center"/>
        </w:trPr>
        <w:tc>
          <w:tcPr>
            <w:tcW w:w="3158"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6BF74FD9" w14:textId="77777777" w:rsidR="00CF04BC" w:rsidRPr="00B93493" w:rsidRDefault="00CF04BC" w:rsidP="00C65E6B">
            <w:pPr>
              <w:pStyle w:val="Tabletext"/>
              <w:jc w:val="left"/>
              <w:rPr>
                <w:szCs w:val="22"/>
              </w:rPr>
            </w:pPr>
            <w:r w:rsidRPr="00B93493">
              <w:rPr>
                <w:szCs w:val="22"/>
                <w:lang w:eastAsia="ko-KR"/>
              </w:rPr>
              <w:t>Frequency u</w:t>
            </w:r>
            <w:r w:rsidRPr="00B93493">
              <w:rPr>
                <w:szCs w:val="22"/>
              </w:rPr>
              <w:t>se efficiency</w:t>
            </w:r>
            <w:r w:rsidRPr="00B93493">
              <w:rPr>
                <w:szCs w:val="22"/>
                <w:lang w:eastAsia="ko-KR"/>
              </w:rPr>
              <w:t xml:space="preserve"> </w:t>
            </w:r>
            <w:r w:rsidRPr="00B93493">
              <w:rPr>
                <w:szCs w:val="22"/>
                <w:lang w:eastAsia="ko-KR"/>
              </w:rPr>
              <w:br/>
              <w:t xml:space="preserve">fee-waiver </w:t>
            </w:r>
            <w:r w:rsidRPr="00B93493">
              <w:rPr>
                <w:szCs w:val="22"/>
              </w:rPr>
              <w:t>factor</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09BF187E" w14:textId="77777777" w:rsidR="00CF04BC" w:rsidRPr="00B93493" w:rsidRDefault="00CF04BC" w:rsidP="002E7F54">
            <w:pPr>
              <w:pStyle w:val="Tabletext"/>
              <w:jc w:val="center"/>
              <w:rPr>
                <w:rFonts w:eastAsia="???"/>
                <w:szCs w:val="22"/>
              </w:rPr>
            </w:pPr>
            <w:r w:rsidRPr="00B93493">
              <w:rPr>
                <w:rFonts w:eastAsia="???"/>
                <w:szCs w:val="22"/>
              </w:rPr>
              <w:t>0.01</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031B598B" w14:textId="77777777" w:rsidR="00CF04BC" w:rsidRPr="00B93493" w:rsidRDefault="00CF04BC" w:rsidP="002E7F54">
            <w:pPr>
              <w:pStyle w:val="Tabletext"/>
              <w:jc w:val="center"/>
              <w:rPr>
                <w:szCs w:val="22"/>
              </w:rPr>
            </w:pPr>
            <w:r w:rsidRPr="00B93493">
              <w:rPr>
                <w:szCs w:val="22"/>
              </w:rPr>
              <w:t>0.02</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4B46CCB6" w14:textId="77777777" w:rsidR="00CF04BC" w:rsidRPr="00B93493" w:rsidRDefault="00CF04BC" w:rsidP="002E7F54">
            <w:pPr>
              <w:pStyle w:val="Tabletext"/>
              <w:jc w:val="center"/>
              <w:rPr>
                <w:szCs w:val="22"/>
              </w:rPr>
            </w:pPr>
            <w:r w:rsidRPr="00B93493">
              <w:rPr>
                <w:szCs w:val="22"/>
              </w:rPr>
              <w:t>0.03</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76284A31" w14:textId="77777777" w:rsidR="00CF04BC" w:rsidRPr="00B93493" w:rsidRDefault="00CF04BC" w:rsidP="002E7F54">
            <w:pPr>
              <w:pStyle w:val="Tabletext"/>
              <w:jc w:val="center"/>
              <w:rPr>
                <w:szCs w:val="22"/>
              </w:rPr>
            </w:pPr>
            <w:r w:rsidRPr="00B93493">
              <w:rPr>
                <w:szCs w:val="22"/>
              </w:rPr>
              <w:t>0.04</w:t>
            </w:r>
          </w:p>
        </w:tc>
        <w:tc>
          <w:tcPr>
            <w:tcW w:w="1135"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14:paraId="02B3361C" w14:textId="77777777" w:rsidR="00CF04BC" w:rsidRPr="00B93493" w:rsidRDefault="00CF04BC" w:rsidP="002E7F54">
            <w:pPr>
              <w:pStyle w:val="Tabletext"/>
              <w:jc w:val="center"/>
              <w:rPr>
                <w:szCs w:val="22"/>
              </w:rPr>
            </w:pPr>
            <w:r w:rsidRPr="00B93493">
              <w:rPr>
                <w:szCs w:val="22"/>
              </w:rPr>
              <w:t>0.05</w:t>
            </w:r>
          </w:p>
        </w:tc>
      </w:tr>
    </w:tbl>
    <w:p w14:paraId="2BD43238" w14:textId="77777777" w:rsidR="00CF04BC" w:rsidRPr="00B93493" w:rsidRDefault="00CF04BC" w:rsidP="00CF04BC">
      <w:pPr>
        <w:pStyle w:val="Tablefin"/>
      </w:pPr>
    </w:p>
    <w:p w14:paraId="06975BF9" w14:textId="77777777" w:rsidR="00CF04BC" w:rsidRPr="00B93493" w:rsidRDefault="00CF04BC" w:rsidP="00CF04BC">
      <w:pPr>
        <w:pStyle w:val="Note"/>
        <w:rPr>
          <w:lang w:eastAsia="ko-KR"/>
        </w:rPr>
      </w:pPr>
      <w:r w:rsidRPr="00B93493">
        <w:rPr>
          <w:lang w:eastAsia="ko-KR"/>
        </w:rPr>
        <w:t>NOTE 1</w:t>
      </w:r>
      <w:r w:rsidRPr="00B93493">
        <w:rPr>
          <w:i/>
          <w:iCs/>
          <w:lang w:eastAsia="ko-KR"/>
        </w:rPr>
        <w:t xml:space="preserve"> – </w:t>
      </w:r>
      <w:r w:rsidRPr="00B93493">
        <w:rPr>
          <w:i/>
          <w:iCs/>
        </w:rPr>
        <w:t>Frequency use efficiency</w:t>
      </w:r>
      <w:r w:rsidRPr="00B93493">
        <w:t xml:space="preserve">: Ratio of the </w:t>
      </w:r>
      <w:r w:rsidRPr="00B93493">
        <w:rPr>
          <w:lang w:eastAsia="ko-KR"/>
        </w:rPr>
        <w:t>avera</w:t>
      </w:r>
      <w:r w:rsidRPr="00B93493">
        <w:t xml:space="preserve">ge number of subscribers per frequency assignment to the basic </w:t>
      </w:r>
      <w:r w:rsidRPr="00B93493">
        <w:rPr>
          <w:lang w:eastAsia="ko-KR"/>
        </w:rPr>
        <w:t xml:space="preserve">capacity of the number of </w:t>
      </w:r>
      <w:r w:rsidRPr="00B93493">
        <w:t>subscribers.</w:t>
      </w:r>
    </w:p>
    <w:p w14:paraId="77B019D3" w14:textId="77777777" w:rsidR="00CF04BC" w:rsidRPr="00B93493" w:rsidRDefault="00CF04BC" w:rsidP="00CF04BC">
      <w:pPr>
        <w:pStyle w:val="Note"/>
        <w:rPr>
          <w:lang w:eastAsia="ko-KR"/>
        </w:rPr>
      </w:pPr>
      <w:r w:rsidRPr="00B93493">
        <w:rPr>
          <w:lang w:eastAsia="ko-KR"/>
        </w:rPr>
        <w:t>NOTE 2</w:t>
      </w:r>
      <w:r w:rsidRPr="00B93493">
        <w:rPr>
          <w:i/>
          <w:iCs/>
          <w:lang w:eastAsia="ko-KR"/>
        </w:rPr>
        <w:t xml:space="preserve"> – </w:t>
      </w:r>
      <w:r w:rsidRPr="00B93493">
        <w:rPr>
          <w:lang w:eastAsia="ko-KR"/>
        </w:rPr>
        <w:t>The frequency use efficiency fee-waiver factor does not apply to the radio pager, trunked radio system (TRS), location-based system (LBS) and wireless data services.</w:t>
      </w:r>
    </w:p>
    <w:p w14:paraId="39DBA099" w14:textId="77777777" w:rsidR="00CF04BC" w:rsidRDefault="00CF04BC" w:rsidP="00CF04BC">
      <w:bookmarkStart w:id="2467" w:name="_Toc462234163"/>
      <w:bookmarkStart w:id="2468" w:name="_Toc454284999"/>
      <w:r w:rsidRPr="00B93493">
        <w:t>e)</w:t>
      </w:r>
      <w:r w:rsidRPr="00B93493">
        <w:tab/>
        <w:t>Radio characteristic factor</w:t>
      </w:r>
      <w:bookmarkEnd w:id="2467"/>
      <w:bookmarkEnd w:id="2468"/>
      <w:r w:rsidRPr="00B93493">
        <w:t>:</w:t>
      </w:r>
    </w:p>
    <w:p w14:paraId="39ACEB9E" w14:textId="77777777" w:rsidR="00CF04BC" w:rsidRPr="00F15ACD" w:rsidRDefault="00CF04BC" w:rsidP="00CF04BC">
      <w:pPr>
        <w:pStyle w:val="TableNo"/>
        <w:rPr>
          <w:b/>
          <w:lang w:eastAsia="zh-CN"/>
        </w:rPr>
      </w:pPr>
      <w:r w:rsidRPr="00B93493">
        <w:t xml:space="preserve">TABLE </w:t>
      </w:r>
      <w:r>
        <w:rPr>
          <w:rFonts w:hint="eastAsia"/>
          <w:lang w:eastAsia="zh-CN"/>
        </w:rPr>
        <w:t>40</w:t>
      </w:r>
    </w:p>
    <w:p w14:paraId="39D7E4AA" w14:textId="77777777" w:rsidR="00CF04BC" w:rsidRPr="00B93493" w:rsidRDefault="00CF04BC" w:rsidP="00CF04BC">
      <w:pPr>
        <w:pStyle w:val="Blanc"/>
        <w:rPr>
          <w:lang w:eastAsia="ko-KR"/>
        </w:rPr>
      </w:pPr>
    </w:p>
    <w:tbl>
      <w:tblPr>
        <w:tblW w:w="8850" w:type="dxa"/>
        <w:tblInd w:w="46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4A0" w:firstRow="1" w:lastRow="0" w:firstColumn="1" w:lastColumn="0" w:noHBand="0" w:noVBand="1"/>
      </w:tblPr>
      <w:tblGrid>
        <w:gridCol w:w="4313"/>
        <w:gridCol w:w="4537"/>
      </w:tblGrid>
      <w:tr w:rsidR="00CF04BC" w:rsidRPr="00B93493" w14:paraId="7E48CE88" w14:textId="77777777" w:rsidTr="002E7F54">
        <w:tc>
          <w:tcPr>
            <w:tcW w:w="431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2A6C268D" w14:textId="77777777" w:rsidR="00CF04BC" w:rsidRPr="00B93493" w:rsidRDefault="00CF04BC" w:rsidP="002E7F54">
            <w:pPr>
              <w:pStyle w:val="Tablehead"/>
            </w:pPr>
            <w:r w:rsidRPr="00B93493">
              <w:t xml:space="preserve">Frequency </w:t>
            </w:r>
            <w:r w:rsidRPr="00B93493">
              <w:rPr>
                <w:lang w:eastAsia="ko-KR"/>
              </w:rPr>
              <w:t>band</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20FAC11" w14:textId="77777777" w:rsidR="00CF04BC" w:rsidRPr="00B93493" w:rsidRDefault="00CF04BC" w:rsidP="002E7F54">
            <w:pPr>
              <w:pStyle w:val="Tablehead"/>
              <w:rPr>
                <w:rFonts w:eastAsia="???"/>
                <w:lang w:eastAsia="ko-KR"/>
              </w:rPr>
            </w:pPr>
            <w:r w:rsidRPr="00B93493">
              <w:rPr>
                <w:rFonts w:eastAsia="???"/>
                <w:lang w:eastAsia="ko-KR"/>
              </w:rPr>
              <w:t>Radio characteristic factor</w:t>
            </w:r>
          </w:p>
        </w:tc>
      </w:tr>
      <w:tr w:rsidR="00CF04BC" w:rsidRPr="00B93493" w14:paraId="5DFD10B3" w14:textId="77777777" w:rsidTr="002E7F54">
        <w:tc>
          <w:tcPr>
            <w:tcW w:w="431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4A2826C0" w14:textId="77777777" w:rsidR="00CF04BC" w:rsidRPr="00B93493" w:rsidRDefault="00CF04BC" w:rsidP="002E7F54">
            <w:pPr>
              <w:pStyle w:val="Tabletext"/>
              <w:jc w:val="center"/>
            </w:pPr>
            <w:r w:rsidRPr="00B93493">
              <w:rPr>
                <w:lang w:eastAsia="ko-KR"/>
              </w:rPr>
              <w:t>&lt; 1 GHz</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1636A99" w14:textId="77777777" w:rsidR="00CF04BC" w:rsidRPr="00B93493" w:rsidRDefault="00CF04BC" w:rsidP="002E7F54">
            <w:pPr>
              <w:pStyle w:val="Tabletext"/>
              <w:jc w:val="center"/>
              <w:rPr>
                <w:rFonts w:eastAsia="???"/>
              </w:rPr>
            </w:pPr>
            <w:r w:rsidRPr="00B93493">
              <w:rPr>
                <w:rFonts w:eastAsia="???"/>
                <w:lang w:eastAsia="ko-KR"/>
              </w:rPr>
              <w:t>1.16</w:t>
            </w:r>
          </w:p>
        </w:tc>
      </w:tr>
      <w:tr w:rsidR="00CF04BC" w:rsidRPr="00B93493" w14:paraId="628EAD6D" w14:textId="77777777" w:rsidTr="002E7F54">
        <w:tc>
          <w:tcPr>
            <w:tcW w:w="431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507687CE" w14:textId="77777777" w:rsidR="00CF04BC" w:rsidRPr="00B93493" w:rsidRDefault="00CF04BC" w:rsidP="002E7F54">
            <w:pPr>
              <w:pStyle w:val="Tabletext"/>
              <w:jc w:val="center"/>
              <w:rPr>
                <w:szCs w:val="18"/>
                <w:lang w:eastAsia="ko-KR"/>
              </w:rPr>
            </w:pPr>
            <w:r w:rsidRPr="00B93493">
              <w:rPr>
                <w:szCs w:val="18"/>
                <w:lang w:eastAsia="ko-KR"/>
              </w:rPr>
              <w:t>1 GHz ~ 3 GHz</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6E44DAE6" w14:textId="77777777" w:rsidR="00CF04BC" w:rsidRPr="00B93493" w:rsidRDefault="00CF04BC" w:rsidP="002E7F54">
            <w:pPr>
              <w:pStyle w:val="Tabletext"/>
              <w:jc w:val="center"/>
              <w:rPr>
                <w:rFonts w:eastAsia="???"/>
                <w:szCs w:val="18"/>
                <w:lang w:eastAsia="ko-KR"/>
              </w:rPr>
            </w:pPr>
            <w:r w:rsidRPr="00B93493">
              <w:rPr>
                <w:rFonts w:eastAsia="???"/>
                <w:szCs w:val="18"/>
                <w:lang w:eastAsia="ko-KR"/>
              </w:rPr>
              <w:t>0.81</w:t>
            </w:r>
          </w:p>
        </w:tc>
      </w:tr>
    </w:tbl>
    <w:p w14:paraId="16A022D0" w14:textId="77777777" w:rsidR="00CF04BC" w:rsidRPr="00B93493" w:rsidRDefault="00CF04BC" w:rsidP="00CF04BC">
      <w:pPr>
        <w:pStyle w:val="Tablefin"/>
      </w:pPr>
    </w:p>
    <w:p w14:paraId="186454D7" w14:textId="77777777" w:rsidR="00CF04BC" w:rsidRPr="00B93493" w:rsidRDefault="00CF04BC" w:rsidP="00CF04BC">
      <w:pPr>
        <w:pStyle w:val="Note"/>
        <w:rPr>
          <w:lang w:eastAsia="ko-KR"/>
        </w:rPr>
      </w:pPr>
      <w:r w:rsidRPr="00B93493">
        <w:t xml:space="preserve">NOTE – </w:t>
      </w:r>
      <w:r w:rsidRPr="00B93493">
        <w:rPr>
          <w:lang w:eastAsia="ko-KR"/>
        </w:rPr>
        <w:t xml:space="preserve">The radio characteristic factor does not apply to radio pager, TRS, LBS, wireless data services and licensed station. </w:t>
      </w:r>
    </w:p>
    <w:p w14:paraId="5C177653" w14:textId="77777777" w:rsidR="00CF04BC" w:rsidRPr="00B93493" w:rsidRDefault="00CF04BC" w:rsidP="00CF04BC">
      <w:pPr>
        <w:pStyle w:val="Headingb"/>
      </w:pPr>
      <w:r w:rsidRPr="00B93493">
        <w:rPr>
          <w:lang w:eastAsia="ko-KR"/>
        </w:rPr>
        <w:t>Category 2</w:t>
      </w:r>
      <w:r w:rsidRPr="00B93493">
        <w:t xml:space="preserve">: </w:t>
      </w:r>
      <w:r w:rsidRPr="00B93493">
        <w:rPr>
          <w:lang w:eastAsia="ko-KR"/>
        </w:rPr>
        <w:t>Based on the radio station</w:t>
      </w:r>
    </w:p>
    <w:p w14:paraId="0B232D2A" w14:textId="77777777" w:rsidR="00CF04BC" w:rsidRPr="00B93493" w:rsidRDefault="00CF04BC" w:rsidP="00CF04BC">
      <w:r w:rsidRPr="00B93493">
        <w:t xml:space="preserve">The </w:t>
      </w:r>
      <w:r w:rsidRPr="00B93493">
        <w:rPr>
          <w:lang w:eastAsia="ko-KR"/>
        </w:rPr>
        <w:t>spectrum usage fees (SF)</w:t>
      </w:r>
      <w:r w:rsidRPr="00B93493">
        <w:t xml:space="preserve"> is imposed on the </w:t>
      </w:r>
      <w:r w:rsidRPr="00B93493">
        <w:rPr>
          <w:lang w:eastAsia="ko-KR"/>
        </w:rPr>
        <w:t xml:space="preserve">radio station </w:t>
      </w:r>
      <w:r w:rsidRPr="00B93493">
        <w:t>according to th</w:t>
      </w:r>
      <w:r w:rsidRPr="00B93493">
        <w:rPr>
          <w:lang w:eastAsia="ko-KR"/>
        </w:rPr>
        <w:t>e</w:t>
      </w:r>
      <w:r w:rsidRPr="00B93493">
        <w:t xml:space="preserve"> equation:</w:t>
      </w:r>
    </w:p>
    <w:p w14:paraId="5F886405" w14:textId="77777777" w:rsidR="00CF04BC" w:rsidRPr="00B93493" w:rsidRDefault="00CF04BC" w:rsidP="00CF04BC">
      <w:pPr>
        <w:pStyle w:val="Equation"/>
        <w:rPr>
          <w:lang w:eastAsia="ko-KR"/>
        </w:rPr>
      </w:pPr>
      <w:r w:rsidRPr="00B93493">
        <w:tab/>
      </w:r>
      <w:r w:rsidRPr="00B93493">
        <w:tab/>
      </w:r>
      <w:r w:rsidRPr="00B93493">
        <w:rPr>
          <w:position w:val="-14"/>
        </w:rPr>
        <w:object w:dxaOrig="3929" w:dyaOrig="391" w14:anchorId="25794C03">
          <v:shape id="_x0000_i1122" type="#_x0000_t75" style="width:195.85pt;height:20.15pt" o:ole="">
            <v:imagedata r:id="rId236" o:title=""/>
          </v:shape>
          <o:OLEObject Type="Embed" ProgID="Equation.3" ShapeID="_x0000_i1122" DrawAspect="Content" ObjectID="_1812968403" r:id="rId237"/>
        </w:object>
      </w:r>
      <w:r w:rsidRPr="00B93493">
        <w:tab/>
        <w:t>(67)</w:t>
      </w:r>
    </w:p>
    <w:p w14:paraId="0E7203C3" w14:textId="77777777" w:rsidR="00CF04BC" w:rsidRPr="00B93493" w:rsidRDefault="00CF04BC" w:rsidP="00CF04BC">
      <w:r w:rsidRPr="00B93493">
        <w:t>where:</w:t>
      </w:r>
    </w:p>
    <w:p w14:paraId="4707118D" w14:textId="77777777" w:rsidR="00CF04BC" w:rsidRPr="00B93493" w:rsidRDefault="00CF04BC" w:rsidP="00CF04BC">
      <w:pPr>
        <w:pStyle w:val="Equationlegend"/>
        <w:rPr>
          <w:lang w:eastAsia="ko-KR"/>
        </w:rPr>
      </w:pPr>
      <w:r w:rsidRPr="00B93493">
        <w:rPr>
          <w:lang w:eastAsia="ko-KR"/>
        </w:rPr>
        <w:tab/>
      </w:r>
      <w:r w:rsidRPr="00B93493">
        <w:rPr>
          <w:i/>
          <w:lang w:eastAsia="ko-KR"/>
        </w:rPr>
        <w:t>B</w:t>
      </w:r>
      <w:r w:rsidRPr="00B93493">
        <w:rPr>
          <w:i/>
          <w:iCs/>
          <w:vertAlign w:val="subscript"/>
          <w:lang w:eastAsia="ko-KR"/>
        </w:rPr>
        <w:t>p</w:t>
      </w:r>
      <w:r w:rsidRPr="00B93493">
        <w:t>:</w:t>
      </w:r>
      <w:r w:rsidRPr="00B93493">
        <w:tab/>
        <w:t xml:space="preserve">basic </w:t>
      </w:r>
      <w:r w:rsidRPr="00B93493">
        <w:rPr>
          <w:lang w:eastAsia="ko-KR"/>
        </w:rPr>
        <w:t>price</w:t>
      </w:r>
    </w:p>
    <w:p w14:paraId="75393386" w14:textId="77777777" w:rsidR="00CF04BC" w:rsidRPr="00B93493" w:rsidRDefault="00CF04BC" w:rsidP="00CF04BC">
      <w:pPr>
        <w:pStyle w:val="Equationlegend"/>
      </w:pPr>
      <w:r w:rsidRPr="00B93493">
        <w:tab/>
      </w:r>
      <w:r w:rsidRPr="00B93493">
        <w:rPr>
          <w:i/>
          <w:iCs/>
        </w:rPr>
        <w:t>U</w:t>
      </w:r>
      <w:r w:rsidRPr="00B93493">
        <w:rPr>
          <w:i/>
          <w:iCs/>
          <w:vertAlign w:val="subscript"/>
        </w:rPr>
        <w:t>f</w:t>
      </w:r>
      <w:r w:rsidRPr="00B93493">
        <w:t>:</w:t>
      </w:r>
      <w:r w:rsidRPr="00B93493">
        <w:rPr>
          <w:i/>
          <w:iCs/>
        </w:rPr>
        <w:t xml:space="preserve"> </w:t>
      </w:r>
      <w:r w:rsidRPr="00B93493">
        <w:rPr>
          <w:i/>
          <w:iCs/>
        </w:rPr>
        <w:tab/>
      </w:r>
      <w:r w:rsidRPr="00B93493">
        <w:rPr>
          <w:lang w:eastAsia="ko-KR"/>
        </w:rPr>
        <w:t>spectrum usage factor</w:t>
      </w:r>
    </w:p>
    <w:p w14:paraId="2E7A8BB3" w14:textId="77777777" w:rsidR="00CF04BC" w:rsidRPr="00B93493" w:rsidRDefault="00CF04BC" w:rsidP="00CF04BC">
      <w:pPr>
        <w:pStyle w:val="Equationlegend"/>
        <w:rPr>
          <w:lang w:eastAsia="ko-KR"/>
        </w:rPr>
      </w:pPr>
      <w:r w:rsidRPr="00B93493">
        <w:rPr>
          <w:i/>
          <w:iCs/>
        </w:rPr>
        <w:tab/>
        <w:t>S</w:t>
      </w:r>
      <w:r w:rsidRPr="00B93493">
        <w:rPr>
          <w:i/>
          <w:iCs/>
          <w:vertAlign w:val="subscript"/>
        </w:rPr>
        <w:t>f</w:t>
      </w:r>
      <w:r w:rsidRPr="00B93493">
        <w:t>:</w:t>
      </w:r>
      <w:r w:rsidRPr="00B93493">
        <w:rPr>
          <w:i/>
          <w:iCs/>
        </w:rPr>
        <w:tab/>
      </w:r>
      <w:r w:rsidRPr="00B93493">
        <w:t>service factor</w:t>
      </w:r>
    </w:p>
    <w:p w14:paraId="2E4E1AC9" w14:textId="77777777" w:rsidR="00CF04BC" w:rsidRPr="00B93493" w:rsidRDefault="00CF04BC" w:rsidP="00CF04BC">
      <w:pPr>
        <w:pStyle w:val="Equationlegend"/>
        <w:rPr>
          <w:lang w:eastAsia="ko-KR"/>
        </w:rPr>
      </w:pPr>
      <w:r w:rsidRPr="00B93493">
        <w:tab/>
      </w:r>
      <w:r w:rsidRPr="00B93493">
        <w:rPr>
          <w:i/>
          <w:iCs/>
          <w:position w:val="-12"/>
          <w:lang w:eastAsia="ko-KR"/>
        </w:rPr>
        <w:object w:dxaOrig="308" w:dyaOrig="391" w14:anchorId="3965C710">
          <v:shape id="_x0000_i1123" type="#_x0000_t75" style="width:14.4pt;height:20.15pt" o:ole="">
            <v:imagedata r:id="rId238" o:title=""/>
          </v:shape>
          <o:OLEObject Type="Embed" ProgID="Equation.DSMT4" ShapeID="_x0000_i1123" DrawAspect="Content" ObjectID="_1812968404" r:id="rId239"/>
        </w:object>
      </w:r>
      <w:r w:rsidRPr="00B93493">
        <w:t>:</w:t>
      </w:r>
      <w:r w:rsidRPr="00B93493">
        <w:tab/>
      </w:r>
      <w:r w:rsidRPr="00B93493">
        <w:rPr>
          <w:lang w:eastAsia="ko-KR"/>
        </w:rPr>
        <w:t>facility sharing fee-waiver factor</w:t>
      </w:r>
    </w:p>
    <w:p w14:paraId="056652CF" w14:textId="77777777" w:rsidR="00CF04BC" w:rsidRPr="00B93493" w:rsidRDefault="00CF04BC" w:rsidP="00CF04BC">
      <w:pPr>
        <w:pStyle w:val="Equationlegend"/>
        <w:rPr>
          <w:lang w:eastAsia="ko-KR"/>
        </w:rPr>
      </w:pPr>
      <w:r w:rsidRPr="00B93493">
        <w:tab/>
      </w:r>
      <w:r w:rsidRPr="00B93493">
        <w:rPr>
          <w:i/>
          <w:iCs/>
        </w:rPr>
        <w:t>E</w:t>
      </w:r>
      <w:r w:rsidRPr="00B93493">
        <w:rPr>
          <w:i/>
          <w:iCs/>
          <w:vertAlign w:val="subscript"/>
        </w:rPr>
        <w:t>f</w:t>
      </w:r>
      <w:r w:rsidRPr="00B93493">
        <w:rPr>
          <w:i/>
          <w:iCs/>
          <w:sz w:val="12"/>
          <w:lang w:eastAsia="ko-KR"/>
        </w:rPr>
        <w:t xml:space="preserve"> </w:t>
      </w:r>
      <w:r w:rsidRPr="00B93493">
        <w:rPr>
          <w:i/>
          <w:iCs/>
          <w:vertAlign w:val="subscript"/>
        </w:rPr>
        <w:t xml:space="preserve">f </w:t>
      </w:r>
      <w:r w:rsidRPr="00B93493">
        <w:t>:</w:t>
      </w:r>
      <w:r w:rsidRPr="00B93493">
        <w:tab/>
      </w:r>
      <w:r w:rsidRPr="00B93493">
        <w:rPr>
          <w:lang w:eastAsia="ko-KR"/>
        </w:rPr>
        <w:t>eco-friendly fee-waiver factor.</w:t>
      </w:r>
    </w:p>
    <w:p w14:paraId="4183951C" w14:textId="77777777" w:rsidR="00CF04BC" w:rsidRPr="00B93493" w:rsidRDefault="00CF04BC" w:rsidP="00CF04BC">
      <w:pPr>
        <w:keepNext/>
        <w:rPr>
          <w:lang w:eastAsia="ko-KR"/>
        </w:rPr>
      </w:pPr>
      <w:r w:rsidRPr="00B93493">
        <w:t>Described as follows:</w:t>
      </w:r>
    </w:p>
    <w:p w14:paraId="6FFC18B4" w14:textId="77777777" w:rsidR="00CF04BC" w:rsidRPr="00B93493" w:rsidRDefault="00CF04BC" w:rsidP="00CF04BC">
      <w:pPr>
        <w:pStyle w:val="Equation"/>
      </w:pPr>
      <w:r w:rsidRPr="00B93493">
        <w:rPr>
          <w:bCs/>
          <w:iCs/>
        </w:rPr>
        <w:t xml:space="preserve">Basic </w:t>
      </w:r>
      <w:r w:rsidRPr="00B93493">
        <w:rPr>
          <w:bCs/>
          <w:iCs/>
          <w:lang w:eastAsia="ko-KR"/>
        </w:rPr>
        <w:t>price,</w:t>
      </w:r>
      <w:r w:rsidRPr="00B93493">
        <w:rPr>
          <w:bCs/>
          <w:i/>
          <w:lang w:eastAsia="ko-KR"/>
        </w:rPr>
        <w:t xml:space="preserve"> </w:t>
      </w:r>
      <w:r w:rsidRPr="00B93493">
        <w:rPr>
          <w:i/>
          <w:lang w:eastAsia="ko-KR"/>
        </w:rPr>
        <w:t>B</w:t>
      </w:r>
      <w:r w:rsidRPr="00B93493">
        <w:rPr>
          <w:i/>
          <w:iCs/>
          <w:vertAlign w:val="subscript"/>
          <w:lang w:eastAsia="ko-KR"/>
        </w:rPr>
        <w:t>p</w:t>
      </w:r>
      <w:r w:rsidRPr="00B93493">
        <w:t xml:space="preserve">: 250 000 </w:t>
      </w:r>
      <w:r w:rsidRPr="00B93493">
        <w:rPr>
          <w:lang w:eastAsia="ko-KR"/>
        </w:rPr>
        <w:t>KRW/station</w:t>
      </w:r>
    </w:p>
    <w:p w14:paraId="354CA0CF" w14:textId="77777777" w:rsidR="00CF04BC" w:rsidRPr="00B93493" w:rsidRDefault="00CF04BC" w:rsidP="00CF04BC">
      <w:pPr>
        <w:rPr>
          <w:lang w:eastAsia="ko-KR"/>
        </w:rPr>
      </w:pPr>
      <w:r w:rsidRPr="00B93493">
        <w:rPr>
          <w:lang w:eastAsia="ko-KR"/>
        </w:rPr>
        <w:t>Spectrum usage factor</w:t>
      </w:r>
      <w:r w:rsidRPr="00B93493">
        <w:rPr>
          <w:bCs/>
          <w:iCs/>
          <w:lang w:eastAsia="ko-KR"/>
        </w:rPr>
        <w:t>,</w:t>
      </w:r>
      <w:r w:rsidRPr="00B93493">
        <w:rPr>
          <w:bCs/>
          <w:i/>
          <w:lang w:eastAsia="ko-KR"/>
        </w:rPr>
        <w:t xml:space="preserve"> </w:t>
      </w:r>
      <w:r w:rsidRPr="00B93493">
        <w:rPr>
          <w:i/>
          <w:iCs/>
          <w:lang w:eastAsia="ko-KR"/>
        </w:rPr>
        <w:t>U</w:t>
      </w:r>
      <w:r w:rsidRPr="00B93493">
        <w:rPr>
          <w:i/>
          <w:iCs/>
          <w:vertAlign w:val="subscript"/>
        </w:rPr>
        <w:t>f</w:t>
      </w:r>
      <w:r w:rsidRPr="00B93493">
        <w:rPr>
          <w:lang w:eastAsia="ko-KR"/>
        </w:rPr>
        <w:t xml:space="preserve">: the value in the cell at the intersection of the column, Spectrum usage, and the row, Frequency bands, in Table </w:t>
      </w:r>
      <w:r>
        <w:rPr>
          <w:rFonts w:hint="eastAsia"/>
          <w:lang w:eastAsia="zh-CN"/>
        </w:rPr>
        <w:t>41</w:t>
      </w:r>
      <w:r w:rsidRPr="00B93493">
        <w:rPr>
          <w:lang w:eastAsia="ko-KR"/>
        </w:rPr>
        <w:t>.</w:t>
      </w:r>
    </w:p>
    <w:p w14:paraId="57C202EF" w14:textId="77777777" w:rsidR="00CF04BC" w:rsidRPr="00B93493" w:rsidRDefault="00CF04BC" w:rsidP="00CF04BC">
      <w:pPr>
        <w:pStyle w:val="TableNo"/>
        <w:rPr>
          <w:lang w:eastAsia="ko-KR"/>
        </w:rPr>
      </w:pPr>
      <w:r w:rsidRPr="00B93493">
        <w:rPr>
          <w:lang w:eastAsia="ko-KR"/>
        </w:rPr>
        <w:t>TABLE</w:t>
      </w:r>
      <w:r>
        <w:rPr>
          <w:rFonts w:hint="eastAsia"/>
          <w:lang w:eastAsia="zh-CN"/>
        </w:rPr>
        <w:t xml:space="preserve"> 41</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95"/>
        <w:gridCol w:w="534"/>
        <w:gridCol w:w="519"/>
        <w:gridCol w:w="519"/>
        <w:gridCol w:w="503"/>
        <w:gridCol w:w="519"/>
        <w:gridCol w:w="519"/>
        <w:gridCol w:w="519"/>
        <w:gridCol w:w="504"/>
        <w:gridCol w:w="519"/>
        <w:gridCol w:w="519"/>
        <w:gridCol w:w="519"/>
        <w:gridCol w:w="519"/>
        <w:gridCol w:w="519"/>
        <w:gridCol w:w="546"/>
        <w:gridCol w:w="467"/>
      </w:tblGrid>
      <w:tr w:rsidR="00CF04BC" w:rsidRPr="00B93493" w14:paraId="05BFA14B" w14:textId="77777777" w:rsidTr="002E7F54">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F76D94" w14:textId="77777777" w:rsidR="00CF04BC" w:rsidRPr="00B93493" w:rsidRDefault="00CF04BC" w:rsidP="002E7F54">
            <w:pPr>
              <w:pStyle w:val="Tablehead"/>
              <w:spacing w:before="0" w:after="0"/>
              <w:ind w:left="-57" w:right="-57"/>
              <w:jc w:val="right"/>
              <w:rPr>
                <w:sz w:val="16"/>
                <w:szCs w:val="16"/>
              </w:rPr>
            </w:pPr>
            <w:r w:rsidRPr="00B93493">
              <w:rPr>
                <w:sz w:val="16"/>
                <w:szCs w:val="16"/>
                <w:lang w:eastAsia="ko-KR"/>
              </w:rPr>
              <w:t xml:space="preserve">Spectrum usage </w:t>
            </w:r>
            <w:r w:rsidRPr="00B93493">
              <w:rPr>
                <w:sz w:val="16"/>
                <w:szCs w:val="16"/>
              </w:rPr>
              <w:t>(MHz)</w:t>
            </w:r>
            <w:r w:rsidRPr="00B93493">
              <w:rPr>
                <w:sz w:val="16"/>
                <w:szCs w:val="16"/>
              </w:rPr>
              <w:br/>
            </w:r>
          </w:p>
          <w:p w14:paraId="5733B00A" w14:textId="77777777" w:rsidR="00CF04BC" w:rsidRPr="00B93493" w:rsidRDefault="00CF04BC" w:rsidP="002E7F54">
            <w:pPr>
              <w:pStyle w:val="Tablehead"/>
              <w:spacing w:before="0" w:after="0"/>
              <w:ind w:left="-57" w:right="-57"/>
              <w:jc w:val="left"/>
              <w:rPr>
                <w:sz w:val="16"/>
                <w:szCs w:val="16"/>
              </w:rPr>
            </w:pPr>
            <w:r w:rsidRPr="00B93493">
              <w:rPr>
                <w:sz w:val="16"/>
                <w:szCs w:val="16"/>
                <w:lang w:eastAsia="ko-KR"/>
              </w:rPr>
              <w:t>Frequency</w:t>
            </w:r>
            <w:r w:rsidRPr="00B93493">
              <w:rPr>
                <w:sz w:val="16"/>
                <w:szCs w:val="16"/>
                <w:lang w:eastAsia="ko-KR"/>
              </w:rPr>
              <w:br/>
            </w:r>
            <w:r w:rsidRPr="00B93493">
              <w:rPr>
                <w:sz w:val="16"/>
                <w:szCs w:val="16"/>
              </w:rPr>
              <w:t>bands</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F55156" w14:textId="77777777" w:rsidR="00CF04BC" w:rsidRPr="00B93493" w:rsidRDefault="00CF04BC" w:rsidP="002E7F54">
            <w:pPr>
              <w:pStyle w:val="Tablehead"/>
              <w:ind w:left="-57" w:right="-57"/>
              <w:rPr>
                <w:sz w:val="16"/>
                <w:szCs w:val="16"/>
                <w:lang w:eastAsia="ko-KR"/>
              </w:rPr>
            </w:pPr>
            <w:r w:rsidRPr="00B93493">
              <w:rPr>
                <w:sz w:val="16"/>
                <w:szCs w:val="16"/>
                <w:lang w:eastAsia="ko-KR"/>
              </w:rPr>
              <w:t xml:space="preserve">&lt; </w:t>
            </w:r>
            <w:r w:rsidRPr="00B93493">
              <w:rPr>
                <w:sz w:val="16"/>
                <w:szCs w:val="16"/>
              </w:rPr>
              <w:t>0.1</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3E4B0E" w14:textId="77777777" w:rsidR="00CF04BC" w:rsidRPr="00B93493" w:rsidRDefault="00CF04BC" w:rsidP="002E7F54">
            <w:pPr>
              <w:pStyle w:val="Tablehead"/>
              <w:ind w:left="-57" w:right="-57"/>
              <w:rPr>
                <w:sz w:val="16"/>
                <w:szCs w:val="16"/>
              </w:rPr>
            </w:pPr>
            <w:r w:rsidRPr="00B93493">
              <w:rPr>
                <w:sz w:val="16"/>
                <w:szCs w:val="16"/>
              </w:rPr>
              <w:t>0.1</w:t>
            </w:r>
            <w:r w:rsidRPr="00B93493">
              <w:rPr>
                <w:sz w:val="16"/>
                <w:szCs w:val="16"/>
              </w:rPr>
              <w:br/>
              <w:t>~</w:t>
            </w:r>
            <w:r w:rsidRPr="00B93493">
              <w:rPr>
                <w:sz w:val="16"/>
                <w:szCs w:val="16"/>
              </w:rPr>
              <w:br/>
              <w:t>0.3</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D20079" w14:textId="77777777" w:rsidR="00CF04BC" w:rsidRPr="00B93493" w:rsidRDefault="00CF04BC" w:rsidP="002E7F54">
            <w:pPr>
              <w:pStyle w:val="Tablehead"/>
              <w:ind w:left="-57" w:right="-57"/>
              <w:rPr>
                <w:sz w:val="16"/>
                <w:szCs w:val="16"/>
              </w:rPr>
            </w:pPr>
            <w:r w:rsidRPr="00B93493">
              <w:rPr>
                <w:sz w:val="16"/>
                <w:szCs w:val="16"/>
              </w:rPr>
              <w:t>0.3</w:t>
            </w:r>
            <w:r w:rsidRPr="00B93493">
              <w:rPr>
                <w:sz w:val="16"/>
                <w:szCs w:val="16"/>
              </w:rPr>
              <w:br/>
              <w:t>~</w:t>
            </w:r>
            <w:r w:rsidRPr="00B93493">
              <w:rPr>
                <w:sz w:val="16"/>
                <w:szCs w:val="16"/>
              </w:rPr>
              <w:br/>
              <w:t>1.5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68F820" w14:textId="77777777" w:rsidR="00CF04BC" w:rsidRPr="00B93493" w:rsidRDefault="00CF04BC" w:rsidP="002E7F54">
            <w:pPr>
              <w:pStyle w:val="Tablehead"/>
              <w:ind w:left="-57" w:right="-57"/>
              <w:rPr>
                <w:sz w:val="16"/>
                <w:szCs w:val="16"/>
              </w:rPr>
            </w:pPr>
            <w:r w:rsidRPr="00B93493">
              <w:rPr>
                <w:sz w:val="16"/>
                <w:szCs w:val="16"/>
              </w:rPr>
              <w:t>1.5</w:t>
            </w:r>
            <w:r w:rsidRPr="00B93493">
              <w:rPr>
                <w:sz w:val="16"/>
                <w:szCs w:val="16"/>
              </w:rPr>
              <w:br/>
              <w:t>~</w:t>
            </w:r>
            <w:r w:rsidRPr="00B93493">
              <w:rPr>
                <w:sz w:val="16"/>
                <w:szCs w:val="16"/>
              </w:rPr>
              <w:br/>
              <w:t>4</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03D01F" w14:textId="77777777" w:rsidR="00CF04BC" w:rsidRPr="00B93493" w:rsidRDefault="00CF04BC" w:rsidP="002E7F54">
            <w:pPr>
              <w:pStyle w:val="Tablehead"/>
              <w:ind w:left="-57" w:right="-57"/>
              <w:rPr>
                <w:sz w:val="16"/>
                <w:szCs w:val="16"/>
              </w:rPr>
            </w:pPr>
            <w:r w:rsidRPr="00B93493">
              <w:rPr>
                <w:sz w:val="16"/>
                <w:szCs w:val="16"/>
              </w:rPr>
              <w:t>4</w:t>
            </w:r>
            <w:r w:rsidRPr="00B93493">
              <w:rPr>
                <w:sz w:val="16"/>
                <w:szCs w:val="16"/>
              </w:rPr>
              <w:br/>
              <w:t>~</w:t>
            </w:r>
            <w:r w:rsidRPr="00B93493">
              <w:rPr>
                <w:sz w:val="16"/>
                <w:szCs w:val="16"/>
              </w:rPr>
              <w:br/>
              <w:t>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540FB4" w14:textId="77777777" w:rsidR="00CF04BC" w:rsidRPr="00B93493" w:rsidRDefault="00CF04BC" w:rsidP="002E7F54">
            <w:pPr>
              <w:pStyle w:val="Tablehead"/>
              <w:ind w:left="-57" w:right="-57"/>
              <w:rPr>
                <w:sz w:val="16"/>
                <w:szCs w:val="16"/>
              </w:rPr>
            </w:pPr>
            <w:r w:rsidRPr="00B93493">
              <w:rPr>
                <w:sz w:val="16"/>
                <w:szCs w:val="16"/>
              </w:rPr>
              <w:t>7</w:t>
            </w:r>
            <w:r w:rsidRPr="00B93493">
              <w:rPr>
                <w:sz w:val="16"/>
                <w:szCs w:val="16"/>
              </w:rPr>
              <w:br/>
              <w:t>~</w:t>
            </w:r>
            <w:r w:rsidRPr="00B93493">
              <w:rPr>
                <w:sz w:val="16"/>
                <w:szCs w:val="16"/>
              </w:rPr>
              <w:br/>
              <w:t>10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EB2915" w14:textId="77777777" w:rsidR="00CF04BC" w:rsidRPr="00B93493" w:rsidRDefault="00CF04BC" w:rsidP="002E7F54">
            <w:pPr>
              <w:pStyle w:val="Tablehead"/>
              <w:ind w:left="-57" w:right="-57"/>
              <w:rPr>
                <w:sz w:val="16"/>
                <w:szCs w:val="16"/>
              </w:rPr>
            </w:pPr>
            <w:r w:rsidRPr="00B93493">
              <w:rPr>
                <w:sz w:val="16"/>
                <w:szCs w:val="16"/>
              </w:rPr>
              <w:t>10</w:t>
            </w:r>
            <w:r w:rsidRPr="00B93493">
              <w:rPr>
                <w:sz w:val="16"/>
                <w:szCs w:val="16"/>
              </w:rPr>
              <w:br/>
              <w:t>~</w:t>
            </w:r>
            <w:r w:rsidRPr="00B93493">
              <w:rPr>
                <w:sz w:val="16"/>
                <w:szCs w:val="16"/>
              </w:rPr>
              <w:br/>
              <w:t>15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93E96A" w14:textId="77777777" w:rsidR="00CF04BC" w:rsidRPr="00B93493" w:rsidRDefault="00CF04BC" w:rsidP="002E7F54">
            <w:pPr>
              <w:pStyle w:val="Tablehead"/>
              <w:ind w:left="-57" w:right="-57"/>
              <w:rPr>
                <w:sz w:val="16"/>
                <w:szCs w:val="16"/>
              </w:rPr>
            </w:pPr>
            <w:r w:rsidRPr="00B93493">
              <w:rPr>
                <w:sz w:val="16"/>
                <w:szCs w:val="16"/>
              </w:rPr>
              <w:t>15</w:t>
            </w:r>
            <w:r w:rsidRPr="00B93493">
              <w:rPr>
                <w:sz w:val="16"/>
                <w:szCs w:val="16"/>
              </w:rPr>
              <w:br/>
              <w:t>~</w:t>
            </w:r>
            <w:r w:rsidRPr="00B93493">
              <w:rPr>
                <w:sz w:val="16"/>
                <w:szCs w:val="16"/>
              </w:rPr>
              <w:br/>
              <w:t>20</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6E58BC" w14:textId="77777777" w:rsidR="00CF04BC" w:rsidRPr="00B93493" w:rsidRDefault="00CF04BC" w:rsidP="002E7F54">
            <w:pPr>
              <w:pStyle w:val="Tablehead"/>
              <w:ind w:left="-57" w:right="-57"/>
              <w:rPr>
                <w:sz w:val="16"/>
                <w:szCs w:val="16"/>
              </w:rPr>
            </w:pPr>
            <w:r w:rsidRPr="00B93493">
              <w:rPr>
                <w:sz w:val="16"/>
                <w:szCs w:val="16"/>
              </w:rPr>
              <w:t>20</w:t>
            </w:r>
            <w:r w:rsidRPr="00B93493">
              <w:rPr>
                <w:sz w:val="16"/>
                <w:szCs w:val="16"/>
              </w:rPr>
              <w:br/>
              <w:t>~</w:t>
            </w:r>
            <w:r w:rsidRPr="00B93493">
              <w:rPr>
                <w:sz w:val="16"/>
                <w:szCs w:val="16"/>
              </w:rPr>
              <w:br/>
              <w:t>30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4ED3E0" w14:textId="77777777" w:rsidR="00CF04BC" w:rsidRPr="00B93493" w:rsidRDefault="00CF04BC" w:rsidP="002E7F54">
            <w:pPr>
              <w:pStyle w:val="Tablehead"/>
              <w:ind w:left="-57" w:right="-57"/>
              <w:rPr>
                <w:sz w:val="16"/>
                <w:szCs w:val="16"/>
              </w:rPr>
            </w:pPr>
            <w:r w:rsidRPr="00B93493">
              <w:rPr>
                <w:sz w:val="16"/>
                <w:szCs w:val="16"/>
              </w:rPr>
              <w:t>30</w:t>
            </w:r>
            <w:r w:rsidRPr="00B93493">
              <w:rPr>
                <w:sz w:val="16"/>
                <w:szCs w:val="16"/>
              </w:rPr>
              <w:br/>
              <w:t>~</w:t>
            </w:r>
            <w:r w:rsidRPr="00B93493">
              <w:rPr>
                <w:sz w:val="16"/>
                <w:szCs w:val="16"/>
              </w:rPr>
              <w:br/>
              <w:t>40</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31F54" w14:textId="77777777" w:rsidR="00CF04BC" w:rsidRPr="00B93493" w:rsidRDefault="00CF04BC" w:rsidP="002E7F54">
            <w:pPr>
              <w:pStyle w:val="Tablehead"/>
              <w:ind w:left="-57" w:right="-57"/>
              <w:rPr>
                <w:sz w:val="16"/>
                <w:szCs w:val="16"/>
              </w:rPr>
            </w:pPr>
            <w:r w:rsidRPr="00B93493">
              <w:rPr>
                <w:sz w:val="16"/>
                <w:szCs w:val="16"/>
              </w:rPr>
              <w:t>40</w:t>
            </w:r>
            <w:r w:rsidRPr="00B93493">
              <w:rPr>
                <w:sz w:val="16"/>
                <w:szCs w:val="16"/>
              </w:rPr>
              <w:br/>
              <w:t>~</w:t>
            </w:r>
            <w:r w:rsidRPr="00B93493">
              <w:rPr>
                <w:sz w:val="16"/>
                <w:szCs w:val="16"/>
              </w:rPr>
              <w:br/>
              <w:t>60</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75A32B" w14:textId="77777777" w:rsidR="00CF04BC" w:rsidRPr="00B93493" w:rsidRDefault="00CF04BC" w:rsidP="002E7F54">
            <w:pPr>
              <w:pStyle w:val="Tablehead"/>
              <w:ind w:left="-57" w:right="-57"/>
              <w:rPr>
                <w:sz w:val="16"/>
                <w:szCs w:val="16"/>
              </w:rPr>
            </w:pPr>
            <w:r w:rsidRPr="00B93493">
              <w:rPr>
                <w:sz w:val="16"/>
                <w:szCs w:val="16"/>
              </w:rPr>
              <w:t>60</w:t>
            </w:r>
            <w:r w:rsidRPr="00B93493">
              <w:rPr>
                <w:sz w:val="16"/>
                <w:szCs w:val="16"/>
              </w:rPr>
              <w:br/>
              <w:t>~</w:t>
            </w:r>
            <w:r w:rsidRPr="00B93493">
              <w:rPr>
                <w:sz w:val="16"/>
                <w:szCs w:val="16"/>
              </w:rPr>
              <w:br/>
              <w:t>80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0197AB" w14:textId="77777777" w:rsidR="00CF04BC" w:rsidRPr="00B93493" w:rsidRDefault="00CF04BC" w:rsidP="002E7F54">
            <w:pPr>
              <w:pStyle w:val="Tablehead"/>
              <w:ind w:left="-57" w:right="-57"/>
              <w:rPr>
                <w:sz w:val="16"/>
                <w:szCs w:val="16"/>
              </w:rPr>
            </w:pPr>
            <w:r w:rsidRPr="00B93493">
              <w:rPr>
                <w:sz w:val="16"/>
                <w:szCs w:val="16"/>
              </w:rPr>
              <w:t>80</w:t>
            </w:r>
            <w:r w:rsidRPr="00B93493">
              <w:rPr>
                <w:sz w:val="16"/>
                <w:szCs w:val="16"/>
              </w:rPr>
              <w:br/>
              <w:t>~</w:t>
            </w:r>
            <w:r w:rsidRPr="00B93493">
              <w:rPr>
                <w:sz w:val="16"/>
                <w:szCs w:val="16"/>
              </w:rPr>
              <w:br/>
              <w:t>110</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2435F1" w14:textId="77777777" w:rsidR="00CF04BC" w:rsidRPr="00B93493" w:rsidRDefault="00CF04BC" w:rsidP="002E7F54">
            <w:pPr>
              <w:pStyle w:val="Tablehead"/>
              <w:ind w:left="-57" w:right="-57"/>
              <w:rPr>
                <w:sz w:val="16"/>
                <w:szCs w:val="16"/>
              </w:rPr>
            </w:pPr>
            <w:r w:rsidRPr="00B93493">
              <w:rPr>
                <w:sz w:val="16"/>
                <w:szCs w:val="16"/>
              </w:rPr>
              <w:t>110</w:t>
            </w:r>
            <w:r w:rsidRPr="00B93493">
              <w:rPr>
                <w:sz w:val="16"/>
                <w:szCs w:val="16"/>
              </w:rPr>
              <w:br/>
              <w:t>~</w:t>
            </w:r>
            <w:r w:rsidRPr="00B93493">
              <w:rPr>
                <w:sz w:val="16"/>
                <w:szCs w:val="16"/>
              </w:rPr>
              <w:br/>
              <w:t>150</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62895" w14:textId="77777777" w:rsidR="00CF04BC" w:rsidRPr="00B93493" w:rsidRDefault="00CF04BC" w:rsidP="002E7F54">
            <w:pPr>
              <w:pStyle w:val="Tablehead"/>
              <w:ind w:left="-57" w:right="-113"/>
              <w:jc w:val="left"/>
              <w:rPr>
                <w:sz w:val="16"/>
                <w:szCs w:val="16"/>
                <w:lang w:eastAsia="ko-KR"/>
              </w:rPr>
            </w:pPr>
            <w:r w:rsidRPr="00B93493">
              <w:rPr>
                <w:sz w:val="16"/>
                <w:szCs w:val="16"/>
                <w:lang w:eastAsia="ko-KR"/>
              </w:rPr>
              <w:t xml:space="preserve">&gt; </w:t>
            </w:r>
            <w:r w:rsidRPr="00B93493">
              <w:rPr>
                <w:sz w:val="16"/>
                <w:szCs w:val="16"/>
              </w:rPr>
              <w:t>150</w:t>
            </w:r>
          </w:p>
        </w:tc>
      </w:tr>
      <w:tr w:rsidR="00CF04BC" w:rsidRPr="00B93493" w14:paraId="79848F81" w14:textId="77777777" w:rsidTr="002E7F54">
        <w:trPr>
          <w:trHeight w:val="88"/>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9B6076" w14:textId="77777777" w:rsidR="00CF04BC" w:rsidRPr="00B93493" w:rsidRDefault="00CF04BC" w:rsidP="002E7F54">
            <w:pPr>
              <w:pStyle w:val="Tabletext"/>
              <w:keepNext/>
              <w:keepLines/>
              <w:ind w:left="-57" w:right="-57"/>
              <w:rPr>
                <w:sz w:val="16"/>
                <w:szCs w:val="16"/>
              </w:rPr>
            </w:pPr>
            <w:r w:rsidRPr="00B93493">
              <w:rPr>
                <w:rFonts w:ascii="Symbol" w:eastAsia="Symbol" w:hAnsi="Symbol" w:cs="Symbol"/>
                <w:caps/>
                <w:sz w:val="16"/>
                <w:szCs w:val="16"/>
              </w:rPr>
              <w:t></w:t>
            </w:r>
            <w:r w:rsidRPr="00B93493">
              <w:rPr>
                <w:caps/>
                <w:sz w:val="16"/>
                <w:szCs w:val="16"/>
              </w:rPr>
              <w:t xml:space="preserve"> 1 GH</w:t>
            </w:r>
            <w:r w:rsidRPr="00B93493">
              <w:rPr>
                <w:sz w:val="16"/>
                <w:szCs w:val="16"/>
              </w:rPr>
              <w:t>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D05AC6" w14:textId="77777777" w:rsidR="00CF04BC" w:rsidRPr="00B93493" w:rsidRDefault="00CF04BC" w:rsidP="002E7F54">
            <w:pPr>
              <w:pStyle w:val="Tabletext"/>
              <w:keepNext/>
              <w:keepLines/>
              <w:ind w:left="-57" w:right="-57"/>
              <w:jc w:val="center"/>
              <w:rPr>
                <w:sz w:val="16"/>
                <w:szCs w:val="16"/>
              </w:rPr>
            </w:pPr>
            <w:r w:rsidRPr="00B93493">
              <w:rPr>
                <w:sz w:val="16"/>
                <w:szCs w:val="16"/>
              </w:rPr>
              <w:t>1</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37117B" w14:textId="77777777" w:rsidR="00CF04BC" w:rsidRPr="00B93493" w:rsidRDefault="00CF04BC" w:rsidP="002E7F54">
            <w:pPr>
              <w:pStyle w:val="Tabletext"/>
              <w:keepNext/>
              <w:keepLines/>
              <w:ind w:left="-57" w:right="-57"/>
              <w:jc w:val="center"/>
              <w:rPr>
                <w:sz w:val="16"/>
                <w:szCs w:val="16"/>
              </w:rPr>
            </w:pPr>
            <w:r w:rsidRPr="00B93493">
              <w:rPr>
                <w:sz w:val="16"/>
                <w:szCs w:val="16"/>
              </w:rPr>
              <w:t>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A67453" w14:textId="77777777" w:rsidR="00CF04BC" w:rsidRPr="00B93493" w:rsidRDefault="00CF04BC" w:rsidP="002E7F54">
            <w:pPr>
              <w:pStyle w:val="Tabletext"/>
              <w:keepNext/>
              <w:keepLines/>
              <w:ind w:left="-57" w:right="-57"/>
              <w:jc w:val="center"/>
              <w:rPr>
                <w:sz w:val="16"/>
                <w:szCs w:val="16"/>
              </w:rPr>
            </w:pPr>
            <w:r w:rsidRPr="00B93493">
              <w:rPr>
                <w:sz w:val="16"/>
                <w:szCs w:val="16"/>
              </w:rPr>
              <w:t>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C9696D" w14:textId="77777777" w:rsidR="00CF04BC" w:rsidRPr="00B93493" w:rsidRDefault="00CF04BC" w:rsidP="002E7F54">
            <w:pPr>
              <w:pStyle w:val="Tabletext"/>
              <w:keepNext/>
              <w:keepLines/>
              <w:ind w:left="-57" w:right="-57"/>
              <w:jc w:val="center"/>
              <w:rPr>
                <w:sz w:val="16"/>
                <w:szCs w:val="16"/>
              </w:rPr>
            </w:pPr>
            <w:r w:rsidRPr="00B93493">
              <w:rPr>
                <w:sz w:val="16"/>
                <w:szCs w:val="16"/>
              </w:rPr>
              <w:t>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E22D5" w14:textId="77777777" w:rsidR="00CF04BC" w:rsidRPr="00B93493" w:rsidRDefault="00CF04BC" w:rsidP="002E7F54">
            <w:pPr>
              <w:pStyle w:val="Tabletext"/>
              <w:keepNext/>
              <w:keepLines/>
              <w:ind w:left="-57" w:right="-57"/>
              <w:jc w:val="center"/>
              <w:rPr>
                <w:sz w:val="16"/>
                <w:szCs w:val="16"/>
              </w:rPr>
            </w:pPr>
            <w:r w:rsidRPr="00B93493">
              <w:rPr>
                <w:sz w:val="16"/>
                <w:szCs w:val="16"/>
              </w:rPr>
              <w:t>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EB33F9" w14:textId="77777777" w:rsidR="00CF04BC" w:rsidRPr="00B93493" w:rsidRDefault="00CF04BC" w:rsidP="002E7F54">
            <w:pPr>
              <w:pStyle w:val="Tabletext"/>
              <w:keepNext/>
              <w:keepLines/>
              <w:ind w:left="-57" w:right="-57"/>
              <w:jc w:val="center"/>
              <w:rPr>
                <w:sz w:val="16"/>
                <w:szCs w:val="16"/>
              </w:rPr>
            </w:pPr>
            <w:r w:rsidRPr="00B93493">
              <w:rPr>
                <w:sz w:val="16"/>
                <w:szCs w:val="16"/>
              </w:rPr>
              <w:t>9</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35B531" w14:textId="77777777" w:rsidR="00CF04BC" w:rsidRPr="00B93493" w:rsidRDefault="00CF04BC" w:rsidP="002E7F54">
            <w:pPr>
              <w:pStyle w:val="Tabletext"/>
              <w:keepNext/>
              <w:keepLines/>
              <w:ind w:left="-57" w:right="-57"/>
              <w:jc w:val="center"/>
              <w:rPr>
                <w:sz w:val="16"/>
                <w:szCs w:val="16"/>
              </w:rPr>
            </w:pPr>
            <w:r w:rsidRPr="00B93493">
              <w:rPr>
                <w:sz w:val="16"/>
                <w:szCs w:val="16"/>
              </w:rPr>
              <w:t>12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4FB8F" w14:textId="77777777" w:rsidR="00CF04BC" w:rsidRPr="00B93493" w:rsidRDefault="00CF04BC" w:rsidP="002E7F54">
            <w:pPr>
              <w:pStyle w:val="Tabletext"/>
              <w:keepNext/>
              <w:keepLines/>
              <w:ind w:left="-57" w:right="-57"/>
              <w:jc w:val="center"/>
              <w:rPr>
                <w:sz w:val="16"/>
                <w:szCs w:val="16"/>
              </w:rPr>
            </w:pPr>
            <w:r w:rsidRPr="00B93493">
              <w:rPr>
                <w:sz w:val="16"/>
                <w:szCs w:val="16"/>
              </w:rPr>
              <w:t>15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E35FDC" w14:textId="77777777" w:rsidR="00CF04BC" w:rsidRPr="00B93493" w:rsidRDefault="00CF04BC" w:rsidP="002E7F54">
            <w:pPr>
              <w:pStyle w:val="Tabletext"/>
              <w:keepNext/>
              <w:keepLines/>
              <w:ind w:left="-57" w:right="-57"/>
              <w:jc w:val="center"/>
              <w:rPr>
                <w:sz w:val="16"/>
                <w:szCs w:val="16"/>
              </w:rPr>
            </w:pPr>
            <w:r w:rsidRPr="00B93493">
              <w:rPr>
                <w:sz w:val="16"/>
                <w:szCs w:val="16"/>
              </w:rPr>
              <w:t>19</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15CA1" w14:textId="77777777" w:rsidR="00CF04BC" w:rsidRPr="00B93493" w:rsidRDefault="00CF04BC" w:rsidP="002E7F54">
            <w:pPr>
              <w:pStyle w:val="Tabletext"/>
              <w:keepNext/>
              <w:keepLines/>
              <w:ind w:left="-57" w:right="-57"/>
              <w:jc w:val="center"/>
              <w:rPr>
                <w:sz w:val="16"/>
                <w:szCs w:val="16"/>
              </w:rPr>
            </w:pPr>
            <w:r w:rsidRPr="00B93493">
              <w:rPr>
                <w:sz w:val="16"/>
                <w:szCs w:val="16"/>
              </w:rPr>
              <w:t>23</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AB60EF" w14:textId="77777777" w:rsidR="00CF04BC" w:rsidRPr="00B93493" w:rsidRDefault="00CF04BC" w:rsidP="002E7F54">
            <w:pPr>
              <w:pStyle w:val="Tabletext"/>
              <w:keepNext/>
              <w:keepLines/>
              <w:ind w:left="-57" w:right="-57"/>
              <w:jc w:val="center"/>
              <w:rPr>
                <w:sz w:val="16"/>
                <w:szCs w:val="16"/>
              </w:rPr>
            </w:pPr>
            <w:r w:rsidRPr="00B93493">
              <w:rPr>
                <w:sz w:val="16"/>
                <w:szCs w:val="16"/>
              </w:rPr>
              <w:t>28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B27F80" w14:textId="77777777" w:rsidR="00CF04BC" w:rsidRPr="00B93493" w:rsidRDefault="00CF04BC" w:rsidP="002E7F54">
            <w:pPr>
              <w:pStyle w:val="Tabletext"/>
              <w:keepNext/>
              <w:keepLines/>
              <w:ind w:left="-57" w:right="-57"/>
              <w:jc w:val="center"/>
              <w:rPr>
                <w:sz w:val="16"/>
                <w:szCs w:val="16"/>
              </w:rPr>
            </w:pPr>
            <w:r w:rsidRPr="00B93493">
              <w:rPr>
                <w:sz w:val="16"/>
                <w:szCs w:val="16"/>
              </w:rPr>
              <w:t>33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D220B3" w14:textId="77777777" w:rsidR="00CF04BC" w:rsidRPr="00B93493" w:rsidRDefault="00CF04BC" w:rsidP="002E7F54">
            <w:pPr>
              <w:pStyle w:val="Tabletext"/>
              <w:keepNext/>
              <w:keepLines/>
              <w:ind w:left="-57" w:right="-57"/>
              <w:jc w:val="center"/>
              <w:rPr>
                <w:sz w:val="16"/>
                <w:szCs w:val="16"/>
              </w:rPr>
            </w:pPr>
            <w:r w:rsidRPr="00B93493">
              <w:rPr>
                <w:sz w:val="16"/>
                <w:szCs w:val="16"/>
              </w:rPr>
              <w:t>28</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3D4CA4" w14:textId="77777777" w:rsidR="00CF04BC" w:rsidRPr="00B93493" w:rsidRDefault="00CF04BC" w:rsidP="002E7F54">
            <w:pPr>
              <w:pStyle w:val="Tabletext"/>
              <w:keepNext/>
              <w:keepLines/>
              <w:ind w:left="-57" w:right="-57"/>
              <w:jc w:val="center"/>
              <w:rPr>
                <w:sz w:val="16"/>
                <w:szCs w:val="16"/>
              </w:rPr>
            </w:pPr>
            <w:r w:rsidRPr="00B93493">
              <w:rPr>
                <w:sz w:val="16"/>
                <w:szCs w:val="16"/>
              </w:rPr>
              <w:t>44</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B212B4" w14:textId="77777777" w:rsidR="00CF04BC" w:rsidRPr="00B93493" w:rsidRDefault="00CF04BC" w:rsidP="002E7F54">
            <w:pPr>
              <w:pStyle w:val="Tabletext"/>
              <w:keepNext/>
              <w:keepLines/>
              <w:ind w:left="-57" w:right="-57"/>
              <w:jc w:val="center"/>
              <w:rPr>
                <w:sz w:val="16"/>
                <w:szCs w:val="16"/>
              </w:rPr>
            </w:pPr>
            <w:r w:rsidRPr="00B93493">
              <w:rPr>
                <w:sz w:val="16"/>
                <w:szCs w:val="16"/>
              </w:rPr>
              <w:t>50</w:t>
            </w:r>
          </w:p>
        </w:tc>
      </w:tr>
      <w:tr w:rsidR="00CF04BC" w:rsidRPr="00B93493" w14:paraId="381D6F6F" w14:textId="77777777" w:rsidTr="002E7F54">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823B7A" w14:textId="77777777" w:rsidR="00CF04BC" w:rsidRPr="00B93493" w:rsidRDefault="00CF04BC" w:rsidP="002E7F54">
            <w:pPr>
              <w:pStyle w:val="Tabletext"/>
              <w:keepNext/>
              <w:keepLines/>
              <w:ind w:left="-57" w:right="-57"/>
              <w:rPr>
                <w:sz w:val="16"/>
                <w:szCs w:val="16"/>
              </w:rPr>
            </w:pPr>
            <w:r w:rsidRPr="00B93493">
              <w:rPr>
                <w:sz w:val="16"/>
                <w:szCs w:val="16"/>
              </w:rPr>
              <w:t>1~3 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309BA6" w14:textId="77777777" w:rsidR="00CF04BC" w:rsidRPr="00B93493" w:rsidRDefault="00CF04BC" w:rsidP="002E7F54">
            <w:pPr>
              <w:pStyle w:val="Tabletext"/>
              <w:keepNext/>
              <w:keepLines/>
              <w:ind w:left="-57" w:right="-57"/>
              <w:jc w:val="center"/>
              <w:rPr>
                <w:sz w:val="16"/>
                <w:szCs w:val="16"/>
              </w:rPr>
            </w:pPr>
            <w:r w:rsidRPr="00B93493">
              <w:rPr>
                <w:sz w:val="16"/>
                <w:szCs w:val="16"/>
                <w:lang w:eastAsia="ko-KR"/>
              </w:rPr>
              <w:t>0.</w:t>
            </w:r>
            <w:r w:rsidRPr="00B93493">
              <w:rPr>
                <w:sz w:val="16"/>
                <w:szCs w:val="16"/>
              </w:rPr>
              <w:t>7</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D01189" w14:textId="77777777" w:rsidR="00CF04BC" w:rsidRPr="00B93493" w:rsidRDefault="00CF04BC" w:rsidP="002E7F54">
            <w:pPr>
              <w:pStyle w:val="Tabletext"/>
              <w:keepNext/>
              <w:keepLines/>
              <w:ind w:left="-57" w:right="-57"/>
              <w:jc w:val="center"/>
              <w:rPr>
                <w:sz w:val="16"/>
                <w:szCs w:val="16"/>
              </w:rPr>
            </w:pPr>
            <w:r w:rsidRPr="00B93493">
              <w:rPr>
                <w:sz w:val="16"/>
                <w:szCs w:val="16"/>
              </w:rPr>
              <w:t>1.4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3D93A1" w14:textId="77777777" w:rsidR="00CF04BC" w:rsidRPr="00B93493" w:rsidRDefault="00CF04BC" w:rsidP="002E7F54">
            <w:pPr>
              <w:pStyle w:val="Tabletext"/>
              <w:keepNext/>
              <w:keepLines/>
              <w:ind w:left="-57" w:right="-57"/>
              <w:jc w:val="center"/>
              <w:rPr>
                <w:sz w:val="16"/>
                <w:szCs w:val="16"/>
              </w:rPr>
            </w:pPr>
            <w:r w:rsidRPr="00B93493">
              <w:rPr>
                <w:sz w:val="16"/>
                <w:szCs w:val="16"/>
              </w:rPr>
              <w:t>2.1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555FAE" w14:textId="77777777" w:rsidR="00CF04BC" w:rsidRPr="00B93493" w:rsidRDefault="00CF04BC" w:rsidP="002E7F54">
            <w:pPr>
              <w:pStyle w:val="Tabletext"/>
              <w:keepNext/>
              <w:keepLines/>
              <w:ind w:left="-57" w:right="-57"/>
              <w:jc w:val="center"/>
              <w:rPr>
                <w:sz w:val="16"/>
                <w:szCs w:val="16"/>
              </w:rPr>
            </w:pPr>
            <w:r w:rsidRPr="00B93493">
              <w:rPr>
                <w:sz w:val="16"/>
                <w:szCs w:val="16"/>
              </w:rPr>
              <w:t>3.5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446808" w14:textId="77777777" w:rsidR="00CF04BC" w:rsidRPr="00B93493" w:rsidRDefault="00CF04BC" w:rsidP="002E7F54">
            <w:pPr>
              <w:pStyle w:val="Tabletext"/>
              <w:keepNext/>
              <w:keepLines/>
              <w:ind w:left="-57" w:right="-57"/>
              <w:jc w:val="center"/>
              <w:rPr>
                <w:sz w:val="16"/>
                <w:szCs w:val="16"/>
              </w:rPr>
            </w:pPr>
            <w:r w:rsidRPr="00B93493">
              <w:rPr>
                <w:sz w:val="16"/>
                <w:szCs w:val="16"/>
              </w:rPr>
              <w:t>4.9</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57E23C" w14:textId="77777777" w:rsidR="00CF04BC" w:rsidRPr="00B93493" w:rsidRDefault="00CF04BC" w:rsidP="002E7F54">
            <w:pPr>
              <w:pStyle w:val="Tabletext"/>
              <w:keepNext/>
              <w:keepLines/>
              <w:ind w:left="-57" w:right="-57"/>
              <w:jc w:val="center"/>
              <w:rPr>
                <w:sz w:val="16"/>
                <w:szCs w:val="16"/>
              </w:rPr>
            </w:pPr>
            <w:r w:rsidRPr="00B93493">
              <w:rPr>
                <w:sz w:val="16"/>
                <w:szCs w:val="16"/>
              </w:rPr>
              <w:t>6.3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8EDDC8" w14:textId="77777777" w:rsidR="00CF04BC" w:rsidRPr="00B93493" w:rsidRDefault="00CF04BC" w:rsidP="002E7F54">
            <w:pPr>
              <w:pStyle w:val="Tabletext"/>
              <w:keepNext/>
              <w:keepLines/>
              <w:ind w:left="-57" w:right="-57"/>
              <w:jc w:val="center"/>
              <w:rPr>
                <w:sz w:val="16"/>
                <w:szCs w:val="16"/>
              </w:rPr>
            </w:pPr>
            <w:r w:rsidRPr="00B93493">
              <w:rPr>
                <w:sz w:val="16"/>
                <w:szCs w:val="16"/>
              </w:rPr>
              <w:t>8.4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DF0E29" w14:textId="77777777" w:rsidR="00CF04BC" w:rsidRPr="00B93493" w:rsidRDefault="00CF04BC" w:rsidP="002E7F54">
            <w:pPr>
              <w:pStyle w:val="Tabletext"/>
              <w:keepNext/>
              <w:keepLines/>
              <w:ind w:left="-57" w:right="-57"/>
              <w:jc w:val="center"/>
              <w:rPr>
                <w:sz w:val="16"/>
                <w:szCs w:val="16"/>
              </w:rPr>
            </w:pPr>
            <w:r w:rsidRPr="00B93493">
              <w:rPr>
                <w:sz w:val="16"/>
                <w:szCs w:val="16"/>
              </w:rPr>
              <w:t>10.5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2EFFD4" w14:textId="77777777" w:rsidR="00CF04BC" w:rsidRPr="00B93493" w:rsidRDefault="00CF04BC" w:rsidP="002E7F54">
            <w:pPr>
              <w:pStyle w:val="Tabletext"/>
              <w:keepNext/>
              <w:keepLines/>
              <w:ind w:left="-57" w:right="-57"/>
              <w:jc w:val="center"/>
              <w:rPr>
                <w:sz w:val="16"/>
                <w:szCs w:val="16"/>
              </w:rPr>
            </w:pPr>
            <w:r w:rsidRPr="00B93493">
              <w:rPr>
                <w:sz w:val="16"/>
                <w:szCs w:val="16"/>
              </w:rPr>
              <w:t>13.3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19460C" w14:textId="77777777" w:rsidR="00CF04BC" w:rsidRPr="00B93493" w:rsidRDefault="00CF04BC" w:rsidP="002E7F54">
            <w:pPr>
              <w:pStyle w:val="Tabletext"/>
              <w:keepNext/>
              <w:keepLines/>
              <w:ind w:left="-57" w:right="-57"/>
              <w:jc w:val="center"/>
              <w:rPr>
                <w:sz w:val="16"/>
                <w:szCs w:val="16"/>
              </w:rPr>
            </w:pPr>
            <w:r w:rsidRPr="00B93493">
              <w:rPr>
                <w:sz w:val="16"/>
                <w:szCs w:val="16"/>
              </w:rPr>
              <w:t>16.1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A138FE" w14:textId="77777777" w:rsidR="00CF04BC" w:rsidRPr="00B93493" w:rsidRDefault="00CF04BC" w:rsidP="002E7F54">
            <w:pPr>
              <w:pStyle w:val="Tabletext"/>
              <w:keepNext/>
              <w:keepLines/>
              <w:ind w:left="-57" w:right="-57"/>
              <w:jc w:val="center"/>
              <w:rPr>
                <w:sz w:val="16"/>
                <w:szCs w:val="16"/>
              </w:rPr>
            </w:pPr>
            <w:r w:rsidRPr="00B93493">
              <w:rPr>
                <w:sz w:val="16"/>
                <w:szCs w:val="16"/>
              </w:rPr>
              <w:t>19.6</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141AB3" w14:textId="77777777" w:rsidR="00CF04BC" w:rsidRPr="00B93493" w:rsidRDefault="00CF04BC" w:rsidP="002E7F54">
            <w:pPr>
              <w:pStyle w:val="Tabletext"/>
              <w:keepNext/>
              <w:keepLines/>
              <w:ind w:left="-57" w:right="-57"/>
              <w:jc w:val="center"/>
              <w:rPr>
                <w:rFonts w:eastAsia="???"/>
                <w:sz w:val="16"/>
                <w:szCs w:val="16"/>
              </w:rPr>
            </w:pPr>
            <w:r w:rsidRPr="00B93493">
              <w:rPr>
                <w:rFonts w:eastAsia="???"/>
                <w:sz w:val="16"/>
                <w:szCs w:val="16"/>
              </w:rPr>
              <w:t>23.1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51283B" w14:textId="77777777" w:rsidR="00CF04BC" w:rsidRPr="00B93493" w:rsidRDefault="00CF04BC" w:rsidP="002E7F54">
            <w:pPr>
              <w:pStyle w:val="Tabletext"/>
              <w:keepNext/>
              <w:keepLines/>
              <w:ind w:left="-57" w:right="-57"/>
              <w:jc w:val="center"/>
              <w:rPr>
                <w:sz w:val="16"/>
                <w:szCs w:val="16"/>
              </w:rPr>
            </w:pPr>
            <w:r w:rsidRPr="00B93493">
              <w:rPr>
                <w:caps/>
                <w:sz w:val="16"/>
                <w:szCs w:val="16"/>
              </w:rPr>
              <w:t>26.6</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814C27" w14:textId="77777777" w:rsidR="00CF04BC" w:rsidRPr="00B93493" w:rsidRDefault="00CF04BC" w:rsidP="002E7F54">
            <w:pPr>
              <w:pStyle w:val="Tabletext"/>
              <w:keepNext/>
              <w:keepLines/>
              <w:ind w:left="-57" w:right="-57"/>
              <w:jc w:val="center"/>
              <w:rPr>
                <w:sz w:val="16"/>
                <w:szCs w:val="16"/>
              </w:rPr>
            </w:pPr>
            <w:r w:rsidRPr="00B93493">
              <w:rPr>
                <w:sz w:val="16"/>
                <w:szCs w:val="16"/>
              </w:rPr>
              <w:t>30.8</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536383" w14:textId="77777777" w:rsidR="00CF04BC" w:rsidRPr="00B93493" w:rsidRDefault="00CF04BC" w:rsidP="002E7F54">
            <w:pPr>
              <w:pStyle w:val="Tabletext"/>
              <w:keepNext/>
              <w:keepLines/>
              <w:ind w:left="-57" w:right="-57"/>
              <w:jc w:val="center"/>
              <w:rPr>
                <w:sz w:val="16"/>
                <w:szCs w:val="16"/>
              </w:rPr>
            </w:pPr>
            <w:r w:rsidRPr="00B93493">
              <w:rPr>
                <w:sz w:val="16"/>
                <w:szCs w:val="16"/>
              </w:rPr>
              <w:t>35</w:t>
            </w:r>
          </w:p>
        </w:tc>
      </w:tr>
      <w:tr w:rsidR="00CF04BC" w:rsidRPr="00B93493" w14:paraId="245B7D86" w14:textId="77777777" w:rsidTr="002E7F54">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48BCCE" w14:textId="77777777" w:rsidR="00CF04BC" w:rsidRPr="00B93493" w:rsidRDefault="00CF04BC" w:rsidP="002E7F54">
            <w:pPr>
              <w:pStyle w:val="Tabletext"/>
              <w:keepNext/>
              <w:keepLines/>
              <w:ind w:left="-57" w:right="-57"/>
              <w:rPr>
                <w:rFonts w:eastAsia="???"/>
                <w:sz w:val="16"/>
                <w:szCs w:val="16"/>
              </w:rPr>
            </w:pPr>
            <w:r w:rsidRPr="00B93493">
              <w:rPr>
                <w:sz w:val="16"/>
                <w:szCs w:val="16"/>
              </w:rPr>
              <w:t>3~</w:t>
            </w:r>
            <w:r w:rsidRPr="00B93493">
              <w:rPr>
                <w:rFonts w:eastAsia="???"/>
                <w:sz w:val="16"/>
                <w:szCs w:val="16"/>
                <w:lang w:eastAsia="ko-KR"/>
              </w:rPr>
              <w:t xml:space="preserve">10 </w:t>
            </w:r>
            <w:r w:rsidRPr="00B93493">
              <w:rPr>
                <w:rFonts w:eastAsia="???"/>
                <w:sz w:val="16"/>
                <w:szCs w:val="16"/>
              </w:rPr>
              <w:t>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800F9D" w14:textId="77777777" w:rsidR="00CF04BC" w:rsidRPr="00B93493" w:rsidRDefault="00CF04BC" w:rsidP="002E7F54">
            <w:pPr>
              <w:pStyle w:val="Tabletext"/>
              <w:keepNext/>
              <w:keepLines/>
              <w:ind w:left="-57" w:right="-57"/>
              <w:jc w:val="center"/>
              <w:rPr>
                <w:sz w:val="16"/>
                <w:szCs w:val="16"/>
              </w:rPr>
            </w:pPr>
            <w:r w:rsidRPr="00B93493">
              <w:rPr>
                <w:sz w:val="16"/>
                <w:szCs w:val="16"/>
              </w:rPr>
              <w:t>0.</w:t>
            </w:r>
            <w:r w:rsidRPr="00B93493">
              <w:rPr>
                <w:sz w:val="16"/>
                <w:szCs w:val="16"/>
                <w:lang w:eastAsia="ko-KR"/>
              </w:rPr>
              <w:t>2</w:t>
            </w:r>
            <w:r w:rsidRPr="00B93493">
              <w:rPr>
                <w:sz w:val="16"/>
                <w:szCs w:val="16"/>
              </w:rPr>
              <w:t>3</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E3DFA3"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rPr>
              <w:t>0.</w:t>
            </w:r>
            <w:r w:rsidRPr="00B93493">
              <w:rPr>
                <w:sz w:val="16"/>
                <w:szCs w:val="16"/>
                <w:lang w:eastAsia="ko-KR"/>
              </w:rPr>
              <w:t>47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0755BF"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rPr>
              <w:t>0.</w:t>
            </w:r>
            <w:r w:rsidRPr="00B93493">
              <w:rPr>
                <w:sz w:val="16"/>
                <w:szCs w:val="16"/>
                <w:lang w:eastAsia="ko-KR"/>
              </w:rPr>
              <w:t>70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713895"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rPr>
              <w:t>1.</w:t>
            </w:r>
            <w:r w:rsidRPr="00B93493">
              <w:rPr>
                <w:sz w:val="16"/>
                <w:szCs w:val="16"/>
                <w:lang w:eastAsia="ko-KR"/>
              </w:rPr>
              <w:t>17</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948ECF"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1.64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377D82"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rPr>
              <w:t>2.</w:t>
            </w:r>
            <w:r w:rsidRPr="00B93493">
              <w:rPr>
                <w:sz w:val="16"/>
                <w:szCs w:val="16"/>
                <w:lang w:eastAsia="ko-KR"/>
              </w:rPr>
              <w:t>11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D6A3B0" w14:textId="77777777" w:rsidR="00CF04BC" w:rsidRPr="00B93493" w:rsidRDefault="00CF04BC" w:rsidP="002E7F54">
            <w:pPr>
              <w:pStyle w:val="Tabletext"/>
              <w:keepNext/>
              <w:keepLines/>
              <w:ind w:left="-57" w:right="-57"/>
              <w:jc w:val="center"/>
              <w:rPr>
                <w:sz w:val="16"/>
                <w:szCs w:val="16"/>
              </w:rPr>
            </w:pPr>
            <w:r w:rsidRPr="00B93493">
              <w:rPr>
                <w:sz w:val="16"/>
                <w:szCs w:val="16"/>
                <w:lang w:eastAsia="ko-KR"/>
              </w:rPr>
              <w:t>2.81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52915F"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3.51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9FBBB5"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4.45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F0F28F"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5.38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962FB1"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6.55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B067AC"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7.72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863189" w14:textId="77777777" w:rsidR="00CF04BC" w:rsidRPr="00B93493" w:rsidRDefault="00CF04BC" w:rsidP="002E7F54">
            <w:pPr>
              <w:pStyle w:val="Tabletext"/>
              <w:keepNext/>
              <w:keepLines/>
              <w:ind w:left="-57" w:right="-57"/>
              <w:jc w:val="center"/>
              <w:rPr>
                <w:rFonts w:eastAsia="???"/>
                <w:sz w:val="16"/>
                <w:szCs w:val="16"/>
                <w:lang w:eastAsia="ko-KR"/>
              </w:rPr>
            </w:pPr>
            <w:r w:rsidRPr="00B93493">
              <w:rPr>
                <w:rFonts w:eastAsia="???"/>
                <w:sz w:val="16"/>
                <w:szCs w:val="16"/>
                <w:lang w:eastAsia="ko-KR"/>
              </w:rPr>
              <w:t>8.89</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273EF1"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10.3</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A68C27" w14:textId="77777777" w:rsidR="00CF04BC" w:rsidRPr="00B93493" w:rsidRDefault="00CF04BC" w:rsidP="002E7F54">
            <w:pPr>
              <w:pStyle w:val="Tabletext"/>
              <w:keepNext/>
              <w:keepLines/>
              <w:ind w:left="-57" w:right="-57"/>
              <w:jc w:val="center"/>
              <w:rPr>
                <w:sz w:val="16"/>
                <w:szCs w:val="16"/>
                <w:lang w:eastAsia="ko-KR"/>
              </w:rPr>
            </w:pPr>
            <w:r w:rsidRPr="00B93493">
              <w:rPr>
                <w:sz w:val="16"/>
                <w:szCs w:val="16"/>
                <w:lang w:eastAsia="ko-KR"/>
              </w:rPr>
              <w:t>11.7</w:t>
            </w:r>
          </w:p>
        </w:tc>
      </w:tr>
      <w:tr w:rsidR="00CF04BC" w:rsidRPr="00B93493" w14:paraId="1DFBC491" w14:textId="77777777" w:rsidTr="002E7F54">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EB50D9" w14:textId="77777777" w:rsidR="00CF04BC" w:rsidRPr="00B93493" w:rsidRDefault="00CF04BC" w:rsidP="002E7F54">
            <w:pPr>
              <w:pStyle w:val="Tabletext"/>
              <w:ind w:left="-57" w:right="-57"/>
              <w:rPr>
                <w:sz w:val="16"/>
                <w:szCs w:val="16"/>
              </w:rPr>
            </w:pPr>
            <w:r w:rsidRPr="00B93493">
              <w:rPr>
                <w:sz w:val="16"/>
                <w:szCs w:val="16"/>
                <w:lang w:eastAsia="ko-KR"/>
              </w:rPr>
              <w:t>10~30</w:t>
            </w:r>
            <w:r w:rsidRPr="00B93493">
              <w:rPr>
                <w:sz w:val="16"/>
                <w:szCs w:val="16"/>
              </w:rPr>
              <w:t xml:space="preserve"> 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898680" w14:textId="77777777" w:rsidR="00CF04BC" w:rsidRPr="00B93493" w:rsidRDefault="00CF04BC" w:rsidP="002E7F54">
            <w:pPr>
              <w:pStyle w:val="Tabletext"/>
              <w:ind w:left="-57" w:right="-57"/>
              <w:jc w:val="center"/>
              <w:rPr>
                <w:sz w:val="16"/>
                <w:szCs w:val="16"/>
                <w:lang w:eastAsia="ko-KR"/>
              </w:rPr>
            </w:pPr>
            <w:r w:rsidRPr="00B93493">
              <w:rPr>
                <w:sz w:val="16"/>
                <w:szCs w:val="16"/>
              </w:rPr>
              <w:t>0.</w:t>
            </w:r>
            <w:r w:rsidRPr="00B93493">
              <w:rPr>
                <w:sz w:val="16"/>
                <w:szCs w:val="16"/>
                <w:lang w:eastAsia="ko-KR"/>
              </w:rPr>
              <w:t>03</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9A507" w14:textId="77777777" w:rsidR="00CF04BC" w:rsidRPr="00B93493" w:rsidRDefault="00CF04BC" w:rsidP="002E7F54">
            <w:pPr>
              <w:pStyle w:val="Tabletext"/>
              <w:ind w:left="-57" w:right="-57"/>
              <w:jc w:val="center"/>
              <w:rPr>
                <w:sz w:val="16"/>
                <w:szCs w:val="16"/>
                <w:lang w:eastAsia="ko-KR"/>
              </w:rPr>
            </w:pPr>
            <w:r w:rsidRPr="00B93493">
              <w:rPr>
                <w:sz w:val="16"/>
                <w:szCs w:val="16"/>
              </w:rPr>
              <w:t>0.</w:t>
            </w:r>
            <w:r w:rsidRPr="00B93493">
              <w:rPr>
                <w:sz w:val="16"/>
                <w:szCs w:val="16"/>
                <w:lang w:eastAsia="ko-KR"/>
              </w:rPr>
              <w:t>07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3CF726" w14:textId="77777777" w:rsidR="00CF04BC" w:rsidRPr="00B93493" w:rsidRDefault="00CF04BC" w:rsidP="002E7F54">
            <w:pPr>
              <w:pStyle w:val="Tabletext"/>
              <w:ind w:left="-57" w:right="-57"/>
              <w:jc w:val="center"/>
              <w:rPr>
                <w:sz w:val="16"/>
                <w:szCs w:val="16"/>
                <w:lang w:eastAsia="ko-KR"/>
              </w:rPr>
            </w:pPr>
            <w:r w:rsidRPr="00B93493">
              <w:rPr>
                <w:sz w:val="16"/>
                <w:szCs w:val="16"/>
              </w:rPr>
              <w:t>0.</w:t>
            </w:r>
            <w:r w:rsidRPr="00B93493">
              <w:rPr>
                <w:sz w:val="16"/>
                <w:szCs w:val="16"/>
                <w:lang w:eastAsia="ko-KR"/>
              </w:rPr>
              <w:t>10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26571"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0.17</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5A6476"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0.24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CCD67C" w14:textId="77777777" w:rsidR="00CF04BC" w:rsidRPr="00B93493" w:rsidRDefault="00CF04BC" w:rsidP="002E7F54">
            <w:pPr>
              <w:pStyle w:val="Tabletext"/>
              <w:ind w:left="-57" w:right="-57"/>
              <w:jc w:val="center"/>
              <w:rPr>
                <w:sz w:val="16"/>
                <w:szCs w:val="16"/>
              </w:rPr>
            </w:pPr>
            <w:r w:rsidRPr="00B93493">
              <w:rPr>
                <w:sz w:val="16"/>
                <w:szCs w:val="16"/>
                <w:lang w:eastAsia="ko-KR"/>
              </w:rPr>
              <w:t>0.31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D4829" w14:textId="77777777" w:rsidR="00CF04BC" w:rsidRPr="00B93493" w:rsidRDefault="00CF04BC" w:rsidP="002E7F54">
            <w:pPr>
              <w:pStyle w:val="Tabletext"/>
              <w:ind w:left="-57" w:right="-57"/>
              <w:jc w:val="center"/>
              <w:rPr>
                <w:sz w:val="16"/>
                <w:szCs w:val="16"/>
              </w:rPr>
            </w:pPr>
            <w:r w:rsidRPr="00B93493">
              <w:rPr>
                <w:sz w:val="16"/>
                <w:szCs w:val="16"/>
                <w:lang w:eastAsia="ko-KR"/>
              </w:rPr>
              <w:t>0.41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D62311"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0.51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0BF24E" w14:textId="77777777" w:rsidR="00CF04BC" w:rsidRPr="00B93493" w:rsidRDefault="00CF04BC" w:rsidP="002E7F54">
            <w:pPr>
              <w:pStyle w:val="Tabletext"/>
              <w:ind w:left="-57" w:right="-57"/>
              <w:jc w:val="center"/>
              <w:rPr>
                <w:sz w:val="16"/>
                <w:szCs w:val="16"/>
                <w:lang w:eastAsia="ko-KR"/>
              </w:rPr>
            </w:pPr>
            <w:r w:rsidRPr="00B93493">
              <w:rPr>
                <w:caps/>
                <w:sz w:val="16"/>
                <w:szCs w:val="16"/>
                <w:lang w:eastAsia="ko-KR"/>
              </w:rPr>
              <w:t>0.65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B7DD8"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0.78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F78356"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0.95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6591A"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1.12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4512A4"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1.29</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E8C909"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1.50</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754599"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1.7</w:t>
            </w:r>
          </w:p>
        </w:tc>
      </w:tr>
      <w:tr w:rsidR="00CF04BC" w:rsidRPr="00B93493" w14:paraId="7A53980C" w14:textId="77777777" w:rsidTr="002E7F54">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B0BB2D" w14:textId="77777777" w:rsidR="00CF04BC" w:rsidRPr="00B93493" w:rsidRDefault="00CF04BC" w:rsidP="002E7F54">
            <w:pPr>
              <w:pStyle w:val="Tabletext"/>
              <w:ind w:left="-57" w:right="-57"/>
              <w:rPr>
                <w:sz w:val="16"/>
                <w:szCs w:val="16"/>
                <w:lang w:eastAsia="ko-KR"/>
              </w:rPr>
            </w:pPr>
            <w:r w:rsidRPr="00B93493">
              <w:rPr>
                <w:sz w:val="16"/>
                <w:szCs w:val="16"/>
                <w:lang w:eastAsia="ko-KR"/>
              </w:rPr>
              <w:t>&gt; 30 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0998A5"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0.004</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31CFFA"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0.008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048215"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0.012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FF5EC9"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E401EF"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0.028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2B2183"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0.036</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B189D0"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0.048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00C7A1"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0.06</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F747E0" w14:textId="77777777" w:rsidR="00CF04BC" w:rsidRPr="00B93493" w:rsidRDefault="00CF04BC" w:rsidP="002E7F54">
            <w:pPr>
              <w:pStyle w:val="Tabletext"/>
              <w:ind w:left="-57" w:right="-57"/>
              <w:jc w:val="center"/>
              <w:rPr>
                <w:caps/>
                <w:sz w:val="16"/>
                <w:szCs w:val="16"/>
                <w:lang w:eastAsia="ko-KR"/>
              </w:rPr>
            </w:pPr>
            <w:r w:rsidRPr="00B93493">
              <w:rPr>
                <w:caps/>
                <w:sz w:val="16"/>
                <w:szCs w:val="16"/>
                <w:lang w:eastAsia="ko-KR"/>
              </w:rPr>
              <w:t>0.076</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8D34CA"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0.092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2F101C"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0.112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89DD35"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0.132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82EB1"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0.152</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4207A"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0.176</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EE2E8" w14:textId="77777777" w:rsidR="00CF04BC" w:rsidRPr="00B93493" w:rsidRDefault="00CF04BC" w:rsidP="002E7F54">
            <w:pPr>
              <w:pStyle w:val="Tabletext"/>
              <w:ind w:left="-57" w:right="-57"/>
              <w:jc w:val="center"/>
              <w:rPr>
                <w:sz w:val="16"/>
                <w:szCs w:val="16"/>
                <w:lang w:eastAsia="ko-KR"/>
              </w:rPr>
            </w:pPr>
            <w:r w:rsidRPr="00B93493">
              <w:rPr>
                <w:sz w:val="16"/>
                <w:szCs w:val="16"/>
                <w:lang w:eastAsia="ko-KR"/>
              </w:rPr>
              <w:t>0.2</w:t>
            </w:r>
          </w:p>
        </w:tc>
      </w:tr>
    </w:tbl>
    <w:p w14:paraId="73FD0648" w14:textId="77777777" w:rsidR="00CF04BC" w:rsidRPr="00B93493" w:rsidRDefault="00CF04BC" w:rsidP="00CF04BC">
      <w:pPr>
        <w:pStyle w:val="Tablefin"/>
      </w:pPr>
    </w:p>
    <w:p w14:paraId="4CE6F729" w14:textId="77777777" w:rsidR="00CF04BC" w:rsidRPr="00B93493" w:rsidRDefault="00CF04BC" w:rsidP="00CF04BC">
      <w:pPr>
        <w:pStyle w:val="Note"/>
      </w:pPr>
      <w:r w:rsidRPr="00B93493">
        <w:t>NOTE 1 – If</w:t>
      </w:r>
      <w:r w:rsidRPr="00B93493">
        <w:rPr>
          <w:lang w:eastAsia="ko-KR"/>
        </w:rPr>
        <w:t xml:space="preserve"> analogue technology is used</w:t>
      </w:r>
      <w:r w:rsidRPr="00B93493">
        <w:t>, the fee is tripled</w:t>
      </w:r>
      <w:r w:rsidRPr="00B93493">
        <w:rPr>
          <w:lang w:eastAsia="ko-KR"/>
        </w:rPr>
        <w:t xml:space="preserve"> by spectrum usage factor for the land mobile service</w:t>
      </w:r>
      <w:r w:rsidRPr="00B93493">
        <w:t>.</w:t>
      </w:r>
    </w:p>
    <w:p w14:paraId="53A4B53D" w14:textId="77777777" w:rsidR="00CF04BC" w:rsidRDefault="00CF04BC" w:rsidP="00CF04BC">
      <w:pPr>
        <w:spacing w:after="120"/>
        <w:rPr>
          <w:lang w:eastAsia="ko-KR"/>
        </w:rPr>
      </w:pPr>
      <w:r w:rsidRPr="00B93493">
        <w:t>Service factor</w:t>
      </w:r>
      <w:r w:rsidRPr="00B93493">
        <w:rPr>
          <w:lang w:eastAsia="ko-KR"/>
        </w:rPr>
        <w:t xml:space="preserve">, </w:t>
      </w:r>
      <w:r w:rsidRPr="00B93493">
        <w:rPr>
          <w:i/>
          <w:iCs/>
          <w:lang w:eastAsia="ko-KR"/>
        </w:rPr>
        <w:t>S</w:t>
      </w:r>
      <w:r w:rsidRPr="00B93493">
        <w:rPr>
          <w:i/>
          <w:iCs/>
          <w:vertAlign w:val="subscript"/>
          <w:lang w:eastAsia="ko-KR"/>
        </w:rPr>
        <w:t>f</w:t>
      </w:r>
      <w:r w:rsidRPr="00B93493">
        <w:rPr>
          <w:lang w:eastAsia="ko-KR"/>
        </w:rPr>
        <w:t xml:space="preserve"> : </w:t>
      </w:r>
    </w:p>
    <w:p w14:paraId="70C9BABA" w14:textId="77777777" w:rsidR="00CF04BC" w:rsidRPr="00216068" w:rsidRDefault="00CF04BC" w:rsidP="00CF04BC">
      <w:pPr>
        <w:pStyle w:val="TableNo"/>
        <w:rPr>
          <w:b/>
          <w:lang w:eastAsia="zh-CN"/>
        </w:rPr>
      </w:pPr>
      <w:r w:rsidRPr="00B93493">
        <w:t xml:space="preserve">TABLE </w:t>
      </w:r>
      <w:r>
        <w:rPr>
          <w:rFonts w:hint="eastAsia"/>
          <w:lang w:eastAsia="zh-CN"/>
        </w:rPr>
        <w:t>42</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4A0" w:firstRow="1" w:lastRow="0" w:firstColumn="1" w:lastColumn="0" w:noHBand="0" w:noVBand="1"/>
      </w:tblPr>
      <w:tblGrid>
        <w:gridCol w:w="7075"/>
        <w:gridCol w:w="2554"/>
      </w:tblGrid>
      <w:tr w:rsidR="00CF04BC" w:rsidRPr="00B93493" w14:paraId="585AFAE9" w14:textId="77777777" w:rsidTr="002E7F54">
        <w:trPr>
          <w:jc w:val="center"/>
        </w:trPr>
        <w:tc>
          <w:tcPr>
            <w:tcW w:w="3674"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60D5C0C" w14:textId="77777777" w:rsidR="00CF04BC" w:rsidRPr="00B93493" w:rsidRDefault="00CF04BC" w:rsidP="002E7F54">
            <w:pPr>
              <w:pStyle w:val="Tablehead"/>
            </w:pPr>
            <w:r w:rsidRPr="00B93493">
              <w:t>Radio stations</w:t>
            </w:r>
          </w:p>
        </w:tc>
        <w:tc>
          <w:tcPr>
            <w:tcW w:w="1326"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4990F02E" w14:textId="77777777" w:rsidR="00CF04BC" w:rsidRPr="00B93493" w:rsidRDefault="00CF04BC" w:rsidP="002E7F54">
            <w:pPr>
              <w:pStyle w:val="Tablehead"/>
            </w:pPr>
            <w:r w:rsidRPr="00B93493">
              <w:t>Factors</w:t>
            </w:r>
          </w:p>
        </w:tc>
      </w:tr>
      <w:tr w:rsidR="00CF04BC" w:rsidRPr="00B93493" w14:paraId="04A9E110" w14:textId="77777777" w:rsidTr="002E7F54">
        <w:trPr>
          <w:cantSplit/>
          <w:jc w:val="center"/>
        </w:trPr>
        <w:tc>
          <w:tcPr>
            <w:tcW w:w="3674"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3558B38F" w14:textId="77777777" w:rsidR="00CF04BC" w:rsidRPr="00B93493" w:rsidRDefault="00CF04BC" w:rsidP="002E7F54">
            <w:pPr>
              <w:pStyle w:val="Tabletext"/>
            </w:pPr>
            <w:r w:rsidRPr="00B93493">
              <w:t>Fixed stations:</w:t>
            </w:r>
          </w:p>
          <w:p w14:paraId="26ED328B" w14:textId="77777777" w:rsidR="00CF04BC" w:rsidRPr="00B93493" w:rsidRDefault="00CF04BC" w:rsidP="002E7F54">
            <w:pPr>
              <w:pStyle w:val="Tabletext"/>
              <w:rPr>
                <w:lang w:eastAsia="ko-KR"/>
              </w:rPr>
            </w:pPr>
            <w:r w:rsidRPr="00B93493">
              <w:t>–</w:t>
            </w:r>
            <w:r w:rsidRPr="00B93493">
              <w:tab/>
              <w:t>for microwave</w:t>
            </w:r>
            <w:r w:rsidRPr="00B93493">
              <w:rPr>
                <w:lang w:eastAsia="ko-KR"/>
              </w:rPr>
              <w:t xml:space="preserve"> link</w:t>
            </w:r>
          </w:p>
          <w:p w14:paraId="74B8BDCF" w14:textId="77777777" w:rsidR="00CF04BC" w:rsidRPr="00B93493" w:rsidRDefault="00CF04BC" w:rsidP="002E7F54">
            <w:pPr>
              <w:pStyle w:val="Tabletext"/>
            </w:pPr>
            <w:r w:rsidRPr="00B93493">
              <w:t>–</w:t>
            </w:r>
            <w:r w:rsidRPr="00B93493">
              <w:tab/>
              <w:t xml:space="preserve">for </w:t>
            </w:r>
            <w:r w:rsidRPr="00B93493">
              <w:rPr>
                <w:lang w:eastAsia="ko-KR"/>
              </w:rPr>
              <w:t>local loop</w:t>
            </w:r>
          </w:p>
          <w:p w14:paraId="6E569AB1" w14:textId="77777777" w:rsidR="00CF04BC" w:rsidRPr="00B93493" w:rsidRDefault="00CF04BC" w:rsidP="002E7F54">
            <w:pPr>
              <w:pStyle w:val="Tabletext"/>
            </w:pPr>
            <w:r w:rsidRPr="00B93493">
              <w:t>–</w:t>
            </w:r>
            <w:r w:rsidRPr="00B93493">
              <w:tab/>
              <w:t>for communications with islands</w:t>
            </w:r>
          </w:p>
          <w:p w14:paraId="0B79791B" w14:textId="77777777" w:rsidR="00CF04BC" w:rsidRPr="00B93493" w:rsidRDefault="00CF04BC" w:rsidP="002E7F54">
            <w:pPr>
              <w:pStyle w:val="Tabletext"/>
            </w:pPr>
            <w:r w:rsidRPr="00B93493">
              <w:t>–</w:t>
            </w:r>
            <w:r w:rsidRPr="00B93493">
              <w:tab/>
            </w:r>
            <w:r w:rsidRPr="00B93493">
              <w:rPr>
                <w:lang w:eastAsia="ko-KR"/>
              </w:rPr>
              <w:t>for other applications</w:t>
            </w:r>
          </w:p>
        </w:tc>
        <w:tc>
          <w:tcPr>
            <w:tcW w:w="1326"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4E27BD93" w14:textId="77777777" w:rsidR="00CF04BC" w:rsidRPr="00B93493" w:rsidRDefault="00CF04BC" w:rsidP="002E7F54">
            <w:pPr>
              <w:pStyle w:val="Tabletext"/>
              <w:jc w:val="center"/>
            </w:pPr>
          </w:p>
          <w:p w14:paraId="65A09627" w14:textId="77777777" w:rsidR="00CF04BC" w:rsidRPr="00B93493" w:rsidRDefault="00CF04BC" w:rsidP="002E7F54">
            <w:pPr>
              <w:pStyle w:val="Tabletext"/>
              <w:jc w:val="center"/>
            </w:pPr>
            <w:r w:rsidRPr="00B93493">
              <w:t>0.5</w:t>
            </w:r>
          </w:p>
          <w:p w14:paraId="5CAD49A2" w14:textId="77777777" w:rsidR="00CF04BC" w:rsidRPr="00B93493" w:rsidRDefault="00CF04BC" w:rsidP="002E7F54">
            <w:pPr>
              <w:pStyle w:val="Tabletext"/>
              <w:jc w:val="center"/>
            </w:pPr>
            <w:r w:rsidRPr="00B93493">
              <w:t>0.25</w:t>
            </w:r>
          </w:p>
          <w:p w14:paraId="7EEEA22A" w14:textId="77777777" w:rsidR="00CF04BC" w:rsidRPr="00B93493" w:rsidRDefault="00CF04BC" w:rsidP="002E7F54">
            <w:pPr>
              <w:pStyle w:val="Tabletext"/>
              <w:jc w:val="center"/>
            </w:pPr>
            <w:r w:rsidRPr="00B93493">
              <w:t>0.05</w:t>
            </w:r>
          </w:p>
          <w:p w14:paraId="23D02F0E" w14:textId="77777777" w:rsidR="00CF04BC" w:rsidRPr="00B93493" w:rsidRDefault="00CF04BC" w:rsidP="002E7F54">
            <w:pPr>
              <w:pStyle w:val="Tabletext"/>
              <w:jc w:val="center"/>
            </w:pPr>
            <w:r w:rsidRPr="00B93493">
              <w:t>1</w:t>
            </w:r>
          </w:p>
        </w:tc>
      </w:tr>
      <w:tr w:rsidR="00CF04BC" w:rsidRPr="00B93493" w14:paraId="69CD5D77" w14:textId="77777777" w:rsidTr="002E7F54">
        <w:trPr>
          <w:cantSplit/>
          <w:jc w:val="center"/>
        </w:trPr>
        <w:tc>
          <w:tcPr>
            <w:tcW w:w="3674"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42BE667" w14:textId="77777777" w:rsidR="00CF04BC" w:rsidRPr="00B93493" w:rsidRDefault="00CF04BC" w:rsidP="002E7F54">
            <w:pPr>
              <w:pStyle w:val="Tabletext"/>
              <w:rPr>
                <w:lang w:eastAsia="ko-KR"/>
              </w:rPr>
            </w:pPr>
            <w:r w:rsidRPr="00B93493">
              <w:rPr>
                <w:lang w:eastAsia="ko-KR"/>
              </w:rPr>
              <w:t>Relay station for satellite broadcasting</w:t>
            </w:r>
          </w:p>
        </w:tc>
        <w:tc>
          <w:tcPr>
            <w:tcW w:w="1326"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2332AAC0" w14:textId="77777777" w:rsidR="00CF04BC" w:rsidRPr="00B93493" w:rsidRDefault="00CF04BC" w:rsidP="002E7F54">
            <w:pPr>
              <w:pStyle w:val="Tabletext"/>
              <w:jc w:val="center"/>
              <w:rPr>
                <w:lang w:eastAsia="ko-KR"/>
              </w:rPr>
            </w:pPr>
            <w:r w:rsidRPr="00B93493">
              <w:rPr>
                <w:lang w:eastAsia="ko-KR"/>
              </w:rPr>
              <w:t>0.03</w:t>
            </w:r>
          </w:p>
        </w:tc>
      </w:tr>
      <w:tr w:rsidR="00CF04BC" w:rsidRPr="00B93493" w14:paraId="297DE066" w14:textId="77777777" w:rsidTr="002E7F54">
        <w:trPr>
          <w:cantSplit/>
          <w:jc w:val="center"/>
        </w:trPr>
        <w:tc>
          <w:tcPr>
            <w:tcW w:w="3674"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68796A5" w14:textId="77777777" w:rsidR="00CF04BC" w:rsidRPr="00B93493" w:rsidRDefault="00CF04BC" w:rsidP="002E7F54">
            <w:pPr>
              <w:pStyle w:val="Tabletext"/>
              <w:rPr>
                <w:lang w:eastAsia="ko-KR"/>
              </w:rPr>
            </w:pPr>
            <w:r w:rsidRPr="00B93493">
              <w:rPr>
                <w:lang w:eastAsia="ko-KR"/>
              </w:rPr>
              <w:t>Stations using integrated public network frequency, exclusively</w:t>
            </w:r>
          </w:p>
        </w:tc>
        <w:tc>
          <w:tcPr>
            <w:tcW w:w="1326"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AAAE773" w14:textId="77777777" w:rsidR="00CF04BC" w:rsidRPr="00B93493" w:rsidRDefault="00CF04BC" w:rsidP="002E7F54">
            <w:pPr>
              <w:pStyle w:val="Tabletext"/>
              <w:jc w:val="center"/>
              <w:rPr>
                <w:lang w:eastAsia="ko-KR"/>
              </w:rPr>
            </w:pPr>
            <w:r w:rsidRPr="00B93493">
              <w:rPr>
                <w:lang w:eastAsia="ko-KR"/>
              </w:rPr>
              <w:t>0.012</w:t>
            </w:r>
          </w:p>
        </w:tc>
      </w:tr>
      <w:tr w:rsidR="00CF04BC" w:rsidRPr="00B93493" w14:paraId="7629F77E" w14:textId="77777777" w:rsidTr="002E7F54">
        <w:trPr>
          <w:cantSplit/>
          <w:jc w:val="center"/>
        </w:trPr>
        <w:tc>
          <w:tcPr>
            <w:tcW w:w="3674"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5D1676AE" w14:textId="77777777" w:rsidR="00CF04BC" w:rsidRPr="00B93493" w:rsidRDefault="00CF04BC" w:rsidP="002E7F54">
            <w:pPr>
              <w:pStyle w:val="Tabletext"/>
            </w:pPr>
            <w:r w:rsidRPr="00B93493">
              <w:t xml:space="preserve">Other </w:t>
            </w:r>
            <w:r w:rsidRPr="00B93493">
              <w:rPr>
                <w:lang w:eastAsia="ko-KR"/>
              </w:rPr>
              <w:t>stations</w:t>
            </w:r>
          </w:p>
        </w:tc>
        <w:tc>
          <w:tcPr>
            <w:tcW w:w="1326"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41D3D1F2" w14:textId="77777777" w:rsidR="00CF04BC" w:rsidRPr="00B93493" w:rsidRDefault="00CF04BC" w:rsidP="002E7F54">
            <w:pPr>
              <w:pStyle w:val="Tabletext"/>
              <w:jc w:val="center"/>
            </w:pPr>
            <w:r w:rsidRPr="00B93493">
              <w:t>1</w:t>
            </w:r>
          </w:p>
        </w:tc>
      </w:tr>
    </w:tbl>
    <w:p w14:paraId="4308A106" w14:textId="77777777" w:rsidR="00CF04BC" w:rsidRDefault="00CF04BC" w:rsidP="00CF04BC">
      <w:pPr>
        <w:keepNext/>
        <w:keepLines/>
        <w:spacing w:after="120"/>
        <w:rPr>
          <w:lang w:eastAsia="ko-KR"/>
        </w:rPr>
      </w:pPr>
      <w:r w:rsidRPr="00B93493">
        <w:rPr>
          <w:lang w:eastAsia="ko-KR"/>
        </w:rPr>
        <w:t>The fee-waiver factors of facility sharing and</w:t>
      </w:r>
      <w:r w:rsidRPr="00B93493">
        <w:rPr>
          <w:rFonts w:ascii="Batang" w:hAnsi="Batang"/>
          <w:lang w:eastAsia="ko-KR"/>
        </w:rPr>
        <w:t xml:space="preserve"> </w:t>
      </w:r>
      <w:r w:rsidRPr="00B93493">
        <w:rPr>
          <w:lang w:eastAsia="ko-KR"/>
        </w:rPr>
        <w:t>eco-friendly:</w:t>
      </w:r>
    </w:p>
    <w:p w14:paraId="3D162D96" w14:textId="77777777" w:rsidR="00CF04BC" w:rsidRPr="00216068" w:rsidRDefault="00CF04BC" w:rsidP="00CF04BC">
      <w:pPr>
        <w:pStyle w:val="TableNo"/>
        <w:rPr>
          <w:b/>
          <w:lang w:eastAsia="zh-CN"/>
        </w:rPr>
      </w:pPr>
      <w:r w:rsidRPr="00B93493">
        <w:t xml:space="preserve">TABLE </w:t>
      </w:r>
      <w:r>
        <w:rPr>
          <w:rFonts w:hint="eastAsia"/>
          <w:lang w:eastAsia="zh-CN"/>
        </w:rPr>
        <w:t>43</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1"/>
        <w:gridCol w:w="641"/>
        <w:gridCol w:w="821"/>
        <w:gridCol w:w="822"/>
        <w:gridCol w:w="822"/>
        <w:gridCol w:w="822"/>
        <w:gridCol w:w="822"/>
        <w:gridCol w:w="822"/>
        <w:gridCol w:w="822"/>
        <w:gridCol w:w="822"/>
        <w:gridCol w:w="642"/>
      </w:tblGrid>
      <w:tr w:rsidR="00CF04BC" w:rsidRPr="00B93493" w14:paraId="24628629" w14:textId="77777777" w:rsidTr="002E7F54">
        <w:trPr>
          <w:jc w:val="center"/>
        </w:trPr>
        <w:tc>
          <w:tcPr>
            <w:tcW w:w="1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DF9522" w14:textId="77777777" w:rsidR="00CF04BC" w:rsidRPr="00B93493" w:rsidRDefault="00CF04BC" w:rsidP="00C65E6B">
            <w:pPr>
              <w:pStyle w:val="Tabletext"/>
              <w:jc w:val="left"/>
              <w:rPr>
                <w:lang w:eastAsia="ko-KR"/>
              </w:rPr>
            </w:pPr>
            <w:r w:rsidRPr="00B93493">
              <w:rPr>
                <w:lang w:eastAsia="ko-KR"/>
              </w:rPr>
              <w:t>Facility sharing ratio and roaming ratio (%)</w:t>
            </w:r>
          </w:p>
        </w:tc>
        <w:tc>
          <w:tcPr>
            <w:tcW w:w="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68F153" w14:textId="77777777" w:rsidR="00CF04BC" w:rsidRPr="00B93493" w:rsidRDefault="00CF04BC" w:rsidP="002E7F54">
            <w:pPr>
              <w:pStyle w:val="Tabletext"/>
              <w:jc w:val="center"/>
              <w:rPr>
                <w:lang w:eastAsia="ko-KR"/>
              </w:rPr>
            </w:pPr>
            <w:r w:rsidRPr="00B93493">
              <w:rPr>
                <w:lang w:eastAsia="ko-KR"/>
              </w:rPr>
              <w:t>&lt;10</w:t>
            </w:r>
          </w:p>
        </w:tc>
        <w:tc>
          <w:tcPr>
            <w:tcW w:w="8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ECAEE" w14:textId="77777777" w:rsidR="00CF04BC" w:rsidRPr="00B93493" w:rsidRDefault="00CF04BC" w:rsidP="002E7F54">
            <w:pPr>
              <w:pStyle w:val="Tabletext"/>
              <w:jc w:val="center"/>
              <w:rPr>
                <w:lang w:eastAsia="ko-KR"/>
              </w:rPr>
            </w:pPr>
            <w:r w:rsidRPr="00B93493">
              <w:rPr>
                <w:lang w:eastAsia="ko-KR"/>
              </w:rPr>
              <w:t>10~20</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BD4C4" w14:textId="77777777" w:rsidR="00CF04BC" w:rsidRPr="00B93493" w:rsidRDefault="00CF04BC" w:rsidP="002E7F54">
            <w:pPr>
              <w:pStyle w:val="Tabletext"/>
              <w:jc w:val="center"/>
              <w:rPr>
                <w:lang w:eastAsia="ko-KR"/>
              </w:rPr>
            </w:pPr>
            <w:r w:rsidRPr="00B93493">
              <w:rPr>
                <w:lang w:eastAsia="ko-KR"/>
              </w:rPr>
              <w:t>20~30</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DE47E8" w14:textId="77777777" w:rsidR="00CF04BC" w:rsidRPr="00B93493" w:rsidRDefault="00CF04BC" w:rsidP="002E7F54">
            <w:pPr>
              <w:pStyle w:val="Tabletext"/>
              <w:jc w:val="center"/>
              <w:rPr>
                <w:lang w:eastAsia="ko-KR"/>
              </w:rPr>
            </w:pPr>
            <w:r w:rsidRPr="00B93493">
              <w:rPr>
                <w:lang w:eastAsia="ko-KR"/>
              </w:rPr>
              <w:t>30~40</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796DEA" w14:textId="77777777" w:rsidR="00CF04BC" w:rsidRPr="00B93493" w:rsidRDefault="00CF04BC" w:rsidP="002E7F54">
            <w:pPr>
              <w:pStyle w:val="Tabletext"/>
              <w:jc w:val="center"/>
              <w:rPr>
                <w:lang w:eastAsia="ko-KR"/>
              </w:rPr>
            </w:pPr>
            <w:r w:rsidRPr="00B93493">
              <w:rPr>
                <w:lang w:eastAsia="ko-KR"/>
              </w:rPr>
              <w:t>40~45</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7A93A9" w14:textId="77777777" w:rsidR="00CF04BC" w:rsidRPr="00B93493" w:rsidRDefault="00CF04BC" w:rsidP="002E7F54">
            <w:pPr>
              <w:pStyle w:val="Tabletext"/>
              <w:jc w:val="center"/>
              <w:rPr>
                <w:lang w:eastAsia="ko-KR"/>
              </w:rPr>
            </w:pPr>
            <w:r w:rsidRPr="00B93493">
              <w:rPr>
                <w:lang w:eastAsia="ko-KR"/>
              </w:rPr>
              <w:t>45~50</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7F7237" w14:textId="77777777" w:rsidR="00CF04BC" w:rsidRPr="00B93493" w:rsidRDefault="00CF04BC" w:rsidP="002E7F54">
            <w:pPr>
              <w:pStyle w:val="Tabletext"/>
              <w:jc w:val="center"/>
              <w:rPr>
                <w:lang w:eastAsia="ko-KR"/>
              </w:rPr>
            </w:pPr>
            <w:r w:rsidRPr="00B93493">
              <w:rPr>
                <w:lang w:eastAsia="ko-KR"/>
              </w:rPr>
              <w:t>50~55</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4D8E2E" w14:textId="77777777" w:rsidR="00CF04BC" w:rsidRPr="00B93493" w:rsidRDefault="00CF04BC" w:rsidP="002E7F54">
            <w:pPr>
              <w:pStyle w:val="Tabletext"/>
              <w:jc w:val="center"/>
              <w:rPr>
                <w:lang w:eastAsia="ko-KR"/>
              </w:rPr>
            </w:pPr>
            <w:r w:rsidRPr="00B93493">
              <w:rPr>
                <w:lang w:eastAsia="ko-KR"/>
              </w:rPr>
              <w:t>55~60</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54719F" w14:textId="77777777" w:rsidR="00CF04BC" w:rsidRPr="00B93493" w:rsidRDefault="00CF04BC" w:rsidP="002E7F54">
            <w:pPr>
              <w:pStyle w:val="Tabletext"/>
              <w:jc w:val="center"/>
              <w:rPr>
                <w:lang w:eastAsia="ko-KR"/>
              </w:rPr>
            </w:pPr>
            <w:r w:rsidRPr="00B93493">
              <w:rPr>
                <w:lang w:eastAsia="ko-KR"/>
              </w:rPr>
              <w:t>60~70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97C4B7" w14:textId="77777777" w:rsidR="00CF04BC" w:rsidRPr="00B93493" w:rsidRDefault="00CF04BC" w:rsidP="002E7F54">
            <w:pPr>
              <w:pStyle w:val="Tabletext"/>
              <w:jc w:val="center"/>
              <w:rPr>
                <w:lang w:eastAsia="ko-KR"/>
              </w:rPr>
            </w:pPr>
            <w:r w:rsidRPr="00B93493">
              <w:rPr>
                <w:lang w:eastAsia="ko-KR"/>
              </w:rPr>
              <w:t>&gt;70</w:t>
            </w:r>
          </w:p>
        </w:tc>
      </w:tr>
      <w:tr w:rsidR="00CF04BC" w:rsidRPr="00B93493" w14:paraId="197280A2" w14:textId="77777777" w:rsidTr="002E7F54">
        <w:trPr>
          <w:jc w:val="center"/>
        </w:trPr>
        <w:tc>
          <w:tcPr>
            <w:tcW w:w="1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C19906" w14:textId="77777777" w:rsidR="00CF04BC" w:rsidRPr="00B93493" w:rsidRDefault="00CF04BC" w:rsidP="00C65E6B">
            <w:pPr>
              <w:pStyle w:val="Tabletext"/>
              <w:jc w:val="left"/>
              <w:rPr>
                <w:lang w:eastAsia="ko-KR"/>
              </w:rPr>
            </w:pPr>
            <w:r w:rsidRPr="00B93493">
              <w:rPr>
                <w:lang w:eastAsia="ko-KR"/>
              </w:rPr>
              <w:t>Facility sharing fee-waiver factor</w:t>
            </w:r>
          </w:p>
        </w:tc>
        <w:tc>
          <w:tcPr>
            <w:tcW w:w="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187BFC" w14:textId="77777777" w:rsidR="00CF04BC" w:rsidRPr="00B93493" w:rsidRDefault="00CF04BC" w:rsidP="002E7F54">
            <w:pPr>
              <w:pStyle w:val="Tabletext"/>
              <w:jc w:val="center"/>
              <w:rPr>
                <w:lang w:eastAsia="ko-KR"/>
              </w:rPr>
            </w:pPr>
            <w:r w:rsidRPr="00B93493">
              <w:rPr>
                <w:lang w:eastAsia="ko-KR"/>
              </w:rPr>
              <w:t>0.01</w:t>
            </w:r>
          </w:p>
        </w:tc>
        <w:tc>
          <w:tcPr>
            <w:tcW w:w="8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592F51" w14:textId="77777777" w:rsidR="00CF04BC" w:rsidRPr="00B93493" w:rsidRDefault="00CF04BC" w:rsidP="002E7F54">
            <w:pPr>
              <w:pStyle w:val="Tabletext"/>
              <w:jc w:val="center"/>
              <w:rPr>
                <w:lang w:eastAsia="ko-KR"/>
              </w:rPr>
            </w:pPr>
            <w:r w:rsidRPr="00B93493">
              <w:rPr>
                <w:lang w:eastAsia="ko-KR"/>
              </w:rPr>
              <w:t>0.02</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78F5D1" w14:textId="77777777" w:rsidR="00CF04BC" w:rsidRPr="00B93493" w:rsidRDefault="00CF04BC" w:rsidP="002E7F54">
            <w:pPr>
              <w:pStyle w:val="Tabletext"/>
              <w:jc w:val="center"/>
              <w:rPr>
                <w:lang w:eastAsia="ko-KR"/>
              </w:rPr>
            </w:pPr>
            <w:r w:rsidRPr="00B93493">
              <w:rPr>
                <w:lang w:eastAsia="ko-KR"/>
              </w:rPr>
              <w:t>0.03</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7B2006" w14:textId="77777777" w:rsidR="00CF04BC" w:rsidRPr="00B93493" w:rsidRDefault="00CF04BC" w:rsidP="002E7F54">
            <w:pPr>
              <w:pStyle w:val="Tabletext"/>
              <w:jc w:val="center"/>
              <w:rPr>
                <w:lang w:eastAsia="ko-KR"/>
              </w:rPr>
            </w:pPr>
            <w:r w:rsidRPr="00B93493">
              <w:rPr>
                <w:lang w:eastAsia="ko-KR"/>
              </w:rPr>
              <w:t>0.04</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8882DD" w14:textId="77777777" w:rsidR="00CF04BC" w:rsidRPr="00B93493" w:rsidRDefault="00CF04BC" w:rsidP="002E7F54">
            <w:pPr>
              <w:pStyle w:val="Tabletext"/>
              <w:jc w:val="center"/>
              <w:rPr>
                <w:lang w:eastAsia="ko-KR"/>
              </w:rPr>
            </w:pPr>
            <w:r w:rsidRPr="00B93493">
              <w:rPr>
                <w:lang w:eastAsia="ko-KR"/>
              </w:rPr>
              <w:t>0.05</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11155A" w14:textId="77777777" w:rsidR="00CF04BC" w:rsidRPr="00B93493" w:rsidRDefault="00CF04BC" w:rsidP="002E7F54">
            <w:pPr>
              <w:pStyle w:val="Tabletext"/>
              <w:jc w:val="center"/>
              <w:rPr>
                <w:lang w:eastAsia="ko-KR"/>
              </w:rPr>
            </w:pPr>
            <w:r w:rsidRPr="00B93493">
              <w:rPr>
                <w:lang w:eastAsia="ko-KR"/>
              </w:rPr>
              <w:t>0.06</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6CF8F6" w14:textId="77777777" w:rsidR="00CF04BC" w:rsidRPr="00B93493" w:rsidRDefault="00CF04BC" w:rsidP="002E7F54">
            <w:pPr>
              <w:pStyle w:val="Tabletext"/>
              <w:jc w:val="center"/>
              <w:rPr>
                <w:lang w:eastAsia="ko-KR"/>
              </w:rPr>
            </w:pPr>
            <w:r w:rsidRPr="00B93493">
              <w:rPr>
                <w:lang w:eastAsia="ko-KR"/>
              </w:rPr>
              <w:t>0.07</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97B1FC" w14:textId="77777777" w:rsidR="00CF04BC" w:rsidRPr="00B93493" w:rsidRDefault="00CF04BC" w:rsidP="002E7F54">
            <w:pPr>
              <w:pStyle w:val="Tabletext"/>
              <w:jc w:val="center"/>
              <w:rPr>
                <w:lang w:eastAsia="ko-KR"/>
              </w:rPr>
            </w:pPr>
            <w:r w:rsidRPr="00B93493">
              <w:rPr>
                <w:lang w:eastAsia="ko-KR"/>
              </w:rPr>
              <w:t>0.08</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93E85C" w14:textId="77777777" w:rsidR="00CF04BC" w:rsidRPr="00B93493" w:rsidRDefault="00CF04BC" w:rsidP="002E7F54">
            <w:pPr>
              <w:pStyle w:val="Tabletext"/>
              <w:jc w:val="center"/>
              <w:rPr>
                <w:lang w:eastAsia="ko-KR"/>
              </w:rPr>
            </w:pPr>
            <w:r w:rsidRPr="00B93493">
              <w:rPr>
                <w:lang w:eastAsia="ko-KR"/>
              </w:rPr>
              <w:t>0.09</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460D22" w14:textId="77777777" w:rsidR="00CF04BC" w:rsidRPr="00B93493" w:rsidRDefault="00CF04BC" w:rsidP="002E7F54">
            <w:pPr>
              <w:pStyle w:val="Tabletext"/>
              <w:jc w:val="center"/>
              <w:rPr>
                <w:lang w:eastAsia="ko-KR"/>
              </w:rPr>
            </w:pPr>
            <w:r w:rsidRPr="00B93493">
              <w:rPr>
                <w:lang w:eastAsia="ko-KR"/>
              </w:rPr>
              <w:t>0.10</w:t>
            </w:r>
          </w:p>
        </w:tc>
      </w:tr>
      <w:tr w:rsidR="00CF04BC" w:rsidRPr="00B93493" w14:paraId="1C7AB983" w14:textId="77777777" w:rsidTr="002E7F54">
        <w:trPr>
          <w:jc w:val="center"/>
        </w:trPr>
        <w:tc>
          <w:tcPr>
            <w:tcW w:w="1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BD91EE" w14:textId="77777777" w:rsidR="00CF04BC" w:rsidRPr="00B93493" w:rsidRDefault="00CF04BC" w:rsidP="00C65E6B">
            <w:pPr>
              <w:pStyle w:val="Tabletext"/>
              <w:jc w:val="left"/>
              <w:rPr>
                <w:lang w:eastAsia="ko-KR"/>
              </w:rPr>
            </w:pPr>
            <w:r w:rsidRPr="00B93493">
              <w:rPr>
                <w:lang w:eastAsia="ko-KR"/>
              </w:rPr>
              <w:t>Eco-friendly fee-waiver factor</w:t>
            </w:r>
          </w:p>
        </w:tc>
        <w:tc>
          <w:tcPr>
            <w:tcW w:w="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43172" w14:textId="77777777" w:rsidR="00CF04BC" w:rsidRPr="00B93493" w:rsidRDefault="00CF04BC" w:rsidP="002E7F54">
            <w:pPr>
              <w:pStyle w:val="Tabletext"/>
              <w:jc w:val="center"/>
              <w:rPr>
                <w:lang w:eastAsia="ko-KR"/>
              </w:rPr>
            </w:pPr>
            <w:r w:rsidRPr="00B93493">
              <w:rPr>
                <w:lang w:eastAsia="ko-KR"/>
              </w:rPr>
              <w:t>0.01</w:t>
            </w:r>
          </w:p>
        </w:tc>
        <w:tc>
          <w:tcPr>
            <w:tcW w:w="8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39E862" w14:textId="77777777" w:rsidR="00CF04BC" w:rsidRPr="00B93493" w:rsidRDefault="00CF04BC" w:rsidP="002E7F54">
            <w:pPr>
              <w:pStyle w:val="Tabletext"/>
              <w:jc w:val="center"/>
              <w:rPr>
                <w:lang w:eastAsia="ko-KR"/>
              </w:rPr>
            </w:pPr>
            <w:r w:rsidRPr="00B93493">
              <w:rPr>
                <w:lang w:eastAsia="ko-KR"/>
              </w:rPr>
              <w:t>0.02</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94EF1C" w14:textId="77777777" w:rsidR="00CF04BC" w:rsidRPr="00B93493" w:rsidRDefault="00CF04BC" w:rsidP="002E7F54">
            <w:pPr>
              <w:pStyle w:val="Tabletext"/>
              <w:jc w:val="center"/>
              <w:rPr>
                <w:lang w:eastAsia="ko-KR"/>
              </w:rPr>
            </w:pPr>
            <w:r w:rsidRPr="00B93493">
              <w:rPr>
                <w:lang w:eastAsia="ko-KR"/>
              </w:rPr>
              <w:t>0.03</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A5FA96" w14:textId="77777777" w:rsidR="00CF04BC" w:rsidRPr="00B93493" w:rsidRDefault="00CF04BC" w:rsidP="002E7F54">
            <w:pPr>
              <w:pStyle w:val="Tabletext"/>
              <w:jc w:val="center"/>
              <w:rPr>
                <w:lang w:eastAsia="ko-KR"/>
              </w:rPr>
            </w:pPr>
            <w:r w:rsidRPr="00B93493">
              <w:rPr>
                <w:lang w:eastAsia="ko-KR"/>
              </w:rPr>
              <w:t>0.04</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8B183F" w14:textId="77777777" w:rsidR="00CF04BC" w:rsidRPr="00B93493" w:rsidRDefault="00CF04BC" w:rsidP="002E7F54">
            <w:pPr>
              <w:pStyle w:val="Tabletext"/>
              <w:jc w:val="center"/>
              <w:rPr>
                <w:lang w:eastAsia="ko-KR"/>
              </w:rPr>
            </w:pPr>
            <w:r w:rsidRPr="00B93493">
              <w:rPr>
                <w:lang w:eastAsia="ko-KR"/>
              </w:rPr>
              <w:t>0.05</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2DF4DE" w14:textId="77777777" w:rsidR="00CF04BC" w:rsidRPr="00B93493" w:rsidRDefault="00CF04BC" w:rsidP="002E7F54">
            <w:pPr>
              <w:pStyle w:val="Tabletext"/>
              <w:jc w:val="center"/>
              <w:rPr>
                <w:lang w:eastAsia="ko-KR"/>
              </w:rPr>
            </w:pPr>
            <w:r w:rsidRPr="00B93493">
              <w:rPr>
                <w:lang w:eastAsia="ko-KR"/>
              </w:rPr>
              <w:t>0.06</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17A32C" w14:textId="77777777" w:rsidR="00CF04BC" w:rsidRPr="00B93493" w:rsidRDefault="00CF04BC" w:rsidP="002E7F54">
            <w:pPr>
              <w:pStyle w:val="Tabletext"/>
              <w:jc w:val="center"/>
              <w:rPr>
                <w:lang w:eastAsia="ko-KR"/>
              </w:rPr>
            </w:pPr>
            <w:r w:rsidRPr="00B93493">
              <w:rPr>
                <w:lang w:eastAsia="ko-KR"/>
              </w:rPr>
              <w:t>0.07</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DB7D24" w14:textId="77777777" w:rsidR="00CF04BC" w:rsidRPr="00B93493" w:rsidRDefault="00CF04BC" w:rsidP="002E7F54">
            <w:pPr>
              <w:pStyle w:val="Tabletext"/>
              <w:jc w:val="center"/>
              <w:rPr>
                <w:lang w:eastAsia="ko-KR"/>
              </w:rPr>
            </w:pPr>
            <w:r w:rsidRPr="00B93493">
              <w:rPr>
                <w:lang w:eastAsia="ko-KR"/>
              </w:rPr>
              <w:t>0.08</w:t>
            </w:r>
          </w:p>
        </w:tc>
        <w:tc>
          <w:tcPr>
            <w:tcW w:w="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5CA3B9" w14:textId="77777777" w:rsidR="00CF04BC" w:rsidRPr="00B93493" w:rsidRDefault="00CF04BC" w:rsidP="002E7F54">
            <w:pPr>
              <w:pStyle w:val="Tabletext"/>
              <w:jc w:val="center"/>
              <w:rPr>
                <w:lang w:eastAsia="ko-KR"/>
              </w:rPr>
            </w:pPr>
            <w:r w:rsidRPr="00B93493">
              <w:rPr>
                <w:lang w:eastAsia="ko-KR"/>
              </w:rPr>
              <w:t>0.09</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01BB49" w14:textId="77777777" w:rsidR="00CF04BC" w:rsidRPr="00B93493" w:rsidRDefault="00CF04BC" w:rsidP="002E7F54">
            <w:pPr>
              <w:pStyle w:val="Tabletext"/>
              <w:jc w:val="center"/>
              <w:rPr>
                <w:lang w:eastAsia="ko-KR"/>
              </w:rPr>
            </w:pPr>
            <w:r w:rsidRPr="00B93493">
              <w:rPr>
                <w:lang w:eastAsia="ko-KR"/>
              </w:rPr>
              <w:t>0.10</w:t>
            </w:r>
          </w:p>
        </w:tc>
      </w:tr>
    </w:tbl>
    <w:p w14:paraId="2B2B8FD6" w14:textId="77777777" w:rsidR="00CF04BC" w:rsidRPr="00B93493" w:rsidRDefault="00CF04BC" w:rsidP="00CF04BC">
      <w:pPr>
        <w:pStyle w:val="Tablefin"/>
        <w:rPr>
          <w:lang w:eastAsia="ko-KR"/>
        </w:rPr>
      </w:pPr>
    </w:p>
    <w:p w14:paraId="4139D5E4" w14:textId="77777777" w:rsidR="00CF04BC" w:rsidRPr="00B93493" w:rsidRDefault="00CF04BC" w:rsidP="00CF04BC">
      <w:pPr>
        <w:pStyle w:val="Headingb"/>
      </w:pPr>
      <w:r w:rsidRPr="00B93493">
        <w:rPr>
          <w:lang w:eastAsia="ko-KR"/>
        </w:rPr>
        <w:t>Category</w:t>
      </w:r>
      <w:r w:rsidRPr="00B93493">
        <w:t xml:space="preserve"> 3: </w:t>
      </w:r>
      <w:r w:rsidRPr="00B93493">
        <w:rPr>
          <w:lang w:eastAsia="ko-KR"/>
        </w:rPr>
        <w:t>Based on the assigned frequency of the transmitter of radio stations</w:t>
      </w:r>
    </w:p>
    <w:p w14:paraId="62CF5ACD" w14:textId="77777777" w:rsidR="00CF04BC" w:rsidRPr="00B93493" w:rsidRDefault="00CF04BC" w:rsidP="00CF04BC">
      <w:r w:rsidRPr="00B93493">
        <w:t xml:space="preserve">The </w:t>
      </w:r>
      <w:r w:rsidRPr="00B93493">
        <w:rPr>
          <w:lang w:eastAsia="ko-KR"/>
        </w:rPr>
        <w:t>spectrum usage fees (SF)</w:t>
      </w:r>
      <w:r w:rsidRPr="00B93493">
        <w:t xml:space="preserve"> is i</w:t>
      </w:r>
      <w:r w:rsidRPr="00B93493">
        <w:rPr>
          <w:lang w:eastAsia="ko-KR"/>
        </w:rPr>
        <w:t xml:space="preserve">mposed </w:t>
      </w:r>
      <w:r w:rsidRPr="00B93493">
        <w:t>on each transmitt</w:t>
      </w:r>
      <w:r w:rsidRPr="00B93493">
        <w:rPr>
          <w:lang w:eastAsia="ko-KR"/>
        </w:rPr>
        <w:t>er</w:t>
      </w:r>
      <w:r w:rsidRPr="00B93493">
        <w:t xml:space="preserve"> according to th</w:t>
      </w:r>
      <w:r w:rsidRPr="00B93493">
        <w:rPr>
          <w:lang w:eastAsia="ko-KR"/>
        </w:rPr>
        <w:t>e</w:t>
      </w:r>
      <w:r w:rsidRPr="00B93493">
        <w:t xml:space="preserve"> equation:</w:t>
      </w:r>
    </w:p>
    <w:p w14:paraId="47DB558C" w14:textId="77777777" w:rsidR="00CF04BC" w:rsidRPr="00B93493" w:rsidRDefault="00CF04BC" w:rsidP="00CF04BC">
      <w:pPr>
        <w:pStyle w:val="Equation"/>
        <w:rPr>
          <w:lang w:eastAsia="ko-KR"/>
        </w:rPr>
      </w:pPr>
      <w:r w:rsidRPr="00B93493">
        <w:tab/>
      </w:r>
      <w:r w:rsidRPr="00B93493">
        <w:tab/>
      </w:r>
      <w:r w:rsidRPr="00B93493">
        <w:rPr>
          <w:position w:val="-14"/>
        </w:rPr>
        <w:object w:dxaOrig="5460" w:dyaOrig="416" w14:anchorId="10927E97">
          <v:shape id="_x0000_i1124" type="#_x0000_t75" style="width:274.2pt;height:22.45pt" o:ole="">
            <v:imagedata r:id="rId240" o:title=""/>
          </v:shape>
          <o:OLEObject Type="Embed" ProgID="Equation.3" ShapeID="_x0000_i1124" DrawAspect="Content" ObjectID="_1812968405" r:id="rId241"/>
        </w:object>
      </w:r>
      <w:r w:rsidRPr="00B93493">
        <w:tab/>
        <w:t>(68)</w:t>
      </w:r>
    </w:p>
    <w:p w14:paraId="446DA4FD" w14:textId="77777777" w:rsidR="00CF04BC" w:rsidRPr="00B93493" w:rsidRDefault="00CF04BC" w:rsidP="00CF04BC">
      <w:pPr>
        <w:keepNext/>
      </w:pPr>
      <w:bookmarkStart w:id="2469" w:name="_Toc462234167"/>
      <w:r w:rsidRPr="00B93493">
        <w:t>where:</w:t>
      </w:r>
    </w:p>
    <w:p w14:paraId="3D5F628A" w14:textId="77777777" w:rsidR="00CF04BC" w:rsidRPr="00B93493" w:rsidRDefault="00CF04BC" w:rsidP="00CF04BC">
      <w:pPr>
        <w:pStyle w:val="Equationlegend"/>
      </w:pPr>
      <w:r w:rsidRPr="00B93493">
        <w:rPr>
          <w:i/>
          <w:iCs/>
        </w:rPr>
        <w:tab/>
      </w:r>
      <w:r w:rsidRPr="00B93493">
        <w:rPr>
          <w:i/>
          <w:iCs/>
          <w:lang w:eastAsia="ko-KR"/>
        </w:rPr>
        <w:t>B</w:t>
      </w:r>
      <w:r w:rsidRPr="00B93493">
        <w:rPr>
          <w:sz w:val="12"/>
        </w:rPr>
        <w:t> </w:t>
      </w:r>
      <w:r w:rsidRPr="00B93493">
        <w:rPr>
          <w:sz w:val="20"/>
        </w:rPr>
        <w:t>:</w:t>
      </w:r>
      <w:r w:rsidRPr="00B93493">
        <w:rPr>
          <w:sz w:val="20"/>
        </w:rPr>
        <w:tab/>
      </w:r>
      <w:r w:rsidRPr="00B93493">
        <w:t xml:space="preserve">basic </w:t>
      </w:r>
      <w:r w:rsidRPr="00B93493">
        <w:rPr>
          <w:lang w:eastAsia="ko-KR"/>
        </w:rPr>
        <w:t>price</w:t>
      </w:r>
    </w:p>
    <w:p w14:paraId="0F541FCD" w14:textId="77777777" w:rsidR="00CF04BC" w:rsidRPr="00B93493" w:rsidRDefault="00CF04BC" w:rsidP="00CF04BC">
      <w:pPr>
        <w:pStyle w:val="Equationlegend"/>
      </w:pPr>
      <w:r w:rsidRPr="00B93493">
        <w:rPr>
          <w:i/>
          <w:iCs/>
        </w:rPr>
        <w:tab/>
      </w:r>
      <w:r w:rsidRPr="00B93493">
        <w:rPr>
          <w:i/>
          <w:iCs/>
          <w:lang w:eastAsia="ko-KR"/>
        </w:rPr>
        <w:t>P</w:t>
      </w:r>
      <w:r w:rsidRPr="00B93493">
        <w:rPr>
          <w:sz w:val="20"/>
        </w:rPr>
        <w:t>:</w:t>
      </w:r>
      <w:r w:rsidRPr="00B93493">
        <w:rPr>
          <w:sz w:val="20"/>
        </w:rPr>
        <w:tab/>
      </w:r>
      <w:r w:rsidRPr="00B93493">
        <w:t>antenna power</w:t>
      </w:r>
    </w:p>
    <w:p w14:paraId="2954C2E2" w14:textId="77777777" w:rsidR="00CF04BC" w:rsidRPr="00B93493" w:rsidRDefault="00CF04BC" w:rsidP="00CF04BC">
      <w:pPr>
        <w:pStyle w:val="Equationlegend"/>
      </w:pPr>
      <w:r w:rsidRPr="00B93493">
        <w:rPr>
          <w:i/>
          <w:iCs/>
        </w:rPr>
        <w:tab/>
        <w:t>B</w:t>
      </w:r>
      <w:r w:rsidRPr="00B93493">
        <w:rPr>
          <w:i/>
          <w:iCs/>
          <w:vertAlign w:val="subscript"/>
        </w:rPr>
        <w:t>W</w:t>
      </w:r>
      <w:r w:rsidRPr="00B93493">
        <w:rPr>
          <w:sz w:val="20"/>
        </w:rPr>
        <w:t>:</w:t>
      </w:r>
      <w:r w:rsidRPr="00B93493">
        <w:rPr>
          <w:sz w:val="20"/>
        </w:rPr>
        <w:tab/>
      </w:r>
      <w:r w:rsidRPr="00B93493">
        <w:t>bandwidth</w:t>
      </w:r>
    </w:p>
    <w:p w14:paraId="33C50F8D" w14:textId="77777777" w:rsidR="00CF04BC" w:rsidRPr="00B93493" w:rsidRDefault="00CF04BC" w:rsidP="00CF04BC">
      <w:pPr>
        <w:pStyle w:val="Equationlegend"/>
      </w:pPr>
      <w:r w:rsidRPr="00B93493">
        <w:rPr>
          <w:i/>
          <w:iCs/>
        </w:rPr>
        <w:tab/>
        <w:t>P</w:t>
      </w:r>
      <w:r w:rsidRPr="00B93493">
        <w:rPr>
          <w:i/>
          <w:iCs/>
          <w:vertAlign w:val="subscript"/>
        </w:rPr>
        <w:t>f</w:t>
      </w:r>
      <w:r w:rsidRPr="00B93493">
        <w:rPr>
          <w:sz w:val="20"/>
        </w:rPr>
        <w:t>:</w:t>
      </w:r>
      <w:r w:rsidRPr="00B93493">
        <w:rPr>
          <w:sz w:val="20"/>
        </w:rPr>
        <w:tab/>
      </w:r>
      <w:r w:rsidRPr="00B93493">
        <w:t>preference factor</w:t>
      </w:r>
    </w:p>
    <w:p w14:paraId="29F25796" w14:textId="77777777" w:rsidR="00CF04BC" w:rsidRPr="00B93493" w:rsidRDefault="00CF04BC" w:rsidP="00CF04BC">
      <w:pPr>
        <w:pStyle w:val="Equationlegend"/>
      </w:pPr>
      <w:r w:rsidRPr="00B93493">
        <w:rPr>
          <w:i/>
          <w:iCs/>
        </w:rPr>
        <w:tab/>
      </w:r>
      <w:r w:rsidRPr="00B93493">
        <w:rPr>
          <w:i/>
          <w:iCs/>
          <w:lang w:eastAsia="ko-KR"/>
        </w:rPr>
        <w:t>U</w:t>
      </w:r>
      <w:r w:rsidRPr="00B93493">
        <w:rPr>
          <w:i/>
          <w:iCs/>
          <w:vertAlign w:val="subscript"/>
        </w:rPr>
        <w:t>f</w:t>
      </w:r>
      <w:r w:rsidRPr="00B93493">
        <w:rPr>
          <w:sz w:val="12"/>
        </w:rPr>
        <w:t> </w:t>
      </w:r>
      <w:r w:rsidRPr="00B93493">
        <w:rPr>
          <w:sz w:val="20"/>
        </w:rPr>
        <w:t>:</w:t>
      </w:r>
      <w:r w:rsidRPr="00B93493">
        <w:rPr>
          <w:sz w:val="20"/>
        </w:rPr>
        <w:tab/>
      </w:r>
      <w:r w:rsidRPr="00B93493">
        <w:rPr>
          <w:lang w:eastAsia="ko-KR"/>
        </w:rPr>
        <w:t>frequency use pattern</w:t>
      </w:r>
      <w:r w:rsidRPr="00B93493">
        <w:t xml:space="preserve"> factor</w:t>
      </w:r>
    </w:p>
    <w:p w14:paraId="5116D448" w14:textId="77777777" w:rsidR="00CF04BC" w:rsidRPr="00B93493" w:rsidRDefault="00CF04BC" w:rsidP="00CF04BC">
      <w:pPr>
        <w:pStyle w:val="Equationlegend"/>
        <w:rPr>
          <w:lang w:eastAsia="ko-KR"/>
        </w:rPr>
      </w:pPr>
      <w:r w:rsidRPr="00B93493">
        <w:rPr>
          <w:i/>
          <w:iCs/>
        </w:rPr>
        <w:tab/>
        <w:t>O</w:t>
      </w:r>
      <w:r w:rsidRPr="00B93493">
        <w:rPr>
          <w:i/>
          <w:iCs/>
          <w:vertAlign w:val="subscript"/>
        </w:rPr>
        <w:t>f</w:t>
      </w:r>
      <w:r w:rsidRPr="00B93493">
        <w:rPr>
          <w:sz w:val="12"/>
        </w:rPr>
        <w:t> </w:t>
      </w:r>
      <w:r w:rsidRPr="00B93493">
        <w:rPr>
          <w:sz w:val="20"/>
        </w:rPr>
        <w:t>:</w:t>
      </w:r>
      <w:r w:rsidRPr="00B93493">
        <w:rPr>
          <w:sz w:val="20"/>
        </w:rPr>
        <w:tab/>
      </w:r>
      <w:r w:rsidRPr="00B93493">
        <w:rPr>
          <w:lang w:eastAsia="ko-KR"/>
        </w:rPr>
        <w:t xml:space="preserve">operating </w:t>
      </w:r>
      <w:r w:rsidRPr="00B93493">
        <w:t>purpose factor</w:t>
      </w:r>
    </w:p>
    <w:p w14:paraId="73DAB03C" w14:textId="77777777" w:rsidR="00CF04BC" w:rsidRPr="00B93493" w:rsidRDefault="00CF04BC" w:rsidP="00CF04BC">
      <w:pPr>
        <w:pStyle w:val="Equationlegend"/>
        <w:rPr>
          <w:lang w:eastAsia="ko-KR"/>
        </w:rPr>
      </w:pPr>
      <w:r w:rsidRPr="00B93493">
        <w:tab/>
      </w:r>
      <w:r w:rsidRPr="00B93493">
        <w:rPr>
          <w:i/>
          <w:iCs/>
          <w:position w:val="-12"/>
          <w:lang w:eastAsia="ko-KR"/>
        </w:rPr>
        <w:object w:dxaOrig="308" w:dyaOrig="391" w14:anchorId="5F0F2F29">
          <v:shape id="_x0000_i1125" type="#_x0000_t75" style="width:14.4pt;height:20.15pt" o:ole="">
            <v:imagedata r:id="rId238" o:title=""/>
          </v:shape>
          <o:OLEObject Type="Embed" ProgID="Equation.DSMT4" ShapeID="_x0000_i1125" DrawAspect="Content" ObjectID="_1812968406" r:id="rId242"/>
        </w:object>
      </w:r>
      <w:r w:rsidRPr="00B93493">
        <w:rPr>
          <w:sz w:val="12"/>
        </w:rPr>
        <w:t> </w:t>
      </w:r>
      <w:r w:rsidRPr="00B93493">
        <w:t>:</w:t>
      </w:r>
      <w:r w:rsidRPr="00B93493">
        <w:tab/>
      </w:r>
      <w:r w:rsidRPr="00B93493">
        <w:rPr>
          <w:lang w:eastAsia="ko-KR"/>
        </w:rPr>
        <w:t>facility sharing fee-waiver factor</w:t>
      </w:r>
    </w:p>
    <w:p w14:paraId="27A7E516" w14:textId="77777777" w:rsidR="00CF04BC" w:rsidRPr="00B93493" w:rsidRDefault="00CF04BC" w:rsidP="00CF04BC">
      <w:pPr>
        <w:pStyle w:val="Equationlegend"/>
        <w:rPr>
          <w:lang w:eastAsia="ko-KR"/>
        </w:rPr>
      </w:pPr>
      <w:r w:rsidRPr="00B93493">
        <w:tab/>
      </w:r>
      <w:r w:rsidRPr="00B93493">
        <w:rPr>
          <w:i/>
          <w:iCs/>
        </w:rPr>
        <w:t>E</w:t>
      </w:r>
      <w:r w:rsidRPr="00B93493">
        <w:rPr>
          <w:i/>
          <w:iCs/>
          <w:vertAlign w:val="subscript"/>
        </w:rPr>
        <w:t>f</w:t>
      </w:r>
      <w:r w:rsidRPr="00B93493">
        <w:rPr>
          <w:i/>
          <w:iCs/>
          <w:sz w:val="12"/>
          <w:lang w:eastAsia="ko-KR"/>
        </w:rPr>
        <w:t xml:space="preserve"> </w:t>
      </w:r>
      <w:r w:rsidRPr="00B93493">
        <w:rPr>
          <w:i/>
          <w:iCs/>
          <w:vertAlign w:val="subscript"/>
        </w:rPr>
        <w:t>f</w:t>
      </w:r>
      <w:r w:rsidRPr="00B93493">
        <w:rPr>
          <w:i/>
          <w:iCs/>
          <w:sz w:val="12"/>
          <w:lang w:eastAsia="ko-KR"/>
        </w:rPr>
        <w:t xml:space="preserve"> </w:t>
      </w:r>
      <w:r w:rsidRPr="00B93493">
        <w:t>:</w:t>
      </w:r>
      <w:r w:rsidRPr="00B93493">
        <w:tab/>
      </w:r>
      <w:r w:rsidRPr="00B93493">
        <w:rPr>
          <w:lang w:eastAsia="ko-KR"/>
        </w:rPr>
        <w:t>eco-friendly fee-waiver factor.</w:t>
      </w:r>
    </w:p>
    <w:p w14:paraId="6F0C370F" w14:textId="77777777" w:rsidR="00CF04BC" w:rsidRPr="00B93493" w:rsidRDefault="00CF04BC" w:rsidP="00CF04BC">
      <w:r w:rsidRPr="00B93493">
        <w:rPr>
          <w:lang w:eastAsia="ko-KR"/>
        </w:rPr>
        <w:t>D</w:t>
      </w:r>
      <w:r w:rsidRPr="00B93493">
        <w:t>escribed as follows:</w:t>
      </w:r>
    </w:p>
    <w:p w14:paraId="42A931E3" w14:textId="77777777" w:rsidR="00CF04BC" w:rsidRPr="00B93493" w:rsidRDefault="00CF04BC" w:rsidP="00CF04BC">
      <w:r w:rsidRPr="00B93493">
        <w:rPr>
          <w:bCs/>
          <w:iCs/>
        </w:rPr>
        <w:t xml:space="preserve">Basic </w:t>
      </w:r>
      <w:r w:rsidRPr="00B93493">
        <w:rPr>
          <w:bCs/>
          <w:iCs/>
          <w:lang w:eastAsia="ko-KR"/>
        </w:rPr>
        <w:t xml:space="preserve">price, </w:t>
      </w:r>
      <w:r w:rsidRPr="00B93493">
        <w:rPr>
          <w:i/>
          <w:iCs/>
          <w:lang w:eastAsia="ko-KR"/>
        </w:rPr>
        <w:t>B</w:t>
      </w:r>
      <w:r w:rsidRPr="00B93493">
        <w:rPr>
          <w:i/>
          <w:iCs/>
          <w:vertAlign w:val="subscript"/>
          <w:lang w:eastAsia="ko-KR"/>
        </w:rPr>
        <w:t>P</w:t>
      </w:r>
      <w:r w:rsidRPr="00B93493">
        <w:rPr>
          <w:lang w:eastAsia="ko-KR"/>
        </w:rPr>
        <w:t xml:space="preserve">: </w:t>
      </w:r>
      <w:r w:rsidRPr="00B93493">
        <w:t>2</w:t>
      </w:r>
      <w:r w:rsidRPr="00B93493">
        <w:rPr>
          <w:rFonts w:ascii="Tms Rmn" w:hAnsi="Tms Rmn"/>
          <w:sz w:val="12"/>
        </w:rPr>
        <w:t> </w:t>
      </w:r>
      <w:r w:rsidRPr="00B93493">
        <w:t xml:space="preserve">000 </w:t>
      </w:r>
      <w:r w:rsidRPr="00B93493">
        <w:rPr>
          <w:lang w:eastAsia="ko-KR"/>
        </w:rPr>
        <w:t>KRW/designated frequency</w:t>
      </w:r>
    </w:p>
    <w:p w14:paraId="6FEB999E" w14:textId="77777777" w:rsidR="00CF04BC" w:rsidRPr="00B93493" w:rsidRDefault="00CF04BC" w:rsidP="00CF04BC">
      <w:r w:rsidRPr="00B93493">
        <w:rPr>
          <w:bCs/>
          <w:iCs/>
        </w:rPr>
        <w:t>Antenna Power</w:t>
      </w:r>
      <w:r w:rsidRPr="00B93493">
        <w:rPr>
          <w:bCs/>
        </w:rPr>
        <w:t xml:space="preserve">, </w:t>
      </w:r>
      <w:r w:rsidRPr="00B93493">
        <w:rPr>
          <w:bCs/>
          <w:i/>
          <w:lang w:eastAsia="ko-KR"/>
        </w:rPr>
        <w:t>P</w:t>
      </w:r>
      <w:r w:rsidRPr="00B93493">
        <w:rPr>
          <w:bCs/>
          <w:i/>
          <w:szCs w:val="24"/>
          <w:vertAlign w:val="subscript"/>
        </w:rPr>
        <w:t xml:space="preserve"> </w:t>
      </w:r>
      <w:r w:rsidRPr="00B93493">
        <w:rPr>
          <w:lang w:eastAsia="ko-KR"/>
        </w:rPr>
        <w:t>(W): the unit of power is watt(W).</w:t>
      </w:r>
    </w:p>
    <w:p w14:paraId="3C713F87" w14:textId="77777777" w:rsidR="00CF04BC" w:rsidRPr="00B93493" w:rsidRDefault="00CF04BC" w:rsidP="00CF04BC">
      <w:pPr>
        <w:rPr>
          <w:b/>
          <w:bCs/>
        </w:rPr>
      </w:pPr>
      <w:r w:rsidRPr="00B93493">
        <w:rPr>
          <w:bCs/>
          <w:iCs/>
        </w:rPr>
        <w:t>Bandwidth,</w:t>
      </w:r>
      <w:r w:rsidRPr="00B93493">
        <w:t xml:space="preserve"> </w:t>
      </w:r>
      <w:r w:rsidRPr="00B93493">
        <w:rPr>
          <w:i/>
          <w:iCs/>
        </w:rPr>
        <w:t>B</w:t>
      </w:r>
      <w:r w:rsidRPr="00B93493">
        <w:rPr>
          <w:i/>
          <w:iCs/>
          <w:vertAlign w:val="subscript"/>
        </w:rPr>
        <w:t>W</w:t>
      </w:r>
      <w:r w:rsidRPr="00B93493">
        <w:rPr>
          <w:lang w:eastAsia="ko-KR"/>
        </w:rPr>
        <w:t xml:space="preserve">. The unit is kHz for frequencies less than 960 MHz, and MHz for frequencies </w:t>
      </w:r>
      <w:r w:rsidRPr="00B93493">
        <w:t xml:space="preserve">above </w:t>
      </w:r>
      <w:r w:rsidRPr="00B93493">
        <w:rPr>
          <w:lang w:eastAsia="ko-KR"/>
        </w:rPr>
        <w:t>960 MHz</w:t>
      </w:r>
      <w:r w:rsidRPr="00B93493">
        <w:t>.</w:t>
      </w:r>
    </w:p>
    <w:p w14:paraId="5F9F0511" w14:textId="77777777" w:rsidR="00CF04BC" w:rsidRDefault="00CF04BC" w:rsidP="00CF04BC">
      <w:pPr>
        <w:spacing w:after="120"/>
        <w:rPr>
          <w:rFonts w:ascii="Tms Rmn" w:hAnsi="Tms Rmn"/>
          <w:bCs/>
          <w:sz w:val="22"/>
          <w:szCs w:val="22"/>
        </w:rPr>
      </w:pPr>
      <w:bookmarkStart w:id="2470" w:name="_Toc462234164"/>
      <w:bookmarkStart w:id="2471" w:name="_Toc454285000"/>
      <w:r w:rsidRPr="00B93493">
        <w:t>Preference factor,</w:t>
      </w:r>
      <w:r w:rsidRPr="00B93493">
        <w:rPr>
          <w:lang w:eastAsia="ko-KR"/>
        </w:rPr>
        <w:t xml:space="preserve"> </w:t>
      </w:r>
      <w:r w:rsidRPr="00B93493">
        <w:rPr>
          <w:bCs/>
          <w:i/>
          <w:sz w:val="22"/>
          <w:szCs w:val="22"/>
        </w:rPr>
        <w:t>P</w:t>
      </w:r>
      <w:r w:rsidRPr="00B93493">
        <w:rPr>
          <w:bCs/>
          <w:i/>
          <w:sz w:val="22"/>
          <w:szCs w:val="22"/>
          <w:vertAlign w:val="subscript"/>
        </w:rPr>
        <w:t>f</w:t>
      </w:r>
      <w:bookmarkEnd w:id="2470"/>
      <w:bookmarkEnd w:id="2471"/>
      <w:r w:rsidRPr="00B93493">
        <w:rPr>
          <w:rFonts w:ascii="Tms Rmn" w:hAnsi="Tms Rmn"/>
          <w:bCs/>
          <w:sz w:val="22"/>
          <w:szCs w:val="22"/>
        </w:rPr>
        <w:t> :</w:t>
      </w:r>
    </w:p>
    <w:p w14:paraId="72925402" w14:textId="77777777" w:rsidR="00CF04BC" w:rsidRPr="00216068" w:rsidRDefault="00CF04BC" w:rsidP="00CF04BC">
      <w:pPr>
        <w:pStyle w:val="TableNo"/>
        <w:rPr>
          <w:b/>
          <w:lang w:eastAsia="zh-CN"/>
        </w:rPr>
      </w:pPr>
      <w:r w:rsidRPr="00B93493">
        <w:t xml:space="preserve">TABLE </w:t>
      </w:r>
      <w:r>
        <w:rPr>
          <w:rFonts w:hint="eastAsia"/>
          <w:lang w:eastAsia="zh-CN"/>
        </w:rPr>
        <w:t>44</w:t>
      </w:r>
    </w:p>
    <w:tbl>
      <w:tblPr>
        <w:tblW w:w="71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4A0" w:firstRow="1" w:lastRow="0" w:firstColumn="1" w:lastColumn="0" w:noHBand="0" w:noVBand="1"/>
      </w:tblPr>
      <w:tblGrid>
        <w:gridCol w:w="2258"/>
        <w:gridCol w:w="2701"/>
        <w:gridCol w:w="2160"/>
      </w:tblGrid>
      <w:tr w:rsidR="00CF04BC" w:rsidRPr="00B93493" w14:paraId="52AF8D18" w14:textId="77777777" w:rsidTr="002E7F54">
        <w:trPr>
          <w:jc w:val="center"/>
        </w:trPr>
        <w:tc>
          <w:tcPr>
            <w:tcW w:w="4959" w:type="dxa"/>
            <w:gridSpan w:val="2"/>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72ADD413" w14:textId="77777777" w:rsidR="00CF04BC" w:rsidRPr="00B93493" w:rsidRDefault="00CF04BC" w:rsidP="002E7F54">
            <w:pPr>
              <w:pStyle w:val="Tablehead"/>
              <w:rPr>
                <w:szCs w:val="22"/>
              </w:rPr>
            </w:pPr>
            <w:r w:rsidRPr="00B93493">
              <w:rPr>
                <w:szCs w:val="22"/>
              </w:rPr>
              <w:t>Frequency bands</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1ADC6C7" w14:textId="77777777" w:rsidR="00CF04BC" w:rsidRPr="00B93493" w:rsidRDefault="00CF04BC" w:rsidP="002E7F54">
            <w:pPr>
              <w:pStyle w:val="Tablehead"/>
              <w:rPr>
                <w:szCs w:val="22"/>
              </w:rPr>
            </w:pPr>
            <w:r w:rsidRPr="00B93493">
              <w:rPr>
                <w:szCs w:val="22"/>
              </w:rPr>
              <w:t>Factor</w:t>
            </w:r>
          </w:p>
        </w:tc>
      </w:tr>
      <w:tr w:rsidR="00CF04BC" w:rsidRPr="00B93493" w14:paraId="4CA27040" w14:textId="77777777" w:rsidTr="002E7F54">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33C4B287" w14:textId="77777777" w:rsidR="00CF04BC" w:rsidRPr="00B93493" w:rsidRDefault="00CF04BC" w:rsidP="002E7F54">
            <w:pPr>
              <w:pStyle w:val="Tabletext"/>
              <w:rPr>
                <w:szCs w:val="22"/>
              </w:rPr>
            </w:pPr>
            <w:r w:rsidRPr="00B93493">
              <w:rPr>
                <w:szCs w:val="22"/>
              </w:rPr>
              <w:t>MF/HF</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C01B299" w14:textId="77777777" w:rsidR="00CF04BC" w:rsidRPr="00B93493" w:rsidRDefault="00CF04BC" w:rsidP="002E7F54">
            <w:pPr>
              <w:pStyle w:val="Tabletext"/>
              <w:jc w:val="center"/>
              <w:rPr>
                <w:szCs w:val="22"/>
              </w:rPr>
            </w:pPr>
            <w:r w:rsidRPr="00B93493">
              <w:rPr>
                <w:rFonts w:ascii="Symbol" w:eastAsia="Symbol" w:hAnsi="Symbol" w:cs="Symbol"/>
                <w:szCs w:val="22"/>
              </w:rPr>
              <w:t></w:t>
            </w:r>
            <w:r w:rsidRPr="00B93493">
              <w:rPr>
                <w:szCs w:val="22"/>
              </w:rPr>
              <w:t xml:space="preserve"> 28 MHz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82D4AFD" w14:textId="77777777" w:rsidR="00CF04BC" w:rsidRPr="00B93493" w:rsidRDefault="00CF04BC" w:rsidP="002E7F54">
            <w:pPr>
              <w:pStyle w:val="Tabletext"/>
              <w:jc w:val="center"/>
              <w:rPr>
                <w:szCs w:val="22"/>
              </w:rPr>
            </w:pPr>
            <w:r w:rsidRPr="00B93493">
              <w:rPr>
                <w:szCs w:val="22"/>
              </w:rPr>
              <w:t>1</w:t>
            </w:r>
          </w:p>
        </w:tc>
      </w:tr>
      <w:tr w:rsidR="00CF04BC" w:rsidRPr="00B93493" w14:paraId="3D353323" w14:textId="77777777" w:rsidTr="002E7F54">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EB924C4" w14:textId="77777777" w:rsidR="00CF04BC" w:rsidRPr="00B93493" w:rsidRDefault="00CF04BC" w:rsidP="002E7F54">
            <w:pPr>
              <w:pStyle w:val="Tabletext"/>
              <w:rPr>
                <w:szCs w:val="22"/>
              </w:rPr>
            </w:pPr>
            <w:r w:rsidRPr="00B93493">
              <w:rPr>
                <w:szCs w:val="22"/>
              </w:rPr>
              <w:t>VHF</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6FC41AB0" w14:textId="77777777" w:rsidR="00CF04BC" w:rsidRPr="00B93493" w:rsidRDefault="00CF04BC" w:rsidP="002E7F54">
            <w:pPr>
              <w:pStyle w:val="Tabletext"/>
              <w:jc w:val="center"/>
              <w:rPr>
                <w:szCs w:val="22"/>
              </w:rPr>
            </w:pPr>
            <w:r w:rsidRPr="00B93493">
              <w:rPr>
                <w:szCs w:val="22"/>
              </w:rPr>
              <w:t>28~300 MHz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5140C793" w14:textId="77777777" w:rsidR="00CF04BC" w:rsidRPr="00B93493" w:rsidRDefault="00CF04BC" w:rsidP="002E7F54">
            <w:pPr>
              <w:pStyle w:val="Tabletext"/>
              <w:jc w:val="center"/>
              <w:rPr>
                <w:szCs w:val="22"/>
              </w:rPr>
            </w:pPr>
            <w:r w:rsidRPr="00B93493">
              <w:rPr>
                <w:szCs w:val="22"/>
              </w:rPr>
              <w:t>1.3</w:t>
            </w:r>
          </w:p>
        </w:tc>
      </w:tr>
      <w:tr w:rsidR="00CF04BC" w:rsidRPr="00B93493" w14:paraId="5617C543" w14:textId="77777777" w:rsidTr="002E7F54">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3CF78C4C" w14:textId="77777777" w:rsidR="00CF04BC" w:rsidRPr="00B93493" w:rsidRDefault="00CF04BC" w:rsidP="002E7F54">
            <w:pPr>
              <w:pStyle w:val="Tabletext"/>
              <w:rPr>
                <w:szCs w:val="22"/>
              </w:rPr>
            </w:pPr>
            <w:r w:rsidRPr="00B93493">
              <w:rPr>
                <w:szCs w:val="22"/>
              </w:rPr>
              <w:t>UHF</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7FCE1D7E" w14:textId="77777777" w:rsidR="00CF04BC" w:rsidRPr="00B93493" w:rsidRDefault="00CF04BC" w:rsidP="002E7F54">
            <w:pPr>
              <w:pStyle w:val="Tabletext"/>
              <w:jc w:val="center"/>
              <w:rPr>
                <w:szCs w:val="22"/>
              </w:rPr>
            </w:pPr>
            <w:r w:rsidRPr="00B93493">
              <w:rPr>
                <w:szCs w:val="22"/>
              </w:rPr>
              <w:t>300~960 MHz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214E5B78" w14:textId="77777777" w:rsidR="00CF04BC" w:rsidRPr="00B93493" w:rsidRDefault="00CF04BC" w:rsidP="002E7F54">
            <w:pPr>
              <w:pStyle w:val="Tabletext"/>
              <w:jc w:val="center"/>
              <w:rPr>
                <w:szCs w:val="22"/>
              </w:rPr>
            </w:pPr>
            <w:r w:rsidRPr="00B93493">
              <w:rPr>
                <w:szCs w:val="22"/>
              </w:rPr>
              <w:t>1.5</w:t>
            </w:r>
          </w:p>
        </w:tc>
      </w:tr>
      <w:tr w:rsidR="00CF04BC" w:rsidRPr="00B93493" w14:paraId="6EC07CD0" w14:textId="77777777" w:rsidTr="002E7F54">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68F77DCB" w14:textId="77777777" w:rsidR="00CF04BC" w:rsidRPr="00B93493" w:rsidRDefault="00CF04BC" w:rsidP="002E7F54">
            <w:pPr>
              <w:pStyle w:val="Tabletext"/>
            </w:pPr>
            <w:r w:rsidRPr="00B93493">
              <w:rPr>
                <w:szCs w:val="22"/>
              </w:rPr>
              <w:t>Decimetric waves</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79A1C882" w14:textId="77777777" w:rsidR="00CF04BC" w:rsidRPr="00B93493" w:rsidRDefault="00CF04BC" w:rsidP="002E7F54">
            <w:pPr>
              <w:pStyle w:val="Tabletext"/>
              <w:jc w:val="center"/>
              <w:rPr>
                <w:szCs w:val="22"/>
              </w:rPr>
            </w:pPr>
            <w:r w:rsidRPr="00B93493">
              <w:rPr>
                <w:szCs w:val="22"/>
              </w:rPr>
              <w:t>960 MHz~3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4E96156B" w14:textId="77777777" w:rsidR="00CF04BC" w:rsidRPr="00B93493" w:rsidRDefault="00CF04BC" w:rsidP="002E7F54">
            <w:pPr>
              <w:pStyle w:val="Tabletext"/>
              <w:jc w:val="center"/>
              <w:rPr>
                <w:szCs w:val="22"/>
              </w:rPr>
            </w:pPr>
            <w:r w:rsidRPr="00B93493">
              <w:rPr>
                <w:szCs w:val="22"/>
              </w:rPr>
              <w:t>0.1</w:t>
            </w:r>
          </w:p>
        </w:tc>
      </w:tr>
      <w:tr w:rsidR="00CF04BC" w:rsidRPr="00B93493" w14:paraId="5CFD7E1E" w14:textId="77777777" w:rsidTr="002E7F54">
        <w:trPr>
          <w:jc w:val="center"/>
        </w:trPr>
        <w:tc>
          <w:tcPr>
            <w:tcW w:w="2258" w:type="dxa"/>
            <w:vMerge w:val="restar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69813AAF" w14:textId="77777777" w:rsidR="00CF04BC" w:rsidRPr="00B93493" w:rsidRDefault="00CF04BC" w:rsidP="002E7F54">
            <w:pPr>
              <w:pStyle w:val="Tabletext"/>
            </w:pPr>
            <w:r w:rsidRPr="00B93493">
              <w:rPr>
                <w:szCs w:val="22"/>
              </w:rPr>
              <w:t>Centimetric waves</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DB546FC" w14:textId="77777777" w:rsidR="00CF04BC" w:rsidRPr="00B93493" w:rsidRDefault="00CF04BC" w:rsidP="002E7F54">
            <w:pPr>
              <w:pStyle w:val="Tabletext"/>
              <w:jc w:val="center"/>
              <w:rPr>
                <w:b/>
                <w:szCs w:val="22"/>
              </w:rPr>
            </w:pPr>
            <w:r w:rsidRPr="00B93493">
              <w:rPr>
                <w:szCs w:val="22"/>
              </w:rPr>
              <w:t>3~1</w:t>
            </w:r>
            <w:r w:rsidRPr="00B93493">
              <w:rPr>
                <w:szCs w:val="22"/>
                <w:lang w:eastAsia="ko-KR"/>
              </w:rPr>
              <w:t>0</w:t>
            </w:r>
            <w:r w:rsidRPr="00B93493">
              <w:rPr>
                <w:szCs w:val="22"/>
              </w:rPr>
              <w:t xml:space="preserve">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4E70EB3E" w14:textId="77777777" w:rsidR="00CF04BC" w:rsidRPr="00B93493" w:rsidRDefault="00CF04BC" w:rsidP="002E7F54">
            <w:pPr>
              <w:pStyle w:val="Tabletext"/>
              <w:jc w:val="center"/>
              <w:rPr>
                <w:szCs w:val="22"/>
                <w:lang w:eastAsia="ko-KR"/>
              </w:rPr>
            </w:pPr>
            <w:r w:rsidRPr="00B93493">
              <w:rPr>
                <w:szCs w:val="22"/>
                <w:lang w:eastAsia="ko-KR"/>
              </w:rPr>
              <w:t>0.0234</w:t>
            </w:r>
          </w:p>
        </w:tc>
      </w:tr>
      <w:tr w:rsidR="00CF04BC" w:rsidRPr="00B93493" w14:paraId="0D4C14CC" w14:textId="77777777" w:rsidTr="002E7F54">
        <w:trPr>
          <w:jc w:val="center"/>
        </w:trPr>
        <w:tc>
          <w:tcPr>
            <w:tcW w:w="2258" w:type="dxa"/>
            <w:vMerge/>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3DC2184" w14:textId="77777777" w:rsidR="00CF04BC" w:rsidRPr="00B93493" w:rsidRDefault="00CF04BC" w:rsidP="002E7F54">
            <w:pPr>
              <w:pStyle w:val="Tabletext"/>
              <w:rPr>
                <w:szCs w:val="22"/>
              </w:rPr>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2EFE658C" w14:textId="77777777" w:rsidR="00CF04BC" w:rsidRPr="00B93493" w:rsidRDefault="00CF04BC" w:rsidP="002E7F54">
            <w:pPr>
              <w:pStyle w:val="Tabletext"/>
              <w:jc w:val="center"/>
              <w:rPr>
                <w:szCs w:val="22"/>
              </w:rPr>
            </w:pPr>
            <w:r w:rsidRPr="00B93493">
              <w:rPr>
                <w:szCs w:val="22"/>
              </w:rPr>
              <w:t>1</w:t>
            </w:r>
            <w:r w:rsidRPr="00B93493">
              <w:rPr>
                <w:szCs w:val="22"/>
                <w:lang w:eastAsia="ko-KR"/>
              </w:rPr>
              <w:t>0</w:t>
            </w:r>
            <w:r w:rsidRPr="00B93493">
              <w:rPr>
                <w:szCs w:val="22"/>
              </w:rPr>
              <w:t>~ 30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708A8638" w14:textId="77777777" w:rsidR="00CF04BC" w:rsidRPr="00B93493" w:rsidRDefault="00CF04BC" w:rsidP="002E7F54">
            <w:pPr>
              <w:pStyle w:val="Tabletext"/>
              <w:jc w:val="center"/>
              <w:rPr>
                <w:szCs w:val="22"/>
                <w:lang w:eastAsia="ko-KR"/>
              </w:rPr>
            </w:pPr>
            <w:r w:rsidRPr="00B93493">
              <w:rPr>
                <w:szCs w:val="22"/>
                <w:lang w:eastAsia="ko-KR"/>
              </w:rPr>
              <w:t>0.0034</w:t>
            </w:r>
          </w:p>
        </w:tc>
      </w:tr>
      <w:tr w:rsidR="00CF04BC" w:rsidRPr="00B93493" w14:paraId="188B5458" w14:textId="77777777" w:rsidTr="002E7F54">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3AC692BA" w14:textId="77777777" w:rsidR="00CF04BC" w:rsidRPr="00B93493" w:rsidRDefault="00CF04BC" w:rsidP="002E7F54">
            <w:pPr>
              <w:pStyle w:val="Tabletext"/>
            </w:pPr>
            <w:r w:rsidRPr="00B93493">
              <w:rPr>
                <w:szCs w:val="22"/>
              </w:rPr>
              <w:t>Millimetric  waves</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6EF7C162" w14:textId="77777777" w:rsidR="00CF04BC" w:rsidRPr="00B93493" w:rsidRDefault="00CF04BC" w:rsidP="002E7F54">
            <w:pPr>
              <w:pStyle w:val="Tabletext"/>
              <w:jc w:val="center"/>
              <w:rPr>
                <w:szCs w:val="22"/>
              </w:rPr>
            </w:pPr>
            <w:r w:rsidRPr="00B93493">
              <w:rPr>
                <w:rFonts w:ascii="Symbol" w:eastAsia="Symbol" w:hAnsi="Symbol" w:cs="Symbol"/>
                <w:szCs w:val="22"/>
              </w:rPr>
              <w:t></w:t>
            </w:r>
            <w:r w:rsidRPr="00B93493">
              <w:rPr>
                <w:szCs w:val="22"/>
              </w:rPr>
              <w:t xml:space="preserve"> 30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31C2C84F" w14:textId="77777777" w:rsidR="00CF04BC" w:rsidRPr="00B93493" w:rsidRDefault="00CF04BC" w:rsidP="002E7F54">
            <w:pPr>
              <w:pStyle w:val="Tabletext"/>
              <w:jc w:val="center"/>
              <w:rPr>
                <w:szCs w:val="22"/>
                <w:lang w:eastAsia="ko-KR"/>
              </w:rPr>
            </w:pPr>
            <w:r w:rsidRPr="00B93493">
              <w:rPr>
                <w:szCs w:val="22"/>
                <w:lang w:eastAsia="ko-KR"/>
              </w:rPr>
              <w:t>0.0004</w:t>
            </w:r>
          </w:p>
        </w:tc>
      </w:tr>
    </w:tbl>
    <w:p w14:paraId="1D29C95A" w14:textId="77777777" w:rsidR="00CF04BC" w:rsidRDefault="00CF04BC" w:rsidP="00CF04BC">
      <w:pPr>
        <w:spacing w:after="120"/>
      </w:pPr>
      <w:bookmarkStart w:id="2472" w:name="_Toc462234165"/>
      <w:bookmarkStart w:id="2473" w:name="_Toc454285001"/>
      <w:r w:rsidRPr="00B93493">
        <w:t xml:space="preserve">Frequency use pattern factor, </w:t>
      </w:r>
      <w:r w:rsidRPr="00B93493">
        <w:rPr>
          <w:i/>
          <w:iCs/>
        </w:rPr>
        <w:t>U</w:t>
      </w:r>
      <w:bookmarkEnd w:id="2472"/>
      <w:bookmarkEnd w:id="2473"/>
      <w:r w:rsidRPr="00B93493">
        <w:rPr>
          <w:i/>
          <w:iCs/>
          <w:vertAlign w:val="subscript"/>
        </w:rPr>
        <w:t>f</w:t>
      </w:r>
      <w:r w:rsidRPr="00B93493">
        <w:t xml:space="preserve"> :</w:t>
      </w:r>
    </w:p>
    <w:p w14:paraId="671E3AF0" w14:textId="77777777" w:rsidR="00CF04BC" w:rsidRPr="00216068" w:rsidRDefault="00CF04BC" w:rsidP="00CF04BC">
      <w:pPr>
        <w:pStyle w:val="TableNo"/>
        <w:rPr>
          <w:b/>
          <w:lang w:eastAsia="zh-CN"/>
        </w:rPr>
      </w:pPr>
      <w:r w:rsidRPr="00B93493">
        <w:t xml:space="preserve">TABLE </w:t>
      </w:r>
      <w:r>
        <w:rPr>
          <w:rFonts w:hint="eastAsia"/>
          <w:lang w:eastAsia="zh-CN"/>
        </w:rPr>
        <w:t>45</w:t>
      </w:r>
    </w:p>
    <w:tbl>
      <w:tblPr>
        <w:tblW w:w="53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4A0" w:firstRow="1" w:lastRow="0" w:firstColumn="1" w:lastColumn="0" w:noHBand="0" w:noVBand="1"/>
      </w:tblPr>
      <w:tblGrid>
        <w:gridCol w:w="2986"/>
        <w:gridCol w:w="2333"/>
      </w:tblGrid>
      <w:tr w:rsidR="00CF04BC" w:rsidRPr="00B93493" w14:paraId="5486C512" w14:textId="77777777" w:rsidTr="002E7F54">
        <w:trPr>
          <w:jc w:val="center"/>
        </w:trPr>
        <w:tc>
          <w:tcPr>
            <w:tcW w:w="298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0DC800B4" w14:textId="77777777" w:rsidR="00CF04BC" w:rsidRPr="00B93493" w:rsidRDefault="00CF04BC" w:rsidP="002E7F54">
            <w:pPr>
              <w:pStyle w:val="Tablehead"/>
              <w:rPr>
                <w:szCs w:val="22"/>
              </w:rPr>
            </w:pPr>
            <w:r w:rsidRPr="00B93493">
              <w:rPr>
                <w:szCs w:val="22"/>
                <w:lang w:eastAsia="ko-KR"/>
              </w:rPr>
              <w:t>Frequency use pattern</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4CCFA200" w14:textId="77777777" w:rsidR="00CF04BC" w:rsidRPr="00B93493" w:rsidRDefault="00CF04BC" w:rsidP="002E7F54">
            <w:pPr>
              <w:pStyle w:val="Tablehead"/>
              <w:rPr>
                <w:szCs w:val="22"/>
              </w:rPr>
            </w:pPr>
            <w:r w:rsidRPr="00B93493">
              <w:rPr>
                <w:szCs w:val="22"/>
              </w:rPr>
              <w:t>Factor</w:t>
            </w:r>
          </w:p>
        </w:tc>
      </w:tr>
      <w:tr w:rsidR="00CF04BC" w:rsidRPr="00B93493" w14:paraId="7E13C56F" w14:textId="77777777" w:rsidTr="002E7F54">
        <w:trPr>
          <w:jc w:val="center"/>
        </w:trPr>
        <w:tc>
          <w:tcPr>
            <w:tcW w:w="298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51433308" w14:textId="77777777" w:rsidR="00CF04BC" w:rsidRPr="00B93493" w:rsidRDefault="00CF04BC" w:rsidP="002E7F54">
            <w:pPr>
              <w:pStyle w:val="Tabletext"/>
              <w:rPr>
                <w:szCs w:val="22"/>
              </w:rPr>
            </w:pPr>
            <w:r w:rsidRPr="00B93493">
              <w:rPr>
                <w:szCs w:val="22"/>
                <w:lang w:eastAsia="ko-KR"/>
              </w:rPr>
              <w:t>Exclusive</w:t>
            </w:r>
            <w:r w:rsidRPr="00B93493">
              <w:rPr>
                <w:szCs w:val="22"/>
              </w:rPr>
              <w:t xml:space="preserve"> use</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A099E8A" w14:textId="77777777" w:rsidR="00CF04BC" w:rsidRPr="00B93493" w:rsidRDefault="00CF04BC" w:rsidP="002E7F54">
            <w:pPr>
              <w:pStyle w:val="Tabletext"/>
              <w:jc w:val="center"/>
              <w:rPr>
                <w:szCs w:val="22"/>
              </w:rPr>
            </w:pPr>
            <w:r w:rsidRPr="00B93493">
              <w:rPr>
                <w:szCs w:val="22"/>
              </w:rPr>
              <w:t>1</w:t>
            </w:r>
          </w:p>
        </w:tc>
      </w:tr>
      <w:tr w:rsidR="00CF04BC" w:rsidRPr="00B93493" w14:paraId="3673CBA3" w14:textId="77777777" w:rsidTr="002E7F54">
        <w:trPr>
          <w:jc w:val="center"/>
        </w:trPr>
        <w:tc>
          <w:tcPr>
            <w:tcW w:w="298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578A2118" w14:textId="77777777" w:rsidR="00CF04BC" w:rsidRPr="00B93493" w:rsidRDefault="00CF04BC" w:rsidP="002E7F54">
            <w:pPr>
              <w:pStyle w:val="Tabletext"/>
              <w:rPr>
                <w:szCs w:val="22"/>
              </w:rPr>
            </w:pPr>
            <w:r w:rsidRPr="00B93493">
              <w:rPr>
                <w:szCs w:val="22"/>
              </w:rPr>
              <w:t>Common use</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6924739A" w14:textId="77777777" w:rsidR="00CF04BC" w:rsidRPr="00B93493" w:rsidRDefault="00CF04BC" w:rsidP="002E7F54">
            <w:pPr>
              <w:pStyle w:val="Tabletext"/>
              <w:jc w:val="center"/>
              <w:rPr>
                <w:szCs w:val="22"/>
              </w:rPr>
            </w:pPr>
            <w:r w:rsidRPr="00B93493">
              <w:rPr>
                <w:szCs w:val="22"/>
              </w:rPr>
              <w:t>0.1</w:t>
            </w:r>
          </w:p>
        </w:tc>
      </w:tr>
    </w:tbl>
    <w:p w14:paraId="13580D40" w14:textId="77777777" w:rsidR="00CF04BC" w:rsidRPr="00B93493" w:rsidRDefault="00CF04BC" w:rsidP="00CF04BC">
      <w:pPr>
        <w:pStyle w:val="Note"/>
        <w:rPr>
          <w:lang w:eastAsia="ko-KR"/>
        </w:rPr>
      </w:pPr>
      <w:r w:rsidRPr="00B93493">
        <w:t>NOTE</w:t>
      </w:r>
      <w:r w:rsidRPr="00B93493">
        <w:rPr>
          <w:lang w:eastAsia="ko-KR"/>
        </w:rPr>
        <w:t xml:space="preserve"> – Exclusive</w:t>
      </w:r>
      <w:r w:rsidRPr="00B93493">
        <w:t xml:space="preserve"> </w:t>
      </w:r>
      <w:r w:rsidRPr="00B93493">
        <w:rPr>
          <w:lang w:eastAsia="ko-KR"/>
        </w:rPr>
        <w:t>use occurs when an operator uses a</w:t>
      </w:r>
      <w:r w:rsidRPr="00B93493">
        <w:t xml:space="preserve"> frequency exclusively over a country or region,</w:t>
      </w:r>
      <w:r w:rsidRPr="00B93493">
        <w:rPr>
          <w:lang w:eastAsia="ko-KR"/>
        </w:rPr>
        <w:t xml:space="preserve"> and </w:t>
      </w:r>
      <w:r w:rsidRPr="00B93493">
        <w:t>common use</w:t>
      </w:r>
      <w:r w:rsidRPr="00B93493">
        <w:rPr>
          <w:b/>
          <w:bCs/>
        </w:rPr>
        <w:t xml:space="preserve"> </w:t>
      </w:r>
      <w:r w:rsidRPr="00B93493">
        <w:t xml:space="preserve">occurs when an operator </w:t>
      </w:r>
      <w:r w:rsidRPr="00B93493">
        <w:rPr>
          <w:lang w:eastAsia="ko-KR"/>
        </w:rPr>
        <w:t>uses a</w:t>
      </w:r>
      <w:r w:rsidRPr="00B93493">
        <w:t xml:space="preserve"> frequency non</w:t>
      </w:r>
      <w:r w:rsidRPr="00B93493">
        <w:noBreakHyphen/>
        <w:t>exclusively over a country or region.</w:t>
      </w:r>
    </w:p>
    <w:p w14:paraId="34010C58" w14:textId="77777777" w:rsidR="00CF04BC" w:rsidRDefault="00CF04BC" w:rsidP="00CF04BC">
      <w:pPr>
        <w:spacing w:after="120"/>
        <w:rPr>
          <w:lang w:eastAsia="ko-KR"/>
        </w:rPr>
      </w:pPr>
      <w:bookmarkStart w:id="2474" w:name="_Toc454285002"/>
      <w:bookmarkStart w:id="2475" w:name="_Toc462234166"/>
      <w:r w:rsidRPr="00B93493">
        <w:rPr>
          <w:lang w:eastAsia="ko-KR"/>
        </w:rPr>
        <w:t>Operating p</w:t>
      </w:r>
      <w:r w:rsidRPr="00B93493">
        <w:t>urpose factor,</w:t>
      </w:r>
      <w:r w:rsidRPr="00B93493">
        <w:rPr>
          <w:lang w:eastAsia="ko-KR"/>
        </w:rPr>
        <w:t xml:space="preserve"> </w:t>
      </w:r>
      <w:r w:rsidRPr="00B93493">
        <w:rPr>
          <w:bCs/>
          <w:i/>
          <w:sz w:val="22"/>
          <w:szCs w:val="22"/>
        </w:rPr>
        <w:t>O</w:t>
      </w:r>
      <w:r w:rsidRPr="00B93493">
        <w:rPr>
          <w:bCs/>
          <w:i/>
          <w:sz w:val="22"/>
          <w:szCs w:val="22"/>
          <w:vertAlign w:val="subscript"/>
        </w:rPr>
        <w:t>f</w:t>
      </w:r>
      <w:r w:rsidRPr="00B93493">
        <w:t xml:space="preserve"> </w:t>
      </w:r>
      <w:r w:rsidRPr="00B93493">
        <w:rPr>
          <w:lang w:eastAsia="ko-KR"/>
        </w:rPr>
        <w:t>:</w:t>
      </w:r>
      <w:bookmarkEnd w:id="2474"/>
      <w:bookmarkEnd w:id="2475"/>
    </w:p>
    <w:p w14:paraId="2743595F" w14:textId="77777777" w:rsidR="00CF04BC" w:rsidRPr="00216068" w:rsidRDefault="00CF04BC" w:rsidP="00CF04BC">
      <w:pPr>
        <w:pStyle w:val="TableNo"/>
        <w:rPr>
          <w:b/>
          <w:lang w:eastAsia="zh-CN"/>
        </w:rPr>
      </w:pPr>
      <w:r>
        <w:t>TABLE 4</w:t>
      </w:r>
      <w:r>
        <w:rPr>
          <w:rFonts w:hint="eastAsia"/>
          <w:lang w:eastAsia="zh-CN"/>
        </w:rPr>
        <w:t>6</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4A0" w:firstRow="1" w:lastRow="0" w:firstColumn="1" w:lastColumn="0" w:noHBand="0" w:noVBand="1"/>
      </w:tblPr>
      <w:tblGrid>
        <w:gridCol w:w="7678"/>
        <w:gridCol w:w="1951"/>
      </w:tblGrid>
      <w:tr w:rsidR="00CF04BC" w:rsidRPr="00B93493" w14:paraId="3C28EEFC"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5DC85D56" w14:textId="77777777" w:rsidR="00CF04BC" w:rsidRPr="00B93493" w:rsidRDefault="00CF04BC" w:rsidP="002E7F54">
            <w:pPr>
              <w:pStyle w:val="Tablehead"/>
              <w:rPr>
                <w:szCs w:val="22"/>
                <w:lang w:eastAsia="ko-KR"/>
              </w:rPr>
            </w:pPr>
            <w:r w:rsidRPr="00B93493">
              <w:rPr>
                <w:szCs w:val="22"/>
              </w:rPr>
              <w:t>Operating purpose</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6AB1A58C" w14:textId="77777777" w:rsidR="00CF04BC" w:rsidRPr="00B93493" w:rsidRDefault="00CF04BC" w:rsidP="002E7F54">
            <w:pPr>
              <w:pStyle w:val="Tablehead"/>
              <w:rPr>
                <w:szCs w:val="22"/>
              </w:rPr>
            </w:pPr>
            <w:r w:rsidRPr="00B93493">
              <w:rPr>
                <w:szCs w:val="22"/>
              </w:rPr>
              <w:t>Factor</w:t>
            </w:r>
          </w:p>
        </w:tc>
      </w:tr>
      <w:tr w:rsidR="00CF04BC" w:rsidRPr="00B93493" w14:paraId="4D368FD2"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09650E72" w14:textId="77777777" w:rsidR="00CF04BC" w:rsidRPr="00B93493" w:rsidRDefault="00CF04BC" w:rsidP="002E7F54">
            <w:pPr>
              <w:pStyle w:val="Tabletext"/>
              <w:rPr>
                <w:szCs w:val="22"/>
              </w:rPr>
            </w:pPr>
            <w:r w:rsidRPr="00B93493">
              <w:rPr>
                <w:szCs w:val="22"/>
              </w:rPr>
              <w:t>Radio</w:t>
            </w:r>
            <w:r w:rsidRPr="00B93493">
              <w:rPr>
                <w:szCs w:val="22"/>
                <w:lang w:eastAsia="ko-KR"/>
              </w:rPr>
              <w:t xml:space="preserve"> </w:t>
            </w:r>
            <w:r w:rsidRPr="00B93493">
              <w:rPr>
                <w:szCs w:val="22"/>
              </w:rPr>
              <w:t>navigation services (radar, transponder, distance estimator, radio altimeter)</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4E7D72D" w14:textId="77777777" w:rsidR="00CF04BC" w:rsidRPr="00B93493" w:rsidRDefault="00CF04BC" w:rsidP="002E7F54">
            <w:pPr>
              <w:pStyle w:val="Tabletext"/>
              <w:jc w:val="center"/>
              <w:rPr>
                <w:szCs w:val="22"/>
              </w:rPr>
            </w:pPr>
            <w:r w:rsidRPr="00B93493">
              <w:rPr>
                <w:szCs w:val="22"/>
              </w:rPr>
              <w:t>0.5</w:t>
            </w:r>
          </w:p>
        </w:tc>
      </w:tr>
      <w:tr w:rsidR="00CF04BC" w:rsidRPr="00B93493" w14:paraId="70185BD4"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41384727" w14:textId="77777777" w:rsidR="00CF04BC" w:rsidRPr="00B93493" w:rsidRDefault="00CF04BC" w:rsidP="002E7F54">
            <w:pPr>
              <w:pStyle w:val="Tabletext"/>
              <w:rPr>
                <w:szCs w:val="22"/>
              </w:rPr>
            </w:pPr>
            <w:r w:rsidRPr="00B93493">
              <w:rPr>
                <w:szCs w:val="22"/>
              </w:rPr>
              <w:t>Radio</w:t>
            </w:r>
            <w:r w:rsidRPr="00B93493">
              <w:rPr>
                <w:szCs w:val="22"/>
                <w:lang w:eastAsia="ko-KR"/>
              </w:rPr>
              <w:t xml:space="preserve"> </w:t>
            </w:r>
            <w:r w:rsidRPr="00B93493">
              <w:rPr>
                <w:szCs w:val="22"/>
              </w:rPr>
              <w:t>telemetry (including detection and beacon) services</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270E712C" w14:textId="77777777" w:rsidR="00CF04BC" w:rsidRPr="00B93493" w:rsidRDefault="00CF04BC" w:rsidP="002E7F54">
            <w:pPr>
              <w:pStyle w:val="Tabletext"/>
              <w:jc w:val="center"/>
              <w:rPr>
                <w:rFonts w:eastAsia="???"/>
                <w:szCs w:val="22"/>
              </w:rPr>
            </w:pPr>
            <w:r w:rsidRPr="00B93493">
              <w:rPr>
                <w:rFonts w:eastAsia="???"/>
                <w:szCs w:val="22"/>
              </w:rPr>
              <w:t>0.1</w:t>
            </w:r>
          </w:p>
        </w:tc>
      </w:tr>
      <w:tr w:rsidR="00CF04BC" w:rsidRPr="00B93493" w14:paraId="11721EFA"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7187D2B7" w14:textId="77777777" w:rsidR="00CF04BC" w:rsidRPr="00B93493" w:rsidRDefault="00CF04BC" w:rsidP="002E7F54">
            <w:pPr>
              <w:pStyle w:val="Tabletext"/>
              <w:rPr>
                <w:szCs w:val="22"/>
              </w:rPr>
            </w:pPr>
            <w:r w:rsidRPr="00B93493">
              <w:rPr>
                <w:szCs w:val="22"/>
              </w:rPr>
              <w:t>Other services</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2ABBCAE" w14:textId="77777777" w:rsidR="00CF04BC" w:rsidRPr="00B93493" w:rsidRDefault="00CF04BC" w:rsidP="002E7F54">
            <w:pPr>
              <w:pStyle w:val="Tabletext"/>
              <w:jc w:val="center"/>
              <w:rPr>
                <w:szCs w:val="22"/>
              </w:rPr>
            </w:pPr>
            <w:r w:rsidRPr="00B93493">
              <w:rPr>
                <w:szCs w:val="22"/>
              </w:rPr>
              <w:t>1</w:t>
            </w:r>
          </w:p>
        </w:tc>
      </w:tr>
    </w:tbl>
    <w:p w14:paraId="621B2667" w14:textId="77777777" w:rsidR="00CF04BC" w:rsidRDefault="00CF04BC" w:rsidP="00CF04BC">
      <w:pPr>
        <w:keepNext/>
        <w:keepLines/>
        <w:spacing w:before="360" w:after="120"/>
        <w:rPr>
          <w:lang w:eastAsia="ko-KR"/>
        </w:rPr>
      </w:pPr>
      <w:r w:rsidRPr="00B93493">
        <w:rPr>
          <w:lang w:eastAsia="ko-KR"/>
        </w:rPr>
        <w:t>The fee-waiver factors of facility sharing and</w:t>
      </w:r>
      <w:r w:rsidRPr="00B93493">
        <w:rPr>
          <w:rFonts w:ascii="Batang" w:hAnsi="Batang"/>
          <w:lang w:eastAsia="ko-KR"/>
        </w:rPr>
        <w:t xml:space="preserve"> </w:t>
      </w:r>
      <w:r w:rsidRPr="00B93493">
        <w:rPr>
          <w:lang w:eastAsia="ko-KR"/>
        </w:rPr>
        <w:t>eco-friendly:</w:t>
      </w:r>
    </w:p>
    <w:p w14:paraId="469D1622" w14:textId="77777777" w:rsidR="00CF04BC" w:rsidRPr="00216068" w:rsidRDefault="00CF04BC" w:rsidP="00CF04BC">
      <w:pPr>
        <w:pStyle w:val="TableNo"/>
        <w:rPr>
          <w:b/>
          <w:lang w:eastAsia="zh-CN"/>
        </w:rPr>
      </w:pPr>
      <w:r>
        <w:t>TABLE 4</w:t>
      </w:r>
      <w:r>
        <w:rPr>
          <w:rFonts w:hint="eastAsia"/>
          <w:lang w:eastAsia="zh-CN"/>
        </w:rPr>
        <w:t>7</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21"/>
        <w:gridCol w:w="634"/>
        <w:gridCol w:w="805"/>
        <w:gridCol w:w="805"/>
        <w:gridCol w:w="805"/>
        <w:gridCol w:w="805"/>
        <w:gridCol w:w="805"/>
        <w:gridCol w:w="805"/>
        <w:gridCol w:w="805"/>
        <w:gridCol w:w="805"/>
        <w:gridCol w:w="634"/>
      </w:tblGrid>
      <w:tr w:rsidR="00CF04BC" w:rsidRPr="00B93493" w14:paraId="0D4C10B3" w14:textId="77777777" w:rsidTr="002E7F54">
        <w:trPr>
          <w:jc w:val="center"/>
        </w:trPr>
        <w:tc>
          <w:tcPr>
            <w:tcW w:w="998"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66F297" w14:textId="77777777" w:rsidR="00CF04BC" w:rsidRPr="00B93493" w:rsidRDefault="00CF04BC" w:rsidP="00C65E6B">
            <w:pPr>
              <w:pStyle w:val="Tabletext"/>
              <w:jc w:val="left"/>
              <w:rPr>
                <w:lang w:eastAsia="ko-KR"/>
              </w:rPr>
            </w:pPr>
            <w:r w:rsidRPr="00B93493">
              <w:rPr>
                <w:lang w:eastAsia="ko-KR"/>
              </w:rPr>
              <w:t>Facility sharing ratio and roaming ratio (%)</w:t>
            </w:r>
          </w:p>
        </w:tc>
        <w:tc>
          <w:tcPr>
            <w:tcW w:w="3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755555" w14:textId="77777777" w:rsidR="00CF04BC" w:rsidRPr="00B93493" w:rsidRDefault="00CF04BC" w:rsidP="002E7F54">
            <w:pPr>
              <w:pStyle w:val="Tabletext"/>
              <w:jc w:val="center"/>
              <w:rPr>
                <w:lang w:eastAsia="ko-KR"/>
              </w:rPr>
            </w:pPr>
            <w:r w:rsidRPr="00B93493">
              <w:rPr>
                <w:lang w:eastAsia="ko-KR"/>
              </w:rPr>
              <w:t>&lt;10</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78CDA" w14:textId="77777777" w:rsidR="00CF04BC" w:rsidRPr="00B93493" w:rsidRDefault="00CF04BC" w:rsidP="002E7F54">
            <w:pPr>
              <w:pStyle w:val="Tabletext"/>
              <w:jc w:val="center"/>
              <w:rPr>
                <w:lang w:eastAsia="ko-KR"/>
              </w:rPr>
            </w:pPr>
            <w:r w:rsidRPr="00B93493">
              <w:rPr>
                <w:lang w:eastAsia="ko-KR"/>
              </w:rPr>
              <w:t>10~20</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C33B1F" w14:textId="77777777" w:rsidR="00CF04BC" w:rsidRPr="00B93493" w:rsidRDefault="00CF04BC" w:rsidP="002E7F54">
            <w:pPr>
              <w:pStyle w:val="Tabletext"/>
              <w:jc w:val="center"/>
              <w:rPr>
                <w:lang w:eastAsia="ko-KR"/>
              </w:rPr>
            </w:pPr>
            <w:r w:rsidRPr="00B93493">
              <w:rPr>
                <w:lang w:eastAsia="ko-KR"/>
              </w:rPr>
              <w:t>20~30</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BFE961" w14:textId="77777777" w:rsidR="00CF04BC" w:rsidRPr="00B93493" w:rsidRDefault="00CF04BC" w:rsidP="002E7F54">
            <w:pPr>
              <w:pStyle w:val="Tabletext"/>
              <w:jc w:val="center"/>
              <w:rPr>
                <w:lang w:eastAsia="ko-KR"/>
              </w:rPr>
            </w:pPr>
            <w:r w:rsidRPr="00B93493">
              <w:rPr>
                <w:lang w:eastAsia="ko-KR"/>
              </w:rPr>
              <w:t>30~40</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91544" w14:textId="77777777" w:rsidR="00CF04BC" w:rsidRPr="00B93493" w:rsidRDefault="00CF04BC" w:rsidP="002E7F54">
            <w:pPr>
              <w:pStyle w:val="Tabletext"/>
              <w:jc w:val="center"/>
              <w:rPr>
                <w:lang w:eastAsia="ko-KR"/>
              </w:rPr>
            </w:pPr>
            <w:r w:rsidRPr="00B93493">
              <w:rPr>
                <w:lang w:eastAsia="ko-KR"/>
              </w:rPr>
              <w:t>40~45</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61A240" w14:textId="77777777" w:rsidR="00CF04BC" w:rsidRPr="00B93493" w:rsidRDefault="00CF04BC" w:rsidP="002E7F54">
            <w:pPr>
              <w:pStyle w:val="Tabletext"/>
              <w:jc w:val="center"/>
              <w:rPr>
                <w:lang w:eastAsia="ko-KR"/>
              </w:rPr>
            </w:pPr>
            <w:r w:rsidRPr="00B93493">
              <w:rPr>
                <w:lang w:eastAsia="ko-KR"/>
              </w:rPr>
              <w:t>45~50</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9A5535" w14:textId="77777777" w:rsidR="00CF04BC" w:rsidRPr="00B93493" w:rsidRDefault="00CF04BC" w:rsidP="002E7F54">
            <w:pPr>
              <w:pStyle w:val="Tabletext"/>
              <w:jc w:val="center"/>
              <w:rPr>
                <w:lang w:eastAsia="ko-KR"/>
              </w:rPr>
            </w:pPr>
            <w:r w:rsidRPr="00B93493">
              <w:rPr>
                <w:lang w:eastAsia="ko-KR"/>
              </w:rPr>
              <w:t>50~55</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C391B8" w14:textId="77777777" w:rsidR="00CF04BC" w:rsidRPr="00B93493" w:rsidRDefault="00CF04BC" w:rsidP="002E7F54">
            <w:pPr>
              <w:pStyle w:val="Tabletext"/>
              <w:jc w:val="center"/>
              <w:rPr>
                <w:lang w:eastAsia="ko-KR"/>
              </w:rPr>
            </w:pPr>
            <w:r w:rsidRPr="00B93493">
              <w:rPr>
                <w:lang w:eastAsia="ko-KR"/>
              </w:rPr>
              <w:t>55~60</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BA13EA" w14:textId="77777777" w:rsidR="00CF04BC" w:rsidRPr="00B93493" w:rsidRDefault="00CF04BC" w:rsidP="002E7F54">
            <w:pPr>
              <w:pStyle w:val="Tabletext"/>
              <w:jc w:val="center"/>
              <w:rPr>
                <w:lang w:eastAsia="ko-KR"/>
              </w:rPr>
            </w:pPr>
            <w:r w:rsidRPr="00B93493">
              <w:rPr>
                <w:lang w:eastAsia="ko-KR"/>
              </w:rPr>
              <w:t>60~70</w:t>
            </w:r>
          </w:p>
        </w:tc>
        <w:tc>
          <w:tcPr>
            <w:tcW w:w="3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9ACA34" w14:textId="77777777" w:rsidR="00CF04BC" w:rsidRPr="00B93493" w:rsidRDefault="00CF04BC" w:rsidP="002E7F54">
            <w:pPr>
              <w:pStyle w:val="Tabletext"/>
              <w:jc w:val="center"/>
              <w:rPr>
                <w:lang w:eastAsia="ko-KR"/>
              </w:rPr>
            </w:pPr>
            <w:r w:rsidRPr="00B93493">
              <w:rPr>
                <w:lang w:eastAsia="ko-KR"/>
              </w:rPr>
              <w:t>&gt;70</w:t>
            </w:r>
          </w:p>
        </w:tc>
      </w:tr>
      <w:tr w:rsidR="00CF04BC" w:rsidRPr="00B93493" w14:paraId="46EDF21D" w14:textId="77777777" w:rsidTr="002E7F54">
        <w:trPr>
          <w:jc w:val="center"/>
        </w:trPr>
        <w:tc>
          <w:tcPr>
            <w:tcW w:w="998"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95468" w14:textId="77777777" w:rsidR="00CF04BC" w:rsidRPr="00B93493" w:rsidRDefault="00CF04BC" w:rsidP="00C65E6B">
            <w:pPr>
              <w:pStyle w:val="Tabletext"/>
              <w:jc w:val="left"/>
              <w:rPr>
                <w:lang w:eastAsia="ko-KR"/>
              </w:rPr>
            </w:pPr>
            <w:r w:rsidRPr="00B93493">
              <w:rPr>
                <w:lang w:eastAsia="ko-KR"/>
              </w:rPr>
              <w:t>Facility sharing fee-waiver factor</w:t>
            </w:r>
          </w:p>
        </w:tc>
        <w:tc>
          <w:tcPr>
            <w:tcW w:w="3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97E828" w14:textId="77777777" w:rsidR="00CF04BC" w:rsidRPr="00B93493" w:rsidRDefault="00CF04BC" w:rsidP="002E7F54">
            <w:pPr>
              <w:pStyle w:val="Tabletext"/>
              <w:jc w:val="center"/>
              <w:rPr>
                <w:lang w:eastAsia="ko-KR"/>
              </w:rPr>
            </w:pPr>
            <w:r w:rsidRPr="00B93493">
              <w:rPr>
                <w:lang w:eastAsia="ko-KR"/>
              </w:rPr>
              <w:t>0.01</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B22039" w14:textId="77777777" w:rsidR="00CF04BC" w:rsidRPr="00B93493" w:rsidRDefault="00CF04BC" w:rsidP="002E7F54">
            <w:pPr>
              <w:pStyle w:val="Tabletext"/>
              <w:jc w:val="center"/>
              <w:rPr>
                <w:lang w:eastAsia="ko-KR"/>
              </w:rPr>
            </w:pPr>
            <w:r w:rsidRPr="00B93493">
              <w:rPr>
                <w:lang w:eastAsia="ko-KR"/>
              </w:rPr>
              <w:t>0.02</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8AEE71" w14:textId="77777777" w:rsidR="00CF04BC" w:rsidRPr="00B93493" w:rsidRDefault="00CF04BC" w:rsidP="002E7F54">
            <w:pPr>
              <w:pStyle w:val="Tabletext"/>
              <w:jc w:val="center"/>
              <w:rPr>
                <w:lang w:eastAsia="ko-KR"/>
              </w:rPr>
            </w:pPr>
            <w:r w:rsidRPr="00B93493">
              <w:rPr>
                <w:lang w:eastAsia="ko-KR"/>
              </w:rPr>
              <w:t>0.03</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EA46AF" w14:textId="77777777" w:rsidR="00CF04BC" w:rsidRPr="00B93493" w:rsidRDefault="00CF04BC" w:rsidP="002E7F54">
            <w:pPr>
              <w:pStyle w:val="Tabletext"/>
              <w:jc w:val="center"/>
              <w:rPr>
                <w:lang w:eastAsia="ko-KR"/>
              </w:rPr>
            </w:pPr>
            <w:r w:rsidRPr="00B93493">
              <w:rPr>
                <w:lang w:eastAsia="ko-KR"/>
              </w:rPr>
              <w:t>0.04</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6750D" w14:textId="77777777" w:rsidR="00CF04BC" w:rsidRPr="00B93493" w:rsidRDefault="00CF04BC" w:rsidP="002E7F54">
            <w:pPr>
              <w:pStyle w:val="Tabletext"/>
              <w:jc w:val="center"/>
              <w:rPr>
                <w:lang w:eastAsia="ko-KR"/>
              </w:rPr>
            </w:pPr>
            <w:r w:rsidRPr="00B93493">
              <w:rPr>
                <w:lang w:eastAsia="ko-KR"/>
              </w:rPr>
              <w:t>0.05</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E54685" w14:textId="77777777" w:rsidR="00CF04BC" w:rsidRPr="00B93493" w:rsidRDefault="00CF04BC" w:rsidP="002E7F54">
            <w:pPr>
              <w:pStyle w:val="Tabletext"/>
              <w:jc w:val="center"/>
              <w:rPr>
                <w:lang w:eastAsia="ko-KR"/>
              </w:rPr>
            </w:pPr>
            <w:r w:rsidRPr="00B93493">
              <w:rPr>
                <w:lang w:eastAsia="ko-KR"/>
              </w:rPr>
              <w:t>0.06</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CF2B25" w14:textId="77777777" w:rsidR="00CF04BC" w:rsidRPr="00B93493" w:rsidRDefault="00CF04BC" w:rsidP="002E7F54">
            <w:pPr>
              <w:pStyle w:val="Tabletext"/>
              <w:jc w:val="center"/>
              <w:rPr>
                <w:lang w:eastAsia="ko-KR"/>
              </w:rPr>
            </w:pPr>
            <w:r w:rsidRPr="00B93493">
              <w:rPr>
                <w:lang w:eastAsia="ko-KR"/>
              </w:rPr>
              <w:t>0.07</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B6E136" w14:textId="77777777" w:rsidR="00CF04BC" w:rsidRPr="00B93493" w:rsidRDefault="00CF04BC" w:rsidP="002E7F54">
            <w:pPr>
              <w:pStyle w:val="Tabletext"/>
              <w:jc w:val="center"/>
              <w:rPr>
                <w:lang w:eastAsia="ko-KR"/>
              </w:rPr>
            </w:pPr>
            <w:r w:rsidRPr="00B93493">
              <w:rPr>
                <w:lang w:eastAsia="ko-KR"/>
              </w:rPr>
              <w:t>0.08</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EACC5B" w14:textId="77777777" w:rsidR="00CF04BC" w:rsidRPr="00B93493" w:rsidRDefault="00CF04BC" w:rsidP="002E7F54">
            <w:pPr>
              <w:pStyle w:val="Tabletext"/>
              <w:jc w:val="center"/>
              <w:rPr>
                <w:lang w:eastAsia="ko-KR"/>
              </w:rPr>
            </w:pPr>
            <w:r w:rsidRPr="00B93493">
              <w:rPr>
                <w:lang w:eastAsia="ko-KR"/>
              </w:rPr>
              <w:t>0.09</w:t>
            </w:r>
          </w:p>
        </w:tc>
        <w:tc>
          <w:tcPr>
            <w:tcW w:w="3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AE7C93" w14:textId="77777777" w:rsidR="00CF04BC" w:rsidRPr="00B93493" w:rsidRDefault="00CF04BC" w:rsidP="002E7F54">
            <w:pPr>
              <w:pStyle w:val="Tabletext"/>
              <w:jc w:val="center"/>
              <w:rPr>
                <w:lang w:eastAsia="ko-KR"/>
              </w:rPr>
            </w:pPr>
            <w:r w:rsidRPr="00B93493">
              <w:rPr>
                <w:lang w:eastAsia="ko-KR"/>
              </w:rPr>
              <w:t>0.10</w:t>
            </w:r>
          </w:p>
        </w:tc>
      </w:tr>
      <w:tr w:rsidR="00CF04BC" w:rsidRPr="00B93493" w14:paraId="63BA6546" w14:textId="77777777" w:rsidTr="002E7F54">
        <w:trPr>
          <w:jc w:val="center"/>
        </w:trPr>
        <w:tc>
          <w:tcPr>
            <w:tcW w:w="998"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6E0CCA" w14:textId="77777777" w:rsidR="00CF04BC" w:rsidRPr="00B93493" w:rsidRDefault="00CF04BC" w:rsidP="00C65E6B">
            <w:pPr>
              <w:pStyle w:val="Tabletext"/>
              <w:jc w:val="left"/>
              <w:rPr>
                <w:lang w:eastAsia="ko-KR"/>
              </w:rPr>
            </w:pPr>
            <w:r w:rsidRPr="00B93493">
              <w:rPr>
                <w:lang w:eastAsia="ko-KR"/>
              </w:rPr>
              <w:t xml:space="preserve">Eco-friendly </w:t>
            </w:r>
            <w:r w:rsidRPr="00B93493">
              <w:rPr>
                <w:lang w:eastAsia="ko-KR"/>
              </w:rPr>
              <w:br/>
              <w:t>fee-waiver factor</w:t>
            </w:r>
          </w:p>
        </w:tc>
        <w:tc>
          <w:tcPr>
            <w:tcW w:w="3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ED7B72" w14:textId="77777777" w:rsidR="00CF04BC" w:rsidRPr="00B93493" w:rsidRDefault="00CF04BC" w:rsidP="002E7F54">
            <w:pPr>
              <w:pStyle w:val="Tabletext"/>
              <w:jc w:val="center"/>
              <w:rPr>
                <w:lang w:eastAsia="ko-KR"/>
              </w:rPr>
            </w:pPr>
            <w:r w:rsidRPr="00B93493">
              <w:rPr>
                <w:lang w:eastAsia="ko-KR"/>
              </w:rPr>
              <w:t>0.01</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A5AAFD" w14:textId="77777777" w:rsidR="00CF04BC" w:rsidRPr="00B93493" w:rsidRDefault="00CF04BC" w:rsidP="002E7F54">
            <w:pPr>
              <w:pStyle w:val="Tabletext"/>
              <w:jc w:val="center"/>
              <w:rPr>
                <w:lang w:eastAsia="ko-KR"/>
              </w:rPr>
            </w:pPr>
            <w:r w:rsidRPr="00B93493">
              <w:rPr>
                <w:lang w:eastAsia="ko-KR"/>
              </w:rPr>
              <w:t>0.02</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9D9F4E" w14:textId="77777777" w:rsidR="00CF04BC" w:rsidRPr="00B93493" w:rsidRDefault="00CF04BC" w:rsidP="002E7F54">
            <w:pPr>
              <w:pStyle w:val="Tabletext"/>
              <w:jc w:val="center"/>
              <w:rPr>
                <w:lang w:eastAsia="ko-KR"/>
              </w:rPr>
            </w:pPr>
            <w:r w:rsidRPr="00B93493">
              <w:rPr>
                <w:lang w:eastAsia="ko-KR"/>
              </w:rPr>
              <w:t>0.03</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F51C53" w14:textId="77777777" w:rsidR="00CF04BC" w:rsidRPr="00B93493" w:rsidRDefault="00CF04BC" w:rsidP="002E7F54">
            <w:pPr>
              <w:pStyle w:val="Tabletext"/>
              <w:jc w:val="center"/>
              <w:rPr>
                <w:lang w:eastAsia="ko-KR"/>
              </w:rPr>
            </w:pPr>
            <w:r w:rsidRPr="00B93493">
              <w:rPr>
                <w:lang w:eastAsia="ko-KR"/>
              </w:rPr>
              <w:t>0.04</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4C5D57" w14:textId="77777777" w:rsidR="00CF04BC" w:rsidRPr="00B93493" w:rsidRDefault="00CF04BC" w:rsidP="002E7F54">
            <w:pPr>
              <w:pStyle w:val="Tabletext"/>
              <w:jc w:val="center"/>
              <w:rPr>
                <w:lang w:eastAsia="ko-KR"/>
              </w:rPr>
            </w:pPr>
            <w:r w:rsidRPr="00B93493">
              <w:rPr>
                <w:lang w:eastAsia="ko-KR"/>
              </w:rPr>
              <w:t>0.05</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A5AD7F" w14:textId="77777777" w:rsidR="00CF04BC" w:rsidRPr="00B93493" w:rsidRDefault="00CF04BC" w:rsidP="002E7F54">
            <w:pPr>
              <w:pStyle w:val="Tabletext"/>
              <w:jc w:val="center"/>
              <w:rPr>
                <w:lang w:eastAsia="ko-KR"/>
              </w:rPr>
            </w:pPr>
            <w:r w:rsidRPr="00B93493">
              <w:rPr>
                <w:lang w:eastAsia="ko-KR"/>
              </w:rPr>
              <w:t>0.06</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FDA146" w14:textId="77777777" w:rsidR="00CF04BC" w:rsidRPr="00B93493" w:rsidRDefault="00CF04BC" w:rsidP="002E7F54">
            <w:pPr>
              <w:pStyle w:val="Tabletext"/>
              <w:jc w:val="center"/>
              <w:rPr>
                <w:lang w:eastAsia="ko-KR"/>
              </w:rPr>
            </w:pPr>
            <w:r w:rsidRPr="00B93493">
              <w:rPr>
                <w:lang w:eastAsia="ko-KR"/>
              </w:rPr>
              <w:t>0.07</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20E6DA" w14:textId="77777777" w:rsidR="00CF04BC" w:rsidRPr="00B93493" w:rsidRDefault="00CF04BC" w:rsidP="002E7F54">
            <w:pPr>
              <w:pStyle w:val="Tabletext"/>
              <w:jc w:val="center"/>
              <w:rPr>
                <w:lang w:eastAsia="ko-KR"/>
              </w:rPr>
            </w:pPr>
            <w:r w:rsidRPr="00B93493">
              <w:rPr>
                <w:lang w:eastAsia="ko-KR"/>
              </w:rPr>
              <w:t>0.08</w:t>
            </w:r>
          </w:p>
        </w:tc>
        <w:tc>
          <w:tcPr>
            <w:tcW w:w="418"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450CBD" w14:textId="77777777" w:rsidR="00CF04BC" w:rsidRPr="00B93493" w:rsidRDefault="00CF04BC" w:rsidP="002E7F54">
            <w:pPr>
              <w:pStyle w:val="Tabletext"/>
              <w:jc w:val="center"/>
              <w:rPr>
                <w:lang w:eastAsia="ko-KR"/>
              </w:rPr>
            </w:pPr>
            <w:r w:rsidRPr="00B93493">
              <w:rPr>
                <w:lang w:eastAsia="ko-KR"/>
              </w:rPr>
              <w:t>0.09</w:t>
            </w:r>
          </w:p>
        </w:tc>
        <w:tc>
          <w:tcPr>
            <w:tcW w:w="3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069CCE" w14:textId="77777777" w:rsidR="00CF04BC" w:rsidRPr="00B93493" w:rsidRDefault="00CF04BC" w:rsidP="002E7F54">
            <w:pPr>
              <w:pStyle w:val="Tabletext"/>
              <w:jc w:val="center"/>
              <w:rPr>
                <w:lang w:eastAsia="ko-KR"/>
              </w:rPr>
            </w:pPr>
            <w:r w:rsidRPr="00B93493">
              <w:rPr>
                <w:lang w:eastAsia="ko-KR"/>
              </w:rPr>
              <w:t>0.10</w:t>
            </w:r>
          </w:p>
        </w:tc>
      </w:tr>
    </w:tbl>
    <w:p w14:paraId="00CC117D" w14:textId="77777777" w:rsidR="00CF04BC" w:rsidRPr="00B93493" w:rsidRDefault="00CF04BC" w:rsidP="00CF04BC">
      <w:pPr>
        <w:pStyle w:val="Headingb"/>
      </w:pPr>
      <w:bookmarkStart w:id="2476" w:name="_Toc289932340"/>
      <w:bookmarkStart w:id="2477" w:name="_Toc289868874"/>
      <w:bookmarkStart w:id="2478" w:name="_Toc289869034"/>
      <w:r w:rsidRPr="00B93493">
        <w:rPr>
          <w:bCs/>
        </w:rPr>
        <w:t>Category 4</w:t>
      </w:r>
      <w:r w:rsidRPr="00B93493">
        <w:t xml:space="preserve">: </w:t>
      </w:r>
      <w:r w:rsidRPr="00B93493">
        <w:rPr>
          <w:lang w:eastAsia="ko-KR"/>
        </w:rPr>
        <w:t>Based earth s</w:t>
      </w:r>
      <w:r w:rsidRPr="00B93493">
        <w:t>tations installed on vehicles</w:t>
      </w:r>
      <w:r w:rsidRPr="00B93493">
        <w:rPr>
          <w:lang w:eastAsia="ko-KR"/>
        </w:rPr>
        <w:t xml:space="preserve"> and common carrier</w:t>
      </w:r>
      <w:r w:rsidRPr="00B93493">
        <w:t>’s earth stations for lease</w:t>
      </w:r>
      <w:bookmarkEnd w:id="2476"/>
      <w:bookmarkEnd w:id="2477"/>
      <w:bookmarkEnd w:id="2478"/>
    </w:p>
    <w:p w14:paraId="2FC7A0D5" w14:textId="77777777" w:rsidR="00CF04BC" w:rsidRDefault="00CF04BC" w:rsidP="00CF04BC">
      <w:pPr>
        <w:spacing w:after="120"/>
      </w:pPr>
      <w:r w:rsidRPr="00B93493">
        <w:t xml:space="preserve">The </w:t>
      </w:r>
      <w:r w:rsidRPr="00B93493">
        <w:rPr>
          <w:lang w:eastAsia="ko-KR"/>
        </w:rPr>
        <w:t>spectrum usage fees (SF)</w:t>
      </w:r>
      <w:r w:rsidRPr="00B93493">
        <w:t xml:space="preserve"> shall be imposed on each </w:t>
      </w:r>
      <w:r w:rsidRPr="00B93493">
        <w:rPr>
          <w:lang w:eastAsia="ko-KR"/>
        </w:rPr>
        <w:t xml:space="preserve">category </w:t>
      </w:r>
      <w:r w:rsidRPr="00B93493">
        <w:t xml:space="preserve">as </w:t>
      </w:r>
      <w:r w:rsidRPr="00B93493">
        <w:rPr>
          <w:lang w:eastAsia="ko-KR"/>
        </w:rPr>
        <w:t>f</w:t>
      </w:r>
      <w:r w:rsidRPr="00B93493">
        <w:t>ollows:</w:t>
      </w:r>
    </w:p>
    <w:p w14:paraId="1871DC9B" w14:textId="77777777" w:rsidR="00CF04BC" w:rsidRPr="00216068" w:rsidRDefault="00CF04BC" w:rsidP="00CF04BC">
      <w:pPr>
        <w:pStyle w:val="TableNo"/>
        <w:rPr>
          <w:b/>
          <w:lang w:eastAsia="zh-CN"/>
        </w:rPr>
      </w:pPr>
      <w:r>
        <w:t xml:space="preserve">TABLE </w:t>
      </w:r>
      <w:r>
        <w:rPr>
          <w:rFonts w:hint="eastAsia"/>
          <w:lang w:eastAsia="zh-CN"/>
        </w:rPr>
        <w:t>48</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4A0" w:firstRow="1" w:lastRow="0" w:firstColumn="1" w:lastColumn="0" w:noHBand="0" w:noVBand="1"/>
      </w:tblPr>
      <w:tblGrid>
        <w:gridCol w:w="7678"/>
        <w:gridCol w:w="1951"/>
      </w:tblGrid>
      <w:tr w:rsidR="00CF04BC" w:rsidRPr="00B93493" w14:paraId="7C92EC8D"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6328E163" w14:textId="77777777" w:rsidR="00CF04BC" w:rsidRPr="00B93493" w:rsidRDefault="00CF04BC" w:rsidP="002E7F54">
            <w:pPr>
              <w:pStyle w:val="Tablehead"/>
              <w:keepLines/>
              <w:rPr>
                <w:szCs w:val="22"/>
              </w:rPr>
            </w:pPr>
            <w:r w:rsidRPr="00B93493">
              <w:rPr>
                <w:szCs w:val="22"/>
              </w:rPr>
              <w:t>Type of stations</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14:paraId="325B8891" w14:textId="77777777" w:rsidR="00CF04BC" w:rsidRPr="00B93493" w:rsidRDefault="00CF04BC" w:rsidP="002E7F54">
            <w:pPr>
              <w:pStyle w:val="Tablehead"/>
              <w:keepLines/>
              <w:rPr>
                <w:rFonts w:eastAsia="???"/>
                <w:szCs w:val="22"/>
              </w:rPr>
            </w:pPr>
            <w:r w:rsidRPr="00B93493">
              <w:rPr>
                <w:rFonts w:eastAsia="???"/>
                <w:szCs w:val="22"/>
              </w:rPr>
              <w:t>SF</w:t>
            </w:r>
            <w:r w:rsidRPr="00B93493">
              <w:rPr>
                <w:rFonts w:eastAsia="???"/>
                <w:szCs w:val="22"/>
              </w:rPr>
              <w:br/>
              <w:t>(KRW)</w:t>
            </w:r>
          </w:p>
        </w:tc>
      </w:tr>
      <w:tr w:rsidR="00CF04BC" w:rsidRPr="00B93493" w14:paraId="2CA36EDC"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2B89E12C" w14:textId="77777777" w:rsidR="00CF04BC" w:rsidRPr="00B93493" w:rsidRDefault="00CF04BC" w:rsidP="002E7F54">
            <w:pPr>
              <w:pStyle w:val="Tabletext"/>
              <w:keepNext/>
              <w:keepLines/>
              <w:rPr>
                <w:szCs w:val="22"/>
                <w:lang w:eastAsia="ko-KR"/>
              </w:rPr>
            </w:pPr>
            <w:r w:rsidRPr="00B93493">
              <w:rPr>
                <w:szCs w:val="22"/>
                <w:lang w:eastAsia="ko-KR"/>
              </w:rPr>
              <w:t>Earth s</w:t>
            </w:r>
            <w:r w:rsidRPr="00B93493">
              <w:rPr>
                <w:szCs w:val="22"/>
              </w:rPr>
              <w:t xml:space="preserve">tations installed on vehicles (such as ships </w:t>
            </w:r>
            <w:r w:rsidRPr="00B93493">
              <w:rPr>
                <w:szCs w:val="22"/>
                <w:lang w:eastAsia="ko-KR"/>
              </w:rPr>
              <w:t>or</w:t>
            </w:r>
            <w:r w:rsidRPr="00B93493">
              <w:rPr>
                <w:szCs w:val="22"/>
              </w:rPr>
              <w:t xml:space="preserve"> </w:t>
            </w:r>
            <w:r w:rsidRPr="00B93493">
              <w:rPr>
                <w:szCs w:val="22"/>
                <w:lang w:eastAsia="ko-KR"/>
              </w:rPr>
              <w:t>automobiles</w:t>
            </w:r>
            <w:r w:rsidRPr="00B93493">
              <w:rPr>
                <w:szCs w:val="22"/>
              </w:rPr>
              <w:t>)</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639029E0" w14:textId="77777777" w:rsidR="00CF04BC" w:rsidRPr="00B93493" w:rsidRDefault="00CF04BC" w:rsidP="002E7F54">
            <w:pPr>
              <w:pStyle w:val="Tabletext"/>
              <w:keepNext/>
              <w:keepLines/>
              <w:jc w:val="center"/>
              <w:rPr>
                <w:szCs w:val="22"/>
              </w:rPr>
            </w:pPr>
            <w:r w:rsidRPr="00B93493">
              <w:rPr>
                <w:szCs w:val="22"/>
              </w:rPr>
              <w:t>20</w:t>
            </w:r>
            <w:r w:rsidRPr="00B93493">
              <w:rPr>
                <w:rFonts w:ascii="Tms Rmn" w:hAnsi="Tms Rmn"/>
                <w:szCs w:val="22"/>
              </w:rPr>
              <w:t> </w:t>
            </w:r>
            <w:r w:rsidRPr="00B93493">
              <w:rPr>
                <w:szCs w:val="22"/>
              </w:rPr>
              <w:t>000</w:t>
            </w:r>
          </w:p>
        </w:tc>
      </w:tr>
      <w:tr w:rsidR="00CF04BC" w:rsidRPr="00B93493" w14:paraId="4249E79B"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14E0CAC3" w14:textId="77777777" w:rsidR="00CF04BC" w:rsidRPr="00B93493" w:rsidRDefault="00CF04BC" w:rsidP="002E7F54">
            <w:pPr>
              <w:pStyle w:val="Tabletext"/>
              <w:keepNext/>
              <w:keepLines/>
              <w:rPr>
                <w:szCs w:val="22"/>
              </w:rPr>
            </w:pPr>
            <w:r w:rsidRPr="00B93493">
              <w:rPr>
                <w:szCs w:val="22"/>
                <w:lang w:eastAsia="ko-KR"/>
              </w:rPr>
              <w:t>Common carrier</w:t>
            </w:r>
            <w:r w:rsidRPr="00B93493">
              <w:rPr>
                <w:szCs w:val="22"/>
              </w:rPr>
              <w:t>’s earth stations for lease</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0ECF5058" w14:textId="77777777" w:rsidR="00CF04BC" w:rsidRPr="00B93493" w:rsidRDefault="00CF04BC" w:rsidP="002E7F54">
            <w:pPr>
              <w:pStyle w:val="Tabletext"/>
              <w:keepNext/>
              <w:keepLines/>
              <w:jc w:val="center"/>
              <w:rPr>
                <w:szCs w:val="22"/>
                <w:lang w:eastAsia="ko-KR"/>
              </w:rPr>
            </w:pPr>
            <w:r w:rsidRPr="00B93493">
              <w:rPr>
                <w:szCs w:val="22"/>
                <w:lang w:eastAsia="ko-KR"/>
              </w:rPr>
              <w:t>20 000</w:t>
            </w:r>
          </w:p>
        </w:tc>
      </w:tr>
      <w:tr w:rsidR="00CF04BC" w:rsidRPr="00B93493" w14:paraId="5DAC8CCA" w14:textId="77777777" w:rsidTr="002E7F54">
        <w:trPr>
          <w:jc w:val="center"/>
        </w:trPr>
        <w:tc>
          <w:tcPr>
            <w:tcW w:w="3987"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28470285" w14:textId="77777777" w:rsidR="00CF04BC" w:rsidRPr="00B93493" w:rsidRDefault="00CF04BC" w:rsidP="002E7F54">
            <w:pPr>
              <w:pStyle w:val="Tabletext"/>
              <w:rPr>
                <w:szCs w:val="22"/>
              </w:rPr>
            </w:pPr>
            <w:r w:rsidRPr="00B93493">
              <w:rPr>
                <w:szCs w:val="22"/>
              </w:rPr>
              <w:t xml:space="preserve">Other stations </w:t>
            </w:r>
          </w:p>
        </w:tc>
        <w:tc>
          <w:tcPr>
            <w:tcW w:w="1013" w:type="pct"/>
            <w:tcBorders>
              <w:top w:val="single" w:sz="4" w:space="0" w:color="00000A"/>
              <w:left w:val="single" w:sz="4" w:space="0" w:color="00000A"/>
              <w:bottom w:val="single" w:sz="4" w:space="0" w:color="00000A"/>
              <w:right w:val="single" w:sz="4" w:space="0" w:color="00000A"/>
            </w:tcBorders>
            <w:shd w:val="clear" w:color="auto" w:fill="auto"/>
            <w:tcMar>
              <w:left w:w="99" w:type="dxa"/>
            </w:tcMar>
          </w:tcPr>
          <w:p w14:paraId="473880A8" w14:textId="77777777" w:rsidR="00CF04BC" w:rsidRPr="00B93493" w:rsidRDefault="00CF04BC" w:rsidP="002E7F54">
            <w:pPr>
              <w:pStyle w:val="Tabletext"/>
              <w:jc w:val="center"/>
              <w:rPr>
                <w:szCs w:val="22"/>
              </w:rPr>
            </w:pPr>
            <w:r w:rsidRPr="00B93493">
              <w:rPr>
                <w:szCs w:val="22"/>
              </w:rPr>
              <w:t>3</w:t>
            </w:r>
            <w:r w:rsidRPr="00B93493">
              <w:rPr>
                <w:rFonts w:ascii="Tms Rmn" w:hAnsi="Tms Rmn"/>
                <w:szCs w:val="22"/>
              </w:rPr>
              <w:t> </w:t>
            </w:r>
            <w:r w:rsidRPr="00B93493">
              <w:rPr>
                <w:szCs w:val="22"/>
              </w:rPr>
              <w:t>000</w:t>
            </w:r>
          </w:p>
        </w:tc>
      </w:tr>
    </w:tbl>
    <w:p w14:paraId="3FA20078" w14:textId="77777777" w:rsidR="00CF04BC" w:rsidRPr="00B93493" w:rsidRDefault="00CF04BC" w:rsidP="00CF04BC">
      <w:pPr>
        <w:pStyle w:val="Heading3"/>
      </w:pPr>
      <w:bookmarkStart w:id="2479" w:name="_Toc518394268"/>
      <w:bookmarkStart w:id="2480" w:name="_Toc182391587"/>
      <w:bookmarkStart w:id="2481" w:name="_Toc182391998"/>
      <w:r w:rsidRPr="00B93493">
        <w:t xml:space="preserve">5.2.12 </w:t>
      </w:r>
      <w:r w:rsidRPr="00B93493">
        <w:tab/>
        <w:t>Indonesia’s experience with spectrum fees</w:t>
      </w:r>
      <w:bookmarkEnd w:id="2469"/>
      <w:bookmarkEnd w:id="2479"/>
      <w:bookmarkEnd w:id="2480"/>
      <w:bookmarkEnd w:id="2481"/>
    </w:p>
    <w:p w14:paraId="44F8C253" w14:textId="77777777" w:rsidR="00CF04BC" w:rsidRPr="00B93493" w:rsidRDefault="00CF04BC" w:rsidP="00CF04BC">
      <w:pPr>
        <w:pStyle w:val="Headingb"/>
      </w:pPr>
      <w:bookmarkStart w:id="2482" w:name="_Toc370823667"/>
      <w:bookmarkStart w:id="2483" w:name="_Toc462234168"/>
      <w:bookmarkStart w:id="2484" w:name="_Toc454285004"/>
      <w:r w:rsidRPr="00B93493">
        <w:t>B</w:t>
      </w:r>
      <w:bookmarkEnd w:id="2482"/>
      <w:r w:rsidRPr="00B93493">
        <w:t>ackground</w:t>
      </w:r>
      <w:bookmarkEnd w:id="2483"/>
      <w:bookmarkEnd w:id="2484"/>
    </w:p>
    <w:p w14:paraId="1643D5FA" w14:textId="77777777" w:rsidR="00CF04BC" w:rsidRPr="00B93493" w:rsidRDefault="00CF04BC" w:rsidP="00CF04BC">
      <w:r w:rsidRPr="00B93493">
        <w:t>Spectrum is one of the scarce resources which has many advantages for the user. It means that spectrum has a value. In order to make efficient and effective the use of spectrum, ITU recommends the administrations to do national spectrum management. The national spectrum management needs costs that can be obtained by imposing the spectrum fee on the spectrum user. Every use of spectrum in Indonesia must have a license. The license is used as the basis to determine the calculation of the spectrum fee.</w:t>
      </w:r>
    </w:p>
    <w:p w14:paraId="437499E8" w14:textId="77777777" w:rsidR="00CF04BC" w:rsidRPr="00B93493" w:rsidRDefault="00CF04BC" w:rsidP="00CF04BC">
      <w:pPr>
        <w:pStyle w:val="FigureNo"/>
        <w:rPr>
          <w:lang w:eastAsia="zh-CN"/>
        </w:rPr>
      </w:pPr>
      <w:r w:rsidRPr="00B93493">
        <w:rPr>
          <w:lang w:eastAsia="zh-CN"/>
        </w:rPr>
        <w:t xml:space="preserve">Figure </w:t>
      </w:r>
      <w:r>
        <w:rPr>
          <w:rFonts w:hint="eastAsia"/>
          <w:lang w:eastAsia="zh-CN"/>
        </w:rPr>
        <w:t>18</w:t>
      </w:r>
    </w:p>
    <w:p w14:paraId="6B413B0F" w14:textId="77777777" w:rsidR="00CF04BC" w:rsidRPr="00B93493" w:rsidRDefault="00CF04BC" w:rsidP="00CF04BC">
      <w:pPr>
        <w:pStyle w:val="Figuretitle"/>
        <w:rPr>
          <w:lang w:eastAsia="zh-CN"/>
        </w:rPr>
      </w:pPr>
      <w:r w:rsidRPr="00B93493">
        <w:rPr>
          <w:lang w:eastAsia="zh-CN"/>
        </w:rPr>
        <w:t>Current kind of licenses applied in Indonesia</w:t>
      </w:r>
    </w:p>
    <w:p w14:paraId="4083B03A" w14:textId="77777777" w:rsidR="00CF04BC" w:rsidRPr="00B93493" w:rsidRDefault="00CF04BC" w:rsidP="00CF04BC">
      <w:pPr>
        <w:pStyle w:val="Figure"/>
      </w:pPr>
      <w:r w:rsidRPr="00B93493">
        <w:rPr>
          <w:noProof/>
        </w:rPr>
        <w:drawing>
          <wp:inline distT="0" distB="0" distL="0" distR="0" wp14:anchorId="70CB33B8" wp14:editId="5E348412">
            <wp:extent cx="5048250" cy="1885950"/>
            <wp:effectExtent l="0" t="0" r="0" b="0"/>
            <wp:docPr id="50" name="Picture 50" descr="Figure 18 shows Current kind of licenses applied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8 shows Current kind of licenses applied in Indonesia"/>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a:xfrm>
                      <a:off x="0" y="0"/>
                      <a:ext cx="5048250" cy="1885950"/>
                    </a:xfrm>
                    <a:prstGeom prst="rect">
                      <a:avLst/>
                    </a:prstGeom>
                    <a:noFill/>
                    <a:ln>
                      <a:noFill/>
                    </a:ln>
                  </pic:spPr>
                </pic:pic>
              </a:graphicData>
            </a:graphic>
          </wp:inline>
        </w:drawing>
      </w:r>
    </w:p>
    <w:p w14:paraId="170C6BA0" w14:textId="77777777" w:rsidR="00CF04BC" w:rsidRPr="00B93493" w:rsidRDefault="00CF04BC" w:rsidP="00C65E6B">
      <w:pPr>
        <w:pStyle w:val="Normalaftertitle"/>
      </w:pPr>
      <w:r w:rsidRPr="00B93493">
        <w:t xml:space="preserve">Those spectrum fees paid by the spectrum user will become </w:t>
      </w:r>
      <w:r w:rsidRPr="00B93493">
        <w:rPr>
          <w:b/>
          <w:bCs/>
        </w:rPr>
        <w:t>a government revenue from the non-tax sector</w:t>
      </w:r>
      <w:r w:rsidRPr="00B93493">
        <w:t>. Like the function of tax revenue, the non-tax revenue has the function for funding the national development and public services such as health service, law service, education, technology.</w:t>
      </w:r>
    </w:p>
    <w:p w14:paraId="5289A8B3" w14:textId="77777777" w:rsidR="00CF04BC" w:rsidRPr="00B93493" w:rsidRDefault="00CF04BC" w:rsidP="00CF04BC">
      <w:pPr>
        <w:pStyle w:val="Title1"/>
      </w:pPr>
      <w:bookmarkStart w:id="2485" w:name="_Toc364845296"/>
      <w:r w:rsidRPr="00B93493">
        <w:rPr>
          <w:rFonts w:eastAsia="Calibri"/>
        </w:rPr>
        <w:t>Spectrum licenses in Indonesia</w:t>
      </w:r>
    </w:p>
    <w:p w14:paraId="0619B120" w14:textId="77777777" w:rsidR="00CF04BC" w:rsidRPr="00B93493" w:rsidRDefault="00CF04BC" w:rsidP="00CF04BC">
      <w:pPr>
        <w:pStyle w:val="Headingb"/>
      </w:pPr>
      <w:bookmarkStart w:id="2486" w:name="_Toc454285005"/>
      <w:bookmarkStart w:id="2487" w:name="_Toc462234169"/>
      <w:r w:rsidRPr="00B93493">
        <w:t>Apparatus license</w:t>
      </w:r>
      <w:bookmarkEnd w:id="2486"/>
      <w:bookmarkEnd w:id="2487"/>
    </w:p>
    <w:p w14:paraId="22ACC0CA" w14:textId="77777777" w:rsidR="00CF04BC" w:rsidRPr="00B93493" w:rsidRDefault="00CF04BC" w:rsidP="00CF04BC">
      <w:r w:rsidRPr="00B93493">
        <w:t>The Government of Indonesia gives the apparatus license to the user for a five year period. After the license is given to the spectrum users, they have to pay a spectrum fee every year before the maturity date.</w:t>
      </w:r>
    </w:p>
    <w:p w14:paraId="586CC6A5" w14:textId="77777777" w:rsidR="00CF04BC" w:rsidRPr="00B93493" w:rsidRDefault="00CF04BC" w:rsidP="00CF04BC">
      <w:r w:rsidRPr="00B93493">
        <w:t>The spectrum fee that has to be paid by the spectrum users is calculated using formula containing some components as follows:</w:t>
      </w:r>
    </w:p>
    <w:p w14:paraId="600D89CC" w14:textId="77777777" w:rsidR="00CF04BC" w:rsidRPr="00B93493" w:rsidRDefault="00CF04BC" w:rsidP="00CF04BC">
      <w:pPr>
        <w:pStyle w:val="enumlev1"/>
      </w:pPr>
      <w:r w:rsidRPr="00B93493">
        <w:t>–</w:t>
      </w:r>
      <w:r w:rsidRPr="00B93493">
        <w:tab/>
        <w:t>Basic price for spectrum power (HDDP)</w:t>
      </w:r>
    </w:p>
    <w:p w14:paraId="026C397F" w14:textId="77777777" w:rsidR="00CF04BC" w:rsidRPr="00B93493" w:rsidRDefault="00CF04BC" w:rsidP="00CF04BC">
      <w:pPr>
        <w:pStyle w:val="enumlev1"/>
      </w:pPr>
      <w:r w:rsidRPr="00B93493">
        <w:t>–</w:t>
      </w:r>
      <w:r w:rsidRPr="00B93493">
        <w:tab/>
        <w:t>Basic price for spectrum bandwidth (HDLP)</w:t>
      </w:r>
    </w:p>
    <w:p w14:paraId="0CE65D36" w14:textId="77777777" w:rsidR="00CF04BC" w:rsidRPr="00B93493" w:rsidRDefault="00CF04BC" w:rsidP="00CF04BC">
      <w:pPr>
        <w:pStyle w:val="enumlev1"/>
      </w:pPr>
      <w:r w:rsidRPr="00B93493">
        <w:t>–</w:t>
      </w:r>
      <w:r w:rsidRPr="00B93493">
        <w:tab/>
        <w:t>Spectrum Power (p)</w:t>
      </w:r>
    </w:p>
    <w:p w14:paraId="7C928A34" w14:textId="77777777" w:rsidR="00CF04BC" w:rsidRPr="00B93493" w:rsidRDefault="00CF04BC" w:rsidP="00CF04BC">
      <w:pPr>
        <w:pStyle w:val="enumlev1"/>
      </w:pPr>
      <w:r w:rsidRPr="00B93493">
        <w:t>–</w:t>
      </w:r>
      <w:r w:rsidRPr="00B93493">
        <w:tab/>
        <w:t xml:space="preserve">Bandwidth (b) </w:t>
      </w:r>
    </w:p>
    <w:p w14:paraId="1CCCD675" w14:textId="77777777" w:rsidR="00CF04BC" w:rsidRPr="00B93493" w:rsidRDefault="00CF04BC" w:rsidP="00CF04BC">
      <w:pPr>
        <w:pStyle w:val="enumlev1"/>
      </w:pPr>
      <w:r w:rsidRPr="00B93493">
        <w:t>–</w:t>
      </w:r>
      <w:r w:rsidRPr="00B93493">
        <w:tab/>
        <w:t xml:space="preserve">Index of bandwidth (Ib) </w:t>
      </w:r>
    </w:p>
    <w:p w14:paraId="794C0E82" w14:textId="77777777" w:rsidR="00CF04BC" w:rsidRPr="00B93493" w:rsidRDefault="00CF04BC" w:rsidP="00CF04BC">
      <w:pPr>
        <w:pStyle w:val="enumlev1"/>
      </w:pPr>
      <w:r w:rsidRPr="00B93493">
        <w:t>–</w:t>
      </w:r>
      <w:r w:rsidRPr="00B93493">
        <w:tab/>
        <w:t>Index of power (Ip)</w:t>
      </w:r>
    </w:p>
    <w:p w14:paraId="75D5806B" w14:textId="77777777" w:rsidR="00CF04BC" w:rsidRPr="00B93493" w:rsidRDefault="00CF04BC" w:rsidP="00CF04BC">
      <w:pPr>
        <w:pStyle w:val="enumlev1"/>
      </w:pPr>
      <w:r w:rsidRPr="00B93493">
        <w:t>–</w:t>
      </w:r>
      <w:r w:rsidRPr="00B93493">
        <w:tab/>
        <w:t>Zone of telecommunication service.</w:t>
      </w:r>
    </w:p>
    <w:p w14:paraId="1AAC77FE" w14:textId="77777777" w:rsidR="00CF04BC" w:rsidRDefault="00CF04BC" w:rsidP="00CF04BC">
      <w:r w:rsidRPr="00B93493">
        <w:t>The spectrum fee formula for an apparatus license is:</w:t>
      </w:r>
    </w:p>
    <w:p w14:paraId="65840D22" w14:textId="77777777" w:rsidR="00CF04BC" w:rsidRPr="00B93493" w:rsidRDefault="00CF04BC" w:rsidP="00CF04BC">
      <m:oMathPara>
        <m:oMath>
          <m:r>
            <w:rPr>
              <w:rFonts w:ascii="Cambria Math" w:hAnsi="Cambria Math"/>
            </w:rPr>
            <m:t>Spectrum fee=</m:t>
          </m:r>
          <m:f>
            <m:fPr>
              <m:ctrlPr>
                <w:rPr>
                  <w:rFonts w:ascii="Cambria Math" w:hAnsi="Cambria Math"/>
                  <w:i/>
                </w:rPr>
              </m:ctrlPr>
            </m:fPr>
            <m:num>
              <m:d>
                <m:dPr>
                  <m:ctrlPr>
                    <w:rPr>
                      <w:rFonts w:ascii="Cambria Math" w:hAnsi="Cambria Math"/>
                      <w:i/>
                    </w:rPr>
                  </m:ctrlPr>
                </m:dPr>
                <m:e>
                  <m:r>
                    <m:rPr>
                      <m:sty m:val="p"/>
                    </m:rPr>
                    <w:rPr>
                      <w:rFonts w:ascii="Cambria Math" w:hAnsi="Cambria Math"/>
                    </w:rPr>
                    <m:t>Ib×HDLP×b</m:t>
                  </m:r>
                </m:e>
              </m:d>
              <m:r>
                <w:rPr>
                  <w:rFonts w:ascii="Cambria Math" w:hAnsi="Cambria Math"/>
                </w:rPr>
                <m:t>+(</m:t>
              </m:r>
              <m:r>
                <m:rPr>
                  <m:sty m:val="p"/>
                </m:rPr>
                <w:rPr>
                  <w:rFonts w:ascii="Cambria Math" w:hAnsi="Cambria Math"/>
                </w:rPr>
                <m:t>Ip×HDDP×p</m:t>
              </m:r>
              <m:r>
                <w:rPr>
                  <w:rFonts w:ascii="Cambria Math" w:hAnsi="Cambria Math"/>
                </w:rPr>
                <m:t>)</m:t>
              </m:r>
            </m:num>
            <m:den>
              <m:r>
                <w:rPr>
                  <w:rFonts w:ascii="Cambria Math" w:hAnsi="Cambria Math"/>
                </w:rPr>
                <m:t>2</m:t>
              </m:r>
            </m:den>
          </m:f>
        </m:oMath>
      </m:oMathPara>
    </w:p>
    <w:p w14:paraId="15F8C498" w14:textId="77777777" w:rsidR="00CF04BC" w:rsidRPr="00B93493" w:rsidRDefault="00CF04BC" w:rsidP="00CF04BC">
      <w:r w:rsidRPr="00B93493">
        <w:t>where:</w:t>
      </w:r>
    </w:p>
    <w:p w14:paraId="039ABCA3" w14:textId="77777777" w:rsidR="00CF04BC" w:rsidRPr="00B4581C" w:rsidRDefault="00CF04BC" w:rsidP="00CF04BC">
      <w:pPr>
        <w:pStyle w:val="Equationlegend"/>
      </w:pPr>
      <w:r>
        <w:rPr>
          <w:lang w:val="en"/>
        </w:rPr>
        <w:tab/>
      </w:r>
      <w:r w:rsidRPr="000C5721">
        <w:rPr>
          <w:lang w:val="en"/>
        </w:rPr>
        <w:t>Ib:</w:t>
      </w:r>
      <w:r w:rsidRPr="000C5721">
        <w:rPr>
          <w:lang w:val="en"/>
        </w:rPr>
        <w:tab/>
        <w:t>index of bandwi</w:t>
      </w:r>
      <w:r>
        <w:rPr>
          <w:lang w:val="en"/>
        </w:rPr>
        <w:t>d</w:t>
      </w:r>
      <w:r w:rsidRPr="000C5721">
        <w:rPr>
          <w:lang w:val="en"/>
        </w:rPr>
        <w:t>th</w:t>
      </w:r>
    </w:p>
    <w:p w14:paraId="62435C48" w14:textId="77777777" w:rsidR="00CF04BC" w:rsidRDefault="00CF04BC" w:rsidP="00CF04BC">
      <w:pPr>
        <w:pStyle w:val="Equationlegend"/>
      </w:pPr>
      <w:r>
        <w:tab/>
      </w:r>
      <w:r w:rsidRPr="000C5721">
        <w:t>HDLP:</w:t>
      </w:r>
      <w:r w:rsidRPr="000C5721">
        <w:tab/>
        <w:t>basic price of spectrum bandwi</w:t>
      </w:r>
      <w:r>
        <w:t>d</w:t>
      </w:r>
      <w:r w:rsidRPr="000C5721">
        <w:t>th, wide bandwi</w:t>
      </w:r>
      <w:r>
        <w:t>d</w:t>
      </w:r>
      <w:r w:rsidRPr="000C5721">
        <w:t>th per 1 KHz</w:t>
      </w:r>
    </w:p>
    <w:p w14:paraId="4D38104B" w14:textId="77777777" w:rsidR="00CF04BC" w:rsidRPr="00B4581C" w:rsidRDefault="00CF04BC" w:rsidP="00CF04BC">
      <w:pPr>
        <w:pStyle w:val="Equationlegend"/>
      </w:pPr>
      <w:r>
        <w:rPr>
          <w:lang w:val="en"/>
        </w:rPr>
        <w:tab/>
      </w:r>
      <w:r w:rsidRPr="000C5721">
        <w:rPr>
          <w:lang w:val="en"/>
        </w:rPr>
        <w:t>b:</w:t>
      </w:r>
      <w:r w:rsidRPr="000C5721">
        <w:rPr>
          <w:lang w:val="en"/>
        </w:rPr>
        <w:tab/>
        <w:t>bandwidth occupied</w:t>
      </w:r>
      <w:r>
        <w:t>, kHz</w:t>
      </w:r>
    </w:p>
    <w:p w14:paraId="7AD5FACA" w14:textId="77777777" w:rsidR="00CF04BC" w:rsidRPr="00B4581C" w:rsidRDefault="00CF04BC" w:rsidP="00CF04BC">
      <w:pPr>
        <w:pStyle w:val="Equationlegend"/>
      </w:pPr>
      <w:r>
        <w:rPr>
          <w:lang w:val="en"/>
        </w:rPr>
        <w:tab/>
      </w:r>
      <w:r w:rsidRPr="000C5721">
        <w:rPr>
          <w:lang w:val="en"/>
        </w:rPr>
        <w:t>Ip:</w:t>
      </w:r>
      <w:r w:rsidRPr="000C5721">
        <w:rPr>
          <w:lang w:val="en"/>
        </w:rPr>
        <w:tab/>
        <w:t>index of transmit power</w:t>
      </w:r>
    </w:p>
    <w:p w14:paraId="7E0306A6" w14:textId="77777777" w:rsidR="00CF04BC" w:rsidRPr="002270FC" w:rsidRDefault="00CF04BC" w:rsidP="00CF04BC">
      <w:pPr>
        <w:pStyle w:val="Equationlegend"/>
      </w:pPr>
      <w:r>
        <w:tab/>
      </w:r>
      <w:r w:rsidRPr="000C5721">
        <w:t>HDDP:</w:t>
      </w:r>
      <w:r w:rsidRPr="000C5721">
        <w:tab/>
        <w:t xml:space="preserve">basic price of spectrum power, each spectrum power </w:t>
      </w:r>
      <w:r w:rsidRPr="000C5721">
        <w:rPr>
          <w:lang w:val="en"/>
        </w:rPr>
        <w:t>per 1 dbm on a frequency channel</w:t>
      </w:r>
    </w:p>
    <w:p w14:paraId="55230477" w14:textId="77777777" w:rsidR="00CF04BC" w:rsidRPr="000C5721" w:rsidRDefault="00CF04BC" w:rsidP="00CF04BC">
      <w:pPr>
        <w:pStyle w:val="Equationlegend"/>
        <w:rPr>
          <w:lang w:val="en"/>
        </w:rPr>
      </w:pPr>
      <w:r>
        <w:rPr>
          <w:lang w:val="en"/>
        </w:rPr>
        <w:tab/>
      </w:r>
      <w:r w:rsidRPr="000C5721">
        <w:rPr>
          <w:lang w:val="en"/>
        </w:rPr>
        <w:t>p:</w:t>
      </w:r>
      <w:r w:rsidRPr="000C5721">
        <w:rPr>
          <w:lang w:val="en"/>
        </w:rPr>
        <w:tab/>
        <w:t>spectrum power from EIRP</w:t>
      </w:r>
      <w:r>
        <w:rPr>
          <w:lang w:val="en"/>
        </w:rPr>
        <w:t xml:space="preserve">, </w:t>
      </w:r>
      <w:r w:rsidRPr="000C5721">
        <w:rPr>
          <w:lang w:val="en"/>
        </w:rPr>
        <w:t>dBmWatt.</w:t>
      </w:r>
    </w:p>
    <w:p w14:paraId="3B6F344E" w14:textId="77777777" w:rsidR="00CF04BC" w:rsidRPr="002D7DAB" w:rsidRDefault="00CF04BC" w:rsidP="00CF04BC">
      <w:pPr>
        <w:pStyle w:val="enumlev1"/>
        <w:ind w:left="0" w:firstLine="0"/>
        <w:rPr>
          <w:lang w:val="en-ID"/>
        </w:rPr>
      </w:pPr>
      <w:r w:rsidRPr="00B93493">
        <w:t xml:space="preserve">The basic price for spectrum power (HDDP) and basic price for spectrum bandwidth (HDLP) are determined by the Government of Indonesia and stated in the regulation. </w:t>
      </w:r>
    </w:p>
    <w:p w14:paraId="34365D78" w14:textId="77777777" w:rsidR="00CF04BC" w:rsidRPr="00B93493" w:rsidRDefault="00CF04BC" w:rsidP="00CF04BC">
      <w:pPr>
        <w:pStyle w:val="enumlev1"/>
        <w:ind w:left="0" w:firstLine="0"/>
      </w:pPr>
      <w:r w:rsidRPr="00B93493">
        <w:t>The numbers depend on the kind of radio frequency used, such as HF, VHF, UHF, and the zone (area) where the license is covered.</w:t>
      </w:r>
    </w:p>
    <w:p w14:paraId="24AC82DC" w14:textId="77777777" w:rsidR="00CF04BC" w:rsidRPr="00B93493" w:rsidRDefault="00CF04BC" w:rsidP="00CF04BC">
      <w:pPr>
        <w:pStyle w:val="enumlev1"/>
        <w:ind w:left="0" w:firstLine="0"/>
      </w:pPr>
      <w:r w:rsidRPr="00B93493">
        <w:t xml:space="preserve">There are 5 (five) zones of frequency in Indonesia that can be occupied by the spectrum user. The administrator divided the area of Indonesia into 5 (five) zones based on the </w:t>
      </w:r>
      <w:r w:rsidRPr="001A3C57">
        <w:rPr>
          <w:bCs/>
          <w:lang w:val="en"/>
        </w:rPr>
        <w:t>population and economic</w:t>
      </w:r>
      <w:r w:rsidRPr="00C32A07">
        <w:rPr>
          <w:bCs/>
          <w:lang w:val="en"/>
        </w:rPr>
        <w:t xml:space="preserve"> </w:t>
      </w:r>
      <w:r w:rsidRPr="001A3C57">
        <w:rPr>
          <w:bCs/>
          <w:lang w:val="en"/>
        </w:rPr>
        <w:t>approaches</w:t>
      </w:r>
      <w:r>
        <w:rPr>
          <w:lang w:val="en"/>
        </w:rPr>
        <w:t xml:space="preserve"> used in </w:t>
      </w:r>
      <w:r w:rsidRPr="002D7DAB">
        <w:rPr>
          <w:lang w:val="en"/>
        </w:rPr>
        <w:t>a region</w:t>
      </w:r>
      <w:r>
        <w:rPr>
          <w:lang w:val="en"/>
        </w:rPr>
        <w:t xml:space="preserve"> </w:t>
      </w:r>
      <w:r w:rsidRPr="00B93493">
        <w:t>.</w:t>
      </w:r>
      <w:r>
        <w:t xml:space="preserve"> </w:t>
      </w:r>
      <w:r w:rsidRPr="002D7DAB">
        <w:rPr>
          <w:lang w:val="en"/>
        </w:rPr>
        <w:t>Determination of areas within the tariff zone is reviewed periodically</w:t>
      </w:r>
      <w:r>
        <w:rPr>
          <w:lang w:val="en"/>
        </w:rPr>
        <w:t>,</w:t>
      </w:r>
      <w:r w:rsidRPr="002D7DAB">
        <w:rPr>
          <w:lang w:val="en"/>
        </w:rPr>
        <w:t xml:space="preserve"> at least once every </w:t>
      </w:r>
      <w:r>
        <w:rPr>
          <w:lang w:val="en"/>
        </w:rPr>
        <w:t>five</w:t>
      </w:r>
      <w:r w:rsidRPr="002D7DAB">
        <w:rPr>
          <w:lang w:val="en"/>
        </w:rPr>
        <w:t xml:space="preserve"> years.</w:t>
      </w:r>
      <w:r>
        <w:rPr>
          <w:lang w:val="en"/>
        </w:rPr>
        <w:t xml:space="preserve"> </w:t>
      </w:r>
    </w:p>
    <w:bookmarkEnd w:id="2485"/>
    <w:p w14:paraId="09250997" w14:textId="77777777" w:rsidR="00CF04BC" w:rsidRDefault="00CF04BC" w:rsidP="00CF04BC">
      <w:r w:rsidRPr="00B93493">
        <w:t xml:space="preserve">Ib (index of bandwidth occupied) and Ip (index of transmit power) are determined by technical evaluation from Directorate General Resource Management and Equipment Standards of Post and Information Technology </w:t>
      </w:r>
      <w:r>
        <w:t xml:space="preserve">taking into account </w:t>
      </w:r>
      <w:r w:rsidRPr="002D7DAB">
        <w:rPr>
          <w:lang w:val="en-ID"/>
        </w:rPr>
        <w:t>the technology, utility, benefits, industry condition, and also national strategic program</w:t>
      </w:r>
      <w:r>
        <w:rPr>
          <w:lang w:val="en-ID"/>
        </w:rPr>
        <w:t xml:space="preserve">. They are </w:t>
      </w:r>
      <w:r w:rsidRPr="00B93493">
        <w:t>evaluated every two years.</w:t>
      </w:r>
    </w:p>
    <w:p w14:paraId="6CEDAD42" w14:textId="77777777" w:rsidR="00CF04BC" w:rsidRPr="00B93493" w:rsidRDefault="00CF04BC" w:rsidP="00CF04BC">
      <w:r w:rsidRPr="00B93493">
        <w:t>The evaluation of those indexes should bring some components such as:</w:t>
      </w:r>
    </w:p>
    <w:p w14:paraId="751CC126" w14:textId="77777777" w:rsidR="00CF04BC" w:rsidRPr="00B93493" w:rsidRDefault="00CF04BC" w:rsidP="00CF04BC">
      <w:pPr>
        <w:pStyle w:val="enumlev1"/>
      </w:pPr>
      <w:r w:rsidRPr="00B93493">
        <w:t>–</w:t>
      </w:r>
      <w:r w:rsidRPr="00B93493">
        <w:tab/>
        <w:t>The type of radio spectrum frequency</w:t>
      </w:r>
    </w:p>
    <w:p w14:paraId="6B2AB887" w14:textId="77777777" w:rsidR="00CF04BC" w:rsidRPr="00B93493" w:rsidRDefault="00CF04BC" w:rsidP="00CF04BC">
      <w:pPr>
        <w:pStyle w:val="enumlev1"/>
      </w:pPr>
      <w:r w:rsidRPr="00B93493">
        <w:t>–</w:t>
      </w:r>
      <w:r w:rsidRPr="00B93493">
        <w:tab/>
        <w:t xml:space="preserve">Bandwidth or spectrum channel </w:t>
      </w:r>
    </w:p>
    <w:p w14:paraId="60F5F845" w14:textId="77777777" w:rsidR="00CF04BC" w:rsidRPr="00B93493" w:rsidRDefault="00CF04BC" w:rsidP="00CF04BC">
      <w:pPr>
        <w:pStyle w:val="enumlev1"/>
      </w:pPr>
      <w:r w:rsidRPr="00B93493">
        <w:t>–</w:t>
      </w:r>
      <w:r w:rsidRPr="00B93493">
        <w:tab/>
        <w:t>Covered area</w:t>
      </w:r>
    </w:p>
    <w:p w14:paraId="57425831" w14:textId="77777777" w:rsidR="00CF04BC" w:rsidRPr="00B93493" w:rsidRDefault="00CF04BC" w:rsidP="00CF04BC">
      <w:pPr>
        <w:pStyle w:val="enumlev1"/>
      </w:pPr>
      <w:r w:rsidRPr="00B93493">
        <w:t>–</w:t>
      </w:r>
      <w:r w:rsidRPr="00B93493">
        <w:tab/>
        <w:t>Market interest</w:t>
      </w:r>
    </w:p>
    <w:p w14:paraId="273E2393" w14:textId="77777777" w:rsidR="00CF04BC" w:rsidRPr="00B93493" w:rsidRDefault="00CF04BC" w:rsidP="00CF04BC">
      <w:pPr>
        <w:pStyle w:val="enumlev1"/>
      </w:pPr>
      <w:r w:rsidRPr="00B93493">
        <w:t>–</w:t>
      </w:r>
      <w:r w:rsidRPr="00B93493">
        <w:tab/>
        <w:t>The technology applied.</w:t>
      </w:r>
    </w:p>
    <w:p w14:paraId="15E774BA" w14:textId="77777777" w:rsidR="00CF04BC" w:rsidRPr="00B93493" w:rsidRDefault="00CF04BC" w:rsidP="00CF04BC">
      <w:r w:rsidRPr="00B93493">
        <w:t>The formula shows that the spectrum fee based on the radio station license depends on the amount of radio station transmitters. The more radio station transmitters, the more the operators have to pay as the spectrum fee.</w:t>
      </w:r>
    </w:p>
    <w:p w14:paraId="6B75D17E" w14:textId="77777777" w:rsidR="00CF04BC" w:rsidRPr="00B93493" w:rsidRDefault="00CF04BC" w:rsidP="00CF04BC">
      <w:r w:rsidRPr="00B93493">
        <w:t>Below are some services using frequencies that had a radio station license:</w:t>
      </w:r>
    </w:p>
    <w:p w14:paraId="21F2CB62" w14:textId="77777777" w:rsidR="00CF04BC" w:rsidRPr="00B93493" w:rsidRDefault="00CF04BC" w:rsidP="00CF04BC">
      <w:pPr>
        <w:pStyle w:val="enumlev1"/>
      </w:pPr>
      <w:r w:rsidRPr="00B93493">
        <w:t>–</w:t>
      </w:r>
      <w:r w:rsidRPr="00B93493">
        <w:tab/>
        <w:t>Microwave link</w:t>
      </w:r>
    </w:p>
    <w:p w14:paraId="7A7124C5" w14:textId="77777777" w:rsidR="00CF04BC" w:rsidRPr="00B93493" w:rsidRDefault="00CF04BC" w:rsidP="00CF04BC">
      <w:pPr>
        <w:pStyle w:val="enumlev1"/>
      </w:pPr>
      <w:r w:rsidRPr="00B93493">
        <w:t>–</w:t>
      </w:r>
      <w:r w:rsidRPr="00B93493">
        <w:tab/>
        <w:t>Television Broadcast (analogue)</w:t>
      </w:r>
    </w:p>
    <w:p w14:paraId="619CA648" w14:textId="77777777" w:rsidR="00CF04BC" w:rsidRPr="00B93493" w:rsidRDefault="00CF04BC" w:rsidP="00CF04BC">
      <w:pPr>
        <w:pStyle w:val="enumlev1"/>
      </w:pPr>
      <w:r w:rsidRPr="00B93493">
        <w:t>–</w:t>
      </w:r>
      <w:r w:rsidRPr="00B93493">
        <w:tab/>
        <w:t>Radio Trunking</w:t>
      </w:r>
    </w:p>
    <w:p w14:paraId="51A3F6CA" w14:textId="77777777" w:rsidR="00CF04BC" w:rsidRPr="00B93493" w:rsidRDefault="00CF04BC" w:rsidP="00CF04BC">
      <w:pPr>
        <w:pStyle w:val="enumlev1"/>
      </w:pPr>
      <w:r w:rsidRPr="00B93493">
        <w:t>–</w:t>
      </w:r>
      <w:r w:rsidRPr="00B93493">
        <w:tab/>
        <w:t>Satellite</w:t>
      </w:r>
    </w:p>
    <w:p w14:paraId="1A3F8D09" w14:textId="77777777" w:rsidR="00CF04BC" w:rsidRPr="00B93493" w:rsidRDefault="00CF04BC" w:rsidP="00CF04BC">
      <w:pPr>
        <w:pStyle w:val="Headingb"/>
      </w:pPr>
      <w:bookmarkStart w:id="2488" w:name="_Toc462234170"/>
      <w:bookmarkStart w:id="2489" w:name="_Toc454285006"/>
      <w:r w:rsidRPr="00B93493">
        <w:t>Bandwidth license</w:t>
      </w:r>
      <w:bookmarkEnd w:id="2488"/>
      <w:bookmarkEnd w:id="2489"/>
    </w:p>
    <w:p w14:paraId="13124A18" w14:textId="77777777" w:rsidR="00CF04BC" w:rsidRPr="00B93493" w:rsidRDefault="00CF04BC" w:rsidP="00CF04BC">
      <w:r w:rsidRPr="00B93493">
        <w:t xml:space="preserve">Nowadays, a spectrum fee based on an apparatus license is no longer effective for both the operator as the spectrum user and the administrator who oversee the use of spectrum. Therefore, since 2010 Indonesia started to implement a bandwidth license for some frequencies, such as the frequency bands for 2G, 3G and BWA 2.3 GHz. After implementing the spectrum bandwidth license, Government of Indonesia needed to evaluate the previous spectrum fee formula. The apparatus license is unable to comply with the development of advanced technology. The new formula should be able to fit with the changes in the telecommunication industry, which is very dynamic. </w:t>
      </w:r>
    </w:p>
    <w:p w14:paraId="3FB13A8F" w14:textId="77777777" w:rsidR="00CF04BC" w:rsidRPr="00B93493" w:rsidRDefault="00CF04BC" w:rsidP="00CF04BC">
      <w:pPr>
        <w:pStyle w:val="Headingb"/>
      </w:pPr>
      <w:r w:rsidRPr="00B93493">
        <w:t xml:space="preserve">The spectrum fee based on spectrum bandwidth </w:t>
      </w:r>
    </w:p>
    <w:p w14:paraId="0D205080" w14:textId="77777777" w:rsidR="00CF04BC" w:rsidRPr="00B93493" w:rsidRDefault="00CF04BC" w:rsidP="00CF04BC">
      <w:pPr>
        <w:pStyle w:val="enumlev1"/>
      </w:pPr>
      <w:r w:rsidRPr="00B93493">
        <w:t>1</w:t>
      </w:r>
      <w:r w:rsidRPr="00B93493">
        <w:tab/>
        <w:t>Auction</w:t>
      </w:r>
    </w:p>
    <w:p w14:paraId="2BBCFC18" w14:textId="77777777" w:rsidR="00CF04BC" w:rsidRPr="00B93493" w:rsidRDefault="00CF04BC" w:rsidP="00CF04BC">
      <w:pPr>
        <w:pStyle w:val="enumlev1"/>
      </w:pPr>
      <w:r w:rsidRPr="00B93493">
        <w:t>2</w:t>
      </w:r>
      <w:r w:rsidRPr="00B93493">
        <w:tab/>
        <w:t>Formula</w:t>
      </w:r>
    </w:p>
    <w:p w14:paraId="0C1FE409" w14:textId="77777777" w:rsidR="00CF04BC" w:rsidRPr="00B93493" w:rsidRDefault="00CF04BC" w:rsidP="00CF04BC">
      <w:r w:rsidRPr="00B93493">
        <w:rPr>
          <w:szCs w:val="24"/>
        </w:rPr>
        <w:t>In 2006, Indonesia held an auction for 3G in the frequency range 1 940-1 955 MHz / 2 130</w:t>
      </w:r>
      <w:r w:rsidRPr="00B93493">
        <w:rPr>
          <w:szCs w:val="24"/>
        </w:rPr>
        <w:noBreakHyphen/>
        <w:t xml:space="preserve">2 145 MHz. </w:t>
      </w:r>
      <w:r w:rsidRPr="00B93493">
        <w:t>The auction method called for a two-stage sealed bid auction. The winner of the auction will be granted the spectrum license for 10 years of use. The price from the auction became a reference to calculate the spectrum fee.</w:t>
      </w:r>
    </w:p>
    <w:p w14:paraId="3E7BF367" w14:textId="77777777" w:rsidR="00CF04BC" w:rsidRPr="00B93493" w:rsidRDefault="00CF04BC" w:rsidP="00CF04BC">
      <w:pPr>
        <w:pStyle w:val="Headingb"/>
      </w:pPr>
      <w:r w:rsidRPr="00B93493">
        <w:t>Spectrum fee formula</w:t>
      </w:r>
    </w:p>
    <w:p w14:paraId="343590DC" w14:textId="77777777" w:rsidR="00CF04BC" w:rsidRPr="00B93493" w:rsidRDefault="00CF04BC" w:rsidP="00CF04BC">
      <w:r w:rsidRPr="00B93493">
        <w:t>In order to simplify the formula for calculating the spectrum fee and to give more advantages for both the operator as spectrum user and the government as regulator, in 2010 Indonesia applied the new formula for the use of spectrum in the frequency band of 800 MHz, 900 MHz, and 1 800 MHz, and the spectrum fee must be paid in advance before the user can use the spectrum.</w:t>
      </w:r>
    </w:p>
    <w:p w14:paraId="0603049E" w14:textId="77777777" w:rsidR="00CF04BC" w:rsidRPr="00B93493" w:rsidRDefault="00CF04BC" w:rsidP="00CF04BC">
      <w:pPr>
        <w:pStyle w:val="Headingb"/>
      </w:pPr>
      <w:r w:rsidRPr="00B93493">
        <w:t>Spectrum fee based on bandwidth license = (N×K) × I × C × B</w:t>
      </w:r>
    </w:p>
    <w:p w14:paraId="3CD4D9D2" w14:textId="77777777" w:rsidR="00CF04BC" w:rsidRPr="00B93493" w:rsidRDefault="00CF04BC" w:rsidP="00CF04BC">
      <w:pPr>
        <w:pStyle w:val="Equationlegend"/>
      </w:pPr>
      <w:r w:rsidRPr="00B93493">
        <w:tab/>
      </w:r>
      <w:r w:rsidRPr="00B93493">
        <w:rPr>
          <w:i/>
          <w:iCs/>
        </w:rPr>
        <w:t>N</w:t>
      </w:r>
      <w:r w:rsidRPr="00B93493">
        <w:t>:</w:t>
      </w:r>
      <w:r w:rsidRPr="00B93493">
        <w:tab/>
        <w:t>is a normalization factor to stabilize the government revenue from the non-tax sector</w:t>
      </w:r>
    </w:p>
    <w:p w14:paraId="4CB51E83" w14:textId="77777777" w:rsidR="00CF04BC" w:rsidRPr="00B93493" w:rsidRDefault="00CF04BC" w:rsidP="00CF04BC">
      <w:pPr>
        <w:pStyle w:val="Equationlegend"/>
      </w:pPr>
      <w:r w:rsidRPr="00B93493">
        <w:tab/>
      </w:r>
      <w:r w:rsidRPr="00B93493">
        <w:rPr>
          <w:i/>
          <w:iCs/>
        </w:rPr>
        <w:t>K</w:t>
      </w:r>
      <w:r w:rsidRPr="00B93493">
        <w:t>:</w:t>
      </w:r>
      <w:r w:rsidRPr="00B93493">
        <w:tab/>
        <w:t>is an adjustment factor for the frequency band considering the economy value of the spectrum used depending on the service and benefits</w:t>
      </w:r>
    </w:p>
    <w:p w14:paraId="5B605D88" w14:textId="77777777" w:rsidR="00CF04BC" w:rsidRPr="00B93493" w:rsidRDefault="00CF04BC" w:rsidP="00CF04BC">
      <w:pPr>
        <w:pStyle w:val="Equationlegend"/>
      </w:pPr>
      <w:r w:rsidRPr="00B93493">
        <w:tab/>
      </w:r>
      <w:r w:rsidRPr="00B93493">
        <w:rPr>
          <w:i/>
          <w:iCs/>
        </w:rPr>
        <w:t>I</w:t>
      </w:r>
      <w:r w:rsidRPr="00B93493">
        <w:t>:</w:t>
      </w:r>
      <w:r w:rsidRPr="00B93493">
        <w:tab/>
        <w:t>is the basic price index that is adjustable with propagation of the spectrum (Rp/MHz). The index is settled by government</w:t>
      </w:r>
    </w:p>
    <w:p w14:paraId="1AF1115C" w14:textId="77777777" w:rsidR="00CF04BC" w:rsidRPr="00B93493" w:rsidRDefault="00CF04BC" w:rsidP="00CF04BC">
      <w:pPr>
        <w:pStyle w:val="Equationlegend"/>
      </w:pPr>
      <w:r w:rsidRPr="00B93493">
        <w:tab/>
      </w:r>
      <w:r w:rsidRPr="00B93493">
        <w:rPr>
          <w:i/>
          <w:iCs/>
        </w:rPr>
        <w:t>C</w:t>
      </w:r>
      <w:r w:rsidRPr="00B93493">
        <w:t>:</w:t>
      </w:r>
      <w:r w:rsidRPr="00B93493">
        <w:tab/>
        <w:t>is the last total population in a service area according to the spectrum bandwidth license (Kilopopulation)</w:t>
      </w:r>
    </w:p>
    <w:p w14:paraId="2D33BFEE" w14:textId="77777777" w:rsidR="00CF04BC" w:rsidRPr="00B93493" w:rsidRDefault="00CF04BC" w:rsidP="00CF04BC">
      <w:pPr>
        <w:pStyle w:val="Equationlegend"/>
      </w:pPr>
      <w:r w:rsidRPr="00B93493">
        <w:tab/>
      </w:r>
      <w:r w:rsidRPr="00B93493">
        <w:rPr>
          <w:i/>
          <w:iCs/>
        </w:rPr>
        <w:t>B</w:t>
      </w:r>
      <w:r w:rsidRPr="00B93493">
        <w:t>:</w:t>
      </w:r>
      <w:r w:rsidRPr="00B93493">
        <w:tab/>
        <w:t>is the bandwidth occupied by the spectrum user including the guardband (MHz).</w:t>
      </w:r>
    </w:p>
    <w:p w14:paraId="3556C835" w14:textId="77777777" w:rsidR="00CF04BC" w:rsidRPr="00B93493" w:rsidRDefault="00CF04BC" w:rsidP="00CF04BC">
      <w:r w:rsidRPr="00B93493">
        <w:t xml:space="preserve">In order to keep the sustainability of the telecommunication industry after implementing the bandwidth license instead of the radio station license, the Government of Indonesia made a policy to give the spectrum user a transition period. The transition period is the period given to the spectrum user of the FWA service to make the spectrum fee payment based on the spectrum bandwidth license using the formula given. The transition period is given for </w:t>
      </w:r>
      <w:r>
        <w:t>five</w:t>
      </w:r>
      <w:r w:rsidRPr="00B93493">
        <w:t xml:space="preserve"> years.</w:t>
      </w:r>
    </w:p>
    <w:p w14:paraId="5D4B5C50" w14:textId="77777777" w:rsidR="00CF04BC" w:rsidRPr="00B93493" w:rsidRDefault="00CF04BC" w:rsidP="00CF04BC">
      <w:r w:rsidRPr="00B93493">
        <w:t>This period (</w:t>
      </w:r>
      <w:r>
        <w:t>five</w:t>
      </w:r>
      <w:r w:rsidRPr="00B93493">
        <w:t xml:space="preserve"> years) is fair enough to avoid the fluctuation of the change of the spectrum fee. </w:t>
      </w:r>
    </w:p>
    <w:p w14:paraId="2F2158B5" w14:textId="77777777" w:rsidR="00CF04BC" w:rsidRPr="00B93493" w:rsidRDefault="00CF04BC" w:rsidP="00CF04BC">
      <w:pPr>
        <w:pStyle w:val="Figure"/>
      </w:pPr>
      <w:r w:rsidRPr="00B93493">
        <w:rPr>
          <w:noProof/>
        </w:rPr>
        <w:drawing>
          <wp:inline distT="0" distB="0" distL="0" distR="0" wp14:anchorId="1E1843F8" wp14:editId="46EBC6C0">
            <wp:extent cx="4064000" cy="1066800"/>
            <wp:effectExtent l="0" t="0" r="0" b="0"/>
            <wp:docPr id="49" name="Picture 49" descr="A blue arrow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ue arrow with black text&#10;&#10;AI-generated content may be incorrect."/>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4064000" cy="1066800"/>
                    </a:xfrm>
                    <a:prstGeom prst="rect">
                      <a:avLst/>
                    </a:prstGeom>
                    <a:noFill/>
                    <a:ln>
                      <a:noFill/>
                    </a:ln>
                  </pic:spPr>
                </pic:pic>
              </a:graphicData>
            </a:graphic>
          </wp:inline>
        </w:drawing>
      </w:r>
    </w:p>
    <w:p w14:paraId="2D54E3F5" w14:textId="77777777" w:rsidR="00CF04BC" w:rsidRDefault="00CF04BC" w:rsidP="00C65E6B">
      <w:pPr>
        <w:pStyle w:val="Normalaftertitle"/>
      </w:pPr>
      <w:r w:rsidRPr="00B93493">
        <w:t xml:space="preserve">Within </w:t>
      </w:r>
      <w:r>
        <w:t>five</w:t>
      </w:r>
      <w:r w:rsidRPr="00B93493">
        <w:t xml:space="preserve"> years, the spectrum user will pay the spectrum fee using the formula scheme below:</w:t>
      </w:r>
    </w:p>
    <w:p w14:paraId="2CB9FD6E" w14:textId="77777777" w:rsidR="00CF04BC" w:rsidRPr="005C0BF3" w:rsidRDefault="00CF04BC" w:rsidP="00CF04BC">
      <w:pPr>
        <w:pStyle w:val="TableNo"/>
        <w:rPr>
          <w:b/>
          <w:lang w:eastAsia="zh-CN"/>
        </w:rPr>
      </w:pPr>
      <w:r>
        <w:t xml:space="preserve">TABLE </w:t>
      </w:r>
      <w:r>
        <w:rPr>
          <w:rFonts w:hint="eastAsia"/>
          <w:lang w:eastAsia="zh-CN"/>
        </w:rPr>
        <w:t>49</w:t>
      </w: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8"/>
        <w:gridCol w:w="3507"/>
      </w:tblGrid>
      <w:tr w:rsidR="00CF04BC" w:rsidRPr="00B93493" w14:paraId="588896C8" w14:textId="77777777" w:rsidTr="002E7F5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63C2D1D"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Year 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D9BAEA9"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w:t>
            </w:r>
            <w:r w:rsidRPr="00B93493">
              <w:rPr>
                <w:rFonts w:eastAsia="Calibri"/>
                <w:position w:val="-4"/>
                <w:vertAlign w:val="subscript"/>
                <w:lang w:eastAsia="id-ID"/>
              </w:rPr>
              <w:t>1</w:t>
            </w:r>
            <w:r w:rsidRPr="00B93493">
              <w:rPr>
                <w:rFonts w:eastAsia="Calibri"/>
                <w:lang w:eastAsia="id-ID"/>
              </w:rPr>
              <w:t xml:space="preserve"> = X + ((20% × </w:t>
            </w:r>
            <w:r w:rsidRPr="00B93493">
              <w:rPr>
                <w:rFonts w:eastAsia="Calibri" w:hAnsi="Symbol"/>
                <w:lang w:eastAsia="id-ID"/>
              </w:rPr>
              <w:sym w:font="Symbol" w:char="F044"/>
            </w:r>
            <w:r w:rsidRPr="00B93493">
              <w:rPr>
                <w:rFonts w:eastAsia="Calibri"/>
                <w:lang w:eastAsia="id-ID"/>
              </w:rPr>
              <w:t>) – Z)</w:t>
            </w:r>
          </w:p>
        </w:tc>
      </w:tr>
      <w:tr w:rsidR="00CF04BC" w:rsidRPr="00B93493" w14:paraId="0430012C" w14:textId="77777777" w:rsidTr="002E7F5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0B0D6D92"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Year 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D3137A2"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w:t>
            </w:r>
            <w:r w:rsidRPr="00B93493">
              <w:rPr>
                <w:rFonts w:eastAsia="Calibri"/>
                <w:position w:val="-4"/>
                <w:vertAlign w:val="subscript"/>
                <w:lang w:eastAsia="id-ID"/>
              </w:rPr>
              <w:t>2</w:t>
            </w:r>
            <w:r w:rsidRPr="00B93493">
              <w:rPr>
                <w:rFonts w:eastAsia="Calibri"/>
                <w:lang w:eastAsia="id-ID"/>
              </w:rPr>
              <w:t xml:space="preserve"> = X + (40% × </w:t>
            </w:r>
            <w:r w:rsidRPr="00B93493">
              <w:rPr>
                <w:rFonts w:eastAsia="Calibri" w:hAnsi="Symbol"/>
                <w:lang w:eastAsia="id-ID"/>
              </w:rPr>
              <w:sym w:font="Symbol" w:char="F044"/>
            </w:r>
            <w:r w:rsidRPr="00B93493">
              <w:rPr>
                <w:rFonts w:eastAsia="Calibri"/>
                <w:lang w:eastAsia="id-ID"/>
              </w:rPr>
              <w:t>)</w:t>
            </w:r>
          </w:p>
        </w:tc>
      </w:tr>
      <w:tr w:rsidR="00CF04BC" w:rsidRPr="00B93493" w14:paraId="101C2648" w14:textId="77777777" w:rsidTr="002E7F5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0A994C1"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Year 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4BC8A8D"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w:t>
            </w:r>
            <w:r w:rsidRPr="00B93493">
              <w:rPr>
                <w:rFonts w:eastAsia="Calibri"/>
                <w:position w:val="-4"/>
                <w:vertAlign w:val="subscript"/>
                <w:lang w:eastAsia="id-ID"/>
              </w:rPr>
              <w:t>3</w:t>
            </w:r>
            <w:r w:rsidRPr="00B93493">
              <w:rPr>
                <w:rFonts w:eastAsia="Calibri"/>
                <w:lang w:eastAsia="id-ID"/>
              </w:rPr>
              <w:t xml:space="preserve"> = X + (60% × </w:t>
            </w:r>
            <w:r w:rsidRPr="00B93493">
              <w:rPr>
                <w:rFonts w:eastAsia="Calibri" w:hAnsi="Symbol"/>
                <w:lang w:eastAsia="id-ID"/>
              </w:rPr>
              <w:sym w:font="Symbol" w:char="F044"/>
            </w:r>
            <w:r w:rsidRPr="00B93493">
              <w:rPr>
                <w:rFonts w:eastAsia="Calibri"/>
                <w:lang w:eastAsia="id-ID"/>
              </w:rPr>
              <w:t>)</w:t>
            </w:r>
          </w:p>
        </w:tc>
      </w:tr>
      <w:tr w:rsidR="00CF04BC" w:rsidRPr="00B93493" w14:paraId="6748D5DA" w14:textId="77777777" w:rsidTr="002E7F5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22F55094"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Year 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8210EFD"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w:t>
            </w:r>
            <w:r w:rsidRPr="00B93493">
              <w:rPr>
                <w:rFonts w:eastAsia="Calibri"/>
                <w:position w:val="-4"/>
                <w:vertAlign w:val="subscript"/>
                <w:lang w:eastAsia="id-ID"/>
              </w:rPr>
              <w:t>4</w:t>
            </w:r>
            <w:r w:rsidRPr="00B93493">
              <w:rPr>
                <w:rFonts w:eastAsia="Calibri"/>
                <w:lang w:eastAsia="id-ID"/>
              </w:rPr>
              <w:t xml:space="preserve"> = X + (80% × </w:t>
            </w:r>
            <w:r w:rsidRPr="00B93493">
              <w:rPr>
                <w:rFonts w:eastAsia="Calibri" w:hAnsi="Symbol"/>
                <w:lang w:eastAsia="id-ID"/>
              </w:rPr>
              <w:sym w:font="Symbol" w:char="F044"/>
            </w:r>
            <w:r w:rsidRPr="00B93493">
              <w:rPr>
                <w:rFonts w:eastAsia="Calibri"/>
                <w:lang w:eastAsia="id-ID"/>
              </w:rPr>
              <w:t>)</w:t>
            </w:r>
          </w:p>
        </w:tc>
      </w:tr>
      <w:tr w:rsidR="00CF04BC" w:rsidRPr="00B93493" w14:paraId="127731E2" w14:textId="77777777" w:rsidTr="002E7F5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040F325"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Year 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06BCC250" w14:textId="77777777" w:rsidR="00CF04BC" w:rsidRPr="00B93493" w:rsidRDefault="00CF04BC" w:rsidP="002E7F54">
            <w:pPr>
              <w:pStyle w:val="Tabletext"/>
              <w:keepNext/>
              <w:keepLines/>
              <w:jc w:val="center"/>
              <w:rPr>
                <w:rFonts w:ascii="Arial" w:hAnsi="Arial" w:cs="Arial"/>
                <w:lang w:eastAsia="id-ID"/>
              </w:rPr>
            </w:pPr>
            <w:r w:rsidRPr="00B93493">
              <w:rPr>
                <w:rFonts w:eastAsia="Calibri"/>
                <w:lang w:eastAsia="id-ID"/>
              </w:rPr>
              <w:t>Y</w:t>
            </w:r>
            <w:r w:rsidRPr="00B93493">
              <w:rPr>
                <w:rFonts w:eastAsia="Calibri"/>
                <w:position w:val="-4"/>
                <w:vertAlign w:val="subscript"/>
                <w:lang w:eastAsia="id-ID"/>
              </w:rPr>
              <w:t>5</w:t>
            </w:r>
            <w:r w:rsidRPr="00B93493">
              <w:rPr>
                <w:rFonts w:eastAsia="Calibri"/>
                <w:lang w:eastAsia="id-ID"/>
              </w:rPr>
              <w:t xml:space="preserve"> = X + (100% × </w:t>
            </w:r>
            <w:r w:rsidRPr="00B93493">
              <w:rPr>
                <w:rFonts w:eastAsia="Calibri" w:hAnsi="Symbol"/>
                <w:lang w:eastAsia="id-ID"/>
              </w:rPr>
              <w:sym w:font="Symbol" w:char="F044"/>
            </w:r>
            <w:r w:rsidRPr="00B93493">
              <w:rPr>
                <w:rFonts w:eastAsia="Calibri"/>
                <w:lang w:eastAsia="id-ID"/>
              </w:rPr>
              <w:t>)</w:t>
            </w:r>
          </w:p>
        </w:tc>
      </w:tr>
    </w:tbl>
    <w:p w14:paraId="01C17523" w14:textId="77777777" w:rsidR="00CF04BC" w:rsidRPr="00B93493" w:rsidRDefault="00CF04BC" w:rsidP="00CF04BC">
      <w:pPr>
        <w:pStyle w:val="Tablefin"/>
      </w:pPr>
    </w:p>
    <w:p w14:paraId="75B75E82" w14:textId="77777777" w:rsidR="00CF04BC" w:rsidRPr="00B93493" w:rsidRDefault="00CF04BC" w:rsidP="00CF04BC">
      <w:pPr>
        <w:pStyle w:val="enumlev1"/>
      </w:pPr>
      <w:r w:rsidRPr="00B93493">
        <w:t>–</w:t>
      </w:r>
      <w:r w:rsidRPr="00B93493">
        <w:tab/>
        <w:t>In the transition period (from 2010 until 2015) the constant (N</w:t>
      </w:r>
      <w:r w:rsidRPr="00B93493">
        <w:rPr>
          <w:rFonts w:eastAsia="Calibri"/>
          <w:lang w:eastAsia="id-ID"/>
        </w:rPr>
        <w:t>×</w:t>
      </w:r>
      <w:r w:rsidRPr="00B93493">
        <w:t xml:space="preserve">K) is bound as a unit and should be adjusted every year using the ratio of Consumer Price Index (CPI). </w:t>
      </w:r>
    </w:p>
    <w:p w14:paraId="16B1942C" w14:textId="77777777" w:rsidR="00CF04BC" w:rsidRPr="00B93493" w:rsidRDefault="00CF04BC" w:rsidP="00CF04BC">
      <w:pPr>
        <w:pStyle w:val="enumlev1"/>
      </w:pPr>
      <w:r w:rsidRPr="00B93493">
        <w:t>–</w:t>
      </w:r>
      <w:r w:rsidRPr="00B93493">
        <w:tab/>
        <w:t>The constant (N </w:t>
      </w:r>
      <w:r w:rsidRPr="00B93493">
        <w:rPr>
          <w:rFonts w:eastAsia="Calibri"/>
          <w:lang w:eastAsia="id-ID"/>
        </w:rPr>
        <w:t>× </w:t>
      </w:r>
      <w:r w:rsidRPr="00B93493">
        <w:t>K) is determined by the result price of additional 3G service auction in frequency band 2.1 GHz period year 2009-2010.</w:t>
      </w:r>
    </w:p>
    <w:p w14:paraId="358E189A" w14:textId="77777777" w:rsidR="00CF04BC" w:rsidRPr="00B93493" w:rsidRDefault="00CF04BC" w:rsidP="00CF04BC">
      <w:r w:rsidRPr="00B93493">
        <w:t>The resulting price is Rp 160 Billion.</w:t>
      </w:r>
    </w:p>
    <w:p w14:paraId="2752A3C3" w14:textId="77777777" w:rsidR="00CF04BC" w:rsidRPr="00B93493" w:rsidRDefault="00CF04BC" w:rsidP="00CF04BC">
      <w:pPr>
        <w:pStyle w:val="enumlev1"/>
      </w:pPr>
      <w:r w:rsidRPr="00B93493">
        <w:t>–</w:t>
      </w:r>
      <w:r w:rsidRPr="00B93493">
        <w:tab/>
        <w:t>For the period year 2011 until 2015, the value of (N</w:t>
      </w:r>
      <w:r w:rsidRPr="00B93493">
        <w:rPr>
          <w:rFonts w:eastAsia="Calibri"/>
          <w:lang w:eastAsia="id-ID"/>
        </w:rPr>
        <w:t>×</w:t>
      </w:r>
      <w:r w:rsidRPr="00B93493">
        <w:t>K) will be adjusted every year by multiplying the value of (N </w:t>
      </w:r>
      <w:r w:rsidRPr="00B93493">
        <w:rPr>
          <w:rFonts w:eastAsia="Calibri"/>
          <w:lang w:eastAsia="id-ID"/>
        </w:rPr>
        <w:t>× </w:t>
      </w:r>
      <w:r w:rsidRPr="00B93493">
        <w:t>K) year 2010 to the ratio between Consumer Price Index on December a year before and two years before.</w:t>
      </w:r>
    </w:p>
    <w:p w14:paraId="2861452F" w14:textId="77777777" w:rsidR="00CF04BC" w:rsidRDefault="00CF04BC" w:rsidP="00CF04BC">
      <w:pPr>
        <w:pStyle w:val="Figure"/>
      </w:pPr>
      <w:r w:rsidRPr="00B93493">
        <w:rPr>
          <w:noProof/>
        </w:rPr>
        <w:drawing>
          <wp:inline distT="0" distB="0" distL="0" distR="0" wp14:anchorId="6F180297" wp14:editId="39B3EF30">
            <wp:extent cx="2286000" cy="2990850"/>
            <wp:effectExtent l="0" t="0" r="0" b="0"/>
            <wp:docPr id="48" name="Picture 48"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ell phone&#10;&#10;AI-generated content may be incorrect."/>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a:xfrm>
                      <a:off x="0" y="0"/>
                      <a:ext cx="2286000" cy="2990850"/>
                    </a:xfrm>
                    <a:prstGeom prst="rect">
                      <a:avLst/>
                    </a:prstGeom>
                    <a:noFill/>
                    <a:ln>
                      <a:noFill/>
                    </a:ln>
                  </pic:spPr>
                </pic:pic>
              </a:graphicData>
            </a:graphic>
          </wp:inline>
        </w:drawing>
      </w:r>
    </w:p>
    <w:p w14:paraId="36A7F1A5" w14:textId="77777777" w:rsidR="00CF04BC" w:rsidRPr="00B93493" w:rsidRDefault="00CF04BC" w:rsidP="00CF04BC">
      <w:pPr>
        <w:pStyle w:val="Headingb"/>
      </w:pPr>
      <w:r w:rsidRPr="00B93493">
        <w:t>No spectrum fee</w:t>
      </w:r>
    </w:p>
    <w:p w14:paraId="63EE0B0D" w14:textId="77777777" w:rsidR="00CF04BC" w:rsidRPr="00B93493" w:rsidRDefault="00CF04BC" w:rsidP="00CF04BC">
      <w:r w:rsidRPr="00B93493">
        <w:t>In Indonesia, there are several services of spectrum which are not charged by a spectrum fee. The users are granted a spectrum license without any obligation to pay the spectrum fee. Those spectra are used for the services, such as:</w:t>
      </w:r>
    </w:p>
    <w:p w14:paraId="3E2ACFD5" w14:textId="77777777" w:rsidR="00CF04BC" w:rsidRPr="00B93493" w:rsidRDefault="00CF04BC" w:rsidP="00CF04BC">
      <w:pPr>
        <w:pStyle w:val="enumlev1"/>
      </w:pPr>
      <w:r w:rsidRPr="00B93493">
        <w:t>–</w:t>
      </w:r>
      <w:r w:rsidRPr="00B93493">
        <w:tab/>
        <w:t>Special telecommunication for national defence</w:t>
      </w:r>
    </w:p>
    <w:p w14:paraId="0B73FD9E" w14:textId="77777777" w:rsidR="00CF04BC" w:rsidRPr="00B93493" w:rsidRDefault="00CF04BC" w:rsidP="00CF04BC">
      <w:pPr>
        <w:pStyle w:val="enumlev1"/>
      </w:pPr>
      <w:r w:rsidRPr="00B93493">
        <w:t>–</w:t>
      </w:r>
      <w:r w:rsidRPr="00B93493">
        <w:tab/>
        <w:t>Special telecommunication for special service</w:t>
      </w:r>
    </w:p>
    <w:p w14:paraId="7BD544B3" w14:textId="77777777" w:rsidR="00CF04BC" w:rsidRPr="00B93493" w:rsidRDefault="00CF04BC" w:rsidP="00CF04BC">
      <w:pPr>
        <w:pStyle w:val="enumlev1"/>
      </w:pPr>
      <w:r w:rsidRPr="00B93493">
        <w:t>–</w:t>
      </w:r>
      <w:r w:rsidRPr="00B93493">
        <w:tab/>
        <w:t xml:space="preserve">Special telecommunication for government services that are used by the foreign embassy in Indonesia </w:t>
      </w:r>
    </w:p>
    <w:p w14:paraId="3FB990F8" w14:textId="77777777" w:rsidR="00CF04BC" w:rsidRPr="00B93493" w:rsidRDefault="00CF04BC" w:rsidP="00CF04BC">
      <w:pPr>
        <w:pStyle w:val="enumlev1"/>
      </w:pPr>
      <w:r w:rsidRPr="00B93493">
        <w:t>–</w:t>
      </w:r>
      <w:r w:rsidRPr="00B93493">
        <w:tab/>
        <w:t>Low power devices under 10 mWatt</w:t>
      </w:r>
    </w:p>
    <w:p w14:paraId="4CFB635E" w14:textId="77777777" w:rsidR="00CF04BC" w:rsidRPr="00B93493" w:rsidRDefault="00CF04BC" w:rsidP="00CF04BC">
      <w:pPr>
        <w:pStyle w:val="enumlev1"/>
      </w:pPr>
      <w:r w:rsidRPr="00B93493">
        <w:t>–</w:t>
      </w:r>
      <w:r w:rsidRPr="00B93493">
        <w:tab/>
        <w:t>Wireless data service in the frequency band 2 400-2 483 MHz</w:t>
      </w:r>
    </w:p>
    <w:p w14:paraId="631FEEDA" w14:textId="77777777" w:rsidR="00CF04BC" w:rsidRPr="00B93493" w:rsidRDefault="00CF04BC" w:rsidP="00CF04BC">
      <w:pPr>
        <w:pStyle w:val="enumlev1"/>
      </w:pPr>
      <w:r w:rsidRPr="00B93493">
        <w:t>–</w:t>
      </w:r>
      <w:r w:rsidRPr="00B93493">
        <w:tab/>
        <w:t>The frequency band used for ISM (Industry, Science, Medical).</w:t>
      </w:r>
    </w:p>
    <w:p w14:paraId="5B1B1C00" w14:textId="77777777" w:rsidR="00CF04BC" w:rsidRPr="00B93493" w:rsidRDefault="00CF04BC" w:rsidP="00CF04BC">
      <w:pPr>
        <w:pStyle w:val="Heading3"/>
      </w:pPr>
      <w:bookmarkStart w:id="2490" w:name="_Toc462234171"/>
      <w:bookmarkStart w:id="2491" w:name="_Toc518394269"/>
      <w:bookmarkStart w:id="2492" w:name="_Toc182391588"/>
      <w:bookmarkStart w:id="2493" w:name="_Toc182391999"/>
      <w:r w:rsidRPr="00B93493">
        <w:t>5.2.13</w:t>
      </w:r>
      <w:r w:rsidRPr="00B93493">
        <w:tab/>
        <w:t>Colombia’s procedure for determining the occupation level in a specific geographic area for point-to-point links</w:t>
      </w:r>
      <w:bookmarkEnd w:id="2490"/>
      <w:bookmarkEnd w:id="2491"/>
      <w:bookmarkEnd w:id="2492"/>
      <w:bookmarkEnd w:id="2493"/>
    </w:p>
    <w:p w14:paraId="3A0E210A" w14:textId="77777777" w:rsidR="00CF04BC" w:rsidRPr="00B93493" w:rsidRDefault="00CF04BC" w:rsidP="00CF04BC">
      <w:r w:rsidRPr="00B93493">
        <w:t>The government of Colombia shares the following results of a study that will lead to the determination of the parameters to include in the spectrum fees regime.  The text below shows the inclusion of a parameter that reflects the spectrum demand and the cost of opportunity for microwave links for certain frequency bands.</w:t>
      </w:r>
    </w:p>
    <w:p w14:paraId="4B164BD5" w14:textId="77777777" w:rsidR="00CF04BC" w:rsidRPr="00B93493" w:rsidRDefault="00CF04BC" w:rsidP="00CF04BC">
      <w:pPr>
        <w:pStyle w:val="Headingb"/>
      </w:pPr>
      <w:bookmarkStart w:id="2494" w:name="_Toc454285008"/>
      <w:bookmarkStart w:id="2495" w:name="_Toc462234172"/>
      <w:r w:rsidRPr="00B93493">
        <w:t>Background</w:t>
      </w:r>
      <w:bookmarkEnd w:id="2494"/>
      <w:bookmarkEnd w:id="2495"/>
    </w:p>
    <w:p w14:paraId="316803FF" w14:textId="77777777" w:rsidR="00CF04BC" w:rsidRPr="00B93493" w:rsidRDefault="00CF04BC" w:rsidP="00CF04BC">
      <w:r w:rsidRPr="00B93493">
        <w:t>The Information and Communication Technologies Law issued in 2009 in Colombia (Law # 1341) ordered to promote the optimal use of the spectrum given its strategic importance for the country and in order to improve competitiveness, quality services and efficiency for the consumers. In this regard, all national and territorial governmental entities involved in spectrum management must adopt the necessary measures for reaching these objectives.</w:t>
      </w:r>
    </w:p>
    <w:p w14:paraId="7E6E0A66" w14:textId="77777777" w:rsidR="00CF04BC" w:rsidRPr="00B93493" w:rsidRDefault="00CF04BC" w:rsidP="00CF04BC">
      <w:r w:rsidRPr="00B93493">
        <w:rPr>
          <w:szCs w:val="24"/>
        </w:rPr>
        <w:t>The law 1341 also created the National Spectrum Agency, ANE is its Spanish acronym. This entity is in charge of giving technical support on spectrum management issues, in particular on planning, monitoring and control of the spectrum, as well as advising the Ministry of Information and Communication Technologies on frequencies assignment and the definition or adjustment of the spectrum fee regime.</w:t>
      </w:r>
    </w:p>
    <w:p w14:paraId="5E91F72B" w14:textId="77777777" w:rsidR="00CF04BC" w:rsidRPr="00B93493" w:rsidRDefault="00CF04BC" w:rsidP="00CF04BC">
      <w:r w:rsidRPr="00B93493">
        <w:rPr>
          <w:szCs w:val="24"/>
        </w:rPr>
        <w:t>In this regard, ANE has developed several studies that identified some aspects for being introduced in the spectrum fee regime. Amidst the measures is a coefficient called Efficiency Factor (Fe) that applies in the point-to-point links formula and will have an important role to steer improvements toward a more efficient distribution of spectrum and its use.</w:t>
      </w:r>
    </w:p>
    <w:p w14:paraId="20C4203D" w14:textId="77777777" w:rsidR="00CF04BC" w:rsidRPr="00B93493" w:rsidRDefault="00CF04BC" w:rsidP="00CF04BC">
      <w:pPr>
        <w:pStyle w:val="Headingb"/>
        <w:rPr>
          <w:szCs w:val="24"/>
        </w:rPr>
      </w:pPr>
      <w:bookmarkStart w:id="2496" w:name="_Toc454285009"/>
      <w:bookmarkStart w:id="2497" w:name="_Toc462234173"/>
      <w:r w:rsidRPr="00B93493">
        <w:t>The efficiency factor for point to point links</w:t>
      </w:r>
      <w:bookmarkEnd w:id="2496"/>
      <w:bookmarkEnd w:id="2497"/>
    </w:p>
    <w:p w14:paraId="1F15820E" w14:textId="77777777" w:rsidR="00CF04BC" w:rsidRPr="00B93493" w:rsidRDefault="00CF04BC" w:rsidP="00CF04BC">
      <w:r w:rsidRPr="00B93493">
        <w:t>The national spectrum fee regime in Colombia is organised by the kind of links and applies for frequencies different from IMT bands. In the latter case, the fees are fixed through market mechanisms given that the frequency assignment processes are made by auction processes, most of the time.</w:t>
      </w:r>
    </w:p>
    <w:p w14:paraId="172B07EA" w14:textId="77777777" w:rsidR="00CF04BC" w:rsidRPr="00B93493" w:rsidRDefault="00CF04BC" w:rsidP="00CF04BC">
      <w:r w:rsidRPr="00B93493">
        <w:t xml:space="preserve">Thus, the spectrum fee regime contains distinct formulas related to: </w:t>
      </w:r>
    </w:p>
    <w:p w14:paraId="68DB51A8" w14:textId="77777777" w:rsidR="00CF04BC" w:rsidRPr="00B93493" w:rsidRDefault="00CF04BC" w:rsidP="00CF04BC">
      <w:pPr>
        <w:pStyle w:val="enumlev1"/>
      </w:pPr>
      <w:r w:rsidRPr="00B93493">
        <w:t>a)</w:t>
      </w:r>
      <w:r w:rsidRPr="00B93493">
        <w:tab/>
        <w:t xml:space="preserve">the links in the HF bands; </w:t>
      </w:r>
    </w:p>
    <w:p w14:paraId="40D875F8" w14:textId="77777777" w:rsidR="00CF04BC" w:rsidRPr="00B93493" w:rsidRDefault="00CF04BC" w:rsidP="00CF04BC">
      <w:pPr>
        <w:pStyle w:val="enumlev1"/>
      </w:pPr>
      <w:r w:rsidRPr="00B93493">
        <w:t>b)</w:t>
      </w:r>
      <w:r w:rsidRPr="00B93493">
        <w:tab/>
        <w:t xml:space="preserve">the point to point links, and </w:t>
      </w:r>
    </w:p>
    <w:p w14:paraId="4B328010" w14:textId="77777777" w:rsidR="00CF04BC" w:rsidRPr="00B93493" w:rsidRDefault="00CF04BC" w:rsidP="00CF04BC">
      <w:pPr>
        <w:pStyle w:val="enumlev1"/>
      </w:pPr>
      <w:r w:rsidRPr="00B93493">
        <w:t>c)</w:t>
      </w:r>
      <w:r w:rsidRPr="00B93493">
        <w:tab/>
        <w:t xml:space="preserve">the point to multipoint links. </w:t>
      </w:r>
    </w:p>
    <w:p w14:paraId="6B67BEE6" w14:textId="77777777" w:rsidR="00CF04BC" w:rsidRPr="00B93493" w:rsidRDefault="00CF04BC" w:rsidP="00CF04BC">
      <w:r w:rsidRPr="00B93493">
        <w:rPr>
          <w:szCs w:val="24"/>
        </w:rPr>
        <w:t xml:space="preserve">As a result of the application of the distinct formulas and the growth of the spectrum demand, in some specific geographic areas and locations, the spectrum became </w:t>
      </w:r>
      <w:r w:rsidRPr="00B93493">
        <w:rPr>
          <w:b/>
          <w:bCs/>
          <w:szCs w:val="24"/>
        </w:rPr>
        <w:t xml:space="preserve">congested. </w:t>
      </w:r>
      <w:r w:rsidRPr="00B93493">
        <w:rPr>
          <w:szCs w:val="24"/>
        </w:rPr>
        <w:t>Therefore, it was necessary to design and include in the corresponding formulas a factor that reflects the resource scarcity and promote decisions based on opportunity cost, among other criteria.</w:t>
      </w:r>
    </w:p>
    <w:p w14:paraId="06137CA3" w14:textId="77777777" w:rsidR="00CF04BC" w:rsidRPr="00B93493" w:rsidRDefault="00CF04BC" w:rsidP="00CF04BC">
      <w:r w:rsidRPr="00B93493">
        <w:t xml:space="preserve">In this regard, ANE developed a study in order to identify the changes that were needed. Amidst other factors and modifications required, the Efficiency Factor was included in the point-to-point links formula. </w:t>
      </w:r>
    </w:p>
    <w:p w14:paraId="34A12F17" w14:textId="77777777" w:rsidR="00CF04BC" w:rsidRDefault="00CF04BC" w:rsidP="00CF04BC">
      <w:pPr>
        <w:spacing w:after="240"/>
      </w:pPr>
      <w:r w:rsidRPr="00B93493">
        <w:t xml:space="preserve">This factor encompasses technical and economic criteria that promote efficiency in the spectrum assignment and its use. It is related to the current spectrum permissions in specific geographic areas (the resource demand). </w:t>
      </w:r>
    </w:p>
    <w:p w14:paraId="26984FD6" w14:textId="77777777" w:rsidR="00CF04BC" w:rsidRPr="00B93493" w:rsidRDefault="00CF04BC" w:rsidP="00CF04BC">
      <w:pPr>
        <w:pStyle w:val="TableNo"/>
        <w:rPr>
          <w:lang w:eastAsia="zh-CN"/>
        </w:rPr>
      </w:pPr>
      <w:r>
        <w:t xml:space="preserve">TABLE </w:t>
      </w:r>
      <w:r>
        <w:rPr>
          <w:rFonts w:hint="eastAsia"/>
          <w:lang w:eastAsia="zh-CN"/>
        </w:rPr>
        <w:t>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1"/>
        <w:gridCol w:w="2550"/>
        <w:gridCol w:w="2688"/>
      </w:tblGrid>
      <w:tr w:rsidR="00CF04BC" w:rsidRPr="00B93493" w14:paraId="517AADE0" w14:textId="77777777" w:rsidTr="002E7F54">
        <w:trPr>
          <w:trHeight w:val="640"/>
          <w:jc w:val="center"/>
        </w:trPr>
        <w:tc>
          <w:tcPr>
            <w:tcW w:w="2280" w:type="pct"/>
            <w:shd w:val="clear" w:color="auto" w:fill="auto"/>
            <w:tcMar>
              <w:top w:w="15" w:type="dxa"/>
              <w:left w:w="108" w:type="dxa"/>
              <w:bottom w:w="0" w:type="dxa"/>
              <w:right w:w="108" w:type="dxa"/>
            </w:tcMar>
          </w:tcPr>
          <w:p w14:paraId="3C3B8D59" w14:textId="77777777" w:rsidR="00CF04BC" w:rsidRPr="00B93493" w:rsidRDefault="00CF04BC" w:rsidP="002E7F54">
            <w:pPr>
              <w:pStyle w:val="Tablehead"/>
              <w:keepLines/>
            </w:pPr>
            <w:r w:rsidRPr="00B93493">
              <w:t>Band occupation level</w:t>
            </w:r>
            <w:r>
              <w:t xml:space="preserve"> </w:t>
            </w:r>
            <w:r w:rsidRPr="00B93493">
              <w:t>(BOL)</w:t>
            </w:r>
            <w:r w:rsidRPr="00B93493">
              <w:br/>
              <w:t>percentage</w:t>
            </w:r>
          </w:p>
        </w:tc>
        <w:tc>
          <w:tcPr>
            <w:tcW w:w="1324" w:type="pct"/>
            <w:shd w:val="clear" w:color="auto" w:fill="auto"/>
            <w:tcMar>
              <w:top w:w="15" w:type="dxa"/>
              <w:left w:w="108" w:type="dxa"/>
              <w:bottom w:w="0" w:type="dxa"/>
              <w:right w:w="108" w:type="dxa"/>
            </w:tcMar>
          </w:tcPr>
          <w:p w14:paraId="53AA698B" w14:textId="77777777" w:rsidR="00CF04BC" w:rsidRPr="00B93493" w:rsidRDefault="00CF04BC" w:rsidP="002E7F54">
            <w:pPr>
              <w:pStyle w:val="Tablehead"/>
              <w:keepLines/>
            </w:pPr>
            <w:r w:rsidRPr="00B93493">
              <w:t>Congestion level</w:t>
            </w:r>
          </w:p>
        </w:tc>
        <w:tc>
          <w:tcPr>
            <w:tcW w:w="1396" w:type="pct"/>
            <w:shd w:val="clear" w:color="auto" w:fill="auto"/>
            <w:tcMar>
              <w:top w:w="15" w:type="dxa"/>
              <w:left w:w="108" w:type="dxa"/>
              <w:bottom w:w="0" w:type="dxa"/>
              <w:right w:w="108" w:type="dxa"/>
            </w:tcMar>
          </w:tcPr>
          <w:p w14:paraId="4B9FEE02" w14:textId="77777777" w:rsidR="00CF04BC" w:rsidRPr="00B93493" w:rsidRDefault="00CF04BC" w:rsidP="002E7F54">
            <w:pPr>
              <w:pStyle w:val="Tablehead"/>
              <w:keepLines/>
            </w:pPr>
            <w:r w:rsidRPr="00B93493">
              <w:t>Efficiency factor (Fe)</w:t>
            </w:r>
          </w:p>
        </w:tc>
      </w:tr>
      <w:tr w:rsidR="00CF04BC" w:rsidRPr="00B93493" w14:paraId="682ECE63" w14:textId="77777777" w:rsidTr="002E7F54">
        <w:trPr>
          <w:trHeight w:val="320"/>
          <w:jc w:val="center"/>
        </w:trPr>
        <w:tc>
          <w:tcPr>
            <w:tcW w:w="2280" w:type="pct"/>
            <w:shd w:val="clear" w:color="auto" w:fill="auto"/>
            <w:tcMar>
              <w:top w:w="15" w:type="dxa"/>
              <w:left w:w="108" w:type="dxa"/>
              <w:bottom w:w="0" w:type="dxa"/>
              <w:right w:w="108" w:type="dxa"/>
            </w:tcMar>
            <w:vAlign w:val="center"/>
          </w:tcPr>
          <w:p w14:paraId="6A6D3A79" w14:textId="77777777" w:rsidR="00CF04BC" w:rsidRPr="00B93493" w:rsidRDefault="00CF04BC" w:rsidP="002E7F54">
            <w:pPr>
              <w:pStyle w:val="Tabletext"/>
              <w:keepNext/>
              <w:keepLines/>
              <w:jc w:val="center"/>
            </w:pPr>
            <w:r w:rsidRPr="00B93493">
              <w:t>0% &lt; BOL ≤ 75%</w:t>
            </w:r>
          </w:p>
        </w:tc>
        <w:tc>
          <w:tcPr>
            <w:tcW w:w="1324" w:type="pct"/>
            <w:shd w:val="clear" w:color="auto" w:fill="auto"/>
            <w:tcMar>
              <w:top w:w="15" w:type="dxa"/>
              <w:left w:w="108" w:type="dxa"/>
              <w:bottom w:w="0" w:type="dxa"/>
              <w:right w:w="108" w:type="dxa"/>
            </w:tcMar>
            <w:vAlign w:val="center"/>
          </w:tcPr>
          <w:p w14:paraId="7B691476" w14:textId="77777777" w:rsidR="00CF04BC" w:rsidRPr="00B93493" w:rsidRDefault="00CF04BC" w:rsidP="002E7F54">
            <w:pPr>
              <w:pStyle w:val="Tabletext"/>
              <w:keepNext/>
              <w:keepLines/>
              <w:jc w:val="center"/>
            </w:pPr>
            <w:r w:rsidRPr="00B93493">
              <w:t>Low</w:t>
            </w:r>
          </w:p>
        </w:tc>
        <w:tc>
          <w:tcPr>
            <w:tcW w:w="1396" w:type="pct"/>
            <w:shd w:val="clear" w:color="auto" w:fill="auto"/>
            <w:tcMar>
              <w:top w:w="15" w:type="dxa"/>
              <w:left w:w="108" w:type="dxa"/>
              <w:bottom w:w="0" w:type="dxa"/>
              <w:right w:w="108" w:type="dxa"/>
            </w:tcMar>
            <w:vAlign w:val="center"/>
          </w:tcPr>
          <w:p w14:paraId="0942F146" w14:textId="77777777" w:rsidR="00CF04BC" w:rsidRPr="00B93493" w:rsidRDefault="00CF04BC" w:rsidP="002E7F54">
            <w:pPr>
              <w:pStyle w:val="Tabletext"/>
              <w:keepNext/>
              <w:keepLines/>
              <w:jc w:val="center"/>
            </w:pPr>
            <w:r w:rsidRPr="00B93493">
              <w:t>1</w:t>
            </w:r>
          </w:p>
        </w:tc>
      </w:tr>
      <w:tr w:rsidR="00CF04BC" w:rsidRPr="00B93493" w14:paraId="201EC649" w14:textId="77777777" w:rsidTr="002E7F54">
        <w:trPr>
          <w:trHeight w:val="320"/>
          <w:jc w:val="center"/>
        </w:trPr>
        <w:tc>
          <w:tcPr>
            <w:tcW w:w="2280" w:type="pct"/>
            <w:shd w:val="clear" w:color="auto" w:fill="auto"/>
            <w:tcMar>
              <w:top w:w="15" w:type="dxa"/>
              <w:left w:w="108" w:type="dxa"/>
              <w:bottom w:w="0" w:type="dxa"/>
              <w:right w:w="108" w:type="dxa"/>
            </w:tcMar>
            <w:vAlign w:val="center"/>
          </w:tcPr>
          <w:p w14:paraId="66B0A280" w14:textId="77777777" w:rsidR="00CF04BC" w:rsidRPr="00B93493" w:rsidRDefault="00CF04BC" w:rsidP="002E7F54">
            <w:pPr>
              <w:pStyle w:val="Tabletext"/>
              <w:keepNext/>
              <w:keepLines/>
              <w:jc w:val="center"/>
            </w:pPr>
            <w:r w:rsidRPr="00B93493">
              <w:t>75% &lt; BOL ≤ 90%</w:t>
            </w:r>
          </w:p>
        </w:tc>
        <w:tc>
          <w:tcPr>
            <w:tcW w:w="1324" w:type="pct"/>
            <w:shd w:val="clear" w:color="auto" w:fill="auto"/>
            <w:tcMar>
              <w:top w:w="15" w:type="dxa"/>
              <w:left w:w="108" w:type="dxa"/>
              <w:bottom w:w="0" w:type="dxa"/>
              <w:right w:w="108" w:type="dxa"/>
            </w:tcMar>
            <w:vAlign w:val="center"/>
          </w:tcPr>
          <w:p w14:paraId="2156EFFA" w14:textId="77777777" w:rsidR="00CF04BC" w:rsidRPr="00B93493" w:rsidRDefault="00CF04BC" w:rsidP="002E7F54">
            <w:pPr>
              <w:pStyle w:val="Tabletext"/>
              <w:keepNext/>
              <w:keepLines/>
              <w:jc w:val="center"/>
            </w:pPr>
            <w:r w:rsidRPr="00B93493">
              <w:t>Medium</w:t>
            </w:r>
          </w:p>
        </w:tc>
        <w:tc>
          <w:tcPr>
            <w:tcW w:w="1396" w:type="pct"/>
            <w:shd w:val="clear" w:color="auto" w:fill="auto"/>
            <w:tcMar>
              <w:top w:w="15" w:type="dxa"/>
              <w:left w:w="108" w:type="dxa"/>
              <w:bottom w:w="0" w:type="dxa"/>
              <w:right w:w="108" w:type="dxa"/>
            </w:tcMar>
            <w:vAlign w:val="center"/>
          </w:tcPr>
          <w:p w14:paraId="1F411DBE" w14:textId="77777777" w:rsidR="00CF04BC" w:rsidRPr="00B93493" w:rsidRDefault="00CF04BC" w:rsidP="002E7F54">
            <w:pPr>
              <w:pStyle w:val="Tabletext"/>
              <w:keepNext/>
              <w:keepLines/>
              <w:jc w:val="center"/>
            </w:pPr>
            <w:r w:rsidRPr="00B93493">
              <w:t>1.1</w:t>
            </w:r>
          </w:p>
        </w:tc>
      </w:tr>
      <w:tr w:rsidR="00CF04BC" w:rsidRPr="00B93493" w14:paraId="71296EDA" w14:textId="77777777" w:rsidTr="002E7F54">
        <w:trPr>
          <w:trHeight w:val="340"/>
          <w:jc w:val="center"/>
        </w:trPr>
        <w:tc>
          <w:tcPr>
            <w:tcW w:w="2280" w:type="pct"/>
            <w:shd w:val="clear" w:color="auto" w:fill="auto"/>
            <w:tcMar>
              <w:top w:w="15" w:type="dxa"/>
              <w:left w:w="108" w:type="dxa"/>
              <w:bottom w:w="0" w:type="dxa"/>
              <w:right w:w="108" w:type="dxa"/>
            </w:tcMar>
            <w:vAlign w:val="center"/>
          </w:tcPr>
          <w:p w14:paraId="57A9A434" w14:textId="77777777" w:rsidR="00CF04BC" w:rsidRPr="00B93493" w:rsidRDefault="00CF04BC" w:rsidP="002E7F54">
            <w:pPr>
              <w:pStyle w:val="Tabletext"/>
              <w:keepNext/>
              <w:keepLines/>
              <w:jc w:val="center"/>
            </w:pPr>
            <w:r w:rsidRPr="00B93493">
              <w:t>BOL &gt; 90%</w:t>
            </w:r>
          </w:p>
        </w:tc>
        <w:tc>
          <w:tcPr>
            <w:tcW w:w="1324" w:type="pct"/>
            <w:vMerge w:val="restart"/>
            <w:shd w:val="clear" w:color="auto" w:fill="auto"/>
            <w:tcMar>
              <w:top w:w="15" w:type="dxa"/>
              <w:left w:w="108" w:type="dxa"/>
              <w:bottom w:w="0" w:type="dxa"/>
              <w:right w:w="108" w:type="dxa"/>
            </w:tcMar>
            <w:vAlign w:val="center"/>
          </w:tcPr>
          <w:p w14:paraId="220D35E2" w14:textId="77777777" w:rsidR="00CF04BC" w:rsidRPr="00B93493" w:rsidRDefault="00CF04BC" w:rsidP="002E7F54">
            <w:pPr>
              <w:pStyle w:val="Tabletext"/>
              <w:keepNext/>
              <w:keepLines/>
              <w:jc w:val="center"/>
            </w:pPr>
            <w:r w:rsidRPr="00B93493">
              <w:t>Saturated Band</w:t>
            </w:r>
          </w:p>
        </w:tc>
        <w:tc>
          <w:tcPr>
            <w:tcW w:w="1396" w:type="pct"/>
            <w:vMerge w:val="restart"/>
            <w:shd w:val="clear" w:color="auto" w:fill="auto"/>
            <w:tcMar>
              <w:top w:w="15" w:type="dxa"/>
              <w:left w:w="108" w:type="dxa"/>
              <w:bottom w:w="0" w:type="dxa"/>
              <w:right w:w="108" w:type="dxa"/>
            </w:tcMar>
            <w:vAlign w:val="center"/>
          </w:tcPr>
          <w:p w14:paraId="6FD8F484" w14:textId="77777777" w:rsidR="00CF04BC" w:rsidRPr="00B93493" w:rsidRDefault="00CF04BC" w:rsidP="002E7F54">
            <w:pPr>
              <w:pStyle w:val="Tabletext"/>
              <w:keepNext/>
              <w:keepLines/>
              <w:jc w:val="center"/>
            </w:pPr>
            <w:r w:rsidRPr="00B93493">
              <w:t>1.3</w:t>
            </w:r>
          </w:p>
        </w:tc>
      </w:tr>
      <w:tr w:rsidR="00CF04BC" w:rsidRPr="00B93493" w14:paraId="66DAB6BB" w14:textId="77777777" w:rsidTr="002E7F54">
        <w:trPr>
          <w:trHeight w:val="543"/>
          <w:jc w:val="center"/>
        </w:trPr>
        <w:tc>
          <w:tcPr>
            <w:tcW w:w="2280" w:type="pct"/>
            <w:shd w:val="clear" w:color="auto" w:fill="auto"/>
            <w:tcMar>
              <w:top w:w="15" w:type="dxa"/>
              <w:left w:w="108" w:type="dxa"/>
              <w:bottom w:w="0" w:type="dxa"/>
              <w:right w:w="108" w:type="dxa"/>
            </w:tcMar>
            <w:vAlign w:val="center"/>
          </w:tcPr>
          <w:p w14:paraId="5D8E879F" w14:textId="77777777" w:rsidR="00CF04BC" w:rsidRPr="00B93493" w:rsidRDefault="00CF04BC" w:rsidP="002E7F54">
            <w:pPr>
              <w:pStyle w:val="Tabletext"/>
            </w:pPr>
            <w:r w:rsidRPr="00B93493">
              <w:t>Or, the evidence of the existence of a channel with frequency reuse, only for the Point-to-Point links</w:t>
            </w:r>
          </w:p>
        </w:tc>
        <w:tc>
          <w:tcPr>
            <w:tcW w:w="1324" w:type="pct"/>
            <w:vMerge/>
            <w:shd w:val="clear" w:color="auto" w:fill="auto"/>
            <w:vAlign w:val="center"/>
          </w:tcPr>
          <w:p w14:paraId="3FF5C44A" w14:textId="77777777" w:rsidR="00CF04BC" w:rsidRPr="00B93493" w:rsidRDefault="00CF04BC" w:rsidP="002E7F54">
            <w:pPr>
              <w:pStyle w:val="Tabletext"/>
              <w:jc w:val="center"/>
              <w:rPr>
                <w:rFonts w:ascii="Arial" w:hAnsi="Arial" w:cs="Arial"/>
                <w:sz w:val="36"/>
                <w:szCs w:val="36"/>
                <w:lang w:eastAsia="es-CO"/>
              </w:rPr>
            </w:pPr>
          </w:p>
        </w:tc>
        <w:tc>
          <w:tcPr>
            <w:tcW w:w="1396" w:type="pct"/>
            <w:vMerge/>
            <w:shd w:val="clear" w:color="auto" w:fill="auto"/>
            <w:vAlign w:val="center"/>
          </w:tcPr>
          <w:p w14:paraId="52782971" w14:textId="77777777" w:rsidR="00CF04BC" w:rsidRPr="00B93493" w:rsidRDefault="00CF04BC" w:rsidP="002E7F54">
            <w:pPr>
              <w:pStyle w:val="Tabletext"/>
              <w:jc w:val="center"/>
              <w:rPr>
                <w:rFonts w:ascii="Arial" w:hAnsi="Arial" w:cs="Arial"/>
                <w:sz w:val="36"/>
                <w:szCs w:val="36"/>
                <w:lang w:eastAsia="es-CO"/>
              </w:rPr>
            </w:pPr>
          </w:p>
        </w:tc>
      </w:tr>
    </w:tbl>
    <w:p w14:paraId="6FA1063D" w14:textId="77777777" w:rsidR="00CF04BC" w:rsidRPr="00B93493" w:rsidRDefault="00CF04BC" w:rsidP="00CF04BC">
      <w:pPr>
        <w:pStyle w:val="Tablefin"/>
      </w:pPr>
    </w:p>
    <w:p w14:paraId="0F7937FE" w14:textId="77777777" w:rsidR="00CF04BC" w:rsidRPr="00B93493" w:rsidRDefault="00CF04BC" w:rsidP="00CF04BC">
      <w:r w:rsidRPr="00B93493">
        <w:rPr>
          <w:color w:val="000000"/>
        </w:rPr>
        <w:t>The efficiency factor will apply for those Point-to-Point Links in the par</w:t>
      </w:r>
      <w:r w:rsidRPr="00B93493">
        <w:t>ticular places identified by the government with an occupation level over 75% in a particular band and its corresponding congestion level that goes from medium to saturated, as can be observed in the illustrated chart. This factor also applies when it has been verified that there would be at least a channel with frequency re-use.</w:t>
      </w:r>
    </w:p>
    <w:p w14:paraId="3865B90E" w14:textId="77777777" w:rsidR="00CF04BC" w:rsidRPr="00B93493" w:rsidRDefault="00CF04BC" w:rsidP="00CF04BC">
      <w:r w:rsidRPr="00B93493">
        <w:rPr>
          <w:szCs w:val="24"/>
        </w:rPr>
        <w:t xml:space="preserve">The formula demanded to know the spectrum occupation levels on which the congestion levels were established and its respective efficiency factors. </w:t>
      </w:r>
    </w:p>
    <w:p w14:paraId="31792740" w14:textId="77777777" w:rsidR="00CF04BC" w:rsidRPr="00B93493" w:rsidRDefault="00CF04BC" w:rsidP="00CF04BC">
      <w:pPr>
        <w:pStyle w:val="Headingb"/>
      </w:pPr>
      <w:bookmarkStart w:id="2498" w:name="_Toc462234174"/>
      <w:bookmarkStart w:id="2499" w:name="_Toc454285010"/>
      <w:r w:rsidRPr="00B93493">
        <w:t>Procedure for determining the occupation level in a specific geographic area for point-to-point links</w:t>
      </w:r>
      <w:bookmarkEnd w:id="2498"/>
      <w:bookmarkEnd w:id="2499"/>
    </w:p>
    <w:p w14:paraId="0FE3A1F0" w14:textId="77777777" w:rsidR="00CF04BC" w:rsidRPr="00B93493" w:rsidRDefault="00CF04BC" w:rsidP="00CF04BC">
      <w:r w:rsidRPr="00B93493">
        <w:rPr>
          <w:szCs w:val="24"/>
        </w:rPr>
        <w:t>The procedure for identifying the occupation levels was defined as follows:</w:t>
      </w:r>
    </w:p>
    <w:p w14:paraId="2AC825F1" w14:textId="77777777" w:rsidR="00CF04BC" w:rsidRPr="00B93493" w:rsidRDefault="00CF04BC" w:rsidP="00CF04BC">
      <w:pPr>
        <w:pStyle w:val="enumlev1"/>
      </w:pPr>
      <w:r w:rsidRPr="00B93493">
        <w:t>1</w:t>
      </w:r>
      <w:r w:rsidRPr="00B93493">
        <w:tab/>
        <w:t>Debugging database of radiolinks (point-to-point links), in order to remove the expired legal permissions, and correct some imprecise information.</w:t>
      </w:r>
    </w:p>
    <w:p w14:paraId="5B645967" w14:textId="77777777" w:rsidR="00CF04BC" w:rsidRPr="00B93493" w:rsidRDefault="00CF04BC" w:rsidP="00CF04BC">
      <w:pPr>
        <w:pStyle w:val="enumlev1"/>
      </w:pPr>
      <w:r w:rsidRPr="00B93493">
        <w:t>2</w:t>
      </w:r>
      <w:r w:rsidRPr="00B93493">
        <w:tab/>
        <w:t>Organising the already clean database of assigned frequencies by frequency band, according to the National Frequency Band Allocation Table.</w:t>
      </w:r>
    </w:p>
    <w:p w14:paraId="33C6AFDE" w14:textId="77777777" w:rsidR="00CF04BC" w:rsidRPr="00B93493" w:rsidRDefault="00CF04BC" w:rsidP="00CF04BC">
      <w:pPr>
        <w:pStyle w:val="enumlev1"/>
      </w:pPr>
      <w:r w:rsidRPr="00B93493">
        <w:t>3</w:t>
      </w:r>
      <w:r w:rsidRPr="00B93493">
        <w:tab/>
        <w:t>Defining geographic locations, so that the clean database of assigned frequencies could be grouped according to its location. For this purpose, each geographic location refers to installed infrastructures in a specific area known by a common name and coordinates. It means that the installed infrastructures are close enough to generate interference, if their permits let them work both in co-channel or adjacent channel.</w:t>
      </w:r>
    </w:p>
    <w:p w14:paraId="68559D41" w14:textId="77777777" w:rsidR="00CF04BC" w:rsidRPr="00B93493" w:rsidRDefault="00CF04BC" w:rsidP="00CF04BC">
      <w:pPr>
        <w:pStyle w:val="enumlev1"/>
      </w:pPr>
      <w:r w:rsidRPr="00B93493">
        <w:t>4</w:t>
      </w:r>
      <w:r w:rsidRPr="00B93493">
        <w:tab/>
        <w:t>Determining of the congested locations, grouped by frequency band.</w:t>
      </w:r>
    </w:p>
    <w:p w14:paraId="377EBD00" w14:textId="77777777" w:rsidR="00CF04BC" w:rsidRPr="00B93493" w:rsidRDefault="00CF04BC" w:rsidP="00CF04BC">
      <w:pPr>
        <w:pStyle w:val="enumlev2"/>
      </w:pPr>
      <w:r w:rsidRPr="00B93493">
        <w:t>a)</w:t>
      </w:r>
      <w:r w:rsidRPr="00B93493">
        <w:tab/>
        <w:t>This activity starts with the definition of a reference parameter that allows to identify the congestion limits of a specific geographic location on the different bands. The chosen parameter is the Amount of Usable Spectrum in a particular frequency band in each geographic location.</w:t>
      </w:r>
    </w:p>
    <w:p w14:paraId="1425828B" w14:textId="77777777" w:rsidR="00CF04BC" w:rsidRPr="00B93493" w:rsidRDefault="00CF04BC" w:rsidP="00CF04BC">
      <w:pPr>
        <w:pStyle w:val="enumlev2"/>
      </w:pPr>
      <w:r w:rsidRPr="00B93493">
        <w:t>b)</w:t>
      </w:r>
      <w:r w:rsidRPr="00B93493">
        <w:tab/>
        <w:t>The amounts of usable spectrum are calculated based on the National Frequency Band Allocation Table and its specific channel arrangements, all of which are based on ITU Recommendations.</w:t>
      </w:r>
    </w:p>
    <w:p w14:paraId="7E0DC44B" w14:textId="77777777" w:rsidR="00CF04BC" w:rsidRPr="00B93493" w:rsidRDefault="00CF04BC" w:rsidP="00CF04BC">
      <w:pPr>
        <w:pStyle w:val="enumlev2"/>
      </w:pPr>
      <w:r w:rsidRPr="00B93493">
        <w:t>c)</w:t>
      </w:r>
      <w:r w:rsidRPr="00B93493">
        <w:tab/>
        <w:t>Then, the Amounts of Assigned Spectrum are measured by adding the amounts of assigned spectrum in the database.</w:t>
      </w:r>
    </w:p>
    <w:p w14:paraId="71305B1E" w14:textId="77777777" w:rsidR="00CF04BC" w:rsidRPr="00B93493" w:rsidRDefault="00CF04BC" w:rsidP="00CF04BC">
      <w:pPr>
        <w:pStyle w:val="enumlev2"/>
      </w:pPr>
      <w:r w:rsidRPr="00B93493">
        <w:t>d)</w:t>
      </w:r>
      <w:r w:rsidRPr="00B93493">
        <w:tab/>
        <w:t>The occupation levels in the different geographic locations on the distinct frequencies are defined applying the relation between the amount of assigned spectrum and the amount of usable spectrum.</w:t>
      </w:r>
    </w:p>
    <w:p w14:paraId="67248110" w14:textId="77777777" w:rsidR="00CF04BC" w:rsidRPr="00B93493" w:rsidRDefault="00CF04BC" w:rsidP="00CF04BC">
      <w:pPr>
        <w:pStyle w:val="enumlev2"/>
      </w:pPr>
      <w:r w:rsidRPr="00B93493">
        <w:t>e)</w:t>
      </w:r>
      <w:r w:rsidRPr="00B93493">
        <w:tab/>
        <w:t xml:space="preserve">The concept of Congested Geographic Locations, where the efficiency factors apply, is defined as the circular area having an extent determined by the length of the radius from the specified central point. The central points are those fixed by the coordinates mentioned before (see point number 3). </w:t>
      </w:r>
    </w:p>
    <w:p w14:paraId="7E7823B1" w14:textId="77777777" w:rsidR="00CF04BC" w:rsidRPr="00B93493" w:rsidRDefault="00CF04BC" w:rsidP="00CF04BC">
      <w:pPr>
        <w:pStyle w:val="enumlev2"/>
      </w:pPr>
      <w:r w:rsidRPr="00B93493">
        <w:t>f)</w:t>
      </w:r>
      <w:r w:rsidRPr="00B93493">
        <w:tab/>
        <w:t xml:space="preserve">Based on the experience and the information obtained from the database and the simulation tool, it is necessary to determine a radius. In the case of Colombia this radius is 600 meters because this distance was the maximum for including all the existing base stations in the congested geographic locations. </w:t>
      </w:r>
    </w:p>
    <w:p w14:paraId="61FE382E" w14:textId="77777777" w:rsidR="00CF04BC" w:rsidRPr="00B93493" w:rsidRDefault="00CF04BC" w:rsidP="00CF04BC">
      <w:pPr>
        <w:pStyle w:val="enumlev1"/>
      </w:pPr>
      <w:r w:rsidRPr="00B93493">
        <w:t>5</w:t>
      </w:r>
      <w:r w:rsidRPr="00B93493">
        <w:tab/>
        <w:t>In parallel, ANE fixes the occupation ranges with their respective congestion levels and determines the corresponding factors. These factors have been called Efficiency Factors, and they will modify the point-to-point links formula in order to promote efficiency in the assignment and use of the spectrum.</w:t>
      </w:r>
    </w:p>
    <w:p w14:paraId="70BE38B7" w14:textId="77777777" w:rsidR="00CF04BC" w:rsidRPr="00B93493" w:rsidRDefault="00CF04BC" w:rsidP="00CF04BC">
      <w:r w:rsidRPr="00B93493">
        <w:t>The occupation and congestion levels are shown in the chart above. They will last for two years, and studies must be developed for identifying the new occupation levels of the different places and areas for the following two years. The results must be published by the government timely, in order to let operators calculate and pay the annual spectrum fees without fines or sanctions.</w:t>
      </w:r>
    </w:p>
    <w:p w14:paraId="4C92B5EC" w14:textId="77777777" w:rsidR="00CF04BC" w:rsidRPr="00B93493" w:rsidRDefault="00CF04BC" w:rsidP="00CF04BC">
      <w:r w:rsidRPr="00B93493">
        <w:t>In the case of point-to-multipoint links, in order to determine the congestion of a band, the procedure is similar as stated previously with a few adjustments. Specially because the congested area would be a bigger location like a city or even the whole country.</w:t>
      </w:r>
    </w:p>
    <w:p w14:paraId="3359F8E0" w14:textId="77777777" w:rsidR="00CF04BC" w:rsidRPr="00B93493" w:rsidRDefault="00CF04BC" w:rsidP="00CF04BC">
      <w:pPr>
        <w:pStyle w:val="Headingb"/>
      </w:pPr>
      <w:bookmarkStart w:id="2500" w:name="_Toc454285011"/>
      <w:bookmarkStart w:id="2501" w:name="_Toc462234175"/>
      <w:r w:rsidRPr="00B93493">
        <w:t>Calculations example for a point-to-point link</w:t>
      </w:r>
      <w:bookmarkEnd w:id="2500"/>
      <w:bookmarkEnd w:id="2501"/>
    </w:p>
    <w:p w14:paraId="1DAD708F" w14:textId="77777777" w:rsidR="00CF04BC" w:rsidRPr="00B93493" w:rsidRDefault="00CF04BC" w:rsidP="00CF04BC">
      <w:r w:rsidRPr="00B93493">
        <w:t xml:space="preserve">The first step for calculating the fees is to replace in the formula the parameters with the particular values for each parameter. </w:t>
      </w:r>
    </w:p>
    <w:p w14:paraId="21C3E6DB" w14:textId="77777777" w:rsidR="00CF04BC" w:rsidRPr="00B93493" w:rsidRDefault="00CF04BC" w:rsidP="00CF04BC">
      <w:pPr>
        <w:pStyle w:val="Equation"/>
      </w:pPr>
      <w:r w:rsidRPr="00B93493">
        <w:tab/>
      </w:r>
      <w:r w:rsidRPr="00B93493">
        <w:tab/>
        <w:t>VAC = AB * Fv * Fe * SMMLV</w:t>
      </w:r>
    </w:p>
    <w:p w14:paraId="737C2F48" w14:textId="77777777" w:rsidR="00CF04BC" w:rsidRPr="00B93493" w:rsidRDefault="00CF04BC" w:rsidP="00CF04BC">
      <w:r w:rsidRPr="00B93493">
        <w:t>where</w:t>
      </w:r>
      <w:r w:rsidRPr="00B93493">
        <w:rPr>
          <w:b/>
          <w:bCs/>
        </w:rPr>
        <w:t>:</w:t>
      </w:r>
    </w:p>
    <w:p w14:paraId="7E2EC12F" w14:textId="77777777" w:rsidR="00CF04BC" w:rsidRPr="00B93493" w:rsidRDefault="00CF04BC" w:rsidP="00CF04BC">
      <w:pPr>
        <w:pStyle w:val="Equationlegend"/>
        <w:rPr>
          <w:szCs w:val="24"/>
        </w:rPr>
      </w:pPr>
      <w:r w:rsidRPr="00B93493">
        <w:rPr>
          <w:szCs w:val="24"/>
        </w:rPr>
        <w:tab/>
        <w:t>VAC:</w:t>
      </w:r>
      <w:r w:rsidRPr="00B93493">
        <w:rPr>
          <w:szCs w:val="24"/>
        </w:rPr>
        <w:tab/>
        <w:t>Annual Fee Value</w:t>
      </w:r>
    </w:p>
    <w:p w14:paraId="62B614CB" w14:textId="77777777" w:rsidR="00CF04BC" w:rsidRPr="00B93493" w:rsidRDefault="00CF04BC" w:rsidP="00CF04BC">
      <w:pPr>
        <w:pStyle w:val="Equationlegend"/>
        <w:rPr>
          <w:szCs w:val="24"/>
        </w:rPr>
      </w:pPr>
      <w:r w:rsidRPr="00B93493">
        <w:rPr>
          <w:szCs w:val="24"/>
        </w:rPr>
        <w:tab/>
        <w:t>AB:</w:t>
      </w:r>
      <w:r w:rsidRPr="00B93493">
        <w:rPr>
          <w:szCs w:val="24"/>
        </w:rPr>
        <w:tab/>
        <w:t>Bandwidth</w:t>
      </w:r>
    </w:p>
    <w:p w14:paraId="7E489F29" w14:textId="77777777" w:rsidR="00CF04BC" w:rsidRPr="00B93493" w:rsidRDefault="00CF04BC" w:rsidP="00CF04BC">
      <w:pPr>
        <w:pStyle w:val="Equationlegend"/>
        <w:rPr>
          <w:szCs w:val="24"/>
        </w:rPr>
      </w:pPr>
      <w:r w:rsidRPr="00B93493">
        <w:rPr>
          <w:szCs w:val="24"/>
        </w:rPr>
        <w:tab/>
        <w:t>Fv:</w:t>
      </w:r>
      <w:r w:rsidRPr="00B93493">
        <w:rPr>
          <w:szCs w:val="24"/>
        </w:rPr>
        <w:tab/>
        <w:t>Weighting Band Factor</w:t>
      </w:r>
    </w:p>
    <w:p w14:paraId="430EEBEB" w14:textId="77777777" w:rsidR="00CF04BC" w:rsidRPr="00B93493" w:rsidRDefault="00CF04BC" w:rsidP="00CF04BC">
      <w:pPr>
        <w:pStyle w:val="Equationlegend"/>
        <w:rPr>
          <w:szCs w:val="24"/>
        </w:rPr>
      </w:pPr>
      <w:r w:rsidRPr="00B93493">
        <w:rPr>
          <w:szCs w:val="24"/>
        </w:rPr>
        <w:tab/>
        <w:t>Fe:</w:t>
      </w:r>
      <w:r w:rsidRPr="00B93493">
        <w:rPr>
          <w:szCs w:val="24"/>
        </w:rPr>
        <w:tab/>
        <w:t>Efficiency Factor (new element included in the formula)</w:t>
      </w:r>
    </w:p>
    <w:p w14:paraId="2E7D724F" w14:textId="77777777" w:rsidR="00CF04BC" w:rsidRPr="00B93493" w:rsidRDefault="00CF04BC" w:rsidP="00CF04BC">
      <w:pPr>
        <w:pStyle w:val="Equationlegend"/>
        <w:rPr>
          <w:szCs w:val="24"/>
        </w:rPr>
      </w:pPr>
      <w:r w:rsidRPr="00B93493">
        <w:rPr>
          <w:szCs w:val="24"/>
        </w:rPr>
        <w:tab/>
        <w:t>SMMLV</w:t>
      </w:r>
      <w:r w:rsidRPr="00B93493">
        <w:rPr>
          <w:szCs w:val="24"/>
        </w:rPr>
        <w:tab/>
        <w:t>Monthly Minimum Salary, issued legally every year (minimum wage for a whole month).</w:t>
      </w:r>
    </w:p>
    <w:p w14:paraId="1D9715AC" w14:textId="77777777" w:rsidR="00CF04BC" w:rsidRPr="00B93493" w:rsidRDefault="00CF04BC" w:rsidP="00CF04BC">
      <w:r w:rsidRPr="00B93493">
        <w:t>Thus, for a point-to-point link in the 23 GHz band whose Fv is 0.38 with 28 MHz of bandwidth and a SMMLV of 250 USD for a specific year, the VAC would be 2660 USD.</w:t>
      </w:r>
    </w:p>
    <w:p w14:paraId="48271A36" w14:textId="77777777" w:rsidR="00CF04BC" w:rsidRPr="00B93493" w:rsidRDefault="00CF04BC" w:rsidP="00CF04BC">
      <w:r w:rsidRPr="00B93493">
        <w:t>On the other hand, if the place where the link is situated had a congestion level between 75% and 90% or “medium level” the efficiency factor would be 1.1</w:t>
      </w:r>
      <w:r w:rsidRPr="00B93493">
        <w:rPr>
          <w:b/>
          <w:bCs/>
        </w:rPr>
        <w:t>.</w:t>
      </w:r>
      <w:r w:rsidRPr="00B93493">
        <w:t xml:space="preserve"> In this case, the VAC would be 2 926 USD.</w:t>
      </w:r>
    </w:p>
    <w:p w14:paraId="1F256256" w14:textId="77777777" w:rsidR="00CF04BC" w:rsidRPr="00B93493" w:rsidRDefault="00CF04BC" w:rsidP="00CF04BC">
      <w:r w:rsidRPr="00B93493">
        <w:t>If the link is located in an area or location with a “saturated band” level, the efficiency factor is 1.3 and its VAC would reach 3458 USD.</w:t>
      </w:r>
    </w:p>
    <w:p w14:paraId="783A331D" w14:textId="77777777" w:rsidR="00CF04BC" w:rsidRPr="00B93493" w:rsidRDefault="00CF04BC" w:rsidP="00CF04BC">
      <w:r w:rsidRPr="00B93493">
        <w:t>Colombia published a list of 82 congested geographic locations.</w:t>
      </w:r>
    </w:p>
    <w:p w14:paraId="6BC7D060" w14:textId="77777777" w:rsidR="00CF04BC" w:rsidRPr="00B93493" w:rsidRDefault="00CF04BC" w:rsidP="00CF04BC">
      <w:pPr>
        <w:pStyle w:val="Heading3"/>
      </w:pPr>
      <w:bookmarkStart w:id="2502" w:name="_Toc182391589"/>
      <w:bookmarkStart w:id="2503" w:name="_Toc182392000"/>
      <w:bookmarkStart w:id="2504" w:name="_Toc392515933"/>
      <w:bookmarkStart w:id="2505" w:name="_Toc462234176"/>
      <w:bookmarkStart w:id="2506" w:name="_Toc518394270"/>
      <w:r w:rsidRPr="00B93493">
        <w:t>5.2.14</w:t>
      </w:r>
      <w:r w:rsidRPr="00B93493">
        <w:tab/>
        <w:t>India’s experience with Spectrum Auction Payments</w:t>
      </w:r>
      <w:bookmarkEnd w:id="2502"/>
      <w:bookmarkEnd w:id="2503"/>
    </w:p>
    <w:p w14:paraId="6B91E1FE" w14:textId="77777777" w:rsidR="00CF04BC" w:rsidRPr="00B93493" w:rsidRDefault="00CF04BC" w:rsidP="00CF04BC">
      <w:pPr>
        <w:rPr>
          <w:shd w:val="clear" w:color="auto" w:fill="FFFFFF"/>
        </w:rPr>
      </w:pPr>
      <w:r w:rsidRPr="00B93493">
        <w:rPr>
          <w:shd w:val="clear" w:color="auto" w:fill="FFFFFF"/>
        </w:rPr>
        <w:t xml:space="preserve">Spectrum auction prices in India are determined through a multi-step process involving the calculation of reserve prices, the auction mechanism, and market dynamics. The reserve price, which is the minimum price at which spectrum can be sold, is a crucial starting point for spectrum auctions. The Telecom Regulatory Authority of India (TRAI), the regulatory body, plays a key role in recommending reserve prices. TRAI conducts detailed consultations with stakeholders, analyses past auction prices, demand patterns, competitive landscape, technological advancements and reviews international benchmarks to set a realistic reserve price that reflects market conditions. Different spectrum bands have varying propagation characteristics and use cases (e.g. low-band spectrum for coverage, high-band spectrum for capacity). These characteristics also influence their valuation. The Government objectives, such as revenue generation, digital inclusion, and promoting broadband penetration, also play a role in setting reserve prices. </w:t>
      </w:r>
    </w:p>
    <w:p w14:paraId="5697B57F" w14:textId="77777777" w:rsidR="00CF04BC" w:rsidRPr="00B93493" w:rsidRDefault="00CF04BC" w:rsidP="00CF04BC">
      <w:pPr>
        <w:rPr>
          <w:shd w:val="clear" w:color="auto" w:fill="FFFFFF"/>
        </w:rPr>
      </w:pPr>
      <w:r w:rsidRPr="00B93493">
        <w:rPr>
          <w:shd w:val="clear" w:color="auto" w:fill="FFFFFF"/>
        </w:rPr>
        <w:t xml:space="preserve">In Spectrum auction conducted in 2010, the successful bidders were made to pay the entire bid amount after the completion of auction. Considering the financial health of the telecom sector, the Indian Administration introduced more flexible payment terms, including longer durations for deferred payments and lower interest rates on the instalment amounts. From 2012 onwards, successful bidders were given option either to pay </w:t>
      </w:r>
      <w:r w:rsidRPr="00B93493">
        <w:t>full upfront payment or pre-payment of one or more annual instalments</w:t>
      </w:r>
      <w:r w:rsidRPr="00B93493">
        <w:rPr>
          <w:shd w:val="clear" w:color="auto" w:fill="FFFFFF"/>
        </w:rPr>
        <w:t xml:space="preserve"> or part upfront payment and the remaining amount in equal ten annual instalments. Subsequently the number of equal annual instalment was increased to sixteen. Currently, the successful bidders are given option either </w:t>
      </w:r>
      <w:r w:rsidRPr="00B93493">
        <w:t xml:space="preserve">to make full or part upfront payment of the bid amount or through 20 equal annual instalments of the bid amount, duly protecting the Net Present value (NPV) of the bid amount at the applicable rate of interest. </w:t>
      </w:r>
    </w:p>
    <w:p w14:paraId="151ABC74" w14:textId="77777777" w:rsidR="00CF04BC" w:rsidRDefault="00CF04BC" w:rsidP="00CF04BC">
      <w:pPr>
        <w:spacing w:after="120"/>
        <w:rPr>
          <w:shd w:val="clear" w:color="auto" w:fill="FFFFFF"/>
        </w:rPr>
      </w:pPr>
      <w:r w:rsidRPr="00B93493">
        <w:rPr>
          <w:shd w:val="clear" w:color="auto" w:fill="FFFFFF"/>
        </w:rPr>
        <w:t>The brief overview of various spectrum auctions conducted in India is given below:</w:t>
      </w:r>
    </w:p>
    <w:p w14:paraId="3DBC7686" w14:textId="77777777" w:rsidR="00CF04BC" w:rsidRPr="00076D8A" w:rsidRDefault="00CF04BC" w:rsidP="00CF04BC">
      <w:pPr>
        <w:pStyle w:val="TableNo"/>
        <w:rPr>
          <w:b/>
          <w:lang w:eastAsia="zh-CN"/>
        </w:rPr>
      </w:pPr>
      <w:r>
        <w:t>TABLE 5</w:t>
      </w:r>
      <w:r>
        <w:rPr>
          <w:rFonts w:hint="eastAsia"/>
          <w:lang w:eastAsia="zh-CN"/>
        </w:rPr>
        <w:t>1</w:t>
      </w:r>
    </w:p>
    <w:tbl>
      <w:tblPr>
        <w:tblStyle w:val="TableGrid"/>
        <w:tblW w:w="9639" w:type="dxa"/>
        <w:tblLook w:val="04A0" w:firstRow="1" w:lastRow="0" w:firstColumn="1" w:lastColumn="0" w:noHBand="0" w:noVBand="1"/>
      </w:tblPr>
      <w:tblGrid>
        <w:gridCol w:w="1107"/>
        <w:gridCol w:w="5253"/>
        <w:gridCol w:w="3279"/>
      </w:tblGrid>
      <w:tr w:rsidR="00CF04BC" w:rsidRPr="00C65E6B" w14:paraId="5E7161A4" w14:textId="77777777" w:rsidTr="00C65E6B">
        <w:tc>
          <w:tcPr>
            <w:tcW w:w="1085" w:type="dxa"/>
            <w:tcBorders>
              <w:top w:val="single" w:sz="4" w:space="0" w:color="auto"/>
              <w:left w:val="single" w:sz="4" w:space="0" w:color="auto"/>
              <w:bottom w:val="single" w:sz="4" w:space="0" w:color="auto"/>
              <w:right w:val="single" w:sz="4" w:space="0" w:color="auto"/>
            </w:tcBorders>
            <w:vAlign w:val="bottom"/>
          </w:tcPr>
          <w:p w14:paraId="021BB7FE" w14:textId="77777777" w:rsidR="00CF04BC" w:rsidRPr="00C65E6B" w:rsidRDefault="00CF04BC" w:rsidP="002E7F54">
            <w:pPr>
              <w:pStyle w:val="Tablehead"/>
              <w:rPr>
                <w:rFonts w:ascii="Times New Roman" w:hAnsi="Times New Roman" w:cs="Times New Roman"/>
                <w:color w:val="0D0D0D"/>
                <w:shd w:val="clear" w:color="auto" w:fill="FFFFFF"/>
              </w:rPr>
            </w:pPr>
            <w:r w:rsidRPr="00C65E6B">
              <w:rPr>
                <w:rFonts w:ascii="Times New Roman" w:hAnsi="Times New Roman" w:cs="Times New Roman"/>
                <w:shd w:val="clear" w:color="auto" w:fill="FFFFFF"/>
              </w:rPr>
              <w:t>Year</w:t>
            </w:r>
          </w:p>
        </w:tc>
        <w:tc>
          <w:tcPr>
            <w:tcW w:w="5147" w:type="dxa"/>
            <w:tcBorders>
              <w:top w:val="single" w:sz="4" w:space="0" w:color="auto"/>
              <w:left w:val="single" w:sz="4" w:space="0" w:color="auto"/>
              <w:bottom w:val="single" w:sz="4" w:space="0" w:color="auto"/>
              <w:right w:val="single" w:sz="4" w:space="0" w:color="auto"/>
            </w:tcBorders>
            <w:vAlign w:val="bottom"/>
          </w:tcPr>
          <w:p w14:paraId="7C6E3F6C" w14:textId="77777777" w:rsidR="00CF04BC" w:rsidRPr="00C65E6B" w:rsidRDefault="00CF04BC" w:rsidP="002E7F54">
            <w:pPr>
              <w:pStyle w:val="Tablehead"/>
              <w:rPr>
                <w:rFonts w:ascii="Times New Roman" w:hAnsi="Times New Roman" w:cs="Times New Roman"/>
                <w:shd w:val="clear" w:color="auto" w:fill="FFFFFF"/>
              </w:rPr>
            </w:pPr>
            <w:r w:rsidRPr="00C65E6B">
              <w:rPr>
                <w:rFonts w:ascii="Times New Roman" w:hAnsi="Times New Roman" w:cs="Times New Roman"/>
                <w:shd w:val="clear" w:color="auto" w:fill="FFFFFF"/>
              </w:rPr>
              <w:t>Spectrum bands put to auction</w:t>
            </w:r>
          </w:p>
        </w:tc>
        <w:tc>
          <w:tcPr>
            <w:tcW w:w="3213" w:type="dxa"/>
            <w:tcBorders>
              <w:top w:val="single" w:sz="4" w:space="0" w:color="auto"/>
              <w:left w:val="single" w:sz="4" w:space="0" w:color="auto"/>
              <w:bottom w:val="single" w:sz="4" w:space="0" w:color="auto"/>
              <w:right w:val="single" w:sz="4" w:space="0" w:color="auto"/>
            </w:tcBorders>
          </w:tcPr>
          <w:p w14:paraId="2C83FC43" w14:textId="77777777" w:rsidR="00CF04BC" w:rsidRPr="00C65E6B" w:rsidRDefault="00CF04BC" w:rsidP="002E7F54">
            <w:pPr>
              <w:pStyle w:val="Tablehead"/>
              <w:rPr>
                <w:rFonts w:ascii="Times New Roman" w:hAnsi="Times New Roman" w:cs="Times New Roman"/>
                <w:shd w:val="clear" w:color="auto" w:fill="FFFFFF"/>
              </w:rPr>
            </w:pPr>
            <w:r w:rsidRPr="00C65E6B">
              <w:rPr>
                <w:rFonts w:ascii="Times New Roman" w:hAnsi="Times New Roman" w:cs="Times New Roman"/>
                <w:shd w:val="clear" w:color="auto" w:fill="FFFFFF"/>
              </w:rPr>
              <w:t>Revenue proceeds (in $)</w:t>
            </w:r>
          </w:p>
        </w:tc>
      </w:tr>
      <w:tr w:rsidR="00CF04BC" w:rsidRPr="00C65E6B" w14:paraId="45F030AB" w14:textId="77777777" w:rsidTr="00C65E6B">
        <w:tc>
          <w:tcPr>
            <w:tcW w:w="1085" w:type="dxa"/>
            <w:tcBorders>
              <w:top w:val="single" w:sz="4" w:space="0" w:color="auto"/>
              <w:left w:val="single" w:sz="4" w:space="0" w:color="auto"/>
              <w:bottom w:val="single" w:sz="4" w:space="0" w:color="auto"/>
              <w:right w:val="single" w:sz="4" w:space="0" w:color="auto"/>
            </w:tcBorders>
          </w:tcPr>
          <w:p w14:paraId="3EBBBF79"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2010</w:t>
            </w:r>
          </w:p>
        </w:tc>
        <w:tc>
          <w:tcPr>
            <w:tcW w:w="5147" w:type="dxa"/>
            <w:tcBorders>
              <w:top w:val="single" w:sz="4" w:space="0" w:color="auto"/>
              <w:left w:val="single" w:sz="4" w:space="0" w:color="auto"/>
              <w:bottom w:val="single" w:sz="4" w:space="0" w:color="auto"/>
              <w:right w:val="single" w:sz="4" w:space="0" w:color="auto"/>
            </w:tcBorders>
          </w:tcPr>
          <w:p w14:paraId="43AD5834"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3G (2 100 MHz) &amp; BWA (2 300 MHz)</w:t>
            </w:r>
          </w:p>
        </w:tc>
        <w:tc>
          <w:tcPr>
            <w:tcW w:w="3213" w:type="dxa"/>
            <w:tcBorders>
              <w:top w:val="single" w:sz="4" w:space="0" w:color="auto"/>
              <w:left w:val="single" w:sz="4" w:space="0" w:color="auto"/>
              <w:bottom w:val="single" w:sz="4" w:space="0" w:color="auto"/>
              <w:right w:val="single" w:sz="4" w:space="0" w:color="auto"/>
            </w:tcBorders>
          </w:tcPr>
          <w:p w14:paraId="6C1D9529"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$12.73 billion</w:t>
            </w:r>
          </w:p>
        </w:tc>
      </w:tr>
      <w:tr w:rsidR="00CF04BC" w:rsidRPr="00C65E6B" w14:paraId="28ED4CC8" w14:textId="77777777" w:rsidTr="00C65E6B">
        <w:tc>
          <w:tcPr>
            <w:tcW w:w="1085" w:type="dxa"/>
            <w:tcBorders>
              <w:top w:val="single" w:sz="4" w:space="0" w:color="auto"/>
              <w:left w:val="single" w:sz="4" w:space="0" w:color="auto"/>
              <w:bottom w:val="single" w:sz="4" w:space="0" w:color="auto"/>
              <w:right w:val="single" w:sz="4" w:space="0" w:color="auto"/>
            </w:tcBorders>
          </w:tcPr>
          <w:p w14:paraId="2A87E3D1"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2012</w:t>
            </w:r>
          </w:p>
        </w:tc>
        <w:tc>
          <w:tcPr>
            <w:tcW w:w="5147" w:type="dxa"/>
            <w:tcBorders>
              <w:top w:val="single" w:sz="4" w:space="0" w:color="auto"/>
              <w:left w:val="single" w:sz="4" w:space="0" w:color="auto"/>
              <w:bottom w:val="single" w:sz="4" w:space="0" w:color="auto"/>
              <w:right w:val="single" w:sz="4" w:space="0" w:color="auto"/>
            </w:tcBorders>
          </w:tcPr>
          <w:p w14:paraId="3A3B9EA5" w14:textId="77777777" w:rsidR="00CF04BC" w:rsidRPr="00C65E6B" w:rsidRDefault="00CF04BC" w:rsidP="002E7F54">
            <w:pPr>
              <w:pStyle w:val="Tabletext"/>
              <w:jc w:val="center"/>
              <w:rPr>
                <w:rFonts w:ascii="Times New Roman" w:hAnsi="Times New Roman" w:cs="Times New Roman"/>
                <w:shd w:val="clear" w:color="auto" w:fill="FFFFFF"/>
                <w:lang w:val="fr-FR"/>
              </w:rPr>
            </w:pPr>
            <w:r w:rsidRPr="00C65E6B">
              <w:rPr>
                <w:rFonts w:ascii="Times New Roman" w:hAnsi="Times New Roman" w:cs="Times New Roman"/>
                <w:shd w:val="clear" w:color="auto" w:fill="FFFFFF"/>
                <w:lang w:val="fr-FR"/>
              </w:rPr>
              <w:t>2G Re-auction (1 800 MHz, 900 MHz, 800 MHz)</w:t>
            </w:r>
          </w:p>
        </w:tc>
        <w:tc>
          <w:tcPr>
            <w:tcW w:w="3213" w:type="dxa"/>
            <w:tcBorders>
              <w:top w:val="single" w:sz="4" w:space="0" w:color="auto"/>
              <w:left w:val="single" w:sz="4" w:space="0" w:color="auto"/>
              <w:bottom w:val="single" w:sz="4" w:space="0" w:color="auto"/>
              <w:right w:val="single" w:sz="4" w:space="0" w:color="auto"/>
            </w:tcBorders>
          </w:tcPr>
          <w:p w14:paraId="1C41F1FE"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$1.13 billion</w:t>
            </w:r>
          </w:p>
        </w:tc>
      </w:tr>
      <w:tr w:rsidR="00CF04BC" w:rsidRPr="00C65E6B" w14:paraId="1E43E4E5" w14:textId="77777777" w:rsidTr="00C65E6B">
        <w:tc>
          <w:tcPr>
            <w:tcW w:w="1085" w:type="dxa"/>
            <w:tcBorders>
              <w:top w:val="single" w:sz="4" w:space="0" w:color="auto"/>
              <w:left w:val="single" w:sz="4" w:space="0" w:color="auto"/>
              <w:bottom w:val="single" w:sz="4" w:space="0" w:color="auto"/>
              <w:right w:val="single" w:sz="4" w:space="0" w:color="auto"/>
            </w:tcBorders>
          </w:tcPr>
          <w:p w14:paraId="32A74E47"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2013</w:t>
            </w:r>
          </w:p>
        </w:tc>
        <w:tc>
          <w:tcPr>
            <w:tcW w:w="5147" w:type="dxa"/>
            <w:tcBorders>
              <w:top w:val="single" w:sz="4" w:space="0" w:color="auto"/>
              <w:left w:val="single" w:sz="4" w:space="0" w:color="auto"/>
              <w:bottom w:val="single" w:sz="4" w:space="0" w:color="auto"/>
              <w:right w:val="single" w:sz="4" w:space="0" w:color="auto"/>
            </w:tcBorders>
          </w:tcPr>
          <w:p w14:paraId="5772C76B"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2G (1 800 MHz, 800 MHz)</w:t>
            </w:r>
          </w:p>
        </w:tc>
        <w:tc>
          <w:tcPr>
            <w:tcW w:w="3213" w:type="dxa"/>
            <w:tcBorders>
              <w:top w:val="single" w:sz="4" w:space="0" w:color="auto"/>
              <w:left w:val="single" w:sz="4" w:space="0" w:color="auto"/>
              <w:bottom w:val="single" w:sz="4" w:space="0" w:color="auto"/>
              <w:right w:val="single" w:sz="4" w:space="0" w:color="auto"/>
            </w:tcBorders>
          </w:tcPr>
          <w:p w14:paraId="6959349A"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$0.44 billion</w:t>
            </w:r>
          </w:p>
        </w:tc>
      </w:tr>
      <w:tr w:rsidR="00CF04BC" w:rsidRPr="00C65E6B" w14:paraId="2EF0F9F7" w14:textId="77777777" w:rsidTr="00C65E6B">
        <w:tc>
          <w:tcPr>
            <w:tcW w:w="1085" w:type="dxa"/>
            <w:tcBorders>
              <w:top w:val="single" w:sz="4" w:space="0" w:color="auto"/>
              <w:left w:val="single" w:sz="4" w:space="0" w:color="auto"/>
              <w:bottom w:val="single" w:sz="4" w:space="0" w:color="auto"/>
              <w:right w:val="single" w:sz="4" w:space="0" w:color="auto"/>
            </w:tcBorders>
          </w:tcPr>
          <w:p w14:paraId="2DB0DCB7"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2014</w:t>
            </w:r>
          </w:p>
        </w:tc>
        <w:tc>
          <w:tcPr>
            <w:tcW w:w="5147" w:type="dxa"/>
            <w:tcBorders>
              <w:top w:val="single" w:sz="4" w:space="0" w:color="auto"/>
              <w:left w:val="single" w:sz="4" w:space="0" w:color="auto"/>
              <w:bottom w:val="single" w:sz="4" w:space="0" w:color="auto"/>
              <w:right w:val="single" w:sz="4" w:space="0" w:color="auto"/>
            </w:tcBorders>
          </w:tcPr>
          <w:p w14:paraId="751022CE"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2G (1 800 MHz, 900 MHz, 800 MHz)</w:t>
            </w:r>
          </w:p>
        </w:tc>
        <w:tc>
          <w:tcPr>
            <w:tcW w:w="3213" w:type="dxa"/>
            <w:tcBorders>
              <w:top w:val="single" w:sz="4" w:space="0" w:color="auto"/>
              <w:left w:val="single" w:sz="4" w:space="0" w:color="auto"/>
              <w:bottom w:val="single" w:sz="4" w:space="0" w:color="auto"/>
              <w:right w:val="single" w:sz="4" w:space="0" w:color="auto"/>
            </w:tcBorders>
          </w:tcPr>
          <w:p w14:paraId="0714403C"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$7.27 billion</w:t>
            </w:r>
          </w:p>
        </w:tc>
      </w:tr>
      <w:tr w:rsidR="00CF04BC" w:rsidRPr="00C65E6B" w14:paraId="40C0E998" w14:textId="77777777" w:rsidTr="00C65E6B">
        <w:tc>
          <w:tcPr>
            <w:tcW w:w="1085" w:type="dxa"/>
            <w:tcBorders>
              <w:top w:val="single" w:sz="4" w:space="0" w:color="auto"/>
              <w:left w:val="single" w:sz="4" w:space="0" w:color="auto"/>
              <w:bottom w:val="single" w:sz="4" w:space="0" w:color="auto"/>
              <w:right w:val="single" w:sz="4" w:space="0" w:color="auto"/>
            </w:tcBorders>
          </w:tcPr>
          <w:p w14:paraId="6DB24D19"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2015</w:t>
            </w:r>
          </w:p>
        </w:tc>
        <w:tc>
          <w:tcPr>
            <w:tcW w:w="5147" w:type="dxa"/>
            <w:tcBorders>
              <w:top w:val="single" w:sz="4" w:space="0" w:color="auto"/>
              <w:left w:val="single" w:sz="4" w:space="0" w:color="auto"/>
              <w:bottom w:val="single" w:sz="4" w:space="0" w:color="auto"/>
              <w:right w:val="single" w:sz="4" w:space="0" w:color="auto"/>
            </w:tcBorders>
          </w:tcPr>
          <w:p w14:paraId="6C44A626" w14:textId="77777777" w:rsidR="00CF04BC" w:rsidRPr="00C65E6B" w:rsidRDefault="00CF04BC" w:rsidP="002E7F54">
            <w:pPr>
              <w:pStyle w:val="Tabletext"/>
              <w:jc w:val="center"/>
              <w:rPr>
                <w:rFonts w:ascii="Times New Roman" w:hAnsi="Times New Roman" w:cs="Times New Roman"/>
                <w:shd w:val="clear" w:color="auto" w:fill="FFFFFF"/>
                <w:lang w:val="de-CH"/>
              </w:rPr>
            </w:pPr>
            <w:r w:rsidRPr="00C65E6B">
              <w:rPr>
                <w:rFonts w:ascii="Times New Roman" w:hAnsi="Times New Roman" w:cs="Times New Roman"/>
                <w:shd w:val="clear" w:color="auto" w:fill="FFFFFF"/>
                <w:lang w:val="de-CH"/>
              </w:rPr>
              <w:t>2G (1 800 MHz, 900 MHz, 800 MHz), 3G (2 100 MHz)</w:t>
            </w:r>
          </w:p>
        </w:tc>
        <w:tc>
          <w:tcPr>
            <w:tcW w:w="3213" w:type="dxa"/>
            <w:tcBorders>
              <w:top w:val="single" w:sz="4" w:space="0" w:color="auto"/>
              <w:left w:val="single" w:sz="4" w:space="0" w:color="auto"/>
              <w:bottom w:val="single" w:sz="4" w:space="0" w:color="auto"/>
              <w:right w:val="single" w:sz="4" w:space="0" w:color="auto"/>
            </w:tcBorders>
          </w:tcPr>
          <w:p w14:paraId="20A6F991"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$13.08 billion</w:t>
            </w:r>
          </w:p>
        </w:tc>
      </w:tr>
      <w:tr w:rsidR="00CF04BC" w:rsidRPr="00C65E6B" w14:paraId="739ACC45" w14:textId="77777777" w:rsidTr="00C65E6B">
        <w:tc>
          <w:tcPr>
            <w:tcW w:w="1085" w:type="dxa"/>
            <w:tcBorders>
              <w:top w:val="single" w:sz="4" w:space="0" w:color="auto"/>
              <w:left w:val="single" w:sz="4" w:space="0" w:color="auto"/>
              <w:bottom w:val="single" w:sz="4" w:space="0" w:color="auto"/>
              <w:right w:val="single" w:sz="4" w:space="0" w:color="auto"/>
            </w:tcBorders>
          </w:tcPr>
          <w:p w14:paraId="43CE55B8"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2016</w:t>
            </w:r>
          </w:p>
        </w:tc>
        <w:tc>
          <w:tcPr>
            <w:tcW w:w="5147" w:type="dxa"/>
            <w:tcBorders>
              <w:top w:val="single" w:sz="4" w:space="0" w:color="auto"/>
              <w:left w:val="single" w:sz="4" w:space="0" w:color="auto"/>
              <w:bottom w:val="single" w:sz="4" w:space="0" w:color="auto"/>
              <w:right w:val="single" w:sz="4" w:space="0" w:color="auto"/>
            </w:tcBorders>
          </w:tcPr>
          <w:p w14:paraId="5DBB4417"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2G (700 MHz, 1800 MHz, 900 MHz, 800 MHz), 3G (2 100 MHz), 4G (2 300 MHz, 2 500 MHz)</w:t>
            </w:r>
          </w:p>
        </w:tc>
        <w:tc>
          <w:tcPr>
            <w:tcW w:w="3213" w:type="dxa"/>
            <w:tcBorders>
              <w:top w:val="single" w:sz="4" w:space="0" w:color="auto"/>
              <w:left w:val="single" w:sz="4" w:space="0" w:color="auto"/>
              <w:bottom w:val="single" w:sz="4" w:space="0" w:color="auto"/>
              <w:right w:val="single" w:sz="4" w:space="0" w:color="auto"/>
            </w:tcBorders>
          </w:tcPr>
          <w:p w14:paraId="743014CC"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$7.88 billion</w:t>
            </w:r>
          </w:p>
        </w:tc>
      </w:tr>
      <w:tr w:rsidR="00CF04BC" w:rsidRPr="00C65E6B" w14:paraId="395974A9" w14:textId="77777777" w:rsidTr="00C65E6B">
        <w:tc>
          <w:tcPr>
            <w:tcW w:w="1085" w:type="dxa"/>
            <w:tcBorders>
              <w:top w:val="single" w:sz="4" w:space="0" w:color="auto"/>
              <w:left w:val="single" w:sz="4" w:space="0" w:color="auto"/>
              <w:bottom w:val="single" w:sz="4" w:space="0" w:color="auto"/>
              <w:right w:val="single" w:sz="4" w:space="0" w:color="auto"/>
            </w:tcBorders>
          </w:tcPr>
          <w:p w14:paraId="149B5E24"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2021</w:t>
            </w:r>
          </w:p>
        </w:tc>
        <w:tc>
          <w:tcPr>
            <w:tcW w:w="5147" w:type="dxa"/>
            <w:tcBorders>
              <w:top w:val="single" w:sz="4" w:space="0" w:color="auto"/>
              <w:left w:val="single" w:sz="4" w:space="0" w:color="auto"/>
              <w:bottom w:val="single" w:sz="4" w:space="0" w:color="auto"/>
              <w:right w:val="single" w:sz="4" w:space="0" w:color="auto"/>
            </w:tcBorders>
          </w:tcPr>
          <w:p w14:paraId="27775449" w14:textId="7A5EE0ED"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4G (700 MHz, 800 MHz, 900 MHz, 1 800 MHz, 2 100</w:t>
            </w:r>
            <w:r w:rsidR="00C65E6B">
              <w:rPr>
                <w:rFonts w:ascii="Times New Roman" w:hAnsi="Times New Roman" w:cs="Times New Roman"/>
                <w:shd w:val="clear" w:color="auto" w:fill="FFFFFF"/>
              </w:rPr>
              <w:t> </w:t>
            </w:r>
            <w:r w:rsidRPr="00C65E6B">
              <w:rPr>
                <w:rFonts w:ascii="Times New Roman" w:hAnsi="Times New Roman" w:cs="Times New Roman"/>
                <w:shd w:val="clear" w:color="auto" w:fill="FFFFFF"/>
              </w:rPr>
              <w:t>MHz, 2 300 MHz, 2 500 MHz)</w:t>
            </w:r>
          </w:p>
        </w:tc>
        <w:tc>
          <w:tcPr>
            <w:tcW w:w="3213" w:type="dxa"/>
            <w:tcBorders>
              <w:top w:val="single" w:sz="4" w:space="0" w:color="auto"/>
              <w:left w:val="single" w:sz="4" w:space="0" w:color="auto"/>
              <w:bottom w:val="single" w:sz="4" w:space="0" w:color="auto"/>
              <w:right w:val="single" w:sz="4" w:space="0" w:color="auto"/>
            </w:tcBorders>
          </w:tcPr>
          <w:p w14:paraId="27E939C1"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$9.32 billion</w:t>
            </w:r>
          </w:p>
        </w:tc>
      </w:tr>
      <w:tr w:rsidR="00CF04BC" w:rsidRPr="00C65E6B" w14:paraId="7E9330E7" w14:textId="77777777" w:rsidTr="00C65E6B">
        <w:tc>
          <w:tcPr>
            <w:tcW w:w="1085" w:type="dxa"/>
            <w:tcBorders>
              <w:top w:val="single" w:sz="4" w:space="0" w:color="auto"/>
              <w:left w:val="single" w:sz="4" w:space="0" w:color="auto"/>
              <w:bottom w:val="single" w:sz="4" w:space="0" w:color="auto"/>
              <w:right w:val="single" w:sz="4" w:space="0" w:color="auto"/>
            </w:tcBorders>
          </w:tcPr>
          <w:p w14:paraId="37DD3F2D" w14:textId="77777777"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2022</w:t>
            </w:r>
          </w:p>
        </w:tc>
        <w:tc>
          <w:tcPr>
            <w:tcW w:w="5147" w:type="dxa"/>
            <w:tcBorders>
              <w:top w:val="single" w:sz="4" w:space="0" w:color="auto"/>
              <w:left w:val="single" w:sz="4" w:space="0" w:color="auto"/>
              <w:bottom w:val="single" w:sz="4" w:space="0" w:color="auto"/>
              <w:right w:val="single" w:sz="4" w:space="0" w:color="auto"/>
            </w:tcBorders>
          </w:tcPr>
          <w:p w14:paraId="3DCD7BA3" w14:textId="55F94EA2"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5G (600 MHz, 700 MHz, 800 MHz, 900 MHz, 1 800</w:t>
            </w:r>
            <w:r w:rsidR="00C65E6B">
              <w:rPr>
                <w:rFonts w:ascii="Times New Roman" w:hAnsi="Times New Roman" w:cs="Times New Roman"/>
                <w:shd w:val="clear" w:color="auto" w:fill="FFFFFF"/>
              </w:rPr>
              <w:t> </w:t>
            </w:r>
            <w:r w:rsidRPr="00C65E6B">
              <w:rPr>
                <w:rFonts w:ascii="Times New Roman" w:hAnsi="Times New Roman" w:cs="Times New Roman"/>
                <w:shd w:val="clear" w:color="auto" w:fill="FFFFFF"/>
              </w:rPr>
              <w:t>MHz, 2 100 MHz, 2 300 MHz, 2 500 MHz, 3 300 MHz, 26 GHz)</w:t>
            </w:r>
          </w:p>
        </w:tc>
        <w:tc>
          <w:tcPr>
            <w:tcW w:w="3213" w:type="dxa"/>
            <w:tcBorders>
              <w:top w:val="single" w:sz="4" w:space="0" w:color="auto"/>
              <w:left w:val="single" w:sz="4" w:space="0" w:color="auto"/>
              <w:bottom w:val="single" w:sz="4" w:space="0" w:color="auto"/>
              <w:right w:val="single" w:sz="4" w:space="0" w:color="auto"/>
            </w:tcBorders>
          </w:tcPr>
          <w:p w14:paraId="0F0CF156" w14:textId="556C9130" w:rsidR="00CF04BC" w:rsidRPr="00C65E6B" w:rsidRDefault="00CF04BC" w:rsidP="002E7F54">
            <w:pPr>
              <w:pStyle w:val="Tabletext"/>
              <w:jc w:val="center"/>
              <w:rPr>
                <w:rFonts w:ascii="Times New Roman" w:hAnsi="Times New Roman" w:cs="Times New Roman"/>
                <w:shd w:val="clear" w:color="auto" w:fill="FFFFFF"/>
              </w:rPr>
            </w:pPr>
            <w:r w:rsidRPr="00C65E6B">
              <w:rPr>
                <w:rFonts w:ascii="Times New Roman" w:hAnsi="Times New Roman" w:cs="Times New Roman"/>
                <w:shd w:val="clear" w:color="auto" w:fill="FFFFFF"/>
              </w:rPr>
              <w:t>Approx. $17.98 billion</w:t>
            </w:r>
          </w:p>
        </w:tc>
      </w:tr>
      <w:tr w:rsidR="00CF04BC" w:rsidRPr="00C65E6B" w14:paraId="676B3D3F" w14:textId="77777777" w:rsidTr="00C65E6B">
        <w:tc>
          <w:tcPr>
            <w:tcW w:w="9445" w:type="dxa"/>
            <w:gridSpan w:val="3"/>
            <w:tcBorders>
              <w:top w:val="single" w:sz="4" w:space="0" w:color="auto"/>
              <w:left w:val="nil"/>
              <w:bottom w:val="nil"/>
              <w:right w:val="nil"/>
            </w:tcBorders>
          </w:tcPr>
          <w:p w14:paraId="6FC804C0" w14:textId="7DBBC7C7" w:rsidR="00CF04BC" w:rsidRPr="00C65E6B" w:rsidRDefault="00C65E6B" w:rsidP="002E7F54">
            <w:pPr>
              <w:pStyle w:val="Tabletext"/>
              <w:rPr>
                <w:rFonts w:ascii="Times New Roman" w:hAnsi="Times New Roman" w:cs="Times New Roman"/>
                <w:shd w:val="clear" w:color="auto" w:fill="FFFFFF"/>
              </w:rPr>
            </w:pPr>
            <w:r w:rsidRPr="00C65E6B">
              <w:rPr>
                <w:rFonts w:ascii="Times New Roman" w:hAnsi="Times New Roman" w:cs="Times New Roman"/>
                <w:shd w:val="clear" w:color="auto" w:fill="FFFFFF"/>
              </w:rPr>
              <w:t>NOTE</w:t>
            </w:r>
            <w:r w:rsidR="00CF04BC" w:rsidRPr="00C65E6B">
              <w:rPr>
                <w:rFonts w:ascii="Times New Roman" w:hAnsi="Times New Roman" w:cs="Times New Roman"/>
                <w:shd w:val="clear" w:color="auto" w:fill="FFFFFF"/>
              </w:rPr>
              <w:t>: The exchange rate considered for conversion is 1 US Dollar = 83.48 Indian Rupees (Exchange rate as on 15.05.2024)</w:t>
            </w:r>
          </w:p>
        </w:tc>
      </w:tr>
    </w:tbl>
    <w:p w14:paraId="181991B3" w14:textId="77777777" w:rsidR="00CF04BC" w:rsidRPr="00B93493" w:rsidRDefault="00CF04BC" w:rsidP="00CF04BC">
      <w:pPr>
        <w:pStyle w:val="Heading2"/>
      </w:pPr>
      <w:bookmarkStart w:id="2507" w:name="_Toc182391590"/>
      <w:bookmarkStart w:id="2508" w:name="_Toc182392001"/>
      <w:bookmarkStart w:id="2509" w:name="_Toc201822294"/>
      <w:r w:rsidRPr="00B93493">
        <w:t>5.3</w:t>
      </w:r>
      <w:r w:rsidRPr="00B93493">
        <w:tab/>
        <w:t>Experience using alternative resources</w:t>
      </w:r>
      <w:bookmarkEnd w:id="2504"/>
      <w:bookmarkEnd w:id="2505"/>
      <w:bookmarkEnd w:id="2506"/>
      <w:bookmarkEnd w:id="2507"/>
      <w:bookmarkEnd w:id="2508"/>
      <w:bookmarkEnd w:id="2509"/>
    </w:p>
    <w:p w14:paraId="27F74483" w14:textId="77777777" w:rsidR="00CF04BC" w:rsidRPr="00B93493" w:rsidRDefault="00CF04BC" w:rsidP="00CF04BC">
      <w:r w:rsidRPr="00B93493">
        <w:t>Many administrations have used alternative resources to support national spectrum management for a number of years. The following information reviews some of this experience.</w:t>
      </w:r>
    </w:p>
    <w:p w14:paraId="540C302D" w14:textId="77777777" w:rsidR="00CF04BC" w:rsidRPr="00B93493" w:rsidRDefault="00CF04BC" w:rsidP="00CF04BC">
      <w:pPr>
        <w:pStyle w:val="Heading3"/>
        <w:rPr>
          <w:b w:val="0"/>
        </w:rPr>
      </w:pPr>
      <w:bookmarkStart w:id="2510" w:name="_Toc291852950"/>
      <w:bookmarkStart w:id="2511" w:name="_Toc459793985"/>
      <w:bookmarkStart w:id="2512" w:name="_Toc497033238"/>
      <w:bookmarkStart w:id="2513" w:name="_Toc459746773"/>
      <w:bookmarkStart w:id="2514" w:name="_Toc459970442"/>
      <w:bookmarkStart w:id="2515" w:name="_Toc497034036"/>
      <w:bookmarkStart w:id="2516" w:name="_Toc459792679"/>
      <w:bookmarkStart w:id="2517" w:name="_Toc459793843"/>
      <w:bookmarkStart w:id="2518" w:name="_Toc462234177"/>
      <w:bookmarkStart w:id="2519" w:name="_Toc289868876"/>
      <w:bookmarkStart w:id="2520" w:name="_Toc518394271"/>
      <w:bookmarkStart w:id="2521" w:name="_Toc289933387"/>
      <w:bookmarkStart w:id="2522" w:name="_Toc289932342"/>
      <w:bookmarkStart w:id="2523" w:name="_Toc392515934"/>
      <w:bookmarkStart w:id="2524" w:name="_Toc289869036"/>
      <w:bookmarkStart w:id="2525" w:name="_Toc182391591"/>
      <w:bookmarkStart w:id="2526" w:name="_Toc182392002"/>
      <w:r w:rsidRPr="00B93493">
        <w:t>5.3.1</w:t>
      </w:r>
      <w:r w:rsidRPr="00B93493">
        <w:tab/>
        <w:t>Canada</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72A11F56" w14:textId="77777777" w:rsidR="00CF04BC" w:rsidRPr="00B93493" w:rsidRDefault="00CF04BC" w:rsidP="00CF04BC">
      <w:pPr>
        <w:pStyle w:val="Heading4"/>
      </w:pPr>
      <w:bookmarkStart w:id="2527" w:name="_Toc497034037"/>
      <w:bookmarkStart w:id="2528" w:name="_Toc497033239"/>
      <w:r w:rsidRPr="00B93493">
        <w:t>5.3.1.1</w:t>
      </w:r>
      <w:r w:rsidRPr="00B93493">
        <w:tab/>
        <w:t>Consultation process</w:t>
      </w:r>
      <w:bookmarkEnd w:id="2527"/>
      <w:bookmarkEnd w:id="2528"/>
    </w:p>
    <w:p w14:paraId="2A3C2326" w14:textId="77777777" w:rsidR="00CF04BC" w:rsidRPr="00B93493" w:rsidRDefault="00CF04BC" w:rsidP="00CF04BC">
      <w:r w:rsidRPr="00B93493">
        <w:t xml:space="preserve">In accordance with the Statutory Instruments Act and the Statutory Instruments Regulations, federal departments and agencies are required to demonstrate that Canadians have been consulted and that they have had an opportunity to participate in developing or modifying regulations and regulatory programmes. In Canada the </w:t>
      </w:r>
      <w:r w:rsidRPr="00B93493">
        <w:rPr>
          <w:i/>
        </w:rPr>
        <w:t>Canada Gazette</w:t>
      </w:r>
      <w:r w:rsidRPr="00B93493">
        <w:t xml:space="preserve"> contains formal public notices, official appointments, proposed regulations, regulations and public Acts of Parliament from government departments and agencies. All consultations and notices are posted on the Industry Canada’s Web site, providing an opportunity for the public to provide comments and reply comments.  </w:t>
      </w:r>
    </w:p>
    <w:p w14:paraId="601D3AD9" w14:textId="77777777" w:rsidR="00CF04BC" w:rsidRPr="00B93493" w:rsidRDefault="00CF04BC" w:rsidP="00CF04BC">
      <w:pPr>
        <w:rPr>
          <w:b/>
        </w:rPr>
      </w:pPr>
      <w:r w:rsidRPr="00B93493">
        <w:t xml:space="preserve">The Government of Canada also consults with industry members via the Radio Advisory Board of Canada (RABC). The RABC is the main body in the private sector that provides advice of a technical nature regarding the management and use of the radio frequency spectrum to the Government of Canada. The RABC represents most sectors of the radiocommunication business in Canada, including manufacturers, wireless carriers and service providers, network operators, broadcasters, public safety and national security radio network operators and users. The RABC is organized in a number of committees, such as the mobile and personal communications, fixed wireless communications, broadcasting and electromagnetic compatibility. The Canadian Administration participates in these meetings as observer. The RABC advises the Administration on matters related to policy, standards, technical and procedures development. Engineering analyses on channelling plans, interference calculations, sharing scenarios are often conducted in the RABC and have provided significant inputs to the Canadian spectrum management process. </w:t>
      </w:r>
    </w:p>
    <w:p w14:paraId="5C679310" w14:textId="77777777" w:rsidR="00CF04BC" w:rsidRPr="00B93493" w:rsidRDefault="00CF04BC" w:rsidP="00CF04BC">
      <w:pPr>
        <w:pStyle w:val="Heading4"/>
      </w:pPr>
      <w:bookmarkStart w:id="2529" w:name="_Toc497034038"/>
      <w:bookmarkStart w:id="2530" w:name="_Toc497033240"/>
      <w:r w:rsidRPr="00B93493">
        <w:t>5.3.1.2</w:t>
      </w:r>
      <w:r w:rsidRPr="00B93493">
        <w:tab/>
        <w:t>Frequency coordination process</w:t>
      </w:r>
      <w:bookmarkEnd w:id="2529"/>
      <w:bookmarkEnd w:id="2530"/>
    </w:p>
    <w:p w14:paraId="0C81ACCD" w14:textId="77777777" w:rsidR="00CF04BC" w:rsidRPr="00B93493" w:rsidRDefault="00CF04BC" w:rsidP="00CF04BC">
      <w:r w:rsidRPr="00B93493">
        <w:t>The Canadian national spectrum management organization makes use of frequency coordinators in a number of cases.</w:t>
      </w:r>
    </w:p>
    <w:p w14:paraId="65CEDBBC" w14:textId="77777777" w:rsidR="00CF04BC" w:rsidRPr="00B93493" w:rsidRDefault="00CF04BC" w:rsidP="00CF04BC">
      <w:pPr>
        <w:rPr>
          <w:b/>
        </w:rPr>
      </w:pPr>
      <w:r w:rsidRPr="00B93493">
        <w:t>In the case of fixed service and the fixed</w:t>
      </w:r>
      <w:r w:rsidRPr="00B93493">
        <w:noBreakHyphen/>
        <w:t>satellite service frequency applications, while the Department of Industry is responsible for processing licence applications, including the examination of interference potential, international coordination, etc., domestic coordination is the responsibility of the applicant. The fixed service users maintain their own databases from which they coordinate with each other. The majority of the coordination is done within the Frequency Coordination System Association which is a non</w:t>
      </w:r>
      <w:r w:rsidRPr="00B93493">
        <w:noBreakHyphen/>
        <w:t>profit Canadian corporation, with major telephone companies as its members. It operates and administers a computerized Microwave Information and Coordination System.</w:t>
      </w:r>
    </w:p>
    <w:p w14:paraId="4BD09C07" w14:textId="77777777" w:rsidR="00CF04BC" w:rsidRPr="00B93493" w:rsidRDefault="00CF04BC" w:rsidP="00CF04BC">
      <w:pPr>
        <w:pStyle w:val="Heading4"/>
      </w:pPr>
      <w:bookmarkStart w:id="2531" w:name="_Toc497034040"/>
      <w:bookmarkStart w:id="2532" w:name="_Toc497033242"/>
      <w:r w:rsidRPr="00B93493">
        <w:t>5.3.1.3</w:t>
      </w:r>
      <w:r w:rsidRPr="00B93493">
        <w:tab/>
        <w:t>Information dissemination</w:t>
      </w:r>
      <w:bookmarkEnd w:id="2531"/>
      <w:bookmarkEnd w:id="2532"/>
    </w:p>
    <w:p w14:paraId="1CFEA57E" w14:textId="77777777" w:rsidR="00CF04BC" w:rsidRPr="00B93493" w:rsidRDefault="00CF04BC" w:rsidP="00CF04BC">
      <w:r w:rsidRPr="00B93493">
        <w:t>In order to facilitate the dissemination of information the assigned frequency records are made available to the general public through Internet access or on a CD-ROM format.</w:t>
      </w:r>
    </w:p>
    <w:p w14:paraId="701F8A4B" w14:textId="77777777" w:rsidR="00CF04BC" w:rsidRPr="00B93493" w:rsidRDefault="00CF04BC" w:rsidP="00CF04BC">
      <w:pPr>
        <w:pStyle w:val="Heading3"/>
      </w:pPr>
      <w:bookmarkStart w:id="2533" w:name="_Toc459793986"/>
      <w:bookmarkStart w:id="2534" w:name="_Toc459792680"/>
      <w:bookmarkStart w:id="2535" w:name="_Toc518394272"/>
      <w:bookmarkStart w:id="2536" w:name="_Toc289933388"/>
      <w:bookmarkStart w:id="2537" w:name="_Toc459793844"/>
      <w:bookmarkStart w:id="2538" w:name="_Toc392515935"/>
      <w:bookmarkStart w:id="2539" w:name="_Toc291852951"/>
      <w:bookmarkStart w:id="2540" w:name="_Toc289869037"/>
      <w:bookmarkStart w:id="2541" w:name="_Toc289932343"/>
      <w:bookmarkStart w:id="2542" w:name="_Toc459746774"/>
      <w:bookmarkStart w:id="2543" w:name="_Toc462234178"/>
      <w:bookmarkStart w:id="2544" w:name="_Toc289868877"/>
      <w:bookmarkStart w:id="2545" w:name="_Toc497033243"/>
      <w:bookmarkStart w:id="2546" w:name="_Toc459970443"/>
      <w:bookmarkStart w:id="2547" w:name="_Toc497034041"/>
      <w:bookmarkStart w:id="2548" w:name="_Toc182391592"/>
      <w:bookmarkStart w:id="2549" w:name="_Toc182392003"/>
      <w:r w:rsidRPr="00B93493">
        <w:t>5.3.2</w:t>
      </w:r>
      <w:r w:rsidRPr="00B93493">
        <w:tab/>
        <w:t>Germany</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05094FF1" w14:textId="77777777" w:rsidR="00CF04BC" w:rsidRPr="00B93493" w:rsidRDefault="00CF04BC" w:rsidP="00CF04BC">
      <w:r w:rsidRPr="00B93493">
        <w:t xml:space="preserve">In Germany, user associations perform some limited spectrum management functions for private mobile radio (PMR) systems. These associations have been successfully involved in the frequency assignment procedure for more than 25 years </w:t>
      </w:r>
      <w:r w:rsidRPr="00B93493">
        <w:rPr>
          <w:rFonts w:ascii="timesnewroman" w:hAnsi="timesnewroman" w:cs="timesnewroman"/>
        </w:rPr>
        <w:t>and are today invited to support their member within the assignment procedure</w:t>
      </w:r>
      <w:r w:rsidRPr="00B93493">
        <w:t>.</w:t>
      </w:r>
    </w:p>
    <w:p w14:paraId="514C8B38" w14:textId="77777777" w:rsidR="00CF04BC" w:rsidRPr="00B93493" w:rsidRDefault="00CF04BC" w:rsidP="00CF04BC">
      <w:r w:rsidRPr="00B93493">
        <w:t xml:space="preserve">The experts of these associations advise their members in all aspects of PMR use. They explain national regulations and support user planning of PMR networks. The association could recommend to the regulatory authority characteristics of a PMR network such as frequency, coverage area, antenna height, call sign, etc. Normally, all relevant technical standards, rules for frequency planning and other licensing conditions are taken into account in the recommendation of the user association. The regulatory authority is able to follow these recommendations in almost all cases and assigns </w:t>
      </w:r>
      <w:r w:rsidRPr="00B93493">
        <w:rPr>
          <w:rFonts w:ascii="timesnewroman" w:hAnsi="timesnewroman" w:cs="timesnewroman"/>
        </w:rPr>
        <w:t xml:space="preserve">the frequency </w:t>
      </w:r>
      <w:r w:rsidRPr="00B93493">
        <w:t>accordingly. International coordination is, however, always carried out by the regulatory authority.</w:t>
      </w:r>
    </w:p>
    <w:p w14:paraId="0085C5CE" w14:textId="77777777" w:rsidR="00CF04BC" w:rsidRPr="00B93493" w:rsidRDefault="00CF04BC" w:rsidP="00CF04BC">
      <w:r w:rsidRPr="00B93493">
        <w:t>The users associations are financed by contributions from their members and work for the benefit of the PMR users. They contribute to the medium and long-range planning process for the frequency spectrum representing the spectrum requirements of their members to the regulatory authority. They provide a valuable link between the regulatory authority and the users.</w:t>
      </w:r>
    </w:p>
    <w:p w14:paraId="270216E0" w14:textId="77777777" w:rsidR="00CF04BC" w:rsidRPr="00B93493" w:rsidRDefault="00CF04BC" w:rsidP="00CF04BC">
      <w:pPr>
        <w:pStyle w:val="Heading3"/>
      </w:pPr>
      <w:bookmarkStart w:id="2550" w:name="_Toc289868878"/>
      <w:bookmarkStart w:id="2551" w:name="_Toc291852952"/>
      <w:bookmarkStart w:id="2552" w:name="_Toc459793845"/>
      <w:bookmarkStart w:id="2553" w:name="_Toc459970444"/>
      <w:bookmarkStart w:id="2554" w:name="_Toc459746775"/>
      <w:bookmarkStart w:id="2555" w:name="_Toc459793987"/>
      <w:bookmarkStart w:id="2556" w:name="_Toc459792681"/>
      <w:bookmarkStart w:id="2557" w:name="_Toc289869038"/>
      <w:bookmarkStart w:id="2558" w:name="_Toc497033244"/>
      <w:bookmarkStart w:id="2559" w:name="_Toc392515936"/>
      <w:bookmarkStart w:id="2560" w:name="_Toc462234179"/>
      <w:bookmarkStart w:id="2561" w:name="_Toc289932344"/>
      <w:bookmarkStart w:id="2562" w:name="_Toc497034042"/>
      <w:bookmarkStart w:id="2563" w:name="_Toc518394273"/>
      <w:bookmarkStart w:id="2564" w:name="_Toc289933389"/>
      <w:bookmarkStart w:id="2565" w:name="_Toc182391593"/>
      <w:bookmarkStart w:id="2566" w:name="_Toc182392004"/>
      <w:r w:rsidRPr="00B93493">
        <w:t>5.3.3</w:t>
      </w:r>
      <w:r w:rsidRPr="00B93493">
        <w:tab/>
        <w:t>Israel</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16345B35" w14:textId="77777777" w:rsidR="00CF04BC" w:rsidRPr="00B93493" w:rsidRDefault="00CF04BC" w:rsidP="00CF04BC">
      <w:r w:rsidRPr="00B93493">
        <w:t>Israel takes advantage of private sector resources to perform some spectrum management functions.</w:t>
      </w:r>
    </w:p>
    <w:p w14:paraId="719BB856" w14:textId="77777777" w:rsidR="00CF04BC" w:rsidRPr="00B93493" w:rsidRDefault="00CF04BC" w:rsidP="00CF04BC">
      <w:r w:rsidRPr="00B93493">
        <w:t>In the past there were some operators who assisted the administration by assigning their own frequencies in a specified band. Today this is done only with trunking operators, cellular operators and in some cases for point-to-point microwave links.</w:t>
      </w:r>
    </w:p>
    <w:p w14:paraId="7DFBA6A6" w14:textId="77777777" w:rsidR="00CF04BC" w:rsidRPr="00B93493" w:rsidRDefault="00CF04BC" w:rsidP="00CF04BC">
      <w:r w:rsidRPr="00B93493">
        <w:t>The Administration still receives support from operators and the industry in participating in ITU work, like World Radiocommunication Conferences and the Radiocommunication study groups (examples: TADIRAN in Radiocommunication Study Group 1, Motorola Israel in Radiocommunication Study Group 8).</w:t>
      </w:r>
    </w:p>
    <w:p w14:paraId="3A352A03" w14:textId="77777777" w:rsidR="00CF04BC" w:rsidRPr="00B93493" w:rsidRDefault="00CF04BC" w:rsidP="00CF04BC">
      <w:pPr>
        <w:pStyle w:val="Heading3"/>
      </w:pPr>
      <w:bookmarkStart w:id="2567" w:name="_Toc459793988"/>
      <w:bookmarkStart w:id="2568" w:name="_Toc497034043"/>
      <w:bookmarkStart w:id="2569" w:name="_Toc459746776"/>
      <w:bookmarkStart w:id="2570" w:name="_Toc459793846"/>
      <w:bookmarkStart w:id="2571" w:name="_Toc497033245"/>
      <w:bookmarkStart w:id="2572" w:name="_Toc459792682"/>
      <w:bookmarkStart w:id="2573" w:name="_Toc459970445"/>
      <w:bookmarkStart w:id="2574" w:name="_Toc289868879"/>
      <w:bookmarkStart w:id="2575" w:name="_Toc289932345"/>
      <w:bookmarkStart w:id="2576" w:name="_Toc289933390"/>
      <w:bookmarkStart w:id="2577" w:name="_Toc289869039"/>
      <w:bookmarkStart w:id="2578" w:name="_Toc291852953"/>
      <w:bookmarkStart w:id="2579" w:name="_Toc518394274"/>
      <w:bookmarkStart w:id="2580" w:name="_Toc462234180"/>
      <w:bookmarkStart w:id="2581" w:name="_Toc392515937"/>
      <w:bookmarkStart w:id="2582" w:name="_Toc182391594"/>
      <w:bookmarkStart w:id="2583" w:name="_Toc182392005"/>
      <w:r w:rsidRPr="00B93493">
        <w:t>5.3.4</w:t>
      </w:r>
      <w:r w:rsidRPr="00B93493">
        <w:tab/>
        <w:t>Russia</w:t>
      </w:r>
      <w:bookmarkEnd w:id="2567"/>
      <w:bookmarkEnd w:id="2568"/>
      <w:bookmarkEnd w:id="2569"/>
      <w:bookmarkEnd w:id="2570"/>
      <w:bookmarkEnd w:id="2571"/>
      <w:bookmarkEnd w:id="2572"/>
      <w:bookmarkEnd w:id="2573"/>
      <w:r w:rsidRPr="00B93493">
        <w:t>n Federation</w:t>
      </w:r>
      <w:bookmarkEnd w:id="2574"/>
      <w:bookmarkEnd w:id="2575"/>
      <w:bookmarkEnd w:id="2576"/>
      <w:bookmarkEnd w:id="2577"/>
      <w:bookmarkEnd w:id="2578"/>
      <w:bookmarkEnd w:id="2579"/>
      <w:bookmarkEnd w:id="2580"/>
      <w:bookmarkEnd w:id="2581"/>
      <w:bookmarkEnd w:id="2582"/>
      <w:bookmarkEnd w:id="2583"/>
    </w:p>
    <w:p w14:paraId="24998ABC" w14:textId="77777777" w:rsidR="00CF04BC" w:rsidRPr="00B93493" w:rsidRDefault="00CF04BC" w:rsidP="00CF04BC">
      <w:pPr>
        <w:rPr>
          <w:spacing w:val="-2"/>
        </w:rPr>
      </w:pPr>
      <w:r w:rsidRPr="00B93493">
        <w:t>In the Russian Federation great support to governmental spectrum management activities is provided through various scientific, development and design organizations, which play the role of frequency coordinators and spectrum management consultants. While administratively these organizations may belong to different ministries and other governmental bodies, they are actually providing independent expertise in many fields of radiocommunications, and particularly of spectrum management, to the Russian Federation telecommunication Administration, as well as to private radio operators and various commercial organizations supporting their activities. Due to close collaboration with the Russian Federation telecommunication Administration on the one hand and with radio operators on the other hand, and through active participation in relevant regional and international activities, they are</w:t>
      </w:r>
      <w:r w:rsidRPr="00B93493">
        <w:rPr>
          <w:spacing w:val="-2"/>
        </w:rPr>
        <w:t xml:space="preserve"> very familiar with what is needed for the development and improvement in different radio services and in spectrum management issues at the national, regional and international levels.</w:t>
      </w:r>
    </w:p>
    <w:p w14:paraId="316C1960" w14:textId="77777777" w:rsidR="00CF04BC" w:rsidRPr="00B93493" w:rsidRDefault="00CF04BC" w:rsidP="00CF04BC">
      <w:r w:rsidRPr="00B93493">
        <w:t>Such spectrum management organizations include research institutes, particularly the Radio Research and Development Institute (NIIR) together with its branches, type-approval testing laboratories, private operator associations and consulting firms operating on a commercial basis.</w:t>
      </w:r>
    </w:p>
    <w:p w14:paraId="1B1651DE" w14:textId="77777777" w:rsidR="00CF04BC" w:rsidRPr="00B93493" w:rsidRDefault="00CF04BC" w:rsidP="00CF04BC">
      <w:r w:rsidRPr="00B93493">
        <w:t>The main assistance to the telecommunication Administration provided by these organizations are:</w:t>
      </w:r>
    </w:p>
    <w:p w14:paraId="424F6AE5" w14:textId="77777777" w:rsidR="00CF04BC" w:rsidRPr="00B93493" w:rsidRDefault="00CF04BC" w:rsidP="00CF04BC">
      <w:pPr>
        <w:pStyle w:val="enumlev1"/>
      </w:pPr>
      <w:r w:rsidRPr="00B93493">
        <w:t>–</w:t>
      </w:r>
      <w:r w:rsidRPr="00B93493">
        <w:tab/>
        <w:t>conducting, at the request of the Administration, systematic interference analysis for fixed (microwave) and fixed</w:t>
      </w:r>
      <w:r w:rsidRPr="00B93493">
        <w:noBreakHyphen/>
        <w:t>satellite service frequency applications including issues of domestic and international coordination;</w:t>
      </w:r>
    </w:p>
    <w:p w14:paraId="7BC4A456" w14:textId="77777777" w:rsidR="00CF04BC" w:rsidRPr="00B93493" w:rsidRDefault="00CF04BC" w:rsidP="00CF04BC">
      <w:pPr>
        <w:pStyle w:val="enumlev1"/>
      </w:pPr>
      <w:r w:rsidRPr="00B93493">
        <w:t>–</w:t>
      </w:r>
      <w:r w:rsidRPr="00B93493">
        <w:tab/>
        <w:t>conducting frequency-site planning of radio transmitters for sound and TV broadcasting services;</w:t>
      </w:r>
    </w:p>
    <w:p w14:paraId="41E16C95" w14:textId="77777777" w:rsidR="00CF04BC" w:rsidRPr="00B93493" w:rsidRDefault="00CF04BC" w:rsidP="00CF04BC">
      <w:pPr>
        <w:pStyle w:val="enumlev1"/>
      </w:pPr>
      <w:r w:rsidRPr="00B93493">
        <w:t>–</w:t>
      </w:r>
      <w:r w:rsidRPr="00B93493">
        <w:tab/>
        <w:t>conducting experimental investigations of the potential for allocating additional TV and sound broadcasting channels for areas with specific terrain problems. Based on conclusions provided, the administration issues relevant frequency permissions and licences for operational activities;</w:t>
      </w:r>
    </w:p>
    <w:p w14:paraId="000F54FE" w14:textId="77777777" w:rsidR="00CF04BC" w:rsidRPr="00B93493" w:rsidRDefault="00CF04BC" w:rsidP="00CF04BC">
      <w:pPr>
        <w:pStyle w:val="enumlev1"/>
      </w:pPr>
      <w:r w:rsidRPr="00B93493">
        <w:t>–</w:t>
      </w:r>
      <w:r w:rsidRPr="00B93493">
        <w:tab/>
        <w:t>developing various draft standards, specifications, recommendations, etc. concerning radiocommunications networks and equipment development, EMC analysis and frequency planning, frequency sharing criteria and conditions to be approved by the Administration; recently these activities more and more concern relevant regulatory and legislative matters as well.</w:t>
      </w:r>
    </w:p>
    <w:p w14:paraId="673C44FA" w14:textId="77777777" w:rsidR="00CF04BC" w:rsidRPr="00B93493" w:rsidRDefault="00CF04BC" w:rsidP="00CF04BC">
      <w:r w:rsidRPr="00B93493">
        <w:t>As far as it concerns assistance to radio operators, the main issues are the following:</w:t>
      </w:r>
    </w:p>
    <w:p w14:paraId="0E2F0736" w14:textId="77777777" w:rsidR="00CF04BC" w:rsidRPr="00B93493" w:rsidRDefault="00CF04BC" w:rsidP="00CF04BC">
      <w:pPr>
        <w:pStyle w:val="enumlev1"/>
      </w:pPr>
      <w:r w:rsidRPr="00B93493">
        <w:t>–</w:t>
      </w:r>
      <w:r w:rsidRPr="00B93493">
        <w:tab/>
        <w:t>explanation of national, regional and international regulations in their implementation with respect to various radio services;</w:t>
      </w:r>
    </w:p>
    <w:p w14:paraId="3D34624F" w14:textId="77777777" w:rsidR="00CF04BC" w:rsidRPr="00B93493" w:rsidRDefault="00CF04BC" w:rsidP="00CF04BC">
      <w:pPr>
        <w:pStyle w:val="enumlev1"/>
      </w:pPr>
      <w:r w:rsidRPr="00B93493">
        <w:t>–</w:t>
      </w:r>
      <w:r w:rsidRPr="00B93493">
        <w:tab/>
        <w:t>assistance in user planning of relevant radio networks particularly cellular, trunking etc., using all relevant technical standards, rules for frequency planning and other licensing conditions;</w:t>
      </w:r>
    </w:p>
    <w:p w14:paraId="1DAC3350" w14:textId="77777777" w:rsidR="00CF04BC" w:rsidRPr="00B93493" w:rsidRDefault="00CF04BC" w:rsidP="00CF04BC">
      <w:pPr>
        <w:pStyle w:val="enumlev1"/>
      </w:pPr>
      <w:r w:rsidRPr="00B93493">
        <w:t>–</w:t>
      </w:r>
      <w:r w:rsidRPr="00B93493">
        <w:tab/>
        <w:t>preliminary analysis of interference-free broadcasting channels for commercial sound and TV broadcasters, calculation of service areas, etc.;</w:t>
      </w:r>
    </w:p>
    <w:p w14:paraId="723949E5" w14:textId="77777777" w:rsidR="00CF04BC" w:rsidRPr="00B93493" w:rsidRDefault="00CF04BC" w:rsidP="00CF04BC">
      <w:pPr>
        <w:pStyle w:val="enumlev1"/>
      </w:pPr>
      <w:r w:rsidRPr="00B93493">
        <w:t>–</w:t>
      </w:r>
      <w:r w:rsidRPr="00B93493">
        <w:tab/>
        <w:t>assistance in preparation of relevant licence application and bid documentation;</w:t>
      </w:r>
    </w:p>
    <w:p w14:paraId="1AD4BB1F" w14:textId="77777777" w:rsidR="00CF04BC" w:rsidRPr="00B93493" w:rsidRDefault="00CF04BC" w:rsidP="00CF04BC">
      <w:pPr>
        <w:pStyle w:val="enumlev1"/>
      </w:pPr>
      <w:r w:rsidRPr="00B93493">
        <w:t>–</w:t>
      </w:r>
      <w:r w:rsidRPr="00B93493">
        <w:tab/>
        <w:t>assistance to various state and commercial enterprises in the field of industrial interference limitation.</w:t>
      </w:r>
    </w:p>
    <w:p w14:paraId="6E1B6183" w14:textId="77777777" w:rsidR="00CF04BC" w:rsidRPr="00B93493" w:rsidRDefault="00CF04BC" w:rsidP="00CF04BC">
      <w:pPr>
        <w:pStyle w:val="Heading3"/>
      </w:pPr>
      <w:bookmarkStart w:id="2584" w:name="_Toc459793847"/>
      <w:bookmarkStart w:id="2585" w:name="_Toc459793989"/>
      <w:bookmarkStart w:id="2586" w:name="_Toc459746777"/>
      <w:bookmarkStart w:id="2587" w:name="_Toc497033246"/>
      <w:bookmarkStart w:id="2588" w:name="_Toc459970446"/>
      <w:bookmarkStart w:id="2589" w:name="_Toc497034044"/>
      <w:bookmarkStart w:id="2590" w:name="_Toc459792683"/>
      <w:bookmarkStart w:id="2591" w:name="_Toc289868880"/>
      <w:bookmarkStart w:id="2592" w:name="_Toc462234181"/>
      <w:bookmarkStart w:id="2593" w:name="_Toc392515938"/>
      <w:bookmarkStart w:id="2594" w:name="_Toc518394275"/>
      <w:bookmarkStart w:id="2595" w:name="_Toc289869040"/>
      <w:bookmarkStart w:id="2596" w:name="_Toc291852954"/>
      <w:bookmarkStart w:id="2597" w:name="_Toc289933391"/>
      <w:bookmarkStart w:id="2598" w:name="_Toc289932346"/>
      <w:bookmarkStart w:id="2599" w:name="_Toc182391595"/>
      <w:bookmarkStart w:id="2600" w:name="_Toc182392006"/>
      <w:r w:rsidRPr="00B93493">
        <w:t>5.3.5</w:t>
      </w:r>
      <w:r w:rsidRPr="00B93493">
        <w:tab/>
        <w:t>United States</w:t>
      </w:r>
      <w:bookmarkEnd w:id="2584"/>
      <w:bookmarkEnd w:id="2585"/>
      <w:bookmarkEnd w:id="2586"/>
      <w:bookmarkEnd w:id="2587"/>
      <w:bookmarkEnd w:id="2588"/>
      <w:bookmarkEnd w:id="2589"/>
      <w:bookmarkEnd w:id="2590"/>
      <w:r w:rsidRPr="00B93493">
        <w:t xml:space="preserve"> of America</w:t>
      </w:r>
      <w:bookmarkEnd w:id="2591"/>
      <w:bookmarkEnd w:id="2592"/>
      <w:bookmarkEnd w:id="2593"/>
      <w:bookmarkEnd w:id="2594"/>
      <w:bookmarkEnd w:id="2595"/>
      <w:bookmarkEnd w:id="2596"/>
      <w:bookmarkEnd w:id="2597"/>
      <w:bookmarkEnd w:id="2598"/>
      <w:bookmarkEnd w:id="2599"/>
      <w:bookmarkEnd w:id="2600"/>
    </w:p>
    <w:p w14:paraId="2B78C2D8" w14:textId="77777777" w:rsidR="00CF04BC" w:rsidRPr="00B93493" w:rsidRDefault="00CF04BC" w:rsidP="00CF04BC">
      <w:pPr>
        <w:rPr>
          <w:b/>
        </w:rPr>
      </w:pPr>
      <w:r w:rsidRPr="003A1455">
        <w:rPr>
          <w:spacing w:val="-2"/>
        </w:rPr>
        <w:t>The United States of America makes wide use of frequency coordinators, interested communications</w:t>
      </w:r>
      <w:r w:rsidRPr="00B93493">
        <w:t xml:space="preserve"> groups, and private sector s</w:t>
      </w:r>
      <w:bookmarkStart w:id="2601" w:name="_Toc394384948"/>
      <w:bookmarkStart w:id="2602" w:name="_Toc394385552"/>
      <w:r w:rsidRPr="00B93493">
        <w:t>pectrum management consultants.</w:t>
      </w:r>
    </w:p>
    <w:p w14:paraId="52D7B3CE" w14:textId="77777777" w:rsidR="00CF04BC" w:rsidRPr="00B93493" w:rsidRDefault="00CF04BC" w:rsidP="00CF04BC">
      <w:pPr>
        <w:pStyle w:val="Heading4"/>
      </w:pPr>
      <w:bookmarkStart w:id="2603" w:name="_Toc497033247"/>
      <w:bookmarkStart w:id="2604" w:name="_Toc497034045"/>
      <w:r w:rsidRPr="00B93493">
        <w:t>5.3.5.1</w:t>
      </w:r>
      <w:r w:rsidRPr="00B93493">
        <w:tab/>
        <w:t>Use of interested communications groups</w:t>
      </w:r>
      <w:bookmarkEnd w:id="2601"/>
      <w:bookmarkEnd w:id="2602"/>
      <w:bookmarkEnd w:id="2603"/>
      <w:bookmarkEnd w:id="2604"/>
    </w:p>
    <w:p w14:paraId="3819CFC9" w14:textId="77777777" w:rsidR="00CF04BC" w:rsidRPr="00B93493" w:rsidRDefault="00CF04BC" w:rsidP="00CF04BC">
      <w:r w:rsidRPr="00B93493">
        <w:t>The United States of America spectrum management organizations also make significant use of advisory committees. The FCC for instance develops its radio conference proposals through an open advisory committee process. Furthermore, the National Telecommunications and Information Administration (NTIA), as the manager of United States of America government agency use of radio systems, relies heavily on the Inter-department Radio Advisory Committee (IRAC), its subcommittees (planning, technical, and radio conference), and ad hoc committees for advice on regulation and policy development. This committee is the longest standing advisory committee in the United States of America government. Though this is not a private sector body, it represents an excellent example of using advisory bodies or collections of experts. NTIA also seeks the advice, with regard to spectrum management policy, from a joint government/private sector group, the Frequency Management Advisory Committee (FMAC).</w:t>
      </w:r>
    </w:p>
    <w:p w14:paraId="514525B7" w14:textId="77777777" w:rsidR="00CF04BC" w:rsidRPr="00B93493" w:rsidRDefault="00CF04BC" w:rsidP="00CF04BC">
      <w:r w:rsidRPr="00B93493">
        <w:t>The FCC has also successfully employed a technique known as negotiated rulemakings whereby it has placed system developers and spectrum advocates in a position of jointly developing the very regulations and standards which will be used to regulate their activities.</w:t>
      </w:r>
      <w:bookmarkStart w:id="2605" w:name="_Toc394384949"/>
      <w:bookmarkStart w:id="2606" w:name="_Toc394385553"/>
      <w:r w:rsidRPr="00B93493">
        <w:t xml:space="preserve"> </w:t>
      </w:r>
    </w:p>
    <w:p w14:paraId="64C4B332" w14:textId="77777777" w:rsidR="00CF04BC" w:rsidRPr="00B93493" w:rsidRDefault="00CF04BC" w:rsidP="00CF04BC">
      <w:pPr>
        <w:rPr>
          <w:b/>
        </w:rPr>
      </w:pPr>
      <w:r w:rsidRPr="00B93493">
        <w:t xml:space="preserve">The FCC list of advisory committees may be found at </w:t>
      </w:r>
      <w:hyperlink r:id="rId246" w:history="1">
        <w:r w:rsidRPr="00B93493">
          <w:rPr>
            <w:rStyle w:val="Hyperlink"/>
          </w:rPr>
          <w:t>https://www.fcc.gov/about-fcc/advisory-committees-fcc</w:t>
        </w:r>
      </w:hyperlink>
      <w:r w:rsidRPr="00B93493">
        <w:t>.</w:t>
      </w:r>
    </w:p>
    <w:p w14:paraId="691B7D92" w14:textId="77777777" w:rsidR="00CF04BC" w:rsidRPr="00B93493" w:rsidRDefault="00CF04BC" w:rsidP="00CF04BC">
      <w:pPr>
        <w:pStyle w:val="Heading4"/>
      </w:pPr>
      <w:bookmarkStart w:id="2607" w:name="_Toc497033248"/>
      <w:bookmarkStart w:id="2608" w:name="_Toc497034046"/>
      <w:r w:rsidRPr="00B93493">
        <w:t>5.3.5.2</w:t>
      </w:r>
      <w:r w:rsidRPr="00B93493">
        <w:tab/>
        <w:t>United States of America use of frequency coordinators</w:t>
      </w:r>
      <w:bookmarkEnd w:id="2605"/>
      <w:bookmarkEnd w:id="2606"/>
      <w:bookmarkEnd w:id="2607"/>
      <w:bookmarkEnd w:id="2608"/>
    </w:p>
    <w:p w14:paraId="5EAD4645" w14:textId="77777777" w:rsidR="00CF04BC" w:rsidRPr="00B93493" w:rsidRDefault="00CF04BC" w:rsidP="00CF04BC">
      <w:r w:rsidRPr="00B93493">
        <w:t>Under FCC rules, prior to applying for a station licence for certain services, an applicant must provide technical coordination information or evidence of prior coordination of the station with existing stations. Private groups often perform this prior coordination function.</w:t>
      </w:r>
    </w:p>
    <w:p w14:paraId="386DA50D" w14:textId="62D1A245" w:rsidR="00CF04BC" w:rsidRPr="00B93493" w:rsidRDefault="00CF04BC" w:rsidP="00CF04BC">
      <w:r w:rsidRPr="00B93493">
        <w:t>In the private land mobile radio services (PLMRS), the FCC has certified groups for specific sub-allocations (e.g. public safety, industrial, and land transportation services) to coordinate frequency assignments prior to their application for the actual licence. Under this system, applicants proposing new stations or modifying existing licences send their completed applications to the appropriate certified coordinator. The coordinator checks the application for completeness, accuracy, and compliance with the FCC’s rules, recommends the most suitable frequency for the applicant, and forwards the completed application to the FCC, which issues the licence directly to the applicant upon approval. The FCC oversees the performance of these coordinating committees. Performance consistently below FCC standards could lead to an inquiry and eventual decertification of the coordinator. In cases of disagreement between the applicant and the coordinator, the FCC has final authority to resolve the problem.</w:t>
      </w:r>
    </w:p>
    <w:p w14:paraId="6161B159" w14:textId="77777777" w:rsidR="00CF04BC" w:rsidRPr="00B93493" w:rsidRDefault="00CF04BC" w:rsidP="00CF04BC">
      <w:r w:rsidRPr="00B93493">
        <w:t>Prior coordination takes place in other services, such as the FCC’s point-to-point microwave radio service and the private operational fixed microwave service. Prior to obtaining a licence, applicants for these services are required to engineer their proposed systems to avoid interference and to coordinate with existing applicants and licensees who could potentially experience interference from these proposed systems. Coordination in these bands is typically done by the applicant or their private frequency coordination consultant and depends largely upon industry cooperation. There are no certified coordinators for these bands. The applicant must certify that the coordination process has been completed before the application is accepted for filing. Private frequency coordinators charge a fee for their services.</w:t>
      </w:r>
    </w:p>
    <w:p w14:paraId="7BDD8410" w14:textId="77777777" w:rsidR="00CF04BC" w:rsidRPr="00B93493" w:rsidRDefault="00CF04BC" w:rsidP="00CF04BC">
      <w:r w:rsidRPr="00B93493">
        <w:t>Through this requirement for prior coordination, the FCC attempts to ensure that interference conflicts are resolved through private negotiations before applications are filed. Successful coordination through this method lessens the need for federal government administrative processes to resolve conflicting private claims to the spectrum. Since the FCC established requirements for frequency coordination within the microwave bands in 1975 and implemented the certified frequency coordinator program for the PLMRS bands in 1986, the speed of service has improved and the FCC’s licensing burden has been reduced. Further, the first recourse of action for licensees involved in interference problems is to seek the assistance of the coordinator. In most cases, the coordinator can find a solution to the problem without the FCC ever being involved.</w:t>
      </w:r>
    </w:p>
    <w:p w14:paraId="7C2046C1" w14:textId="77777777" w:rsidR="00CF04BC" w:rsidRPr="00B93493" w:rsidRDefault="00CF04BC" w:rsidP="00CF04BC">
      <w:r w:rsidRPr="00B93493">
        <w:t>The frequency coordinators for public safety may be found at:</w:t>
      </w:r>
    </w:p>
    <w:p w14:paraId="7D475E82" w14:textId="77777777" w:rsidR="00CF04BC" w:rsidRPr="00B93493" w:rsidRDefault="00CF04BC" w:rsidP="00CF04BC">
      <w:pPr>
        <w:textAlignment w:val="auto"/>
      </w:pPr>
      <w:hyperlink r:id="rId247" w:history="1">
        <w:r w:rsidRPr="00B93493">
          <w:rPr>
            <w:rStyle w:val="Hyperlink"/>
          </w:rPr>
          <w:t>https://www.fcc.gov/general/public-safety-frequency-coordinators</w:t>
        </w:r>
      </w:hyperlink>
    </w:p>
    <w:p w14:paraId="36019FEE" w14:textId="77777777" w:rsidR="00CF04BC" w:rsidRPr="00B93493" w:rsidRDefault="00CF04BC" w:rsidP="00CF04BC">
      <w:pPr>
        <w:pStyle w:val="Heading4"/>
      </w:pPr>
      <w:bookmarkStart w:id="2609" w:name="_Toc394385554"/>
      <w:bookmarkStart w:id="2610" w:name="_Toc497033249"/>
      <w:bookmarkStart w:id="2611" w:name="_Toc497034047"/>
      <w:bookmarkStart w:id="2612" w:name="_Toc394384950"/>
      <w:r w:rsidRPr="00B93493">
        <w:t>5.3.5.3</w:t>
      </w:r>
      <w:r w:rsidRPr="00B93493">
        <w:tab/>
        <w:t>United States of America use of spectrum management consultants</w:t>
      </w:r>
      <w:bookmarkEnd w:id="2609"/>
      <w:bookmarkEnd w:id="2610"/>
      <w:bookmarkEnd w:id="2611"/>
      <w:bookmarkEnd w:id="2612"/>
    </w:p>
    <w:p w14:paraId="77614D4B" w14:textId="77777777" w:rsidR="00CF04BC" w:rsidRPr="00B93493" w:rsidRDefault="00CF04BC" w:rsidP="00CF04BC">
      <w:r w:rsidRPr="00B93493">
        <w:t>While NTIA and the FCC currently make limited use of spectrum management consultants, federal agencies with significant communications interests but limited staff resources make extensive use of technical consultants and functional support contractors. These groups play an active role in the wide array of advisory and ad hoc committees performing engineering analysis and preparing committee documents. In many cases, they represent government agency interests in delegations to international bodies.</w:t>
      </w:r>
    </w:p>
    <w:p w14:paraId="6ADF1C4C" w14:textId="77777777" w:rsidR="00CF04BC" w:rsidRPr="00B93493" w:rsidRDefault="00CF04BC" w:rsidP="00CF04BC">
      <w:pPr>
        <w:pStyle w:val="Heading3"/>
      </w:pPr>
      <w:bookmarkStart w:id="2613" w:name="_Toc462234182"/>
      <w:bookmarkStart w:id="2614" w:name="_Toc392515939"/>
      <w:bookmarkStart w:id="2615" w:name="_Toc289869041"/>
      <w:bookmarkStart w:id="2616" w:name="_Toc289933392"/>
      <w:bookmarkStart w:id="2617" w:name="_Toc289868881"/>
      <w:bookmarkStart w:id="2618" w:name="_Toc518394276"/>
      <w:bookmarkStart w:id="2619" w:name="_Toc289932347"/>
      <w:bookmarkStart w:id="2620" w:name="_Toc291852955"/>
      <w:bookmarkStart w:id="2621" w:name="_Toc182391596"/>
      <w:bookmarkStart w:id="2622" w:name="_Toc182392007"/>
      <w:r w:rsidRPr="00B93493">
        <w:t>5.3.6</w:t>
      </w:r>
      <w:r w:rsidRPr="00B93493">
        <w:tab/>
        <w:t>China’s experience with alternative resources</w:t>
      </w:r>
      <w:bookmarkEnd w:id="2613"/>
      <w:bookmarkEnd w:id="2614"/>
      <w:bookmarkEnd w:id="2615"/>
      <w:bookmarkEnd w:id="2616"/>
      <w:bookmarkEnd w:id="2617"/>
      <w:bookmarkEnd w:id="2618"/>
      <w:bookmarkEnd w:id="2619"/>
      <w:bookmarkEnd w:id="2620"/>
      <w:bookmarkEnd w:id="2621"/>
      <w:bookmarkEnd w:id="2622"/>
    </w:p>
    <w:p w14:paraId="0C4D78BD" w14:textId="77777777" w:rsidR="00CF04BC" w:rsidRPr="00B93493" w:rsidRDefault="00CF04BC" w:rsidP="00CF04BC">
      <w:r w:rsidRPr="00B93493">
        <w:t xml:space="preserve">In China, </w:t>
      </w:r>
      <w:r w:rsidRPr="00B93493">
        <w:rPr>
          <w:lang w:eastAsia="zh-CN"/>
        </w:rPr>
        <w:t xml:space="preserve">the </w:t>
      </w:r>
      <w:r w:rsidRPr="00B93493">
        <w:t xml:space="preserve">Advisory Committee of Experts on Radio frequency Planning provides advices to the China’s Radio Administration on a wide variety of issues related to policies, standards and technical development of spectrum management. The </w:t>
      </w:r>
      <w:r w:rsidRPr="00B93493">
        <w:rPr>
          <w:lang w:eastAsia="zh-CN"/>
        </w:rPr>
        <w:t>a</w:t>
      </w:r>
      <w:r w:rsidRPr="00B93493">
        <w:t xml:space="preserve">dvisory </w:t>
      </w:r>
      <w:r w:rsidRPr="00B93493">
        <w:rPr>
          <w:lang w:eastAsia="zh-CN"/>
        </w:rPr>
        <w:t>c</w:t>
      </w:r>
      <w:r w:rsidRPr="00B93493">
        <w:t xml:space="preserve">ommittee, which was established in 2000, basically comprises famous and experienced experts in mobile communication and satellite communication fields. </w:t>
      </w:r>
    </w:p>
    <w:p w14:paraId="131D9825" w14:textId="77777777" w:rsidR="00CF04BC" w:rsidRPr="00B93493" w:rsidRDefault="00CF04BC" w:rsidP="00CF04BC">
      <w:pPr>
        <w:keepNext/>
        <w:keepLines/>
      </w:pPr>
      <w:r w:rsidRPr="00B93493">
        <w:t>The main assistance provided by Advisory Committee of Experts on Radio frequency Planning is:</w:t>
      </w:r>
    </w:p>
    <w:p w14:paraId="716280BB" w14:textId="77777777" w:rsidR="00CF04BC" w:rsidRPr="00B93493" w:rsidRDefault="00CF04BC" w:rsidP="00CF04BC">
      <w:pPr>
        <w:pStyle w:val="enumlev1"/>
      </w:pPr>
      <w:r w:rsidRPr="00B93493">
        <w:t>–</w:t>
      </w:r>
      <w:r w:rsidRPr="00B93493">
        <w:tab/>
        <w:t>Follow-up researches on revision of Radio Regulation of ITU, the study results of frequency sharing, the trends and the developments of radio spectrum planning in other countries, putting forward the advices on China’s radio spectrum allocation, allotment and assignment.</w:t>
      </w:r>
    </w:p>
    <w:p w14:paraId="6AF17619" w14:textId="77777777" w:rsidR="00CF04BC" w:rsidRPr="00B93493" w:rsidRDefault="00CF04BC" w:rsidP="00CF04BC">
      <w:pPr>
        <w:pStyle w:val="enumlev1"/>
      </w:pPr>
      <w:r w:rsidRPr="00B93493">
        <w:t>–</w:t>
      </w:r>
      <w:r w:rsidRPr="00B93493">
        <w:tab/>
        <w:t>Follow-up studies on the international trends and developments of new radio applications and technologies, bringing forward the strategic spectrum planning of new radio applications and technologies in China.</w:t>
      </w:r>
    </w:p>
    <w:p w14:paraId="4C4C9A23" w14:textId="77777777" w:rsidR="00CF04BC" w:rsidRPr="00B93493" w:rsidRDefault="00CF04BC" w:rsidP="00CF04BC">
      <w:pPr>
        <w:pStyle w:val="enumlev1"/>
      </w:pPr>
      <w:r w:rsidRPr="00B93493">
        <w:t>–</w:t>
      </w:r>
      <w:r w:rsidRPr="00B93493">
        <w:tab/>
        <w:t>Providing advices to the exploitation and utilization of spectrum and satellite orbits.</w:t>
      </w:r>
    </w:p>
    <w:p w14:paraId="31C210B3" w14:textId="77777777" w:rsidR="00CF04BC" w:rsidRPr="00B93493" w:rsidRDefault="00CF04BC" w:rsidP="00CF04BC">
      <w:pPr>
        <w:pStyle w:val="enumlev1"/>
      </w:pPr>
      <w:r w:rsidRPr="00B93493">
        <w:t>–</w:t>
      </w:r>
      <w:r w:rsidRPr="00B93493">
        <w:tab/>
        <w:t>Deliberating on the draft of national Regulations on Radio Frequency Allocation.</w:t>
      </w:r>
    </w:p>
    <w:p w14:paraId="7D0770A6" w14:textId="77777777" w:rsidR="00CF04BC" w:rsidRPr="00B93493" w:rsidRDefault="00CF04BC" w:rsidP="00CF04BC">
      <w:pPr>
        <w:pStyle w:val="enumlev1"/>
      </w:pPr>
      <w:r w:rsidRPr="00B93493">
        <w:t>–</w:t>
      </w:r>
      <w:r w:rsidRPr="00B93493">
        <w:tab/>
        <w:t>Deliberating on the scientific research projects related to radio frequency planning, the methods and criteria of radio frequency sharing.</w:t>
      </w:r>
    </w:p>
    <w:p w14:paraId="21799767" w14:textId="77777777" w:rsidR="00CF04BC" w:rsidRPr="00B93493" w:rsidRDefault="00CF04BC" w:rsidP="00CF04BC">
      <w:r w:rsidRPr="00B93493">
        <w:t xml:space="preserve">In China, different experts are invited to join the </w:t>
      </w:r>
      <w:r w:rsidRPr="00B93493">
        <w:rPr>
          <w:lang w:eastAsia="zh-CN"/>
        </w:rPr>
        <w:t>a</w:t>
      </w:r>
      <w:r w:rsidRPr="00B93493">
        <w:t xml:space="preserve">dvisory </w:t>
      </w:r>
      <w:r w:rsidRPr="00B93493">
        <w:rPr>
          <w:lang w:eastAsia="zh-CN"/>
        </w:rPr>
        <w:t>c</w:t>
      </w:r>
      <w:r w:rsidRPr="00B93493">
        <w:t>ommittee every five years, upon issuance of the formal letter of appointment. Every five years, there may be some adjustment</w:t>
      </w:r>
      <w:r w:rsidRPr="00B93493">
        <w:rPr>
          <w:lang w:eastAsia="zh-CN"/>
        </w:rPr>
        <w:t>s</w:t>
      </w:r>
      <w:r w:rsidRPr="00B93493">
        <w:t xml:space="preserve"> to the members list. Usually, the Advisory Committee of Experts on Radio frequency Planning, under which a secretary office is established to be responsible for the daily affairs, consists of experts from Chinese research institutes, universities, enterprises, and science and technology commission belonging to different minist</w:t>
      </w:r>
      <w:r w:rsidRPr="00B93493">
        <w:rPr>
          <w:lang w:eastAsia="zh-CN"/>
        </w:rPr>
        <w:t>rie</w:t>
      </w:r>
      <w:r w:rsidRPr="00B93493">
        <w:t>s and other government bodies and so on. The members of the committee, working by letter or email during daily time, actually provide broadly based, independent, objective, unbiased and technical expertise in different fields. If necessary, a conference will be convened for some special topics for discussion.</w:t>
      </w:r>
    </w:p>
    <w:p w14:paraId="50B21113" w14:textId="77777777" w:rsidR="00CF04BC" w:rsidRPr="00B93493" w:rsidRDefault="00CF04BC" w:rsidP="00CF04BC">
      <w:r w:rsidRPr="00B93493">
        <w:t xml:space="preserve">From 2000 until now, the Advisory Committee of Experts on Radio frequency Planning has discussed many topics related to national frequency planning, and provided some important and significant advices to the national spectrum management, which plays an important role in deeply studying national frequency and satellite orbit planning and management, promoting the application of new radio technologies, and following up the international trends and developments on radio spectrum management. Especially in the revision of national Regulations on Radio Frequency Allocation, issuance of frequency planning for 3G mobile communication systems, the study of the items of WRC </w:t>
      </w:r>
      <w:r w:rsidRPr="00B93493">
        <w:rPr>
          <w:lang w:eastAsia="zh-CN"/>
        </w:rPr>
        <w:t>and so on</w:t>
      </w:r>
      <w:r w:rsidRPr="00B93493">
        <w:t>, the advices from Advisory Committee of Experts on Radio frequency Planning are the important factors that the administration would consider when making policies.</w:t>
      </w:r>
    </w:p>
    <w:p w14:paraId="5A45EAC1" w14:textId="77777777" w:rsidR="00CF04BC" w:rsidRPr="00B93493" w:rsidRDefault="00CF04BC" w:rsidP="00CF04BC">
      <w:pPr>
        <w:pStyle w:val="Heading2"/>
      </w:pPr>
      <w:bookmarkStart w:id="2623" w:name="_Toc289933393"/>
      <w:bookmarkStart w:id="2624" w:name="_Toc392515940"/>
      <w:bookmarkStart w:id="2625" w:name="_Toc289868882"/>
      <w:bookmarkStart w:id="2626" w:name="_Toc518394277"/>
      <w:bookmarkStart w:id="2627" w:name="_Toc291852956"/>
      <w:bookmarkStart w:id="2628" w:name="_Toc462234183"/>
      <w:bookmarkStart w:id="2629" w:name="_Toc289932348"/>
      <w:bookmarkStart w:id="2630" w:name="_Toc289869042"/>
      <w:bookmarkStart w:id="2631" w:name="_Toc182391597"/>
      <w:bookmarkStart w:id="2632" w:name="_Toc182392008"/>
      <w:bookmarkStart w:id="2633" w:name="_Toc201822295"/>
      <w:r w:rsidRPr="00B93493">
        <w:t>5.4</w:t>
      </w:r>
      <w:r w:rsidRPr="00B93493">
        <w:tab/>
        <w:t>Other experiences</w:t>
      </w:r>
      <w:bookmarkEnd w:id="2623"/>
      <w:bookmarkEnd w:id="2624"/>
      <w:bookmarkEnd w:id="2625"/>
      <w:bookmarkEnd w:id="2626"/>
      <w:bookmarkEnd w:id="2627"/>
      <w:bookmarkEnd w:id="2628"/>
      <w:bookmarkEnd w:id="2629"/>
      <w:bookmarkEnd w:id="2630"/>
      <w:bookmarkEnd w:id="2631"/>
      <w:bookmarkEnd w:id="2632"/>
      <w:bookmarkEnd w:id="2633"/>
    </w:p>
    <w:p w14:paraId="474BDAAF" w14:textId="77777777" w:rsidR="00CF04BC" w:rsidRPr="00B93493" w:rsidRDefault="00CF04BC" w:rsidP="00CF04BC">
      <w:pPr>
        <w:pStyle w:val="Heading3"/>
      </w:pPr>
      <w:bookmarkStart w:id="2634" w:name="_Toc289932349"/>
      <w:bookmarkStart w:id="2635" w:name="_Toc459746779"/>
      <w:bookmarkStart w:id="2636" w:name="_Toc497033251"/>
      <w:bookmarkStart w:id="2637" w:name="_Toc459970448"/>
      <w:bookmarkStart w:id="2638" w:name="_Toc291852957"/>
      <w:bookmarkStart w:id="2639" w:name="_Toc459793849"/>
      <w:bookmarkStart w:id="2640" w:name="_Toc497034049"/>
      <w:bookmarkStart w:id="2641" w:name="_Toc392515941"/>
      <w:bookmarkStart w:id="2642" w:name="_Toc459793991"/>
      <w:bookmarkStart w:id="2643" w:name="_Toc459792685"/>
      <w:bookmarkStart w:id="2644" w:name="_Toc289933394"/>
      <w:bookmarkStart w:id="2645" w:name="_Toc289868883"/>
      <w:bookmarkStart w:id="2646" w:name="_Toc462234184"/>
      <w:bookmarkStart w:id="2647" w:name="_Toc518394278"/>
      <w:bookmarkStart w:id="2648" w:name="_Toc289869043"/>
      <w:bookmarkStart w:id="2649" w:name="_Toc182391598"/>
      <w:bookmarkStart w:id="2650" w:name="_Toc182392009"/>
      <w:r w:rsidRPr="00B93493">
        <w:t>5.4.1</w:t>
      </w:r>
      <w:r w:rsidRPr="00B93493">
        <w:tab/>
        <w:t>Amateur services</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14:paraId="44114CFB" w14:textId="77777777" w:rsidR="00CF04BC" w:rsidRPr="00B93493" w:rsidRDefault="00CF04BC" w:rsidP="00CF04BC">
      <w:r w:rsidRPr="00B93493">
        <w:t>Generally, amateur stations are not assigned specific frequencies by government spectrum managers but are free to select operating frequencies according to current band occupancy and propagation conditions. National, regional and local band plans are established by informal agreement to arrange compatible intra</w:t>
      </w:r>
      <w:r w:rsidRPr="00B93493">
        <w:noBreakHyphen/>
        <w:t>service uses, principally by class of emission, such as telegraphy, data and voice.</w:t>
      </w:r>
    </w:p>
    <w:p w14:paraId="66C3181E" w14:textId="77777777" w:rsidR="00CF04BC" w:rsidRPr="00B93493" w:rsidRDefault="00CF04BC" w:rsidP="00CF04BC">
      <w:r w:rsidRPr="00B93493">
        <w:t>The major exceptions to stations selecting frequencies in real-time are VHF/UHF voice repeaters, packet radio</w:t>
      </w:r>
      <w:r w:rsidRPr="00B93493">
        <w:noBreakHyphen/>
        <w:t>relay stations and propagation research beacons, which use specific frequencies on a long</w:t>
      </w:r>
      <w:r w:rsidRPr="00B93493">
        <w:noBreakHyphen/>
        <w:t>term basis. Some administrations have regulations that encourage the establishment of private sector frequency coordinators, particularly to maintain user databases and, by recommendation rather than assignment, coordinate the selection of voice repeater frequencies to minimize interference within their geographic areas.</w:t>
      </w:r>
    </w:p>
    <w:p w14:paraId="6581160E" w14:textId="77777777" w:rsidR="00CF04BC" w:rsidRPr="00B93493" w:rsidRDefault="00CF04BC" w:rsidP="00CF04BC">
      <w:r w:rsidRPr="00B93493">
        <w:t>Amateur</w:t>
      </w:r>
      <w:r w:rsidRPr="00B93493">
        <w:noBreakHyphen/>
        <w:t>satellite frequencies are international in nature and are coordinated through amateur</w:t>
      </w:r>
      <w:r w:rsidRPr="00B93493">
        <w:noBreakHyphen/>
        <w:t>satellite organizations known as Radio Amateur Satellite Corporation (USA) (AMSAT).</w:t>
      </w:r>
    </w:p>
    <w:p w14:paraId="24380B27" w14:textId="77777777" w:rsidR="00CF04BC" w:rsidRPr="00B93493" w:rsidRDefault="00CF04BC" w:rsidP="00CF04BC">
      <w:r w:rsidRPr="00B93493">
        <w:t xml:space="preserve">The three International Amateur Radio Union (IARU) regional organizations also establish informal </w:t>
      </w:r>
      <w:r w:rsidRPr="003A1455">
        <w:rPr>
          <w:spacing w:val="-2"/>
        </w:rPr>
        <w:t>band plans. The IARU and AMSAT organizations cooperate in matters concerning frequency usag</w:t>
      </w:r>
      <w:r w:rsidRPr="00B93493">
        <w:t>e.</w:t>
      </w:r>
    </w:p>
    <w:p w14:paraId="15109882" w14:textId="77777777" w:rsidR="00CF04BC" w:rsidRPr="00B93493" w:rsidRDefault="00CF04BC" w:rsidP="00CF04BC">
      <w:pPr>
        <w:pStyle w:val="Heading3"/>
      </w:pPr>
      <w:bookmarkStart w:id="2651" w:name="_Toc392515942"/>
      <w:bookmarkStart w:id="2652" w:name="_Toc462234185"/>
      <w:bookmarkStart w:id="2653" w:name="_Toc289933395"/>
      <w:bookmarkStart w:id="2654" w:name="_Toc459793992"/>
      <w:bookmarkStart w:id="2655" w:name="_Toc289932350"/>
      <w:bookmarkStart w:id="2656" w:name="_Toc459746780"/>
      <w:bookmarkStart w:id="2657" w:name="_Toc459970449"/>
      <w:bookmarkStart w:id="2658" w:name="_Toc459792686"/>
      <w:bookmarkStart w:id="2659" w:name="_Toc497034050"/>
      <w:bookmarkStart w:id="2660" w:name="_Toc289868884"/>
      <w:bookmarkStart w:id="2661" w:name="_Toc289869044"/>
      <w:bookmarkStart w:id="2662" w:name="_Toc518394279"/>
      <w:bookmarkStart w:id="2663" w:name="_Toc291852958"/>
      <w:bookmarkStart w:id="2664" w:name="_Toc497033252"/>
      <w:bookmarkStart w:id="2665" w:name="_Toc459793850"/>
      <w:bookmarkStart w:id="2666" w:name="_Toc182391599"/>
      <w:bookmarkStart w:id="2667" w:name="_Toc182392010"/>
      <w:r w:rsidRPr="00B93493">
        <w:t>5.4.2</w:t>
      </w:r>
      <w:r w:rsidRPr="00B93493">
        <w:tab/>
        <w:t>Area and high density systems</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14:paraId="38B775B0" w14:textId="77777777" w:rsidR="00CF04BC" w:rsidRPr="00B93493" w:rsidRDefault="00CF04BC" w:rsidP="00CF04BC">
      <w:r w:rsidRPr="00B93493">
        <w:t>Most administrations have experience with authorizing area systems to a range of frequencies. This has been done primarily for cellular, PCS and other area and high density systems.</w:t>
      </w:r>
    </w:p>
    <w:p w14:paraId="712ABF32" w14:textId="77777777" w:rsidR="00CF04BC" w:rsidRPr="00B93493" w:rsidRDefault="00CF04BC" w:rsidP="00CF04BC">
      <w:pPr>
        <w:pStyle w:val="Heading3"/>
      </w:pPr>
      <w:bookmarkStart w:id="2668" w:name="_Toc289868885"/>
      <w:bookmarkStart w:id="2669" w:name="_Toc392515943"/>
      <w:bookmarkStart w:id="2670" w:name="_Toc289869045"/>
      <w:bookmarkStart w:id="2671" w:name="_Toc462234186"/>
      <w:bookmarkStart w:id="2672" w:name="_Toc289932351"/>
      <w:bookmarkStart w:id="2673" w:name="_Toc291852959"/>
      <w:bookmarkStart w:id="2674" w:name="_Toc289933396"/>
      <w:bookmarkStart w:id="2675" w:name="_Toc518394280"/>
      <w:bookmarkStart w:id="2676" w:name="_Toc182391600"/>
      <w:bookmarkStart w:id="2677" w:name="_Toc182392011"/>
      <w:r w:rsidRPr="00B93493">
        <w:t>5.4.3</w:t>
      </w:r>
      <w:r w:rsidRPr="00B93493">
        <w:tab/>
        <w:t>Space services, orbital use and spectrum fees</w:t>
      </w:r>
      <w:bookmarkEnd w:id="2668"/>
      <w:bookmarkEnd w:id="2669"/>
      <w:bookmarkEnd w:id="2670"/>
      <w:bookmarkEnd w:id="2671"/>
      <w:bookmarkEnd w:id="2672"/>
      <w:bookmarkEnd w:id="2673"/>
      <w:bookmarkEnd w:id="2674"/>
      <w:bookmarkEnd w:id="2675"/>
      <w:bookmarkEnd w:id="2676"/>
      <w:bookmarkEnd w:id="2677"/>
    </w:p>
    <w:p w14:paraId="0FF5CE56" w14:textId="77777777" w:rsidR="00CF04BC" w:rsidRPr="00B93493" w:rsidRDefault="00CF04BC" w:rsidP="00CF04BC">
      <w:pPr>
        <w:rPr>
          <w:rFonts w:eastAsia="Batang"/>
          <w:lang w:eastAsia="ko-KR"/>
        </w:rPr>
      </w:pPr>
      <w:r w:rsidRPr="00B93493">
        <w:rPr>
          <w:rFonts w:eastAsia="Batang"/>
          <w:lang w:eastAsia="ko-KR"/>
        </w:rPr>
        <w:t xml:space="preserve">Continued access to satellite spectrum requires a balance approach in the administrations’ revenue generating policies that does not affect the long-term viability of satellite services and the industry as a whole. The impact of fees, auctions and other revenue generating approaches, taken as a whole from all countries in which satellite resources are provided, can make deployment of this critical infrastructure economically unfeasible. As an example, a lack of harmonized national approaches on the fee structures of planned integrated MSS and complementary ground component systems that may contribute to more efficient use of spectrum could impede development of such integrated systems. Economic options may help in improving the efficient use of the orbit and spectrum resources. It could limit coordination filings to “serious” and more carefully tailored ones, it may increase resources to BR. On the other hand, it might be seen as an extension of ITU regulatory competence and consequential reduction in national sovereignty, not mentioning the difficulty of agreeing to fee levels and the disadvantage to entities in developing countries. Fees may not be a deterrent to major players and could decrease competition. </w:t>
      </w:r>
    </w:p>
    <w:p w14:paraId="63F985BE" w14:textId="77777777" w:rsidR="00CF04BC" w:rsidRPr="00B93493" w:rsidRDefault="00CF04BC" w:rsidP="00CF04BC">
      <w:pPr>
        <w:rPr>
          <w:rFonts w:eastAsia="Batang"/>
          <w:lang w:eastAsia="ko-KR"/>
        </w:rPr>
      </w:pPr>
      <w:r w:rsidRPr="00B93493">
        <w:rPr>
          <w:rFonts w:eastAsia="Batang"/>
          <w:lang w:eastAsia="ko-KR"/>
        </w:rPr>
        <w:t xml:space="preserve">This topic is not within the competence of ITU, because fee structures are within the sovereignty of national administrations. Nevertheless, this topic could serve as a means of thought leadership and focusing attention on a substantial issue that is affecting the satellite community and may be one of the potential instruments guaranteeing efficient use of satellite spectrum. </w:t>
      </w:r>
    </w:p>
    <w:p w14:paraId="768CB551" w14:textId="77777777" w:rsidR="00CF04BC" w:rsidRPr="00B93493" w:rsidRDefault="00CF04BC" w:rsidP="00CF04BC">
      <w:pPr>
        <w:rPr>
          <w:iCs/>
        </w:rPr>
      </w:pPr>
      <w:r w:rsidRPr="00B93493">
        <w:rPr>
          <w:iCs/>
        </w:rPr>
        <w:t>A coordinated approach with respect to models for satellite fees could lead to a more efficient use of satellite spectrum globally and facilitate cost estimations by satellite operators. In this respect, ITU may provide an excellent platform for discussions on models for satellite spectrum fees, it may study and suggest calculation methods and criteria and undertake benchmarking i.e. compare spectrum models applied by administrations for comparable satellite services.</w:t>
      </w:r>
    </w:p>
    <w:p w14:paraId="0F14E8D4" w14:textId="77777777" w:rsidR="00CF04BC" w:rsidRPr="00D460EE" w:rsidRDefault="00CF04BC" w:rsidP="00C65E6B">
      <w:pPr>
        <w:pStyle w:val="Reftitle"/>
      </w:pPr>
      <w:bookmarkStart w:id="2678" w:name="_Toc462234187"/>
      <w:bookmarkStart w:id="2679" w:name="_Toc392515944"/>
      <w:bookmarkStart w:id="2680" w:name="_Toc291852960"/>
      <w:bookmarkStart w:id="2681" w:name="_Toc289933397"/>
      <w:bookmarkStart w:id="2682" w:name="_Toc182392012"/>
      <w:r w:rsidRPr="003A1455">
        <w:t>References</w:t>
      </w:r>
      <w:bookmarkEnd w:id="2678"/>
      <w:bookmarkEnd w:id="2679"/>
      <w:bookmarkEnd w:id="2680"/>
      <w:bookmarkEnd w:id="2681"/>
      <w:bookmarkEnd w:id="2682"/>
    </w:p>
    <w:p w14:paraId="3034BEFE" w14:textId="77777777" w:rsidR="00CF04BC" w:rsidRPr="00B93493" w:rsidRDefault="00CF04BC" w:rsidP="00CF04BC">
      <w:pPr>
        <w:pStyle w:val="Reftext"/>
        <w:keepNext/>
        <w:keepLines/>
        <w:widowControl w:val="0"/>
        <w:spacing w:before="240"/>
      </w:pPr>
      <w:r w:rsidRPr="00B93493">
        <w:t>[1]</w:t>
      </w:r>
      <w:r w:rsidRPr="00B93493">
        <w:tab/>
        <w:t>YOUSSEF M., KALMAN E., BENZONI, L. [June, 1995] Technico-Economic Methods For Radio Spectrum Assignment. IEEE Communications Magazine.</w:t>
      </w:r>
    </w:p>
    <w:p w14:paraId="728FF607" w14:textId="77777777" w:rsidR="00CF04BC" w:rsidRPr="00B93493" w:rsidRDefault="00CF04BC" w:rsidP="00CF04BC">
      <w:pPr>
        <w:pStyle w:val="Reftext"/>
        <w:widowControl w:val="0"/>
      </w:pPr>
      <w:r w:rsidRPr="00B93493">
        <w:t>[2]</w:t>
      </w:r>
      <w:r w:rsidRPr="00B93493">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14:paraId="17DE6FFE" w14:textId="77777777" w:rsidR="00CF04BC" w:rsidRPr="00B93493" w:rsidRDefault="00CF04BC" w:rsidP="00CF04BC">
      <w:pPr>
        <w:pStyle w:val="Reftext"/>
        <w:widowControl w:val="0"/>
      </w:pPr>
      <w:r w:rsidRPr="00B93493">
        <w:t>[3]</w:t>
      </w:r>
      <w:r w:rsidRPr="00B93493">
        <w:tab/>
        <w:t>NOZDRIN, V. [2003] Spectrum pricing. Regional Radiocommunication Seminar, Lusaka 2003.</w:t>
      </w:r>
    </w:p>
    <w:p w14:paraId="4B7B2A15" w14:textId="77777777" w:rsidR="00CF04BC" w:rsidRPr="00B93493" w:rsidRDefault="00CF04BC" w:rsidP="00C65E6B">
      <w:pPr>
        <w:pStyle w:val="Reftext"/>
        <w:keepNext/>
        <w:keepLines/>
        <w:widowControl w:val="0"/>
      </w:pPr>
      <w:r w:rsidRPr="00B93493">
        <w:t>[4]</w:t>
      </w:r>
      <w:r w:rsidRPr="00B93493">
        <w:tab/>
        <w:t>ERC Report 76 (1999) “The role of spectrum pricing as a means of supporting spectrum management”.</w:t>
      </w:r>
    </w:p>
    <w:p w14:paraId="4F0A340E" w14:textId="77777777" w:rsidR="00CF04BC" w:rsidRPr="00B93493" w:rsidRDefault="00CF04BC" w:rsidP="00CF04BC">
      <w:pPr>
        <w:pStyle w:val="Reftext"/>
        <w:widowControl w:val="0"/>
      </w:pPr>
      <w:r w:rsidRPr="00B93493">
        <w:t>[5]</w:t>
      </w:r>
      <w:r w:rsidRPr="00B93493">
        <w:tab/>
        <w:t xml:space="preserve">MCMILLAN [1994] </w:t>
      </w:r>
      <w:r w:rsidRPr="00B93493">
        <w:rPr>
          <w:bCs/>
          <w:lang w:eastAsia="zh-CN"/>
        </w:rPr>
        <w:t xml:space="preserve">Why auction the spectrum? </w:t>
      </w:r>
      <w:r w:rsidRPr="00B93493">
        <w:t>University of California.</w:t>
      </w:r>
    </w:p>
    <w:p w14:paraId="557BE16A" w14:textId="77777777" w:rsidR="00CF04BC" w:rsidRPr="00B93493" w:rsidRDefault="00CF04BC" w:rsidP="00CF04BC">
      <w:pPr>
        <w:pStyle w:val="Reftext"/>
        <w:widowControl w:val="0"/>
      </w:pPr>
      <w:r w:rsidRPr="00B93493">
        <w:t>[6]</w:t>
      </w:r>
      <w:r w:rsidRPr="00B93493">
        <w:tab/>
        <w:t xml:space="preserve">MCMILLAN, J. [Summer 1994] Selling Spectrum Rights. </w:t>
      </w:r>
      <w:r w:rsidRPr="00B93493">
        <w:rPr>
          <w:i/>
        </w:rPr>
        <w:t>J. Economic Perspectives</w:t>
      </w:r>
      <w:r w:rsidRPr="00B93493">
        <w:t>, Vol. 8, </w:t>
      </w:r>
      <w:r w:rsidRPr="00B93493">
        <w:rPr>
          <w:b/>
          <w:bCs/>
        </w:rPr>
        <w:t>3</w:t>
      </w:r>
      <w:r w:rsidRPr="00B93493">
        <w:t>, p. 145-162.</w:t>
      </w:r>
    </w:p>
    <w:p w14:paraId="0C8381AB" w14:textId="77777777" w:rsidR="00CF04BC" w:rsidRPr="00B93493" w:rsidRDefault="00CF04BC" w:rsidP="00CF04BC">
      <w:pPr>
        <w:pStyle w:val="Reftext"/>
        <w:widowControl w:val="0"/>
      </w:pPr>
      <w:r w:rsidRPr="00B93493">
        <w:t>[7]</w:t>
      </w:r>
      <w:r w:rsidRPr="00B93493">
        <w:tab/>
        <w:t xml:space="preserve">BYKHOVSKY, M.A., KUSHTUEV, A.I., NOZDRIN, V.V. and PAVLIOUK, A.P. [1998]  Auctions as an effective contemporary method of spectrum management. </w:t>
      </w:r>
      <w:r w:rsidRPr="00B93493">
        <w:rPr>
          <w:i/>
          <w:iCs/>
        </w:rPr>
        <w:t>Elektrosvyaz.</w:t>
      </w:r>
    </w:p>
    <w:p w14:paraId="2C122EA6" w14:textId="77777777" w:rsidR="00CF04BC" w:rsidRPr="00B93493" w:rsidRDefault="00CF04BC" w:rsidP="00CF04BC">
      <w:pPr>
        <w:pStyle w:val="Reftext"/>
        <w:widowControl w:val="0"/>
        <w:rPr>
          <w:i/>
          <w:iCs/>
        </w:rPr>
      </w:pPr>
      <w:r w:rsidRPr="00B93493">
        <w:t>[8]</w:t>
      </w:r>
      <w:r w:rsidRPr="00B93493">
        <w:tab/>
        <w:t xml:space="preserve">BYKHOVSKY, M.A. [1993] Frequency planning of cellular mobile networks. </w:t>
      </w:r>
      <w:r w:rsidRPr="00B93493">
        <w:rPr>
          <w:i/>
          <w:iCs/>
        </w:rPr>
        <w:t>Elektrosvyaz.</w:t>
      </w:r>
    </w:p>
    <w:p w14:paraId="5094729E" w14:textId="77777777" w:rsidR="00CF04BC" w:rsidRPr="00B93493" w:rsidRDefault="00CF04BC" w:rsidP="00CF04BC">
      <w:pPr>
        <w:pStyle w:val="Reftext"/>
      </w:pPr>
      <w:r w:rsidRPr="00B93493">
        <w:t>[9]</w:t>
      </w:r>
      <w:r w:rsidRPr="00B93493">
        <w:tab/>
        <w:t xml:space="preserve">Mazar H. (2016) ’Radio Spectrum Management: Policies, Regulations and Techniques’ </w:t>
      </w:r>
      <w:hyperlink r:id="rId248">
        <w:r w:rsidRPr="00B93493">
          <w:rPr>
            <w:rStyle w:val="InternetLink"/>
          </w:rPr>
          <w:t>Wiley</w:t>
        </w:r>
      </w:hyperlink>
      <w:r w:rsidRPr="00B93493">
        <w:t>.</w:t>
      </w:r>
    </w:p>
    <w:p w14:paraId="69FDE8D8" w14:textId="77777777" w:rsidR="00CF04BC" w:rsidRPr="00B93493" w:rsidRDefault="00CF04BC" w:rsidP="00CF04BC">
      <w:pPr>
        <w:pStyle w:val="Reftext"/>
      </w:pPr>
      <w:r w:rsidRPr="00B93493">
        <w:t>[10]</w:t>
      </w:r>
      <w:r w:rsidRPr="00B93493">
        <w:tab/>
      </w:r>
      <w:bookmarkStart w:id="2683" w:name="_Hlk514539658"/>
      <w:r w:rsidRPr="00B93493">
        <w:rPr>
          <w:szCs w:val="24"/>
        </w:rPr>
        <w:t xml:space="preserve">ITU-D </w:t>
      </w:r>
      <w:hyperlink r:id="rId249">
        <w:r w:rsidRPr="00B93493">
          <w:rPr>
            <w:rStyle w:val="InternetLink"/>
            <w:szCs w:val="24"/>
          </w:rPr>
          <w:t>Report</w:t>
        </w:r>
      </w:hyperlink>
      <w:r w:rsidRPr="00B93493">
        <w:rPr>
          <w:szCs w:val="24"/>
        </w:rPr>
        <w:t xml:space="preserve"> (2016) </w:t>
      </w:r>
      <w:r w:rsidRPr="00B93493">
        <w:rPr>
          <w:color w:val="006600"/>
          <w:szCs w:val="24"/>
        </w:rPr>
        <w:t xml:space="preserve">– </w:t>
      </w:r>
      <w:r w:rsidRPr="00B93493">
        <w:t>Guidelines for the Review of spectrum pricing methodologies and the preparation of spectrum fees schedules</w:t>
      </w:r>
      <w:bookmarkEnd w:id="2683"/>
      <w:r w:rsidRPr="00B93493">
        <w:t>.</w:t>
      </w:r>
    </w:p>
    <w:p w14:paraId="4CDA9151" w14:textId="77777777" w:rsidR="00CF04BC" w:rsidRPr="00C65E6B" w:rsidRDefault="00CF04BC" w:rsidP="00C65E6B">
      <w:pPr>
        <w:pStyle w:val="Reftitle"/>
        <w:rPr>
          <w:sz w:val="24"/>
          <w:szCs w:val="24"/>
        </w:rPr>
      </w:pPr>
      <w:bookmarkStart w:id="2684" w:name="_Toc392515945"/>
      <w:bookmarkStart w:id="2685" w:name="_Toc462234188"/>
      <w:bookmarkStart w:id="2686" w:name="_Toc518394281"/>
      <w:bookmarkStart w:id="2687" w:name="_Toc291852961"/>
      <w:bookmarkStart w:id="2688" w:name="_Toc289933398"/>
      <w:bookmarkStart w:id="2689" w:name="_Toc182391601"/>
      <w:bookmarkStart w:id="2690" w:name="_Toc182392013"/>
      <w:r w:rsidRPr="00C65E6B">
        <w:rPr>
          <w:sz w:val="24"/>
          <w:szCs w:val="24"/>
        </w:rPr>
        <w:t>GLOSSARY</w:t>
      </w:r>
      <w:bookmarkEnd w:id="2684"/>
      <w:bookmarkEnd w:id="2685"/>
      <w:bookmarkEnd w:id="2686"/>
      <w:bookmarkEnd w:id="2687"/>
      <w:bookmarkEnd w:id="2688"/>
      <w:bookmarkEnd w:id="2689"/>
      <w:bookmarkEnd w:id="2690"/>
    </w:p>
    <w:p w14:paraId="7805AB03" w14:textId="77777777" w:rsidR="00CF04BC" w:rsidRPr="00B93493" w:rsidRDefault="00CF04BC" w:rsidP="00CF04BC">
      <w:pPr>
        <w:pStyle w:val="Normalaftertitle"/>
      </w:pPr>
      <w:r w:rsidRPr="00B93493">
        <w:t xml:space="preserve">Terms defined in this glossary are printed in </w:t>
      </w:r>
      <w:r w:rsidRPr="00B93493">
        <w:rPr>
          <w:i/>
        </w:rPr>
        <w:t>italics</w:t>
      </w:r>
      <w:r w:rsidRPr="00B93493">
        <w:t>.</w:t>
      </w:r>
    </w:p>
    <w:p w14:paraId="0C7E8316" w14:textId="77777777" w:rsidR="00CF04BC" w:rsidRPr="00B93493" w:rsidRDefault="00CF04BC" w:rsidP="00CF04BC">
      <w:r w:rsidRPr="00B93493">
        <w:t xml:space="preserve">For convenience and in the interests of clarity, the following definitions have been used and are specific to this document. The definitions of the terms “allotment” and “assignment” differ slightly from those given in Nos </w:t>
      </w:r>
      <w:r w:rsidRPr="00A32F0E">
        <w:rPr>
          <w:b/>
          <w:bCs/>
        </w:rPr>
        <w:t>1.17</w:t>
      </w:r>
      <w:r w:rsidRPr="00B93493">
        <w:t xml:space="preserve"> and </w:t>
      </w:r>
      <w:r w:rsidRPr="00A32F0E">
        <w:rPr>
          <w:b/>
          <w:bCs/>
        </w:rPr>
        <w:t>1.18</w:t>
      </w:r>
      <w:r w:rsidRPr="00B93493">
        <w:t>, respectively, of the Radio Regulations.</w:t>
      </w:r>
    </w:p>
    <w:p w14:paraId="6C77932B" w14:textId="77777777" w:rsidR="00CF04BC" w:rsidRPr="00B93493" w:rsidRDefault="00CF04BC" w:rsidP="00CF04BC">
      <w:pPr>
        <w:pStyle w:val="Reftext"/>
      </w:pPr>
      <w:r w:rsidRPr="00B93493">
        <w:t>1.</w:t>
      </w:r>
      <w:r w:rsidRPr="00B93493">
        <w:tab/>
        <w:t>A</w:t>
      </w:r>
      <w:r w:rsidRPr="00B93493">
        <w:rPr>
          <w:i/>
          <w:iCs/>
        </w:rPr>
        <w:t>ssignment</w:t>
      </w:r>
      <w:r w:rsidRPr="00B93493">
        <w:t>: any authorization to use a frequency at a given site and under identified conditions. Such a frequency is referred to as an</w:t>
      </w:r>
      <w:r w:rsidRPr="00B93493">
        <w:rPr>
          <w:i/>
          <w:iCs/>
        </w:rPr>
        <w:t xml:space="preserve"> assigned frequency</w:t>
      </w:r>
      <w:r w:rsidRPr="00B93493">
        <w:t>.</w:t>
      </w:r>
    </w:p>
    <w:p w14:paraId="4255D0F5" w14:textId="77777777" w:rsidR="00CF04BC" w:rsidRPr="00B93493" w:rsidRDefault="00CF04BC" w:rsidP="00CF04BC">
      <w:pPr>
        <w:pStyle w:val="Reftext"/>
      </w:pPr>
      <w:r w:rsidRPr="00B93493">
        <w:t>2.</w:t>
      </w:r>
      <w:r w:rsidRPr="00B93493">
        <w:tab/>
      </w:r>
      <w:r w:rsidRPr="00B93493">
        <w:rPr>
          <w:i/>
          <w:iCs/>
        </w:rPr>
        <w:t>Allocation surface</w:t>
      </w:r>
      <w:r w:rsidRPr="00B93493">
        <w:t xml:space="preserve"> of an assignment: that part of the territory within which the assigned frequency may be used.</w:t>
      </w:r>
    </w:p>
    <w:p w14:paraId="713E160D" w14:textId="77777777" w:rsidR="00CF04BC" w:rsidRPr="00B93493" w:rsidRDefault="00CF04BC" w:rsidP="00CF04BC">
      <w:pPr>
        <w:pStyle w:val="Reftext"/>
      </w:pPr>
      <w:r w:rsidRPr="00B93493">
        <w:t>3.</w:t>
      </w:r>
      <w:r w:rsidRPr="00B93493">
        <w:tab/>
      </w:r>
      <w:r w:rsidRPr="00B93493">
        <w:rPr>
          <w:i/>
          <w:iCs/>
        </w:rPr>
        <w:t>Allotment</w:t>
      </w:r>
      <w:r w:rsidRPr="00B93493">
        <w:t xml:space="preserve">: any authorization to use a block of frequencies within a given geographic area. Such frequencies are known as </w:t>
      </w:r>
      <w:r w:rsidRPr="00B93493">
        <w:rPr>
          <w:i/>
          <w:iCs/>
        </w:rPr>
        <w:t>allotted frequencies</w:t>
      </w:r>
      <w:r w:rsidRPr="00B93493">
        <w:t>.</w:t>
      </w:r>
    </w:p>
    <w:p w14:paraId="75E0E2C3" w14:textId="77777777" w:rsidR="00CF04BC" w:rsidRPr="00B93493" w:rsidRDefault="00CF04BC" w:rsidP="00CF04BC">
      <w:r w:rsidRPr="00B93493">
        <w:rPr>
          <w:b/>
        </w:rPr>
        <w:t>Administrative pricing</w:t>
      </w:r>
      <w:r w:rsidRPr="00B93493">
        <w:rPr>
          <w:bCs/>
        </w:rPr>
        <w:t>:  </w:t>
      </w:r>
      <w:r w:rsidRPr="00B93493">
        <w:t xml:space="preserve">A form of </w:t>
      </w:r>
      <w:r w:rsidRPr="00B93493">
        <w:rPr>
          <w:i/>
        </w:rPr>
        <w:t>spectrum pricing</w:t>
      </w:r>
      <w:r w:rsidRPr="00B93493">
        <w:t xml:space="preserve"> in which </w:t>
      </w:r>
      <w:r w:rsidRPr="00B93493">
        <w:rPr>
          <w:i/>
        </w:rPr>
        <w:t xml:space="preserve">equipment licence </w:t>
      </w:r>
      <w:r w:rsidRPr="00B93493">
        <w:t>fees</w:t>
      </w:r>
      <w:r w:rsidRPr="00B93493">
        <w:rPr>
          <w:i/>
        </w:rPr>
        <w:t xml:space="preserve"> </w:t>
      </w:r>
      <w:r w:rsidRPr="00B93493">
        <w:t xml:space="preserve">or charges for </w:t>
      </w:r>
      <w:r w:rsidRPr="00B93493">
        <w:rPr>
          <w:i/>
        </w:rPr>
        <w:t>spectrum rights</w:t>
      </w:r>
      <w:r w:rsidRPr="00B93493">
        <w:t xml:space="preserve"> are set by the spectrum manager. Administrative pricing may include such variants as:</w:t>
      </w:r>
    </w:p>
    <w:p w14:paraId="4F683E5D" w14:textId="5D7F45D5" w:rsidR="00CF04BC" w:rsidRPr="00B93493" w:rsidRDefault="00CF04BC" w:rsidP="00CF04BC">
      <w:pPr>
        <w:pStyle w:val="enumlev1"/>
      </w:pPr>
      <w:r w:rsidRPr="00B93493">
        <w:t>–</w:t>
      </w:r>
      <w:r w:rsidRPr="00B93493">
        <w:tab/>
      </w:r>
      <w:r w:rsidRPr="00B93493">
        <w:fldChar w:fldCharType="begin"/>
      </w:r>
      <w:r w:rsidRPr="00B93493">
        <w:instrText xml:space="preserve">seq level0 \h \r0 </w:instrText>
      </w:r>
      <w:r w:rsidRPr="00B93493">
        <w:fldChar w:fldCharType="end"/>
      </w:r>
      <w:r w:rsidRPr="00B93493">
        <w:fldChar w:fldCharType="begin"/>
      </w:r>
      <w:r w:rsidRPr="00B93493">
        <w:instrText xml:space="preserve">seq level1 \h \r0 </w:instrText>
      </w:r>
      <w:r w:rsidRPr="00B93493">
        <w:fldChar w:fldCharType="end"/>
      </w:r>
      <w:r w:rsidRPr="00B93493">
        <w:fldChar w:fldCharType="begin"/>
      </w:r>
      <w:r w:rsidRPr="00B93493">
        <w:instrText xml:space="preserve">seq level2 \h \r0 </w:instrText>
      </w:r>
      <w:r w:rsidRPr="00B93493">
        <w:fldChar w:fldCharType="end"/>
      </w:r>
      <w:r w:rsidRPr="00B93493">
        <w:fldChar w:fldCharType="begin"/>
      </w:r>
      <w:r w:rsidRPr="00B93493">
        <w:instrText xml:space="preserve">seq level3 \h \r0 </w:instrText>
      </w:r>
      <w:r w:rsidRPr="00B93493">
        <w:fldChar w:fldCharType="end"/>
      </w:r>
      <w:r w:rsidRPr="00B93493">
        <w:fldChar w:fldCharType="begin"/>
      </w:r>
      <w:r w:rsidRPr="00B93493">
        <w:instrText xml:space="preserve">seq level4 \h \r0 </w:instrText>
      </w:r>
      <w:r w:rsidRPr="00B93493">
        <w:fldChar w:fldCharType="end"/>
      </w:r>
      <w:r w:rsidRPr="00B93493">
        <w:fldChar w:fldCharType="begin"/>
      </w:r>
      <w:r w:rsidRPr="00B93493">
        <w:instrText xml:space="preserve">seq level5 \h \r0 </w:instrText>
      </w:r>
      <w:r w:rsidRPr="00B93493">
        <w:fldChar w:fldCharType="end"/>
      </w:r>
      <w:r w:rsidRPr="00B93493">
        <w:fldChar w:fldCharType="begin"/>
      </w:r>
      <w:r w:rsidRPr="00B93493">
        <w:instrText xml:space="preserve">seq level6 \h \r0 </w:instrText>
      </w:r>
      <w:r w:rsidRPr="00B93493">
        <w:fldChar w:fldCharType="end"/>
      </w:r>
      <w:r w:rsidRPr="00B93493">
        <w:fldChar w:fldCharType="begin"/>
      </w:r>
      <w:r w:rsidRPr="00B93493">
        <w:instrText xml:space="preserve">seq level7 \h \r0 </w:instrText>
      </w:r>
      <w:r w:rsidRPr="00B93493">
        <w:fldChar w:fldCharType="end"/>
      </w:r>
      <w:r w:rsidRPr="00B93493">
        <w:rPr>
          <w:i/>
        </w:rPr>
        <w:t>shadow pricing</w:t>
      </w:r>
      <w:r w:rsidRPr="00B93493">
        <w:t xml:space="preserve"> (see below);</w:t>
      </w:r>
    </w:p>
    <w:p w14:paraId="6D2D426F" w14:textId="77777777" w:rsidR="00CF04BC" w:rsidRPr="003A1455" w:rsidRDefault="00CF04BC" w:rsidP="00CF04BC">
      <w:pPr>
        <w:pStyle w:val="enumlev1"/>
        <w:rPr>
          <w:spacing w:val="-4"/>
        </w:rPr>
      </w:pPr>
      <w:r w:rsidRPr="00B93493">
        <w:rPr>
          <w:i/>
        </w:rPr>
        <w:t>–</w:t>
      </w:r>
      <w:r w:rsidRPr="00B93493">
        <w:rPr>
          <w:i/>
        </w:rPr>
        <w:tab/>
      </w:r>
      <w:r w:rsidRPr="003A1455">
        <w:rPr>
          <w:i/>
          <w:spacing w:val="-4"/>
        </w:rPr>
        <w:t>incentive pricing</w:t>
      </w:r>
      <w:r w:rsidRPr="003A1455">
        <w:rPr>
          <w:spacing w:val="-4"/>
        </w:rPr>
        <w:t>, where fees are set with the intention of promoting efficient spectrum use;</w:t>
      </w:r>
    </w:p>
    <w:p w14:paraId="7C5A958E" w14:textId="77777777" w:rsidR="00CF04BC" w:rsidRPr="00B93493" w:rsidRDefault="00CF04BC" w:rsidP="00CF04BC">
      <w:pPr>
        <w:pStyle w:val="enumlev1"/>
      </w:pPr>
      <w:r w:rsidRPr="00B93493">
        <w:rPr>
          <w:i/>
        </w:rPr>
        <w:t>–</w:t>
      </w:r>
      <w:r w:rsidRPr="00B93493">
        <w:rPr>
          <w:i/>
        </w:rPr>
        <w:tab/>
        <w:t>regulatory pricing</w:t>
      </w:r>
      <w:r w:rsidRPr="00B93493">
        <w:t>, where fees are set unrelated to market considerations, for example, to recover spectrum management costs.</w:t>
      </w:r>
    </w:p>
    <w:p w14:paraId="3A2864E5" w14:textId="77777777" w:rsidR="00CF04BC" w:rsidRPr="00B93493" w:rsidRDefault="00CF04BC" w:rsidP="00CF04BC">
      <w:r w:rsidRPr="00B93493">
        <w:rPr>
          <w:b/>
        </w:rPr>
        <w:t>Apparatus licence</w:t>
      </w:r>
      <w:r w:rsidRPr="00B93493">
        <w:rPr>
          <w:bCs/>
        </w:rPr>
        <w:t>:  </w:t>
      </w:r>
      <w:r w:rsidRPr="00B93493">
        <w:t>A permission to install and use radio equipment. This will specify the frequency or frequency band to be used and may also impose terms and conditions restricting matters such as the type of apparatus to be used, power, coverage area, geographical location or service to be provided. The extent and specificity of the restrictions will depend on circumstances and the characteristics of the service in question.</w:t>
      </w:r>
    </w:p>
    <w:p w14:paraId="3AB365DB" w14:textId="77777777" w:rsidR="00CF04BC" w:rsidRPr="00B93493" w:rsidRDefault="00CF04BC" w:rsidP="00CF04BC">
      <w:r w:rsidRPr="00B93493">
        <w:rPr>
          <w:b/>
        </w:rPr>
        <w:t>Auction</w:t>
      </w:r>
      <w:r w:rsidRPr="00B93493">
        <w:rPr>
          <w:bCs/>
        </w:rPr>
        <w:t>:  </w:t>
      </w:r>
      <w:r w:rsidRPr="00B93493">
        <w:t xml:space="preserve">A form of </w:t>
      </w:r>
      <w:r w:rsidRPr="00B93493">
        <w:rPr>
          <w:i/>
        </w:rPr>
        <w:t>spectrum pricing</w:t>
      </w:r>
      <w:r w:rsidRPr="00B93493">
        <w:t xml:space="preserve"> – as well as a spectrum assignment mechanism – in which </w:t>
      </w:r>
      <w:r w:rsidRPr="00B93493">
        <w:rPr>
          <w:i/>
        </w:rPr>
        <w:t xml:space="preserve">apparatus licences </w:t>
      </w:r>
      <w:r w:rsidRPr="00B93493">
        <w:t xml:space="preserve">or </w:t>
      </w:r>
      <w:r w:rsidRPr="00B93493">
        <w:rPr>
          <w:i/>
        </w:rPr>
        <w:t>spectrum rights</w:t>
      </w:r>
      <w:r w:rsidRPr="00B93493">
        <w:t xml:space="preserve"> are assigned to the winner(s) of a competitive process selected on the basis of price. (In some countries, other factors, such as quality of service, speed of roll-out and financial viability, may also be taken into account, either in the assessment of the bids or as pre</w:t>
      </w:r>
      <w:r w:rsidRPr="00B93493">
        <w:noBreakHyphen/>
        <w:t>qualification criteria.)</w:t>
      </w:r>
      <w:r w:rsidRPr="00B93493">
        <w:rPr>
          <w:i/>
        </w:rPr>
        <w:t xml:space="preserve"> Auctions</w:t>
      </w:r>
      <w:r w:rsidRPr="00B93493">
        <w:t xml:space="preserve"> may take various forms, including:</w:t>
      </w:r>
    </w:p>
    <w:p w14:paraId="0F575309" w14:textId="2135C6DD" w:rsidR="00CF04BC" w:rsidRPr="00B93493" w:rsidRDefault="00CF04BC" w:rsidP="00CF04BC">
      <w:pPr>
        <w:pStyle w:val="enumlev1"/>
      </w:pPr>
      <w:r w:rsidRPr="00B93493">
        <w:t>–</w:t>
      </w:r>
      <w:r w:rsidRPr="00B93493">
        <w:tab/>
      </w:r>
      <w:r w:rsidRPr="00B93493">
        <w:fldChar w:fldCharType="begin"/>
      </w:r>
      <w:r w:rsidRPr="00B93493">
        <w:instrText xml:space="preserve">seq level0 \h \r0 </w:instrText>
      </w:r>
      <w:r w:rsidRPr="00B93493">
        <w:fldChar w:fldCharType="end"/>
      </w:r>
      <w:r w:rsidRPr="00B93493">
        <w:fldChar w:fldCharType="begin"/>
      </w:r>
      <w:r w:rsidRPr="00B93493">
        <w:instrText xml:space="preserve">seq level1 \h \r0 </w:instrText>
      </w:r>
      <w:r w:rsidRPr="00B93493">
        <w:fldChar w:fldCharType="end"/>
      </w:r>
      <w:r w:rsidRPr="00B93493">
        <w:fldChar w:fldCharType="begin"/>
      </w:r>
      <w:r w:rsidRPr="00B93493">
        <w:instrText xml:space="preserve">seq level2 \h \r0 </w:instrText>
      </w:r>
      <w:r w:rsidRPr="00B93493">
        <w:fldChar w:fldCharType="end"/>
      </w:r>
      <w:r w:rsidRPr="00B93493">
        <w:fldChar w:fldCharType="begin"/>
      </w:r>
      <w:r w:rsidRPr="00B93493">
        <w:instrText xml:space="preserve">seq level3 \h \r0 </w:instrText>
      </w:r>
      <w:r w:rsidRPr="00B93493">
        <w:fldChar w:fldCharType="end"/>
      </w:r>
      <w:r w:rsidRPr="00B93493">
        <w:fldChar w:fldCharType="begin"/>
      </w:r>
      <w:r w:rsidRPr="00B93493">
        <w:instrText xml:space="preserve">seq level4 \h \r0 </w:instrText>
      </w:r>
      <w:r w:rsidRPr="00B93493">
        <w:fldChar w:fldCharType="end"/>
      </w:r>
      <w:r w:rsidRPr="00B93493">
        <w:fldChar w:fldCharType="begin"/>
      </w:r>
      <w:r w:rsidRPr="00B93493">
        <w:instrText xml:space="preserve">seq level5 \h \r0 </w:instrText>
      </w:r>
      <w:r w:rsidRPr="00B93493">
        <w:fldChar w:fldCharType="end"/>
      </w:r>
      <w:r w:rsidRPr="00B93493">
        <w:fldChar w:fldCharType="begin"/>
      </w:r>
      <w:r w:rsidRPr="00B93493">
        <w:instrText xml:space="preserve">seq level6 \h \r0 </w:instrText>
      </w:r>
      <w:r w:rsidRPr="00B93493">
        <w:fldChar w:fldCharType="end"/>
      </w:r>
      <w:r w:rsidRPr="00B93493">
        <w:fldChar w:fldCharType="begin"/>
      </w:r>
      <w:r w:rsidRPr="00B93493">
        <w:instrText xml:space="preserve">seq level7 \h \r0 </w:instrText>
      </w:r>
      <w:r w:rsidRPr="00B93493">
        <w:fldChar w:fldCharType="end"/>
      </w:r>
      <w:r w:rsidRPr="00B93493">
        <w:t xml:space="preserve">the </w:t>
      </w:r>
      <w:r w:rsidRPr="00B93493">
        <w:rPr>
          <w:i/>
        </w:rPr>
        <w:t>English auction</w:t>
      </w:r>
      <w:r w:rsidRPr="00B93493">
        <w:t>, where the auctioneer increases the price until a single bidder is left;</w:t>
      </w:r>
    </w:p>
    <w:p w14:paraId="241936E5" w14:textId="77777777" w:rsidR="00CF04BC" w:rsidRPr="007704AE" w:rsidRDefault="00CF04BC" w:rsidP="00CF04BC">
      <w:pPr>
        <w:pStyle w:val="enumlev1"/>
        <w:rPr>
          <w:spacing w:val="-4"/>
        </w:rPr>
      </w:pPr>
      <w:r w:rsidRPr="00B93493">
        <w:t>–</w:t>
      </w:r>
      <w:r w:rsidRPr="00B93493">
        <w:tab/>
      </w:r>
      <w:r w:rsidRPr="007704AE">
        <w:rPr>
          <w:spacing w:val="-4"/>
        </w:rPr>
        <w:t xml:space="preserve">the </w:t>
      </w:r>
      <w:r w:rsidRPr="007704AE">
        <w:rPr>
          <w:i/>
          <w:spacing w:val="-4"/>
        </w:rPr>
        <w:t>first-price sealed bid auction</w:t>
      </w:r>
      <w:r w:rsidRPr="007704AE">
        <w:rPr>
          <w:spacing w:val="-4"/>
        </w:rPr>
        <w:t>, where bidders submit sealed bids and the highest wins;</w:t>
      </w:r>
    </w:p>
    <w:p w14:paraId="765BB2A0" w14:textId="77777777" w:rsidR="00CF04BC" w:rsidRPr="00B93493" w:rsidRDefault="00CF04BC" w:rsidP="00CF04BC">
      <w:pPr>
        <w:pStyle w:val="enumlev1"/>
      </w:pPr>
      <w:r w:rsidRPr="00B93493">
        <w:t>–</w:t>
      </w:r>
      <w:r w:rsidRPr="00B93493">
        <w:tab/>
        <w:t xml:space="preserve">the </w:t>
      </w:r>
      <w:r w:rsidRPr="00B93493">
        <w:rPr>
          <w:i/>
        </w:rPr>
        <w:t>second-price sealed bid auction</w:t>
      </w:r>
      <w:r w:rsidRPr="00B93493">
        <w:t>, where bidders submit sealed bids and the highest bidder wins but pays the second highest amount bid;</w:t>
      </w:r>
    </w:p>
    <w:p w14:paraId="36E0903F" w14:textId="77777777" w:rsidR="00CF04BC" w:rsidRPr="00B93493" w:rsidRDefault="00CF04BC" w:rsidP="00CF04BC">
      <w:pPr>
        <w:pStyle w:val="enumlev1"/>
      </w:pPr>
      <w:r w:rsidRPr="00B93493">
        <w:t>–</w:t>
      </w:r>
      <w:r w:rsidRPr="00B93493">
        <w:tab/>
        <w:t xml:space="preserve">the </w:t>
      </w:r>
      <w:r w:rsidRPr="00B93493">
        <w:rPr>
          <w:i/>
        </w:rPr>
        <w:t>Dutch auction</w:t>
      </w:r>
      <w:r w:rsidRPr="00B93493">
        <w:t>, where the auctioneer announces a high price and reduces it until a bidder shouts “mine”;</w:t>
      </w:r>
    </w:p>
    <w:p w14:paraId="600A9EEC" w14:textId="77777777" w:rsidR="00CF04BC" w:rsidRPr="00B93493" w:rsidRDefault="00CF04BC" w:rsidP="00CF04BC">
      <w:pPr>
        <w:pStyle w:val="enumlev1"/>
      </w:pPr>
      <w:r w:rsidRPr="00B93493">
        <w:t>–</w:t>
      </w:r>
      <w:r w:rsidRPr="00B93493">
        <w:rPr>
          <w:rFonts w:ascii="Symbol" w:hAnsi="Symbol"/>
        </w:rPr>
        <w:tab/>
      </w:r>
      <w:r w:rsidRPr="00B93493">
        <w:t xml:space="preserve">the </w:t>
      </w:r>
      <w:r w:rsidRPr="00B93493">
        <w:rPr>
          <w:i/>
        </w:rPr>
        <w:t>simultaneous multiple round</w:t>
      </w:r>
      <w:r w:rsidRPr="00B93493">
        <w:t xml:space="preserve"> </w:t>
      </w:r>
      <w:r w:rsidRPr="00B93493">
        <w:rPr>
          <w:i/>
        </w:rPr>
        <w:t xml:space="preserve">auction, </w:t>
      </w:r>
      <w:r w:rsidRPr="00B93493">
        <w:t xml:space="preserve">as first practiced by the Federal Communications Commission (FCC) in the United States of America. This involves multiple rounds of bidding for a number of lots that are offered simultaneously. The highest bid on each lot is revealed to all bidders before the next round when bids are again accepted on all lots. The identity of the high bidder may or may not be revealed after each round, but is revealed at the auction’s close. The process continues until a round occurs in which no new bids are submitted on any lots. This variant is more complex than single-round auctions but offers bidders greater flexibility to combine lots in different ways, and, because it is more open than a sealed bid process, limits the impact of the </w:t>
      </w:r>
      <w:r w:rsidRPr="00B93493">
        <w:rPr>
          <w:i/>
        </w:rPr>
        <w:t>winner’s curse</w:t>
      </w:r>
      <w:r w:rsidRPr="00B93493">
        <w:t>,</w:t>
      </w:r>
      <w:r w:rsidRPr="00B93493">
        <w:rPr>
          <w:i/>
        </w:rPr>
        <w:t xml:space="preserve"> </w:t>
      </w:r>
      <w:r w:rsidRPr="00B93493">
        <w:t>allowing bidders to bid with more confidence.</w:t>
      </w:r>
    </w:p>
    <w:p w14:paraId="127F9C01" w14:textId="77777777" w:rsidR="00CF04BC" w:rsidRPr="00B93493" w:rsidRDefault="00CF04BC" w:rsidP="00CF04BC">
      <w:r w:rsidRPr="00B93493">
        <w:rPr>
          <w:i/>
        </w:rPr>
        <w:t>Auctions</w:t>
      </w:r>
      <w:r w:rsidRPr="00B93493">
        <w:t xml:space="preserve"> are commonly considered to have advantages of economic efficiency, transparency and speed compared to alternative assignment methods and also capture the market value of spectrum rights for the administration holding the auction. They can give rise to anti-competitive outcomes if they result in large operators acquiring an undue concentration of the available spectrum but various safeguards against this can be introduced, for example restrictions on the amount of spectrum an individual bidder may win or “use it or lose it” provisions to prevent hoarding.</w:t>
      </w:r>
    </w:p>
    <w:p w14:paraId="449084CA" w14:textId="77777777" w:rsidR="00CF04BC" w:rsidRPr="00B93493" w:rsidRDefault="00CF04BC" w:rsidP="00CF04BC">
      <w:r w:rsidRPr="00B93493">
        <w:rPr>
          <w:b/>
        </w:rPr>
        <w:t>Bidding credit</w:t>
      </w:r>
      <w:r w:rsidRPr="00B93493">
        <w:rPr>
          <w:bCs/>
        </w:rPr>
        <w:t>:  </w:t>
      </w:r>
      <w:r w:rsidRPr="00B93493">
        <w:t>A discount given to certain bidders to promote socially desirable goods. Bidding credits were given to smaller, entrepreneurial firms in some FCC auctions. For example, a 25% bidding credit would mean that if an entrepreneurial firm submitted a winning bid of USD 1</w:t>
      </w:r>
      <w:r w:rsidRPr="00B93493">
        <w:rPr>
          <w:rFonts w:ascii="Tms Rmn" w:hAnsi="Tms Rmn"/>
          <w:sz w:val="12"/>
        </w:rPr>
        <w:t> </w:t>
      </w:r>
      <w:r w:rsidRPr="00B93493">
        <w:t>000</w:t>
      </w:r>
      <w:r w:rsidRPr="00B93493">
        <w:rPr>
          <w:rFonts w:ascii="Tms Rmn" w:hAnsi="Tms Rmn"/>
          <w:sz w:val="12"/>
        </w:rPr>
        <w:t> </w:t>
      </w:r>
      <w:r w:rsidRPr="00B93493">
        <w:t>000, it would pay only USD 750</w:t>
      </w:r>
      <w:r w:rsidRPr="00B93493">
        <w:rPr>
          <w:rFonts w:ascii="Tms Rmn" w:hAnsi="Tms Rmn"/>
          <w:sz w:val="12"/>
        </w:rPr>
        <w:t> </w:t>
      </w:r>
      <w:r w:rsidRPr="00B93493">
        <w:t xml:space="preserve">000. Originally, bidding credits were also proposed for women and racial minorities; however, the FCC dropped this proposal after the United States of America Supreme Court’s </w:t>
      </w:r>
      <w:r w:rsidRPr="00B93493">
        <w:rPr>
          <w:i/>
        </w:rPr>
        <w:t xml:space="preserve">Adarand </w:t>
      </w:r>
      <w:r w:rsidRPr="00B93493">
        <w:t>decision, which declared that such preferences were discriminatory, and therefore illegal.</w:t>
      </w:r>
    </w:p>
    <w:p w14:paraId="77431C96" w14:textId="5C9A33F8" w:rsidR="00CF04BC" w:rsidRPr="00B93493" w:rsidRDefault="00CF04BC" w:rsidP="00CF04BC">
      <w:pPr>
        <w:rPr>
          <w:b/>
        </w:rPr>
      </w:pPr>
      <w:r w:rsidRPr="00B93493">
        <w:rPr>
          <w:b/>
        </w:rPr>
        <w:t>Differential rent</w:t>
      </w:r>
      <w:r w:rsidRPr="00B93493">
        <w:rPr>
          <w:bCs/>
        </w:rPr>
        <w:t>: </w:t>
      </w:r>
      <w:r w:rsidRPr="00B93493">
        <w:t>Rent attributable to varying characteristics of a resource, e.g. more desirable propagation characteristics in one frequency band than another frequency band.</w:t>
      </w:r>
    </w:p>
    <w:p w14:paraId="64AC9336" w14:textId="77777777" w:rsidR="00CF04BC" w:rsidRPr="00B93493" w:rsidRDefault="00CF04BC" w:rsidP="00CF04BC">
      <w:r w:rsidRPr="00B93493">
        <w:rPr>
          <w:b/>
        </w:rPr>
        <w:t>First-come, first-served</w:t>
      </w:r>
      <w:r w:rsidRPr="00B93493">
        <w:rPr>
          <w:bCs/>
        </w:rPr>
        <w:t>: </w:t>
      </w:r>
      <w:r w:rsidRPr="00B93493">
        <w:t>An assignment procedure in which spectrum is assigned to applicants until it is exhausted, subject only to compliance with minimum technical or financial criteria. This</w:t>
      </w:r>
      <w:r>
        <w:t> </w:t>
      </w:r>
      <w:r w:rsidRPr="00B93493">
        <w:t>procedure has tended to be used for small scale assignments, such as individual private business radio and fixed links licences. It works best where spectrum is not scarce.</w:t>
      </w:r>
    </w:p>
    <w:p w14:paraId="4B986E09" w14:textId="77777777" w:rsidR="00CF04BC" w:rsidRPr="00B93493" w:rsidRDefault="00CF04BC" w:rsidP="00CF04BC">
      <w:r w:rsidRPr="00B93493">
        <w:rPr>
          <w:b/>
        </w:rPr>
        <w:t>Gross domestic product (GDP)</w:t>
      </w:r>
      <w:r w:rsidRPr="00B93493">
        <w:rPr>
          <w:bCs/>
        </w:rPr>
        <w:t>:  </w:t>
      </w:r>
      <w:r w:rsidRPr="00B93493">
        <w:t>The sum of the value of all final goods and services sold within the geographic borders of a country in a year.</w:t>
      </w:r>
    </w:p>
    <w:p w14:paraId="31C22CEE" w14:textId="77777777" w:rsidR="00CF04BC" w:rsidRPr="00B93493" w:rsidRDefault="00CF04BC" w:rsidP="00CF04BC">
      <w:r w:rsidRPr="00B93493">
        <w:rPr>
          <w:b/>
        </w:rPr>
        <w:t>Lottery</w:t>
      </w:r>
      <w:r w:rsidRPr="00B93493">
        <w:rPr>
          <w:bCs/>
        </w:rPr>
        <w:t>:  </w:t>
      </w:r>
      <w:r w:rsidRPr="00B93493">
        <w:t xml:space="preserve">A process for assigning </w:t>
      </w:r>
      <w:r w:rsidRPr="00B93493">
        <w:rPr>
          <w:i/>
        </w:rPr>
        <w:t xml:space="preserve">apparatus licences </w:t>
      </w:r>
      <w:r w:rsidRPr="00B93493">
        <w:t xml:space="preserve">or </w:t>
      </w:r>
      <w:r w:rsidRPr="00B93493">
        <w:rPr>
          <w:i/>
        </w:rPr>
        <w:t xml:space="preserve">spectrum rights </w:t>
      </w:r>
      <w:r w:rsidRPr="00B93493">
        <w:t xml:space="preserve">to applicants selected at random. </w:t>
      </w:r>
      <w:r w:rsidRPr="00B93493">
        <w:rPr>
          <w:i/>
        </w:rPr>
        <w:t>Lotteries</w:t>
      </w:r>
      <w:r w:rsidRPr="00B93493">
        <w:t xml:space="preserve"> have the advantage of speed and simplicity but they are unlikely to lead to an economically optimum outcome and can give rise to speculative applications because of the prospect of windfall gains.</w:t>
      </w:r>
    </w:p>
    <w:p w14:paraId="01428241" w14:textId="77777777" w:rsidR="00CF04BC" w:rsidRPr="00B93493" w:rsidRDefault="00CF04BC" w:rsidP="00CF04BC">
      <w:r w:rsidRPr="00B93493">
        <w:rPr>
          <w:b/>
        </w:rPr>
        <w:t>Mutual exclusivity</w:t>
      </w:r>
      <w:r w:rsidRPr="00B93493">
        <w:rPr>
          <w:bCs/>
        </w:rPr>
        <w:t>:  </w:t>
      </w:r>
      <w:r w:rsidRPr="00B93493">
        <w:t>A situation in which two or more applicants are competing for the same spectrum assignment.</w:t>
      </w:r>
    </w:p>
    <w:p w14:paraId="6F8B9848" w14:textId="77777777" w:rsidR="00CF04BC" w:rsidRPr="00B93493" w:rsidRDefault="00CF04BC" w:rsidP="00CF04BC">
      <w:r w:rsidRPr="00B93493">
        <w:rPr>
          <w:b/>
        </w:rPr>
        <w:t>Oligopoly</w:t>
      </w:r>
      <w:r w:rsidRPr="00B93493">
        <w:rPr>
          <w:bCs/>
        </w:rPr>
        <w:t>:  </w:t>
      </w:r>
      <w:r w:rsidRPr="00B93493">
        <w:t>A situation in which only a small number of firms are supplying a product or service. This situation may be contrasted with a monopoly situation, in which there is only one firm supplying a product or service.</w:t>
      </w:r>
    </w:p>
    <w:p w14:paraId="595DE37D" w14:textId="77777777" w:rsidR="00CF04BC" w:rsidRPr="00B93493" w:rsidRDefault="00CF04BC" w:rsidP="00CF04BC">
      <w:pPr>
        <w:keepNext/>
        <w:keepLines/>
      </w:pPr>
      <w:r w:rsidRPr="00B93493">
        <w:rPr>
          <w:b/>
        </w:rPr>
        <w:t>Opportunity cost</w:t>
      </w:r>
      <w:r w:rsidRPr="00B93493">
        <w:rPr>
          <w:bCs/>
        </w:rPr>
        <w:t>:  </w:t>
      </w:r>
      <w:r w:rsidRPr="00B93493">
        <w:t>The benefits foregone by not putting a resource to its best alternative use. For example, the best alternative use of a frequency band currently used for a broadcast service might be for a mobile service. In an auction, the bidder with the highest willingness to pay will generally win, with a bid that is just above the valuation of the bidder with the second highest willingness to pay. This second highest valuation represents the opportunity cost.</w:t>
      </w:r>
    </w:p>
    <w:p w14:paraId="01ED15FE" w14:textId="77777777" w:rsidR="00CF04BC" w:rsidRPr="00B93493" w:rsidRDefault="00CF04BC" w:rsidP="00CF04BC">
      <w:r w:rsidRPr="00B93493">
        <w:rPr>
          <w:b/>
        </w:rPr>
        <w:t>Resource rents</w:t>
      </w:r>
      <w:r w:rsidRPr="00B93493">
        <w:rPr>
          <w:bCs/>
        </w:rPr>
        <w:t>:  </w:t>
      </w:r>
      <w:r w:rsidRPr="00B93493">
        <w:t>The term economists use to categorize the value of a resource. The rent accruing to a resource right, such as a spectrum right, can be quantified by the price that the right would sell for in an open market.</w:t>
      </w:r>
    </w:p>
    <w:p w14:paraId="7F71741B" w14:textId="77777777" w:rsidR="00CF04BC" w:rsidRPr="00B93493" w:rsidRDefault="00CF04BC" w:rsidP="00CF04BC">
      <w:r w:rsidRPr="00B93493">
        <w:rPr>
          <w:b/>
        </w:rPr>
        <w:t>Scarcity rent</w:t>
      </w:r>
      <w:r w:rsidRPr="00B93493">
        <w:rPr>
          <w:bCs/>
        </w:rPr>
        <w:t>:  </w:t>
      </w:r>
      <w:r w:rsidRPr="00B93493">
        <w:t>Rent attributable to a resource demand exceeding supply at zero price.</w:t>
      </w:r>
    </w:p>
    <w:p w14:paraId="3E8030EA" w14:textId="77777777" w:rsidR="00CF04BC" w:rsidRPr="00B93493" w:rsidRDefault="00CF04BC" w:rsidP="00CF04BC">
      <w:pPr>
        <w:rPr>
          <w:b/>
        </w:rPr>
      </w:pPr>
      <w:r w:rsidRPr="00B93493">
        <w:rPr>
          <w:b/>
        </w:rPr>
        <w:t>Secondary trading</w:t>
      </w:r>
      <w:r w:rsidRPr="00B93493">
        <w:rPr>
          <w:bCs/>
        </w:rPr>
        <w:t>:  </w:t>
      </w:r>
      <w:r w:rsidRPr="00B93493">
        <w:t xml:space="preserve">Buying and selling of </w:t>
      </w:r>
      <w:r w:rsidRPr="00B93493">
        <w:rPr>
          <w:i/>
        </w:rPr>
        <w:t xml:space="preserve">apparatus licences </w:t>
      </w:r>
      <w:r w:rsidRPr="00B93493">
        <w:t xml:space="preserve">or </w:t>
      </w:r>
      <w:r w:rsidRPr="00B93493">
        <w:rPr>
          <w:i/>
        </w:rPr>
        <w:t>spectrum rights</w:t>
      </w:r>
      <w:r w:rsidRPr="00B93493">
        <w:t xml:space="preserve"> after initial assignment by the spectrum manager. Dealing may take place directly between the parties or through an intermediary.</w:t>
      </w:r>
    </w:p>
    <w:p w14:paraId="56E14A36" w14:textId="77777777" w:rsidR="00CF04BC" w:rsidRPr="00B93493" w:rsidRDefault="00CF04BC" w:rsidP="00CF04BC">
      <w:pPr>
        <w:rPr>
          <w:b/>
        </w:rPr>
      </w:pPr>
      <w:r w:rsidRPr="00B93493">
        <w:rPr>
          <w:b/>
        </w:rPr>
        <w:t>Shadow pricing</w:t>
      </w:r>
      <w:r w:rsidRPr="00B93493">
        <w:rPr>
          <w:bCs/>
        </w:rPr>
        <w:t>:  </w:t>
      </w:r>
      <w:r w:rsidRPr="00B93493">
        <w:t>A form of administrative pricing in which the price is set according to a predetermined formula intended to mimic the effect of market forces. Parameters commonly used include bandwidth, frequency location, geographical location and coverage area.</w:t>
      </w:r>
    </w:p>
    <w:p w14:paraId="1BE8E537" w14:textId="77777777" w:rsidR="00CF04BC" w:rsidRPr="00B93493" w:rsidRDefault="00CF04BC" w:rsidP="00CF04BC">
      <w:r w:rsidRPr="00B93493">
        <w:rPr>
          <w:b/>
        </w:rPr>
        <w:t>Spectrum pricing</w:t>
      </w:r>
      <w:r w:rsidRPr="00B93493">
        <w:rPr>
          <w:bCs/>
        </w:rPr>
        <w:t>:  </w:t>
      </w:r>
      <w:r w:rsidRPr="00B93493">
        <w:t xml:space="preserve">A generic term currently used to denote the denoting of the use of pricing as a spectrum management tool. It covers both </w:t>
      </w:r>
      <w:r w:rsidRPr="00B93493">
        <w:rPr>
          <w:i/>
        </w:rPr>
        <w:t>administrative incentive pricing</w:t>
      </w:r>
      <w:r w:rsidRPr="00B93493">
        <w:t xml:space="preserve"> and </w:t>
      </w:r>
      <w:r w:rsidRPr="00B93493">
        <w:rPr>
          <w:i/>
        </w:rPr>
        <w:t>auctions</w:t>
      </w:r>
      <w:r w:rsidRPr="00B93493">
        <w:t xml:space="preserve"> of either </w:t>
      </w:r>
      <w:r w:rsidRPr="00B93493">
        <w:rPr>
          <w:i/>
        </w:rPr>
        <w:t>apparatus licences</w:t>
      </w:r>
      <w:r w:rsidRPr="00B93493">
        <w:t xml:space="preserve"> or </w:t>
      </w:r>
      <w:r w:rsidRPr="00B93493">
        <w:rPr>
          <w:i/>
        </w:rPr>
        <w:t>spectrum rights</w:t>
      </w:r>
      <w:r w:rsidRPr="00B93493">
        <w:t xml:space="preserve">. Under </w:t>
      </w:r>
      <w:r w:rsidRPr="00B93493">
        <w:rPr>
          <w:i/>
        </w:rPr>
        <w:t>spectrum pricing</w:t>
      </w:r>
      <w:r w:rsidRPr="00B93493">
        <w:t>, charges are not set by reference to the fully allocated costs of spectrum management attributable to particular user categories but are intended to balance supply of and demand for spectrum or to achieve other spectrum management policy objectives, such as facilitating the introduction of new services or promoting competition.</w:t>
      </w:r>
    </w:p>
    <w:p w14:paraId="50AE4286" w14:textId="77777777" w:rsidR="00CF04BC" w:rsidRPr="00B93493" w:rsidRDefault="00CF04BC" w:rsidP="00CF04BC">
      <w:r w:rsidRPr="00B93493">
        <w:rPr>
          <w:b/>
        </w:rPr>
        <w:t>Spectrum rights</w:t>
      </w:r>
      <w:r w:rsidRPr="00B93493">
        <w:rPr>
          <w:bCs/>
        </w:rPr>
        <w:t>:  </w:t>
      </w:r>
      <w:r w:rsidRPr="00B93493">
        <w:t xml:space="preserve">The right, analogous to a property right, to use a specified frequency or range of frequencies in a particular location or throughout a nation or region for a particular time period within the ITU Radio Regulations. Where such rights have been introduced, restrictions on the type of equipment to be used or service to be provided may be minimal apart from technical non-interference conditions in relation to adjacent </w:t>
      </w:r>
      <w:r w:rsidRPr="00B93493">
        <w:rPr>
          <w:i/>
        </w:rPr>
        <w:t>spectrum rights</w:t>
      </w:r>
      <w:r w:rsidRPr="00B93493">
        <w:t xml:space="preserve">. It may be possible to assemble </w:t>
      </w:r>
      <w:r w:rsidRPr="00B93493">
        <w:rPr>
          <w:i/>
        </w:rPr>
        <w:t>spectrum rights</w:t>
      </w:r>
      <w:r w:rsidRPr="00B93493">
        <w:t xml:space="preserve"> to provide increased bandwidth or coverage area or both.</w:t>
      </w:r>
    </w:p>
    <w:p w14:paraId="483AFCD3" w14:textId="77777777" w:rsidR="00CF04BC" w:rsidRPr="00B93493" w:rsidRDefault="00CF04BC" w:rsidP="00CF04BC">
      <w:r w:rsidRPr="00B93493">
        <w:rPr>
          <w:b/>
        </w:rPr>
        <w:t>Threshold qualifications</w:t>
      </w:r>
      <w:r w:rsidRPr="00B93493">
        <w:rPr>
          <w:bCs/>
        </w:rPr>
        <w:t>:  </w:t>
      </w:r>
      <w:r w:rsidRPr="00B93493">
        <w:t>Qualifications that are a prerequisite to participate in some process, such as a lottery or auction. Threshold qualifications may include financial and technical viability, and a service plan that satisfies certain social goals.</w:t>
      </w:r>
    </w:p>
    <w:p w14:paraId="1A0204F2" w14:textId="77777777" w:rsidR="00CF04BC" w:rsidRPr="00B93493" w:rsidRDefault="00CF04BC" w:rsidP="00CF04BC">
      <w:r w:rsidRPr="00B93493">
        <w:rPr>
          <w:b/>
        </w:rPr>
        <w:t>Unjust enrichment</w:t>
      </w:r>
      <w:r w:rsidRPr="00B93493">
        <w:rPr>
          <w:bCs/>
        </w:rPr>
        <w:t>:  </w:t>
      </w:r>
      <w:r w:rsidRPr="00B93493">
        <w:t>An award, such as the award of a valuable frequency assignment, to a person or company that exceeds that person’s or company’s entitlement to the award.</w:t>
      </w:r>
    </w:p>
    <w:p w14:paraId="5A8466AB" w14:textId="77777777" w:rsidR="00CF04BC" w:rsidRPr="00B93493" w:rsidRDefault="00CF04BC" w:rsidP="00CF04BC">
      <w:r w:rsidRPr="00B93493">
        <w:rPr>
          <w:b/>
        </w:rPr>
        <w:t>Winner’s curse</w:t>
      </w:r>
      <w:r w:rsidRPr="00B93493">
        <w:rPr>
          <w:bCs/>
        </w:rPr>
        <w:t>:  </w:t>
      </w:r>
      <w:r w:rsidRPr="00B93493">
        <w:t xml:space="preserve">A possible effect of an auction, most commonly a sealed-bid auction. Assuming that some bidders will overestimate the value of the lot, the winner may be the most optimistic rather than the most skillful in assessing the value of the lot. In a sealed-bid auction, auction proceeds may be reduced as bidders attempt to minimize this effect. </w:t>
      </w:r>
      <w:r w:rsidRPr="00B93493">
        <w:rPr>
          <w:i/>
        </w:rPr>
        <w:t>Winner’s curse</w:t>
      </w:r>
      <w:r w:rsidRPr="00B93493">
        <w:t xml:space="preserve"> can be reduced or eliminated by careful design, particularly by using multiple round auctions (see </w:t>
      </w:r>
      <w:r w:rsidRPr="00B93493">
        <w:rPr>
          <w:i/>
        </w:rPr>
        <w:t>simultaneous multi-round auction</w:t>
      </w:r>
      <w:r w:rsidRPr="00B93493">
        <w:t>).</w:t>
      </w:r>
    </w:p>
    <w:p w14:paraId="24639526" w14:textId="77777777" w:rsidR="00CF04BC" w:rsidRPr="00B93493" w:rsidRDefault="00CF04BC" w:rsidP="00CF04BC"/>
    <w:p w14:paraId="1B5DA348" w14:textId="77777777" w:rsidR="00CF04BC" w:rsidRDefault="00CF04BC" w:rsidP="00CF04BC">
      <w:pPr>
        <w:overflowPunct/>
        <w:autoSpaceDE/>
        <w:autoSpaceDN/>
        <w:adjustRightInd/>
        <w:spacing w:before="0"/>
        <w:textAlignment w:val="auto"/>
      </w:pPr>
      <w:bookmarkStart w:id="2691" w:name="_Toc289868886"/>
      <w:bookmarkStart w:id="2692" w:name="_Toc462234189"/>
      <w:bookmarkStart w:id="2693" w:name="_Toc291852962"/>
      <w:bookmarkStart w:id="2694" w:name="_Toc392515946"/>
      <w:bookmarkStart w:id="2695" w:name="_Toc518394282"/>
      <w:bookmarkStart w:id="2696" w:name="_Toc289933399"/>
    </w:p>
    <w:p w14:paraId="724DB7C7" w14:textId="77777777" w:rsidR="00CF04BC" w:rsidRDefault="00CF04BC" w:rsidP="00CF04BC">
      <w:pPr>
        <w:overflowPunct/>
        <w:autoSpaceDE/>
        <w:autoSpaceDN/>
        <w:adjustRightInd/>
        <w:spacing w:before="0"/>
        <w:textAlignment w:val="auto"/>
        <w:rPr>
          <w:caps/>
          <w:sz w:val="28"/>
        </w:rPr>
      </w:pPr>
      <w:bookmarkStart w:id="2697" w:name="_Toc182391602"/>
      <w:bookmarkStart w:id="2698" w:name="_Toc182392014"/>
      <w:r>
        <w:br w:type="page"/>
      </w:r>
    </w:p>
    <w:p w14:paraId="2A903718" w14:textId="77777777" w:rsidR="00CF04BC" w:rsidRPr="00B93493" w:rsidRDefault="00CF04BC" w:rsidP="00CF04BC">
      <w:pPr>
        <w:pStyle w:val="AnnexNoTitle"/>
      </w:pPr>
      <w:bookmarkStart w:id="2699" w:name="_Toc201822296"/>
      <w:r w:rsidRPr="00B93493">
        <w:t>Annex 1</w:t>
      </w:r>
      <w:bookmarkEnd w:id="2691"/>
      <w:bookmarkEnd w:id="2692"/>
      <w:bookmarkEnd w:id="2693"/>
      <w:bookmarkEnd w:id="2694"/>
      <w:bookmarkEnd w:id="2695"/>
      <w:bookmarkEnd w:id="2696"/>
      <w:bookmarkEnd w:id="2697"/>
      <w:bookmarkEnd w:id="2698"/>
      <w:bookmarkEnd w:id="2699"/>
    </w:p>
    <w:p w14:paraId="799E5979" w14:textId="77777777" w:rsidR="00CF04BC" w:rsidRPr="00772F8C" w:rsidRDefault="00CF04BC" w:rsidP="00CF04BC">
      <w:pPr>
        <w:pStyle w:val="Heading3"/>
      </w:pPr>
      <w:bookmarkStart w:id="2700" w:name="_Toc289869046"/>
      <w:bookmarkStart w:id="2701" w:name="_Toc289868887"/>
      <w:bookmarkStart w:id="2702" w:name="_Toc289933400"/>
      <w:bookmarkStart w:id="2703" w:name="_Toc518394283"/>
      <w:bookmarkStart w:id="2704" w:name="_Toc392515947"/>
      <w:bookmarkStart w:id="2705" w:name="_Toc454285026"/>
      <w:bookmarkStart w:id="2706" w:name="_Toc289932352"/>
      <w:bookmarkStart w:id="2707" w:name="_Toc462234190"/>
      <w:bookmarkStart w:id="2708" w:name="_Toc291852963"/>
      <w:bookmarkStart w:id="2709" w:name="_Toc182391603"/>
      <w:bookmarkStart w:id="2710" w:name="_Toc182392015"/>
      <w:r w:rsidRPr="00B93493">
        <w:t>1</w:t>
      </w:r>
      <w:r w:rsidRPr="00B93493">
        <w:tab/>
        <w:t>Spectrum fees regulations of the United Arab Emirates</w:t>
      </w:r>
      <w:bookmarkEnd w:id="2700"/>
      <w:bookmarkEnd w:id="2701"/>
      <w:bookmarkEnd w:id="2702"/>
      <w:bookmarkEnd w:id="2703"/>
      <w:bookmarkEnd w:id="2704"/>
      <w:bookmarkEnd w:id="2705"/>
      <w:bookmarkEnd w:id="2706"/>
      <w:bookmarkEnd w:id="2707"/>
      <w:bookmarkEnd w:id="2708"/>
      <w:bookmarkEnd w:id="2709"/>
      <w:bookmarkEnd w:id="2710"/>
    </w:p>
    <w:p w14:paraId="4ADB7B48" w14:textId="77777777" w:rsidR="00CF04BC" w:rsidRPr="00B93493" w:rsidRDefault="00CF04BC" w:rsidP="00CF04BC">
      <w:pPr>
        <w:pStyle w:val="ArtNo"/>
      </w:pPr>
      <w:r w:rsidRPr="00B93493">
        <w:t>ARTICLE (1)</w:t>
      </w:r>
    </w:p>
    <w:p w14:paraId="61154A9A" w14:textId="77777777" w:rsidR="00CF04BC" w:rsidRPr="00B93493" w:rsidRDefault="00CF04BC" w:rsidP="00CF04BC">
      <w:pPr>
        <w:pStyle w:val="Arttitle"/>
      </w:pPr>
      <w:bookmarkStart w:id="2711" w:name="_Toc237657972"/>
      <w:r w:rsidRPr="00B93493">
        <w:t>Purpose</w:t>
      </w:r>
      <w:bookmarkEnd w:id="2711"/>
    </w:p>
    <w:p w14:paraId="08DBE0CC" w14:textId="77777777" w:rsidR="00CF04BC" w:rsidRPr="00B93493" w:rsidRDefault="00CF04BC" w:rsidP="00CF04BC">
      <w:pPr>
        <w:pStyle w:val="enumlev1"/>
      </w:pPr>
      <w:r w:rsidRPr="00B93493">
        <w:t>1.1</w:t>
      </w:r>
      <w:r w:rsidRPr="00B93493">
        <w:tab/>
        <w:t>In accordance with the Federal Law by Decree No. 3 of 2003 as amended and its Executive Order, these Regulations sets the spectrum Fees schedule for Frequency Spectrum and Wireless Equipment Authorization. The spectrum Fees shall be collected in advance for applying, registering, authorizing, issuing or renewing Authorization, unless exempted in these Regulations.</w:t>
      </w:r>
    </w:p>
    <w:p w14:paraId="764BA655" w14:textId="77777777" w:rsidR="00CF04BC" w:rsidRPr="00B93493" w:rsidRDefault="00CF04BC" w:rsidP="00CF04BC">
      <w:pPr>
        <w:pStyle w:val="ArtNo"/>
      </w:pPr>
      <w:r w:rsidRPr="00B93493">
        <w:t>ARTICLE (2)</w:t>
      </w:r>
    </w:p>
    <w:p w14:paraId="4F38FBDF" w14:textId="77777777" w:rsidR="00CF04BC" w:rsidRPr="00B93493" w:rsidRDefault="00CF04BC" w:rsidP="00CF04BC">
      <w:pPr>
        <w:pStyle w:val="Arttitle"/>
      </w:pPr>
      <w:bookmarkStart w:id="2712" w:name="_Toc237657973"/>
      <w:r w:rsidRPr="00B93493">
        <w:t>Definitions</w:t>
      </w:r>
      <w:bookmarkEnd w:id="2712"/>
    </w:p>
    <w:p w14:paraId="5823708E" w14:textId="77777777" w:rsidR="00CF04BC" w:rsidRPr="00B93493" w:rsidRDefault="00CF04BC" w:rsidP="00CF04BC">
      <w:pPr>
        <w:pStyle w:val="enumlev1"/>
        <w:keepNext/>
        <w:keepLines/>
      </w:pPr>
      <w:r w:rsidRPr="00B93493">
        <w:t>2.1</w:t>
      </w:r>
      <w:r w:rsidRPr="00B93493">
        <w:tab/>
        <w:t>In applying these Regulations, the following terms shall have the following meanings unless the context requires otherwise, whereas any term undefined in the following shall be defined in line with the Federal Law by Decree No. 3 of 2003 as amended and its Executive Order:</w:t>
      </w:r>
    </w:p>
    <w:p w14:paraId="62A1C98E" w14:textId="77777777" w:rsidR="00CF04BC" w:rsidRPr="00B93493" w:rsidRDefault="00CF04BC" w:rsidP="00CF04BC">
      <w:pPr>
        <w:pStyle w:val="enumlev1"/>
      </w:pPr>
      <w:r w:rsidRPr="00B93493">
        <w:t>2.1.1</w:t>
      </w:r>
      <w:r w:rsidRPr="00B93493">
        <w:tab/>
      </w:r>
      <w:r w:rsidRPr="00B93493">
        <w:rPr>
          <w:b/>
        </w:rPr>
        <w:t>“Applicant”</w:t>
      </w:r>
      <w:r w:rsidRPr="00B93493">
        <w:t xml:space="preserve"> means any Person who has applied for a License or an Authorization in accordance with the Telecom Law or other Regulatory Instruments issued by the TRA.</w:t>
      </w:r>
    </w:p>
    <w:p w14:paraId="73BE41D9" w14:textId="77777777" w:rsidR="00CF04BC" w:rsidRPr="00B93493" w:rsidRDefault="00CF04BC" w:rsidP="00CF04BC">
      <w:pPr>
        <w:pStyle w:val="enumlev1"/>
      </w:pPr>
      <w:r w:rsidRPr="00B93493">
        <w:t>2.1.2</w:t>
      </w:r>
      <w:r w:rsidRPr="00B93493">
        <w:tab/>
      </w:r>
      <w:r w:rsidRPr="00B93493">
        <w:rPr>
          <w:b/>
        </w:rPr>
        <w:t xml:space="preserve">“Application” </w:t>
      </w:r>
      <w:r w:rsidRPr="00B93493">
        <w:t>means the request for issuance of a License or an Authorization, received at the TRA on prescribed forms as per the procedure in vogue.</w:t>
      </w:r>
    </w:p>
    <w:p w14:paraId="64F105EF" w14:textId="77777777" w:rsidR="00CF04BC" w:rsidRPr="00B93493" w:rsidRDefault="00CF04BC" w:rsidP="00CF04BC">
      <w:pPr>
        <w:pStyle w:val="enumlev1"/>
        <w:rPr>
          <w:b/>
        </w:rPr>
      </w:pPr>
      <w:r w:rsidRPr="00B93493">
        <w:t>2.1.3</w:t>
      </w:r>
      <w:r w:rsidRPr="00B93493">
        <w:tab/>
      </w:r>
      <w:r w:rsidRPr="00B93493">
        <w:rPr>
          <w:b/>
        </w:rPr>
        <w:t xml:space="preserve">“Assigned Frequency” </w:t>
      </w:r>
      <w:r w:rsidRPr="00B93493">
        <w:t>means the centre of the frequency band assigned to a station by the TRA.</w:t>
      </w:r>
    </w:p>
    <w:p w14:paraId="0D7D9571" w14:textId="77777777" w:rsidR="00CF04BC" w:rsidRPr="00B93493" w:rsidRDefault="00CF04BC" w:rsidP="00CF04BC">
      <w:pPr>
        <w:pStyle w:val="enumlev1"/>
      </w:pPr>
      <w:r w:rsidRPr="00B93493">
        <w:t>2.1.4</w:t>
      </w:r>
      <w:r w:rsidRPr="00B93493">
        <w:tab/>
      </w:r>
      <w:r w:rsidRPr="00B93493">
        <w:rPr>
          <w:b/>
        </w:rPr>
        <w:t xml:space="preserve">“TRA” </w:t>
      </w:r>
      <w:r w:rsidRPr="00B93493">
        <w:t>means the General Authority for Regulating the Telecommunications Sector known as Telecommunications Regulatory Authority (TRA) established pursuant to the provisions of Article 6 of the UAE Federal Law by Decree No. 3 of 2003.</w:t>
      </w:r>
    </w:p>
    <w:p w14:paraId="25DACDF2" w14:textId="77777777" w:rsidR="00CF04BC" w:rsidRPr="00B93493" w:rsidRDefault="00CF04BC" w:rsidP="00CF04BC">
      <w:pPr>
        <w:pStyle w:val="enumlev1"/>
      </w:pPr>
      <w:r w:rsidRPr="00B93493">
        <w:t>2.1.5</w:t>
      </w:r>
      <w:r w:rsidRPr="00B93493">
        <w:tab/>
      </w:r>
      <w:r w:rsidRPr="00B93493">
        <w:rPr>
          <w:b/>
        </w:rPr>
        <w:t xml:space="preserve">“Authorization” </w:t>
      </w:r>
      <w:r w:rsidRPr="00B93493">
        <w:t>means a valid Frequency Spectrum Authorization granted by the TRA.</w:t>
      </w:r>
    </w:p>
    <w:p w14:paraId="561B71BD" w14:textId="77777777" w:rsidR="00CF04BC" w:rsidRPr="00B93493" w:rsidRDefault="00CF04BC" w:rsidP="00CF04BC">
      <w:pPr>
        <w:pStyle w:val="enumlev1"/>
      </w:pPr>
      <w:r w:rsidRPr="00B93493">
        <w:t>2.1.6</w:t>
      </w:r>
      <w:r w:rsidRPr="00B93493">
        <w:tab/>
      </w:r>
      <w:r w:rsidRPr="00B93493">
        <w:rPr>
          <w:b/>
        </w:rPr>
        <w:t xml:space="preserve">“Authorized User” </w:t>
      </w:r>
      <w:r w:rsidRPr="00B93493">
        <w:t>means a Person that has been granted an Authorization by the TRA.</w:t>
      </w:r>
    </w:p>
    <w:p w14:paraId="75E73BAB" w14:textId="77777777" w:rsidR="00CF04BC" w:rsidRPr="00B93493" w:rsidRDefault="00CF04BC" w:rsidP="00CF04BC">
      <w:pPr>
        <w:pStyle w:val="enumlev1"/>
      </w:pPr>
      <w:r w:rsidRPr="00B93493">
        <w:t>2.1.7</w:t>
      </w:r>
      <w:r w:rsidRPr="00B93493">
        <w:tab/>
      </w:r>
      <w:r w:rsidRPr="00B93493">
        <w:rPr>
          <w:b/>
        </w:rPr>
        <w:t>“Class Authorization”</w:t>
      </w:r>
      <w:r w:rsidRPr="00B93493">
        <w:t xml:space="preserve"> means the Authorization which permits the operation of Wireless Equipment by any Person within designated frequency bands subject to the terms and conditions stipulated by the TRA.</w:t>
      </w:r>
    </w:p>
    <w:p w14:paraId="42E9116C" w14:textId="77777777" w:rsidR="00CF04BC" w:rsidRPr="00B93493" w:rsidRDefault="00CF04BC" w:rsidP="00CF04BC">
      <w:pPr>
        <w:pStyle w:val="enumlev1"/>
      </w:pPr>
      <w:r w:rsidRPr="00B93493">
        <w:t>2.1.8</w:t>
      </w:r>
      <w:r w:rsidRPr="00B93493">
        <w:tab/>
      </w:r>
      <w:r w:rsidRPr="00B93493">
        <w:rPr>
          <w:b/>
        </w:rPr>
        <w:t>“National Spectrum Plan”</w:t>
      </w:r>
      <w:r w:rsidRPr="00B93493">
        <w:t xml:space="preserve"> means Radio Frequency Allocation plan for the UAE and any modifications thereof.</w:t>
      </w:r>
    </w:p>
    <w:p w14:paraId="024E3148" w14:textId="77777777" w:rsidR="00CF04BC" w:rsidRPr="00B93493" w:rsidRDefault="00CF04BC" w:rsidP="00CF04BC">
      <w:pPr>
        <w:pStyle w:val="enumlev1"/>
      </w:pPr>
      <w:r w:rsidRPr="00B93493">
        <w:t>2.1.9</w:t>
      </w:r>
      <w:r w:rsidRPr="00B93493">
        <w:tab/>
      </w:r>
      <w:r w:rsidRPr="00B93493">
        <w:rPr>
          <w:b/>
        </w:rPr>
        <w:t>“Person”</w:t>
      </w:r>
      <w:r w:rsidRPr="00B93493">
        <w:t xml:space="preserve"> will include “juridical entities” as well as “natural persons”.</w:t>
      </w:r>
    </w:p>
    <w:p w14:paraId="0CC550DB" w14:textId="77777777" w:rsidR="00CF04BC" w:rsidRPr="00B93493" w:rsidRDefault="00CF04BC" w:rsidP="00CF04BC">
      <w:pPr>
        <w:pStyle w:val="enumlev1"/>
      </w:pPr>
      <w:r w:rsidRPr="00B93493">
        <w:t>2.1.10</w:t>
      </w:r>
      <w:r w:rsidRPr="00B93493">
        <w:tab/>
      </w:r>
      <w:r w:rsidRPr="00B93493">
        <w:rPr>
          <w:b/>
        </w:rPr>
        <w:t xml:space="preserve">“Radiocommunication Service” </w:t>
      </w:r>
      <w:r w:rsidRPr="00B93493">
        <w:t>means the transmitting or receiving of Radio Frequency which may be used for the conveyance of data, or messages or voice or visual images, or for the operation or control of machinery or apparatus.</w:t>
      </w:r>
    </w:p>
    <w:p w14:paraId="08BB8FCC" w14:textId="77777777" w:rsidR="00CF04BC" w:rsidRPr="00B93493" w:rsidRDefault="00CF04BC" w:rsidP="00CF04BC">
      <w:pPr>
        <w:pStyle w:val="enumlev1"/>
      </w:pPr>
      <w:r w:rsidRPr="00B93493">
        <w:t>2.1.11</w:t>
      </w:r>
      <w:r w:rsidRPr="00B93493">
        <w:tab/>
      </w:r>
      <w:r w:rsidRPr="00B93493">
        <w:rPr>
          <w:b/>
        </w:rPr>
        <w:t xml:space="preserve">“Radio Frequency” </w:t>
      </w:r>
      <w:r w:rsidRPr="00B93493">
        <w:t>means radiated electromagnetic energy measured in Hz or cycles/sec.</w:t>
      </w:r>
    </w:p>
    <w:p w14:paraId="1E882BFD" w14:textId="77777777" w:rsidR="00CF04BC" w:rsidRPr="00B93493" w:rsidRDefault="00CF04BC" w:rsidP="00CF04BC">
      <w:pPr>
        <w:pStyle w:val="enumlev1"/>
      </w:pPr>
      <w:r w:rsidRPr="00B93493">
        <w:t>2.1.12</w:t>
      </w:r>
      <w:r w:rsidRPr="00B93493">
        <w:tab/>
      </w:r>
      <w:r w:rsidRPr="00B93493">
        <w:rPr>
          <w:b/>
        </w:rPr>
        <w:t xml:space="preserve">“Frequency Spectrum Authorization” </w:t>
      </w:r>
      <w:r w:rsidRPr="00B93493">
        <w:t>means an authorization, which permits the use of Radio Frequency subject to terms and conditions as stipulated by the TRA.</w:t>
      </w:r>
    </w:p>
    <w:p w14:paraId="690C5DE8" w14:textId="77777777" w:rsidR="00CF04BC" w:rsidRPr="00B93493" w:rsidRDefault="00CF04BC" w:rsidP="00CF04BC">
      <w:pPr>
        <w:pStyle w:val="enumlev1"/>
      </w:pPr>
      <w:r w:rsidRPr="00B93493">
        <w:t>2.1.13</w:t>
      </w:r>
      <w:r w:rsidRPr="00B93493">
        <w:tab/>
      </w:r>
      <w:r w:rsidRPr="00B93493">
        <w:rPr>
          <w:b/>
        </w:rPr>
        <w:t>“Regulatory Instruments”</w:t>
      </w:r>
      <w:r w:rsidRPr="00B93493">
        <w:t xml:space="preserve"> means any instrument issued by the Authority under its powers, and includes without limitation; Regulations, violation decisions, directives, instructions, guidance and recommendations and regulatory policies.</w:t>
      </w:r>
    </w:p>
    <w:p w14:paraId="1A7B6DCB" w14:textId="77777777" w:rsidR="00CF04BC" w:rsidRPr="00B93493" w:rsidRDefault="00CF04BC" w:rsidP="00CF04BC">
      <w:pPr>
        <w:pStyle w:val="enumlev1"/>
      </w:pPr>
      <w:r w:rsidRPr="00B93493">
        <w:t>2.1.14</w:t>
      </w:r>
      <w:r w:rsidRPr="00B93493">
        <w:tab/>
      </w:r>
      <w:r w:rsidRPr="00B93493">
        <w:rPr>
          <w:b/>
        </w:rPr>
        <w:t xml:space="preserve">“Station” </w:t>
      </w:r>
      <w:r w:rsidRPr="00B93493">
        <w:t>means an installation operated by an Authorized User, for carrying on a Radiocommunication Service.</w:t>
      </w:r>
    </w:p>
    <w:p w14:paraId="0C2FB66D" w14:textId="77777777" w:rsidR="00CF04BC" w:rsidRPr="00B93493" w:rsidRDefault="00CF04BC" w:rsidP="00CF04BC">
      <w:pPr>
        <w:pStyle w:val="enumlev1"/>
      </w:pPr>
      <w:r w:rsidRPr="00B93493">
        <w:t>2.1.15</w:t>
      </w:r>
      <w:r w:rsidRPr="00B93493">
        <w:tab/>
      </w:r>
      <w:r w:rsidRPr="00B93493">
        <w:rPr>
          <w:b/>
        </w:rPr>
        <w:t xml:space="preserve">“Temporary Authorization” </w:t>
      </w:r>
      <w:r w:rsidRPr="00B93493">
        <w:t>means an Authorization issued by the TRA which permits the use of Assigned Frequency for a period up to 90 days.</w:t>
      </w:r>
    </w:p>
    <w:p w14:paraId="1D76377C" w14:textId="77777777" w:rsidR="00CF04BC" w:rsidRPr="00B93493" w:rsidRDefault="00CF04BC" w:rsidP="00CF04BC">
      <w:pPr>
        <w:pStyle w:val="enumlev1"/>
      </w:pPr>
      <w:r w:rsidRPr="00B93493">
        <w:t>2.1.16</w:t>
      </w:r>
      <w:r w:rsidRPr="00B93493">
        <w:tab/>
      </w:r>
      <w:r w:rsidRPr="00B93493">
        <w:rPr>
          <w:b/>
        </w:rPr>
        <w:t xml:space="preserve">“UAE” </w:t>
      </w:r>
      <w:r w:rsidRPr="00B93493">
        <w:t>means the United Arab Emirates including its territorial waters and the airspace above.</w:t>
      </w:r>
    </w:p>
    <w:p w14:paraId="5B3B5940" w14:textId="77777777" w:rsidR="00CF04BC" w:rsidRPr="00B93493" w:rsidRDefault="00CF04BC" w:rsidP="00CF04BC">
      <w:pPr>
        <w:pStyle w:val="enumlev1"/>
        <w:rPr>
          <w:b/>
        </w:rPr>
      </w:pPr>
      <w:r w:rsidRPr="00B93493">
        <w:t>2.1.17</w:t>
      </w:r>
      <w:r w:rsidRPr="00B93493">
        <w:tab/>
      </w:r>
      <w:r w:rsidRPr="00B93493">
        <w:rPr>
          <w:b/>
        </w:rPr>
        <w:t xml:space="preserve">“Wireless Equipment” </w:t>
      </w:r>
      <w:r w:rsidRPr="00B93493">
        <w:t>means a category of Telecommunication Apparatus used for Radiocommunication Service.</w:t>
      </w:r>
    </w:p>
    <w:p w14:paraId="0EDBD7DA" w14:textId="77777777" w:rsidR="00CF04BC" w:rsidRPr="00B93493" w:rsidRDefault="00CF04BC" w:rsidP="00CF04BC">
      <w:pPr>
        <w:pStyle w:val="ArtNo"/>
      </w:pPr>
      <w:r w:rsidRPr="00B93493">
        <w:t>ARTICLE (3)</w:t>
      </w:r>
    </w:p>
    <w:p w14:paraId="22F47361" w14:textId="77777777" w:rsidR="00CF04BC" w:rsidRPr="00B93493" w:rsidRDefault="00CF04BC" w:rsidP="00CF04BC">
      <w:pPr>
        <w:pStyle w:val="Arttitle"/>
      </w:pPr>
      <w:bookmarkStart w:id="2713" w:name="_Toc237657974"/>
      <w:r w:rsidRPr="00B93493">
        <w:t>Application processing Fees</w:t>
      </w:r>
      <w:bookmarkEnd w:id="2713"/>
    </w:p>
    <w:p w14:paraId="16FB1806" w14:textId="77777777" w:rsidR="00CF04BC" w:rsidRPr="00B93493" w:rsidRDefault="00CF04BC" w:rsidP="00CF04BC">
      <w:pPr>
        <w:pStyle w:val="enumlev1"/>
      </w:pPr>
      <w:r w:rsidRPr="00B93493">
        <w:t>3.1</w:t>
      </w:r>
      <w:r w:rsidRPr="00B93493">
        <w:tab/>
        <w:t>Each Application for the Frequency Spectrum Authorization shall require an advance non-refundable payment of Five Hundred (500)</w:t>
      </w:r>
      <w:r w:rsidRPr="00B93493">
        <w:rPr>
          <w:b/>
          <w:bCs/>
        </w:rPr>
        <w:t xml:space="preserve"> </w:t>
      </w:r>
      <w:r w:rsidRPr="00B93493">
        <w:t>Dirhams for processing the Application, irrespective of the final status of the Application towards grant or rejection of the Application. The TRA may advise certain Governmental Entities, licensed operators or any major user to accumulate the Application processing Fees for payment along with the spectrum Fees. The invoice and receipt for the Application processing Fees shall only be issued upon request from the Applicant. The Application shall only be considered for processing upon the proof of the payment provided by the Applicant. The Application processing Fee for modification of an Authorization will be raised with the annual spectrum Fees invoice.</w:t>
      </w:r>
    </w:p>
    <w:p w14:paraId="39D5521B" w14:textId="77777777" w:rsidR="00CF04BC" w:rsidRPr="00B93493" w:rsidRDefault="00CF04BC" w:rsidP="00CF04BC">
      <w:pPr>
        <w:pStyle w:val="ArtNo"/>
      </w:pPr>
      <w:r w:rsidRPr="00B93493">
        <w:t>ARTICLE (4)</w:t>
      </w:r>
    </w:p>
    <w:p w14:paraId="47BBAAED" w14:textId="77777777" w:rsidR="00CF04BC" w:rsidRPr="00B93493" w:rsidRDefault="00CF04BC" w:rsidP="00CF04BC">
      <w:pPr>
        <w:pStyle w:val="Arttitle"/>
      </w:pPr>
      <w:bookmarkStart w:id="2714" w:name="_Toc237657975"/>
      <w:r w:rsidRPr="00B93493">
        <w:t>Application processing Fees</w:t>
      </w:r>
      <w:bookmarkEnd w:id="2714"/>
      <w:r w:rsidRPr="00B93493">
        <w:t xml:space="preserve"> Exemption</w:t>
      </w:r>
    </w:p>
    <w:p w14:paraId="05992D21" w14:textId="77777777" w:rsidR="00CF04BC" w:rsidRPr="00B93493" w:rsidRDefault="00CF04BC" w:rsidP="00CF04BC">
      <w:pPr>
        <w:pStyle w:val="enumlev1"/>
      </w:pPr>
      <w:r w:rsidRPr="00B93493">
        <w:t>4.1</w:t>
      </w:r>
      <w:r w:rsidRPr="00B93493">
        <w:tab/>
        <w:t>The following Applications shall be exempted from the Application processing Fees:</w:t>
      </w:r>
    </w:p>
    <w:p w14:paraId="6064F519" w14:textId="77777777" w:rsidR="00CF04BC" w:rsidRPr="00B93493" w:rsidRDefault="00CF04BC" w:rsidP="00CF04BC">
      <w:pPr>
        <w:pStyle w:val="enumlev2"/>
      </w:pPr>
      <w:r w:rsidRPr="00B93493">
        <w:t>a)</w:t>
      </w:r>
      <w:r w:rsidRPr="00B93493">
        <w:tab/>
        <w:t>Application for Small Fishing Boats. (Fishing Trawls.)</w:t>
      </w:r>
    </w:p>
    <w:p w14:paraId="1C1B9D12" w14:textId="77777777" w:rsidR="00CF04BC" w:rsidRPr="00B93493" w:rsidRDefault="00CF04BC" w:rsidP="00CF04BC">
      <w:pPr>
        <w:pStyle w:val="enumlev2"/>
      </w:pPr>
      <w:r w:rsidRPr="00B93493">
        <w:t>b)</w:t>
      </w:r>
      <w:r w:rsidRPr="00B93493">
        <w:tab/>
        <w:t>Application for Amateur Authorization.</w:t>
      </w:r>
    </w:p>
    <w:p w14:paraId="6A657EF9" w14:textId="77777777" w:rsidR="00CF04BC" w:rsidRPr="00B93493" w:rsidRDefault="00CF04BC" w:rsidP="00CF04BC">
      <w:pPr>
        <w:pStyle w:val="enumlev2"/>
      </w:pPr>
      <w:r w:rsidRPr="00B93493">
        <w:t>c)</w:t>
      </w:r>
      <w:r w:rsidRPr="00B93493">
        <w:tab/>
        <w:t>Application for personal use of Private Mobile Radio for Camel jockeys and Hunting.</w:t>
      </w:r>
    </w:p>
    <w:p w14:paraId="52C50294" w14:textId="77777777" w:rsidR="00CF04BC" w:rsidRPr="00B93493" w:rsidRDefault="00CF04BC" w:rsidP="00CF04BC">
      <w:pPr>
        <w:pStyle w:val="enumlev2"/>
      </w:pPr>
      <w:r w:rsidRPr="00B93493">
        <w:t>d)</w:t>
      </w:r>
      <w:r w:rsidRPr="00B93493">
        <w:tab/>
        <w:t>Application by non-commercial clubs for hobbies like Aeromodelling.</w:t>
      </w:r>
    </w:p>
    <w:p w14:paraId="6B00C5B9" w14:textId="77777777" w:rsidR="00CF04BC" w:rsidRPr="00B93493" w:rsidRDefault="00CF04BC" w:rsidP="00CF04BC">
      <w:pPr>
        <w:pStyle w:val="enumlev2"/>
      </w:pPr>
      <w:r w:rsidRPr="00B93493">
        <w:t>e)</w:t>
      </w:r>
      <w:r w:rsidRPr="00B93493">
        <w:tab/>
        <w:t>Application by research and educational institutions for private use.</w:t>
      </w:r>
    </w:p>
    <w:p w14:paraId="17AE41DF" w14:textId="77777777" w:rsidR="00CF04BC" w:rsidRPr="00B93493" w:rsidRDefault="00CF04BC" w:rsidP="00CF04BC">
      <w:pPr>
        <w:pStyle w:val="enumlev2"/>
      </w:pPr>
      <w:r w:rsidRPr="00B93493">
        <w:t>f)</w:t>
      </w:r>
      <w:r w:rsidRPr="00B93493">
        <w:tab/>
        <w:t>Application by Foreign Missions, Consulates and Embassies for official correspondence or visits of dignitaries when submitted through the UAE Ministry of Foreign Affairs.</w:t>
      </w:r>
    </w:p>
    <w:p w14:paraId="1321BEA3" w14:textId="77777777" w:rsidR="00CF04BC" w:rsidRPr="00B93493" w:rsidRDefault="00CF04BC" w:rsidP="00CF04BC">
      <w:pPr>
        <w:pStyle w:val="ArtNo"/>
      </w:pPr>
      <w:r w:rsidRPr="00B93493">
        <w:t>ARTICLE (5)</w:t>
      </w:r>
    </w:p>
    <w:p w14:paraId="109B36A7" w14:textId="77777777" w:rsidR="00CF04BC" w:rsidRPr="00B93493" w:rsidRDefault="00CF04BC" w:rsidP="00CF04BC">
      <w:pPr>
        <w:pStyle w:val="Arttitle"/>
      </w:pPr>
      <w:bookmarkStart w:id="2715" w:name="_Toc237657976"/>
      <w:r w:rsidRPr="00B93493">
        <w:t>Spectrum Fees for New Application</w:t>
      </w:r>
      <w:bookmarkEnd w:id="2715"/>
    </w:p>
    <w:p w14:paraId="2D8C6A6D" w14:textId="77777777" w:rsidR="00CF04BC" w:rsidRPr="00B93493" w:rsidRDefault="00CF04BC" w:rsidP="00CF04BC">
      <w:pPr>
        <w:pStyle w:val="enumlev1"/>
      </w:pPr>
      <w:r w:rsidRPr="00B93493">
        <w:t>5.1</w:t>
      </w:r>
      <w:r w:rsidRPr="00B93493">
        <w:tab/>
        <w:t>The Spectrum Fees shall be payable in advance. Upon successful processing of a new Application, the TRA shall inform the Applicant of the spectrum Fees, calculated for the period of validity of the Authorization, starting from the date of invoice. The Applicant shall submit to the TRA, the proof of payment immediately and not later than thirty (30) days from the date of issuing of Invoice. The receipt of the Fees by the TRA based on verification by the TRA shall be considered as completion of the payment for issuance of the Authorization. If payment is not received, the TRA shall cancel the Application and if the Applicant requires pursuing such Application, the Applicant shall be required to re</w:t>
      </w:r>
      <w:r w:rsidRPr="00B93493">
        <w:noBreakHyphen/>
        <w:t>submit the Application with new Application processing Fee.</w:t>
      </w:r>
    </w:p>
    <w:p w14:paraId="7EDBB58E" w14:textId="77777777" w:rsidR="00CF04BC" w:rsidRPr="00B93493" w:rsidRDefault="00CF04BC" w:rsidP="00CF04BC">
      <w:pPr>
        <w:pStyle w:val="ArtNo"/>
      </w:pPr>
      <w:r w:rsidRPr="00B93493">
        <w:t>ARTICLE (6)</w:t>
      </w:r>
    </w:p>
    <w:p w14:paraId="4DD1003F" w14:textId="77777777" w:rsidR="00CF04BC" w:rsidRPr="00B93493" w:rsidRDefault="00CF04BC" w:rsidP="00CF04BC">
      <w:pPr>
        <w:pStyle w:val="Arttitle"/>
      </w:pPr>
      <w:bookmarkStart w:id="2716" w:name="_Toc237657977"/>
      <w:r w:rsidRPr="00B93493">
        <w:t>Spectrum Fees for renewal of Authorization</w:t>
      </w:r>
      <w:bookmarkEnd w:id="2716"/>
    </w:p>
    <w:p w14:paraId="66034DDF" w14:textId="77777777" w:rsidR="00CF04BC" w:rsidRPr="00B93493" w:rsidRDefault="00CF04BC" w:rsidP="00CF04BC">
      <w:pPr>
        <w:pStyle w:val="enumlev1"/>
        <w:keepLines/>
      </w:pPr>
      <w:r w:rsidRPr="00B93493">
        <w:t>6.1</w:t>
      </w:r>
      <w:r w:rsidRPr="00B93493">
        <w:tab/>
        <w:t xml:space="preserve">The Authorized User shall be responsible to apply to the TRA for renewal of the Authorization, within the period, thirty (30) days before the expiry of the Authorization. A grace period of fifteen (15) days after expiry may be given to the Authorized User by the TRA to pay the Spectrum Fees for renewal without any additional Fees. </w:t>
      </w:r>
    </w:p>
    <w:p w14:paraId="27CF4DD0" w14:textId="77777777" w:rsidR="00CF04BC" w:rsidRPr="00B93493" w:rsidRDefault="00CF04BC" w:rsidP="00CF04BC">
      <w:pPr>
        <w:pStyle w:val="ArtNo"/>
      </w:pPr>
      <w:r w:rsidRPr="00B93493">
        <w:t>ARTICLE (7)</w:t>
      </w:r>
    </w:p>
    <w:p w14:paraId="56E8EA52" w14:textId="77777777" w:rsidR="00CF04BC" w:rsidRPr="00B93493" w:rsidRDefault="00CF04BC" w:rsidP="00CF04BC">
      <w:pPr>
        <w:pStyle w:val="Arttitle"/>
      </w:pPr>
      <w:bookmarkStart w:id="2717" w:name="_Toc237657978"/>
      <w:r w:rsidRPr="00B93493">
        <w:t>Additional Fees for delayed renewal of Authorization</w:t>
      </w:r>
      <w:bookmarkEnd w:id="2717"/>
    </w:p>
    <w:p w14:paraId="407229C0" w14:textId="77777777" w:rsidR="00CF04BC" w:rsidRPr="00B93493" w:rsidRDefault="00CF04BC" w:rsidP="00CF04BC">
      <w:pPr>
        <w:pStyle w:val="enumlev1"/>
      </w:pPr>
      <w:r w:rsidRPr="00B93493">
        <w:t>7.1</w:t>
      </w:r>
      <w:r w:rsidRPr="00B93493">
        <w:tab/>
        <w:t xml:space="preserve">The TRA shall raise a new invoice (superseding the unpaid invoice) with an additional Fee of 10% of the amount due for Spectrum Fees after 15 days of the expiry of the Authorization up to a maximum of 45 days from the expiry of Authorization after which the TRA will cancel such Authorization. </w:t>
      </w:r>
    </w:p>
    <w:p w14:paraId="76B87C0B" w14:textId="77777777" w:rsidR="00CF04BC" w:rsidRPr="00B93493" w:rsidRDefault="00CF04BC" w:rsidP="00CF04BC">
      <w:pPr>
        <w:pStyle w:val="ArtNo"/>
      </w:pPr>
      <w:r w:rsidRPr="00B93493">
        <w:t>ARTICLE (8)</w:t>
      </w:r>
    </w:p>
    <w:p w14:paraId="1E7BB546" w14:textId="77777777" w:rsidR="00CF04BC" w:rsidRPr="00B93493" w:rsidRDefault="00CF04BC" w:rsidP="00CF04BC">
      <w:pPr>
        <w:pStyle w:val="Arttitle"/>
      </w:pPr>
      <w:bookmarkStart w:id="2718" w:name="_Toc237657979"/>
      <w:r w:rsidRPr="00B93493">
        <w:t>Authorization reproduction Fees</w:t>
      </w:r>
      <w:bookmarkEnd w:id="2718"/>
    </w:p>
    <w:p w14:paraId="0AE5FAE6" w14:textId="77777777" w:rsidR="00CF04BC" w:rsidRPr="00B93493" w:rsidRDefault="00CF04BC" w:rsidP="00CF04BC">
      <w:pPr>
        <w:pStyle w:val="enumlev1"/>
      </w:pPr>
      <w:r w:rsidRPr="00B93493">
        <w:t>8.1</w:t>
      </w:r>
      <w:r w:rsidRPr="00B93493">
        <w:tab/>
        <w:t>In case the Authorization is damaged or lost, the Authorized User shall have to apply to the TRA for reproduction of the Authorization. A non-refundable payment of One Hundred (100) Dirhams</w:t>
      </w:r>
      <w:r w:rsidRPr="00B93493">
        <w:rPr>
          <w:b/>
          <w:bCs/>
        </w:rPr>
        <w:t xml:space="preserve"> </w:t>
      </w:r>
      <w:r w:rsidRPr="00B93493">
        <w:t xml:space="preserve">shall be charged in advance for the reproduction of each Authorization requested. </w:t>
      </w:r>
    </w:p>
    <w:p w14:paraId="33D7136F" w14:textId="77777777" w:rsidR="00CF04BC" w:rsidRPr="00B93493" w:rsidRDefault="00CF04BC" w:rsidP="00CF04BC">
      <w:pPr>
        <w:pStyle w:val="ArtNo"/>
      </w:pPr>
      <w:r w:rsidRPr="00B93493">
        <w:t>ARTICLE (9)</w:t>
      </w:r>
    </w:p>
    <w:p w14:paraId="5D1166E9" w14:textId="77777777" w:rsidR="00CF04BC" w:rsidRPr="00B93493" w:rsidRDefault="00CF04BC" w:rsidP="00CF04BC">
      <w:pPr>
        <w:pStyle w:val="Arttitle"/>
      </w:pPr>
      <w:bookmarkStart w:id="2719" w:name="_Toc237657980"/>
      <w:r w:rsidRPr="00B93493">
        <w:t>Authorization modification Fees</w:t>
      </w:r>
      <w:bookmarkEnd w:id="2719"/>
    </w:p>
    <w:p w14:paraId="7FA5CD76" w14:textId="77777777" w:rsidR="00CF04BC" w:rsidRPr="00B93493" w:rsidRDefault="00CF04BC" w:rsidP="00CF04BC">
      <w:pPr>
        <w:pStyle w:val="enumlev1"/>
        <w:rPr>
          <w:color w:val="000000"/>
        </w:rPr>
      </w:pPr>
      <w:r w:rsidRPr="00B93493">
        <w:t>9.1</w:t>
      </w:r>
      <w:r w:rsidRPr="00B93493">
        <w:tab/>
        <w:t>The Authorized User can apply for modification of an Authorization. A non-refundable payment of One Hundred (100) Dirhams</w:t>
      </w:r>
      <w:r w:rsidRPr="00B93493">
        <w:rPr>
          <w:b/>
          <w:bCs/>
        </w:rPr>
        <w:t xml:space="preserve"> </w:t>
      </w:r>
      <w:r w:rsidRPr="00B93493">
        <w:t xml:space="preserve">shall be charged for the modification of the Authorization requested. Modifications of contact details in the Authorization shall require the reproduction Fees as mentioned in Article 8 above before issuing of an Authorization. The request of modification of any site data or addition of Wireless Equipment or change of technical data shall require payment of Application processing Fees as mentioned at Article 3 above. In case the modification is approved by the TRA, the annual Spectrum Fees shall be calculated on prorate basis. The Authorized User shall pay the difference in advance to the TRA. If the difference is in favour of the Authorized User, no reimbursement shall be made by the TRA and the annual Spectrum Fees for subsequent year shall be calculated based on the revised Fees. </w:t>
      </w:r>
      <w:r w:rsidRPr="00B93493">
        <w:rPr>
          <w:color w:val="000000"/>
        </w:rPr>
        <w:t>The Application processing Fee for modification or reproduction of an Authorization will be raised with the annual spectrum Fees invoice.</w:t>
      </w:r>
    </w:p>
    <w:p w14:paraId="16C81963" w14:textId="77777777" w:rsidR="00CF04BC" w:rsidRPr="00B93493" w:rsidRDefault="00CF04BC" w:rsidP="00CF04BC">
      <w:pPr>
        <w:pStyle w:val="ArtNo"/>
      </w:pPr>
      <w:r w:rsidRPr="00B93493">
        <w:t>ARTICLE (10)</w:t>
      </w:r>
    </w:p>
    <w:p w14:paraId="1582A5A3" w14:textId="77777777" w:rsidR="00CF04BC" w:rsidRPr="00B93493" w:rsidRDefault="00CF04BC" w:rsidP="00CF04BC">
      <w:pPr>
        <w:pStyle w:val="Arttitle"/>
      </w:pPr>
      <w:bookmarkStart w:id="2720" w:name="_Toc237657981"/>
      <w:r w:rsidRPr="00B93493">
        <w:t>Authorization cancellation Fees</w:t>
      </w:r>
      <w:bookmarkEnd w:id="2720"/>
    </w:p>
    <w:p w14:paraId="50191A4F" w14:textId="77777777" w:rsidR="00CF04BC" w:rsidRPr="00B93493" w:rsidRDefault="00CF04BC" w:rsidP="00CF04BC">
      <w:pPr>
        <w:pStyle w:val="enumlev1"/>
      </w:pPr>
      <w:r w:rsidRPr="00B93493">
        <w:t>10.1</w:t>
      </w:r>
      <w:r w:rsidRPr="00B93493">
        <w:tab/>
        <w:t xml:space="preserve">The Authorized User can apply for cancellation of the Authorization. There will be no Fees for cancellation and no reimbursements shall be made by the TRA for any balance amount. </w:t>
      </w:r>
    </w:p>
    <w:p w14:paraId="6E131619" w14:textId="77777777" w:rsidR="00CF04BC" w:rsidRPr="00B93493" w:rsidRDefault="00CF04BC" w:rsidP="00CF04BC">
      <w:pPr>
        <w:pStyle w:val="ArtNo"/>
      </w:pPr>
      <w:r w:rsidRPr="00B93493">
        <w:t>ARTICLE (11)</w:t>
      </w:r>
    </w:p>
    <w:p w14:paraId="6D43AF45" w14:textId="77777777" w:rsidR="00CF04BC" w:rsidRPr="00B93493" w:rsidRDefault="00CF04BC" w:rsidP="00CF04BC">
      <w:pPr>
        <w:pStyle w:val="Arttitle"/>
      </w:pPr>
      <w:bookmarkStart w:id="2721" w:name="_Toc237657982"/>
      <w:r w:rsidRPr="00B93493">
        <w:t>Spectrum Fees for Public Land Mobile (Cellular) Service</w:t>
      </w:r>
      <w:bookmarkEnd w:id="2721"/>
    </w:p>
    <w:p w14:paraId="58A7E360" w14:textId="77777777" w:rsidR="00CF04BC" w:rsidRPr="00B93493" w:rsidRDefault="00CF04BC" w:rsidP="00CF04BC">
      <w:pPr>
        <w:pStyle w:val="enumlev1"/>
      </w:pPr>
      <w:r w:rsidRPr="00B93493">
        <w:t>11.1</w:t>
      </w:r>
      <w:r w:rsidRPr="00B93493">
        <w:tab/>
        <w:t xml:space="preserve">The Annual Spectrum Fees for the Public Land Mobile (cellular) services (including GSM, UMTS and IMT) shall be calculated as follows: </w:t>
      </w:r>
    </w:p>
    <w:p w14:paraId="3BCAB6B6" w14:textId="77777777" w:rsidR="00CF04BC" w:rsidRPr="00B93493" w:rsidRDefault="00CF04BC" w:rsidP="00CF04BC">
      <w:pPr>
        <w:pStyle w:val="Equation"/>
      </w:pPr>
      <w:r w:rsidRPr="00B93493">
        <w:tab/>
      </w:r>
      <w:r w:rsidRPr="00B93493">
        <w:tab/>
        <w:t>Spectrum Price = [FF × CF × P × BW] / 4 000</w:t>
      </w:r>
    </w:p>
    <w:p w14:paraId="6AD03FFA" w14:textId="77777777" w:rsidR="00CF04BC" w:rsidRPr="00B93493" w:rsidRDefault="00CF04BC" w:rsidP="00CF04BC">
      <w:pPr>
        <w:pStyle w:val="enumlev1"/>
      </w:pPr>
      <w:r w:rsidRPr="00B93493">
        <w:tab/>
        <w:t xml:space="preserve">where: </w:t>
      </w:r>
    </w:p>
    <w:p w14:paraId="52334E2F" w14:textId="77777777" w:rsidR="00CF04BC" w:rsidRPr="00B93493" w:rsidRDefault="00CF04BC" w:rsidP="00CF04BC">
      <w:pPr>
        <w:pStyle w:val="enumlev1"/>
      </w:pPr>
      <w:r w:rsidRPr="00B93493">
        <w:rPr>
          <w:b/>
          <w:bCs/>
        </w:rPr>
        <w:tab/>
        <w:t xml:space="preserve">FF </w:t>
      </w:r>
      <w:r w:rsidRPr="00B93493">
        <w:t>= Frequency Factor which will be determined as follows:</w:t>
      </w:r>
    </w:p>
    <w:p w14:paraId="154B3E5D" w14:textId="77777777" w:rsidR="00CF04BC" w:rsidRPr="00B93493" w:rsidRDefault="00CF04BC" w:rsidP="00CF04BC">
      <w:pPr>
        <w:pStyle w:val="Blanc"/>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403"/>
      </w:tblGrid>
      <w:tr w:rsidR="00CF04BC" w:rsidRPr="00B93493" w14:paraId="25409B81" w14:textId="77777777" w:rsidTr="002E7F54">
        <w:trPr>
          <w:trHeight w:val="390"/>
          <w:jc w:val="center"/>
        </w:trPr>
        <w:tc>
          <w:tcPr>
            <w:tcW w:w="2921" w:type="dxa"/>
          </w:tcPr>
          <w:p w14:paraId="02A42EBC" w14:textId="77777777" w:rsidR="00CF04BC" w:rsidRPr="00B93493" w:rsidRDefault="00CF04BC" w:rsidP="002E7F54">
            <w:pPr>
              <w:pStyle w:val="Tablehead"/>
            </w:pPr>
            <w:r w:rsidRPr="00B93493">
              <w:t>Frequency Range</w:t>
            </w:r>
          </w:p>
        </w:tc>
        <w:tc>
          <w:tcPr>
            <w:tcW w:w="2923" w:type="dxa"/>
          </w:tcPr>
          <w:p w14:paraId="6FA19791" w14:textId="77777777" w:rsidR="00CF04BC" w:rsidRPr="00B93493" w:rsidRDefault="00CF04BC" w:rsidP="002E7F54">
            <w:pPr>
              <w:pStyle w:val="Tablehead"/>
            </w:pPr>
            <w:r w:rsidRPr="00B93493">
              <w:t>Frequency Factor (FF)</w:t>
            </w:r>
          </w:p>
        </w:tc>
      </w:tr>
      <w:tr w:rsidR="00CF04BC" w:rsidRPr="00B93493" w14:paraId="3E0DD687" w14:textId="77777777" w:rsidTr="002E7F54">
        <w:trPr>
          <w:trHeight w:val="390"/>
          <w:jc w:val="center"/>
        </w:trPr>
        <w:tc>
          <w:tcPr>
            <w:tcW w:w="2921" w:type="dxa"/>
          </w:tcPr>
          <w:p w14:paraId="3A9A57CA" w14:textId="77777777" w:rsidR="00CF04BC" w:rsidRPr="00B93493" w:rsidRDefault="00CF04BC" w:rsidP="002E7F54">
            <w:pPr>
              <w:pStyle w:val="Tabletext"/>
              <w:jc w:val="center"/>
            </w:pPr>
            <w:r w:rsidRPr="00B93493">
              <w:t>900 MHz or less</w:t>
            </w:r>
          </w:p>
        </w:tc>
        <w:tc>
          <w:tcPr>
            <w:tcW w:w="2923" w:type="dxa"/>
          </w:tcPr>
          <w:p w14:paraId="4E26B580" w14:textId="77777777" w:rsidR="00CF04BC" w:rsidRPr="00B93493" w:rsidRDefault="00CF04BC" w:rsidP="002E7F54">
            <w:pPr>
              <w:pStyle w:val="Tabletext"/>
              <w:jc w:val="center"/>
            </w:pPr>
            <w:r w:rsidRPr="00B93493">
              <w:t>1.00</w:t>
            </w:r>
          </w:p>
        </w:tc>
      </w:tr>
      <w:tr w:rsidR="00CF04BC" w:rsidRPr="00B93493" w14:paraId="1CEA45FD" w14:textId="77777777" w:rsidTr="002E7F54">
        <w:trPr>
          <w:trHeight w:val="390"/>
          <w:jc w:val="center"/>
        </w:trPr>
        <w:tc>
          <w:tcPr>
            <w:tcW w:w="2921" w:type="dxa"/>
          </w:tcPr>
          <w:p w14:paraId="33EBC984" w14:textId="77777777" w:rsidR="00CF04BC" w:rsidRPr="00B93493" w:rsidRDefault="00CF04BC" w:rsidP="002E7F54">
            <w:pPr>
              <w:pStyle w:val="Tabletext"/>
              <w:jc w:val="center"/>
            </w:pPr>
            <w:r w:rsidRPr="00B93493">
              <w:t>1800 MHz</w:t>
            </w:r>
          </w:p>
        </w:tc>
        <w:tc>
          <w:tcPr>
            <w:tcW w:w="2923" w:type="dxa"/>
          </w:tcPr>
          <w:p w14:paraId="779EA9F0" w14:textId="77777777" w:rsidR="00CF04BC" w:rsidRPr="00B93493" w:rsidRDefault="00CF04BC" w:rsidP="002E7F54">
            <w:pPr>
              <w:pStyle w:val="Tabletext"/>
              <w:jc w:val="center"/>
            </w:pPr>
            <w:r w:rsidRPr="00B93493">
              <w:t>0.75</w:t>
            </w:r>
          </w:p>
        </w:tc>
      </w:tr>
      <w:tr w:rsidR="00CF04BC" w:rsidRPr="00B93493" w14:paraId="7B397CEC" w14:textId="77777777" w:rsidTr="002E7F54">
        <w:trPr>
          <w:trHeight w:val="390"/>
          <w:jc w:val="center"/>
        </w:trPr>
        <w:tc>
          <w:tcPr>
            <w:tcW w:w="2921" w:type="dxa"/>
          </w:tcPr>
          <w:p w14:paraId="628BC0AB" w14:textId="77777777" w:rsidR="00CF04BC" w:rsidRPr="00B93493" w:rsidRDefault="00CF04BC" w:rsidP="002E7F54">
            <w:pPr>
              <w:pStyle w:val="Tabletext"/>
              <w:jc w:val="center"/>
            </w:pPr>
            <w:r w:rsidRPr="00B93493">
              <w:t>2.1 GHz</w:t>
            </w:r>
          </w:p>
        </w:tc>
        <w:tc>
          <w:tcPr>
            <w:tcW w:w="2923" w:type="dxa"/>
          </w:tcPr>
          <w:p w14:paraId="266B3E15" w14:textId="77777777" w:rsidR="00CF04BC" w:rsidRPr="00B93493" w:rsidRDefault="00CF04BC" w:rsidP="002E7F54">
            <w:pPr>
              <w:pStyle w:val="Tabletext"/>
              <w:jc w:val="center"/>
            </w:pPr>
            <w:r w:rsidRPr="00B93493">
              <w:t>0.60</w:t>
            </w:r>
          </w:p>
        </w:tc>
      </w:tr>
      <w:tr w:rsidR="00CF04BC" w:rsidRPr="00B93493" w14:paraId="587EDFD4" w14:textId="77777777" w:rsidTr="002E7F54">
        <w:trPr>
          <w:trHeight w:val="406"/>
          <w:jc w:val="center"/>
        </w:trPr>
        <w:tc>
          <w:tcPr>
            <w:tcW w:w="2921" w:type="dxa"/>
            <w:tcBorders>
              <w:bottom w:val="single" w:sz="4" w:space="0" w:color="auto"/>
            </w:tcBorders>
          </w:tcPr>
          <w:p w14:paraId="677A6D02" w14:textId="77777777" w:rsidR="00CF04BC" w:rsidRPr="00B93493" w:rsidRDefault="00CF04BC" w:rsidP="002E7F54">
            <w:pPr>
              <w:pStyle w:val="Tabletext"/>
              <w:jc w:val="center"/>
            </w:pPr>
            <w:r w:rsidRPr="00B93493">
              <w:t>2.5 GHz</w:t>
            </w:r>
          </w:p>
        </w:tc>
        <w:tc>
          <w:tcPr>
            <w:tcW w:w="2923" w:type="dxa"/>
            <w:tcBorders>
              <w:bottom w:val="single" w:sz="4" w:space="0" w:color="auto"/>
            </w:tcBorders>
          </w:tcPr>
          <w:p w14:paraId="5EB4C88E" w14:textId="77777777" w:rsidR="00CF04BC" w:rsidRPr="00B93493" w:rsidRDefault="00CF04BC" w:rsidP="002E7F54">
            <w:pPr>
              <w:pStyle w:val="Tabletext"/>
              <w:jc w:val="center"/>
            </w:pPr>
            <w:r w:rsidRPr="00B93493">
              <w:t>0.50</w:t>
            </w:r>
          </w:p>
        </w:tc>
      </w:tr>
      <w:tr w:rsidR="00CF04BC" w:rsidRPr="00B93493" w14:paraId="21A6D9C4" w14:textId="77777777" w:rsidTr="002E7F54">
        <w:trPr>
          <w:trHeight w:val="406"/>
          <w:jc w:val="center"/>
        </w:trPr>
        <w:tc>
          <w:tcPr>
            <w:tcW w:w="5844" w:type="dxa"/>
            <w:gridSpan w:val="2"/>
            <w:tcBorders>
              <w:left w:val="nil"/>
              <w:bottom w:val="nil"/>
              <w:right w:val="nil"/>
            </w:tcBorders>
          </w:tcPr>
          <w:p w14:paraId="165DA59B" w14:textId="77777777" w:rsidR="00CF04BC" w:rsidRPr="00B93493" w:rsidRDefault="00CF04BC" w:rsidP="002E7F54">
            <w:pPr>
              <w:pStyle w:val="Tabletext"/>
            </w:pPr>
            <w:r w:rsidRPr="00B93493">
              <w:t>NOTE 1 –</w:t>
            </w:r>
            <w:r w:rsidRPr="00B93493">
              <w:rPr>
                <w:lang w:eastAsia="ko-KR"/>
              </w:rPr>
              <w:t> </w:t>
            </w:r>
            <w:r w:rsidRPr="00B93493">
              <w:t>The TRA shall have the sole discretion to determine the Frequency Factor (FF) for any other frequency range not mentioned above, requested for Public Land Mobile or similar services.</w:t>
            </w:r>
          </w:p>
        </w:tc>
      </w:tr>
    </w:tbl>
    <w:p w14:paraId="18FCFF5C" w14:textId="77777777" w:rsidR="00CF04BC" w:rsidRPr="00B93493" w:rsidRDefault="00CF04BC" w:rsidP="00CF04BC">
      <w:pPr>
        <w:pStyle w:val="Tablefin"/>
      </w:pPr>
    </w:p>
    <w:p w14:paraId="3CDD2704" w14:textId="77777777" w:rsidR="00CF04BC" w:rsidRPr="00B93493" w:rsidRDefault="00CF04BC" w:rsidP="00CF04BC">
      <w:pPr>
        <w:pStyle w:val="enumlev1"/>
        <w:keepNext/>
      </w:pPr>
      <w:r w:rsidRPr="00B93493">
        <w:rPr>
          <w:b/>
          <w:bCs/>
        </w:rPr>
        <w:tab/>
        <w:t xml:space="preserve">CF </w:t>
      </w:r>
      <w:r w:rsidRPr="00B93493">
        <w:t>=</w:t>
      </w:r>
      <w:r w:rsidRPr="00B93493">
        <w:rPr>
          <w:b/>
          <w:bCs/>
        </w:rPr>
        <w:t xml:space="preserve"> </w:t>
      </w:r>
      <w:r w:rsidRPr="00B93493">
        <w:t xml:space="preserve">Coverage Factor depending on the geographical area which will be determined as follows: </w:t>
      </w:r>
    </w:p>
    <w:p w14:paraId="0B2E9FF2" w14:textId="77777777" w:rsidR="00CF04BC" w:rsidRPr="00B93493" w:rsidRDefault="00CF04BC" w:rsidP="00CF04BC">
      <w:pPr>
        <w:pStyle w:val="Blanc"/>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5"/>
        <w:gridCol w:w="1438"/>
        <w:gridCol w:w="1617"/>
        <w:gridCol w:w="2872"/>
        <w:gridCol w:w="2077"/>
      </w:tblGrid>
      <w:tr w:rsidR="00CF04BC" w:rsidRPr="00B93493" w14:paraId="38BCF0F8" w14:textId="77777777" w:rsidTr="002E7F54">
        <w:trPr>
          <w:trHeight w:val="335"/>
          <w:jc w:val="right"/>
        </w:trPr>
        <w:tc>
          <w:tcPr>
            <w:tcW w:w="875" w:type="dxa"/>
          </w:tcPr>
          <w:p w14:paraId="16BAB213" w14:textId="77777777" w:rsidR="00CF04BC" w:rsidRPr="00B93493" w:rsidRDefault="00CF04BC" w:rsidP="002E7F54">
            <w:pPr>
              <w:pStyle w:val="Tablehead"/>
            </w:pPr>
            <w:r w:rsidRPr="00B93493">
              <w:t xml:space="preserve">Area </w:t>
            </w:r>
          </w:p>
        </w:tc>
        <w:tc>
          <w:tcPr>
            <w:tcW w:w="1440" w:type="dxa"/>
          </w:tcPr>
          <w:p w14:paraId="134E4E5C" w14:textId="77777777" w:rsidR="00CF04BC" w:rsidRPr="00B93493" w:rsidRDefault="00CF04BC" w:rsidP="002E7F54">
            <w:pPr>
              <w:pStyle w:val="Tablehead"/>
            </w:pPr>
            <w:r w:rsidRPr="00B93493">
              <w:t xml:space="preserve">Rural area or within premises </w:t>
            </w:r>
          </w:p>
        </w:tc>
        <w:tc>
          <w:tcPr>
            <w:tcW w:w="1620" w:type="dxa"/>
          </w:tcPr>
          <w:p w14:paraId="3E20CF87" w14:textId="77777777" w:rsidR="00CF04BC" w:rsidRPr="00B93493" w:rsidRDefault="00CF04BC" w:rsidP="002E7F54">
            <w:pPr>
              <w:pStyle w:val="Tablehead"/>
            </w:pPr>
            <w:r w:rsidRPr="00B93493">
              <w:t>Urban city area within one Emirate</w:t>
            </w:r>
          </w:p>
        </w:tc>
        <w:tc>
          <w:tcPr>
            <w:tcW w:w="2880" w:type="dxa"/>
          </w:tcPr>
          <w:p w14:paraId="0BC6390D" w14:textId="77777777" w:rsidR="00CF04BC" w:rsidRPr="00B93493" w:rsidRDefault="00CF04BC" w:rsidP="002E7F54">
            <w:pPr>
              <w:pStyle w:val="Tablehead"/>
            </w:pPr>
            <w:r w:rsidRPr="00B93493">
              <w:t xml:space="preserve">Emirate wide </w:t>
            </w:r>
          </w:p>
        </w:tc>
        <w:tc>
          <w:tcPr>
            <w:tcW w:w="2081" w:type="dxa"/>
          </w:tcPr>
          <w:p w14:paraId="4E875461" w14:textId="77777777" w:rsidR="00CF04BC" w:rsidRPr="00B93493" w:rsidRDefault="00CF04BC" w:rsidP="002E7F54">
            <w:pPr>
              <w:pStyle w:val="Tablehead"/>
            </w:pPr>
            <w:r w:rsidRPr="00B93493">
              <w:t xml:space="preserve">More than Three Emirates </w:t>
            </w:r>
          </w:p>
        </w:tc>
      </w:tr>
      <w:tr w:rsidR="00CF04BC" w:rsidRPr="00B93493" w14:paraId="5E0BF61D" w14:textId="77777777" w:rsidTr="002E7F54">
        <w:trPr>
          <w:trHeight w:val="335"/>
          <w:jc w:val="right"/>
        </w:trPr>
        <w:tc>
          <w:tcPr>
            <w:tcW w:w="875" w:type="dxa"/>
          </w:tcPr>
          <w:p w14:paraId="43752ADE" w14:textId="77777777" w:rsidR="00CF04BC" w:rsidRPr="00B93493" w:rsidRDefault="00CF04BC" w:rsidP="002E7F54">
            <w:pPr>
              <w:pStyle w:val="Tabletext"/>
              <w:jc w:val="center"/>
            </w:pPr>
            <w:r w:rsidRPr="00B93493">
              <w:t>CF</w:t>
            </w:r>
          </w:p>
        </w:tc>
        <w:tc>
          <w:tcPr>
            <w:tcW w:w="1440" w:type="dxa"/>
          </w:tcPr>
          <w:p w14:paraId="00FA5926" w14:textId="77777777" w:rsidR="00CF04BC" w:rsidRPr="00B93493" w:rsidRDefault="00CF04BC" w:rsidP="002E7F54">
            <w:pPr>
              <w:pStyle w:val="Tabletext"/>
              <w:jc w:val="center"/>
            </w:pPr>
            <w:r w:rsidRPr="00B93493">
              <w:t>100</w:t>
            </w:r>
          </w:p>
        </w:tc>
        <w:tc>
          <w:tcPr>
            <w:tcW w:w="1620" w:type="dxa"/>
          </w:tcPr>
          <w:p w14:paraId="1F3AB9C2" w14:textId="77777777" w:rsidR="00CF04BC" w:rsidRPr="00B93493" w:rsidRDefault="00CF04BC" w:rsidP="002E7F54">
            <w:pPr>
              <w:pStyle w:val="Tabletext"/>
              <w:jc w:val="center"/>
            </w:pPr>
            <w:r w:rsidRPr="00B93493">
              <w:t>500</w:t>
            </w:r>
          </w:p>
        </w:tc>
        <w:tc>
          <w:tcPr>
            <w:tcW w:w="2880" w:type="dxa"/>
          </w:tcPr>
          <w:p w14:paraId="2AF50EBC" w14:textId="77777777" w:rsidR="00CF04BC" w:rsidRPr="00B93493" w:rsidRDefault="00CF04BC" w:rsidP="002E7F54">
            <w:pPr>
              <w:pStyle w:val="Tabletext"/>
            </w:pPr>
            <w:r w:rsidRPr="00B93493">
              <w:t>2.000 for Abu Dhabi or Dubai</w:t>
            </w:r>
          </w:p>
          <w:p w14:paraId="16431DAD" w14:textId="77777777" w:rsidR="00CF04BC" w:rsidRPr="00B93493" w:rsidRDefault="00CF04BC" w:rsidP="002E7F54">
            <w:pPr>
              <w:pStyle w:val="Tabletext"/>
            </w:pPr>
            <w:r w:rsidRPr="00B93493">
              <w:t>1.000 for other Emirates</w:t>
            </w:r>
          </w:p>
        </w:tc>
        <w:tc>
          <w:tcPr>
            <w:tcW w:w="2081" w:type="dxa"/>
          </w:tcPr>
          <w:p w14:paraId="27D629BD" w14:textId="77777777" w:rsidR="00CF04BC" w:rsidRPr="00B93493" w:rsidRDefault="00CF04BC" w:rsidP="002E7F54">
            <w:pPr>
              <w:pStyle w:val="Tabletext"/>
              <w:jc w:val="center"/>
            </w:pPr>
            <w:r w:rsidRPr="00B93493">
              <w:t>4.000</w:t>
            </w:r>
          </w:p>
        </w:tc>
      </w:tr>
    </w:tbl>
    <w:p w14:paraId="0BED8C72" w14:textId="77777777" w:rsidR="00CF04BC" w:rsidRPr="00B93493" w:rsidRDefault="00CF04BC" w:rsidP="00CF04BC">
      <w:pPr>
        <w:pStyle w:val="Tablefin"/>
      </w:pPr>
    </w:p>
    <w:p w14:paraId="33319B60" w14:textId="77777777" w:rsidR="00CF04BC" w:rsidRPr="00B93493" w:rsidRDefault="00CF04BC" w:rsidP="00CF04BC">
      <w:pPr>
        <w:pStyle w:val="enumlev1"/>
      </w:pPr>
      <w:r w:rsidRPr="00B93493">
        <w:rPr>
          <w:b/>
          <w:bCs/>
        </w:rPr>
        <w:tab/>
        <w:t xml:space="preserve">P </w:t>
      </w:r>
      <w:r w:rsidRPr="00B93493">
        <w:t>= Price per MHz, presently set at 978,560 AED (Nine Hundred Seventy Eight Thousands Five Hundred and Sixty Only) per year. The TRA may conduct a study at appropriate intervals to review this price.</w:t>
      </w:r>
    </w:p>
    <w:p w14:paraId="112280ED" w14:textId="77777777" w:rsidR="00CF04BC" w:rsidRPr="00B93493" w:rsidRDefault="00CF04BC" w:rsidP="00CF04BC">
      <w:pPr>
        <w:pStyle w:val="enumlev1"/>
      </w:pPr>
      <w:r w:rsidRPr="00B93493">
        <w:rPr>
          <w:b/>
          <w:bCs/>
        </w:rPr>
        <w:tab/>
        <w:t>BW</w:t>
      </w:r>
      <w:r w:rsidRPr="00B93493">
        <w:t xml:space="preserve"> = Assigned Bandwidth in MHz where for duplex assignment of 2 × 20 MHz shall be taken as 40 MHz.</w:t>
      </w:r>
    </w:p>
    <w:p w14:paraId="73B8CFC6" w14:textId="77777777" w:rsidR="00CF04BC" w:rsidRPr="00B93493" w:rsidRDefault="00CF04BC" w:rsidP="00CF04BC">
      <w:pPr>
        <w:pStyle w:val="Note"/>
        <w:ind w:left="794" w:hanging="794"/>
      </w:pPr>
      <w:r w:rsidRPr="00B93493">
        <w:rPr>
          <w:b/>
          <w:bCs/>
        </w:rPr>
        <w:tab/>
      </w:r>
      <w:r w:rsidRPr="00B93493">
        <w:t>NOTE 1 – The TRA shall have the sole discretion to determine the Coverage Factor for an Application.</w:t>
      </w:r>
    </w:p>
    <w:p w14:paraId="1407CA4E" w14:textId="77777777" w:rsidR="00CF04BC" w:rsidRPr="00B93493" w:rsidRDefault="00CF04BC" w:rsidP="00CF04BC">
      <w:pPr>
        <w:pStyle w:val="ArtNo"/>
      </w:pPr>
      <w:r w:rsidRPr="00B93493">
        <w:t>ARTICLE (12)</w:t>
      </w:r>
    </w:p>
    <w:p w14:paraId="09E8D10E" w14:textId="77777777" w:rsidR="00CF04BC" w:rsidRPr="00B93493" w:rsidRDefault="00CF04BC" w:rsidP="00CF04BC">
      <w:pPr>
        <w:pStyle w:val="Arttitle"/>
      </w:pPr>
      <w:bookmarkStart w:id="2722" w:name="_Toc237657983"/>
      <w:r w:rsidRPr="00B93493">
        <w:t>Spectrum Fees for Private Mobile Radio, Paging, Trunking</w:t>
      </w:r>
      <w:bookmarkEnd w:id="2722"/>
      <w:r w:rsidRPr="00B93493">
        <w:t xml:space="preserve"> and PAMR</w:t>
      </w:r>
    </w:p>
    <w:p w14:paraId="43A8BAD6" w14:textId="77777777" w:rsidR="00CF04BC" w:rsidRPr="00B93493" w:rsidRDefault="00CF04BC" w:rsidP="00CF04BC">
      <w:pPr>
        <w:pStyle w:val="enumlev1"/>
      </w:pPr>
      <w:r w:rsidRPr="00B93493">
        <w:t>12.1</w:t>
      </w:r>
      <w:r w:rsidRPr="00B93493">
        <w:tab/>
        <w:t xml:space="preserve">The Annual Spectrum Fees for Private Mobile Radio (in the frequency range of 30 MHz to 700 MHz) shall be calculated as follows: </w:t>
      </w:r>
    </w:p>
    <w:p w14:paraId="3B1478C9" w14:textId="77777777" w:rsidR="00CF04BC" w:rsidRPr="00B93493" w:rsidRDefault="00CF04BC" w:rsidP="00CF04BC">
      <w:pPr>
        <w:pStyle w:val="Equation"/>
      </w:pPr>
      <w:r w:rsidRPr="00B93493">
        <w:tab/>
      </w:r>
      <w:r w:rsidRPr="00B93493">
        <w:tab/>
        <w:t>Spectrum Fees = NC × CF + SUM (WE × 500 × PF)</w:t>
      </w:r>
    </w:p>
    <w:p w14:paraId="1B6A9715" w14:textId="77777777" w:rsidR="00CF04BC" w:rsidRPr="00B93493" w:rsidRDefault="00CF04BC" w:rsidP="00CF04BC">
      <w:pPr>
        <w:pStyle w:val="enumlev1"/>
        <w:keepNext/>
        <w:keepLines/>
      </w:pPr>
      <w:r w:rsidRPr="00B93493">
        <w:tab/>
        <w:t xml:space="preserve">where: </w:t>
      </w:r>
    </w:p>
    <w:p w14:paraId="6332AEDC" w14:textId="77777777" w:rsidR="00CF04BC" w:rsidRPr="00B93493" w:rsidRDefault="00CF04BC" w:rsidP="00CF04BC">
      <w:pPr>
        <w:pStyle w:val="enumlev1"/>
        <w:keepNext/>
        <w:keepLines/>
      </w:pPr>
      <w:r w:rsidRPr="00B93493">
        <w:rPr>
          <w:b/>
          <w:bCs/>
        </w:rPr>
        <w:tab/>
        <w:t xml:space="preserve">NC </w:t>
      </w:r>
      <w:r w:rsidRPr="00B93493">
        <w:t>=</w:t>
      </w:r>
      <w:r w:rsidRPr="00B93493">
        <w:rPr>
          <w:b/>
          <w:bCs/>
        </w:rPr>
        <w:t xml:space="preserve"> </w:t>
      </w:r>
      <w:r w:rsidRPr="00B93493">
        <w:t xml:space="preserve">Number of Channels (6.25 kHz bandwidth equivalents each) that will be assigned to the Applicant. </w:t>
      </w:r>
    </w:p>
    <w:p w14:paraId="2A6B0A89" w14:textId="77777777" w:rsidR="00CF04BC" w:rsidRPr="00B93493" w:rsidRDefault="00CF04BC" w:rsidP="00CF04BC">
      <w:pPr>
        <w:pStyle w:val="enumlev1"/>
      </w:pPr>
      <w:r w:rsidRPr="00B93493">
        <w:rPr>
          <w:b/>
          <w:bCs/>
        </w:rPr>
        <w:tab/>
        <w:t xml:space="preserve">WE </w:t>
      </w:r>
      <w:r w:rsidRPr="00B93493">
        <w:t>=</w:t>
      </w:r>
      <w:r w:rsidRPr="00B93493">
        <w:rPr>
          <w:b/>
          <w:bCs/>
        </w:rPr>
        <w:t xml:space="preserve"> </w:t>
      </w:r>
      <w:r w:rsidRPr="00B93493">
        <w:t xml:space="preserve">Wireless Equipment (including handhelds) will be included in the calculation. </w:t>
      </w:r>
    </w:p>
    <w:p w14:paraId="677FF0B9" w14:textId="77777777" w:rsidR="00CF04BC" w:rsidRPr="00B93493" w:rsidRDefault="00CF04BC" w:rsidP="00CF04BC">
      <w:pPr>
        <w:pStyle w:val="enumlev1"/>
      </w:pPr>
      <w:r w:rsidRPr="00B93493">
        <w:rPr>
          <w:b/>
          <w:bCs/>
        </w:rPr>
        <w:tab/>
        <w:t xml:space="preserve">SUM (WE × 500 × PF) </w:t>
      </w:r>
      <w:r w:rsidRPr="00B93493">
        <w:t>=</w:t>
      </w:r>
      <w:r w:rsidRPr="00B93493">
        <w:rPr>
          <w:b/>
          <w:bCs/>
        </w:rPr>
        <w:t xml:space="preserve"> </w:t>
      </w:r>
      <w:r w:rsidRPr="00B93493">
        <w:t xml:space="preserve">Total sum of (each Wireless Equipment multiplied by 500 multiplied by Power Factor). </w:t>
      </w:r>
    </w:p>
    <w:p w14:paraId="3242E9EF" w14:textId="77777777" w:rsidR="00CF04BC" w:rsidRPr="00B93493" w:rsidRDefault="00CF04BC" w:rsidP="00CF04BC">
      <w:pPr>
        <w:pStyle w:val="enumlev1"/>
      </w:pPr>
      <w:r w:rsidRPr="00B93493">
        <w:rPr>
          <w:b/>
          <w:bCs/>
        </w:rPr>
        <w:tab/>
        <w:t xml:space="preserve">PF </w:t>
      </w:r>
      <w:r w:rsidRPr="00B93493">
        <w:t>=</w:t>
      </w:r>
      <w:r w:rsidRPr="00B93493">
        <w:rPr>
          <w:b/>
          <w:bCs/>
        </w:rPr>
        <w:t xml:space="preserve"> </w:t>
      </w:r>
      <w:r w:rsidRPr="00B93493">
        <w:t xml:space="preserve">Power Factor depending on the authorized radiated power (e.i.r.p.) for the Equipment which will be determined as follows: </w:t>
      </w:r>
    </w:p>
    <w:p w14:paraId="4C1551E9" w14:textId="77777777" w:rsidR="00CF04BC" w:rsidRPr="00B93493" w:rsidRDefault="00CF04BC" w:rsidP="00CF04BC">
      <w:pPr>
        <w:pStyle w:val="Blanc"/>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13"/>
        <w:gridCol w:w="1931"/>
        <w:gridCol w:w="1156"/>
        <w:gridCol w:w="1517"/>
        <w:gridCol w:w="1654"/>
        <w:gridCol w:w="1108"/>
      </w:tblGrid>
      <w:tr w:rsidR="00CF04BC" w:rsidRPr="00B93493" w14:paraId="7AFA7A56" w14:textId="77777777" w:rsidTr="002E7F54">
        <w:trPr>
          <w:trHeight w:val="330"/>
          <w:jc w:val="right"/>
        </w:trPr>
        <w:tc>
          <w:tcPr>
            <w:tcW w:w="1513" w:type="dxa"/>
          </w:tcPr>
          <w:p w14:paraId="68F43A8C" w14:textId="77777777" w:rsidR="00CF04BC" w:rsidRPr="00B93493" w:rsidRDefault="00CF04BC" w:rsidP="002E7F54">
            <w:pPr>
              <w:pStyle w:val="Tablehead"/>
            </w:pPr>
            <w:r w:rsidRPr="00B93493">
              <w:t xml:space="preserve">Power </w:t>
            </w:r>
          </w:p>
        </w:tc>
        <w:tc>
          <w:tcPr>
            <w:tcW w:w="0" w:type="auto"/>
          </w:tcPr>
          <w:p w14:paraId="7C770411" w14:textId="77777777" w:rsidR="00CF04BC" w:rsidRPr="00B93493" w:rsidRDefault="00CF04BC" w:rsidP="002E7F54">
            <w:pPr>
              <w:pStyle w:val="Tablehead"/>
            </w:pPr>
            <w:r w:rsidRPr="00B93493">
              <w:t>Less than 1 W</w:t>
            </w:r>
          </w:p>
        </w:tc>
        <w:tc>
          <w:tcPr>
            <w:tcW w:w="0" w:type="auto"/>
          </w:tcPr>
          <w:p w14:paraId="7CE40000" w14:textId="77777777" w:rsidR="00CF04BC" w:rsidRPr="00B93493" w:rsidRDefault="00CF04BC" w:rsidP="002E7F54">
            <w:pPr>
              <w:pStyle w:val="Tablehead"/>
            </w:pPr>
            <w:r w:rsidRPr="00B93493">
              <w:t xml:space="preserve">1 – 5 W </w:t>
            </w:r>
          </w:p>
        </w:tc>
        <w:tc>
          <w:tcPr>
            <w:tcW w:w="0" w:type="auto"/>
          </w:tcPr>
          <w:p w14:paraId="51E0FBB5" w14:textId="77777777" w:rsidR="00CF04BC" w:rsidRPr="00B93493" w:rsidRDefault="00CF04BC" w:rsidP="002E7F54">
            <w:pPr>
              <w:pStyle w:val="Tablehead"/>
            </w:pPr>
            <w:r w:rsidRPr="00B93493">
              <w:t xml:space="preserve">&gt; 5 – 10 W </w:t>
            </w:r>
          </w:p>
        </w:tc>
        <w:tc>
          <w:tcPr>
            <w:tcW w:w="0" w:type="auto"/>
          </w:tcPr>
          <w:p w14:paraId="3F252466" w14:textId="77777777" w:rsidR="00CF04BC" w:rsidRPr="00B93493" w:rsidRDefault="00CF04BC" w:rsidP="002E7F54">
            <w:pPr>
              <w:pStyle w:val="Tablehead"/>
            </w:pPr>
            <w:r w:rsidRPr="00B93493">
              <w:t xml:space="preserve">&gt; 10 – 20 W </w:t>
            </w:r>
          </w:p>
        </w:tc>
        <w:tc>
          <w:tcPr>
            <w:tcW w:w="0" w:type="auto"/>
          </w:tcPr>
          <w:p w14:paraId="0EF22823" w14:textId="77777777" w:rsidR="00CF04BC" w:rsidRPr="00B93493" w:rsidRDefault="00CF04BC" w:rsidP="002E7F54">
            <w:pPr>
              <w:pStyle w:val="Tablehead"/>
            </w:pPr>
            <w:r w:rsidRPr="00B93493">
              <w:t>&gt; 20 W</w:t>
            </w:r>
          </w:p>
        </w:tc>
      </w:tr>
      <w:tr w:rsidR="00CF04BC" w:rsidRPr="00B93493" w14:paraId="26FE576C" w14:textId="77777777" w:rsidTr="002E7F54">
        <w:trPr>
          <w:trHeight w:val="330"/>
          <w:jc w:val="right"/>
        </w:trPr>
        <w:tc>
          <w:tcPr>
            <w:tcW w:w="1513" w:type="dxa"/>
          </w:tcPr>
          <w:p w14:paraId="76343B36" w14:textId="77777777" w:rsidR="00CF04BC" w:rsidRPr="00B93493" w:rsidRDefault="00CF04BC" w:rsidP="002E7F54">
            <w:pPr>
              <w:pStyle w:val="Tabletext"/>
              <w:jc w:val="center"/>
            </w:pPr>
            <w:r w:rsidRPr="00B93493">
              <w:t>PF</w:t>
            </w:r>
          </w:p>
        </w:tc>
        <w:tc>
          <w:tcPr>
            <w:tcW w:w="0" w:type="auto"/>
          </w:tcPr>
          <w:p w14:paraId="4CD07E21" w14:textId="77777777" w:rsidR="00CF04BC" w:rsidRPr="00B93493" w:rsidRDefault="00CF04BC" w:rsidP="002E7F54">
            <w:pPr>
              <w:pStyle w:val="Tabletext"/>
              <w:jc w:val="center"/>
            </w:pPr>
            <w:r w:rsidRPr="00B93493">
              <w:t>0.25</w:t>
            </w:r>
          </w:p>
        </w:tc>
        <w:tc>
          <w:tcPr>
            <w:tcW w:w="0" w:type="auto"/>
          </w:tcPr>
          <w:p w14:paraId="75838709" w14:textId="77777777" w:rsidR="00CF04BC" w:rsidRPr="00B93493" w:rsidRDefault="00CF04BC" w:rsidP="002E7F54">
            <w:pPr>
              <w:pStyle w:val="Tabletext"/>
              <w:jc w:val="center"/>
            </w:pPr>
            <w:r w:rsidRPr="00B93493">
              <w:t>1</w:t>
            </w:r>
          </w:p>
        </w:tc>
        <w:tc>
          <w:tcPr>
            <w:tcW w:w="0" w:type="auto"/>
          </w:tcPr>
          <w:p w14:paraId="51E0564F" w14:textId="77777777" w:rsidR="00CF04BC" w:rsidRPr="00B93493" w:rsidRDefault="00CF04BC" w:rsidP="002E7F54">
            <w:pPr>
              <w:pStyle w:val="Tabletext"/>
              <w:jc w:val="center"/>
            </w:pPr>
            <w:r w:rsidRPr="00B93493">
              <w:t>2</w:t>
            </w:r>
          </w:p>
        </w:tc>
        <w:tc>
          <w:tcPr>
            <w:tcW w:w="0" w:type="auto"/>
          </w:tcPr>
          <w:p w14:paraId="265C0039" w14:textId="77777777" w:rsidR="00CF04BC" w:rsidRPr="00B93493" w:rsidRDefault="00CF04BC" w:rsidP="002E7F54">
            <w:pPr>
              <w:pStyle w:val="Tabletext"/>
              <w:jc w:val="center"/>
            </w:pPr>
            <w:r w:rsidRPr="00B93493">
              <w:t>3</w:t>
            </w:r>
          </w:p>
        </w:tc>
        <w:tc>
          <w:tcPr>
            <w:tcW w:w="0" w:type="auto"/>
          </w:tcPr>
          <w:p w14:paraId="32815749" w14:textId="77777777" w:rsidR="00CF04BC" w:rsidRPr="00B93493" w:rsidRDefault="00CF04BC" w:rsidP="002E7F54">
            <w:pPr>
              <w:pStyle w:val="Tabletext"/>
              <w:jc w:val="center"/>
            </w:pPr>
            <w:r w:rsidRPr="00B93493">
              <w:t>4</w:t>
            </w:r>
          </w:p>
        </w:tc>
      </w:tr>
    </w:tbl>
    <w:p w14:paraId="066CA427" w14:textId="77777777" w:rsidR="00CF04BC" w:rsidRPr="00B93493" w:rsidRDefault="00CF04BC" w:rsidP="00CF04BC">
      <w:pPr>
        <w:pStyle w:val="Tablefin"/>
      </w:pPr>
    </w:p>
    <w:p w14:paraId="10E21E73" w14:textId="77777777" w:rsidR="00CF04BC" w:rsidRPr="00B93493" w:rsidRDefault="00CF04BC" w:rsidP="00CF04BC">
      <w:pPr>
        <w:pStyle w:val="enumlev1"/>
      </w:pPr>
      <w:r w:rsidRPr="00B93493">
        <w:rPr>
          <w:b/>
          <w:bCs/>
        </w:rPr>
        <w:tab/>
        <w:t xml:space="preserve">CF </w:t>
      </w:r>
      <w:r w:rsidRPr="00B93493">
        <w:t>=</w:t>
      </w:r>
      <w:r w:rsidRPr="00B93493">
        <w:rPr>
          <w:b/>
          <w:bCs/>
        </w:rPr>
        <w:t xml:space="preserve"> </w:t>
      </w:r>
      <w:r w:rsidRPr="00B93493">
        <w:t xml:space="preserve">Coverage Factor depending on the geographical area which will be determined as follows: </w:t>
      </w:r>
    </w:p>
    <w:p w14:paraId="4DB6D0AF" w14:textId="77777777" w:rsidR="00CF04BC" w:rsidRPr="00B93493" w:rsidRDefault="00CF04BC" w:rsidP="00CF04BC">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440"/>
        <w:gridCol w:w="1620"/>
        <w:gridCol w:w="2801"/>
        <w:gridCol w:w="2160"/>
      </w:tblGrid>
      <w:tr w:rsidR="00CF04BC" w:rsidRPr="00B93493" w14:paraId="010C4C37" w14:textId="77777777" w:rsidTr="002E7F54">
        <w:trPr>
          <w:trHeight w:val="335"/>
          <w:jc w:val="right"/>
        </w:trPr>
        <w:tc>
          <w:tcPr>
            <w:tcW w:w="861" w:type="dxa"/>
          </w:tcPr>
          <w:p w14:paraId="7970982C" w14:textId="77777777" w:rsidR="00CF04BC" w:rsidRPr="00B93493" w:rsidRDefault="00CF04BC" w:rsidP="002E7F54">
            <w:pPr>
              <w:pStyle w:val="Tablehead"/>
            </w:pPr>
            <w:r w:rsidRPr="00B93493">
              <w:t xml:space="preserve">Area </w:t>
            </w:r>
          </w:p>
        </w:tc>
        <w:tc>
          <w:tcPr>
            <w:tcW w:w="1440" w:type="dxa"/>
          </w:tcPr>
          <w:p w14:paraId="6F8ABE93" w14:textId="77777777" w:rsidR="00CF04BC" w:rsidRPr="00B93493" w:rsidRDefault="00CF04BC" w:rsidP="002E7F54">
            <w:pPr>
              <w:pStyle w:val="Tablehead"/>
            </w:pPr>
            <w:r w:rsidRPr="00B93493">
              <w:t xml:space="preserve">Rural area or within premises </w:t>
            </w:r>
          </w:p>
        </w:tc>
        <w:tc>
          <w:tcPr>
            <w:tcW w:w="1620" w:type="dxa"/>
          </w:tcPr>
          <w:p w14:paraId="38BE1180" w14:textId="77777777" w:rsidR="00CF04BC" w:rsidRPr="00B93493" w:rsidRDefault="00CF04BC" w:rsidP="002E7F54">
            <w:pPr>
              <w:pStyle w:val="Tablehead"/>
            </w:pPr>
            <w:r w:rsidRPr="00B93493">
              <w:t>Urban city area within one Emirate</w:t>
            </w:r>
          </w:p>
        </w:tc>
        <w:tc>
          <w:tcPr>
            <w:tcW w:w="2801" w:type="dxa"/>
          </w:tcPr>
          <w:p w14:paraId="6EB23E54" w14:textId="77777777" w:rsidR="00CF04BC" w:rsidRPr="00B93493" w:rsidRDefault="00CF04BC" w:rsidP="002E7F54">
            <w:pPr>
              <w:pStyle w:val="Tablehead"/>
            </w:pPr>
            <w:r w:rsidRPr="00B93493">
              <w:t xml:space="preserve">Emirate wide </w:t>
            </w:r>
          </w:p>
        </w:tc>
        <w:tc>
          <w:tcPr>
            <w:tcW w:w="2160" w:type="dxa"/>
          </w:tcPr>
          <w:p w14:paraId="470E0CC2" w14:textId="77777777" w:rsidR="00CF04BC" w:rsidRPr="00B93493" w:rsidRDefault="00CF04BC" w:rsidP="002E7F54">
            <w:pPr>
              <w:pStyle w:val="Tablehead"/>
            </w:pPr>
            <w:r w:rsidRPr="00B93493">
              <w:t xml:space="preserve">More than Three Emirates </w:t>
            </w:r>
          </w:p>
        </w:tc>
      </w:tr>
      <w:tr w:rsidR="00CF04BC" w:rsidRPr="00B93493" w14:paraId="1112F283" w14:textId="77777777" w:rsidTr="002E7F54">
        <w:trPr>
          <w:trHeight w:val="335"/>
          <w:jc w:val="right"/>
        </w:trPr>
        <w:tc>
          <w:tcPr>
            <w:tcW w:w="861" w:type="dxa"/>
            <w:tcBorders>
              <w:bottom w:val="single" w:sz="2" w:space="0" w:color="auto"/>
            </w:tcBorders>
          </w:tcPr>
          <w:p w14:paraId="4FD4965F" w14:textId="77777777" w:rsidR="00CF04BC" w:rsidRPr="00B93493" w:rsidRDefault="00CF04BC" w:rsidP="002E7F54">
            <w:pPr>
              <w:pStyle w:val="Tabletext"/>
              <w:jc w:val="center"/>
            </w:pPr>
            <w:r w:rsidRPr="00B93493">
              <w:t>CF</w:t>
            </w:r>
          </w:p>
        </w:tc>
        <w:tc>
          <w:tcPr>
            <w:tcW w:w="1440" w:type="dxa"/>
            <w:tcBorders>
              <w:bottom w:val="single" w:sz="2" w:space="0" w:color="auto"/>
            </w:tcBorders>
          </w:tcPr>
          <w:p w14:paraId="2999A3CA" w14:textId="77777777" w:rsidR="00CF04BC" w:rsidRPr="00B93493" w:rsidRDefault="00CF04BC" w:rsidP="002E7F54">
            <w:pPr>
              <w:pStyle w:val="Tabletext"/>
              <w:jc w:val="center"/>
            </w:pPr>
            <w:r w:rsidRPr="00B93493">
              <w:t>100</w:t>
            </w:r>
          </w:p>
        </w:tc>
        <w:tc>
          <w:tcPr>
            <w:tcW w:w="1620" w:type="dxa"/>
            <w:tcBorders>
              <w:bottom w:val="single" w:sz="2" w:space="0" w:color="auto"/>
            </w:tcBorders>
          </w:tcPr>
          <w:p w14:paraId="062D4332" w14:textId="77777777" w:rsidR="00CF04BC" w:rsidRPr="00B93493" w:rsidRDefault="00CF04BC" w:rsidP="002E7F54">
            <w:pPr>
              <w:pStyle w:val="Tabletext"/>
              <w:jc w:val="center"/>
            </w:pPr>
            <w:r w:rsidRPr="00B93493">
              <w:t>500</w:t>
            </w:r>
          </w:p>
        </w:tc>
        <w:tc>
          <w:tcPr>
            <w:tcW w:w="2801" w:type="dxa"/>
            <w:tcBorders>
              <w:bottom w:val="single" w:sz="2" w:space="0" w:color="auto"/>
            </w:tcBorders>
          </w:tcPr>
          <w:p w14:paraId="11777B3B" w14:textId="77777777" w:rsidR="00CF04BC" w:rsidRPr="00B93493" w:rsidRDefault="00CF04BC" w:rsidP="002E7F54">
            <w:pPr>
              <w:pStyle w:val="Tabletext"/>
            </w:pPr>
            <w:r w:rsidRPr="00B93493">
              <w:t>2.000 for Abu Dhabi or Dubai</w:t>
            </w:r>
          </w:p>
          <w:p w14:paraId="2FBF4467" w14:textId="77777777" w:rsidR="00CF04BC" w:rsidRPr="00B93493" w:rsidRDefault="00CF04BC" w:rsidP="002E7F54">
            <w:pPr>
              <w:pStyle w:val="Tabletext"/>
            </w:pPr>
            <w:r w:rsidRPr="00B93493">
              <w:t>1.000 for other Emirates</w:t>
            </w:r>
          </w:p>
        </w:tc>
        <w:tc>
          <w:tcPr>
            <w:tcW w:w="2160" w:type="dxa"/>
            <w:tcBorders>
              <w:bottom w:val="single" w:sz="2" w:space="0" w:color="auto"/>
            </w:tcBorders>
          </w:tcPr>
          <w:p w14:paraId="57AFDF36" w14:textId="77777777" w:rsidR="00CF04BC" w:rsidRPr="00B93493" w:rsidRDefault="00CF04BC" w:rsidP="002E7F54">
            <w:pPr>
              <w:pStyle w:val="Tabletext"/>
              <w:jc w:val="center"/>
            </w:pPr>
            <w:r w:rsidRPr="00B93493">
              <w:t>4.000</w:t>
            </w:r>
          </w:p>
        </w:tc>
      </w:tr>
      <w:tr w:rsidR="00CF04BC" w:rsidRPr="00B93493" w14:paraId="1D36449E" w14:textId="77777777" w:rsidTr="002E7F54">
        <w:trPr>
          <w:trHeight w:val="335"/>
          <w:jc w:val="right"/>
        </w:trPr>
        <w:tc>
          <w:tcPr>
            <w:tcW w:w="8882" w:type="dxa"/>
            <w:gridSpan w:val="5"/>
            <w:tcBorders>
              <w:left w:val="nil"/>
              <w:bottom w:val="nil"/>
              <w:right w:val="nil"/>
            </w:tcBorders>
          </w:tcPr>
          <w:p w14:paraId="1EEE418A" w14:textId="77777777" w:rsidR="00CF04BC" w:rsidRPr="00B93493" w:rsidRDefault="00CF04BC" w:rsidP="002E7F54">
            <w:pPr>
              <w:pStyle w:val="TableLegendNote"/>
              <w:rPr>
                <w:lang w:val="en-GB"/>
              </w:rPr>
            </w:pPr>
            <w:r w:rsidRPr="00B93493">
              <w:rPr>
                <w:lang w:val="en-GB"/>
              </w:rPr>
              <w:t>NOTE 1 – The TRA shall have the sole discretion to determine the Coverage Factor for an Application.</w:t>
            </w:r>
          </w:p>
          <w:p w14:paraId="35551C95" w14:textId="77777777" w:rsidR="00CF04BC" w:rsidRPr="00B93493" w:rsidRDefault="00CF04BC" w:rsidP="002E7F54">
            <w:pPr>
              <w:pStyle w:val="TableLegendNote"/>
              <w:rPr>
                <w:lang w:val="en-GB"/>
              </w:rPr>
            </w:pPr>
            <w:r w:rsidRPr="00B93493">
              <w:rPr>
                <w:lang w:val="en-GB"/>
              </w:rPr>
              <w:t xml:space="preserve">NOTE 2 – Private Mobile Radios Onboard Vessels shall be charged with </w:t>
            </w:r>
            <w:r w:rsidRPr="00B93493">
              <w:rPr>
                <w:b/>
                <w:bCs/>
                <w:lang w:val="en-GB"/>
              </w:rPr>
              <w:t>CF</w:t>
            </w:r>
            <w:r w:rsidRPr="00B93493">
              <w:rPr>
                <w:lang w:val="en-GB"/>
              </w:rPr>
              <w:t xml:space="preserve"> = 100.</w:t>
            </w:r>
          </w:p>
        </w:tc>
      </w:tr>
    </w:tbl>
    <w:p w14:paraId="45F315A0" w14:textId="77777777" w:rsidR="00CF04BC" w:rsidRPr="00B93493" w:rsidRDefault="00CF04BC" w:rsidP="00CF04BC">
      <w:pPr>
        <w:pStyle w:val="Tablefin"/>
      </w:pPr>
    </w:p>
    <w:p w14:paraId="199165C2" w14:textId="77777777" w:rsidR="00CF04BC" w:rsidRPr="00B93493" w:rsidRDefault="00CF04BC" w:rsidP="00CF04BC">
      <w:pPr>
        <w:pStyle w:val="enumlev1"/>
      </w:pPr>
      <w:r w:rsidRPr="00B93493">
        <w:t>12.2</w:t>
      </w:r>
      <w:r w:rsidRPr="00B93493">
        <w:tab/>
        <w:t>The Annual Spectrum Fees for Private Mobile Radio (vehicles only) which are not localized (i.e. not connected to a base station) shall be calculated as follows:</w:t>
      </w:r>
    </w:p>
    <w:p w14:paraId="79F973A7" w14:textId="77777777" w:rsidR="00CF04BC" w:rsidRPr="00B93493" w:rsidRDefault="00CF04BC" w:rsidP="00CF04BC">
      <w:pPr>
        <w:pStyle w:val="Equation"/>
      </w:pPr>
      <w:r w:rsidRPr="00B93493">
        <w:tab/>
      </w:r>
      <w:r w:rsidRPr="00B93493">
        <w:tab/>
        <w:t>Spectrum Fees = NC × CF</w:t>
      </w:r>
    </w:p>
    <w:p w14:paraId="71D6C600" w14:textId="77777777" w:rsidR="00CF04BC" w:rsidRPr="00B93493" w:rsidRDefault="00CF04BC" w:rsidP="00CF04BC">
      <w:pPr>
        <w:pStyle w:val="enumlev1"/>
      </w:pPr>
      <w:r w:rsidRPr="00B93493">
        <w:tab/>
        <w:t>where:</w:t>
      </w:r>
    </w:p>
    <w:p w14:paraId="5776E369" w14:textId="77777777" w:rsidR="00CF04BC" w:rsidRPr="00B93493" w:rsidRDefault="00CF04BC" w:rsidP="00CF04BC">
      <w:pPr>
        <w:pStyle w:val="enumlev1"/>
      </w:pPr>
      <w:r w:rsidRPr="00B93493">
        <w:rPr>
          <w:b/>
          <w:bCs/>
        </w:rPr>
        <w:tab/>
        <w:t xml:space="preserve">NC </w:t>
      </w:r>
      <w:r w:rsidRPr="00B93493">
        <w:t>=</w:t>
      </w:r>
      <w:r w:rsidRPr="00B93493">
        <w:rPr>
          <w:b/>
          <w:bCs/>
        </w:rPr>
        <w:t xml:space="preserve"> </w:t>
      </w:r>
      <w:r w:rsidRPr="00B93493">
        <w:t xml:space="preserve">Number of Channels (12.5 kHz bandwidth equivalents each) that will be assigned to the Applicant. </w:t>
      </w:r>
    </w:p>
    <w:p w14:paraId="06FF2544" w14:textId="77777777" w:rsidR="00CF04BC" w:rsidRPr="00B93493" w:rsidRDefault="00CF04BC" w:rsidP="00CF04BC">
      <w:pPr>
        <w:pStyle w:val="enumlev1"/>
      </w:pPr>
      <w:r w:rsidRPr="00B93493">
        <w:rPr>
          <w:b/>
          <w:bCs/>
        </w:rPr>
        <w:tab/>
        <w:t xml:space="preserve">CF </w:t>
      </w:r>
      <w:r w:rsidRPr="00B93493">
        <w:t>=</w:t>
      </w:r>
      <w:r w:rsidRPr="00B93493">
        <w:rPr>
          <w:b/>
          <w:bCs/>
        </w:rPr>
        <w:t xml:space="preserve"> </w:t>
      </w:r>
      <w:r w:rsidRPr="00B93493">
        <w:t xml:space="preserve">Coverage Factor depending on the geographical area which will be determined as follows: </w:t>
      </w:r>
    </w:p>
    <w:p w14:paraId="05454752" w14:textId="77777777" w:rsidR="00CF04BC" w:rsidRPr="00B93493" w:rsidRDefault="00CF04BC" w:rsidP="00C65E6B">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440"/>
        <w:gridCol w:w="1620"/>
        <w:gridCol w:w="2801"/>
        <w:gridCol w:w="2160"/>
      </w:tblGrid>
      <w:tr w:rsidR="00CF04BC" w:rsidRPr="00B93493" w14:paraId="69FB470D" w14:textId="77777777" w:rsidTr="002E7F54">
        <w:trPr>
          <w:trHeight w:val="335"/>
          <w:jc w:val="right"/>
        </w:trPr>
        <w:tc>
          <w:tcPr>
            <w:tcW w:w="861" w:type="dxa"/>
          </w:tcPr>
          <w:p w14:paraId="4DCDCF4F" w14:textId="77777777" w:rsidR="00CF04BC" w:rsidRPr="00B93493" w:rsidRDefault="00CF04BC" w:rsidP="00C65E6B">
            <w:pPr>
              <w:pStyle w:val="Tablehead"/>
              <w:keepLines/>
            </w:pPr>
            <w:r w:rsidRPr="00B93493">
              <w:t xml:space="preserve">Area </w:t>
            </w:r>
          </w:p>
        </w:tc>
        <w:tc>
          <w:tcPr>
            <w:tcW w:w="1440" w:type="dxa"/>
          </w:tcPr>
          <w:p w14:paraId="6B96DE37" w14:textId="77777777" w:rsidR="00CF04BC" w:rsidRPr="00B93493" w:rsidRDefault="00CF04BC" w:rsidP="00C65E6B">
            <w:pPr>
              <w:pStyle w:val="Tablehead"/>
              <w:keepLines/>
            </w:pPr>
            <w:r w:rsidRPr="00B93493">
              <w:t xml:space="preserve">Rural area or within premises </w:t>
            </w:r>
          </w:p>
        </w:tc>
        <w:tc>
          <w:tcPr>
            <w:tcW w:w="1620" w:type="dxa"/>
          </w:tcPr>
          <w:p w14:paraId="15D7DFFD" w14:textId="77777777" w:rsidR="00CF04BC" w:rsidRPr="00B93493" w:rsidRDefault="00CF04BC" w:rsidP="00C65E6B">
            <w:pPr>
              <w:pStyle w:val="Tablehead"/>
              <w:keepLines/>
            </w:pPr>
            <w:r w:rsidRPr="00B93493">
              <w:t>Urban city area within one Emirate</w:t>
            </w:r>
          </w:p>
        </w:tc>
        <w:tc>
          <w:tcPr>
            <w:tcW w:w="2801" w:type="dxa"/>
          </w:tcPr>
          <w:p w14:paraId="15B8B811" w14:textId="77777777" w:rsidR="00CF04BC" w:rsidRPr="00B93493" w:rsidRDefault="00CF04BC" w:rsidP="00C65E6B">
            <w:pPr>
              <w:pStyle w:val="Tablehead"/>
              <w:keepLines/>
            </w:pPr>
            <w:r w:rsidRPr="00B93493">
              <w:t xml:space="preserve">Emirate wide </w:t>
            </w:r>
          </w:p>
        </w:tc>
        <w:tc>
          <w:tcPr>
            <w:tcW w:w="2160" w:type="dxa"/>
          </w:tcPr>
          <w:p w14:paraId="6A7A1EC4" w14:textId="77777777" w:rsidR="00CF04BC" w:rsidRPr="00B93493" w:rsidRDefault="00CF04BC" w:rsidP="00C65E6B">
            <w:pPr>
              <w:pStyle w:val="Tablehead"/>
              <w:keepLines/>
            </w:pPr>
            <w:r w:rsidRPr="00B93493">
              <w:t xml:space="preserve">More than Three Emirates </w:t>
            </w:r>
          </w:p>
        </w:tc>
      </w:tr>
      <w:tr w:rsidR="00CF04BC" w:rsidRPr="00B93493" w14:paraId="3091D2CD" w14:textId="77777777" w:rsidTr="002E7F54">
        <w:trPr>
          <w:trHeight w:val="335"/>
          <w:jc w:val="right"/>
        </w:trPr>
        <w:tc>
          <w:tcPr>
            <w:tcW w:w="861" w:type="dxa"/>
            <w:tcBorders>
              <w:bottom w:val="single" w:sz="2" w:space="0" w:color="auto"/>
            </w:tcBorders>
          </w:tcPr>
          <w:p w14:paraId="67E1B59B" w14:textId="77777777" w:rsidR="00CF04BC" w:rsidRPr="00B93493" w:rsidRDefault="00CF04BC" w:rsidP="00C65E6B">
            <w:pPr>
              <w:pStyle w:val="Tabletext"/>
              <w:keepNext/>
              <w:keepLines/>
              <w:jc w:val="center"/>
            </w:pPr>
            <w:r w:rsidRPr="00B93493">
              <w:t>CF</w:t>
            </w:r>
          </w:p>
        </w:tc>
        <w:tc>
          <w:tcPr>
            <w:tcW w:w="1440" w:type="dxa"/>
            <w:tcBorders>
              <w:bottom w:val="single" w:sz="2" w:space="0" w:color="auto"/>
            </w:tcBorders>
          </w:tcPr>
          <w:p w14:paraId="5900ED20" w14:textId="77777777" w:rsidR="00CF04BC" w:rsidRPr="00B93493" w:rsidRDefault="00CF04BC" w:rsidP="00C65E6B">
            <w:pPr>
              <w:pStyle w:val="Tabletext"/>
              <w:keepNext/>
              <w:keepLines/>
              <w:jc w:val="center"/>
            </w:pPr>
            <w:r w:rsidRPr="00B93493">
              <w:t>100</w:t>
            </w:r>
          </w:p>
        </w:tc>
        <w:tc>
          <w:tcPr>
            <w:tcW w:w="1620" w:type="dxa"/>
            <w:tcBorders>
              <w:bottom w:val="single" w:sz="2" w:space="0" w:color="auto"/>
            </w:tcBorders>
          </w:tcPr>
          <w:p w14:paraId="1395BB18" w14:textId="77777777" w:rsidR="00CF04BC" w:rsidRPr="00B93493" w:rsidRDefault="00CF04BC" w:rsidP="00C65E6B">
            <w:pPr>
              <w:pStyle w:val="Tabletext"/>
              <w:keepNext/>
              <w:keepLines/>
              <w:jc w:val="center"/>
            </w:pPr>
            <w:r w:rsidRPr="00B93493">
              <w:t>500</w:t>
            </w:r>
          </w:p>
        </w:tc>
        <w:tc>
          <w:tcPr>
            <w:tcW w:w="2801" w:type="dxa"/>
            <w:tcBorders>
              <w:bottom w:val="single" w:sz="2" w:space="0" w:color="auto"/>
            </w:tcBorders>
          </w:tcPr>
          <w:p w14:paraId="723752B8" w14:textId="77777777" w:rsidR="00CF04BC" w:rsidRPr="00B93493" w:rsidRDefault="00CF04BC" w:rsidP="00C65E6B">
            <w:pPr>
              <w:pStyle w:val="Tabletext"/>
              <w:keepNext/>
              <w:keepLines/>
            </w:pPr>
            <w:r w:rsidRPr="00B93493">
              <w:t>2.000 for Abu Dhabi or Dubai and 1.000 for other Emirates</w:t>
            </w:r>
          </w:p>
        </w:tc>
        <w:tc>
          <w:tcPr>
            <w:tcW w:w="2160" w:type="dxa"/>
            <w:tcBorders>
              <w:bottom w:val="single" w:sz="2" w:space="0" w:color="auto"/>
            </w:tcBorders>
          </w:tcPr>
          <w:p w14:paraId="4F6D563A" w14:textId="77777777" w:rsidR="00CF04BC" w:rsidRPr="00B93493" w:rsidRDefault="00CF04BC" w:rsidP="00C65E6B">
            <w:pPr>
              <w:pStyle w:val="Tabletext"/>
              <w:keepNext/>
              <w:keepLines/>
              <w:jc w:val="center"/>
            </w:pPr>
            <w:r w:rsidRPr="00B93493">
              <w:t>4.000</w:t>
            </w:r>
          </w:p>
        </w:tc>
      </w:tr>
      <w:tr w:rsidR="00CF04BC" w:rsidRPr="00B93493" w14:paraId="68C4EA61" w14:textId="77777777" w:rsidTr="002E7F54">
        <w:trPr>
          <w:trHeight w:val="335"/>
          <w:jc w:val="right"/>
        </w:trPr>
        <w:tc>
          <w:tcPr>
            <w:tcW w:w="8882" w:type="dxa"/>
            <w:gridSpan w:val="5"/>
            <w:tcBorders>
              <w:left w:val="nil"/>
              <w:bottom w:val="nil"/>
              <w:right w:val="nil"/>
            </w:tcBorders>
          </w:tcPr>
          <w:p w14:paraId="6550D33E" w14:textId="77777777" w:rsidR="00CF04BC" w:rsidRPr="00B93493" w:rsidRDefault="00CF04BC" w:rsidP="00C65E6B">
            <w:pPr>
              <w:pStyle w:val="TableLegendNote"/>
              <w:keepNext/>
              <w:keepLines/>
              <w:rPr>
                <w:lang w:val="en-GB"/>
              </w:rPr>
            </w:pPr>
            <w:r w:rsidRPr="00B93493">
              <w:rPr>
                <w:lang w:val="en-GB"/>
              </w:rPr>
              <w:t>NOTE 1 –</w:t>
            </w:r>
            <w:r w:rsidRPr="00B93493">
              <w:rPr>
                <w:b/>
                <w:bCs/>
                <w:lang w:val="en-GB"/>
              </w:rPr>
              <w:t xml:space="preserve"> </w:t>
            </w:r>
            <w:r w:rsidRPr="00B93493">
              <w:rPr>
                <w:lang w:val="en-GB"/>
              </w:rPr>
              <w:t>The TRA shall have the sole discretion to determine the Coverage Factor for an Application.</w:t>
            </w:r>
          </w:p>
        </w:tc>
      </w:tr>
    </w:tbl>
    <w:p w14:paraId="65608AEA" w14:textId="77777777" w:rsidR="00CF04BC" w:rsidRPr="00B93493" w:rsidRDefault="00CF04BC" w:rsidP="00CF04BC">
      <w:pPr>
        <w:pStyle w:val="Tablefin"/>
      </w:pPr>
    </w:p>
    <w:p w14:paraId="43BE20A1" w14:textId="77777777" w:rsidR="00CF04BC" w:rsidRPr="00B93493" w:rsidRDefault="00CF04BC" w:rsidP="00CF04BC">
      <w:pPr>
        <w:pStyle w:val="enumlev1"/>
      </w:pPr>
      <w:r w:rsidRPr="00B93493">
        <w:t>12.3</w:t>
      </w:r>
      <w:r w:rsidRPr="00B93493">
        <w:tab/>
        <w:t>The Annual Spectrum Fees for Private Mobile Radio used by the Taxi companies shall be calculated for the base station in accordance with the Article 12.2 and separate Fees of 300 AED for each Taxi fitted with a radio.</w:t>
      </w:r>
    </w:p>
    <w:p w14:paraId="6FF6905C" w14:textId="77777777" w:rsidR="00CF04BC" w:rsidRPr="00B93493" w:rsidRDefault="00CF04BC" w:rsidP="00CF04BC">
      <w:pPr>
        <w:pStyle w:val="enumlev1"/>
        <w:rPr>
          <w:color w:val="000000"/>
        </w:rPr>
      </w:pPr>
      <w:r w:rsidRPr="00B93493">
        <w:t>12.4</w:t>
      </w:r>
      <w:r w:rsidRPr="00B93493">
        <w:tab/>
        <w:t xml:space="preserve">The Annual Spectrum Fees for Private Mobile Radio used in the Camel Race Tracks </w:t>
      </w:r>
      <w:r w:rsidRPr="00B93493">
        <w:rPr>
          <w:color w:val="000000"/>
        </w:rPr>
        <w:t xml:space="preserve">shall be calculated as follows: </w:t>
      </w:r>
    </w:p>
    <w:p w14:paraId="610D0B63" w14:textId="77777777" w:rsidR="00CF04BC" w:rsidRPr="00B93493" w:rsidRDefault="00CF04BC" w:rsidP="00CF04BC">
      <w:pPr>
        <w:pStyle w:val="Equation"/>
      </w:pPr>
      <w:r w:rsidRPr="00B93493">
        <w:tab/>
      </w:r>
      <w:r w:rsidRPr="00B93493">
        <w:tab/>
        <w:t>Spectrum Fees = NC × 50 + WE × 100</w:t>
      </w:r>
    </w:p>
    <w:p w14:paraId="4C7AB971" w14:textId="77777777" w:rsidR="00CF04BC" w:rsidRPr="00B93493" w:rsidRDefault="00CF04BC" w:rsidP="00CF04BC">
      <w:pPr>
        <w:pStyle w:val="enumlev1"/>
      </w:pPr>
      <w:r w:rsidRPr="00B93493">
        <w:tab/>
        <w:t xml:space="preserve">where: </w:t>
      </w:r>
    </w:p>
    <w:p w14:paraId="1B291425" w14:textId="77777777" w:rsidR="00CF04BC" w:rsidRPr="00B93493" w:rsidRDefault="00CF04BC" w:rsidP="00CF04BC">
      <w:pPr>
        <w:pStyle w:val="enumlev1"/>
      </w:pPr>
      <w:r w:rsidRPr="00B93493">
        <w:rPr>
          <w:b/>
          <w:bCs/>
        </w:rPr>
        <w:tab/>
        <w:t xml:space="preserve">NC </w:t>
      </w:r>
      <w:r w:rsidRPr="00B93493">
        <w:t>=</w:t>
      </w:r>
      <w:r w:rsidRPr="00B93493">
        <w:rPr>
          <w:b/>
          <w:bCs/>
        </w:rPr>
        <w:t xml:space="preserve"> </w:t>
      </w:r>
      <w:r w:rsidRPr="00B93493">
        <w:t xml:space="preserve">Number of Channels (6.25 kHz bandwidth equivalents each) that will be assigned to the Applicant. </w:t>
      </w:r>
    </w:p>
    <w:p w14:paraId="11F69F18" w14:textId="77777777" w:rsidR="00CF04BC" w:rsidRPr="00B93493" w:rsidRDefault="00CF04BC" w:rsidP="00CF04BC">
      <w:pPr>
        <w:pStyle w:val="enumlev1"/>
      </w:pPr>
      <w:r w:rsidRPr="00B93493">
        <w:rPr>
          <w:b/>
          <w:bCs/>
        </w:rPr>
        <w:tab/>
        <w:t xml:space="preserve">WE </w:t>
      </w:r>
      <w:r w:rsidRPr="00B93493">
        <w:t>=</w:t>
      </w:r>
      <w:r w:rsidRPr="00B93493">
        <w:rPr>
          <w:b/>
          <w:bCs/>
        </w:rPr>
        <w:t xml:space="preserve"> </w:t>
      </w:r>
      <w:r w:rsidRPr="00B93493">
        <w:t xml:space="preserve">Wireless Equipment (including handhelds) will be included in the calculation. </w:t>
      </w:r>
    </w:p>
    <w:p w14:paraId="3D42126B" w14:textId="77777777" w:rsidR="00CF04BC" w:rsidRPr="00B93493" w:rsidRDefault="00CF04BC" w:rsidP="00CF04BC">
      <w:pPr>
        <w:pStyle w:val="enumlev1"/>
      </w:pPr>
      <w:r w:rsidRPr="00B93493">
        <w:t xml:space="preserve">12.5 </w:t>
      </w:r>
      <w:r w:rsidRPr="00B93493">
        <w:tab/>
        <w:t xml:space="preserve">The Annual Spectrum Fees for Public Paging shall be calculated for the base station in accordance with the Article 12.1 with no additional Fees for handheld pagers. </w:t>
      </w:r>
    </w:p>
    <w:p w14:paraId="2AC95D47" w14:textId="77777777" w:rsidR="00CF04BC" w:rsidRPr="00B93493" w:rsidRDefault="00CF04BC" w:rsidP="00CF04BC">
      <w:pPr>
        <w:pStyle w:val="enumlev1"/>
      </w:pPr>
      <w:r w:rsidRPr="00B93493">
        <w:t xml:space="preserve">12.6 </w:t>
      </w:r>
      <w:r w:rsidRPr="00B93493">
        <w:tab/>
        <w:t xml:space="preserve">The Annual Spectrum Fees for Analog Trunking (like MPT 1327) shall be calculated in accordance with the Article 12.1 above. </w:t>
      </w:r>
    </w:p>
    <w:p w14:paraId="0A0C2E6F" w14:textId="77777777" w:rsidR="00CF04BC" w:rsidRPr="00B93493" w:rsidRDefault="00CF04BC" w:rsidP="00CF04BC">
      <w:pPr>
        <w:pStyle w:val="enumlev1"/>
        <w:rPr>
          <w:color w:val="000000"/>
        </w:rPr>
      </w:pPr>
      <w:r w:rsidRPr="00B93493">
        <w:t>12.7</w:t>
      </w:r>
      <w:r w:rsidRPr="00B93493">
        <w:tab/>
        <w:t>The Annual Spectrum Fees for Digital Trunking (like TETRA, TETRAPOL, EDACS, APCO, etc.) shall be calculated as follows:</w:t>
      </w:r>
    </w:p>
    <w:p w14:paraId="105E104D" w14:textId="77777777" w:rsidR="00CF04BC" w:rsidRPr="00B93493" w:rsidRDefault="00CF04BC" w:rsidP="00CF04BC">
      <w:pPr>
        <w:pStyle w:val="Equation"/>
      </w:pPr>
      <w:r w:rsidRPr="00B93493">
        <w:tab/>
      </w:r>
      <w:r w:rsidRPr="00B93493">
        <w:tab/>
        <w:t>Spectrum Fees = NC × CF</w:t>
      </w:r>
    </w:p>
    <w:p w14:paraId="03A40164" w14:textId="77777777" w:rsidR="00CF04BC" w:rsidRPr="00B93493" w:rsidRDefault="00CF04BC" w:rsidP="00CF04BC">
      <w:pPr>
        <w:pStyle w:val="enumlev1"/>
      </w:pPr>
      <w:r w:rsidRPr="00B93493">
        <w:tab/>
        <w:t xml:space="preserve">where: </w:t>
      </w:r>
    </w:p>
    <w:p w14:paraId="45D5FB45" w14:textId="77777777" w:rsidR="00CF04BC" w:rsidRPr="00B93493" w:rsidRDefault="00CF04BC" w:rsidP="00CF04BC">
      <w:pPr>
        <w:pStyle w:val="enumlev1"/>
      </w:pPr>
      <w:r w:rsidRPr="00B93493">
        <w:rPr>
          <w:b/>
          <w:bCs/>
        </w:rPr>
        <w:tab/>
        <w:t xml:space="preserve">NC </w:t>
      </w:r>
      <w:r w:rsidRPr="00B93493">
        <w:t>=</w:t>
      </w:r>
      <w:r w:rsidRPr="00B93493">
        <w:rPr>
          <w:b/>
          <w:bCs/>
        </w:rPr>
        <w:t xml:space="preserve"> </w:t>
      </w:r>
      <w:r w:rsidRPr="00B93493">
        <w:t xml:space="preserve">Number of Channels (25 kHz unpaired bandwidth equivalents each) that will be assigned to the Applicant. </w:t>
      </w:r>
    </w:p>
    <w:p w14:paraId="3D156AC5" w14:textId="77777777" w:rsidR="00CF04BC" w:rsidRPr="00B93493" w:rsidRDefault="00CF04BC" w:rsidP="00CF04BC">
      <w:pPr>
        <w:pStyle w:val="enumlev1"/>
      </w:pPr>
      <w:r w:rsidRPr="00B93493">
        <w:rPr>
          <w:b/>
          <w:bCs/>
        </w:rPr>
        <w:tab/>
        <w:t xml:space="preserve">CF </w:t>
      </w:r>
      <w:r w:rsidRPr="00B93493">
        <w:t>=</w:t>
      </w:r>
      <w:r w:rsidRPr="00B93493">
        <w:rPr>
          <w:b/>
          <w:bCs/>
        </w:rPr>
        <w:t xml:space="preserve"> </w:t>
      </w:r>
      <w:r w:rsidRPr="00B93493">
        <w:t xml:space="preserve">Coverage Factor depending on the geographical area which will be determined as follows: </w:t>
      </w:r>
    </w:p>
    <w:p w14:paraId="79ADE633" w14:textId="77777777" w:rsidR="00CF04BC" w:rsidRPr="00B93493" w:rsidRDefault="00CF04BC" w:rsidP="00CF04BC">
      <w:pPr>
        <w:pStyle w:val="Blanc"/>
      </w:pPr>
    </w:p>
    <w:tbl>
      <w:tblPr>
        <w:tblW w:w="963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4"/>
        <w:gridCol w:w="1898"/>
        <w:gridCol w:w="1985"/>
        <w:gridCol w:w="2693"/>
        <w:gridCol w:w="2129"/>
      </w:tblGrid>
      <w:tr w:rsidR="00CF04BC" w:rsidRPr="00B93493" w14:paraId="226C4407" w14:textId="77777777" w:rsidTr="002E7F54">
        <w:trPr>
          <w:trHeight w:val="335"/>
          <w:jc w:val="right"/>
        </w:trPr>
        <w:tc>
          <w:tcPr>
            <w:tcW w:w="934" w:type="dxa"/>
          </w:tcPr>
          <w:p w14:paraId="1F651C2E" w14:textId="77777777" w:rsidR="00CF04BC" w:rsidRPr="00B93493" w:rsidRDefault="00CF04BC" w:rsidP="002E7F54">
            <w:pPr>
              <w:pStyle w:val="Tablehead"/>
            </w:pPr>
            <w:r w:rsidRPr="00B93493">
              <w:t xml:space="preserve">Area </w:t>
            </w:r>
          </w:p>
        </w:tc>
        <w:tc>
          <w:tcPr>
            <w:tcW w:w="1898" w:type="dxa"/>
          </w:tcPr>
          <w:p w14:paraId="04F6C8B0" w14:textId="77777777" w:rsidR="00CF04BC" w:rsidRPr="00B93493" w:rsidRDefault="00CF04BC" w:rsidP="002E7F54">
            <w:pPr>
              <w:pStyle w:val="Tablehead"/>
            </w:pPr>
            <w:r w:rsidRPr="00B93493">
              <w:t xml:space="preserve">Rural area or within premises </w:t>
            </w:r>
          </w:p>
        </w:tc>
        <w:tc>
          <w:tcPr>
            <w:tcW w:w="1985" w:type="dxa"/>
          </w:tcPr>
          <w:p w14:paraId="0A7DAF5A" w14:textId="77777777" w:rsidR="00CF04BC" w:rsidRPr="00B93493" w:rsidRDefault="00CF04BC" w:rsidP="002E7F54">
            <w:pPr>
              <w:pStyle w:val="Tablehead"/>
            </w:pPr>
            <w:r w:rsidRPr="00B93493">
              <w:t>Urban city area within one Emirate</w:t>
            </w:r>
          </w:p>
        </w:tc>
        <w:tc>
          <w:tcPr>
            <w:tcW w:w="2693" w:type="dxa"/>
          </w:tcPr>
          <w:p w14:paraId="12BCD801" w14:textId="77777777" w:rsidR="00CF04BC" w:rsidRPr="00B93493" w:rsidRDefault="00CF04BC" w:rsidP="002E7F54">
            <w:pPr>
              <w:pStyle w:val="Tablehead"/>
            </w:pPr>
            <w:r w:rsidRPr="00B93493">
              <w:t xml:space="preserve">Emirate wide </w:t>
            </w:r>
          </w:p>
        </w:tc>
        <w:tc>
          <w:tcPr>
            <w:tcW w:w="2129" w:type="dxa"/>
          </w:tcPr>
          <w:p w14:paraId="71B75CB3" w14:textId="77777777" w:rsidR="00CF04BC" w:rsidRPr="00B93493" w:rsidRDefault="00CF04BC" w:rsidP="002E7F54">
            <w:pPr>
              <w:pStyle w:val="Tablehead"/>
            </w:pPr>
            <w:r w:rsidRPr="00B93493">
              <w:t xml:space="preserve">More than Three Emirates </w:t>
            </w:r>
          </w:p>
        </w:tc>
      </w:tr>
      <w:tr w:rsidR="00CF04BC" w:rsidRPr="00B93493" w14:paraId="63D498F1" w14:textId="77777777" w:rsidTr="002E7F54">
        <w:trPr>
          <w:trHeight w:val="335"/>
          <w:jc w:val="right"/>
        </w:trPr>
        <w:tc>
          <w:tcPr>
            <w:tcW w:w="934" w:type="dxa"/>
            <w:tcBorders>
              <w:bottom w:val="single" w:sz="2" w:space="0" w:color="auto"/>
            </w:tcBorders>
          </w:tcPr>
          <w:p w14:paraId="2E7A83E8" w14:textId="77777777" w:rsidR="00CF04BC" w:rsidRPr="00B93493" w:rsidRDefault="00CF04BC" w:rsidP="002E7F54">
            <w:pPr>
              <w:pStyle w:val="Tabletext"/>
              <w:jc w:val="center"/>
            </w:pPr>
            <w:r w:rsidRPr="00B93493">
              <w:t>CF</w:t>
            </w:r>
          </w:p>
        </w:tc>
        <w:tc>
          <w:tcPr>
            <w:tcW w:w="1898" w:type="dxa"/>
            <w:tcBorders>
              <w:bottom w:val="single" w:sz="2" w:space="0" w:color="auto"/>
            </w:tcBorders>
          </w:tcPr>
          <w:p w14:paraId="2D231A13" w14:textId="77777777" w:rsidR="00CF04BC" w:rsidRPr="00B93493" w:rsidRDefault="00CF04BC" w:rsidP="002E7F54">
            <w:pPr>
              <w:pStyle w:val="Tabletext"/>
              <w:jc w:val="center"/>
            </w:pPr>
            <w:r w:rsidRPr="00B93493">
              <w:t>100</w:t>
            </w:r>
          </w:p>
        </w:tc>
        <w:tc>
          <w:tcPr>
            <w:tcW w:w="1985" w:type="dxa"/>
            <w:tcBorders>
              <w:bottom w:val="single" w:sz="2" w:space="0" w:color="auto"/>
            </w:tcBorders>
          </w:tcPr>
          <w:p w14:paraId="36AC069F" w14:textId="77777777" w:rsidR="00CF04BC" w:rsidRPr="00B93493" w:rsidRDefault="00CF04BC" w:rsidP="002E7F54">
            <w:pPr>
              <w:pStyle w:val="Tabletext"/>
              <w:jc w:val="center"/>
            </w:pPr>
            <w:r w:rsidRPr="00B93493">
              <w:t>500</w:t>
            </w:r>
          </w:p>
        </w:tc>
        <w:tc>
          <w:tcPr>
            <w:tcW w:w="2693" w:type="dxa"/>
            <w:tcBorders>
              <w:bottom w:val="single" w:sz="2" w:space="0" w:color="auto"/>
            </w:tcBorders>
          </w:tcPr>
          <w:p w14:paraId="0086D2B0" w14:textId="77777777" w:rsidR="00CF04BC" w:rsidRPr="00B93493" w:rsidRDefault="00CF04BC" w:rsidP="002E7F54">
            <w:pPr>
              <w:pStyle w:val="Tabletext"/>
            </w:pPr>
            <w:r w:rsidRPr="00B93493">
              <w:t>2.000 for Abu Dhabi or Dubai</w:t>
            </w:r>
          </w:p>
          <w:p w14:paraId="4F4D6402" w14:textId="77777777" w:rsidR="00CF04BC" w:rsidRPr="00B93493" w:rsidRDefault="00CF04BC" w:rsidP="002E7F54">
            <w:pPr>
              <w:pStyle w:val="Tabletext"/>
            </w:pPr>
            <w:r w:rsidRPr="00B93493">
              <w:t>1.000 for other Emirates</w:t>
            </w:r>
          </w:p>
        </w:tc>
        <w:tc>
          <w:tcPr>
            <w:tcW w:w="2129" w:type="dxa"/>
            <w:tcBorders>
              <w:bottom w:val="single" w:sz="2" w:space="0" w:color="auto"/>
            </w:tcBorders>
          </w:tcPr>
          <w:p w14:paraId="670271CC" w14:textId="77777777" w:rsidR="00CF04BC" w:rsidRPr="00B93493" w:rsidRDefault="00CF04BC" w:rsidP="002E7F54">
            <w:pPr>
              <w:pStyle w:val="Tabletext"/>
              <w:jc w:val="center"/>
            </w:pPr>
            <w:r w:rsidRPr="00B93493">
              <w:t>4.000</w:t>
            </w:r>
          </w:p>
        </w:tc>
      </w:tr>
      <w:tr w:rsidR="00CF04BC" w:rsidRPr="00B93493" w14:paraId="00B289FC" w14:textId="77777777" w:rsidTr="002E7F54">
        <w:trPr>
          <w:trHeight w:val="335"/>
          <w:jc w:val="right"/>
        </w:trPr>
        <w:tc>
          <w:tcPr>
            <w:tcW w:w="9639" w:type="dxa"/>
            <w:gridSpan w:val="5"/>
            <w:tcBorders>
              <w:left w:val="nil"/>
              <w:bottom w:val="nil"/>
              <w:right w:val="nil"/>
            </w:tcBorders>
          </w:tcPr>
          <w:p w14:paraId="6DFC3CB9" w14:textId="77777777" w:rsidR="00CF04BC" w:rsidRPr="00B93493" w:rsidRDefault="00CF04BC" w:rsidP="002E7F54">
            <w:pPr>
              <w:pStyle w:val="TableLegendNote"/>
              <w:rPr>
                <w:lang w:val="en-GB"/>
              </w:rPr>
            </w:pPr>
            <w:r w:rsidRPr="00B93493">
              <w:rPr>
                <w:lang w:val="en-GB"/>
              </w:rPr>
              <w:t>NOTE 1 – The TRA shall have the sole discretion to determine the Coverage Factor for an Application.</w:t>
            </w:r>
          </w:p>
        </w:tc>
      </w:tr>
    </w:tbl>
    <w:p w14:paraId="5C6436ED" w14:textId="77777777" w:rsidR="00CF04BC" w:rsidRPr="00B93493" w:rsidRDefault="00CF04BC" w:rsidP="00CF04BC">
      <w:pPr>
        <w:pStyle w:val="ArtNo"/>
      </w:pPr>
      <w:r w:rsidRPr="00B93493">
        <w:t>ARTICLE (13)</w:t>
      </w:r>
    </w:p>
    <w:p w14:paraId="0B9C0CA6" w14:textId="77777777" w:rsidR="00CF04BC" w:rsidRPr="00B93493" w:rsidRDefault="00CF04BC" w:rsidP="00CF04BC">
      <w:pPr>
        <w:pStyle w:val="Arttitle"/>
      </w:pPr>
      <w:bookmarkStart w:id="2723" w:name="_Toc237657984"/>
      <w:r w:rsidRPr="00B93493">
        <w:t>Spectrum Fees for Fixed (point to point) links</w:t>
      </w:r>
      <w:bookmarkEnd w:id="2723"/>
      <w:r w:rsidRPr="00B93493">
        <w:t xml:space="preserve"> </w:t>
      </w:r>
    </w:p>
    <w:p w14:paraId="7C9E067B" w14:textId="77777777" w:rsidR="00CF04BC" w:rsidRPr="00B93493" w:rsidRDefault="00CF04BC" w:rsidP="00CF04BC">
      <w:pPr>
        <w:pStyle w:val="enumlev1"/>
      </w:pPr>
      <w:r w:rsidRPr="00B93493">
        <w:t>13.1</w:t>
      </w:r>
      <w:r w:rsidRPr="00B93493">
        <w:tab/>
        <w:t xml:space="preserve">The Annual Spectrum Fees for each fixed point to point link above 2 GHz shall be calculated as follows: </w:t>
      </w:r>
    </w:p>
    <w:p w14:paraId="556B9624" w14:textId="77777777" w:rsidR="00CF04BC" w:rsidRPr="00B93493" w:rsidRDefault="00CF04BC" w:rsidP="00CF04BC">
      <w:pPr>
        <w:pStyle w:val="Blanc"/>
      </w:pPr>
    </w:p>
    <w:p w14:paraId="1B6BCDDA" w14:textId="77777777" w:rsidR="00CF04BC" w:rsidRPr="00B93493" w:rsidRDefault="00CF04BC" w:rsidP="00CF04BC">
      <w:pPr>
        <w:pStyle w:val="Equation"/>
      </w:pPr>
      <w:r w:rsidRPr="00B93493">
        <w:tab/>
      </w:r>
      <w:r w:rsidRPr="00B93493">
        <w:tab/>
        <w:t>Spectrum Fees = F × 2 000 + BW × 1000</w:t>
      </w:r>
    </w:p>
    <w:p w14:paraId="11C4F7D2" w14:textId="77777777" w:rsidR="00CF04BC" w:rsidRPr="00B93493" w:rsidRDefault="00CF04BC" w:rsidP="00CF04BC">
      <w:pPr>
        <w:pStyle w:val="enumlev1"/>
        <w:keepNext/>
        <w:keepLines/>
      </w:pPr>
      <w:r w:rsidRPr="00B93493">
        <w:tab/>
        <w:t xml:space="preserve">where: </w:t>
      </w:r>
    </w:p>
    <w:p w14:paraId="4C63DBAD" w14:textId="77777777" w:rsidR="00CF04BC" w:rsidRPr="00B93493" w:rsidRDefault="00CF04BC" w:rsidP="00CF04BC">
      <w:pPr>
        <w:pStyle w:val="enumlev1"/>
        <w:keepNext/>
        <w:keepLines/>
      </w:pPr>
      <w:r w:rsidRPr="00B93493">
        <w:rPr>
          <w:b/>
          <w:bCs/>
        </w:rPr>
        <w:tab/>
        <w:t xml:space="preserve">F </w:t>
      </w:r>
      <w:r w:rsidRPr="00B93493">
        <w:t>=</w:t>
      </w:r>
      <w:r w:rsidRPr="00B93493">
        <w:rPr>
          <w:b/>
          <w:bCs/>
        </w:rPr>
        <w:t xml:space="preserve"> </w:t>
      </w:r>
      <w:r w:rsidRPr="00B93493">
        <w:t xml:space="preserve">Frequency range factor as follows: </w:t>
      </w:r>
      <w:r w:rsidRPr="00B93493">
        <w:tab/>
        <w:t xml:space="preserve"> </w:t>
      </w:r>
      <w:r w:rsidRPr="00B93493">
        <w:rPr>
          <w:b/>
          <w:bCs/>
        </w:rPr>
        <w:t xml:space="preserve">BW </w:t>
      </w:r>
      <w:r w:rsidRPr="00B93493">
        <w:t>=</w:t>
      </w:r>
      <w:r w:rsidRPr="00B93493">
        <w:rPr>
          <w:b/>
          <w:bCs/>
        </w:rPr>
        <w:t xml:space="preserve"> </w:t>
      </w:r>
      <w:r w:rsidRPr="00B93493">
        <w:t xml:space="preserve">Bandwidth factor as follows: </w:t>
      </w:r>
    </w:p>
    <w:p w14:paraId="2DEF5204" w14:textId="77777777" w:rsidR="00CF04BC" w:rsidRPr="00B93493" w:rsidRDefault="00CF04BC" w:rsidP="00CF04BC">
      <w:pPr>
        <w:overflowPunct/>
        <w:autoSpaceDE/>
        <w:autoSpaceDN/>
        <w:adjustRightInd/>
        <w:spacing w:before="0"/>
        <w:textAlignment w:val="auto"/>
        <w:rPr>
          <w:sz w:val="16"/>
        </w:rPr>
      </w:pPr>
    </w:p>
    <w:p w14:paraId="512A38F2" w14:textId="77777777" w:rsidR="00CF04BC" w:rsidRPr="00B93493" w:rsidRDefault="00CF04BC" w:rsidP="00CF04BC">
      <w:pPr>
        <w:pStyle w:val="Blanc"/>
      </w:pP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47"/>
        <w:gridCol w:w="1071"/>
        <w:gridCol w:w="892"/>
        <w:gridCol w:w="2413"/>
        <w:gridCol w:w="1097"/>
      </w:tblGrid>
      <w:tr w:rsidR="00CF04BC" w:rsidRPr="00B93493" w14:paraId="00903F66" w14:textId="77777777" w:rsidTr="002E7F54">
        <w:trPr>
          <w:trHeight w:val="608"/>
        </w:trPr>
        <w:tc>
          <w:tcPr>
            <w:tcW w:w="2447" w:type="dxa"/>
          </w:tcPr>
          <w:p w14:paraId="5BD77F6B" w14:textId="77777777" w:rsidR="00CF04BC" w:rsidRPr="00B93493" w:rsidRDefault="00CF04BC" w:rsidP="002E7F54">
            <w:pPr>
              <w:pStyle w:val="Tablehead"/>
              <w:keepLines/>
            </w:pPr>
            <w:r w:rsidRPr="00B93493">
              <w:t xml:space="preserve">Frequency Range </w:t>
            </w:r>
          </w:p>
        </w:tc>
        <w:tc>
          <w:tcPr>
            <w:tcW w:w="1071" w:type="dxa"/>
          </w:tcPr>
          <w:p w14:paraId="75400E19" w14:textId="77777777" w:rsidR="00CF04BC" w:rsidRPr="00B93493" w:rsidRDefault="00CF04BC" w:rsidP="002E7F54">
            <w:pPr>
              <w:pStyle w:val="Tablehead"/>
              <w:keepLines/>
            </w:pPr>
            <w:r w:rsidRPr="00B93493">
              <w:t xml:space="preserve">F </w:t>
            </w:r>
            <w:r w:rsidRPr="00B93493">
              <w:br/>
              <w:t xml:space="preserve">Factor </w:t>
            </w:r>
          </w:p>
        </w:tc>
        <w:tc>
          <w:tcPr>
            <w:tcW w:w="892" w:type="dxa"/>
            <w:tcBorders>
              <w:top w:val="nil"/>
              <w:bottom w:val="nil"/>
            </w:tcBorders>
          </w:tcPr>
          <w:p w14:paraId="3569DA4E" w14:textId="77777777" w:rsidR="00CF04BC" w:rsidRPr="00B93493" w:rsidRDefault="00CF04BC" w:rsidP="002E7F54">
            <w:pPr>
              <w:pStyle w:val="Tablehead"/>
              <w:keepLines/>
            </w:pPr>
          </w:p>
        </w:tc>
        <w:tc>
          <w:tcPr>
            <w:tcW w:w="2413" w:type="dxa"/>
          </w:tcPr>
          <w:p w14:paraId="38E8BAAD" w14:textId="77777777" w:rsidR="00CF04BC" w:rsidRPr="00B93493" w:rsidRDefault="00CF04BC" w:rsidP="002E7F54">
            <w:pPr>
              <w:pStyle w:val="Tablehead"/>
              <w:keepLines/>
            </w:pPr>
            <w:r w:rsidRPr="00B93493">
              <w:t xml:space="preserve">Bandwidth </w:t>
            </w:r>
          </w:p>
        </w:tc>
        <w:tc>
          <w:tcPr>
            <w:tcW w:w="1097" w:type="dxa"/>
          </w:tcPr>
          <w:p w14:paraId="534E5E9B" w14:textId="77777777" w:rsidR="00CF04BC" w:rsidRPr="00B93493" w:rsidRDefault="00CF04BC" w:rsidP="002E7F54">
            <w:pPr>
              <w:pStyle w:val="Tablehead"/>
              <w:keepLines/>
            </w:pPr>
            <w:r w:rsidRPr="00B93493">
              <w:t xml:space="preserve">BW </w:t>
            </w:r>
            <w:r w:rsidRPr="00B93493">
              <w:br/>
              <w:t xml:space="preserve">Factor </w:t>
            </w:r>
          </w:p>
        </w:tc>
      </w:tr>
      <w:tr w:rsidR="00CF04BC" w:rsidRPr="00B93493" w14:paraId="072E0FCC" w14:textId="77777777" w:rsidTr="002E7F54">
        <w:trPr>
          <w:trHeight w:val="319"/>
        </w:trPr>
        <w:tc>
          <w:tcPr>
            <w:tcW w:w="2447" w:type="dxa"/>
          </w:tcPr>
          <w:p w14:paraId="38DCCC6D" w14:textId="77777777" w:rsidR="00CF04BC" w:rsidRPr="00B93493" w:rsidRDefault="00CF04BC" w:rsidP="002E7F54">
            <w:pPr>
              <w:pStyle w:val="Tabletext"/>
              <w:keepNext/>
              <w:keepLines/>
              <w:jc w:val="center"/>
            </w:pPr>
            <w:r w:rsidRPr="00B93493">
              <w:t>2 GHz – 3 GHz</w:t>
            </w:r>
          </w:p>
        </w:tc>
        <w:tc>
          <w:tcPr>
            <w:tcW w:w="1071" w:type="dxa"/>
          </w:tcPr>
          <w:p w14:paraId="099B3710" w14:textId="77777777" w:rsidR="00CF04BC" w:rsidRPr="00B93493" w:rsidRDefault="00CF04BC" w:rsidP="002E7F54">
            <w:pPr>
              <w:pStyle w:val="Tabletext"/>
              <w:keepNext/>
              <w:keepLines/>
              <w:jc w:val="center"/>
            </w:pPr>
            <w:r w:rsidRPr="00B93493">
              <w:t>4</w:t>
            </w:r>
          </w:p>
        </w:tc>
        <w:tc>
          <w:tcPr>
            <w:tcW w:w="892" w:type="dxa"/>
            <w:tcBorders>
              <w:top w:val="nil"/>
              <w:bottom w:val="nil"/>
            </w:tcBorders>
          </w:tcPr>
          <w:p w14:paraId="229C0801" w14:textId="77777777" w:rsidR="00CF04BC" w:rsidRPr="00B93493" w:rsidRDefault="00CF04BC" w:rsidP="002E7F54">
            <w:pPr>
              <w:pStyle w:val="Tabletext"/>
              <w:keepNext/>
              <w:keepLines/>
            </w:pPr>
          </w:p>
        </w:tc>
        <w:tc>
          <w:tcPr>
            <w:tcW w:w="2413" w:type="dxa"/>
          </w:tcPr>
          <w:p w14:paraId="56EBC1C3" w14:textId="77777777" w:rsidR="00CF04BC" w:rsidRPr="00B93493" w:rsidRDefault="00CF04BC" w:rsidP="002E7F54">
            <w:pPr>
              <w:pStyle w:val="Tabletext"/>
              <w:keepNext/>
              <w:keepLines/>
              <w:jc w:val="center"/>
            </w:pPr>
            <w:r w:rsidRPr="00B93493">
              <w:t>7 MHz or less</w:t>
            </w:r>
          </w:p>
        </w:tc>
        <w:tc>
          <w:tcPr>
            <w:tcW w:w="1097" w:type="dxa"/>
          </w:tcPr>
          <w:p w14:paraId="2D7546E8" w14:textId="77777777" w:rsidR="00CF04BC" w:rsidRPr="00B93493" w:rsidRDefault="00CF04BC" w:rsidP="002E7F54">
            <w:pPr>
              <w:pStyle w:val="Tabletext"/>
              <w:keepNext/>
              <w:keepLines/>
              <w:jc w:val="center"/>
            </w:pPr>
            <w:r w:rsidRPr="00B93493">
              <w:t>1</w:t>
            </w:r>
          </w:p>
        </w:tc>
      </w:tr>
      <w:tr w:rsidR="00CF04BC" w:rsidRPr="00B93493" w14:paraId="583F2ED7" w14:textId="77777777" w:rsidTr="002E7F54">
        <w:trPr>
          <w:trHeight w:val="319"/>
        </w:trPr>
        <w:tc>
          <w:tcPr>
            <w:tcW w:w="2447" w:type="dxa"/>
          </w:tcPr>
          <w:p w14:paraId="0D20AC9A" w14:textId="77777777" w:rsidR="00CF04BC" w:rsidRPr="00B93493" w:rsidRDefault="00CF04BC" w:rsidP="002E7F54">
            <w:pPr>
              <w:pStyle w:val="Tabletext"/>
              <w:keepNext/>
              <w:keepLines/>
              <w:jc w:val="center"/>
            </w:pPr>
            <w:r w:rsidRPr="00B93493">
              <w:t>&gt; 3 GHz – 14 GHz</w:t>
            </w:r>
          </w:p>
        </w:tc>
        <w:tc>
          <w:tcPr>
            <w:tcW w:w="1071" w:type="dxa"/>
          </w:tcPr>
          <w:p w14:paraId="398A38DB" w14:textId="77777777" w:rsidR="00CF04BC" w:rsidRPr="00B93493" w:rsidRDefault="00CF04BC" w:rsidP="002E7F54">
            <w:pPr>
              <w:pStyle w:val="Tabletext"/>
              <w:keepNext/>
              <w:keepLines/>
              <w:jc w:val="center"/>
            </w:pPr>
            <w:r w:rsidRPr="00B93493">
              <w:t>3</w:t>
            </w:r>
          </w:p>
        </w:tc>
        <w:tc>
          <w:tcPr>
            <w:tcW w:w="892" w:type="dxa"/>
            <w:tcBorders>
              <w:top w:val="nil"/>
              <w:bottom w:val="nil"/>
            </w:tcBorders>
          </w:tcPr>
          <w:p w14:paraId="06B40A25" w14:textId="77777777" w:rsidR="00CF04BC" w:rsidRPr="00B93493" w:rsidRDefault="00CF04BC" w:rsidP="002E7F54">
            <w:pPr>
              <w:pStyle w:val="Tabletext"/>
              <w:keepNext/>
              <w:keepLines/>
            </w:pPr>
          </w:p>
        </w:tc>
        <w:tc>
          <w:tcPr>
            <w:tcW w:w="2413" w:type="dxa"/>
          </w:tcPr>
          <w:p w14:paraId="43F5E616" w14:textId="77777777" w:rsidR="00CF04BC" w:rsidRPr="00B93493" w:rsidRDefault="00CF04BC" w:rsidP="002E7F54">
            <w:pPr>
              <w:pStyle w:val="Tabletext"/>
              <w:keepNext/>
              <w:keepLines/>
              <w:jc w:val="center"/>
            </w:pPr>
            <w:r w:rsidRPr="00B93493">
              <w:t>&gt; 7 MHz – 28 MHz</w:t>
            </w:r>
          </w:p>
        </w:tc>
        <w:tc>
          <w:tcPr>
            <w:tcW w:w="1097" w:type="dxa"/>
          </w:tcPr>
          <w:p w14:paraId="4B88C01E" w14:textId="77777777" w:rsidR="00CF04BC" w:rsidRPr="00B93493" w:rsidRDefault="00CF04BC" w:rsidP="002E7F54">
            <w:pPr>
              <w:pStyle w:val="Tabletext"/>
              <w:keepNext/>
              <w:keepLines/>
              <w:jc w:val="center"/>
            </w:pPr>
            <w:r w:rsidRPr="00B93493">
              <w:t>2</w:t>
            </w:r>
          </w:p>
        </w:tc>
      </w:tr>
      <w:tr w:rsidR="00CF04BC" w:rsidRPr="00B93493" w14:paraId="4776DA28" w14:textId="77777777" w:rsidTr="002E7F54">
        <w:trPr>
          <w:trHeight w:val="319"/>
        </w:trPr>
        <w:tc>
          <w:tcPr>
            <w:tcW w:w="2447" w:type="dxa"/>
          </w:tcPr>
          <w:p w14:paraId="0AF4D62F" w14:textId="77777777" w:rsidR="00CF04BC" w:rsidRPr="00B93493" w:rsidRDefault="00CF04BC" w:rsidP="002E7F54">
            <w:pPr>
              <w:pStyle w:val="Tabletext"/>
              <w:keepNext/>
              <w:keepLines/>
              <w:jc w:val="center"/>
            </w:pPr>
            <w:r w:rsidRPr="00B93493">
              <w:t>&gt; 14 GHz – 40 GHz</w:t>
            </w:r>
          </w:p>
        </w:tc>
        <w:tc>
          <w:tcPr>
            <w:tcW w:w="1071" w:type="dxa"/>
          </w:tcPr>
          <w:p w14:paraId="6DC98803" w14:textId="77777777" w:rsidR="00CF04BC" w:rsidRPr="00B93493" w:rsidRDefault="00CF04BC" w:rsidP="002E7F54">
            <w:pPr>
              <w:pStyle w:val="Tabletext"/>
              <w:keepNext/>
              <w:keepLines/>
              <w:jc w:val="center"/>
            </w:pPr>
            <w:r w:rsidRPr="00B93493">
              <w:t>2</w:t>
            </w:r>
          </w:p>
        </w:tc>
        <w:tc>
          <w:tcPr>
            <w:tcW w:w="892" w:type="dxa"/>
            <w:tcBorders>
              <w:top w:val="nil"/>
              <w:bottom w:val="nil"/>
            </w:tcBorders>
          </w:tcPr>
          <w:p w14:paraId="6773CB1B" w14:textId="77777777" w:rsidR="00CF04BC" w:rsidRPr="00B93493" w:rsidRDefault="00CF04BC" w:rsidP="002E7F54">
            <w:pPr>
              <w:pStyle w:val="Tabletext"/>
              <w:keepNext/>
              <w:keepLines/>
            </w:pPr>
          </w:p>
        </w:tc>
        <w:tc>
          <w:tcPr>
            <w:tcW w:w="2413" w:type="dxa"/>
          </w:tcPr>
          <w:p w14:paraId="6043B9ED" w14:textId="77777777" w:rsidR="00CF04BC" w:rsidRPr="00B93493" w:rsidRDefault="00CF04BC" w:rsidP="002E7F54">
            <w:pPr>
              <w:pStyle w:val="Tabletext"/>
              <w:keepNext/>
              <w:keepLines/>
              <w:jc w:val="center"/>
            </w:pPr>
            <w:r w:rsidRPr="00B93493">
              <w:t>&gt; 28 MHz – 56 MHz</w:t>
            </w:r>
          </w:p>
        </w:tc>
        <w:tc>
          <w:tcPr>
            <w:tcW w:w="1097" w:type="dxa"/>
          </w:tcPr>
          <w:p w14:paraId="2140A140" w14:textId="77777777" w:rsidR="00CF04BC" w:rsidRPr="00B93493" w:rsidRDefault="00CF04BC" w:rsidP="002E7F54">
            <w:pPr>
              <w:pStyle w:val="Tabletext"/>
              <w:keepNext/>
              <w:keepLines/>
              <w:jc w:val="center"/>
            </w:pPr>
            <w:r w:rsidRPr="00B93493">
              <w:t>3</w:t>
            </w:r>
          </w:p>
        </w:tc>
      </w:tr>
      <w:tr w:rsidR="00CF04BC" w:rsidRPr="00B93493" w14:paraId="6A464F67" w14:textId="77777777" w:rsidTr="002E7F54">
        <w:trPr>
          <w:trHeight w:val="319"/>
        </w:trPr>
        <w:tc>
          <w:tcPr>
            <w:tcW w:w="2447" w:type="dxa"/>
          </w:tcPr>
          <w:p w14:paraId="359C1C6E" w14:textId="77777777" w:rsidR="00CF04BC" w:rsidRPr="00B93493" w:rsidRDefault="00CF04BC" w:rsidP="002E7F54">
            <w:pPr>
              <w:pStyle w:val="Tabletext"/>
              <w:keepNext/>
              <w:keepLines/>
              <w:jc w:val="center"/>
            </w:pPr>
            <w:r w:rsidRPr="00B93493">
              <w:t>Above 40 GHz</w:t>
            </w:r>
          </w:p>
        </w:tc>
        <w:tc>
          <w:tcPr>
            <w:tcW w:w="1071" w:type="dxa"/>
          </w:tcPr>
          <w:p w14:paraId="40FB7104" w14:textId="77777777" w:rsidR="00CF04BC" w:rsidRPr="00B93493" w:rsidRDefault="00CF04BC" w:rsidP="002E7F54">
            <w:pPr>
              <w:pStyle w:val="Tabletext"/>
              <w:keepNext/>
              <w:keepLines/>
              <w:jc w:val="center"/>
            </w:pPr>
            <w:r w:rsidRPr="00B93493">
              <w:t>1</w:t>
            </w:r>
          </w:p>
        </w:tc>
        <w:tc>
          <w:tcPr>
            <w:tcW w:w="892" w:type="dxa"/>
            <w:tcBorders>
              <w:top w:val="nil"/>
              <w:bottom w:val="nil"/>
            </w:tcBorders>
          </w:tcPr>
          <w:p w14:paraId="092B841E" w14:textId="77777777" w:rsidR="00CF04BC" w:rsidRPr="00B93493" w:rsidRDefault="00CF04BC" w:rsidP="002E7F54">
            <w:pPr>
              <w:pStyle w:val="Tabletext"/>
              <w:keepNext/>
              <w:keepLines/>
            </w:pPr>
          </w:p>
        </w:tc>
        <w:tc>
          <w:tcPr>
            <w:tcW w:w="2413" w:type="dxa"/>
          </w:tcPr>
          <w:p w14:paraId="65782852" w14:textId="77777777" w:rsidR="00CF04BC" w:rsidRPr="00B93493" w:rsidRDefault="00CF04BC" w:rsidP="002E7F54">
            <w:pPr>
              <w:pStyle w:val="Tabletext"/>
              <w:keepNext/>
              <w:keepLines/>
              <w:jc w:val="center"/>
            </w:pPr>
            <w:r w:rsidRPr="00B93493">
              <w:t>More than 56 MHz</w:t>
            </w:r>
          </w:p>
        </w:tc>
        <w:tc>
          <w:tcPr>
            <w:tcW w:w="1097" w:type="dxa"/>
          </w:tcPr>
          <w:p w14:paraId="4DAFBF2F" w14:textId="77777777" w:rsidR="00CF04BC" w:rsidRPr="00B93493" w:rsidRDefault="00CF04BC" w:rsidP="002E7F54">
            <w:pPr>
              <w:pStyle w:val="Tabletext"/>
              <w:keepNext/>
              <w:keepLines/>
              <w:jc w:val="center"/>
            </w:pPr>
            <w:r w:rsidRPr="00B93493">
              <w:t>4</w:t>
            </w:r>
          </w:p>
        </w:tc>
      </w:tr>
    </w:tbl>
    <w:p w14:paraId="266120C0" w14:textId="77777777" w:rsidR="00CF04BC" w:rsidRPr="00B93493" w:rsidRDefault="00CF04BC" w:rsidP="00CF04BC">
      <w:pPr>
        <w:pStyle w:val="Tablefin"/>
      </w:pPr>
    </w:p>
    <w:p w14:paraId="773222AA" w14:textId="77777777" w:rsidR="00CF04BC" w:rsidRPr="00B93493" w:rsidRDefault="00CF04BC" w:rsidP="00CF04BC">
      <w:pPr>
        <w:pStyle w:val="enumlev1"/>
      </w:pPr>
      <w:r w:rsidRPr="00B93493">
        <w:t>13.2</w:t>
      </w:r>
      <w:r w:rsidRPr="00B93493">
        <w:tab/>
        <w:t>The bandwidth for each Fixed Point to Point link above 2 GHz shall be calculated based on the channel bandwidth (e.g. frequency pair with each frequency of 3.5 MHz + 3.5 MHz = 7 MHz shall be having BW factor of 1). The frequency diversity shall be charged as a separate link but space diversity and hot standby operations shall not add to the Fees.</w:t>
      </w:r>
    </w:p>
    <w:p w14:paraId="5968C772" w14:textId="77777777" w:rsidR="00CF04BC" w:rsidRPr="00B93493" w:rsidRDefault="00CF04BC" w:rsidP="00CF04BC">
      <w:pPr>
        <w:pStyle w:val="enumlev1"/>
      </w:pPr>
      <w:r w:rsidRPr="00B93493">
        <w:t>13.3</w:t>
      </w:r>
      <w:r w:rsidRPr="00B93493">
        <w:tab/>
        <w:t xml:space="preserve">For unidirectional links and links using the same carrier frequency for transmit and receive, the bandwidth factor will be the assigned bandwidth. </w:t>
      </w:r>
    </w:p>
    <w:p w14:paraId="23B84BA3" w14:textId="77777777" w:rsidR="00CF04BC" w:rsidRPr="00B93493" w:rsidRDefault="00CF04BC" w:rsidP="00CF04BC">
      <w:pPr>
        <w:pStyle w:val="enumlev1"/>
      </w:pPr>
      <w:r w:rsidRPr="00B93493">
        <w:t>13.4</w:t>
      </w:r>
      <w:r w:rsidRPr="00B93493">
        <w:tab/>
        <w:t>In exceptional cases, as decided by the TRA, where frequency pairs are assigned for all UAE point-to-point links above 2 GHz, the annual spectrum Fees shall be ten times the annual spectrum Fees for one link (same parameters) based on a re-use factor of 10.</w:t>
      </w:r>
    </w:p>
    <w:p w14:paraId="703A8347" w14:textId="77777777" w:rsidR="00CF04BC" w:rsidRPr="00B93493" w:rsidRDefault="00CF04BC" w:rsidP="00CF04BC">
      <w:pPr>
        <w:pStyle w:val="enumlev1"/>
      </w:pPr>
      <w:r w:rsidRPr="00B93493">
        <w:t>13.5</w:t>
      </w:r>
      <w:r w:rsidRPr="00B93493">
        <w:tab/>
        <w:t xml:space="preserve">The Annual Spectrum Fees for each fixed point to point link below 2 GHz with capacity less than 64 kbps shall be calculated as follows: </w:t>
      </w:r>
    </w:p>
    <w:p w14:paraId="0FCB3D8C" w14:textId="77777777" w:rsidR="00CF04BC" w:rsidRPr="00B93493" w:rsidRDefault="00CF04BC" w:rsidP="00CF04BC">
      <w:pPr>
        <w:pStyle w:val="Blanc"/>
      </w:pPr>
    </w:p>
    <w:p w14:paraId="0304D5FE" w14:textId="77777777" w:rsidR="00CF04BC" w:rsidRPr="00B93493" w:rsidRDefault="00CF04BC" w:rsidP="00CF04BC">
      <w:pPr>
        <w:pStyle w:val="Equation"/>
      </w:pPr>
      <w:r w:rsidRPr="00B93493">
        <w:tab/>
      </w:r>
      <w:r w:rsidRPr="00B93493">
        <w:tab/>
        <w:t>Spectrum Fees = BW × 1 000</w:t>
      </w:r>
    </w:p>
    <w:p w14:paraId="6B92123D" w14:textId="77777777" w:rsidR="00CF04BC" w:rsidRPr="00B93493" w:rsidRDefault="00CF04BC" w:rsidP="00CF04BC">
      <w:pPr>
        <w:pStyle w:val="enumlev1"/>
      </w:pPr>
      <w:r w:rsidRPr="00B93493">
        <w:tab/>
        <w:t xml:space="preserve">where: </w:t>
      </w:r>
    </w:p>
    <w:p w14:paraId="5DD2AB5E" w14:textId="77777777" w:rsidR="00CF04BC" w:rsidRPr="00B93493" w:rsidRDefault="00CF04BC" w:rsidP="00CF04BC">
      <w:pPr>
        <w:pStyle w:val="enumlev1"/>
      </w:pPr>
      <w:r w:rsidRPr="00B93493">
        <w:rPr>
          <w:b/>
          <w:bCs/>
        </w:rPr>
        <w:tab/>
        <w:t>BW</w:t>
      </w:r>
      <w:r w:rsidRPr="00B93493">
        <w:t xml:space="preserve"> is the total bandwidth in kHz for all channels of that link.</w:t>
      </w:r>
    </w:p>
    <w:p w14:paraId="760513A1" w14:textId="77777777" w:rsidR="00CF04BC" w:rsidRPr="00B93493" w:rsidRDefault="00CF04BC" w:rsidP="00CF04BC">
      <w:pPr>
        <w:pStyle w:val="enumlev1"/>
      </w:pPr>
      <w:r w:rsidRPr="00B93493">
        <w:t>13.6</w:t>
      </w:r>
      <w:r w:rsidRPr="00B93493">
        <w:tab/>
        <w:t xml:space="preserve">The Annual Spectrum Fees for Fixed Point to Point link below 2 GHz with high capacity equal or above 64 kbps shall be calculated as follows: </w:t>
      </w:r>
    </w:p>
    <w:p w14:paraId="3BCF0990" w14:textId="77777777" w:rsidR="00CF04BC" w:rsidRPr="00B93493" w:rsidRDefault="00CF04BC" w:rsidP="00CF04BC">
      <w:pPr>
        <w:pStyle w:val="Blanc"/>
      </w:pPr>
    </w:p>
    <w:p w14:paraId="10AEBFBE" w14:textId="77777777" w:rsidR="00CF04BC" w:rsidRPr="00B93493" w:rsidRDefault="00CF04BC" w:rsidP="00CF04BC">
      <w:pPr>
        <w:pStyle w:val="Equation"/>
      </w:pPr>
      <w:r w:rsidRPr="00B93493">
        <w:tab/>
      </w:r>
      <w:r w:rsidRPr="00B93493">
        <w:tab/>
        <w:t>Spectrum Fees = BW × 2 000</w:t>
      </w:r>
    </w:p>
    <w:p w14:paraId="1AFE9B1E" w14:textId="77777777" w:rsidR="00CF04BC" w:rsidRPr="00B93493" w:rsidRDefault="00CF04BC" w:rsidP="00CF04BC">
      <w:pPr>
        <w:pStyle w:val="enumlev1"/>
      </w:pPr>
      <w:r w:rsidRPr="00B93493">
        <w:tab/>
        <w:t>where:</w:t>
      </w:r>
    </w:p>
    <w:p w14:paraId="34917F21" w14:textId="77777777" w:rsidR="00CF04BC" w:rsidRPr="00B93493" w:rsidRDefault="00CF04BC" w:rsidP="00CF04BC">
      <w:pPr>
        <w:pStyle w:val="enumlev1"/>
      </w:pPr>
      <w:r w:rsidRPr="00B93493">
        <w:rPr>
          <w:b/>
          <w:bCs/>
        </w:rPr>
        <w:tab/>
        <w:t>BW</w:t>
      </w:r>
      <w:r w:rsidRPr="00B93493">
        <w:t xml:space="preserve"> is the total bandwidth in MHz for all channels of that link.</w:t>
      </w:r>
    </w:p>
    <w:p w14:paraId="4CC6D56D" w14:textId="77777777" w:rsidR="00CF04BC" w:rsidRPr="00B93493" w:rsidRDefault="00CF04BC" w:rsidP="00CF04BC">
      <w:pPr>
        <w:pStyle w:val="ArtNo"/>
      </w:pPr>
      <w:r w:rsidRPr="00B93493">
        <w:t>ARTICLE (14)</w:t>
      </w:r>
    </w:p>
    <w:p w14:paraId="02F69888" w14:textId="77777777" w:rsidR="00CF04BC" w:rsidRPr="00B93493" w:rsidRDefault="00CF04BC" w:rsidP="00CF04BC">
      <w:pPr>
        <w:pStyle w:val="Arttitle"/>
      </w:pPr>
      <w:bookmarkStart w:id="2724" w:name="_Toc237657985"/>
      <w:r w:rsidRPr="00B93493">
        <w:t xml:space="preserve">Spectrum Fees for FWA (PMP, WLL), SCADA, Telemetry, </w:t>
      </w:r>
      <w:r w:rsidRPr="00B93493">
        <w:br/>
        <w:t>Mesh Networks</w:t>
      </w:r>
      <w:bookmarkEnd w:id="2724"/>
      <w:r w:rsidRPr="00B93493">
        <w:t xml:space="preserve"> </w:t>
      </w:r>
    </w:p>
    <w:p w14:paraId="49465C64" w14:textId="77777777" w:rsidR="00CF04BC" w:rsidRPr="00B93493" w:rsidRDefault="00CF04BC" w:rsidP="00CF04BC">
      <w:pPr>
        <w:pStyle w:val="enumlev1"/>
      </w:pPr>
      <w:r w:rsidRPr="00B93493">
        <w:t>14.1</w:t>
      </w:r>
      <w:r w:rsidRPr="00B93493">
        <w:tab/>
        <w:t xml:space="preserve">The Annual Spectrum Fees for Fixed Wireless Access (including Wireless Local loop and Point to multipoint), SCADA, Telemetry and Mesh networks below 2 GHz shall be calculated as follows: </w:t>
      </w:r>
    </w:p>
    <w:p w14:paraId="2B535102" w14:textId="77777777" w:rsidR="00CF04BC" w:rsidRPr="00B93493" w:rsidRDefault="00CF04BC" w:rsidP="00CF04BC">
      <w:pPr>
        <w:pStyle w:val="Blanc"/>
      </w:pPr>
    </w:p>
    <w:p w14:paraId="36577AB1" w14:textId="77777777" w:rsidR="00CF04BC" w:rsidRPr="00B93493" w:rsidRDefault="00CF04BC" w:rsidP="00CF04BC">
      <w:pPr>
        <w:pStyle w:val="Equation"/>
      </w:pPr>
      <w:r w:rsidRPr="00B93493">
        <w:tab/>
      </w:r>
      <w:r w:rsidRPr="00B93493">
        <w:tab/>
        <w:t>Spectrum Fees = BW × CF × 10</w:t>
      </w:r>
    </w:p>
    <w:p w14:paraId="550A9E48" w14:textId="77777777" w:rsidR="00CF04BC" w:rsidRPr="00B93493" w:rsidRDefault="00CF04BC" w:rsidP="00CF04BC">
      <w:pPr>
        <w:pStyle w:val="enumlev1"/>
        <w:rPr>
          <w:b/>
          <w:bCs/>
          <w:color w:val="000000"/>
        </w:rPr>
      </w:pPr>
      <w:r w:rsidRPr="00B93493">
        <w:tab/>
        <w:t>where:</w:t>
      </w:r>
      <w:r w:rsidRPr="00B93493">
        <w:rPr>
          <w:b/>
          <w:bCs/>
          <w:color w:val="000000"/>
        </w:rPr>
        <w:t xml:space="preserve"> </w:t>
      </w:r>
    </w:p>
    <w:p w14:paraId="13672306" w14:textId="77777777" w:rsidR="00CF04BC" w:rsidRPr="00B93493" w:rsidRDefault="00CF04BC" w:rsidP="00CF04BC">
      <w:pPr>
        <w:pStyle w:val="enumlev1"/>
      </w:pPr>
      <w:r w:rsidRPr="00B93493">
        <w:rPr>
          <w:b/>
          <w:bCs/>
        </w:rPr>
        <w:tab/>
        <w:t xml:space="preserve">BW </w:t>
      </w:r>
      <w:r w:rsidRPr="00B93493">
        <w:t>=</w:t>
      </w:r>
      <w:r w:rsidRPr="00B93493">
        <w:rPr>
          <w:b/>
          <w:bCs/>
        </w:rPr>
        <w:t xml:space="preserve"> </w:t>
      </w:r>
      <w:r w:rsidRPr="00B93493">
        <w:t>Total Bandwidth in kHz.</w:t>
      </w:r>
    </w:p>
    <w:p w14:paraId="76B7621C" w14:textId="77777777" w:rsidR="00CF04BC" w:rsidRPr="00B93493" w:rsidRDefault="00CF04BC" w:rsidP="00CF04BC">
      <w:pPr>
        <w:pStyle w:val="enumlev1"/>
      </w:pPr>
      <w:r w:rsidRPr="00B93493">
        <w:rPr>
          <w:b/>
          <w:bCs/>
        </w:rPr>
        <w:tab/>
        <w:t xml:space="preserve">CF </w:t>
      </w:r>
      <w:r w:rsidRPr="00B93493">
        <w:t>=</w:t>
      </w:r>
      <w:r w:rsidRPr="00B93493">
        <w:rPr>
          <w:b/>
          <w:bCs/>
        </w:rPr>
        <w:t xml:space="preserve"> </w:t>
      </w:r>
      <w:r w:rsidRPr="00B93493">
        <w:t xml:space="preserve">Coverage Factor depending on the geographical area which will be determined as follows: </w:t>
      </w:r>
    </w:p>
    <w:p w14:paraId="743BD091" w14:textId="77777777" w:rsidR="00CF04BC" w:rsidRPr="00B93493" w:rsidRDefault="00CF04BC" w:rsidP="00CF04BC">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1"/>
        <w:gridCol w:w="1440"/>
        <w:gridCol w:w="1620"/>
        <w:gridCol w:w="2621"/>
        <w:gridCol w:w="2160"/>
      </w:tblGrid>
      <w:tr w:rsidR="00CF04BC" w:rsidRPr="00B93493" w14:paraId="052C006C" w14:textId="77777777" w:rsidTr="002E7F54">
        <w:trPr>
          <w:trHeight w:val="335"/>
          <w:jc w:val="right"/>
        </w:trPr>
        <w:tc>
          <w:tcPr>
            <w:tcW w:w="1041" w:type="dxa"/>
          </w:tcPr>
          <w:p w14:paraId="35BD4961" w14:textId="77777777" w:rsidR="00CF04BC" w:rsidRPr="00B93493" w:rsidRDefault="00CF04BC" w:rsidP="002E7F54">
            <w:pPr>
              <w:pStyle w:val="Tablehead"/>
            </w:pPr>
            <w:r w:rsidRPr="00B93493">
              <w:t xml:space="preserve">Area </w:t>
            </w:r>
          </w:p>
        </w:tc>
        <w:tc>
          <w:tcPr>
            <w:tcW w:w="1440" w:type="dxa"/>
          </w:tcPr>
          <w:p w14:paraId="39B4EE13" w14:textId="77777777" w:rsidR="00CF04BC" w:rsidRPr="00B93493" w:rsidRDefault="00CF04BC" w:rsidP="002E7F54">
            <w:pPr>
              <w:pStyle w:val="Tablehead"/>
            </w:pPr>
            <w:r w:rsidRPr="00B93493">
              <w:t xml:space="preserve">Rural area or within premises </w:t>
            </w:r>
          </w:p>
        </w:tc>
        <w:tc>
          <w:tcPr>
            <w:tcW w:w="1620" w:type="dxa"/>
          </w:tcPr>
          <w:p w14:paraId="6D1E0E97" w14:textId="77777777" w:rsidR="00CF04BC" w:rsidRPr="00B93493" w:rsidRDefault="00CF04BC" w:rsidP="002E7F54">
            <w:pPr>
              <w:pStyle w:val="Tablehead"/>
            </w:pPr>
            <w:r w:rsidRPr="00B93493">
              <w:t>Urban city area within one Emirate</w:t>
            </w:r>
          </w:p>
        </w:tc>
        <w:tc>
          <w:tcPr>
            <w:tcW w:w="2621" w:type="dxa"/>
          </w:tcPr>
          <w:p w14:paraId="35229FD5" w14:textId="77777777" w:rsidR="00CF04BC" w:rsidRPr="00B93493" w:rsidRDefault="00CF04BC" w:rsidP="002E7F54">
            <w:pPr>
              <w:pStyle w:val="Tablehead"/>
            </w:pPr>
            <w:r w:rsidRPr="00B93493">
              <w:t xml:space="preserve">Emirate wide </w:t>
            </w:r>
          </w:p>
        </w:tc>
        <w:tc>
          <w:tcPr>
            <w:tcW w:w="2160" w:type="dxa"/>
          </w:tcPr>
          <w:p w14:paraId="0C5A744A" w14:textId="77777777" w:rsidR="00CF04BC" w:rsidRPr="00B93493" w:rsidRDefault="00CF04BC" w:rsidP="002E7F54">
            <w:pPr>
              <w:pStyle w:val="Tablehead"/>
            </w:pPr>
            <w:r w:rsidRPr="00B93493">
              <w:t xml:space="preserve">More than Three Emirates </w:t>
            </w:r>
          </w:p>
        </w:tc>
      </w:tr>
      <w:tr w:rsidR="00CF04BC" w:rsidRPr="00B93493" w14:paraId="631CF474" w14:textId="77777777" w:rsidTr="002E7F54">
        <w:trPr>
          <w:trHeight w:val="335"/>
          <w:jc w:val="right"/>
        </w:trPr>
        <w:tc>
          <w:tcPr>
            <w:tcW w:w="1041" w:type="dxa"/>
            <w:tcBorders>
              <w:bottom w:val="single" w:sz="2" w:space="0" w:color="auto"/>
            </w:tcBorders>
          </w:tcPr>
          <w:p w14:paraId="0418D1EE" w14:textId="77777777" w:rsidR="00CF04BC" w:rsidRPr="00B93493" w:rsidRDefault="00CF04BC" w:rsidP="002E7F54">
            <w:pPr>
              <w:pStyle w:val="Tabletext"/>
              <w:jc w:val="center"/>
            </w:pPr>
            <w:r w:rsidRPr="00B93493">
              <w:t>CF</w:t>
            </w:r>
          </w:p>
        </w:tc>
        <w:tc>
          <w:tcPr>
            <w:tcW w:w="1440" w:type="dxa"/>
            <w:tcBorders>
              <w:bottom w:val="single" w:sz="2" w:space="0" w:color="auto"/>
            </w:tcBorders>
          </w:tcPr>
          <w:p w14:paraId="473A4EC2" w14:textId="77777777" w:rsidR="00CF04BC" w:rsidRPr="00B93493" w:rsidRDefault="00CF04BC" w:rsidP="002E7F54">
            <w:pPr>
              <w:pStyle w:val="Tabletext"/>
              <w:jc w:val="center"/>
            </w:pPr>
            <w:r w:rsidRPr="00B93493">
              <w:t>100</w:t>
            </w:r>
          </w:p>
        </w:tc>
        <w:tc>
          <w:tcPr>
            <w:tcW w:w="1620" w:type="dxa"/>
            <w:tcBorders>
              <w:bottom w:val="single" w:sz="2" w:space="0" w:color="auto"/>
            </w:tcBorders>
          </w:tcPr>
          <w:p w14:paraId="22EC4444" w14:textId="77777777" w:rsidR="00CF04BC" w:rsidRPr="00B93493" w:rsidRDefault="00CF04BC" w:rsidP="002E7F54">
            <w:pPr>
              <w:pStyle w:val="Tabletext"/>
              <w:jc w:val="center"/>
            </w:pPr>
            <w:r w:rsidRPr="00B93493">
              <w:t>500</w:t>
            </w:r>
          </w:p>
        </w:tc>
        <w:tc>
          <w:tcPr>
            <w:tcW w:w="2621" w:type="dxa"/>
            <w:tcBorders>
              <w:bottom w:val="single" w:sz="2" w:space="0" w:color="auto"/>
            </w:tcBorders>
          </w:tcPr>
          <w:p w14:paraId="5D03ABBC" w14:textId="77777777" w:rsidR="00CF04BC" w:rsidRPr="00B93493" w:rsidRDefault="00CF04BC" w:rsidP="002E7F54">
            <w:pPr>
              <w:pStyle w:val="Tabletext"/>
            </w:pPr>
            <w:r w:rsidRPr="00B93493">
              <w:t>2.000 for Abu Dhabi or Dubai, 1.000 for other Emirates</w:t>
            </w:r>
          </w:p>
        </w:tc>
        <w:tc>
          <w:tcPr>
            <w:tcW w:w="2160" w:type="dxa"/>
            <w:tcBorders>
              <w:bottom w:val="single" w:sz="2" w:space="0" w:color="auto"/>
            </w:tcBorders>
          </w:tcPr>
          <w:p w14:paraId="70E02CA0" w14:textId="77777777" w:rsidR="00CF04BC" w:rsidRPr="00B93493" w:rsidRDefault="00CF04BC" w:rsidP="002E7F54">
            <w:pPr>
              <w:pStyle w:val="Tabletext"/>
              <w:jc w:val="center"/>
            </w:pPr>
            <w:r w:rsidRPr="00B93493">
              <w:t>4.000</w:t>
            </w:r>
          </w:p>
        </w:tc>
      </w:tr>
      <w:tr w:rsidR="00CF04BC" w:rsidRPr="00B93493" w14:paraId="313F614E" w14:textId="77777777" w:rsidTr="002E7F54">
        <w:trPr>
          <w:trHeight w:val="335"/>
          <w:jc w:val="right"/>
        </w:trPr>
        <w:tc>
          <w:tcPr>
            <w:tcW w:w="8882" w:type="dxa"/>
            <w:gridSpan w:val="5"/>
            <w:tcBorders>
              <w:left w:val="nil"/>
              <w:bottom w:val="nil"/>
              <w:right w:val="nil"/>
            </w:tcBorders>
          </w:tcPr>
          <w:p w14:paraId="68DAE991" w14:textId="77777777" w:rsidR="00CF04BC" w:rsidRPr="00B93493" w:rsidRDefault="00CF04BC" w:rsidP="002E7F54">
            <w:pPr>
              <w:pStyle w:val="TableLegendNote"/>
              <w:jc w:val="left"/>
              <w:rPr>
                <w:lang w:val="en-GB"/>
              </w:rPr>
            </w:pPr>
            <w:r w:rsidRPr="00B93493">
              <w:rPr>
                <w:lang w:val="en-GB"/>
              </w:rPr>
              <w:t>NOTE 1 –</w:t>
            </w:r>
            <w:r w:rsidRPr="00B93493">
              <w:rPr>
                <w:b/>
                <w:bCs/>
                <w:lang w:val="en-GB"/>
              </w:rPr>
              <w:t xml:space="preserve"> </w:t>
            </w:r>
            <w:r w:rsidRPr="00B93493">
              <w:rPr>
                <w:lang w:val="en-GB"/>
              </w:rPr>
              <w:t>The TRA shall have the sole discretion to determine the Coverage Factor for an Application.</w:t>
            </w:r>
          </w:p>
        </w:tc>
      </w:tr>
    </w:tbl>
    <w:p w14:paraId="6784A9F3" w14:textId="77777777" w:rsidR="00CF04BC" w:rsidRPr="00B93493" w:rsidRDefault="00CF04BC" w:rsidP="00CF04BC">
      <w:pPr>
        <w:pStyle w:val="Tablefin"/>
      </w:pPr>
    </w:p>
    <w:p w14:paraId="6778CD74" w14:textId="77777777" w:rsidR="00CF04BC" w:rsidRPr="00B93493" w:rsidRDefault="00CF04BC" w:rsidP="00CF04BC">
      <w:pPr>
        <w:pStyle w:val="enumlev1"/>
      </w:pPr>
      <w:r w:rsidRPr="00B93493">
        <w:t>14.2</w:t>
      </w:r>
      <w:r w:rsidRPr="00B93493">
        <w:tab/>
        <w:t xml:space="preserve">The Annual Spectrum Fees for Fixed Wireless Access (including Wireless Local loop and Point to multipoint), SCADA, Fixed Broadband and mesh networks above 2 GHz shall be calculated as follows: </w:t>
      </w:r>
    </w:p>
    <w:p w14:paraId="206ED6D9" w14:textId="77777777" w:rsidR="00CF04BC" w:rsidRPr="00B93493" w:rsidRDefault="00CF04BC" w:rsidP="00CF04BC">
      <w:pPr>
        <w:pStyle w:val="Equation"/>
      </w:pPr>
      <w:r w:rsidRPr="00B93493">
        <w:tab/>
      </w:r>
      <w:r w:rsidRPr="00B93493">
        <w:tab/>
        <w:t>Spectrum Fees = BW × CF × FF</w:t>
      </w:r>
    </w:p>
    <w:p w14:paraId="57351866" w14:textId="77777777" w:rsidR="00CF04BC" w:rsidRPr="00B93493" w:rsidRDefault="00CF04BC" w:rsidP="00CF04BC">
      <w:pPr>
        <w:pStyle w:val="enumlev1"/>
        <w:rPr>
          <w:b/>
          <w:bCs/>
          <w:color w:val="000000"/>
        </w:rPr>
      </w:pPr>
      <w:r w:rsidRPr="00B93493">
        <w:tab/>
        <w:t>where:</w:t>
      </w:r>
      <w:r w:rsidRPr="00B93493">
        <w:rPr>
          <w:b/>
          <w:bCs/>
          <w:color w:val="000000"/>
        </w:rPr>
        <w:t xml:space="preserve"> </w:t>
      </w:r>
    </w:p>
    <w:p w14:paraId="2AF5EB88" w14:textId="77777777" w:rsidR="00CF04BC" w:rsidRPr="00B93493" w:rsidRDefault="00CF04BC" w:rsidP="00CF04BC">
      <w:pPr>
        <w:pStyle w:val="enumlev1"/>
      </w:pPr>
      <w:r w:rsidRPr="00B93493">
        <w:rPr>
          <w:b/>
          <w:bCs/>
        </w:rPr>
        <w:tab/>
        <w:t xml:space="preserve">BW </w:t>
      </w:r>
      <w:r w:rsidRPr="00B93493">
        <w:t>=</w:t>
      </w:r>
      <w:r w:rsidRPr="00B93493">
        <w:rPr>
          <w:b/>
          <w:bCs/>
        </w:rPr>
        <w:t xml:space="preserve"> </w:t>
      </w:r>
      <w:r w:rsidRPr="00B93493">
        <w:t>Total Bandwidth in MHz.</w:t>
      </w:r>
    </w:p>
    <w:p w14:paraId="37597827" w14:textId="77777777" w:rsidR="00CF04BC" w:rsidRPr="00B93493" w:rsidRDefault="00CF04BC" w:rsidP="00CF04BC">
      <w:pPr>
        <w:pStyle w:val="Note"/>
        <w:ind w:left="794" w:hanging="794"/>
        <w:rPr>
          <w:i/>
          <w:iCs/>
        </w:rPr>
      </w:pPr>
      <w:r w:rsidRPr="00B93493">
        <w:rPr>
          <w:b/>
          <w:bCs/>
          <w:i/>
          <w:iCs/>
        </w:rPr>
        <w:tab/>
      </w:r>
      <w:r w:rsidRPr="00B93493">
        <w:rPr>
          <w:i/>
          <w:iCs/>
        </w:rPr>
        <w:t>NOTE 1 – For networks (including vehicles) using both 2.4 and 5.8 GHz, total bandwidth of both bands will be added.</w:t>
      </w:r>
    </w:p>
    <w:p w14:paraId="7E634F66" w14:textId="77777777" w:rsidR="00CF04BC" w:rsidRPr="00B93493" w:rsidRDefault="00CF04BC" w:rsidP="00CF04BC">
      <w:pPr>
        <w:pStyle w:val="enumlev1"/>
      </w:pPr>
      <w:r w:rsidRPr="00B93493">
        <w:rPr>
          <w:b/>
          <w:bCs/>
        </w:rPr>
        <w:tab/>
        <w:t xml:space="preserve">CF </w:t>
      </w:r>
      <w:r w:rsidRPr="00B93493">
        <w:t>=</w:t>
      </w:r>
      <w:r w:rsidRPr="00B93493">
        <w:rPr>
          <w:b/>
          <w:bCs/>
        </w:rPr>
        <w:t xml:space="preserve"> </w:t>
      </w:r>
      <w:r w:rsidRPr="00B93493">
        <w:t xml:space="preserve">Coverage Factor depending on the geographical area which will be determined as follows: </w:t>
      </w:r>
    </w:p>
    <w:p w14:paraId="42E9F716" w14:textId="77777777" w:rsidR="00CF04BC" w:rsidRPr="00B93493" w:rsidRDefault="00CF04BC" w:rsidP="00CF04BC">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39"/>
        <w:gridCol w:w="1442"/>
        <w:gridCol w:w="1616"/>
        <w:gridCol w:w="2625"/>
        <w:gridCol w:w="2160"/>
      </w:tblGrid>
      <w:tr w:rsidR="00CF04BC" w:rsidRPr="00B93493" w14:paraId="5C2105EB" w14:textId="77777777" w:rsidTr="002E7F54">
        <w:trPr>
          <w:trHeight w:val="335"/>
          <w:jc w:val="right"/>
        </w:trPr>
        <w:tc>
          <w:tcPr>
            <w:tcW w:w="1039" w:type="dxa"/>
          </w:tcPr>
          <w:p w14:paraId="24B8EAB9" w14:textId="77777777" w:rsidR="00CF04BC" w:rsidRPr="00B93493" w:rsidRDefault="00CF04BC" w:rsidP="002E7F54">
            <w:pPr>
              <w:pStyle w:val="Tablehead"/>
            </w:pPr>
            <w:r w:rsidRPr="00B93493">
              <w:t xml:space="preserve">Area </w:t>
            </w:r>
          </w:p>
        </w:tc>
        <w:tc>
          <w:tcPr>
            <w:tcW w:w="1442" w:type="dxa"/>
          </w:tcPr>
          <w:p w14:paraId="65118BFA" w14:textId="77777777" w:rsidR="00CF04BC" w:rsidRPr="00B93493" w:rsidRDefault="00CF04BC" w:rsidP="002E7F54">
            <w:pPr>
              <w:pStyle w:val="Tablehead"/>
            </w:pPr>
            <w:r w:rsidRPr="00B93493">
              <w:t xml:space="preserve">Rural area or within premises </w:t>
            </w:r>
          </w:p>
        </w:tc>
        <w:tc>
          <w:tcPr>
            <w:tcW w:w="1616" w:type="dxa"/>
          </w:tcPr>
          <w:p w14:paraId="6D33EEAD" w14:textId="77777777" w:rsidR="00CF04BC" w:rsidRPr="00B93493" w:rsidRDefault="00CF04BC" w:rsidP="002E7F54">
            <w:pPr>
              <w:pStyle w:val="Tablehead"/>
            </w:pPr>
            <w:r w:rsidRPr="00B93493">
              <w:t>Urban city area within one Emirate</w:t>
            </w:r>
          </w:p>
        </w:tc>
        <w:tc>
          <w:tcPr>
            <w:tcW w:w="2625" w:type="dxa"/>
          </w:tcPr>
          <w:p w14:paraId="7C586286" w14:textId="77777777" w:rsidR="00CF04BC" w:rsidRPr="00B93493" w:rsidRDefault="00CF04BC" w:rsidP="002E7F54">
            <w:pPr>
              <w:pStyle w:val="Tablehead"/>
            </w:pPr>
            <w:r w:rsidRPr="00B93493">
              <w:t xml:space="preserve">Emirate wide </w:t>
            </w:r>
          </w:p>
        </w:tc>
        <w:tc>
          <w:tcPr>
            <w:tcW w:w="2160" w:type="dxa"/>
          </w:tcPr>
          <w:p w14:paraId="65C89C4C" w14:textId="77777777" w:rsidR="00CF04BC" w:rsidRPr="00B93493" w:rsidRDefault="00CF04BC" w:rsidP="002E7F54">
            <w:pPr>
              <w:pStyle w:val="Tablehead"/>
            </w:pPr>
            <w:r w:rsidRPr="00B93493">
              <w:t xml:space="preserve">More than Three Emirates </w:t>
            </w:r>
          </w:p>
        </w:tc>
      </w:tr>
      <w:tr w:rsidR="00CF04BC" w:rsidRPr="00B93493" w14:paraId="0B8FCF60" w14:textId="77777777" w:rsidTr="002E7F54">
        <w:trPr>
          <w:trHeight w:val="335"/>
          <w:jc w:val="right"/>
        </w:trPr>
        <w:tc>
          <w:tcPr>
            <w:tcW w:w="1039" w:type="dxa"/>
          </w:tcPr>
          <w:p w14:paraId="79ED014D" w14:textId="77777777" w:rsidR="00CF04BC" w:rsidRPr="00B93493" w:rsidRDefault="00CF04BC" w:rsidP="002E7F54">
            <w:pPr>
              <w:pStyle w:val="Tabletext"/>
              <w:jc w:val="center"/>
            </w:pPr>
            <w:r w:rsidRPr="00B93493">
              <w:t>CF</w:t>
            </w:r>
          </w:p>
        </w:tc>
        <w:tc>
          <w:tcPr>
            <w:tcW w:w="1442" w:type="dxa"/>
          </w:tcPr>
          <w:p w14:paraId="1457ED9F" w14:textId="77777777" w:rsidR="00CF04BC" w:rsidRPr="00B93493" w:rsidRDefault="00CF04BC" w:rsidP="002E7F54">
            <w:pPr>
              <w:pStyle w:val="Tabletext"/>
              <w:jc w:val="center"/>
            </w:pPr>
            <w:r w:rsidRPr="00B93493">
              <w:t>100</w:t>
            </w:r>
          </w:p>
        </w:tc>
        <w:tc>
          <w:tcPr>
            <w:tcW w:w="1616" w:type="dxa"/>
          </w:tcPr>
          <w:p w14:paraId="0C43AFFA" w14:textId="77777777" w:rsidR="00CF04BC" w:rsidRPr="00B93493" w:rsidRDefault="00CF04BC" w:rsidP="002E7F54">
            <w:pPr>
              <w:pStyle w:val="Tabletext"/>
              <w:jc w:val="center"/>
            </w:pPr>
            <w:r w:rsidRPr="00B93493">
              <w:t>500</w:t>
            </w:r>
          </w:p>
        </w:tc>
        <w:tc>
          <w:tcPr>
            <w:tcW w:w="2625" w:type="dxa"/>
          </w:tcPr>
          <w:p w14:paraId="1BC2BAAD" w14:textId="77777777" w:rsidR="00CF04BC" w:rsidRPr="00B93493" w:rsidRDefault="00CF04BC" w:rsidP="002E7F54">
            <w:pPr>
              <w:pStyle w:val="Tabletext"/>
            </w:pPr>
            <w:r w:rsidRPr="00B93493">
              <w:t>2.000 for Abu Dhabi or Dubai and 1.000 for other Emirates</w:t>
            </w:r>
          </w:p>
        </w:tc>
        <w:tc>
          <w:tcPr>
            <w:tcW w:w="2160" w:type="dxa"/>
          </w:tcPr>
          <w:p w14:paraId="188042CF" w14:textId="77777777" w:rsidR="00CF04BC" w:rsidRPr="00B93493" w:rsidRDefault="00CF04BC" w:rsidP="002E7F54">
            <w:pPr>
              <w:pStyle w:val="Tabletext"/>
              <w:jc w:val="center"/>
              <w:rPr>
                <w:color w:val="000000"/>
              </w:rPr>
            </w:pPr>
            <w:r w:rsidRPr="00B93493">
              <w:rPr>
                <w:color w:val="000000"/>
              </w:rPr>
              <w:t>4.000</w:t>
            </w:r>
          </w:p>
        </w:tc>
      </w:tr>
    </w:tbl>
    <w:p w14:paraId="271356FD" w14:textId="77777777" w:rsidR="00CF04BC" w:rsidRPr="00B93493" w:rsidRDefault="00CF04BC" w:rsidP="00CF04BC">
      <w:pPr>
        <w:pStyle w:val="Tablefin"/>
      </w:pPr>
    </w:p>
    <w:p w14:paraId="2BFCFBD5" w14:textId="77777777" w:rsidR="00CF04BC" w:rsidRPr="00B93493" w:rsidRDefault="00CF04BC" w:rsidP="00CF04BC">
      <w:pPr>
        <w:pStyle w:val="enumlev1"/>
      </w:pPr>
      <w:r w:rsidRPr="00B93493">
        <w:tab/>
        <w:t>FF = Frequency Factor which will be determined as follows:</w:t>
      </w:r>
    </w:p>
    <w:p w14:paraId="2355DEA4" w14:textId="77777777" w:rsidR="00CF04BC" w:rsidRPr="00B93493" w:rsidRDefault="00CF04BC" w:rsidP="00CF04BC">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3"/>
      </w:tblGrid>
      <w:tr w:rsidR="00CF04BC" w:rsidRPr="00B93493" w14:paraId="61F4864C" w14:textId="77777777" w:rsidTr="002E7F54">
        <w:trPr>
          <w:trHeight w:val="390"/>
          <w:tblHeader/>
          <w:jc w:val="center"/>
        </w:trPr>
        <w:tc>
          <w:tcPr>
            <w:tcW w:w="2921" w:type="dxa"/>
          </w:tcPr>
          <w:p w14:paraId="304AFF43" w14:textId="77777777" w:rsidR="00CF04BC" w:rsidRPr="00B93493" w:rsidRDefault="00CF04BC" w:rsidP="002E7F54">
            <w:pPr>
              <w:pStyle w:val="Tablehead"/>
            </w:pPr>
            <w:r w:rsidRPr="00B93493">
              <w:t>Frequency Range</w:t>
            </w:r>
          </w:p>
        </w:tc>
        <w:tc>
          <w:tcPr>
            <w:tcW w:w="2923" w:type="dxa"/>
          </w:tcPr>
          <w:p w14:paraId="482F8455" w14:textId="77777777" w:rsidR="00CF04BC" w:rsidRPr="00B93493" w:rsidRDefault="00CF04BC" w:rsidP="002E7F54">
            <w:pPr>
              <w:pStyle w:val="Tablehead"/>
            </w:pPr>
            <w:r w:rsidRPr="00B93493">
              <w:t>Frequency Factor (FF)</w:t>
            </w:r>
          </w:p>
        </w:tc>
      </w:tr>
      <w:tr w:rsidR="00CF04BC" w:rsidRPr="00B93493" w14:paraId="7F653561" w14:textId="77777777" w:rsidTr="002E7F54">
        <w:trPr>
          <w:trHeight w:val="390"/>
          <w:jc w:val="center"/>
        </w:trPr>
        <w:tc>
          <w:tcPr>
            <w:tcW w:w="2921" w:type="dxa"/>
          </w:tcPr>
          <w:p w14:paraId="7CD0EE24" w14:textId="77777777" w:rsidR="00CF04BC" w:rsidRPr="00B93493" w:rsidRDefault="00CF04BC" w:rsidP="002E7F54">
            <w:pPr>
              <w:pStyle w:val="Tabletext"/>
              <w:jc w:val="center"/>
            </w:pPr>
            <w:r w:rsidRPr="00B93493">
              <w:t xml:space="preserve">2 GHz &lt; </w:t>
            </w:r>
            <w:r w:rsidRPr="00B93493">
              <w:rPr>
                <w:i/>
                <w:iCs/>
              </w:rPr>
              <w:t>f</w:t>
            </w:r>
            <w:r w:rsidRPr="00B93493">
              <w:t xml:space="preserve"> ≤ 6 GHz</w:t>
            </w:r>
          </w:p>
        </w:tc>
        <w:tc>
          <w:tcPr>
            <w:tcW w:w="2923" w:type="dxa"/>
          </w:tcPr>
          <w:p w14:paraId="764CE7CA" w14:textId="77777777" w:rsidR="00CF04BC" w:rsidRPr="00B93493" w:rsidRDefault="00CF04BC" w:rsidP="002E7F54">
            <w:pPr>
              <w:pStyle w:val="Tabletext"/>
              <w:jc w:val="center"/>
            </w:pPr>
            <w:r w:rsidRPr="00B93493">
              <w:t>5</w:t>
            </w:r>
          </w:p>
        </w:tc>
      </w:tr>
      <w:tr w:rsidR="00CF04BC" w:rsidRPr="00B93493" w14:paraId="361BB545" w14:textId="77777777" w:rsidTr="002E7F54">
        <w:trPr>
          <w:trHeight w:val="390"/>
          <w:jc w:val="center"/>
        </w:trPr>
        <w:tc>
          <w:tcPr>
            <w:tcW w:w="2921" w:type="dxa"/>
          </w:tcPr>
          <w:p w14:paraId="68BDB3F6" w14:textId="77777777" w:rsidR="00CF04BC" w:rsidRPr="00B93493" w:rsidRDefault="00CF04BC" w:rsidP="002E7F54">
            <w:pPr>
              <w:pStyle w:val="Tabletext"/>
              <w:jc w:val="center"/>
            </w:pPr>
            <w:r w:rsidRPr="00B93493">
              <w:t xml:space="preserve">6 GHz &lt; </w:t>
            </w:r>
            <w:r w:rsidRPr="00B93493">
              <w:rPr>
                <w:i/>
                <w:iCs/>
              </w:rPr>
              <w:t>f</w:t>
            </w:r>
            <w:r w:rsidRPr="00B93493">
              <w:t xml:space="preserve"> ≤ 11 GHz</w:t>
            </w:r>
          </w:p>
        </w:tc>
        <w:tc>
          <w:tcPr>
            <w:tcW w:w="2923" w:type="dxa"/>
          </w:tcPr>
          <w:p w14:paraId="50ADC998" w14:textId="77777777" w:rsidR="00CF04BC" w:rsidRPr="00B93493" w:rsidRDefault="00CF04BC" w:rsidP="002E7F54">
            <w:pPr>
              <w:pStyle w:val="Tabletext"/>
              <w:jc w:val="center"/>
            </w:pPr>
            <w:r w:rsidRPr="00B93493">
              <w:t>4</w:t>
            </w:r>
          </w:p>
        </w:tc>
      </w:tr>
      <w:tr w:rsidR="00CF04BC" w:rsidRPr="00B93493" w14:paraId="2E53CB0E" w14:textId="77777777" w:rsidTr="002E7F54">
        <w:trPr>
          <w:trHeight w:val="390"/>
          <w:jc w:val="center"/>
        </w:trPr>
        <w:tc>
          <w:tcPr>
            <w:tcW w:w="2921" w:type="dxa"/>
          </w:tcPr>
          <w:p w14:paraId="6005E4DE" w14:textId="77777777" w:rsidR="00CF04BC" w:rsidRPr="00B93493" w:rsidRDefault="00CF04BC" w:rsidP="002E7F54">
            <w:pPr>
              <w:pStyle w:val="Tabletext"/>
              <w:jc w:val="center"/>
            </w:pPr>
            <w:r w:rsidRPr="00B93493">
              <w:t xml:space="preserve">11 GHz &lt; </w:t>
            </w:r>
            <w:r w:rsidRPr="00B93493">
              <w:rPr>
                <w:i/>
                <w:iCs/>
              </w:rPr>
              <w:t>f</w:t>
            </w:r>
            <w:r w:rsidRPr="00B93493">
              <w:t xml:space="preserve"> ≤ 14 GHz</w:t>
            </w:r>
          </w:p>
        </w:tc>
        <w:tc>
          <w:tcPr>
            <w:tcW w:w="2923" w:type="dxa"/>
          </w:tcPr>
          <w:p w14:paraId="5D29F974" w14:textId="77777777" w:rsidR="00CF04BC" w:rsidRPr="00B93493" w:rsidRDefault="00CF04BC" w:rsidP="002E7F54">
            <w:pPr>
              <w:pStyle w:val="Tabletext"/>
              <w:jc w:val="center"/>
            </w:pPr>
            <w:r w:rsidRPr="00B93493">
              <w:t>3</w:t>
            </w:r>
          </w:p>
        </w:tc>
      </w:tr>
      <w:tr w:rsidR="00CF04BC" w:rsidRPr="00B93493" w14:paraId="3EB1CF11" w14:textId="77777777" w:rsidTr="002E7F54">
        <w:trPr>
          <w:trHeight w:val="406"/>
          <w:jc w:val="center"/>
        </w:trPr>
        <w:tc>
          <w:tcPr>
            <w:tcW w:w="2921" w:type="dxa"/>
          </w:tcPr>
          <w:p w14:paraId="5FA1B1D9" w14:textId="77777777" w:rsidR="00CF04BC" w:rsidRPr="00B93493" w:rsidRDefault="00CF04BC" w:rsidP="002E7F54">
            <w:pPr>
              <w:pStyle w:val="Tabletext"/>
              <w:jc w:val="center"/>
            </w:pPr>
            <w:r w:rsidRPr="00B93493">
              <w:t xml:space="preserve">14 GHz &lt; </w:t>
            </w:r>
            <w:r w:rsidRPr="00B93493">
              <w:rPr>
                <w:i/>
                <w:iCs/>
              </w:rPr>
              <w:t>f</w:t>
            </w:r>
            <w:r w:rsidRPr="00B93493">
              <w:t xml:space="preserve"> ≤ 40 GHz</w:t>
            </w:r>
          </w:p>
        </w:tc>
        <w:tc>
          <w:tcPr>
            <w:tcW w:w="2923" w:type="dxa"/>
          </w:tcPr>
          <w:p w14:paraId="5930C2E6" w14:textId="77777777" w:rsidR="00CF04BC" w:rsidRPr="00B93493" w:rsidRDefault="00CF04BC" w:rsidP="002E7F54">
            <w:pPr>
              <w:pStyle w:val="Tabletext"/>
              <w:jc w:val="center"/>
            </w:pPr>
            <w:r w:rsidRPr="00B93493">
              <w:t>2</w:t>
            </w:r>
          </w:p>
        </w:tc>
      </w:tr>
      <w:tr w:rsidR="00CF04BC" w:rsidRPr="00B93493" w14:paraId="78677681" w14:textId="77777777" w:rsidTr="002E7F54">
        <w:trPr>
          <w:trHeight w:val="406"/>
          <w:jc w:val="center"/>
        </w:trPr>
        <w:tc>
          <w:tcPr>
            <w:tcW w:w="2921" w:type="dxa"/>
          </w:tcPr>
          <w:p w14:paraId="46618D07" w14:textId="77777777" w:rsidR="00CF04BC" w:rsidRPr="00B93493" w:rsidRDefault="00CF04BC" w:rsidP="002E7F54">
            <w:pPr>
              <w:pStyle w:val="Tabletext"/>
              <w:jc w:val="center"/>
            </w:pPr>
            <w:r w:rsidRPr="00B93493">
              <w:t xml:space="preserve">40 GHz &lt; </w:t>
            </w:r>
            <w:r w:rsidRPr="00B93493">
              <w:rPr>
                <w:i/>
                <w:iCs/>
              </w:rPr>
              <w:t>f</w:t>
            </w:r>
          </w:p>
        </w:tc>
        <w:tc>
          <w:tcPr>
            <w:tcW w:w="2923" w:type="dxa"/>
          </w:tcPr>
          <w:p w14:paraId="276C14D2" w14:textId="77777777" w:rsidR="00CF04BC" w:rsidRPr="00B93493" w:rsidRDefault="00CF04BC" w:rsidP="002E7F54">
            <w:pPr>
              <w:pStyle w:val="Tabletext"/>
              <w:jc w:val="center"/>
            </w:pPr>
            <w:r w:rsidRPr="00B93493">
              <w:t>1</w:t>
            </w:r>
          </w:p>
        </w:tc>
      </w:tr>
      <w:tr w:rsidR="00CF04BC" w:rsidRPr="00B93493" w14:paraId="76E3BCAD" w14:textId="77777777" w:rsidTr="002E7F54">
        <w:trPr>
          <w:trHeight w:val="406"/>
          <w:jc w:val="center"/>
        </w:trPr>
        <w:tc>
          <w:tcPr>
            <w:tcW w:w="5844" w:type="dxa"/>
            <w:gridSpan w:val="2"/>
            <w:tcBorders>
              <w:left w:val="nil"/>
              <w:bottom w:val="nil"/>
              <w:right w:val="nil"/>
            </w:tcBorders>
          </w:tcPr>
          <w:p w14:paraId="343A383D" w14:textId="77777777" w:rsidR="00CF04BC" w:rsidRPr="00B93493" w:rsidRDefault="00CF04BC" w:rsidP="002E7F54">
            <w:pPr>
              <w:pStyle w:val="Tablelegend"/>
            </w:pPr>
            <w:r w:rsidRPr="00B93493">
              <w:rPr>
                <w:i/>
                <w:iCs/>
              </w:rPr>
              <w:t>f</w:t>
            </w:r>
            <w:r w:rsidRPr="00B93493">
              <w:t xml:space="preserve"> = Assigned Frequency.</w:t>
            </w:r>
          </w:p>
          <w:p w14:paraId="388C3BED" w14:textId="77777777" w:rsidR="00CF04BC" w:rsidRPr="00B93493" w:rsidRDefault="00CF04BC" w:rsidP="002E7F54">
            <w:pPr>
              <w:pStyle w:val="TableLegendNote"/>
              <w:jc w:val="left"/>
              <w:rPr>
                <w:lang w:val="en-GB"/>
              </w:rPr>
            </w:pPr>
            <w:r w:rsidRPr="00B93493">
              <w:rPr>
                <w:lang w:val="en-GB"/>
              </w:rPr>
              <w:t>NOTE 1 – The TRA shall have the sole discretion to determine the Coverage Factor for an Application.</w:t>
            </w:r>
          </w:p>
        </w:tc>
      </w:tr>
    </w:tbl>
    <w:p w14:paraId="19CA20ED" w14:textId="77777777" w:rsidR="00CF04BC" w:rsidRPr="00B93493" w:rsidRDefault="00CF04BC" w:rsidP="00CF04BC">
      <w:pPr>
        <w:pStyle w:val="ArtNo"/>
      </w:pPr>
      <w:r w:rsidRPr="00B93493">
        <w:t>ARTICLE (15)</w:t>
      </w:r>
    </w:p>
    <w:p w14:paraId="7A5DE31C" w14:textId="77777777" w:rsidR="00CF04BC" w:rsidRPr="00B93493" w:rsidRDefault="00CF04BC" w:rsidP="00CF04BC">
      <w:pPr>
        <w:pStyle w:val="Arttitle"/>
      </w:pPr>
      <w:bookmarkStart w:id="2725" w:name="_Toc237657986"/>
      <w:r w:rsidRPr="00B93493">
        <w:t>Spectrum Fees for Optical and Laser links</w:t>
      </w:r>
      <w:bookmarkEnd w:id="2725"/>
      <w:r w:rsidRPr="00B93493">
        <w:t xml:space="preserve"> </w:t>
      </w:r>
    </w:p>
    <w:p w14:paraId="7EDEA028" w14:textId="77777777" w:rsidR="00CF04BC" w:rsidRPr="00B93493" w:rsidRDefault="00CF04BC" w:rsidP="00CF04BC">
      <w:pPr>
        <w:pStyle w:val="enumlev1"/>
        <w:rPr>
          <w:b/>
          <w:bCs/>
          <w:color w:val="000000"/>
        </w:rPr>
      </w:pPr>
      <w:r w:rsidRPr="00B93493">
        <w:t>15.1</w:t>
      </w:r>
      <w:r w:rsidRPr="00B93493">
        <w:tab/>
        <w:t xml:space="preserve">The Annual Spectrum Fees for free space Optical and Laser links shall be </w:t>
      </w:r>
      <w:r w:rsidRPr="00B93493">
        <w:rPr>
          <w:color w:val="000000"/>
        </w:rPr>
        <w:t>fifty (50) Dirhams.</w:t>
      </w:r>
      <w:r w:rsidRPr="00B93493">
        <w:rPr>
          <w:b/>
          <w:bCs/>
          <w:color w:val="000000"/>
        </w:rPr>
        <w:t xml:space="preserve"> </w:t>
      </w:r>
    </w:p>
    <w:p w14:paraId="3DB30974" w14:textId="77777777" w:rsidR="00CF04BC" w:rsidRPr="00B93493" w:rsidRDefault="00CF04BC" w:rsidP="00CF04BC">
      <w:pPr>
        <w:pStyle w:val="ArtNo"/>
      </w:pPr>
      <w:r w:rsidRPr="00B93493">
        <w:t>ARTICLE (16)</w:t>
      </w:r>
    </w:p>
    <w:p w14:paraId="187E88C6" w14:textId="77777777" w:rsidR="00CF04BC" w:rsidRPr="00B93493" w:rsidRDefault="00CF04BC" w:rsidP="00CF04BC">
      <w:pPr>
        <w:pStyle w:val="Arttitle"/>
      </w:pPr>
      <w:bookmarkStart w:id="2726" w:name="_Toc237657987"/>
      <w:r w:rsidRPr="00B93493">
        <w:t>Spectrum Fees for WLAN and Cordless Telephony</w:t>
      </w:r>
      <w:bookmarkEnd w:id="2726"/>
      <w:r w:rsidRPr="00B93493">
        <w:t xml:space="preserve"> </w:t>
      </w:r>
    </w:p>
    <w:p w14:paraId="4951E168" w14:textId="77777777" w:rsidR="00CF04BC" w:rsidRPr="00B93493" w:rsidRDefault="00CF04BC" w:rsidP="00CF04BC">
      <w:pPr>
        <w:pStyle w:val="enumlev1"/>
        <w:rPr>
          <w:b/>
          <w:bCs/>
          <w:color w:val="000000"/>
        </w:rPr>
      </w:pPr>
      <w:r w:rsidRPr="00B93493">
        <w:t>16.1</w:t>
      </w:r>
      <w:r w:rsidRPr="00B93493">
        <w:tab/>
        <w:t>The indoor use of WLAN and DECT based Cordless Telephony if operated as per the TRA regulations, shall be exempted from the Spectrum Fees.</w:t>
      </w:r>
      <w:r w:rsidRPr="00B93493">
        <w:rPr>
          <w:b/>
          <w:bCs/>
          <w:color w:val="000000"/>
        </w:rPr>
        <w:t xml:space="preserve"> </w:t>
      </w:r>
    </w:p>
    <w:p w14:paraId="65412593" w14:textId="77777777" w:rsidR="00CF04BC" w:rsidRPr="00B93493" w:rsidRDefault="00CF04BC" w:rsidP="00CF04BC">
      <w:pPr>
        <w:pStyle w:val="ArtNo"/>
      </w:pPr>
      <w:r w:rsidRPr="00B93493">
        <w:t>ARTICLE (17)</w:t>
      </w:r>
    </w:p>
    <w:p w14:paraId="0F4B6D98" w14:textId="77777777" w:rsidR="00CF04BC" w:rsidRPr="00B93493" w:rsidRDefault="00CF04BC" w:rsidP="00CF04BC">
      <w:pPr>
        <w:pStyle w:val="Arttitle"/>
      </w:pPr>
      <w:bookmarkStart w:id="2727" w:name="_Toc237657988"/>
      <w:r w:rsidRPr="00B93493">
        <w:t>Spectrum Fees for GMPCS</w:t>
      </w:r>
      <w:bookmarkEnd w:id="2727"/>
      <w:r w:rsidRPr="00B93493">
        <w:t xml:space="preserve"> </w:t>
      </w:r>
    </w:p>
    <w:p w14:paraId="5BB816FD" w14:textId="77777777" w:rsidR="00CF04BC" w:rsidRPr="00B93493" w:rsidRDefault="00CF04BC" w:rsidP="00CF04BC">
      <w:pPr>
        <w:pStyle w:val="enumlev1"/>
      </w:pPr>
      <w:r w:rsidRPr="00B93493">
        <w:t>17.1</w:t>
      </w:r>
      <w:r w:rsidRPr="00B93493">
        <w:tab/>
        <w:t xml:space="preserve">The Annual Spectrum Fees for Global Mobile Personal Communication by Satellite (GMPCS) Service (including its land based, aeronautical and maritime use) shall be calculated as follows: </w:t>
      </w:r>
    </w:p>
    <w:p w14:paraId="4056DFA5" w14:textId="77777777" w:rsidR="00CF04BC" w:rsidRPr="00B93493" w:rsidRDefault="00CF04BC" w:rsidP="00CF04BC">
      <w:pPr>
        <w:pStyle w:val="Equation"/>
      </w:pPr>
      <w:r w:rsidRPr="00B93493">
        <w:tab/>
      </w:r>
      <w:r w:rsidRPr="00B93493">
        <w:tab/>
        <w:t>Spectrum Fees = BW × 5 000</w:t>
      </w:r>
    </w:p>
    <w:p w14:paraId="5FCEA0D2" w14:textId="77777777" w:rsidR="00CF04BC" w:rsidRPr="00B93493" w:rsidRDefault="00CF04BC" w:rsidP="00CF04BC">
      <w:pPr>
        <w:pStyle w:val="enumlev1"/>
      </w:pPr>
      <w:r w:rsidRPr="00B93493">
        <w:tab/>
        <w:t xml:space="preserve">Where </w:t>
      </w:r>
      <w:r w:rsidRPr="00B93493">
        <w:rPr>
          <w:b/>
          <w:bCs/>
        </w:rPr>
        <w:t xml:space="preserve">BW </w:t>
      </w:r>
      <w:r w:rsidRPr="00B93493">
        <w:t>=</w:t>
      </w:r>
      <w:r w:rsidRPr="00B93493">
        <w:rPr>
          <w:b/>
          <w:bCs/>
        </w:rPr>
        <w:t xml:space="preserve"> </w:t>
      </w:r>
      <w:r w:rsidRPr="00B93493">
        <w:t>Bandwidth Factor based on 2 × 1 MHz Bandwidth used and shall be determined as follows:</w:t>
      </w:r>
    </w:p>
    <w:p w14:paraId="14FC7700" w14:textId="77777777" w:rsidR="00CF04BC" w:rsidRPr="00B93493" w:rsidRDefault="00CF04BC" w:rsidP="00CF04BC">
      <w:pPr>
        <w:pStyle w:val="Blanc"/>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61"/>
        <w:gridCol w:w="1261"/>
      </w:tblGrid>
      <w:tr w:rsidR="00CF04BC" w:rsidRPr="00B93493" w14:paraId="6BD89B6C" w14:textId="77777777" w:rsidTr="002E7F54">
        <w:trPr>
          <w:trHeight w:val="332"/>
          <w:jc w:val="center"/>
        </w:trPr>
        <w:tc>
          <w:tcPr>
            <w:tcW w:w="0" w:type="auto"/>
          </w:tcPr>
          <w:p w14:paraId="346E0541" w14:textId="77777777" w:rsidR="00CF04BC" w:rsidRPr="00B93493" w:rsidRDefault="00CF04BC" w:rsidP="002E7F54">
            <w:pPr>
              <w:pStyle w:val="Tablehead"/>
            </w:pPr>
            <w:r w:rsidRPr="00B93493">
              <w:t xml:space="preserve">Bandwidth </w:t>
            </w:r>
          </w:p>
        </w:tc>
        <w:tc>
          <w:tcPr>
            <w:tcW w:w="0" w:type="auto"/>
          </w:tcPr>
          <w:p w14:paraId="7BCC68AC" w14:textId="77777777" w:rsidR="00CF04BC" w:rsidRPr="00B93493" w:rsidRDefault="00CF04BC" w:rsidP="002E7F54">
            <w:pPr>
              <w:pStyle w:val="Tablehead"/>
            </w:pPr>
            <w:r w:rsidRPr="00B93493">
              <w:t>BW Factor</w:t>
            </w:r>
          </w:p>
        </w:tc>
      </w:tr>
      <w:tr w:rsidR="00CF04BC" w:rsidRPr="00B93493" w14:paraId="1AE81159" w14:textId="77777777" w:rsidTr="002E7F54">
        <w:trPr>
          <w:trHeight w:val="319"/>
          <w:jc w:val="center"/>
        </w:trPr>
        <w:tc>
          <w:tcPr>
            <w:tcW w:w="0" w:type="auto"/>
          </w:tcPr>
          <w:p w14:paraId="6FCF71B2" w14:textId="77777777" w:rsidR="00CF04BC" w:rsidRPr="00B93493" w:rsidRDefault="00CF04BC" w:rsidP="002E7F54">
            <w:pPr>
              <w:pStyle w:val="Tabletext"/>
              <w:keepNext/>
              <w:keepLines/>
            </w:pPr>
            <w:r w:rsidRPr="00B93493">
              <w:t xml:space="preserve">Less than 2 × 1 MHz </w:t>
            </w:r>
          </w:p>
        </w:tc>
        <w:tc>
          <w:tcPr>
            <w:tcW w:w="0" w:type="auto"/>
          </w:tcPr>
          <w:p w14:paraId="0449B66C" w14:textId="77777777" w:rsidR="00CF04BC" w:rsidRPr="00B93493" w:rsidRDefault="00CF04BC" w:rsidP="002E7F54">
            <w:pPr>
              <w:pStyle w:val="Tabletext"/>
              <w:keepNext/>
              <w:keepLines/>
              <w:jc w:val="center"/>
            </w:pPr>
            <w:r w:rsidRPr="00B93493">
              <w:t>3</w:t>
            </w:r>
          </w:p>
        </w:tc>
      </w:tr>
      <w:tr w:rsidR="00CF04BC" w:rsidRPr="00B93493" w14:paraId="1772FC2C" w14:textId="77777777" w:rsidTr="002E7F54">
        <w:trPr>
          <w:trHeight w:val="319"/>
          <w:jc w:val="center"/>
        </w:trPr>
        <w:tc>
          <w:tcPr>
            <w:tcW w:w="0" w:type="auto"/>
          </w:tcPr>
          <w:p w14:paraId="53EE3B14" w14:textId="77777777" w:rsidR="00CF04BC" w:rsidRPr="00B93493" w:rsidRDefault="00CF04BC" w:rsidP="002E7F54">
            <w:pPr>
              <w:pStyle w:val="Tabletext"/>
              <w:keepNext/>
              <w:keepLines/>
            </w:pPr>
            <w:r w:rsidRPr="00B93493">
              <w:t xml:space="preserve">2 × 1 MHz – Less than 4 × 1 MHz </w:t>
            </w:r>
          </w:p>
        </w:tc>
        <w:tc>
          <w:tcPr>
            <w:tcW w:w="0" w:type="auto"/>
          </w:tcPr>
          <w:p w14:paraId="755D4D7F" w14:textId="77777777" w:rsidR="00CF04BC" w:rsidRPr="00B93493" w:rsidRDefault="00CF04BC" w:rsidP="002E7F54">
            <w:pPr>
              <w:pStyle w:val="Tabletext"/>
              <w:keepNext/>
              <w:keepLines/>
              <w:jc w:val="center"/>
            </w:pPr>
            <w:r w:rsidRPr="00B93493">
              <w:t>6</w:t>
            </w:r>
          </w:p>
        </w:tc>
      </w:tr>
      <w:tr w:rsidR="00CF04BC" w:rsidRPr="00B93493" w14:paraId="4C287017" w14:textId="77777777" w:rsidTr="002E7F54">
        <w:trPr>
          <w:trHeight w:val="319"/>
          <w:jc w:val="center"/>
        </w:trPr>
        <w:tc>
          <w:tcPr>
            <w:tcW w:w="0" w:type="auto"/>
          </w:tcPr>
          <w:p w14:paraId="3140E15A" w14:textId="77777777" w:rsidR="00CF04BC" w:rsidRPr="00B93493" w:rsidRDefault="00CF04BC" w:rsidP="002E7F54">
            <w:pPr>
              <w:pStyle w:val="Tabletext"/>
              <w:keepNext/>
              <w:keepLines/>
            </w:pPr>
            <w:r w:rsidRPr="00B93493">
              <w:t xml:space="preserve">4 × 1 MHz – Less than 6 × 1 MHz </w:t>
            </w:r>
          </w:p>
        </w:tc>
        <w:tc>
          <w:tcPr>
            <w:tcW w:w="0" w:type="auto"/>
          </w:tcPr>
          <w:p w14:paraId="21120A78" w14:textId="77777777" w:rsidR="00CF04BC" w:rsidRPr="00B93493" w:rsidRDefault="00CF04BC" w:rsidP="002E7F54">
            <w:pPr>
              <w:pStyle w:val="Tabletext"/>
              <w:keepNext/>
              <w:keepLines/>
              <w:jc w:val="center"/>
            </w:pPr>
            <w:r w:rsidRPr="00B93493">
              <w:t>9</w:t>
            </w:r>
          </w:p>
        </w:tc>
      </w:tr>
      <w:tr w:rsidR="00CF04BC" w:rsidRPr="00B93493" w14:paraId="518C94E5" w14:textId="77777777" w:rsidTr="002E7F54">
        <w:trPr>
          <w:trHeight w:val="319"/>
          <w:jc w:val="center"/>
        </w:trPr>
        <w:tc>
          <w:tcPr>
            <w:tcW w:w="0" w:type="auto"/>
          </w:tcPr>
          <w:p w14:paraId="4660FBAC" w14:textId="77777777" w:rsidR="00CF04BC" w:rsidRPr="00B93493" w:rsidRDefault="00CF04BC" w:rsidP="002E7F54">
            <w:pPr>
              <w:pStyle w:val="Tabletext"/>
              <w:keepNext/>
              <w:keepLines/>
            </w:pPr>
            <w:r w:rsidRPr="00B93493">
              <w:t xml:space="preserve">6 × 1 MHz – Less than 8 × 1 MHz </w:t>
            </w:r>
          </w:p>
        </w:tc>
        <w:tc>
          <w:tcPr>
            <w:tcW w:w="0" w:type="auto"/>
          </w:tcPr>
          <w:p w14:paraId="11A3BCBF" w14:textId="77777777" w:rsidR="00CF04BC" w:rsidRPr="00B93493" w:rsidRDefault="00CF04BC" w:rsidP="002E7F54">
            <w:pPr>
              <w:pStyle w:val="Tabletext"/>
              <w:keepNext/>
              <w:keepLines/>
              <w:jc w:val="center"/>
            </w:pPr>
            <w:r w:rsidRPr="00B93493">
              <w:t>12</w:t>
            </w:r>
          </w:p>
        </w:tc>
      </w:tr>
      <w:tr w:rsidR="00CF04BC" w:rsidRPr="00B93493" w14:paraId="5F8A52F2" w14:textId="77777777" w:rsidTr="002E7F54">
        <w:trPr>
          <w:trHeight w:val="319"/>
          <w:jc w:val="center"/>
        </w:trPr>
        <w:tc>
          <w:tcPr>
            <w:tcW w:w="0" w:type="auto"/>
          </w:tcPr>
          <w:p w14:paraId="19390729" w14:textId="77777777" w:rsidR="00CF04BC" w:rsidRPr="00B93493" w:rsidRDefault="00CF04BC" w:rsidP="002E7F54">
            <w:pPr>
              <w:pStyle w:val="Tabletext"/>
              <w:keepNext/>
              <w:keepLines/>
            </w:pPr>
            <w:r w:rsidRPr="00B93493">
              <w:t xml:space="preserve">8 × 1 MHz – Less than 10 × 1 MHz </w:t>
            </w:r>
          </w:p>
        </w:tc>
        <w:tc>
          <w:tcPr>
            <w:tcW w:w="0" w:type="auto"/>
          </w:tcPr>
          <w:p w14:paraId="3BD46DF0" w14:textId="77777777" w:rsidR="00CF04BC" w:rsidRPr="00B93493" w:rsidRDefault="00CF04BC" w:rsidP="002E7F54">
            <w:pPr>
              <w:pStyle w:val="Tabletext"/>
              <w:keepNext/>
              <w:keepLines/>
              <w:jc w:val="center"/>
            </w:pPr>
            <w:r w:rsidRPr="00B93493">
              <w:t>15</w:t>
            </w:r>
          </w:p>
        </w:tc>
      </w:tr>
      <w:tr w:rsidR="00CF04BC" w:rsidRPr="00B93493" w14:paraId="16AB474A" w14:textId="77777777" w:rsidTr="002E7F54">
        <w:trPr>
          <w:trHeight w:val="319"/>
          <w:jc w:val="center"/>
        </w:trPr>
        <w:tc>
          <w:tcPr>
            <w:tcW w:w="0" w:type="auto"/>
          </w:tcPr>
          <w:p w14:paraId="589D080C" w14:textId="77777777" w:rsidR="00CF04BC" w:rsidRPr="00B93493" w:rsidRDefault="00CF04BC" w:rsidP="002E7F54">
            <w:pPr>
              <w:pStyle w:val="Tabletext"/>
              <w:keepNext/>
              <w:keepLines/>
            </w:pPr>
            <w:r w:rsidRPr="00B93493">
              <w:t xml:space="preserve">10 × 1 MHz </w:t>
            </w:r>
          </w:p>
        </w:tc>
        <w:tc>
          <w:tcPr>
            <w:tcW w:w="0" w:type="auto"/>
          </w:tcPr>
          <w:p w14:paraId="1B4A910C" w14:textId="77777777" w:rsidR="00CF04BC" w:rsidRPr="00B93493" w:rsidRDefault="00CF04BC" w:rsidP="002E7F54">
            <w:pPr>
              <w:pStyle w:val="Tabletext"/>
              <w:keepNext/>
              <w:keepLines/>
              <w:jc w:val="center"/>
            </w:pPr>
            <w:r w:rsidRPr="00B93493">
              <w:t>18</w:t>
            </w:r>
          </w:p>
        </w:tc>
      </w:tr>
      <w:tr w:rsidR="00CF04BC" w:rsidRPr="00B93493" w14:paraId="0B28E35C" w14:textId="77777777" w:rsidTr="002E7F54">
        <w:trPr>
          <w:trHeight w:val="319"/>
          <w:jc w:val="center"/>
        </w:trPr>
        <w:tc>
          <w:tcPr>
            <w:tcW w:w="0" w:type="auto"/>
          </w:tcPr>
          <w:p w14:paraId="43DA91C3" w14:textId="77777777" w:rsidR="00CF04BC" w:rsidRPr="00B93493" w:rsidRDefault="00CF04BC" w:rsidP="002E7F54">
            <w:pPr>
              <w:pStyle w:val="Tabletext"/>
              <w:keepNext/>
              <w:keepLines/>
            </w:pPr>
            <w:r w:rsidRPr="00B93493">
              <w:t xml:space="preserve">For each additional 2 × 1 MHz </w:t>
            </w:r>
          </w:p>
        </w:tc>
        <w:tc>
          <w:tcPr>
            <w:tcW w:w="0" w:type="auto"/>
          </w:tcPr>
          <w:p w14:paraId="3316C24D" w14:textId="77777777" w:rsidR="00CF04BC" w:rsidRPr="00B93493" w:rsidRDefault="00CF04BC" w:rsidP="002E7F54">
            <w:pPr>
              <w:pStyle w:val="Tabletext"/>
              <w:keepNext/>
              <w:keepLines/>
              <w:jc w:val="center"/>
            </w:pPr>
            <w:r w:rsidRPr="00B93493">
              <w:t>3</w:t>
            </w:r>
          </w:p>
        </w:tc>
      </w:tr>
    </w:tbl>
    <w:p w14:paraId="3AA6FCAA" w14:textId="77777777" w:rsidR="00CF04BC" w:rsidRPr="00B93493" w:rsidRDefault="00CF04BC" w:rsidP="00CF04BC">
      <w:pPr>
        <w:pStyle w:val="Tablefin"/>
      </w:pPr>
    </w:p>
    <w:p w14:paraId="3337E119" w14:textId="77777777" w:rsidR="00CF04BC" w:rsidRPr="00B93493" w:rsidRDefault="00CF04BC" w:rsidP="00CF04BC">
      <w:pPr>
        <w:pStyle w:val="ArtNo"/>
      </w:pPr>
      <w:r w:rsidRPr="00B93493">
        <w:t>ARTICLE (18)</w:t>
      </w:r>
    </w:p>
    <w:p w14:paraId="01C33FAC" w14:textId="77777777" w:rsidR="00CF04BC" w:rsidRPr="00B93493" w:rsidRDefault="00CF04BC" w:rsidP="00CF04BC">
      <w:pPr>
        <w:pStyle w:val="Arttitle"/>
      </w:pPr>
      <w:bookmarkStart w:id="2728" w:name="_Toc237657989"/>
      <w:r w:rsidRPr="00B93493">
        <w:t>Spectrum Fees for Amateur</w:t>
      </w:r>
      <w:bookmarkEnd w:id="2728"/>
      <w:r w:rsidRPr="00B93493">
        <w:t xml:space="preserve"> </w:t>
      </w:r>
    </w:p>
    <w:p w14:paraId="3A6E56D1" w14:textId="77777777" w:rsidR="00CF04BC" w:rsidRPr="00B93493" w:rsidRDefault="00CF04BC" w:rsidP="00CF04BC">
      <w:pPr>
        <w:pStyle w:val="enumlev1"/>
      </w:pPr>
      <w:r w:rsidRPr="00B93493">
        <w:t>18.1</w:t>
      </w:r>
      <w:r w:rsidRPr="00B93493">
        <w:tab/>
        <w:t xml:space="preserve">The Annual Fees for Amateur license shall be Two Hundred (200) AED payable in advance. </w:t>
      </w:r>
    </w:p>
    <w:p w14:paraId="360565A6" w14:textId="77777777" w:rsidR="00CF04BC" w:rsidRPr="00B93493" w:rsidRDefault="00CF04BC" w:rsidP="00CF04BC">
      <w:pPr>
        <w:pStyle w:val="ArtNo"/>
      </w:pPr>
      <w:r w:rsidRPr="00B93493">
        <w:t>ARTICLE (19)</w:t>
      </w:r>
    </w:p>
    <w:p w14:paraId="081953FF" w14:textId="77777777" w:rsidR="00CF04BC" w:rsidRPr="00B93493" w:rsidRDefault="00CF04BC" w:rsidP="00CF04BC">
      <w:pPr>
        <w:pStyle w:val="Arttitle"/>
      </w:pPr>
      <w:bookmarkStart w:id="2729" w:name="_Toc237657990"/>
      <w:r w:rsidRPr="00B93493">
        <w:t>Spectrum Fees for Aeronautical Radio Stations</w:t>
      </w:r>
      <w:bookmarkEnd w:id="2729"/>
      <w:r w:rsidRPr="00B93493">
        <w:t xml:space="preserve"> </w:t>
      </w:r>
    </w:p>
    <w:p w14:paraId="4EB80413" w14:textId="77777777" w:rsidR="00CF04BC" w:rsidRPr="00B93493" w:rsidRDefault="00CF04BC" w:rsidP="00CF04BC">
      <w:pPr>
        <w:pStyle w:val="enumlev1"/>
      </w:pPr>
      <w:r w:rsidRPr="00B93493">
        <w:t>19.1</w:t>
      </w:r>
      <w:r w:rsidRPr="00B93493">
        <w:tab/>
        <w:t>The Annual Fees for each aircraft and helicopter license shall be One Thousand (1 000) Dirhams. This shall include all Wireless Equipment onboard.</w:t>
      </w:r>
    </w:p>
    <w:p w14:paraId="04812DB7" w14:textId="77777777" w:rsidR="00CF04BC" w:rsidRPr="00B93493" w:rsidRDefault="00CF04BC" w:rsidP="00CF04BC">
      <w:pPr>
        <w:pStyle w:val="enumlev1"/>
      </w:pPr>
      <w:r w:rsidRPr="00B93493">
        <w:t>19.2</w:t>
      </w:r>
      <w:r w:rsidRPr="00B93493">
        <w:tab/>
        <w:t xml:space="preserve">The Annual Fees for gliders and balloons shall be Three Hundred (300) Dirhams. </w:t>
      </w:r>
    </w:p>
    <w:p w14:paraId="6AC36CAA" w14:textId="77777777" w:rsidR="00CF04BC" w:rsidRPr="00B93493" w:rsidRDefault="00CF04BC" w:rsidP="00CF04BC">
      <w:pPr>
        <w:pStyle w:val="enumlev1"/>
        <w:rPr>
          <w:rtl/>
        </w:rPr>
      </w:pPr>
      <w:r w:rsidRPr="00B93493">
        <w:t>19.3</w:t>
      </w:r>
      <w:r w:rsidRPr="00B93493">
        <w:tab/>
        <w:t xml:space="preserve">The Annual Fees for ground to air links shall be in accordance with Article (12). </w:t>
      </w:r>
    </w:p>
    <w:p w14:paraId="662CB5E2" w14:textId="77777777" w:rsidR="00CF04BC" w:rsidRPr="00B93493" w:rsidRDefault="00CF04BC" w:rsidP="00CF04BC">
      <w:pPr>
        <w:pStyle w:val="enumlev1"/>
      </w:pPr>
      <w:r w:rsidRPr="00B93493">
        <w:rPr>
          <w:szCs w:val="24"/>
          <w:rtl/>
        </w:rPr>
        <w:t>19.4</w:t>
      </w:r>
      <w:r w:rsidRPr="00B93493">
        <w:rPr>
          <w:rtl/>
        </w:rPr>
        <w:tab/>
      </w:r>
      <w:r w:rsidRPr="00B93493">
        <w:t>The ground to air HF links shall be charged in accordance with Article (13).</w:t>
      </w:r>
    </w:p>
    <w:p w14:paraId="5C4A902B" w14:textId="77777777" w:rsidR="00CF04BC" w:rsidRPr="00B93493" w:rsidRDefault="00CF04BC" w:rsidP="00CF04BC">
      <w:pPr>
        <w:pStyle w:val="ArtNo"/>
      </w:pPr>
      <w:r w:rsidRPr="00B93493">
        <w:t>ARTICLE (20)</w:t>
      </w:r>
    </w:p>
    <w:p w14:paraId="33899F22" w14:textId="77777777" w:rsidR="00CF04BC" w:rsidRPr="00B93493" w:rsidRDefault="00CF04BC" w:rsidP="00CF04BC">
      <w:pPr>
        <w:pStyle w:val="Arttitle"/>
      </w:pPr>
      <w:bookmarkStart w:id="2730" w:name="_Toc237657991"/>
      <w:r w:rsidRPr="00B93493">
        <w:t>Spectrum Fees for Maritime Radio Services</w:t>
      </w:r>
      <w:bookmarkEnd w:id="2730"/>
      <w:r w:rsidRPr="00B93493">
        <w:t xml:space="preserve"> </w:t>
      </w:r>
    </w:p>
    <w:p w14:paraId="41AAA934" w14:textId="77777777" w:rsidR="00CF04BC" w:rsidRPr="00B93493" w:rsidRDefault="00CF04BC" w:rsidP="00CF04BC">
      <w:pPr>
        <w:pStyle w:val="enumlev1"/>
      </w:pPr>
      <w:r w:rsidRPr="00B93493">
        <w:t>20.1</w:t>
      </w:r>
      <w:r w:rsidRPr="00B93493">
        <w:tab/>
        <w:t>Spectrum Fees for each small fishing boat license shall be Two Hundred (200) Dirhams for two years.</w:t>
      </w:r>
    </w:p>
    <w:p w14:paraId="4B29FF2A" w14:textId="77777777" w:rsidR="00CF04BC" w:rsidRPr="00B93493" w:rsidRDefault="00CF04BC" w:rsidP="00CF04BC">
      <w:pPr>
        <w:pStyle w:val="enumlev1"/>
      </w:pPr>
      <w:r w:rsidRPr="00B93493">
        <w:t>20.2</w:t>
      </w:r>
      <w:r w:rsidRPr="00B93493">
        <w:tab/>
        <w:t>The Annual Spectrum Fees for each pleasure boat license shall be Five Hundred (500) Dirhams.</w:t>
      </w:r>
    </w:p>
    <w:p w14:paraId="252ECED8" w14:textId="77777777" w:rsidR="00CF04BC" w:rsidRPr="00B93493" w:rsidRDefault="00CF04BC" w:rsidP="00CF04BC">
      <w:pPr>
        <w:pStyle w:val="enumlev1"/>
      </w:pPr>
      <w:r w:rsidRPr="00B93493">
        <w:t>20.3</w:t>
      </w:r>
      <w:r w:rsidRPr="00B93493">
        <w:tab/>
        <w:t xml:space="preserve">The Annual Spectrum Fees for each Coastal Ship </w:t>
      </w:r>
      <w:r w:rsidRPr="00B93493">
        <w:rPr>
          <w:color w:val="000000"/>
        </w:rPr>
        <w:t xml:space="preserve">(within domestic water and without MMSI) </w:t>
      </w:r>
      <w:r w:rsidRPr="00B93493">
        <w:t xml:space="preserve">license shall be Five Hundred (500) Dirhams. </w:t>
      </w:r>
    </w:p>
    <w:p w14:paraId="0FC1ED1E" w14:textId="77777777" w:rsidR="00CF04BC" w:rsidRPr="00B93493" w:rsidRDefault="00CF04BC" w:rsidP="00CF04BC">
      <w:pPr>
        <w:pStyle w:val="enumlev1"/>
      </w:pPr>
      <w:r w:rsidRPr="00B93493">
        <w:t>20.4</w:t>
      </w:r>
      <w:r w:rsidRPr="00B93493">
        <w:tab/>
        <w:t xml:space="preserve">The Annual Spectrum Fees for each Ship </w:t>
      </w:r>
      <w:r w:rsidRPr="00B93493">
        <w:rPr>
          <w:color w:val="000000"/>
        </w:rPr>
        <w:t xml:space="preserve">(going outside domestic water or with MMSI) </w:t>
      </w:r>
      <w:r w:rsidRPr="00B93493">
        <w:t xml:space="preserve">license shall be One Thousand (1 000) Dirhams. </w:t>
      </w:r>
    </w:p>
    <w:p w14:paraId="1DB257AA" w14:textId="77777777" w:rsidR="00CF04BC" w:rsidRPr="00B93493" w:rsidRDefault="00CF04BC" w:rsidP="00CF04BC">
      <w:pPr>
        <w:pStyle w:val="Note"/>
        <w:ind w:left="794" w:hanging="794"/>
        <w:rPr>
          <w:i/>
          <w:iCs/>
        </w:rPr>
      </w:pPr>
      <w:r w:rsidRPr="00B93493">
        <w:rPr>
          <w:b/>
          <w:bCs/>
          <w:i/>
          <w:iCs/>
        </w:rPr>
        <w:tab/>
      </w:r>
      <w:r w:rsidRPr="00B93493">
        <w:rPr>
          <w:i/>
          <w:iCs/>
        </w:rPr>
        <w:t>NOTE 1 – The Article 21.3 &amp; 21.4 shall be subject to the use of International Marine Frequency Channel as per the ITU Radio Regulations otherwise the Application will be treated as Private Mobile Radio.</w:t>
      </w:r>
    </w:p>
    <w:p w14:paraId="5DD9DE56" w14:textId="77777777" w:rsidR="00CF04BC" w:rsidRPr="00B93493" w:rsidRDefault="00CF04BC" w:rsidP="00CF04BC">
      <w:pPr>
        <w:pStyle w:val="ArtNo"/>
      </w:pPr>
      <w:r w:rsidRPr="00B93493">
        <w:t>ARTICLE (21)</w:t>
      </w:r>
    </w:p>
    <w:p w14:paraId="0A337152" w14:textId="77777777" w:rsidR="00CF04BC" w:rsidRPr="00B93493" w:rsidRDefault="00CF04BC" w:rsidP="00CF04BC">
      <w:pPr>
        <w:pStyle w:val="Arttitle"/>
      </w:pPr>
      <w:bookmarkStart w:id="2731" w:name="_Toc237657992"/>
      <w:r w:rsidRPr="00B93493">
        <w:t>Spectrum Fees for Space and Ancillary Services</w:t>
      </w:r>
      <w:bookmarkEnd w:id="2731"/>
    </w:p>
    <w:p w14:paraId="728F15BA" w14:textId="77777777" w:rsidR="00CF04BC" w:rsidRPr="00B93493" w:rsidRDefault="00CF04BC" w:rsidP="00CF04BC">
      <w:pPr>
        <w:pStyle w:val="enumlev1"/>
      </w:pPr>
      <w:r w:rsidRPr="00B93493">
        <w:t>21.1</w:t>
      </w:r>
      <w:r w:rsidRPr="00B93493">
        <w:tab/>
        <w:t>The Annual Spectrum Fees for each private VSAT shall be Five Thousand (5 000) Dirhams.</w:t>
      </w:r>
    </w:p>
    <w:p w14:paraId="76417096" w14:textId="77777777" w:rsidR="00CF04BC" w:rsidRPr="00B93493" w:rsidRDefault="00CF04BC" w:rsidP="00CF04BC">
      <w:pPr>
        <w:pStyle w:val="enumlev1"/>
      </w:pPr>
      <w:r w:rsidRPr="00B93493">
        <w:t>21.2</w:t>
      </w:r>
      <w:r w:rsidRPr="00B93493">
        <w:tab/>
        <w:t xml:space="preserve">The Annual Spectrum Fees for each Earth Station antenna shall be Fifty Thousand (50 000) Dirhams. </w:t>
      </w:r>
    </w:p>
    <w:p w14:paraId="4789199C" w14:textId="77777777" w:rsidR="00CF04BC" w:rsidRPr="00B93493" w:rsidRDefault="00CF04BC" w:rsidP="00CF04BC">
      <w:pPr>
        <w:pStyle w:val="enumlev1"/>
      </w:pPr>
      <w:r w:rsidRPr="00B93493">
        <w:t>21.3</w:t>
      </w:r>
      <w:r w:rsidRPr="00B93493">
        <w:tab/>
        <w:t xml:space="preserve">The TVRO (Television receive only) shall not be charged. </w:t>
      </w:r>
    </w:p>
    <w:p w14:paraId="71A85DE5" w14:textId="77777777" w:rsidR="00CF04BC" w:rsidRPr="00B93493" w:rsidRDefault="00CF04BC" w:rsidP="00CF04BC">
      <w:pPr>
        <w:pStyle w:val="enumlev1"/>
      </w:pPr>
      <w:r w:rsidRPr="00B93493">
        <w:t>21.4</w:t>
      </w:r>
      <w:r w:rsidRPr="00B93493">
        <w:tab/>
        <w:t>The Annual Spectrum Fees for each DSNG shall be Five Thousand (5 000) Dirhams.</w:t>
      </w:r>
    </w:p>
    <w:p w14:paraId="63270D6E" w14:textId="77777777" w:rsidR="00CF04BC" w:rsidRPr="00B93493" w:rsidRDefault="00CF04BC" w:rsidP="00CF04BC">
      <w:pPr>
        <w:pStyle w:val="enumlev1"/>
      </w:pPr>
      <w:r w:rsidRPr="00B93493">
        <w:t>21.5</w:t>
      </w:r>
      <w:r w:rsidRPr="00B93493">
        <w:tab/>
        <w:t>The Annual Spectrum Fees for offering Aeronautical Mobile Satellite Service shall be Ten Thousand (10 000) Dirhams.</w:t>
      </w:r>
    </w:p>
    <w:p w14:paraId="6C3B1CE2" w14:textId="77777777" w:rsidR="00CF04BC" w:rsidRPr="00B93493" w:rsidRDefault="00CF04BC" w:rsidP="00CF04BC">
      <w:pPr>
        <w:pStyle w:val="enumlev1"/>
      </w:pPr>
      <w:r w:rsidRPr="00B93493">
        <w:t>21.6</w:t>
      </w:r>
      <w:r w:rsidRPr="00B93493">
        <w:tab/>
        <w:t>The Annual Spectrum Fees for offering Maritime Mobile Satellite Service shall be Ten Thousand (10 000) Dirhams.</w:t>
      </w:r>
    </w:p>
    <w:p w14:paraId="32D007D5" w14:textId="77777777" w:rsidR="00CF04BC" w:rsidRPr="00B93493" w:rsidRDefault="00CF04BC" w:rsidP="00CF04BC">
      <w:pPr>
        <w:pStyle w:val="enumlev1"/>
      </w:pPr>
      <w:r w:rsidRPr="00B93493">
        <w:t>21.7</w:t>
      </w:r>
      <w:r w:rsidRPr="00B93493">
        <w:tab/>
        <w:t>The Annual Spectrum Fees for offering Earth Exploration Satellite service shall be Ten Thousand (10 000) Dirhams.</w:t>
      </w:r>
    </w:p>
    <w:p w14:paraId="71C9486C" w14:textId="77777777" w:rsidR="00CF04BC" w:rsidRPr="00B93493" w:rsidRDefault="00CF04BC" w:rsidP="00CF04BC">
      <w:pPr>
        <w:pStyle w:val="enumlev1"/>
      </w:pPr>
      <w:r w:rsidRPr="00B93493">
        <w:t>21.8</w:t>
      </w:r>
      <w:r w:rsidRPr="00B93493">
        <w:tab/>
        <w:t>The Annual Spectrum Fees for HAPS shall be determined by the TRA based on the purpose of use.</w:t>
      </w:r>
    </w:p>
    <w:p w14:paraId="51EC5377" w14:textId="77777777" w:rsidR="00CF04BC" w:rsidRPr="00B93493" w:rsidRDefault="00CF04BC" w:rsidP="00CF04BC">
      <w:pPr>
        <w:pStyle w:val="ArtNo"/>
      </w:pPr>
      <w:r w:rsidRPr="00B93493">
        <w:t>ARTICLE (22)</w:t>
      </w:r>
    </w:p>
    <w:p w14:paraId="724ADC5C" w14:textId="77777777" w:rsidR="00CF04BC" w:rsidRPr="00B93493" w:rsidRDefault="00CF04BC" w:rsidP="00CF04BC">
      <w:pPr>
        <w:pStyle w:val="Arttitle"/>
      </w:pPr>
      <w:bookmarkStart w:id="2732" w:name="_Toc237657993"/>
      <w:r w:rsidRPr="00B93493">
        <w:t>Spectrum Fees for Radionavigation stations</w:t>
      </w:r>
      <w:bookmarkEnd w:id="2732"/>
    </w:p>
    <w:p w14:paraId="3CF4B759" w14:textId="77777777" w:rsidR="00CF04BC" w:rsidRPr="00B93493" w:rsidRDefault="00CF04BC" w:rsidP="00CF04BC">
      <w:pPr>
        <w:pStyle w:val="enumlev1"/>
        <w:rPr>
          <w:color w:val="000000"/>
        </w:rPr>
      </w:pPr>
      <w:r w:rsidRPr="00B93493">
        <w:t>22.1</w:t>
      </w:r>
      <w:r w:rsidRPr="00B93493">
        <w:tab/>
        <w:t>The Annual Spectrum Fees for each Radionavigation Station shall be One Thousand (1 000) Dirhams.</w:t>
      </w:r>
    </w:p>
    <w:p w14:paraId="132AA9FA" w14:textId="77777777" w:rsidR="00CF04BC" w:rsidRPr="00B93493" w:rsidRDefault="00CF04BC" w:rsidP="00CF04BC">
      <w:pPr>
        <w:pStyle w:val="ArtNo"/>
      </w:pPr>
      <w:r w:rsidRPr="00B93493">
        <w:t>ARTICLE (23)</w:t>
      </w:r>
    </w:p>
    <w:p w14:paraId="66C78AB9" w14:textId="77777777" w:rsidR="00CF04BC" w:rsidRPr="00B93493" w:rsidRDefault="00CF04BC" w:rsidP="00CF04BC">
      <w:pPr>
        <w:pStyle w:val="Arttitle"/>
      </w:pPr>
      <w:bookmarkStart w:id="2733" w:name="_Toc237657994"/>
      <w:r w:rsidRPr="00B93493">
        <w:t>Spectrum Fees for Radio Astronomy stations</w:t>
      </w:r>
      <w:bookmarkEnd w:id="2733"/>
    </w:p>
    <w:p w14:paraId="1021D02C" w14:textId="77777777" w:rsidR="00CF04BC" w:rsidRPr="00B93493" w:rsidRDefault="00CF04BC" w:rsidP="00CF04BC">
      <w:pPr>
        <w:pStyle w:val="enumlev1"/>
        <w:rPr>
          <w:color w:val="000000"/>
        </w:rPr>
      </w:pPr>
      <w:r w:rsidRPr="00B93493">
        <w:t>23.1</w:t>
      </w:r>
      <w:r w:rsidRPr="00B93493">
        <w:tab/>
        <w:t>The Annual Spectrum Fees for each Radio Astronomy Station shall be Five Hundred (500) Dirhams.</w:t>
      </w:r>
    </w:p>
    <w:p w14:paraId="7C3BF036" w14:textId="77777777" w:rsidR="00CF04BC" w:rsidRPr="00B93493" w:rsidRDefault="00CF04BC" w:rsidP="00CF04BC">
      <w:pPr>
        <w:pStyle w:val="ArtNo"/>
      </w:pPr>
      <w:r w:rsidRPr="00B93493">
        <w:t>ARTICLE (24)</w:t>
      </w:r>
    </w:p>
    <w:p w14:paraId="227B4BB8" w14:textId="77777777" w:rsidR="00CF04BC" w:rsidRPr="00B93493" w:rsidRDefault="00CF04BC" w:rsidP="00CF04BC">
      <w:pPr>
        <w:pStyle w:val="Arttitle"/>
      </w:pPr>
      <w:bookmarkStart w:id="2734" w:name="_Toc237657995"/>
      <w:r w:rsidRPr="00B93493">
        <w:t>Spectrum Fees for Radiolocation stations</w:t>
      </w:r>
      <w:bookmarkEnd w:id="2734"/>
    </w:p>
    <w:p w14:paraId="6F148E4F" w14:textId="77777777" w:rsidR="00CF04BC" w:rsidRPr="00B93493" w:rsidRDefault="00CF04BC" w:rsidP="00CF04BC">
      <w:pPr>
        <w:pStyle w:val="enumlev1"/>
      </w:pPr>
      <w:r w:rsidRPr="00B93493">
        <w:t>24.1</w:t>
      </w:r>
      <w:r w:rsidRPr="00B93493">
        <w:tab/>
        <w:t>The Annual Spectrum Fees for each maritime coastal radar, weather radar, ground based radar, aeronautical surveillance, approach control, oceanic, surface movement and tracking shall be Five Thousand (5 000) Dirhams.</w:t>
      </w:r>
    </w:p>
    <w:p w14:paraId="02A45CF2" w14:textId="77777777" w:rsidR="00CF04BC" w:rsidRPr="00B93493" w:rsidRDefault="00CF04BC" w:rsidP="00CF04BC">
      <w:pPr>
        <w:pStyle w:val="ArtNo"/>
      </w:pPr>
      <w:r w:rsidRPr="00B93493">
        <w:t>ARTICLE (25)</w:t>
      </w:r>
    </w:p>
    <w:p w14:paraId="768E6748" w14:textId="77777777" w:rsidR="00CF04BC" w:rsidRPr="00B93493" w:rsidRDefault="00CF04BC" w:rsidP="00CF04BC">
      <w:pPr>
        <w:pStyle w:val="Arttitle"/>
      </w:pPr>
      <w:bookmarkStart w:id="2735" w:name="_Toc237657996"/>
      <w:bookmarkStart w:id="2736" w:name="_Toc199215049"/>
      <w:r w:rsidRPr="00B93493">
        <w:t>Spectrum Fees for Broadcasting Service</w:t>
      </w:r>
      <w:bookmarkEnd w:id="2735"/>
      <w:bookmarkEnd w:id="2736"/>
    </w:p>
    <w:p w14:paraId="501D3E47" w14:textId="77777777" w:rsidR="00CF04BC" w:rsidRPr="00B93493" w:rsidRDefault="00CF04BC" w:rsidP="00CF04BC">
      <w:pPr>
        <w:pStyle w:val="enumlev1"/>
        <w:keepNext/>
        <w:keepLines/>
      </w:pPr>
      <w:bookmarkStart w:id="2737" w:name="_Toc195057825"/>
      <w:r w:rsidRPr="00B93493">
        <w:t>25.1</w:t>
      </w:r>
      <w:r w:rsidRPr="00B93493">
        <w:tab/>
        <w:t>Terrestrial Sound and Television Broadcasting</w:t>
      </w:r>
      <w:bookmarkEnd w:id="2737"/>
    </w:p>
    <w:p w14:paraId="0CEB03C9" w14:textId="77777777" w:rsidR="00CF04BC" w:rsidRPr="00B93493" w:rsidRDefault="00CF04BC" w:rsidP="00CF04BC">
      <w:pPr>
        <w:pStyle w:val="enumlev1"/>
        <w:keepNext/>
        <w:keepLines/>
        <w:rPr>
          <w:b/>
        </w:rPr>
      </w:pPr>
      <w:r w:rsidRPr="00B93493">
        <w:tab/>
        <w:t>Annual Spectrum Fees for one individual Broadcasting Station shall be calculated as follows:</w:t>
      </w:r>
    </w:p>
    <w:p w14:paraId="2EFCEF44" w14:textId="77777777" w:rsidR="00CF04BC" w:rsidRPr="00B93493" w:rsidRDefault="00CF04BC" w:rsidP="00CF04BC">
      <w:pPr>
        <w:pStyle w:val="Blanc"/>
      </w:pPr>
    </w:p>
    <w:p w14:paraId="3873D4DA" w14:textId="77777777" w:rsidR="00CF04BC" w:rsidRPr="00B93493" w:rsidRDefault="00CF04BC" w:rsidP="00CF04BC">
      <w:pPr>
        <w:pStyle w:val="Equation"/>
      </w:pPr>
      <w:r w:rsidRPr="00B93493">
        <w:tab/>
      </w:r>
      <w:r w:rsidRPr="00B93493">
        <w:tab/>
        <w:t>Spectrum Fees (per Station) = B + (P × ST × SZ × H × C)</w:t>
      </w:r>
    </w:p>
    <w:p w14:paraId="4EB97E2B" w14:textId="77777777" w:rsidR="00CF04BC" w:rsidRPr="00B93493" w:rsidRDefault="00CF04BC" w:rsidP="00CF04BC">
      <w:pPr>
        <w:pStyle w:val="enumlev1"/>
        <w:rPr>
          <w:bCs/>
        </w:rPr>
      </w:pPr>
      <w:r w:rsidRPr="00B93493">
        <w:rPr>
          <w:bCs/>
        </w:rPr>
        <w:t xml:space="preserve">where: </w:t>
      </w:r>
    </w:p>
    <w:p w14:paraId="3D2A22B2" w14:textId="77777777" w:rsidR="00CF04BC" w:rsidRPr="00B93493" w:rsidRDefault="00CF04BC" w:rsidP="00CF04BC">
      <w:pPr>
        <w:pStyle w:val="enumlev1"/>
      </w:pPr>
      <w:r w:rsidRPr="00B93493">
        <w:rPr>
          <w:bCs/>
        </w:rPr>
        <w:tab/>
      </w:r>
      <w:r w:rsidRPr="00B93493">
        <w:rPr>
          <w:b/>
        </w:rPr>
        <w:t xml:space="preserve">B </w:t>
      </w:r>
      <w:r w:rsidRPr="00B93493">
        <w:rPr>
          <w:bCs/>
        </w:rPr>
        <w:t>=</w:t>
      </w:r>
      <w:r w:rsidRPr="00B93493">
        <w:rPr>
          <w:b/>
        </w:rPr>
        <w:t xml:space="preserve"> Basic Fee = </w:t>
      </w:r>
      <w:r w:rsidRPr="00B93493">
        <w:t xml:space="preserve">40.000 (Forty Thousands) Dirhams. </w:t>
      </w:r>
    </w:p>
    <w:p w14:paraId="1481CFCC" w14:textId="77777777" w:rsidR="00CF04BC" w:rsidRPr="00B93493" w:rsidRDefault="00CF04BC" w:rsidP="00CF04BC">
      <w:pPr>
        <w:pStyle w:val="enumlev1"/>
      </w:pPr>
      <w:r w:rsidRPr="00B93493">
        <w:rPr>
          <w:b/>
        </w:rPr>
        <w:tab/>
        <w:t xml:space="preserve">P </w:t>
      </w:r>
      <w:r w:rsidRPr="00B93493">
        <w:rPr>
          <w:bCs/>
        </w:rPr>
        <w:t>=</w:t>
      </w:r>
      <w:r w:rsidRPr="00B93493">
        <w:rPr>
          <w:b/>
        </w:rPr>
        <w:t xml:space="preserve"> Power Factor </w:t>
      </w:r>
      <w:r w:rsidRPr="00B93493">
        <w:t>shall be the power; expressed in kilowatts [KW] equals the transmitter output power (in case of LW, MW or SW transmissions) and Effective Radiated Power (e.r.p.) in all other cases.</w:t>
      </w:r>
    </w:p>
    <w:p w14:paraId="530D8360" w14:textId="77777777" w:rsidR="00CF04BC" w:rsidRPr="00B93493" w:rsidRDefault="00CF04BC" w:rsidP="00CF04BC">
      <w:pPr>
        <w:pStyle w:val="enumlev1"/>
        <w:rPr>
          <w:bCs/>
        </w:rPr>
      </w:pPr>
      <w:r w:rsidRPr="00B93493">
        <w:rPr>
          <w:b/>
        </w:rPr>
        <w:tab/>
        <w:t xml:space="preserve">ST </w:t>
      </w:r>
      <w:r w:rsidRPr="00B93493">
        <w:rPr>
          <w:bCs/>
        </w:rPr>
        <w:t>=</w:t>
      </w:r>
      <w:r w:rsidRPr="00B93493">
        <w:rPr>
          <w:b/>
        </w:rPr>
        <w:t xml:space="preserve"> Service Type Factor </w:t>
      </w:r>
      <w:r w:rsidRPr="00B93493">
        <w:t>shall be calculated as</w:t>
      </w:r>
      <w:r w:rsidRPr="00B93493">
        <w:rPr>
          <w:sz w:val="26"/>
          <w:szCs w:val="26"/>
        </w:rPr>
        <w:t xml:space="preserve"> follows</w:t>
      </w:r>
      <w:r w:rsidRPr="00B93493">
        <w:rPr>
          <w:bCs/>
          <w:sz w:val="26"/>
          <w:szCs w:val="26"/>
        </w:rPr>
        <w:t>:</w:t>
      </w:r>
      <w:r w:rsidRPr="00B93493">
        <w:rPr>
          <w:bCs/>
        </w:rPr>
        <w:t xml:space="preserve"> </w:t>
      </w:r>
    </w:p>
    <w:p w14:paraId="4875D18A" w14:textId="77777777" w:rsidR="00CF04BC" w:rsidRPr="00B93493" w:rsidRDefault="00CF04BC" w:rsidP="00CF04BC">
      <w:pPr>
        <w:pStyle w:val="Note"/>
        <w:ind w:left="794" w:hanging="794"/>
      </w:pPr>
      <w:r w:rsidRPr="00B93493">
        <w:tab/>
        <w:t>NOTE 1 – In case of using Single Frequency Network (SFN) the complete network shall be treated as one single transmitter and the Basic Fee shall be charged once for that SFN whereas the remaining part of Spectrum Fees shall be charged per station basis.</w:t>
      </w:r>
    </w:p>
    <w:p w14:paraId="6AF488E7" w14:textId="77777777" w:rsidR="00CF04BC" w:rsidRPr="00B93493" w:rsidRDefault="00CF04BC" w:rsidP="00CF04BC">
      <w:pPr>
        <w:pStyle w:val="TableNo"/>
      </w:pPr>
      <w:r w:rsidRPr="00B93493">
        <w:t>TABLE 1</w:t>
      </w:r>
    </w:p>
    <w:p w14:paraId="4234E3BA" w14:textId="77777777" w:rsidR="00CF04BC" w:rsidRPr="00B93493" w:rsidRDefault="00CF04BC" w:rsidP="00CF04BC">
      <w:pPr>
        <w:pStyle w:val="Tabletitle"/>
      </w:pPr>
      <w:r w:rsidRPr="00B93493">
        <w:t>Definition of Service Type Factors (ST) for Sound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0"/>
        <w:gridCol w:w="2430"/>
        <w:gridCol w:w="1530"/>
        <w:gridCol w:w="1769"/>
      </w:tblGrid>
      <w:tr w:rsidR="00CF04BC" w:rsidRPr="00B93493" w14:paraId="6ADC6266" w14:textId="77777777" w:rsidTr="002E7F54">
        <w:trPr>
          <w:trHeight w:val="454"/>
          <w:jc w:val="center"/>
        </w:trPr>
        <w:tc>
          <w:tcPr>
            <w:tcW w:w="7529" w:type="dxa"/>
            <w:gridSpan w:val="4"/>
            <w:vAlign w:val="center"/>
          </w:tcPr>
          <w:p w14:paraId="0211404C" w14:textId="77777777" w:rsidR="00CF04BC" w:rsidRPr="00B93493" w:rsidRDefault="00CF04BC" w:rsidP="002E7F54">
            <w:pPr>
              <w:pStyle w:val="Tablehead"/>
            </w:pPr>
            <w:r w:rsidRPr="00B93493">
              <w:t>Sound Broa</w:t>
            </w:r>
            <w:r>
              <w:rPr>
                <w:rFonts w:hint="eastAsia"/>
                <w:lang w:eastAsia="zh-CN"/>
              </w:rPr>
              <w:t>`</w:t>
            </w:r>
            <w:r w:rsidRPr="00B93493">
              <w:t>dcasting Service</w:t>
            </w:r>
          </w:p>
        </w:tc>
      </w:tr>
      <w:tr w:rsidR="00CF04BC" w:rsidRPr="00B93493" w14:paraId="0B16617F" w14:textId="77777777" w:rsidTr="002E7F54">
        <w:trPr>
          <w:trHeight w:val="454"/>
          <w:jc w:val="center"/>
        </w:trPr>
        <w:tc>
          <w:tcPr>
            <w:tcW w:w="1800" w:type="dxa"/>
            <w:vAlign w:val="center"/>
          </w:tcPr>
          <w:p w14:paraId="23B7C524" w14:textId="77777777" w:rsidR="00CF04BC" w:rsidRPr="00B93493" w:rsidRDefault="00CF04BC" w:rsidP="002E7F54">
            <w:pPr>
              <w:pStyle w:val="Tablehead"/>
            </w:pPr>
            <w:r w:rsidRPr="00B93493">
              <w:t>Service Type</w:t>
            </w:r>
          </w:p>
        </w:tc>
        <w:tc>
          <w:tcPr>
            <w:tcW w:w="2430" w:type="dxa"/>
            <w:vAlign w:val="center"/>
          </w:tcPr>
          <w:p w14:paraId="5C12B7A4" w14:textId="77777777" w:rsidR="00CF04BC" w:rsidRPr="00B93493" w:rsidRDefault="00CF04BC" w:rsidP="002E7F54">
            <w:pPr>
              <w:pStyle w:val="Tablehead"/>
            </w:pPr>
            <w:r w:rsidRPr="00B93493">
              <w:t>Frequency Range</w:t>
            </w:r>
          </w:p>
        </w:tc>
        <w:tc>
          <w:tcPr>
            <w:tcW w:w="1530" w:type="dxa"/>
            <w:vAlign w:val="center"/>
          </w:tcPr>
          <w:p w14:paraId="551BE5F2" w14:textId="77777777" w:rsidR="00CF04BC" w:rsidRPr="00B93493" w:rsidRDefault="00CF04BC" w:rsidP="002E7F54">
            <w:pPr>
              <w:pStyle w:val="Tablehead"/>
            </w:pPr>
            <w:r w:rsidRPr="00B93493">
              <w:t>Bandwidth</w:t>
            </w:r>
          </w:p>
        </w:tc>
        <w:tc>
          <w:tcPr>
            <w:tcW w:w="1769" w:type="dxa"/>
            <w:vAlign w:val="center"/>
          </w:tcPr>
          <w:p w14:paraId="2A5146D0" w14:textId="77777777" w:rsidR="00CF04BC" w:rsidRPr="00B93493" w:rsidRDefault="00CF04BC" w:rsidP="002E7F54">
            <w:pPr>
              <w:pStyle w:val="Tablehead"/>
            </w:pPr>
            <w:r w:rsidRPr="00B93493">
              <w:t>Service Type Factor (ST)</w:t>
            </w:r>
          </w:p>
        </w:tc>
      </w:tr>
      <w:tr w:rsidR="00CF04BC" w:rsidRPr="00B93493" w14:paraId="79FACCA6" w14:textId="77777777" w:rsidTr="002E7F54">
        <w:trPr>
          <w:trHeight w:val="454"/>
          <w:jc w:val="center"/>
        </w:trPr>
        <w:tc>
          <w:tcPr>
            <w:tcW w:w="1800" w:type="dxa"/>
            <w:vMerge w:val="restart"/>
          </w:tcPr>
          <w:p w14:paraId="74A706FF" w14:textId="77777777" w:rsidR="00CF04BC" w:rsidRPr="00B93493" w:rsidRDefault="00CF04BC" w:rsidP="00C65E6B">
            <w:pPr>
              <w:pStyle w:val="Tabletext"/>
              <w:jc w:val="left"/>
            </w:pPr>
            <w:r w:rsidRPr="00B93493">
              <w:t>LF/MF Sound Broadcasting</w:t>
            </w:r>
          </w:p>
        </w:tc>
        <w:tc>
          <w:tcPr>
            <w:tcW w:w="2430" w:type="dxa"/>
          </w:tcPr>
          <w:p w14:paraId="46C457E0" w14:textId="77777777" w:rsidR="00CF04BC" w:rsidRPr="00B93493" w:rsidRDefault="00CF04BC" w:rsidP="002E7F54">
            <w:pPr>
              <w:pStyle w:val="Tabletext"/>
              <w:jc w:val="center"/>
            </w:pPr>
            <w:r w:rsidRPr="00B93493">
              <w:t>148.5-283.5 kHz</w:t>
            </w:r>
          </w:p>
        </w:tc>
        <w:tc>
          <w:tcPr>
            <w:tcW w:w="1530" w:type="dxa"/>
          </w:tcPr>
          <w:p w14:paraId="756C144C" w14:textId="77777777" w:rsidR="00CF04BC" w:rsidRPr="00B93493" w:rsidRDefault="00CF04BC" w:rsidP="002E7F54">
            <w:pPr>
              <w:pStyle w:val="Tabletext"/>
              <w:jc w:val="center"/>
            </w:pPr>
            <w:r w:rsidRPr="00B93493">
              <w:t>9 kHz</w:t>
            </w:r>
          </w:p>
        </w:tc>
        <w:tc>
          <w:tcPr>
            <w:tcW w:w="1769" w:type="dxa"/>
            <w:vMerge w:val="restart"/>
          </w:tcPr>
          <w:p w14:paraId="4E53A557" w14:textId="77777777" w:rsidR="00CF04BC" w:rsidRPr="00B93493" w:rsidRDefault="00CF04BC" w:rsidP="002E7F54">
            <w:pPr>
              <w:pStyle w:val="Tabletext"/>
              <w:jc w:val="center"/>
            </w:pPr>
            <w:r w:rsidRPr="00B93493">
              <w:t>4.5</w:t>
            </w:r>
          </w:p>
        </w:tc>
      </w:tr>
      <w:tr w:rsidR="00CF04BC" w:rsidRPr="00B93493" w14:paraId="731FCCAD" w14:textId="77777777" w:rsidTr="002E7F54">
        <w:trPr>
          <w:trHeight w:val="454"/>
          <w:jc w:val="center"/>
        </w:trPr>
        <w:tc>
          <w:tcPr>
            <w:tcW w:w="1800" w:type="dxa"/>
            <w:vMerge/>
          </w:tcPr>
          <w:p w14:paraId="2589F88A" w14:textId="77777777" w:rsidR="00CF04BC" w:rsidRPr="00B93493" w:rsidRDefault="00CF04BC" w:rsidP="00C65E6B">
            <w:pPr>
              <w:pStyle w:val="Tabletext"/>
              <w:jc w:val="left"/>
            </w:pPr>
          </w:p>
        </w:tc>
        <w:tc>
          <w:tcPr>
            <w:tcW w:w="2430" w:type="dxa"/>
          </w:tcPr>
          <w:p w14:paraId="39107FE7" w14:textId="77777777" w:rsidR="00CF04BC" w:rsidRPr="00B93493" w:rsidRDefault="00CF04BC" w:rsidP="002E7F54">
            <w:pPr>
              <w:pStyle w:val="Tabletext"/>
              <w:jc w:val="center"/>
            </w:pPr>
            <w:r w:rsidRPr="00B93493">
              <w:t>526.5-1,606.5 kHz</w:t>
            </w:r>
          </w:p>
        </w:tc>
        <w:tc>
          <w:tcPr>
            <w:tcW w:w="1530" w:type="dxa"/>
          </w:tcPr>
          <w:p w14:paraId="49079C7B" w14:textId="77777777" w:rsidR="00CF04BC" w:rsidRPr="00B93493" w:rsidRDefault="00CF04BC" w:rsidP="002E7F54">
            <w:pPr>
              <w:pStyle w:val="Tabletext"/>
              <w:jc w:val="center"/>
            </w:pPr>
            <w:r w:rsidRPr="00B93493">
              <w:t>9 kHz</w:t>
            </w:r>
          </w:p>
        </w:tc>
        <w:tc>
          <w:tcPr>
            <w:tcW w:w="1769" w:type="dxa"/>
            <w:vMerge/>
          </w:tcPr>
          <w:p w14:paraId="440AF32D" w14:textId="77777777" w:rsidR="00CF04BC" w:rsidRPr="00B93493" w:rsidRDefault="00CF04BC" w:rsidP="002E7F54">
            <w:pPr>
              <w:pStyle w:val="Tabletext"/>
              <w:jc w:val="center"/>
            </w:pPr>
          </w:p>
        </w:tc>
      </w:tr>
      <w:tr w:rsidR="00CF04BC" w:rsidRPr="00B93493" w14:paraId="650696C1" w14:textId="77777777" w:rsidTr="002E7F54">
        <w:trPr>
          <w:trHeight w:val="454"/>
          <w:jc w:val="center"/>
        </w:trPr>
        <w:tc>
          <w:tcPr>
            <w:tcW w:w="1800" w:type="dxa"/>
            <w:vMerge w:val="restart"/>
          </w:tcPr>
          <w:p w14:paraId="25FC060E" w14:textId="77777777" w:rsidR="00CF04BC" w:rsidRPr="00B93493" w:rsidRDefault="00CF04BC" w:rsidP="00C65E6B">
            <w:pPr>
              <w:pStyle w:val="Tabletext"/>
              <w:jc w:val="left"/>
            </w:pPr>
            <w:r w:rsidRPr="00B93493">
              <w:t>VHF Sound Broadcasting</w:t>
            </w:r>
          </w:p>
        </w:tc>
        <w:tc>
          <w:tcPr>
            <w:tcW w:w="2430" w:type="dxa"/>
          </w:tcPr>
          <w:p w14:paraId="50810EA4" w14:textId="77777777" w:rsidR="00CF04BC" w:rsidRPr="00B93493" w:rsidRDefault="00CF04BC" w:rsidP="002E7F54">
            <w:pPr>
              <w:pStyle w:val="Tabletext"/>
              <w:jc w:val="center"/>
            </w:pPr>
            <w:r w:rsidRPr="00B93493">
              <w:t>87.5-108 MHz</w:t>
            </w:r>
          </w:p>
        </w:tc>
        <w:tc>
          <w:tcPr>
            <w:tcW w:w="1530" w:type="dxa"/>
          </w:tcPr>
          <w:p w14:paraId="021B9554" w14:textId="77777777" w:rsidR="00CF04BC" w:rsidRPr="00B93493" w:rsidRDefault="00CF04BC" w:rsidP="002E7F54">
            <w:pPr>
              <w:pStyle w:val="Tabletext"/>
              <w:jc w:val="center"/>
            </w:pPr>
            <w:r w:rsidRPr="00B93493">
              <w:t>200 kHz</w:t>
            </w:r>
          </w:p>
        </w:tc>
        <w:tc>
          <w:tcPr>
            <w:tcW w:w="1769" w:type="dxa"/>
          </w:tcPr>
          <w:p w14:paraId="773C72A2" w14:textId="77777777" w:rsidR="00CF04BC" w:rsidRPr="00B93493" w:rsidRDefault="00CF04BC" w:rsidP="002E7F54">
            <w:pPr>
              <w:pStyle w:val="Tabletext"/>
              <w:jc w:val="center"/>
            </w:pPr>
            <w:r w:rsidRPr="00B93493">
              <w:t>11</w:t>
            </w:r>
          </w:p>
        </w:tc>
      </w:tr>
      <w:tr w:rsidR="00CF04BC" w:rsidRPr="00B93493" w14:paraId="69658874" w14:textId="77777777" w:rsidTr="002E7F54">
        <w:trPr>
          <w:trHeight w:val="454"/>
          <w:jc w:val="center"/>
        </w:trPr>
        <w:tc>
          <w:tcPr>
            <w:tcW w:w="1800" w:type="dxa"/>
            <w:vMerge/>
          </w:tcPr>
          <w:p w14:paraId="48D25C3B" w14:textId="77777777" w:rsidR="00CF04BC" w:rsidRPr="00B93493" w:rsidRDefault="00CF04BC" w:rsidP="002E7F54">
            <w:pPr>
              <w:pStyle w:val="Tabletext"/>
            </w:pPr>
          </w:p>
        </w:tc>
        <w:tc>
          <w:tcPr>
            <w:tcW w:w="2430" w:type="dxa"/>
          </w:tcPr>
          <w:p w14:paraId="49290F69" w14:textId="77777777" w:rsidR="00CF04BC" w:rsidRPr="00B93493" w:rsidRDefault="00CF04BC" w:rsidP="002E7F54">
            <w:pPr>
              <w:pStyle w:val="Tabletext"/>
              <w:jc w:val="center"/>
            </w:pPr>
            <w:r w:rsidRPr="00B93493">
              <w:t>174-230 MHz</w:t>
            </w:r>
          </w:p>
        </w:tc>
        <w:tc>
          <w:tcPr>
            <w:tcW w:w="1530" w:type="dxa"/>
          </w:tcPr>
          <w:p w14:paraId="47411007" w14:textId="77777777" w:rsidR="00CF04BC" w:rsidRPr="00B93493" w:rsidRDefault="00CF04BC" w:rsidP="002E7F54">
            <w:pPr>
              <w:pStyle w:val="Tabletext"/>
              <w:jc w:val="center"/>
            </w:pPr>
            <w:r w:rsidRPr="00B93493">
              <w:t>1.536 MHz</w:t>
            </w:r>
          </w:p>
        </w:tc>
        <w:tc>
          <w:tcPr>
            <w:tcW w:w="1769" w:type="dxa"/>
          </w:tcPr>
          <w:p w14:paraId="2610B110" w14:textId="77777777" w:rsidR="00CF04BC" w:rsidRPr="00B93493" w:rsidRDefault="00CF04BC" w:rsidP="002E7F54">
            <w:pPr>
              <w:pStyle w:val="Tabletext"/>
              <w:jc w:val="center"/>
            </w:pPr>
            <w:r w:rsidRPr="00B93493">
              <w:t>21</w:t>
            </w:r>
          </w:p>
        </w:tc>
      </w:tr>
    </w:tbl>
    <w:p w14:paraId="7730BB94" w14:textId="77777777" w:rsidR="00CF04BC" w:rsidRPr="00B93493" w:rsidRDefault="00CF04BC" w:rsidP="00CF04BC">
      <w:pPr>
        <w:pStyle w:val="Tablefin"/>
      </w:pPr>
    </w:p>
    <w:p w14:paraId="23991D1F" w14:textId="77777777" w:rsidR="00CF04BC" w:rsidRPr="00B93493" w:rsidRDefault="00CF04BC" w:rsidP="00CF04BC">
      <w:pPr>
        <w:pStyle w:val="TableNo"/>
      </w:pPr>
      <w:r w:rsidRPr="00B93493">
        <w:t>TABLE 2</w:t>
      </w:r>
    </w:p>
    <w:p w14:paraId="43FEE795" w14:textId="77777777" w:rsidR="00CF04BC" w:rsidRPr="00B93493" w:rsidRDefault="00CF04BC" w:rsidP="00CF04BC">
      <w:pPr>
        <w:pStyle w:val="Tabletitle"/>
      </w:pPr>
      <w:r w:rsidRPr="00B93493">
        <w:t>Definition of Service Type Factors (ST) for TV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4A0" w:firstRow="1" w:lastRow="0" w:firstColumn="1" w:lastColumn="0" w:noHBand="0" w:noVBand="1"/>
      </w:tblPr>
      <w:tblGrid>
        <w:gridCol w:w="1660"/>
        <w:gridCol w:w="2568"/>
        <w:gridCol w:w="1443"/>
        <w:gridCol w:w="2117"/>
      </w:tblGrid>
      <w:tr w:rsidR="00CF04BC" w:rsidRPr="00B93493" w14:paraId="1C1396BE" w14:textId="77777777" w:rsidTr="002E7F54">
        <w:trPr>
          <w:trHeight w:val="397"/>
          <w:jc w:val="center"/>
        </w:trPr>
        <w:tc>
          <w:tcPr>
            <w:tcW w:w="7788" w:type="dxa"/>
            <w:gridSpan w:val="4"/>
            <w:tcBorders>
              <w:bottom w:val="single" w:sz="2" w:space="0" w:color="auto"/>
            </w:tcBorders>
            <w:vAlign w:val="center"/>
          </w:tcPr>
          <w:p w14:paraId="2507173F" w14:textId="77777777" w:rsidR="00CF04BC" w:rsidRPr="00B93493" w:rsidRDefault="00CF04BC" w:rsidP="002E7F54">
            <w:pPr>
              <w:pStyle w:val="Tablehead"/>
            </w:pPr>
            <w:r w:rsidRPr="00B93493">
              <w:t>TV Broadcasting Service</w:t>
            </w:r>
          </w:p>
        </w:tc>
      </w:tr>
      <w:tr w:rsidR="00CF04BC" w:rsidRPr="00B93493" w14:paraId="17C8B4FD" w14:textId="77777777" w:rsidTr="002E7F54">
        <w:trPr>
          <w:trHeight w:val="397"/>
          <w:jc w:val="center"/>
        </w:trPr>
        <w:tc>
          <w:tcPr>
            <w:tcW w:w="1660" w:type="dxa"/>
            <w:tcBorders>
              <w:right w:val="single" w:sz="2" w:space="0" w:color="auto"/>
            </w:tcBorders>
            <w:vAlign w:val="center"/>
          </w:tcPr>
          <w:p w14:paraId="368ABC1C" w14:textId="77777777" w:rsidR="00CF04BC" w:rsidRPr="00B93493" w:rsidRDefault="00CF04BC" w:rsidP="002E7F54">
            <w:pPr>
              <w:pStyle w:val="Tablehead"/>
            </w:pPr>
            <w:r w:rsidRPr="00B93493">
              <w:t>Service Type</w:t>
            </w:r>
          </w:p>
        </w:tc>
        <w:tc>
          <w:tcPr>
            <w:tcW w:w="2568" w:type="dxa"/>
            <w:tcBorders>
              <w:left w:val="single" w:sz="2" w:space="0" w:color="auto"/>
              <w:right w:val="single" w:sz="2" w:space="0" w:color="auto"/>
            </w:tcBorders>
            <w:vAlign w:val="center"/>
          </w:tcPr>
          <w:p w14:paraId="035F43C9" w14:textId="77777777" w:rsidR="00CF04BC" w:rsidRPr="00B93493" w:rsidRDefault="00CF04BC" w:rsidP="002E7F54">
            <w:pPr>
              <w:pStyle w:val="Tablehead"/>
            </w:pPr>
            <w:r w:rsidRPr="00B93493">
              <w:t>Frequency Range</w:t>
            </w:r>
          </w:p>
        </w:tc>
        <w:tc>
          <w:tcPr>
            <w:tcW w:w="1443" w:type="dxa"/>
            <w:tcBorders>
              <w:left w:val="single" w:sz="2" w:space="0" w:color="auto"/>
              <w:right w:val="single" w:sz="2" w:space="0" w:color="auto"/>
            </w:tcBorders>
            <w:vAlign w:val="center"/>
          </w:tcPr>
          <w:p w14:paraId="78B81FAD" w14:textId="77777777" w:rsidR="00CF04BC" w:rsidRPr="00B93493" w:rsidRDefault="00CF04BC" w:rsidP="002E7F54">
            <w:pPr>
              <w:pStyle w:val="Tablehead"/>
            </w:pPr>
            <w:r w:rsidRPr="00B93493">
              <w:t>Bandwidth</w:t>
            </w:r>
          </w:p>
        </w:tc>
        <w:tc>
          <w:tcPr>
            <w:tcW w:w="2117" w:type="dxa"/>
            <w:tcBorders>
              <w:left w:val="single" w:sz="2" w:space="0" w:color="auto"/>
            </w:tcBorders>
            <w:vAlign w:val="center"/>
          </w:tcPr>
          <w:p w14:paraId="4AA42FC0" w14:textId="77777777" w:rsidR="00CF04BC" w:rsidRPr="00B93493" w:rsidRDefault="00CF04BC" w:rsidP="002E7F54">
            <w:pPr>
              <w:pStyle w:val="Tablehead"/>
            </w:pPr>
            <w:r w:rsidRPr="00B93493">
              <w:t>Service Type Factor (ST)</w:t>
            </w:r>
          </w:p>
        </w:tc>
      </w:tr>
      <w:tr w:rsidR="00CF04BC" w:rsidRPr="00B93493" w14:paraId="0BBA8BCF" w14:textId="77777777" w:rsidTr="002E7F54">
        <w:trPr>
          <w:trHeight w:val="397"/>
          <w:jc w:val="center"/>
        </w:trPr>
        <w:tc>
          <w:tcPr>
            <w:tcW w:w="1660" w:type="dxa"/>
            <w:vMerge w:val="restart"/>
            <w:tcBorders>
              <w:right w:val="single" w:sz="2" w:space="0" w:color="auto"/>
            </w:tcBorders>
          </w:tcPr>
          <w:p w14:paraId="09D41864" w14:textId="77777777" w:rsidR="00CF04BC" w:rsidRPr="00B93493" w:rsidRDefault="00CF04BC" w:rsidP="00C65E6B">
            <w:pPr>
              <w:pStyle w:val="Tabletext"/>
              <w:jc w:val="left"/>
            </w:pPr>
            <w:r w:rsidRPr="00B93493">
              <w:t>Terrestrial Analogue TV</w:t>
            </w:r>
          </w:p>
        </w:tc>
        <w:tc>
          <w:tcPr>
            <w:tcW w:w="2568" w:type="dxa"/>
            <w:tcBorders>
              <w:left w:val="single" w:sz="2" w:space="0" w:color="auto"/>
              <w:right w:val="single" w:sz="2" w:space="0" w:color="auto"/>
            </w:tcBorders>
          </w:tcPr>
          <w:p w14:paraId="28B87CEF" w14:textId="77777777" w:rsidR="00CF04BC" w:rsidRPr="00B93493" w:rsidRDefault="00CF04BC" w:rsidP="002E7F54">
            <w:pPr>
              <w:pStyle w:val="Tabletext"/>
              <w:jc w:val="center"/>
            </w:pPr>
            <w:r w:rsidRPr="00B93493">
              <w:t>47-68 MHz</w:t>
            </w:r>
          </w:p>
        </w:tc>
        <w:tc>
          <w:tcPr>
            <w:tcW w:w="1443" w:type="dxa"/>
            <w:vMerge w:val="restart"/>
            <w:tcBorders>
              <w:left w:val="single" w:sz="2" w:space="0" w:color="auto"/>
              <w:right w:val="single" w:sz="2" w:space="0" w:color="auto"/>
            </w:tcBorders>
          </w:tcPr>
          <w:p w14:paraId="489DB70A" w14:textId="77777777" w:rsidR="00CF04BC" w:rsidRPr="00B93493" w:rsidRDefault="00CF04BC" w:rsidP="002E7F54">
            <w:pPr>
              <w:pStyle w:val="Tabletext"/>
              <w:jc w:val="center"/>
            </w:pPr>
            <w:r w:rsidRPr="00B93493">
              <w:t>7 MHz</w:t>
            </w:r>
          </w:p>
        </w:tc>
        <w:tc>
          <w:tcPr>
            <w:tcW w:w="2117" w:type="dxa"/>
            <w:vMerge w:val="restart"/>
            <w:tcBorders>
              <w:left w:val="single" w:sz="2" w:space="0" w:color="auto"/>
            </w:tcBorders>
          </w:tcPr>
          <w:p w14:paraId="6583C8C8" w14:textId="77777777" w:rsidR="00CF04BC" w:rsidRPr="00B93493" w:rsidRDefault="00CF04BC" w:rsidP="002E7F54">
            <w:pPr>
              <w:pStyle w:val="Tabletext"/>
              <w:jc w:val="center"/>
            </w:pPr>
            <w:r w:rsidRPr="00B93493">
              <w:t>12</w:t>
            </w:r>
          </w:p>
        </w:tc>
      </w:tr>
      <w:tr w:rsidR="00CF04BC" w:rsidRPr="00B93493" w14:paraId="008CFFF9" w14:textId="77777777" w:rsidTr="002E7F54">
        <w:trPr>
          <w:trHeight w:val="397"/>
          <w:jc w:val="center"/>
        </w:trPr>
        <w:tc>
          <w:tcPr>
            <w:tcW w:w="1660" w:type="dxa"/>
            <w:vMerge/>
            <w:tcBorders>
              <w:right w:val="single" w:sz="2" w:space="0" w:color="auto"/>
            </w:tcBorders>
            <w:vAlign w:val="center"/>
          </w:tcPr>
          <w:p w14:paraId="0E922DF0" w14:textId="77777777" w:rsidR="00CF04BC" w:rsidRPr="00B93493" w:rsidRDefault="00CF04BC" w:rsidP="00C65E6B">
            <w:pPr>
              <w:pStyle w:val="Tabletext"/>
              <w:jc w:val="left"/>
            </w:pPr>
          </w:p>
        </w:tc>
        <w:tc>
          <w:tcPr>
            <w:tcW w:w="2568" w:type="dxa"/>
            <w:tcBorders>
              <w:left w:val="single" w:sz="2" w:space="0" w:color="auto"/>
              <w:right w:val="single" w:sz="2" w:space="0" w:color="auto"/>
            </w:tcBorders>
          </w:tcPr>
          <w:p w14:paraId="18F90A56" w14:textId="77777777" w:rsidR="00CF04BC" w:rsidRPr="00B93493" w:rsidRDefault="00CF04BC" w:rsidP="002E7F54">
            <w:pPr>
              <w:pStyle w:val="Tabletext"/>
              <w:jc w:val="center"/>
            </w:pPr>
            <w:r w:rsidRPr="00B93493">
              <w:t>174-230 MHz</w:t>
            </w:r>
          </w:p>
        </w:tc>
        <w:tc>
          <w:tcPr>
            <w:tcW w:w="1443" w:type="dxa"/>
            <w:vMerge/>
            <w:tcBorders>
              <w:left w:val="single" w:sz="2" w:space="0" w:color="auto"/>
              <w:right w:val="single" w:sz="2" w:space="0" w:color="auto"/>
            </w:tcBorders>
          </w:tcPr>
          <w:p w14:paraId="250E36EC" w14:textId="77777777" w:rsidR="00CF04BC" w:rsidRPr="00B93493" w:rsidRDefault="00CF04BC" w:rsidP="002E7F54">
            <w:pPr>
              <w:pStyle w:val="Tabletext"/>
              <w:jc w:val="center"/>
            </w:pPr>
          </w:p>
        </w:tc>
        <w:tc>
          <w:tcPr>
            <w:tcW w:w="2117" w:type="dxa"/>
            <w:vMerge/>
            <w:tcBorders>
              <w:left w:val="single" w:sz="2" w:space="0" w:color="auto"/>
            </w:tcBorders>
          </w:tcPr>
          <w:p w14:paraId="2D5DBF9F" w14:textId="77777777" w:rsidR="00CF04BC" w:rsidRPr="00B93493" w:rsidRDefault="00CF04BC" w:rsidP="002E7F54">
            <w:pPr>
              <w:pStyle w:val="Tabletext"/>
              <w:jc w:val="center"/>
            </w:pPr>
          </w:p>
        </w:tc>
      </w:tr>
      <w:tr w:rsidR="00CF04BC" w:rsidRPr="00B93493" w14:paraId="7A38AF9D" w14:textId="77777777" w:rsidTr="002E7F54">
        <w:trPr>
          <w:trHeight w:val="397"/>
          <w:jc w:val="center"/>
        </w:trPr>
        <w:tc>
          <w:tcPr>
            <w:tcW w:w="1660" w:type="dxa"/>
            <w:vMerge/>
            <w:tcBorders>
              <w:right w:val="single" w:sz="2" w:space="0" w:color="auto"/>
            </w:tcBorders>
            <w:vAlign w:val="center"/>
          </w:tcPr>
          <w:p w14:paraId="3C449254" w14:textId="77777777" w:rsidR="00CF04BC" w:rsidRPr="00B93493" w:rsidRDefault="00CF04BC" w:rsidP="00C65E6B">
            <w:pPr>
              <w:pStyle w:val="Tabletext"/>
              <w:jc w:val="left"/>
            </w:pPr>
          </w:p>
        </w:tc>
        <w:tc>
          <w:tcPr>
            <w:tcW w:w="2568" w:type="dxa"/>
            <w:tcBorders>
              <w:left w:val="single" w:sz="2" w:space="0" w:color="auto"/>
              <w:right w:val="single" w:sz="2" w:space="0" w:color="auto"/>
            </w:tcBorders>
          </w:tcPr>
          <w:p w14:paraId="2DAE7410" w14:textId="77777777" w:rsidR="00CF04BC" w:rsidRPr="00B93493" w:rsidRDefault="00CF04BC" w:rsidP="002E7F54">
            <w:pPr>
              <w:pStyle w:val="Tabletext"/>
              <w:jc w:val="center"/>
            </w:pPr>
            <w:r w:rsidRPr="00B93493">
              <w:t>470-862 MHz</w:t>
            </w:r>
          </w:p>
        </w:tc>
        <w:tc>
          <w:tcPr>
            <w:tcW w:w="1443" w:type="dxa"/>
            <w:tcBorders>
              <w:left w:val="single" w:sz="2" w:space="0" w:color="auto"/>
              <w:right w:val="single" w:sz="2" w:space="0" w:color="auto"/>
            </w:tcBorders>
          </w:tcPr>
          <w:p w14:paraId="18A75D10" w14:textId="77777777" w:rsidR="00CF04BC" w:rsidRPr="00B93493" w:rsidRDefault="00CF04BC" w:rsidP="002E7F54">
            <w:pPr>
              <w:pStyle w:val="Tabletext"/>
              <w:jc w:val="center"/>
            </w:pPr>
            <w:r w:rsidRPr="00B93493">
              <w:t>8 MHz</w:t>
            </w:r>
          </w:p>
        </w:tc>
        <w:tc>
          <w:tcPr>
            <w:tcW w:w="2117" w:type="dxa"/>
            <w:tcBorders>
              <w:left w:val="single" w:sz="2" w:space="0" w:color="auto"/>
            </w:tcBorders>
          </w:tcPr>
          <w:p w14:paraId="67A9DAB8" w14:textId="77777777" w:rsidR="00CF04BC" w:rsidRPr="00B93493" w:rsidRDefault="00CF04BC" w:rsidP="002E7F54">
            <w:pPr>
              <w:pStyle w:val="Tabletext"/>
              <w:jc w:val="center"/>
            </w:pPr>
            <w:r w:rsidRPr="00B93493">
              <w:t>14</w:t>
            </w:r>
          </w:p>
        </w:tc>
      </w:tr>
      <w:tr w:rsidR="00CF04BC" w:rsidRPr="00B93493" w14:paraId="3ACEDBC3" w14:textId="77777777" w:rsidTr="002E7F54">
        <w:trPr>
          <w:trHeight w:val="397"/>
          <w:jc w:val="center"/>
        </w:trPr>
        <w:tc>
          <w:tcPr>
            <w:tcW w:w="1660" w:type="dxa"/>
            <w:vMerge w:val="restart"/>
            <w:tcBorders>
              <w:right w:val="single" w:sz="2" w:space="0" w:color="auto"/>
            </w:tcBorders>
          </w:tcPr>
          <w:p w14:paraId="6BB61404" w14:textId="77777777" w:rsidR="00CF04BC" w:rsidRPr="00B93493" w:rsidRDefault="00CF04BC" w:rsidP="00C65E6B">
            <w:pPr>
              <w:pStyle w:val="Tabletext"/>
              <w:jc w:val="left"/>
            </w:pPr>
            <w:r w:rsidRPr="00B93493">
              <w:t>Terrestrial Digital TV Broadcasting</w:t>
            </w:r>
          </w:p>
        </w:tc>
        <w:tc>
          <w:tcPr>
            <w:tcW w:w="2568" w:type="dxa"/>
            <w:tcBorders>
              <w:left w:val="single" w:sz="2" w:space="0" w:color="auto"/>
              <w:right w:val="single" w:sz="2" w:space="0" w:color="auto"/>
            </w:tcBorders>
          </w:tcPr>
          <w:p w14:paraId="432AD291" w14:textId="77777777" w:rsidR="00CF04BC" w:rsidRPr="00B93493" w:rsidRDefault="00CF04BC" w:rsidP="002E7F54">
            <w:pPr>
              <w:pStyle w:val="Tabletext"/>
              <w:jc w:val="center"/>
            </w:pPr>
            <w:r w:rsidRPr="00B93493">
              <w:t>174-230 MHz</w:t>
            </w:r>
          </w:p>
        </w:tc>
        <w:tc>
          <w:tcPr>
            <w:tcW w:w="1443" w:type="dxa"/>
            <w:tcBorders>
              <w:left w:val="single" w:sz="2" w:space="0" w:color="auto"/>
              <w:right w:val="single" w:sz="2" w:space="0" w:color="auto"/>
            </w:tcBorders>
          </w:tcPr>
          <w:p w14:paraId="5CDCDAEB" w14:textId="77777777" w:rsidR="00CF04BC" w:rsidRPr="00B93493" w:rsidRDefault="00CF04BC" w:rsidP="002E7F54">
            <w:pPr>
              <w:pStyle w:val="Tabletext"/>
              <w:jc w:val="center"/>
            </w:pPr>
            <w:r w:rsidRPr="00B93493">
              <w:t>7 MHz</w:t>
            </w:r>
          </w:p>
        </w:tc>
        <w:tc>
          <w:tcPr>
            <w:tcW w:w="2117" w:type="dxa"/>
            <w:tcBorders>
              <w:left w:val="single" w:sz="2" w:space="0" w:color="auto"/>
            </w:tcBorders>
          </w:tcPr>
          <w:p w14:paraId="1FC745D6" w14:textId="77777777" w:rsidR="00CF04BC" w:rsidRPr="00B93493" w:rsidRDefault="00CF04BC" w:rsidP="002E7F54">
            <w:pPr>
              <w:pStyle w:val="Tabletext"/>
              <w:jc w:val="center"/>
            </w:pPr>
            <w:r w:rsidRPr="00B93493">
              <w:t>60</w:t>
            </w:r>
          </w:p>
        </w:tc>
      </w:tr>
      <w:tr w:rsidR="00CF04BC" w:rsidRPr="00B93493" w14:paraId="73C8D4ED" w14:textId="77777777" w:rsidTr="002E7F54">
        <w:trPr>
          <w:trHeight w:val="397"/>
          <w:jc w:val="center"/>
        </w:trPr>
        <w:tc>
          <w:tcPr>
            <w:tcW w:w="1660" w:type="dxa"/>
            <w:vMerge/>
            <w:tcBorders>
              <w:right w:val="single" w:sz="2" w:space="0" w:color="auto"/>
            </w:tcBorders>
            <w:vAlign w:val="center"/>
          </w:tcPr>
          <w:p w14:paraId="2CD1AA72" w14:textId="77777777" w:rsidR="00CF04BC" w:rsidRPr="00B93493" w:rsidRDefault="00CF04BC" w:rsidP="00C65E6B">
            <w:pPr>
              <w:pStyle w:val="Tabletext"/>
              <w:jc w:val="left"/>
            </w:pPr>
          </w:p>
        </w:tc>
        <w:tc>
          <w:tcPr>
            <w:tcW w:w="2568" w:type="dxa"/>
            <w:tcBorders>
              <w:left w:val="single" w:sz="2" w:space="0" w:color="auto"/>
              <w:right w:val="single" w:sz="2" w:space="0" w:color="auto"/>
            </w:tcBorders>
          </w:tcPr>
          <w:p w14:paraId="0284B2C1" w14:textId="77777777" w:rsidR="00CF04BC" w:rsidRPr="00B93493" w:rsidRDefault="00CF04BC" w:rsidP="002E7F54">
            <w:pPr>
              <w:pStyle w:val="Tabletext"/>
              <w:jc w:val="center"/>
            </w:pPr>
            <w:r w:rsidRPr="00B93493">
              <w:t>470-862 MHz</w:t>
            </w:r>
          </w:p>
        </w:tc>
        <w:tc>
          <w:tcPr>
            <w:tcW w:w="1443" w:type="dxa"/>
            <w:tcBorders>
              <w:left w:val="single" w:sz="2" w:space="0" w:color="auto"/>
              <w:right w:val="single" w:sz="2" w:space="0" w:color="auto"/>
            </w:tcBorders>
          </w:tcPr>
          <w:p w14:paraId="37CA59B3" w14:textId="77777777" w:rsidR="00CF04BC" w:rsidRPr="00B93493" w:rsidRDefault="00CF04BC" w:rsidP="002E7F54">
            <w:pPr>
              <w:pStyle w:val="Tabletext"/>
              <w:jc w:val="center"/>
            </w:pPr>
            <w:r w:rsidRPr="00B93493">
              <w:t>8 MHz</w:t>
            </w:r>
          </w:p>
        </w:tc>
        <w:tc>
          <w:tcPr>
            <w:tcW w:w="2117" w:type="dxa"/>
            <w:tcBorders>
              <w:left w:val="single" w:sz="2" w:space="0" w:color="auto"/>
            </w:tcBorders>
          </w:tcPr>
          <w:p w14:paraId="68DFFBB9" w14:textId="77777777" w:rsidR="00CF04BC" w:rsidRPr="00B93493" w:rsidRDefault="00CF04BC" w:rsidP="002E7F54">
            <w:pPr>
              <w:pStyle w:val="Tabletext"/>
              <w:jc w:val="center"/>
            </w:pPr>
            <w:r w:rsidRPr="00B93493">
              <w:t>68</w:t>
            </w:r>
          </w:p>
        </w:tc>
      </w:tr>
      <w:tr w:rsidR="00CF04BC" w:rsidRPr="00B93493" w14:paraId="266950D6" w14:textId="77777777" w:rsidTr="002E7F54">
        <w:trPr>
          <w:trHeight w:val="397"/>
          <w:jc w:val="center"/>
        </w:trPr>
        <w:tc>
          <w:tcPr>
            <w:tcW w:w="1660" w:type="dxa"/>
            <w:vMerge w:val="restart"/>
            <w:tcBorders>
              <w:right w:val="single" w:sz="2" w:space="0" w:color="auto"/>
            </w:tcBorders>
          </w:tcPr>
          <w:p w14:paraId="7A9D7770" w14:textId="77777777" w:rsidR="00CF04BC" w:rsidRPr="00B93493" w:rsidRDefault="00CF04BC" w:rsidP="00C65E6B">
            <w:pPr>
              <w:pStyle w:val="Tabletext"/>
              <w:jc w:val="left"/>
            </w:pPr>
            <w:r w:rsidRPr="00B93493">
              <w:t>Terrestrial Mobile TV Broadcasting</w:t>
            </w:r>
          </w:p>
        </w:tc>
        <w:tc>
          <w:tcPr>
            <w:tcW w:w="2568" w:type="dxa"/>
            <w:tcBorders>
              <w:left w:val="single" w:sz="2" w:space="0" w:color="auto"/>
              <w:right w:val="single" w:sz="2" w:space="0" w:color="auto"/>
            </w:tcBorders>
          </w:tcPr>
          <w:p w14:paraId="05FC00E6" w14:textId="77777777" w:rsidR="00CF04BC" w:rsidRPr="00B93493" w:rsidRDefault="00CF04BC" w:rsidP="002E7F54">
            <w:pPr>
              <w:pStyle w:val="Tabletext"/>
              <w:jc w:val="center"/>
            </w:pPr>
            <w:r w:rsidRPr="00B93493">
              <w:t>174-230 MHz</w:t>
            </w:r>
          </w:p>
        </w:tc>
        <w:tc>
          <w:tcPr>
            <w:tcW w:w="1443" w:type="dxa"/>
            <w:tcBorders>
              <w:left w:val="single" w:sz="2" w:space="0" w:color="auto"/>
              <w:right w:val="single" w:sz="2" w:space="0" w:color="auto"/>
            </w:tcBorders>
          </w:tcPr>
          <w:p w14:paraId="2FBB18C0" w14:textId="77777777" w:rsidR="00CF04BC" w:rsidRPr="00B93493" w:rsidRDefault="00CF04BC" w:rsidP="002E7F54">
            <w:pPr>
              <w:pStyle w:val="Tabletext"/>
              <w:jc w:val="center"/>
            </w:pPr>
            <w:r w:rsidRPr="00B93493">
              <w:t>7 MHz</w:t>
            </w:r>
          </w:p>
        </w:tc>
        <w:tc>
          <w:tcPr>
            <w:tcW w:w="2117" w:type="dxa"/>
            <w:tcBorders>
              <w:left w:val="single" w:sz="2" w:space="0" w:color="auto"/>
            </w:tcBorders>
          </w:tcPr>
          <w:p w14:paraId="37B14322" w14:textId="77777777" w:rsidR="00CF04BC" w:rsidRPr="00B93493" w:rsidRDefault="00CF04BC" w:rsidP="002E7F54">
            <w:pPr>
              <w:pStyle w:val="Tabletext"/>
              <w:jc w:val="center"/>
            </w:pPr>
            <w:r w:rsidRPr="00B93493">
              <w:t>119</w:t>
            </w:r>
          </w:p>
        </w:tc>
      </w:tr>
      <w:tr w:rsidR="00CF04BC" w:rsidRPr="00B93493" w14:paraId="47A15BD3" w14:textId="77777777" w:rsidTr="002E7F54">
        <w:trPr>
          <w:trHeight w:val="397"/>
          <w:jc w:val="center"/>
        </w:trPr>
        <w:tc>
          <w:tcPr>
            <w:tcW w:w="1660" w:type="dxa"/>
            <w:vMerge/>
            <w:tcBorders>
              <w:bottom w:val="single" w:sz="2" w:space="0" w:color="auto"/>
              <w:right w:val="single" w:sz="2" w:space="0" w:color="auto"/>
            </w:tcBorders>
          </w:tcPr>
          <w:p w14:paraId="314EE148" w14:textId="77777777" w:rsidR="00CF04BC" w:rsidRPr="00B93493" w:rsidRDefault="00CF04BC" w:rsidP="002E7F54">
            <w:pPr>
              <w:pStyle w:val="Tabletext"/>
            </w:pPr>
          </w:p>
        </w:tc>
        <w:tc>
          <w:tcPr>
            <w:tcW w:w="2568" w:type="dxa"/>
            <w:tcBorders>
              <w:left w:val="single" w:sz="2" w:space="0" w:color="auto"/>
              <w:bottom w:val="single" w:sz="2" w:space="0" w:color="auto"/>
              <w:right w:val="single" w:sz="2" w:space="0" w:color="auto"/>
            </w:tcBorders>
          </w:tcPr>
          <w:p w14:paraId="3A256232" w14:textId="77777777" w:rsidR="00CF04BC" w:rsidRPr="00B93493" w:rsidRDefault="00CF04BC" w:rsidP="002E7F54">
            <w:pPr>
              <w:pStyle w:val="Tabletext"/>
              <w:jc w:val="center"/>
            </w:pPr>
            <w:r w:rsidRPr="00B93493">
              <w:t>470-862 MHz</w:t>
            </w:r>
          </w:p>
        </w:tc>
        <w:tc>
          <w:tcPr>
            <w:tcW w:w="1443" w:type="dxa"/>
            <w:tcBorders>
              <w:left w:val="single" w:sz="2" w:space="0" w:color="auto"/>
              <w:bottom w:val="single" w:sz="2" w:space="0" w:color="auto"/>
              <w:right w:val="single" w:sz="2" w:space="0" w:color="auto"/>
            </w:tcBorders>
          </w:tcPr>
          <w:p w14:paraId="4734E63D" w14:textId="77777777" w:rsidR="00CF04BC" w:rsidRPr="00B93493" w:rsidRDefault="00CF04BC" w:rsidP="002E7F54">
            <w:pPr>
              <w:pStyle w:val="Tabletext"/>
              <w:jc w:val="center"/>
            </w:pPr>
            <w:r w:rsidRPr="00B93493">
              <w:t>8 MHz</w:t>
            </w:r>
          </w:p>
        </w:tc>
        <w:tc>
          <w:tcPr>
            <w:tcW w:w="2117" w:type="dxa"/>
            <w:tcBorders>
              <w:left w:val="single" w:sz="2" w:space="0" w:color="auto"/>
              <w:bottom w:val="single" w:sz="2" w:space="0" w:color="auto"/>
            </w:tcBorders>
          </w:tcPr>
          <w:p w14:paraId="53719657" w14:textId="77777777" w:rsidR="00CF04BC" w:rsidRPr="00B93493" w:rsidRDefault="00CF04BC" w:rsidP="002E7F54">
            <w:pPr>
              <w:pStyle w:val="Tabletext"/>
              <w:jc w:val="center"/>
            </w:pPr>
            <w:r w:rsidRPr="00B93493">
              <w:t>136</w:t>
            </w:r>
          </w:p>
        </w:tc>
      </w:tr>
      <w:tr w:rsidR="00CF04BC" w:rsidRPr="00B93493" w14:paraId="020FB3A0" w14:textId="77777777" w:rsidTr="002E7F54">
        <w:trPr>
          <w:trHeight w:val="397"/>
          <w:jc w:val="center"/>
        </w:trPr>
        <w:tc>
          <w:tcPr>
            <w:tcW w:w="7788" w:type="dxa"/>
            <w:gridSpan w:val="4"/>
            <w:tcBorders>
              <w:left w:val="nil"/>
              <w:bottom w:val="nil"/>
              <w:right w:val="nil"/>
            </w:tcBorders>
          </w:tcPr>
          <w:p w14:paraId="144C8DCA" w14:textId="77777777" w:rsidR="00CF04BC" w:rsidRPr="00B93493" w:rsidRDefault="00CF04BC" w:rsidP="002E7F54">
            <w:pPr>
              <w:pStyle w:val="Tabletext"/>
            </w:pPr>
            <w:r w:rsidRPr="00B93493">
              <w:t>NOTE 1 –</w:t>
            </w:r>
            <w:r w:rsidRPr="00B93493">
              <w:rPr>
                <w:lang w:bidi="ar-AE"/>
              </w:rPr>
              <w:t xml:space="preserve"> </w:t>
            </w:r>
            <w:r w:rsidRPr="00B93493">
              <w:t>The Service Type Factor for Terrestrial Analog TV shall be applicable till December 2015. Afterwards, the Service Type Factor for Terrestrial Digital TV Broadcasting shall be applied for Terrestrial Analog TV.</w:t>
            </w:r>
          </w:p>
          <w:p w14:paraId="57E83395" w14:textId="77777777" w:rsidR="00CF04BC" w:rsidRPr="00B93493" w:rsidRDefault="00CF04BC" w:rsidP="002E7F54">
            <w:pPr>
              <w:pStyle w:val="Tabletext"/>
            </w:pPr>
            <w:r w:rsidRPr="00B93493">
              <w:t xml:space="preserve">NOTE 2 – Service Type Factor can be calculated on prorate basis with respect to above mentioned bandwidth and closest frequency range if similar Broadcasting Service is required to be authorized in any frequency band not mentioned above. </w:t>
            </w:r>
          </w:p>
        </w:tc>
      </w:tr>
    </w:tbl>
    <w:p w14:paraId="2F6AA218" w14:textId="77777777" w:rsidR="00CF04BC" w:rsidRPr="00B93493" w:rsidRDefault="00CF04BC" w:rsidP="00CF04BC">
      <w:pPr>
        <w:pStyle w:val="Tablefin"/>
      </w:pPr>
      <w:bookmarkStart w:id="2738" w:name="_Toc195057728"/>
    </w:p>
    <w:bookmarkEnd w:id="2738"/>
    <w:p w14:paraId="28D94991" w14:textId="77777777" w:rsidR="00CF04BC" w:rsidRPr="00B93493" w:rsidRDefault="00CF04BC" w:rsidP="00CF04BC">
      <w:pPr>
        <w:pStyle w:val="enumlev1"/>
      </w:pPr>
      <w:r w:rsidRPr="00B93493">
        <w:tab/>
        <w:t>SZ = Service Zone Factor as follows:</w:t>
      </w:r>
    </w:p>
    <w:p w14:paraId="32E7F7CC" w14:textId="77777777" w:rsidR="00CF04BC" w:rsidRPr="00B93493" w:rsidRDefault="00CF04BC" w:rsidP="00CF04BC">
      <w:pPr>
        <w:pStyle w:val="TableNo"/>
      </w:pPr>
      <w:bookmarkStart w:id="2739" w:name="_Toc195057730"/>
      <w:r w:rsidRPr="00B93493">
        <w:t>TABLE 3</w:t>
      </w:r>
    </w:p>
    <w:p w14:paraId="081A28D3" w14:textId="77777777" w:rsidR="00CF04BC" w:rsidRPr="00B93493" w:rsidRDefault="00CF04BC" w:rsidP="00CF04BC">
      <w:pPr>
        <w:pStyle w:val="Tabletitle"/>
      </w:pPr>
      <w:r w:rsidRPr="00B93493">
        <w:t>Definition of Service Zones Factors (SZ)</w:t>
      </w:r>
      <w:bookmarkEnd w:id="27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3610"/>
        <w:gridCol w:w="2700"/>
      </w:tblGrid>
      <w:tr w:rsidR="00CF04BC" w:rsidRPr="00B93493" w14:paraId="08F4A80E" w14:textId="77777777" w:rsidTr="002E7F54">
        <w:trPr>
          <w:trHeight w:val="680"/>
          <w:jc w:val="center"/>
        </w:trPr>
        <w:tc>
          <w:tcPr>
            <w:tcW w:w="1764" w:type="dxa"/>
            <w:shd w:val="clear" w:color="auto" w:fill="auto"/>
            <w:vAlign w:val="center"/>
          </w:tcPr>
          <w:p w14:paraId="6E9CE6B7" w14:textId="77777777" w:rsidR="00CF04BC" w:rsidRPr="00B93493" w:rsidRDefault="00CF04BC" w:rsidP="002E7F54">
            <w:pPr>
              <w:pStyle w:val="Tablehead"/>
            </w:pPr>
            <w:r w:rsidRPr="00B93493">
              <w:t>Service Zone Factor (SZ)</w:t>
            </w:r>
          </w:p>
        </w:tc>
        <w:tc>
          <w:tcPr>
            <w:tcW w:w="3610" w:type="dxa"/>
            <w:shd w:val="clear" w:color="auto" w:fill="auto"/>
            <w:vAlign w:val="center"/>
          </w:tcPr>
          <w:p w14:paraId="144BDFF0" w14:textId="77777777" w:rsidR="00CF04BC" w:rsidRPr="00B93493" w:rsidRDefault="00CF04BC" w:rsidP="002E7F54">
            <w:pPr>
              <w:pStyle w:val="Tablehead"/>
            </w:pPr>
            <w:r w:rsidRPr="00B93493">
              <w:t>Service Zone</w:t>
            </w:r>
          </w:p>
        </w:tc>
        <w:tc>
          <w:tcPr>
            <w:tcW w:w="2700" w:type="dxa"/>
            <w:shd w:val="clear" w:color="auto" w:fill="auto"/>
            <w:vAlign w:val="center"/>
          </w:tcPr>
          <w:p w14:paraId="3DDAAB91" w14:textId="77777777" w:rsidR="00CF04BC" w:rsidRPr="00B93493" w:rsidRDefault="00CF04BC" w:rsidP="002E7F54">
            <w:pPr>
              <w:pStyle w:val="Tablehead"/>
            </w:pPr>
            <w:r w:rsidRPr="00B93493">
              <w:t>Polygon Corners</w:t>
            </w:r>
          </w:p>
        </w:tc>
      </w:tr>
      <w:tr w:rsidR="00CF04BC" w:rsidRPr="00B93493" w14:paraId="230A5581" w14:textId="77777777" w:rsidTr="002E7F54">
        <w:trPr>
          <w:trHeight w:val="1142"/>
          <w:jc w:val="center"/>
        </w:trPr>
        <w:tc>
          <w:tcPr>
            <w:tcW w:w="1764" w:type="dxa"/>
            <w:vMerge w:val="restart"/>
          </w:tcPr>
          <w:p w14:paraId="2CDFD46A" w14:textId="77777777" w:rsidR="00CF04BC" w:rsidRPr="00B93493" w:rsidRDefault="00CF04BC" w:rsidP="002E7F54">
            <w:pPr>
              <w:pStyle w:val="Tabletext"/>
              <w:rPr>
                <w:lang w:eastAsia="de-DE"/>
              </w:rPr>
            </w:pPr>
            <w:r w:rsidRPr="00B93493">
              <w:rPr>
                <w:lang w:eastAsia="de-DE"/>
              </w:rPr>
              <w:t>1.00 (high)</w:t>
            </w:r>
          </w:p>
        </w:tc>
        <w:tc>
          <w:tcPr>
            <w:tcW w:w="3610" w:type="dxa"/>
            <w:tcBorders>
              <w:bottom w:val="single" w:sz="4" w:space="0" w:color="auto"/>
            </w:tcBorders>
          </w:tcPr>
          <w:p w14:paraId="21E4AA3F" w14:textId="77777777" w:rsidR="00CF04BC" w:rsidRPr="00B93493" w:rsidRDefault="00CF04BC" w:rsidP="002E7F54">
            <w:pPr>
              <w:pStyle w:val="Tabletext"/>
              <w:rPr>
                <w:lang w:eastAsia="de-DE"/>
              </w:rPr>
            </w:pPr>
            <w:r w:rsidRPr="00B93493">
              <w:rPr>
                <w:lang w:eastAsia="de-DE"/>
              </w:rPr>
              <w:t>City and environs of Abu Dhabi</w:t>
            </w:r>
          </w:p>
        </w:tc>
        <w:tc>
          <w:tcPr>
            <w:tcW w:w="2700" w:type="dxa"/>
            <w:tcBorders>
              <w:bottom w:val="single" w:sz="4" w:space="0" w:color="auto"/>
            </w:tcBorders>
          </w:tcPr>
          <w:p w14:paraId="5C63EE27" w14:textId="77777777" w:rsidR="00CF04BC" w:rsidRPr="00D25898" w:rsidRDefault="00CF04BC" w:rsidP="002E7F54">
            <w:pPr>
              <w:pStyle w:val="Tabletext"/>
              <w:rPr>
                <w:lang w:val="it-IT"/>
              </w:rPr>
            </w:pPr>
            <w:r w:rsidRPr="00D25898">
              <w:rPr>
                <w:lang w:val="it-IT"/>
              </w:rPr>
              <w:t>54° 30’ E – 24° 45’ N</w:t>
            </w:r>
          </w:p>
          <w:p w14:paraId="00B44203" w14:textId="77777777" w:rsidR="00CF04BC" w:rsidRPr="00D25898" w:rsidRDefault="00CF04BC" w:rsidP="002E7F54">
            <w:pPr>
              <w:pStyle w:val="Tabletext"/>
              <w:rPr>
                <w:lang w:val="it-IT"/>
              </w:rPr>
            </w:pPr>
            <w:r w:rsidRPr="00D25898">
              <w:rPr>
                <w:lang w:val="it-IT"/>
              </w:rPr>
              <w:t>55° 15’ E – 24° 40’ N</w:t>
            </w:r>
          </w:p>
          <w:p w14:paraId="1E551986" w14:textId="77777777" w:rsidR="00CF04BC" w:rsidRPr="00D25898" w:rsidRDefault="00CF04BC" w:rsidP="002E7F54">
            <w:pPr>
              <w:pStyle w:val="Tabletext"/>
              <w:rPr>
                <w:lang w:val="it-IT"/>
              </w:rPr>
            </w:pPr>
            <w:r w:rsidRPr="00D25898">
              <w:rPr>
                <w:lang w:val="it-IT"/>
              </w:rPr>
              <w:t>55° 00’ E – 24° 05’ N</w:t>
            </w:r>
          </w:p>
          <w:p w14:paraId="41C0F881" w14:textId="77777777" w:rsidR="00CF04BC" w:rsidRPr="00B93493" w:rsidRDefault="00CF04BC" w:rsidP="002E7F54">
            <w:pPr>
              <w:pStyle w:val="Tabletext"/>
            </w:pPr>
            <w:r w:rsidRPr="00B93493">
              <w:t>54° 00’ E – 24° 20’ N</w:t>
            </w:r>
          </w:p>
        </w:tc>
      </w:tr>
      <w:tr w:rsidR="00CF04BC" w:rsidRPr="00B93493" w14:paraId="79BBCEA2" w14:textId="77777777" w:rsidTr="002E7F54">
        <w:trPr>
          <w:trHeight w:val="1192"/>
          <w:jc w:val="center"/>
        </w:trPr>
        <w:tc>
          <w:tcPr>
            <w:tcW w:w="1764" w:type="dxa"/>
            <w:vMerge/>
          </w:tcPr>
          <w:p w14:paraId="5E7EEF8E" w14:textId="77777777" w:rsidR="00CF04BC" w:rsidRPr="00B93493" w:rsidRDefault="00CF04BC" w:rsidP="002E7F54">
            <w:pPr>
              <w:pStyle w:val="Tabletext"/>
            </w:pPr>
          </w:p>
        </w:tc>
        <w:tc>
          <w:tcPr>
            <w:tcW w:w="3610" w:type="dxa"/>
            <w:tcBorders>
              <w:bottom w:val="single" w:sz="4" w:space="0" w:color="auto"/>
            </w:tcBorders>
          </w:tcPr>
          <w:p w14:paraId="46B9158B" w14:textId="77777777" w:rsidR="00CF04BC" w:rsidRPr="00B93493" w:rsidRDefault="00CF04BC" w:rsidP="002E7F54">
            <w:pPr>
              <w:pStyle w:val="Tabletext"/>
            </w:pPr>
            <w:r w:rsidRPr="00B93493">
              <w:t>Cities and environs of Dubai, Sharjah, Ajman and Umm Al Quwein</w:t>
            </w:r>
          </w:p>
        </w:tc>
        <w:tc>
          <w:tcPr>
            <w:tcW w:w="2700" w:type="dxa"/>
            <w:tcBorders>
              <w:bottom w:val="single" w:sz="4" w:space="0" w:color="auto"/>
            </w:tcBorders>
          </w:tcPr>
          <w:p w14:paraId="457C521C" w14:textId="77777777" w:rsidR="00CF04BC" w:rsidRPr="00D25898" w:rsidRDefault="00CF04BC" w:rsidP="002E7F54">
            <w:pPr>
              <w:pStyle w:val="Tabletext"/>
              <w:rPr>
                <w:lang w:val="it-IT"/>
              </w:rPr>
            </w:pPr>
            <w:r w:rsidRPr="00D25898">
              <w:rPr>
                <w:lang w:val="it-IT"/>
              </w:rPr>
              <w:t>55° 30’ E – 25° 40’ N</w:t>
            </w:r>
          </w:p>
          <w:p w14:paraId="4D66C321" w14:textId="77777777" w:rsidR="00CF04BC" w:rsidRPr="00D25898" w:rsidRDefault="00CF04BC" w:rsidP="002E7F54">
            <w:pPr>
              <w:pStyle w:val="Tabletext"/>
              <w:rPr>
                <w:lang w:val="it-IT"/>
              </w:rPr>
            </w:pPr>
            <w:r w:rsidRPr="00D25898">
              <w:rPr>
                <w:lang w:val="it-IT"/>
              </w:rPr>
              <w:t>55° 55’ E – 25° 20’ N</w:t>
            </w:r>
          </w:p>
          <w:p w14:paraId="7A58A359" w14:textId="77777777" w:rsidR="00CF04BC" w:rsidRPr="00D25898" w:rsidRDefault="00CF04BC" w:rsidP="002E7F54">
            <w:pPr>
              <w:pStyle w:val="Tabletext"/>
              <w:rPr>
                <w:lang w:val="it-IT"/>
              </w:rPr>
            </w:pPr>
            <w:r w:rsidRPr="00D25898">
              <w:rPr>
                <w:lang w:val="it-IT"/>
              </w:rPr>
              <w:t>55° 15’ E – 24° 40’ N</w:t>
            </w:r>
          </w:p>
          <w:p w14:paraId="357F8FC8" w14:textId="77777777" w:rsidR="00CF04BC" w:rsidRPr="00B93493" w:rsidRDefault="00CF04BC" w:rsidP="002E7F54">
            <w:pPr>
              <w:pStyle w:val="Tabletext"/>
            </w:pPr>
            <w:r w:rsidRPr="00B93493">
              <w:t>54° 30’ E – 24° 45’ N</w:t>
            </w:r>
          </w:p>
        </w:tc>
      </w:tr>
      <w:tr w:rsidR="00CF04BC" w:rsidRPr="00B93493" w14:paraId="2ADA9AED" w14:textId="77777777" w:rsidTr="002E7F54">
        <w:trPr>
          <w:trHeight w:val="1057"/>
          <w:jc w:val="center"/>
        </w:trPr>
        <w:tc>
          <w:tcPr>
            <w:tcW w:w="1764" w:type="dxa"/>
            <w:vMerge w:val="restart"/>
          </w:tcPr>
          <w:p w14:paraId="34F31B08" w14:textId="77777777" w:rsidR="00CF04BC" w:rsidRPr="00B93493" w:rsidRDefault="00CF04BC" w:rsidP="002E7F54">
            <w:pPr>
              <w:pStyle w:val="Tabletext"/>
            </w:pPr>
            <w:r w:rsidRPr="00B93493">
              <w:t>0.75 (medium)</w:t>
            </w:r>
          </w:p>
        </w:tc>
        <w:tc>
          <w:tcPr>
            <w:tcW w:w="3610" w:type="dxa"/>
          </w:tcPr>
          <w:p w14:paraId="6D60D73F" w14:textId="77777777" w:rsidR="00CF04BC" w:rsidRPr="00B93493" w:rsidRDefault="00CF04BC" w:rsidP="002E7F54">
            <w:pPr>
              <w:pStyle w:val="Tabletext"/>
            </w:pPr>
            <w:r w:rsidRPr="00B93493">
              <w:t>Area between Abu Dhabi and Al Ain</w:t>
            </w:r>
          </w:p>
        </w:tc>
        <w:tc>
          <w:tcPr>
            <w:tcW w:w="2700" w:type="dxa"/>
          </w:tcPr>
          <w:p w14:paraId="372E87D2" w14:textId="77777777" w:rsidR="00CF04BC" w:rsidRPr="00D25898" w:rsidRDefault="00CF04BC" w:rsidP="002E7F54">
            <w:pPr>
              <w:pStyle w:val="Tabletext"/>
              <w:rPr>
                <w:lang w:val="it-IT"/>
              </w:rPr>
            </w:pPr>
            <w:r w:rsidRPr="00D25898">
              <w:rPr>
                <w:lang w:val="it-IT"/>
              </w:rPr>
              <w:t>55° 00’ E – 24° 20’ N</w:t>
            </w:r>
          </w:p>
          <w:p w14:paraId="0F1D478D" w14:textId="77777777" w:rsidR="00CF04BC" w:rsidRPr="00D25898" w:rsidRDefault="00CF04BC" w:rsidP="002E7F54">
            <w:pPr>
              <w:pStyle w:val="Tabletext"/>
              <w:rPr>
                <w:lang w:val="it-IT"/>
              </w:rPr>
            </w:pPr>
            <w:r w:rsidRPr="00D25898">
              <w:rPr>
                <w:lang w:val="it-IT"/>
              </w:rPr>
              <w:t>55° 30’ E – 24° 20’ N</w:t>
            </w:r>
          </w:p>
          <w:p w14:paraId="714EB1E7" w14:textId="77777777" w:rsidR="00CF04BC" w:rsidRPr="00D25898" w:rsidRDefault="00CF04BC" w:rsidP="002E7F54">
            <w:pPr>
              <w:pStyle w:val="Tabletext"/>
              <w:rPr>
                <w:lang w:val="it-IT"/>
              </w:rPr>
            </w:pPr>
            <w:r w:rsidRPr="00D25898">
              <w:rPr>
                <w:lang w:val="it-IT"/>
              </w:rPr>
              <w:t>55° 30’ E – 24° 00’ N</w:t>
            </w:r>
          </w:p>
          <w:p w14:paraId="730BE845" w14:textId="77777777" w:rsidR="00CF04BC" w:rsidRPr="00B93493" w:rsidRDefault="00CF04BC" w:rsidP="002E7F54">
            <w:pPr>
              <w:pStyle w:val="Tabletext"/>
            </w:pPr>
            <w:r w:rsidRPr="00B93493">
              <w:t>55° 00’ E – 24° 05’ N</w:t>
            </w:r>
          </w:p>
        </w:tc>
      </w:tr>
      <w:tr w:rsidR="00CF04BC" w:rsidRPr="00B93493" w14:paraId="7E0D1BAD" w14:textId="77777777" w:rsidTr="002E7F54">
        <w:trPr>
          <w:trHeight w:val="1057"/>
          <w:jc w:val="center"/>
        </w:trPr>
        <w:tc>
          <w:tcPr>
            <w:tcW w:w="1764" w:type="dxa"/>
            <w:vMerge/>
          </w:tcPr>
          <w:p w14:paraId="1F763351" w14:textId="77777777" w:rsidR="00CF04BC" w:rsidRPr="00B93493" w:rsidRDefault="00CF04BC" w:rsidP="002E7F54">
            <w:pPr>
              <w:pStyle w:val="Tabletext"/>
            </w:pPr>
          </w:p>
        </w:tc>
        <w:tc>
          <w:tcPr>
            <w:tcW w:w="3610" w:type="dxa"/>
          </w:tcPr>
          <w:p w14:paraId="149B6D44" w14:textId="77777777" w:rsidR="00CF04BC" w:rsidRPr="00B93493" w:rsidRDefault="00CF04BC" w:rsidP="002E7F54">
            <w:pPr>
              <w:pStyle w:val="Tabletext"/>
            </w:pPr>
            <w:r w:rsidRPr="00B93493">
              <w:rPr>
                <w:lang w:eastAsia="de-DE"/>
              </w:rPr>
              <w:t>City and environs of Al Ain</w:t>
            </w:r>
          </w:p>
        </w:tc>
        <w:tc>
          <w:tcPr>
            <w:tcW w:w="2700" w:type="dxa"/>
          </w:tcPr>
          <w:p w14:paraId="29BB7E14" w14:textId="77777777" w:rsidR="00CF04BC" w:rsidRPr="00D25898" w:rsidRDefault="00CF04BC" w:rsidP="002E7F54">
            <w:pPr>
              <w:pStyle w:val="Tabletext"/>
              <w:rPr>
                <w:lang w:val="it-IT"/>
              </w:rPr>
            </w:pPr>
            <w:r w:rsidRPr="00D25898">
              <w:rPr>
                <w:lang w:val="it-IT"/>
              </w:rPr>
              <w:t>55° 30’ E – 24° 20’ N</w:t>
            </w:r>
          </w:p>
          <w:p w14:paraId="18E09DD5" w14:textId="77777777" w:rsidR="00CF04BC" w:rsidRPr="00D25898" w:rsidRDefault="00CF04BC" w:rsidP="002E7F54">
            <w:pPr>
              <w:pStyle w:val="Tabletext"/>
              <w:rPr>
                <w:lang w:val="it-IT"/>
              </w:rPr>
            </w:pPr>
            <w:r w:rsidRPr="00D25898">
              <w:rPr>
                <w:lang w:val="it-IT"/>
              </w:rPr>
              <w:t>55° 50’ E – 24° 20’ N</w:t>
            </w:r>
          </w:p>
          <w:p w14:paraId="7C13C2AD" w14:textId="77777777" w:rsidR="00CF04BC" w:rsidRPr="00D25898" w:rsidRDefault="00CF04BC" w:rsidP="002E7F54">
            <w:pPr>
              <w:pStyle w:val="Tabletext"/>
              <w:rPr>
                <w:lang w:val="it-IT"/>
              </w:rPr>
            </w:pPr>
            <w:r w:rsidRPr="00D25898">
              <w:rPr>
                <w:lang w:val="it-IT"/>
              </w:rPr>
              <w:t>55° 50’ E – 24° 00’ N</w:t>
            </w:r>
          </w:p>
          <w:p w14:paraId="1D205FEF" w14:textId="77777777" w:rsidR="00CF04BC" w:rsidRPr="00B93493" w:rsidRDefault="00CF04BC" w:rsidP="002E7F54">
            <w:pPr>
              <w:pStyle w:val="Tabletext"/>
            </w:pPr>
            <w:r w:rsidRPr="00B93493">
              <w:t>55° 30’ E – 24° 00’ N</w:t>
            </w:r>
          </w:p>
        </w:tc>
      </w:tr>
      <w:tr w:rsidR="00CF04BC" w:rsidRPr="00B93493" w14:paraId="0336CAA0" w14:textId="77777777" w:rsidTr="002E7F54">
        <w:trPr>
          <w:trHeight w:val="1237"/>
          <w:jc w:val="center"/>
        </w:trPr>
        <w:tc>
          <w:tcPr>
            <w:tcW w:w="1764" w:type="dxa"/>
            <w:vMerge/>
          </w:tcPr>
          <w:p w14:paraId="57EBC377" w14:textId="77777777" w:rsidR="00CF04BC" w:rsidRPr="00B93493" w:rsidRDefault="00CF04BC" w:rsidP="002E7F54">
            <w:pPr>
              <w:pStyle w:val="Tabletext"/>
            </w:pPr>
          </w:p>
        </w:tc>
        <w:tc>
          <w:tcPr>
            <w:tcW w:w="3610" w:type="dxa"/>
          </w:tcPr>
          <w:p w14:paraId="0AB6A3BF" w14:textId="77777777" w:rsidR="00CF04BC" w:rsidRPr="00B93493" w:rsidRDefault="00CF04BC" w:rsidP="002E7F54">
            <w:pPr>
              <w:pStyle w:val="Tabletext"/>
              <w:rPr>
                <w:lang w:eastAsia="de-DE"/>
              </w:rPr>
            </w:pPr>
            <w:r w:rsidRPr="00B93493">
              <w:rPr>
                <w:lang w:eastAsia="de-DE"/>
              </w:rPr>
              <w:t>City and environs of Fujairah</w:t>
            </w:r>
          </w:p>
        </w:tc>
        <w:tc>
          <w:tcPr>
            <w:tcW w:w="2700" w:type="dxa"/>
            <w:vAlign w:val="center"/>
          </w:tcPr>
          <w:p w14:paraId="1BB47F00" w14:textId="77777777" w:rsidR="00CF04BC" w:rsidRPr="00D25898" w:rsidRDefault="00CF04BC" w:rsidP="002E7F54">
            <w:pPr>
              <w:pStyle w:val="Tabletext"/>
              <w:rPr>
                <w:lang w:val="it-IT"/>
              </w:rPr>
            </w:pPr>
            <w:r w:rsidRPr="00D25898">
              <w:rPr>
                <w:lang w:val="it-IT"/>
              </w:rPr>
              <w:t>56° 15’ E – 25° 15’ N</w:t>
            </w:r>
          </w:p>
          <w:p w14:paraId="7678E7B5" w14:textId="77777777" w:rsidR="00CF04BC" w:rsidRPr="00D25898" w:rsidRDefault="00CF04BC" w:rsidP="002E7F54">
            <w:pPr>
              <w:pStyle w:val="Tabletext"/>
              <w:rPr>
                <w:lang w:val="it-IT"/>
              </w:rPr>
            </w:pPr>
            <w:r w:rsidRPr="00D25898">
              <w:rPr>
                <w:lang w:val="it-IT"/>
              </w:rPr>
              <w:t>56° 25’ E – 25° 15’ N</w:t>
            </w:r>
          </w:p>
          <w:p w14:paraId="175DFA40" w14:textId="77777777" w:rsidR="00CF04BC" w:rsidRPr="00D25898" w:rsidRDefault="00CF04BC" w:rsidP="002E7F54">
            <w:pPr>
              <w:pStyle w:val="Tabletext"/>
              <w:rPr>
                <w:lang w:val="it-IT"/>
              </w:rPr>
            </w:pPr>
            <w:r w:rsidRPr="00D25898">
              <w:rPr>
                <w:lang w:val="it-IT"/>
              </w:rPr>
              <w:t>56° 25’ E – 25° 00’ N</w:t>
            </w:r>
          </w:p>
          <w:p w14:paraId="0B562785" w14:textId="77777777" w:rsidR="00CF04BC" w:rsidRPr="00B93493" w:rsidRDefault="00CF04BC" w:rsidP="002E7F54">
            <w:pPr>
              <w:pStyle w:val="Tabletext"/>
            </w:pPr>
            <w:r w:rsidRPr="00B93493">
              <w:t>56° 15’ E – 25° 00’ N</w:t>
            </w:r>
          </w:p>
        </w:tc>
      </w:tr>
      <w:tr w:rsidR="00CF04BC" w:rsidRPr="00B93493" w14:paraId="613D4E91" w14:textId="77777777" w:rsidTr="002E7F54">
        <w:trPr>
          <w:trHeight w:val="1250"/>
          <w:jc w:val="center"/>
        </w:trPr>
        <w:tc>
          <w:tcPr>
            <w:tcW w:w="1764" w:type="dxa"/>
            <w:vMerge/>
          </w:tcPr>
          <w:p w14:paraId="6807FD2B" w14:textId="77777777" w:rsidR="00CF04BC" w:rsidRPr="00B93493" w:rsidRDefault="00CF04BC" w:rsidP="002E7F54">
            <w:pPr>
              <w:pStyle w:val="Tabletext"/>
            </w:pPr>
          </w:p>
        </w:tc>
        <w:tc>
          <w:tcPr>
            <w:tcW w:w="3610" w:type="dxa"/>
          </w:tcPr>
          <w:p w14:paraId="15883870" w14:textId="77777777" w:rsidR="00CF04BC" w:rsidRPr="00B93493" w:rsidRDefault="00CF04BC" w:rsidP="002E7F54">
            <w:pPr>
              <w:pStyle w:val="Tabletext"/>
              <w:rPr>
                <w:lang w:eastAsia="de-DE"/>
              </w:rPr>
            </w:pPr>
            <w:r w:rsidRPr="00B93493">
              <w:rPr>
                <w:lang w:eastAsia="de-DE"/>
              </w:rPr>
              <w:t>City and environs of Ras Al Khaimah</w:t>
            </w:r>
          </w:p>
        </w:tc>
        <w:tc>
          <w:tcPr>
            <w:tcW w:w="2700" w:type="dxa"/>
            <w:vAlign w:val="center"/>
          </w:tcPr>
          <w:p w14:paraId="25E9D4B1" w14:textId="77777777" w:rsidR="00CF04BC" w:rsidRPr="00D25898" w:rsidRDefault="00CF04BC" w:rsidP="002E7F54">
            <w:pPr>
              <w:pStyle w:val="Tabletext"/>
              <w:rPr>
                <w:lang w:val="it-IT" w:eastAsia="de-DE"/>
              </w:rPr>
            </w:pPr>
            <w:r w:rsidRPr="00D25898">
              <w:rPr>
                <w:lang w:val="it-IT" w:eastAsia="de-DE"/>
              </w:rPr>
              <w:t>55° 50’ E – 25° 55’ N</w:t>
            </w:r>
          </w:p>
          <w:p w14:paraId="16914007" w14:textId="77777777" w:rsidR="00CF04BC" w:rsidRPr="00D25898" w:rsidRDefault="00CF04BC" w:rsidP="002E7F54">
            <w:pPr>
              <w:pStyle w:val="Tabletext"/>
              <w:rPr>
                <w:lang w:val="it-IT" w:eastAsia="de-DE"/>
              </w:rPr>
            </w:pPr>
            <w:r w:rsidRPr="00D25898">
              <w:rPr>
                <w:lang w:val="it-IT" w:eastAsia="de-DE"/>
              </w:rPr>
              <w:t>56° 05’ E – 25° 55’ N</w:t>
            </w:r>
          </w:p>
          <w:p w14:paraId="5D520915" w14:textId="77777777" w:rsidR="00CF04BC" w:rsidRPr="00D25898" w:rsidRDefault="00CF04BC" w:rsidP="002E7F54">
            <w:pPr>
              <w:pStyle w:val="Tabletext"/>
              <w:rPr>
                <w:lang w:val="it-IT" w:eastAsia="de-DE"/>
              </w:rPr>
            </w:pPr>
            <w:r w:rsidRPr="00D25898">
              <w:rPr>
                <w:lang w:val="it-IT" w:eastAsia="de-DE"/>
              </w:rPr>
              <w:t>56° 05’ E – 25° 40’ N</w:t>
            </w:r>
          </w:p>
          <w:p w14:paraId="2F3361D7" w14:textId="77777777" w:rsidR="00CF04BC" w:rsidRPr="00B93493" w:rsidRDefault="00CF04BC" w:rsidP="002E7F54">
            <w:pPr>
              <w:pStyle w:val="Tabletext"/>
              <w:rPr>
                <w:lang w:eastAsia="de-DE"/>
              </w:rPr>
            </w:pPr>
            <w:r w:rsidRPr="00B93493">
              <w:rPr>
                <w:lang w:eastAsia="de-DE"/>
              </w:rPr>
              <w:t>55° 50’ E – 25° 40’ N</w:t>
            </w:r>
          </w:p>
        </w:tc>
      </w:tr>
      <w:tr w:rsidR="00CF04BC" w:rsidRPr="00D25898" w14:paraId="5D8FE6DE" w14:textId="77777777" w:rsidTr="002E7F54">
        <w:trPr>
          <w:trHeight w:val="958"/>
          <w:jc w:val="center"/>
        </w:trPr>
        <w:tc>
          <w:tcPr>
            <w:tcW w:w="1764" w:type="dxa"/>
            <w:vMerge/>
          </w:tcPr>
          <w:p w14:paraId="07FC0C3C" w14:textId="77777777" w:rsidR="00CF04BC" w:rsidRPr="00B93493" w:rsidRDefault="00CF04BC" w:rsidP="002E7F54">
            <w:pPr>
              <w:pStyle w:val="Tabletext"/>
            </w:pPr>
          </w:p>
        </w:tc>
        <w:tc>
          <w:tcPr>
            <w:tcW w:w="3610" w:type="dxa"/>
            <w:vAlign w:val="center"/>
          </w:tcPr>
          <w:p w14:paraId="6B6E216D" w14:textId="77777777" w:rsidR="00CF04BC" w:rsidRPr="00B93493" w:rsidRDefault="00CF04BC" w:rsidP="002E7F54">
            <w:pPr>
              <w:pStyle w:val="Tabletext"/>
              <w:rPr>
                <w:lang w:eastAsia="de-DE"/>
              </w:rPr>
            </w:pPr>
            <w:r w:rsidRPr="00B93493">
              <w:rPr>
                <w:lang w:eastAsia="de-DE"/>
              </w:rPr>
              <w:t xml:space="preserve">Area between </w:t>
            </w:r>
            <w:r w:rsidRPr="00B93493">
              <w:t xml:space="preserve">Umm Al Quwein and </w:t>
            </w:r>
            <w:r w:rsidRPr="00B93493">
              <w:rPr>
                <w:lang w:eastAsia="de-DE"/>
              </w:rPr>
              <w:t>Ras Al Khaimah</w:t>
            </w:r>
          </w:p>
        </w:tc>
        <w:tc>
          <w:tcPr>
            <w:tcW w:w="2700" w:type="dxa"/>
          </w:tcPr>
          <w:p w14:paraId="7B05454F" w14:textId="77777777" w:rsidR="00CF04BC" w:rsidRPr="00D25898" w:rsidRDefault="00CF04BC" w:rsidP="002E7F54">
            <w:pPr>
              <w:pStyle w:val="Tabletext"/>
              <w:rPr>
                <w:lang w:val="it-IT"/>
              </w:rPr>
            </w:pPr>
            <w:r w:rsidRPr="00D25898">
              <w:rPr>
                <w:lang w:val="it-IT"/>
              </w:rPr>
              <w:t>55° 30’ E – 25° 40’ N</w:t>
            </w:r>
          </w:p>
          <w:p w14:paraId="1440EB80" w14:textId="77777777" w:rsidR="00CF04BC" w:rsidRPr="00D25898" w:rsidRDefault="00CF04BC" w:rsidP="002E7F54">
            <w:pPr>
              <w:pStyle w:val="Tabletext"/>
              <w:rPr>
                <w:lang w:val="it-IT"/>
              </w:rPr>
            </w:pPr>
            <w:r w:rsidRPr="00D25898">
              <w:rPr>
                <w:lang w:val="it-IT"/>
              </w:rPr>
              <w:t>56° 05’ E – 25° 40’ N</w:t>
            </w:r>
          </w:p>
          <w:p w14:paraId="19975476" w14:textId="77777777" w:rsidR="00CF04BC" w:rsidRPr="00D25898" w:rsidRDefault="00CF04BC" w:rsidP="002E7F54">
            <w:pPr>
              <w:pStyle w:val="Tabletext"/>
              <w:rPr>
                <w:lang w:val="it-IT"/>
              </w:rPr>
            </w:pPr>
            <w:r w:rsidRPr="00D25898">
              <w:rPr>
                <w:lang w:val="it-IT"/>
              </w:rPr>
              <w:t>55° 55’ E – 25° 20’ N</w:t>
            </w:r>
          </w:p>
        </w:tc>
      </w:tr>
      <w:tr w:rsidR="00CF04BC" w:rsidRPr="00B93493" w14:paraId="278FACBD" w14:textId="77777777" w:rsidTr="002E7F54">
        <w:trPr>
          <w:trHeight w:val="350"/>
          <w:jc w:val="center"/>
        </w:trPr>
        <w:tc>
          <w:tcPr>
            <w:tcW w:w="1764" w:type="dxa"/>
            <w:tcBorders>
              <w:bottom w:val="single" w:sz="4" w:space="0" w:color="auto"/>
            </w:tcBorders>
            <w:vAlign w:val="center"/>
          </w:tcPr>
          <w:p w14:paraId="7498AEBC" w14:textId="77777777" w:rsidR="00CF04BC" w:rsidRPr="00B93493" w:rsidRDefault="00CF04BC" w:rsidP="002E7F54">
            <w:pPr>
              <w:pStyle w:val="Tabletext"/>
              <w:rPr>
                <w:lang w:eastAsia="de-DE"/>
              </w:rPr>
            </w:pPr>
            <w:r w:rsidRPr="00B93493">
              <w:rPr>
                <w:lang w:eastAsia="de-DE"/>
              </w:rPr>
              <w:t>0.50 (low)</w:t>
            </w:r>
          </w:p>
        </w:tc>
        <w:tc>
          <w:tcPr>
            <w:tcW w:w="6310" w:type="dxa"/>
            <w:gridSpan w:val="2"/>
            <w:tcBorders>
              <w:bottom w:val="single" w:sz="4" w:space="0" w:color="auto"/>
            </w:tcBorders>
            <w:vAlign w:val="center"/>
          </w:tcPr>
          <w:p w14:paraId="20744534" w14:textId="77777777" w:rsidR="00CF04BC" w:rsidRPr="00B93493" w:rsidRDefault="00CF04BC" w:rsidP="002E7F54">
            <w:pPr>
              <w:pStyle w:val="Tabletext"/>
              <w:rPr>
                <w:lang w:eastAsia="de-DE"/>
              </w:rPr>
            </w:pPr>
            <w:r w:rsidRPr="00B93493">
              <w:rPr>
                <w:lang w:eastAsia="de-DE"/>
              </w:rPr>
              <w:t>All remaining areas</w:t>
            </w:r>
          </w:p>
        </w:tc>
      </w:tr>
      <w:tr w:rsidR="00CF04BC" w:rsidRPr="00B93493" w14:paraId="635147EB" w14:textId="77777777" w:rsidTr="002E7F54">
        <w:trPr>
          <w:trHeight w:val="350"/>
          <w:jc w:val="center"/>
        </w:trPr>
        <w:tc>
          <w:tcPr>
            <w:tcW w:w="8074" w:type="dxa"/>
            <w:gridSpan w:val="3"/>
            <w:tcBorders>
              <w:left w:val="nil"/>
              <w:bottom w:val="nil"/>
              <w:right w:val="nil"/>
            </w:tcBorders>
            <w:vAlign w:val="center"/>
          </w:tcPr>
          <w:p w14:paraId="4DE2A820" w14:textId="77777777" w:rsidR="00CF04BC" w:rsidRPr="00B93493" w:rsidRDefault="00CF04BC" w:rsidP="002E7F54">
            <w:pPr>
              <w:pStyle w:val="Tabletext"/>
            </w:pPr>
            <w:r w:rsidRPr="00B93493">
              <w:t>NOTE 1 – Any transmission from a certain location having medium or low Service Zone Factor into (partly or entirely) a higher Service Zone will upgrade this particular station in Service Zone Factor to the higher level which may be also a two step increase and the decision of the TRA shall be final in this regard. The TRA shall have the sole discretion to determine Service Zone for an Application.</w:t>
            </w:r>
          </w:p>
          <w:p w14:paraId="0B58A8D2" w14:textId="77777777" w:rsidR="00CF04BC" w:rsidRPr="00B93493" w:rsidRDefault="00CF04BC" w:rsidP="002E7F54">
            <w:pPr>
              <w:pStyle w:val="Tabletext"/>
              <w:rPr>
                <w:lang w:eastAsia="de-DE"/>
              </w:rPr>
            </w:pPr>
            <w:r w:rsidRPr="00B93493">
              <w:t xml:space="preserve">NOTE 2 – For Broadcasting Services in the HF and lower frequency bands, the Service Zone Factor </w:t>
            </w:r>
            <w:r w:rsidRPr="00B93493">
              <w:rPr>
                <w:b/>
                <w:bCs/>
              </w:rPr>
              <w:t>SZ</w:t>
            </w:r>
            <w:r w:rsidRPr="00B93493">
              <w:t xml:space="preserve"> = 1.</w:t>
            </w:r>
          </w:p>
        </w:tc>
      </w:tr>
    </w:tbl>
    <w:p w14:paraId="4040F516" w14:textId="77777777" w:rsidR="00CF04BC" w:rsidRPr="00B93493" w:rsidRDefault="00CF04BC" w:rsidP="00CF04BC">
      <w:pPr>
        <w:pStyle w:val="Tablefin"/>
      </w:pPr>
    </w:p>
    <w:p w14:paraId="17072A5B" w14:textId="77777777" w:rsidR="00CF04BC" w:rsidRPr="00B93493" w:rsidRDefault="00CF04BC" w:rsidP="00CF04BC">
      <w:pPr>
        <w:pStyle w:val="enumlev1"/>
      </w:pPr>
      <w:r w:rsidRPr="00B93493">
        <w:rPr>
          <w:b/>
        </w:rPr>
        <w:tab/>
        <w:t xml:space="preserve">H </w:t>
      </w:r>
      <w:r w:rsidRPr="00B93493">
        <w:rPr>
          <w:bCs/>
        </w:rPr>
        <w:t>=</w:t>
      </w:r>
      <w:r w:rsidRPr="00B93493">
        <w:rPr>
          <w:b/>
        </w:rPr>
        <w:t xml:space="preserve"> Antenna Height Factor </w:t>
      </w:r>
      <w:r w:rsidRPr="00B93493">
        <w:t>is the Antenna Height above ground level in meters including building, tower and a hill.</w:t>
      </w:r>
    </w:p>
    <w:p w14:paraId="08F0A4FA" w14:textId="77777777" w:rsidR="00CF04BC" w:rsidRPr="00B93493" w:rsidRDefault="00CF04BC" w:rsidP="00CF04BC">
      <w:pPr>
        <w:pStyle w:val="enumlev1"/>
        <w:rPr>
          <w:b/>
        </w:rPr>
      </w:pPr>
      <w:r w:rsidRPr="00B93493">
        <w:tab/>
      </w:r>
      <w:r w:rsidRPr="00B93493">
        <w:rPr>
          <w:b/>
        </w:rPr>
        <w:t xml:space="preserve">C </w:t>
      </w:r>
      <w:r w:rsidRPr="00B93493">
        <w:rPr>
          <w:bCs/>
        </w:rPr>
        <w:t>=</w:t>
      </w:r>
      <w:r w:rsidRPr="00B93493">
        <w:rPr>
          <w:b/>
        </w:rPr>
        <w:t xml:space="preserve"> Correction Factor as follows</w:t>
      </w:r>
      <w:r w:rsidRPr="00B93493">
        <w:rPr>
          <w:bCs/>
        </w:rPr>
        <w:t>:</w:t>
      </w:r>
    </w:p>
    <w:p w14:paraId="12F5BBFA" w14:textId="77777777" w:rsidR="00CF04BC" w:rsidRPr="00B93493" w:rsidRDefault="00CF04BC" w:rsidP="00CF04BC">
      <w:pPr>
        <w:pStyle w:val="enumlev2"/>
      </w:pPr>
      <w:r w:rsidRPr="00B93493">
        <w:t>a)</w:t>
      </w:r>
      <w:r w:rsidRPr="00B93493">
        <w:tab/>
        <w:t xml:space="preserve">For Governmental Broadcasting Stations which are operating on a non-commercial basis, a Correction Factor </w:t>
      </w:r>
      <w:r w:rsidRPr="00B93493">
        <w:rPr>
          <w:b/>
          <w:bCs/>
        </w:rPr>
        <w:t>C</w:t>
      </w:r>
      <w:r w:rsidRPr="00B93493">
        <w:t xml:space="preserve"> = 0.5 shall be applied.</w:t>
      </w:r>
    </w:p>
    <w:p w14:paraId="78391F4A" w14:textId="77777777" w:rsidR="00CF04BC" w:rsidRPr="00B93493" w:rsidRDefault="00CF04BC" w:rsidP="00CF04BC">
      <w:pPr>
        <w:pStyle w:val="enumlev2"/>
      </w:pPr>
      <w:r w:rsidRPr="00B93493">
        <w:t>b)</w:t>
      </w:r>
      <w:r w:rsidRPr="00B93493">
        <w:tab/>
        <w:t>For promoting digital switchover, digital terrestrial audio and video broadcasting transmitters (excluding Terrestrial Mobile TV Broadcasting – Handheld) shall be granted a reduction of 50% during the period before 30</w:t>
      </w:r>
      <w:r w:rsidRPr="00B93493">
        <w:rPr>
          <w:vertAlign w:val="superscript"/>
        </w:rPr>
        <w:t>th</w:t>
      </w:r>
      <w:r w:rsidRPr="00B93493">
        <w:t xml:space="preserve"> December 2015; (i.e. Correction Factor </w:t>
      </w:r>
      <w:r w:rsidRPr="00B93493">
        <w:rPr>
          <w:b/>
          <w:bCs/>
        </w:rPr>
        <w:t>C</w:t>
      </w:r>
      <w:r w:rsidRPr="00B93493">
        <w:t xml:space="preserve"> = 0.5). This reduction is only limited to the above specified period and may be accompanied with other conditions as determined by the TRA.</w:t>
      </w:r>
    </w:p>
    <w:p w14:paraId="42723FEF" w14:textId="77777777" w:rsidR="00CF04BC" w:rsidRPr="00B93493" w:rsidRDefault="00CF04BC" w:rsidP="00CF04BC">
      <w:pPr>
        <w:pStyle w:val="enumlev2"/>
      </w:pPr>
      <w:r w:rsidRPr="00B93493">
        <w:t>c)</w:t>
      </w:r>
      <w:r w:rsidRPr="00B93493">
        <w:tab/>
        <w:t xml:space="preserve">For all other assignments, the value of Correction Factor </w:t>
      </w:r>
      <w:r w:rsidRPr="00B93493">
        <w:rPr>
          <w:b/>
          <w:bCs/>
        </w:rPr>
        <w:t>C</w:t>
      </w:r>
      <w:r w:rsidRPr="00B93493">
        <w:t xml:space="preserve"> = 1.</w:t>
      </w:r>
    </w:p>
    <w:p w14:paraId="340B9CF3" w14:textId="77777777" w:rsidR="00CF04BC" w:rsidRPr="00B93493" w:rsidRDefault="00CF04BC" w:rsidP="00CF04BC">
      <w:pPr>
        <w:pStyle w:val="enumlev1"/>
        <w:keepNext/>
        <w:keepLines/>
      </w:pPr>
      <w:bookmarkStart w:id="2740" w:name="_Toc195057826"/>
      <w:r w:rsidRPr="00B93493">
        <w:t>25.2</w:t>
      </w:r>
      <w:r w:rsidRPr="00B93493">
        <w:tab/>
        <w:t>HF Seasonal Sound Broadcasting:</w:t>
      </w:r>
    </w:p>
    <w:p w14:paraId="3C90EA0C" w14:textId="77777777" w:rsidR="00CF04BC" w:rsidRPr="00B93493" w:rsidRDefault="00CF04BC" w:rsidP="00CF04BC">
      <w:pPr>
        <w:pStyle w:val="enumlev1"/>
        <w:keepNext/>
        <w:keepLines/>
      </w:pPr>
      <w:r w:rsidRPr="00B93493">
        <w:tab/>
        <w:t>For HF Seasonal Sound Broadcasting Services, the Spectrum Fee shall be charged per transmitter basis and for each transmitter the Annual Spectrum Fees shall be:</w:t>
      </w:r>
    </w:p>
    <w:p w14:paraId="1E6FAB0C" w14:textId="77777777" w:rsidR="00CF04BC" w:rsidRPr="00B93493" w:rsidRDefault="00CF04BC" w:rsidP="00CF04BC">
      <w:pPr>
        <w:pStyle w:val="Blanc"/>
      </w:pPr>
    </w:p>
    <w:p w14:paraId="3D01B949" w14:textId="77777777" w:rsidR="00CF04BC" w:rsidRPr="00B93493" w:rsidRDefault="00CF04BC" w:rsidP="00CF04BC">
      <w:pPr>
        <w:pStyle w:val="Equation"/>
      </w:pPr>
      <w:r w:rsidRPr="00B93493">
        <w:tab/>
      </w:r>
      <w:r w:rsidRPr="00B93493">
        <w:tab/>
        <w:t>Spectrum Fees for each HF transmitter = AED 20.000/-</w:t>
      </w:r>
    </w:p>
    <w:bookmarkEnd w:id="2740"/>
    <w:p w14:paraId="062DFBC4" w14:textId="77777777" w:rsidR="00CF04BC" w:rsidRPr="00B93493" w:rsidRDefault="00CF04BC" w:rsidP="00CF04BC">
      <w:pPr>
        <w:pStyle w:val="Blanc"/>
      </w:pPr>
    </w:p>
    <w:p w14:paraId="2D20444E" w14:textId="77777777" w:rsidR="00CF04BC" w:rsidRPr="00B93493" w:rsidRDefault="00CF04BC" w:rsidP="00CF04BC">
      <w:pPr>
        <w:pStyle w:val="enumlev1"/>
        <w:keepNext/>
        <w:keepLines/>
      </w:pPr>
      <w:r w:rsidRPr="00B93493">
        <w:t>25.3</w:t>
      </w:r>
      <w:r w:rsidRPr="00B93493">
        <w:tab/>
        <w:t>Satellite Radio and Television Broadcasting:</w:t>
      </w:r>
    </w:p>
    <w:p w14:paraId="49E91D5B" w14:textId="77777777" w:rsidR="00CF04BC" w:rsidRPr="00B93493" w:rsidRDefault="00CF04BC" w:rsidP="00CF04BC">
      <w:pPr>
        <w:pStyle w:val="enumlev1"/>
      </w:pPr>
      <w:r w:rsidRPr="00B93493">
        <w:tab/>
        <w:t>Uplinking of DAB, DVB-S and DVB-SH shall be charged at 200.000 AED per multiplex unit and DVB-RCS by 400.000 AED per multiplex unit.</w:t>
      </w:r>
    </w:p>
    <w:p w14:paraId="0F180EAB" w14:textId="77777777" w:rsidR="00CF04BC" w:rsidRPr="00B93493" w:rsidRDefault="00CF04BC" w:rsidP="00CF04BC">
      <w:pPr>
        <w:pStyle w:val="Note"/>
        <w:ind w:left="794" w:hanging="794"/>
      </w:pPr>
      <w:r w:rsidRPr="00B93493">
        <w:tab/>
        <w:t>NOTE 1 – A multiplex unit is defined as one channel (signal) with appropriate bandwidth containing several programmes combined by digital multiplexing. The TRA shall have the sole discretion to determine Multiplex Unit for an Application.</w:t>
      </w:r>
    </w:p>
    <w:p w14:paraId="28F76B19" w14:textId="77777777" w:rsidR="00CF04BC" w:rsidRPr="00B93493" w:rsidRDefault="00CF04BC" w:rsidP="00CF04BC">
      <w:pPr>
        <w:pStyle w:val="ArtNo"/>
      </w:pPr>
      <w:r w:rsidRPr="00B93493">
        <w:t>ARTICLE 26</w:t>
      </w:r>
    </w:p>
    <w:p w14:paraId="36D461AB" w14:textId="77777777" w:rsidR="00CF04BC" w:rsidRPr="00B93493" w:rsidRDefault="00CF04BC" w:rsidP="00CF04BC">
      <w:pPr>
        <w:pStyle w:val="Arttitle"/>
      </w:pPr>
      <w:bookmarkStart w:id="2741" w:name="_Toc237657997"/>
      <w:r w:rsidRPr="00B93493">
        <w:t>Short Range Devices</w:t>
      </w:r>
      <w:bookmarkEnd w:id="2741"/>
    </w:p>
    <w:p w14:paraId="0CB3B0D2" w14:textId="77777777" w:rsidR="00CF04BC" w:rsidRPr="00B93493" w:rsidRDefault="00CF04BC" w:rsidP="00CF04BC">
      <w:pPr>
        <w:pStyle w:val="enumlev1"/>
      </w:pPr>
      <w:r w:rsidRPr="00B93493">
        <w:t>26.1</w:t>
      </w:r>
      <w:r w:rsidRPr="00B93493">
        <w:tab/>
        <w:t xml:space="preserve">All Wireless Transmission equipment meeting the criteria of the Short Range Devices as determined by the TRA shall be exempted from the annual Spectrum Fees. </w:t>
      </w:r>
    </w:p>
    <w:p w14:paraId="649317A4" w14:textId="77777777" w:rsidR="00CF04BC" w:rsidRPr="00B93493" w:rsidRDefault="00CF04BC" w:rsidP="00CF04BC">
      <w:pPr>
        <w:pStyle w:val="enumlev1"/>
      </w:pPr>
      <w:r w:rsidRPr="00B93493">
        <w:t>26.2</w:t>
      </w:r>
      <w:r w:rsidRPr="00B93493">
        <w:tab/>
        <w:t>Low Power Transmitting Devices meeting the criteria of the Low Power Transmitting Devices as determined by the TRA shall be charged as follows:</w:t>
      </w:r>
    </w:p>
    <w:p w14:paraId="79FEE6FC" w14:textId="77777777" w:rsidR="00CF04BC" w:rsidRPr="00B93493" w:rsidRDefault="00CF04BC" w:rsidP="00CF04BC">
      <w:pPr>
        <w:pStyle w:val="TableNo"/>
      </w:pPr>
      <w:r w:rsidRPr="00B93493">
        <w:t>TABLE 4</w:t>
      </w:r>
    </w:p>
    <w:p w14:paraId="42F04DC7" w14:textId="77777777" w:rsidR="00CF04BC" w:rsidRPr="00B93493" w:rsidRDefault="00CF04BC" w:rsidP="00CF04BC">
      <w:pPr>
        <w:pStyle w:val="Tabletitle"/>
      </w:pPr>
      <w:r w:rsidRPr="00B93493">
        <w:t>Annual Fee for Low Power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628"/>
      </w:tblGrid>
      <w:tr w:rsidR="00CF04BC" w:rsidRPr="00B93493" w14:paraId="73BD0D62" w14:textId="77777777" w:rsidTr="002E7F54">
        <w:trPr>
          <w:cantSplit/>
          <w:jc w:val="center"/>
        </w:trPr>
        <w:tc>
          <w:tcPr>
            <w:tcW w:w="2470" w:type="dxa"/>
            <w:shd w:val="clear" w:color="auto" w:fill="auto"/>
          </w:tcPr>
          <w:p w14:paraId="17E4AB6E" w14:textId="77777777" w:rsidR="00CF04BC" w:rsidRPr="00B93493" w:rsidRDefault="00CF04BC" w:rsidP="002E7F54">
            <w:pPr>
              <w:pStyle w:val="Tablehead"/>
            </w:pPr>
            <w:r w:rsidRPr="00B93493">
              <w:t>Radiated Power</w:t>
            </w:r>
          </w:p>
        </w:tc>
        <w:tc>
          <w:tcPr>
            <w:tcW w:w="1628" w:type="dxa"/>
            <w:shd w:val="clear" w:color="auto" w:fill="auto"/>
          </w:tcPr>
          <w:p w14:paraId="3A915029" w14:textId="77777777" w:rsidR="00CF04BC" w:rsidRPr="00B93493" w:rsidRDefault="00CF04BC" w:rsidP="002E7F54">
            <w:pPr>
              <w:pStyle w:val="Tablehead"/>
            </w:pPr>
            <w:r w:rsidRPr="00B93493">
              <w:t>Annual Fee</w:t>
            </w:r>
          </w:p>
        </w:tc>
      </w:tr>
      <w:tr w:rsidR="00CF04BC" w:rsidRPr="00B93493" w14:paraId="05F7C1A0" w14:textId="77777777" w:rsidTr="002E7F54">
        <w:trPr>
          <w:trHeight w:hRule="exact" w:val="340"/>
          <w:jc w:val="center"/>
        </w:trPr>
        <w:tc>
          <w:tcPr>
            <w:tcW w:w="2470" w:type="dxa"/>
            <w:vAlign w:val="center"/>
          </w:tcPr>
          <w:p w14:paraId="36B7564C" w14:textId="77777777" w:rsidR="00CF04BC" w:rsidRPr="00B93493" w:rsidRDefault="00CF04BC" w:rsidP="002E7F54">
            <w:pPr>
              <w:pStyle w:val="Tabletext"/>
              <w:jc w:val="center"/>
            </w:pPr>
            <w:r w:rsidRPr="00B93493">
              <w:t>≤ 10 mW</w:t>
            </w:r>
          </w:p>
        </w:tc>
        <w:tc>
          <w:tcPr>
            <w:tcW w:w="1628" w:type="dxa"/>
            <w:vAlign w:val="center"/>
          </w:tcPr>
          <w:p w14:paraId="32767874" w14:textId="77777777" w:rsidR="00CF04BC" w:rsidRPr="00B93493" w:rsidRDefault="00CF04BC" w:rsidP="002E7F54">
            <w:pPr>
              <w:pStyle w:val="Tabletext"/>
              <w:jc w:val="center"/>
            </w:pPr>
            <w:r w:rsidRPr="00B93493">
              <w:t>100 AED</w:t>
            </w:r>
          </w:p>
        </w:tc>
      </w:tr>
      <w:tr w:rsidR="00CF04BC" w:rsidRPr="00B93493" w14:paraId="6578B5D3" w14:textId="77777777" w:rsidTr="002E7F54">
        <w:trPr>
          <w:trHeight w:hRule="exact" w:val="340"/>
          <w:jc w:val="center"/>
        </w:trPr>
        <w:tc>
          <w:tcPr>
            <w:tcW w:w="2470" w:type="dxa"/>
            <w:vAlign w:val="center"/>
          </w:tcPr>
          <w:p w14:paraId="0CCBD58B" w14:textId="77777777" w:rsidR="00CF04BC" w:rsidRPr="00B93493" w:rsidRDefault="00CF04BC" w:rsidP="002E7F54">
            <w:pPr>
              <w:pStyle w:val="Tabletext"/>
              <w:jc w:val="center"/>
            </w:pPr>
            <w:r w:rsidRPr="00B93493">
              <w:t>10 mW ≤ 100 mW</w:t>
            </w:r>
          </w:p>
        </w:tc>
        <w:tc>
          <w:tcPr>
            <w:tcW w:w="1628" w:type="dxa"/>
            <w:vAlign w:val="center"/>
          </w:tcPr>
          <w:p w14:paraId="02CBF4BD" w14:textId="77777777" w:rsidR="00CF04BC" w:rsidRPr="00B93493" w:rsidRDefault="00CF04BC" w:rsidP="002E7F54">
            <w:pPr>
              <w:pStyle w:val="Tabletext"/>
              <w:jc w:val="center"/>
            </w:pPr>
            <w:r w:rsidRPr="00B93493">
              <w:t>200 AED</w:t>
            </w:r>
          </w:p>
        </w:tc>
      </w:tr>
      <w:tr w:rsidR="00CF04BC" w:rsidRPr="00B93493" w14:paraId="7B403E35" w14:textId="77777777" w:rsidTr="002E7F54">
        <w:trPr>
          <w:trHeight w:hRule="exact" w:val="340"/>
          <w:jc w:val="center"/>
        </w:trPr>
        <w:tc>
          <w:tcPr>
            <w:tcW w:w="2470" w:type="dxa"/>
            <w:vAlign w:val="center"/>
          </w:tcPr>
          <w:p w14:paraId="62E43E36" w14:textId="77777777" w:rsidR="00CF04BC" w:rsidRPr="00B93493" w:rsidRDefault="00CF04BC" w:rsidP="002E7F54">
            <w:pPr>
              <w:pStyle w:val="Tabletext"/>
              <w:jc w:val="center"/>
            </w:pPr>
            <w:r w:rsidRPr="00B93493">
              <w:t>100 mW ≤ 1 W</w:t>
            </w:r>
          </w:p>
        </w:tc>
        <w:tc>
          <w:tcPr>
            <w:tcW w:w="1628" w:type="dxa"/>
            <w:vAlign w:val="center"/>
          </w:tcPr>
          <w:p w14:paraId="6933974C" w14:textId="77777777" w:rsidR="00CF04BC" w:rsidRPr="00B93493" w:rsidRDefault="00CF04BC" w:rsidP="002E7F54">
            <w:pPr>
              <w:pStyle w:val="Tabletext"/>
              <w:jc w:val="center"/>
            </w:pPr>
            <w:r w:rsidRPr="00B93493">
              <w:t>400 AED</w:t>
            </w:r>
          </w:p>
        </w:tc>
      </w:tr>
    </w:tbl>
    <w:p w14:paraId="6A9F8444" w14:textId="77777777" w:rsidR="00CF04BC" w:rsidRPr="00B93493" w:rsidRDefault="00CF04BC" w:rsidP="00CF04BC">
      <w:pPr>
        <w:pStyle w:val="Tablefin"/>
      </w:pPr>
    </w:p>
    <w:p w14:paraId="04A21F37" w14:textId="77777777" w:rsidR="00CF04BC" w:rsidRPr="00B93493" w:rsidRDefault="00CF04BC" w:rsidP="00CF04BC">
      <w:pPr>
        <w:pStyle w:val="ArtNo"/>
      </w:pPr>
      <w:r w:rsidRPr="00B93493">
        <w:t>ARTICLE 27</w:t>
      </w:r>
    </w:p>
    <w:p w14:paraId="5A9433C8" w14:textId="77777777" w:rsidR="00CF04BC" w:rsidRPr="00B93493" w:rsidRDefault="00CF04BC" w:rsidP="00CF04BC">
      <w:pPr>
        <w:pStyle w:val="Arttitle"/>
      </w:pPr>
      <w:bookmarkStart w:id="2742" w:name="_Toc237657998"/>
      <w:r w:rsidRPr="00B93493">
        <w:t>Emergency and disaster frequencies</w:t>
      </w:r>
      <w:bookmarkEnd w:id="2742"/>
      <w:r w:rsidRPr="00B93493">
        <w:t xml:space="preserve"> </w:t>
      </w:r>
    </w:p>
    <w:p w14:paraId="02935F58" w14:textId="77777777" w:rsidR="00CF04BC" w:rsidRPr="00B93493" w:rsidRDefault="00CF04BC" w:rsidP="00CF04BC">
      <w:pPr>
        <w:pStyle w:val="enumlev1"/>
      </w:pPr>
      <w:r w:rsidRPr="00B93493">
        <w:t>27.1</w:t>
      </w:r>
      <w:r w:rsidRPr="00B93493">
        <w:tab/>
        <w:t xml:space="preserve">All emergency, distress and safety of life frequencies identified within the National Spectrum Plan and the National Table of Frequency Allocation shall not be charged. All Wireless Transmission equipment made exclusively for safety of life and accepted by the TRA as falling within this category shall be exempted from the spectrum Fees. </w:t>
      </w:r>
    </w:p>
    <w:p w14:paraId="6ABD64B8" w14:textId="77777777" w:rsidR="00CF04BC" w:rsidRPr="00B93493" w:rsidRDefault="00CF04BC" w:rsidP="00CF04BC">
      <w:pPr>
        <w:pStyle w:val="ArtNo"/>
      </w:pPr>
      <w:r w:rsidRPr="00B93493">
        <w:t>ARTICLE 28</w:t>
      </w:r>
    </w:p>
    <w:p w14:paraId="7ECDD80F" w14:textId="77777777" w:rsidR="00CF04BC" w:rsidRPr="00B93493" w:rsidRDefault="00CF04BC" w:rsidP="00CF04BC">
      <w:pPr>
        <w:pStyle w:val="Arttitle"/>
      </w:pPr>
      <w:bookmarkStart w:id="2743" w:name="_Toc237657999"/>
      <w:r w:rsidRPr="00B93493">
        <w:t>Temporary Authorization</w:t>
      </w:r>
      <w:bookmarkEnd w:id="2743"/>
      <w:r w:rsidRPr="00B93493">
        <w:t xml:space="preserve"> </w:t>
      </w:r>
    </w:p>
    <w:p w14:paraId="39E6B9E6" w14:textId="77777777" w:rsidR="00CF04BC" w:rsidRPr="00B93493" w:rsidRDefault="00CF04BC" w:rsidP="00CF04BC">
      <w:pPr>
        <w:pStyle w:val="enumlev1"/>
      </w:pPr>
      <w:r w:rsidRPr="00B93493">
        <w:t>28.1</w:t>
      </w:r>
      <w:r w:rsidRPr="00B93493">
        <w:tab/>
        <w:t xml:space="preserve">The Annual Spectrum Fees for Temporary Authorization will be calculated on prorate basis of the annual Spectrum Fees in accordance to the Radiocommunication Service. However, a minimum of 100 AED will be charged as Spectrum Fees in case the amount is less than 100 AED. The Spectrum Fees for Temporary Authorization will be in addition to the Application processing Fees. </w:t>
      </w:r>
    </w:p>
    <w:p w14:paraId="63768F88" w14:textId="77777777" w:rsidR="00CF04BC" w:rsidRPr="00B93493" w:rsidRDefault="00CF04BC" w:rsidP="00CF04BC">
      <w:pPr>
        <w:pStyle w:val="ArtNo"/>
      </w:pPr>
      <w:r w:rsidRPr="00B93493">
        <w:t>ARTICLE 29</w:t>
      </w:r>
    </w:p>
    <w:p w14:paraId="566D5296" w14:textId="77777777" w:rsidR="00CF04BC" w:rsidRPr="00B93493" w:rsidRDefault="00CF04BC" w:rsidP="00CF04BC">
      <w:pPr>
        <w:pStyle w:val="Arttitle"/>
      </w:pPr>
      <w:bookmarkStart w:id="2744" w:name="_Toc237658000"/>
      <w:r w:rsidRPr="00B93493">
        <w:t>Other Radio Services</w:t>
      </w:r>
      <w:bookmarkEnd w:id="2744"/>
    </w:p>
    <w:p w14:paraId="3B0619D6" w14:textId="77777777" w:rsidR="00CF04BC" w:rsidRPr="00B93493" w:rsidRDefault="00CF04BC" w:rsidP="00CF04BC">
      <w:pPr>
        <w:pStyle w:val="enumlev1"/>
      </w:pPr>
      <w:r w:rsidRPr="00B93493">
        <w:t>29.1</w:t>
      </w:r>
      <w:r w:rsidRPr="00B93493">
        <w:tab/>
        <w:t xml:space="preserve">The Annual Spectrum Fees for an Authorization which is not covered above shall be as determined by the TRA and shall be applicable on approval by the Director General of the TRA, even before inclusion in the revised issue of these Regulations. </w:t>
      </w:r>
    </w:p>
    <w:p w14:paraId="7419FC4F" w14:textId="77777777" w:rsidR="00CF04BC" w:rsidRPr="00B93493" w:rsidRDefault="00CF04BC" w:rsidP="00CF04BC">
      <w:pPr>
        <w:pStyle w:val="ArtNo"/>
      </w:pPr>
      <w:r w:rsidRPr="00B93493">
        <w:t>ARTICLE 30</w:t>
      </w:r>
    </w:p>
    <w:p w14:paraId="23F14D2D" w14:textId="77777777" w:rsidR="00CF04BC" w:rsidRPr="00B93493" w:rsidRDefault="00CF04BC" w:rsidP="00CF04BC">
      <w:pPr>
        <w:pStyle w:val="Arttitle"/>
      </w:pPr>
      <w:bookmarkStart w:id="2745" w:name="_Toc237658001"/>
      <w:r w:rsidRPr="00B93493">
        <w:t>Interference complaints processing and monitoring Fees</w:t>
      </w:r>
      <w:bookmarkEnd w:id="2745"/>
      <w:r w:rsidRPr="00B93493">
        <w:t xml:space="preserve"> </w:t>
      </w:r>
    </w:p>
    <w:p w14:paraId="7B2A6F2A" w14:textId="77777777" w:rsidR="00CF04BC" w:rsidRPr="00B93493" w:rsidRDefault="00CF04BC" w:rsidP="00CF04BC">
      <w:pPr>
        <w:pStyle w:val="enumlev1"/>
        <w:rPr>
          <w:color w:val="000000"/>
        </w:rPr>
      </w:pPr>
      <w:r w:rsidRPr="00B93493">
        <w:t>30.1</w:t>
      </w:r>
      <w:r w:rsidRPr="00B93493">
        <w:tab/>
        <w:t>The TRA does not charge for attending the interference complaints and monitoring</w:t>
      </w:r>
      <w:r w:rsidRPr="00B93493">
        <w:rPr>
          <w:color w:val="000000"/>
        </w:rPr>
        <w:t xml:space="preserve">. </w:t>
      </w:r>
    </w:p>
    <w:p w14:paraId="25F7AAD3" w14:textId="77777777" w:rsidR="00CF04BC" w:rsidRPr="00B93493" w:rsidRDefault="00CF04BC" w:rsidP="00CF04BC">
      <w:pPr>
        <w:pStyle w:val="ArtNo"/>
      </w:pPr>
      <w:r w:rsidRPr="00B93493">
        <w:t>ARTICLE 31</w:t>
      </w:r>
    </w:p>
    <w:p w14:paraId="29613134" w14:textId="77777777" w:rsidR="00CF04BC" w:rsidRPr="00B93493" w:rsidRDefault="00CF04BC" w:rsidP="00CF04BC">
      <w:pPr>
        <w:pStyle w:val="Arttitle"/>
      </w:pPr>
      <w:bookmarkStart w:id="2746" w:name="_Toc237658002"/>
      <w:r w:rsidRPr="00B93493">
        <w:t>Fees for the Foreign Embassies, Consulates and Diplomatic Missions</w:t>
      </w:r>
      <w:bookmarkEnd w:id="2746"/>
      <w:r w:rsidRPr="00B93493">
        <w:t xml:space="preserve"> </w:t>
      </w:r>
    </w:p>
    <w:p w14:paraId="10A9557C" w14:textId="77777777" w:rsidR="00CF04BC" w:rsidRPr="00B93493" w:rsidRDefault="00CF04BC" w:rsidP="00CF04BC">
      <w:pPr>
        <w:pStyle w:val="enumlev1"/>
      </w:pPr>
      <w:r w:rsidRPr="00B93493">
        <w:t>31.1</w:t>
      </w:r>
      <w:r w:rsidRPr="00B93493">
        <w:tab/>
        <w:t xml:space="preserve">The Foreign Embassies, Consulates, Diplomatic Missions and the State visits of dignitaries shall be exempted from the Spectrum Fees provided the same exemption is available for the UAE Embassy, Consulate and Mission in the country of origin. This exemption shall be applicable for official correspondence which falls within the scope of the Vienna Convention for diplomatic correspondence and the Applications forwarded to the TRA through the Ministry of Foreign Affairs of the UAE. </w:t>
      </w:r>
    </w:p>
    <w:p w14:paraId="4B41355C" w14:textId="77777777" w:rsidR="00CF04BC" w:rsidRPr="00B93493" w:rsidRDefault="00CF04BC" w:rsidP="00CF04BC">
      <w:pPr>
        <w:pStyle w:val="ArtNo"/>
      </w:pPr>
      <w:r w:rsidRPr="00B93493">
        <w:t>ARTICLE 32</w:t>
      </w:r>
    </w:p>
    <w:p w14:paraId="1FA8F6EC" w14:textId="77777777" w:rsidR="00CF04BC" w:rsidRPr="00B93493" w:rsidRDefault="00CF04BC" w:rsidP="00CF04BC">
      <w:pPr>
        <w:pStyle w:val="Arttitle"/>
      </w:pPr>
      <w:bookmarkStart w:id="2747" w:name="_Toc237658003"/>
      <w:r w:rsidRPr="00B93493">
        <w:t>Fees for Site Surveys</w:t>
      </w:r>
      <w:bookmarkEnd w:id="2747"/>
      <w:r w:rsidRPr="00B93493">
        <w:t xml:space="preserve"> </w:t>
      </w:r>
    </w:p>
    <w:p w14:paraId="30156FD0" w14:textId="77777777" w:rsidR="00CF04BC" w:rsidRPr="00B93493" w:rsidRDefault="00CF04BC" w:rsidP="00CF04BC">
      <w:pPr>
        <w:pStyle w:val="enumlev1"/>
      </w:pPr>
      <w:r w:rsidRPr="00B93493">
        <w:t>32.1</w:t>
      </w:r>
      <w:r w:rsidRPr="00B93493">
        <w:tab/>
        <w:t>The following Fees shall be charged for the site survey conducted by the TRA upon request from the Applicant or the Authorized User for technical assistance:</w:t>
      </w:r>
    </w:p>
    <w:p w14:paraId="416F3B41" w14:textId="77777777" w:rsidR="00CF04BC" w:rsidRPr="00B93493" w:rsidRDefault="00CF04BC" w:rsidP="00CF04BC">
      <w:r w:rsidRPr="00B93493">
        <w:rPr>
          <w:b/>
          <w:bCs/>
        </w:rPr>
        <w:tab/>
        <w:t>Site Survey Fee</w:t>
      </w:r>
      <w:r w:rsidRPr="00B93493">
        <w:t xml:space="preserve"> = 2,500 AED per day for each visit.</w:t>
      </w:r>
    </w:p>
    <w:p w14:paraId="63410B65" w14:textId="77777777" w:rsidR="00CF04BC" w:rsidRPr="00B93493" w:rsidRDefault="00CF04BC" w:rsidP="00CF04BC">
      <w:pPr>
        <w:pStyle w:val="ArtNo"/>
      </w:pPr>
      <w:r w:rsidRPr="00B93493">
        <w:t>ARTICLE 33</w:t>
      </w:r>
    </w:p>
    <w:p w14:paraId="515F1947" w14:textId="77777777" w:rsidR="00CF04BC" w:rsidRPr="00B93493" w:rsidRDefault="00CF04BC" w:rsidP="00CF04BC">
      <w:pPr>
        <w:pStyle w:val="Arttitle"/>
      </w:pPr>
      <w:bookmarkStart w:id="2748" w:name="_Toc237658004"/>
      <w:r w:rsidRPr="00B93493">
        <w:t>Obligation to pay</w:t>
      </w:r>
      <w:bookmarkEnd w:id="2748"/>
      <w:r w:rsidRPr="00B93493">
        <w:t xml:space="preserve"> </w:t>
      </w:r>
    </w:p>
    <w:p w14:paraId="48598EBC" w14:textId="77777777" w:rsidR="00CF04BC" w:rsidRPr="00B93493" w:rsidRDefault="00CF04BC" w:rsidP="00CF04BC">
      <w:pPr>
        <w:pStyle w:val="enumlev1"/>
        <w:keepNext/>
        <w:keepLines/>
      </w:pPr>
      <w:r w:rsidRPr="00B93493">
        <w:t>33.1</w:t>
      </w:r>
      <w:r w:rsidRPr="00B93493">
        <w:tab/>
        <w:t xml:space="preserve">The Spectrum Fees shall be payable in advance by all without any exemption except as determined in these Regulations. The Spectrum Fees shall not be construed as Federal Tax or any Local Tax and shall be considered as charge for the use of a scarce national resource of radio spectrum. Authorized Users shall have to pay the full dues within the stipulated time, even in cases where the Authorized User contests the amount either wholly or partially. </w:t>
      </w:r>
    </w:p>
    <w:p w14:paraId="2EC5A940" w14:textId="77777777" w:rsidR="00CF04BC" w:rsidRPr="00B93493" w:rsidRDefault="00CF04BC" w:rsidP="00CF04BC">
      <w:pPr>
        <w:pStyle w:val="ArtNo"/>
      </w:pPr>
      <w:r w:rsidRPr="00B93493">
        <w:t>ARTICLE 34</w:t>
      </w:r>
    </w:p>
    <w:p w14:paraId="6FFAC5C1" w14:textId="77777777" w:rsidR="00CF04BC" w:rsidRPr="00B93493" w:rsidRDefault="00CF04BC" w:rsidP="00CF04BC">
      <w:pPr>
        <w:pStyle w:val="Arttitle"/>
      </w:pPr>
      <w:bookmarkStart w:id="2749" w:name="_Toc237658005"/>
      <w:r w:rsidRPr="00B93493">
        <w:t>Methods of payments</w:t>
      </w:r>
      <w:bookmarkEnd w:id="2749"/>
      <w:r w:rsidRPr="00B93493">
        <w:t xml:space="preserve"> </w:t>
      </w:r>
    </w:p>
    <w:p w14:paraId="02815E39" w14:textId="77777777" w:rsidR="00CF04BC" w:rsidRPr="00B93493" w:rsidRDefault="00CF04BC" w:rsidP="00CF04BC">
      <w:pPr>
        <w:pStyle w:val="enumlev1"/>
        <w:keepNext/>
        <w:keepLines/>
      </w:pPr>
      <w:r w:rsidRPr="00B93493">
        <w:t>34.1</w:t>
      </w:r>
      <w:r w:rsidRPr="00B93493">
        <w:tab/>
        <w:t xml:space="preserve">The TRA accepts spectrum Fees and other associated charges in any of the following methods: </w:t>
      </w:r>
    </w:p>
    <w:p w14:paraId="380873C5" w14:textId="77777777" w:rsidR="00CF04BC" w:rsidRPr="00B93493" w:rsidRDefault="00CF04BC" w:rsidP="00CF04BC">
      <w:pPr>
        <w:pStyle w:val="enumlev2"/>
      </w:pPr>
      <w:r w:rsidRPr="00B93493">
        <w:t>–</w:t>
      </w:r>
      <w:r w:rsidRPr="00B93493">
        <w:tab/>
        <w:t>E-Dirham.</w:t>
      </w:r>
    </w:p>
    <w:p w14:paraId="374E15D9" w14:textId="77777777" w:rsidR="00CF04BC" w:rsidRPr="00B93493" w:rsidRDefault="00CF04BC" w:rsidP="00CF04BC">
      <w:pPr>
        <w:pStyle w:val="enumlev2"/>
      </w:pPr>
      <w:r w:rsidRPr="00B93493">
        <w:t>–</w:t>
      </w:r>
      <w:r w:rsidRPr="00B93493">
        <w:tab/>
        <w:t>Cheque or cash deposit into the TRA’s bank account.</w:t>
      </w:r>
    </w:p>
    <w:p w14:paraId="49A90909" w14:textId="77777777" w:rsidR="00CF04BC" w:rsidRPr="00B93493" w:rsidRDefault="00CF04BC" w:rsidP="00CF04BC">
      <w:pPr>
        <w:pStyle w:val="enumlev2"/>
      </w:pPr>
      <w:r w:rsidRPr="00B93493">
        <w:t>–</w:t>
      </w:r>
      <w:r w:rsidRPr="00B93493">
        <w:tab/>
        <w:t>Cash.</w:t>
      </w:r>
    </w:p>
    <w:p w14:paraId="74CC8AFD" w14:textId="77777777" w:rsidR="00CF04BC" w:rsidRPr="00B93493" w:rsidRDefault="00CF04BC" w:rsidP="00CF04BC">
      <w:pPr>
        <w:pStyle w:val="enumlev2"/>
      </w:pPr>
      <w:r w:rsidRPr="00B93493">
        <w:t>–</w:t>
      </w:r>
      <w:r w:rsidRPr="00B93493">
        <w:tab/>
        <w:t>Wire transfer.</w:t>
      </w:r>
    </w:p>
    <w:p w14:paraId="65FCFB40" w14:textId="77777777" w:rsidR="00CF04BC" w:rsidRPr="00B93493" w:rsidRDefault="00CF04BC" w:rsidP="00CF04BC">
      <w:pPr>
        <w:pStyle w:val="enumlev2"/>
      </w:pPr>
      <w:r w:rsidRPr="00B93493">
        <w:t>–</w:t>
      </w:r>
      <w:r w:rsidRPr="00B93493">
        <w:tab/>
        <w:t>E-payment (when available).</w:t>
      </w:r>
    </w:p>
    <w:p w14:paraId="353FC375" w14:textId="77777777" w:rsidR="00CF04BC" w:rsidRPr="00B93493" w:rsidRDefault="00CF04BC" w:rsidP="00CF04BC">
      <w:pPr>
        <w:pStyle w:val="ArtNo"/>
      </w:pPr>
      <w:r w:rsidRPr="00B93493">
        <w:t>ARTICLE 35</w:t>
      </w:r>
    </w:p>
    <w:p w14:paraId="6A3A26FC" w14:textId="77777777" w:rsidR="00CF04BC" w:rsidRPr="00B93493" w:rsidRDefault="00CF04BC" w:rsidP="00CF04BC">
      <w:pPr>
        <w:pStyle w:val="Arttitle"/>
      </w:pPr>
      <w:bookmarkStart w:id="2750" w:name="_Toc237658006"/>
      <w:r w:rsidRPr="00B93493">
        <w:t>Penalties</w:t>
      </w:r>
      <w:bookmarkEnd w:id="2750"/>
      <w:r w:rsidRPr="00B93493">
        <w:t xml:space="preserve"> </w:t>
      </w:r>
    </w:p>
    <w:p w14:paraId="53F67653" w14:textId="77777777" w:rsidR="00CF04BC" w:rsidRPr="00B93493" w:rsidRDefault="00CF04BC" w:rsidP="00CF04BC">
      <w:pPr>
        <w:pStyle w:val="enumlev1"/>
        <w:rPr>
          <w:color w:val="000000"/>
        </w:rPr>
      </w:pPr>
      <w:r w:rsidRPr="00B93493">
        <w:rPr>
          <w:color w:val="000000"/>
        </w:rPr>
        <w:t>35.1</w:t>
      </w:r>
      <w:r w:rsidRPr="00B93493">
        <w:rPr>
          <w:color w:val="000000"/>
        </w:rPr>
        <w:tab/>
      </w:r>
      <w:r w:rsidRPr="00B93493">
        <w:t>The penalties of the Federal Law by Decree No. 3 of 2003 as amended shall apply to any violation to these Regulations.</w:t>
      </w:r>
    </w:p>
    <w:p w14:paraId="312633C2" w14:textId="77777777" w:rsidR="00CF04BC" w:rsidRPr="00B93493" w:rsidRDefault="00CF04BC" w:rsidP="00CF04BC">
      <w:pPr>
        <w:pStyle w:val="Blanc"/>
      </w:pPr>
    </w:p>
    <w:p w14:paraId="219C58A5" w14:textId="77777777" w:rsidR="00CF04BC" w:rsidRPr="00B93493" w:rsidRDefault="00CF04BC" w:rsidP="00CF04BC">
      <w:pPr>
        <w:overflowPunct/>
        <w:autoSpaceDE/>
        <w:autoSpaceDN/>
        <w:adjustRightInd/>
        <w:spacing w:before="0"/>
        <w:textAlignment w:val="auto"/>
        <w:rPr>
          <w:b/>
        </w:rPr>
      </w:pPr>
      <w:bookmarkStart w:id="2751" w:name="_Toc462234191"/>
      <w:bookmarkStart w:id="2752" w:name="_Toc289868888"/>
      <w:bookmarkStart w:id="2753" w:name="_Toc518394284"/>
      <w:bookmarkStart w:id="2754" w:name="_Toc289933401"/>
      <w:bookmarkStart w:id="2755" w:name="_Toc392515948"/>
      <w:bookmarkStart w:id="2756" w:name="_Toc454285027"/>
      <w:bookmarkStart w:id="2757" w:name="_Toc289869047"/>
      <w:bookmarkStart w:id="2758" w:name="_Toc291852964"/>
      <w:bookmarkStart w:id="2759" w:name="_Toc289932353"/>
      <w:r w:rsidRPr="00B93493">
        <w:br w:type="page"/>
      </w:r>
    </w:p>
    <w:p w14:paraId="06016A24" w14:textId="77777777" w:rsidR="00CF04BC" w:rsidRPr="00B93493" w:rsidRDefault="00CF04BC" w:rsidP="00CF04BC">
      <w:pPr>
        <w:pStyle w:val="Heading3"/>
      </w:pPr>
      <w:bookmarkStart w:id="2760" w:name="_Toc182391604"/>
      <w:bookmarkStart w:id="2761" w:name="_Toc182392016"/>
      <w:r w:rsidRPr="00B93493">
        <w:t>2</w:t>
      </w:r>
      <w:r w:rsidRPr="00B93493">
        <w:tab/>
        <w:t>Fees policy of Cote D’Ivoire</w:t>
      </w:r>
      <w:bookmarkEnd w:id="2751"/>
      <w:bookmarkEnd w:id="2752"/>
      <w:bookmarkEnd w:id="2753"/>
      <w:bookmarkEnd w:id="2754"/>
      <w:bookmarkEnd w:id="2755"/>
      <w:bookmarkEnd w:id="2756"/>
      <w:bookmarkEnd w:id="2757"/>
      <w:bookmarkEnd w:id="2758"/>
      <w:bookmarkEnd w:id="2759"/>
      <w:bookmarkEnd w:id="2760"/>
      <w:bookmarkEnd w:id="2761"/>
    </w:p>
    <w:p w14:paraId="7F51A364" w14:textId="77777777" w:rsidR="00CF04BC" w:rsidRPr="00B93493" w:rsidRDefault="00CF04BC" w:rsidP="00CF04BC">
      <w:pPr>
        <w:spacing w:before="480"/>
        <w:jc w:val="center"/>
        <w:rPr>
          <w:sz w:val="32"/>
          <w:szCs w:val="32"/>
        </w:rPr>
      </w:pPr>
      <w:r w:rsidRPr="00B93493">
        <w:rPr>
          <w:sz w:val="32"/>
          <w:szCs w:val="32"/>
        </w:rPr>
        <w:t>REPUBLIC OF COTE D’IVOIRE</w:t>
      </w:r>
    </w:p>
    <w:p w14:paraId="79F63BFE" w14:textId="77777777" w:rsidR="00CF04BC" w:rsidRPr="00B93493" w:rsidRDefault="00CF04BC" w:rsidP="00CF04BC">
      <w:pPr>
        <w:jc w:val="center"/>
      </w:pPr>
      <w:r w:rsidRPr="00B93493">
        <w:t>UNITY-DISCIPLINE-WORK</w:t>
      </w:r>
    </w:p>
    <w:p w14:paraId="76688B76" w14:textId="77777777" w:rsidR="00CF04BC" w:rsidRPr="00B93493" w:rsidRDefault="00CF04BC" w:rsidP="00CF04BC">
      <w:pPr>
        <w:jc w:val="center"/>
      </w:pPr>
      <w:r w:rsidRPr="00B93493">
        <w:t>------------------</w:t>
      </w:r>
    </w:p>
    <w:tbl>
      <w:tblPr>
        <w:tblW w:w="0" w:type="auto"/>
        <w:tblLook w:val="04A0" w:firstRow="1" w:lastRow="0" w:firstColumn="1" w:lastColumn="0" w:noHBand="0" w:noVBand="1"/>
      </w:tblPr>
      <w:tblGrid>
        <w:gridCol w:w="4826"/>
        <w:gridCol w:w="4813"/>
      </w:tblGrid>
      <w:tr w:rsidR="00CF04BC" w:rsidRPr="00B93493" w14:paraId="11587331" w14:textId="77777777" w:rsidTr="002E7F54">
        <w:tc>
          <w:tcPr>
            <w:tcW w:w="4927" w:type="dxa"/>
          </w:tcPr>
          <w:p w14:paraId="23BB2861" w14:textId="77777777" w:rsidR="00CF04BC" w:rsidRPr="00B93493" w:rsidRDefault="00CF04BC" w:rsidP="002E7F54">
            <w:r w:rsidRPr="00B93493">
              <w:rPr>
                <w:szCs w:val="24"/>
              </w:rPr>
              <w:t>Ministry of Economic Infrastructures</w:t>
            </w:r>
          </w:p>
        </w:tc>
        <w:tc>
          <w:tcPr>
            <w:tcW w:w="4928" w:type="dxa"/>
          </w:tcPr>
          <w:p w14:paraId="5E08C41D" w14:textId="77777777" w:rsidR="00CF04BC" w:rsidRPr="00B93493" w:rsidRDefault="00CF04BC" w:rsidP="002E7F54">
            <w:r w:rsidRPr="00B93493">
              <w:rPr>
                <w:szCs w:val="24"/>
              </w:rPr>
              <w:t>Ministry of Economy and Finances</w:t>
            </w:r>
          </w:p>
        </w:tc>
      </w:tr>
      <w:tr w:rsidR="00CF04BC" w:rsidRPr="00B93493" w14:paraId="51FBCE26" w14:textId="77777777" w:rsidTr="002E7F54">
        <w:tc>
          <w:tcPr>
            <w:tcW w:w="4927" w:type="dxa"/>
          </w:tcPr>
          <w:p w14:paraId="0947CC70" w14:textId="77777777" w:rsidR="00CF04BC" w:rsidRPr="00B93493" w:rsidRDefault="00CF04BC" w:rsidP="002E7F54">
            <w:pPr>
              <w:tabs>
                <w:tab w:val="center" w:leader="dot" w:pos="2835"/>
              </w:tabs>
            </w:pPr>
            <w:r w:rsidRPr="00B93493">
              <w:tab/>
            </w:r>
          </w:p>
        </w:tc>
        <w:tc>
          <w:tcPr>
            <w:tcW w:w="4928" w:type="dxa"/>
          </w:tcPr>
          <w:p w14:paraId="227A898E" w14:textId="77777777" w:rsidR="00CF04BC" w:rsidRPr="00B93493" w:rsidRDefault="00CF04BC" w:rsidP="002E7F54">
            <w:pPr>
              <w:tabs>
                <w:tab w:val="center" w:leader="dot" w:pos="2835"/>
              </w:tabs>
            </w:pPr>
            <w:r w:rsidRPr="00B93493">
              <w:tab/>
            </w:r>
          </w:p>
        </w:tc>
      </w:tr>
    </w:tbl>
    <w:p w14:paraId="44205F2C" w14:textId="77777777" w:rsidR="00CF04BC" w:rsidRPr="00B93493" w:rsidRDefault="00CF04BC" w:rsidP="00CF04BC">
      <w:pPr>
        <w:pStyle w:val="Tablefin"/>
      </w:pPr>
    </w:p>
    <w:p w14:paraId="28EFECE2" w14:textId="77777777" w:rsidR="00CF04BC" w:rsidRPr="00B93493" w:rsidRDefault="00CF04BC" w:rsidP="00CF04BC">
      <w:pPr>
        <w:rPr>
          <w:szCs w:val="24"/>
        </w:rPr>
      </w:pPr>
      <w:r w:rsidRPr="00B93493">
        <w:rPr>
          <w:szCs w:val="24"/>
        </w:rPr>
        <w:t>ORDER N°…….. OF…. FIXING AMOUNT OF FEES, TAXES AND CHARGES ON RADIOCOMMUNICATIONS</w:t>
      </w:r>
    </w:p>
    <w:p w14:paraId="175F6209" w14:textId="77777777" w:rsidR="00CF04BC" w:rsidRPr="00B93493" w:rsidRDefault="00CF04BC" w:rsidP="00CF04BC">
      <w:pPr>
        <w:rPr>
          <w:szCs w:val="24"/>
        </w:rPr>
      </w:pPr>
      <w:r w:rsidRPr="00B93493">
        <w:rPr>
          <w:szCs w:val="24"/>
        </w:rPr>
        <w:t xml:space="preserve">THE MINISTER OF ECONOMIC INFRASTRUCTURES </w:t>
      </w:r>
    </w:p>
    <w:p w14:paraId="4140B522" w14:textId="77777777" w:rsidR="00CF04BC" w:rsidRPr="00B93493" w:rsidRDefault="00CF04BC" w:rsidP="00CF04BC">
      <w:pPr>
        <w:rPr>
          <w:szCs w:val="24"/>
        </w:rPr>
      </w:pPr>
      <w:r w:rsidRPr="00B93493">
        <w:rPr>
          <w:szCs w:val="24"/>
        </w:rPr>
        <w:t>THE MINISTER OF ECONOMY AND FINANCES</w:t>
      </w:r>
    </w:p>
    <w:p w14:paraId="6A71A63A" w14:textId="77777777" w:rsidR="00CF04BC" w:rsidRPr="00B93493" w:rsidRDefault="00CF04BC" w:rsidP="00CF04BC">
      <w:pPr>
        <w:rPr>
          <w:szCs w:val="24"/>
        </w:rPr>
      </w:pPr>
      <w:r w:rsidRPr="00B93493">
        <w:rPr>
          <w:szCs w:val="24"/>
        </w:rPr>
        <w:t>Considering Law N° 95-526 of 7 July 1995 on Telecommunications Code.</w:t>
      </w:r>
    </w:p>
    <w:p w14:paraId="2502E6D9" w14:textId="77777777" w:rsidR="00CF04BC" w:rsidRPr="00B93493" w:rsidRDefault="00CF04BC" w:rsidP="00CF04BC">
      <w:pPr>
        <w:rPr>
          <w:szCs w:val="24"/>
        </w:rPr>
      </w:pPr>
      <w:r w:rsidRPr="00B93493">
        <w:rPr>
          <w:szCs w:val="24"/>
        </w:rPr>
        <w:t>Considering Decree N° 95-554 of 19 July 1995 organizing and fixing the functioning of a Public Entity called Agence des Télécommunications de Côte d’Ivoire (ATCI).</w:t>
      </w:r>
    </w:p>
    <w:p w14:paraId="7B5EDC42" w14:textId="77777777" w:rsidR="00CF04BC" w:rsidRPr="00B93493" w:rsidRDefault="00CF04BC" w:rsidP="00CF04BC">
      <w:pPr>
        <w:rPr>
          <w:szCs w:val="24"/>
        </w:rPr>
      </w:pPr>
      <w:r w:rsidRPr="00B93493">
        <w:rPr>
          <w:szCs w:val="24"/>
        </w:rPr>
        <w:t>Considering Decree N° 96-PR/002 of 26 January 1996 appointing members of Government, and modified by Decree N° 96-PR/10 of 10</w:t>
      </w:r>
      <w:r w:rsidRPr="00B93493">
        <w:rPr>
          <w:szCs w:val="24"/>
          <w:vertAlign w:val="superscript"/>
        </w:rPr>
        <w:t>th</w:t>
      </w:r>
      <w:r w:rsidRPr="00B93493">
        <w:rPr>
          <w:szCs w:val="24"/>
        </w:rPr>
        <w:t xml:space="preserve"> August 1996.</w:t>
      </w:r>
    </w:p>
    <w:p w14:paraId="0134D07C" w14:textId="77777777" w:rsidR="00CF04BC" w:rsidRPr="00B93493" w:rsidRDefault="00CF04BC" w:rsidP="00CF04BC">
      <w:pPr>
        <w:rPr>
          <w:szCs w:val="24"/>
        </w:rPr>
      </w:pPr>
      <w:r w:rsidRPr="00B93493">
        <w:rPr>
          <w:szCs w:val="24"/>
        </w:rPr>
        <w:t>Considering Decree N°… defining fees, taxes and charges on radiocommunications.</w:t>
      </w:r>
    </w:p>
    <w:p w14:paraId="622EC5F0" w14:textId="77777777" w:rsidR="00CF04BC" w:rsidRPr="00B93493" w:rsidRDefault="00CF04BC" w:rsidP="00CF04BC">
      <w:pPr>
        <w:rPr>
          <w:szCs w:val="24"/>
        </w:rPr>
      </w:pPr>
      <w:r w:rsidRPr="00B93493">
        <w:rPr>
          <w:szCs w:val="24"/>
        </w:rPr>
        <w:t>Considering the necessity of service.</w:t>
      </w:r>
    </w:p>
    <w:p w14:paraId="376C7E6D" w14:textId="77777777" w:rsidR="00CF04BC" w:rsidRPr="00B93493" w:rsidRDefault="00CF04BC" w:rsidP="00CF04BC">
      <w:pPr>
        <w:rPr>
          <w:szCs w:val="24"/>
        </w:rPr>
      </w:pPr>
    </w:p>
    <w:p w14:paraId="583AF2AA" w14:textId="77777777" w:rsidR="00CF04BC" w:rsidRPr="00B93493" w:rsidRDefault="00CF04BC" w:rsidP="00CF04BC">
      <w:pPr>
        <w:jc w:val="center"/>
        <w:rPr>
          <w:b/>
          <w:bCs/>
          <w:sz w:val="28"/>
          <w:szCs w:val="28"/>
        </w:rPr>
      </w:pPr>
      <w:r w:rsidRPr="00B93493">
        <w:rPr>
          <w:b/>
          <w:bCs/>
          <w:sz w:val="28"/>
          <w:szCs w:val="28"/>
        </w:rPr>
        <w:t>ORDERS</w:t>
      </w:r>
    </w:p>
    <w:p w14:paraId="687C4024" w14:textId="77777777" w:rsidR="00CF04BC" w:rsidRPr="00B93493" w:rsidRDefault="00CF04BC" w:rsidP="00CF04BC">
      <w:pPr>
        <w:pStyle w:val="Headingb"/>
      </w:pPr>
      <w:bookmarkStart w:id="2762" w:name="_Toc462234192"/>
      <w:bookmarkStart w:id="2763" w:name="_Toc454285028"/>
      <w:r w:rsidRPr="00B93493">
        <w:t>Article 1</w:t>
      </w:r>
      <w:bookmarkEnd w:id="2762"/>
      <w:bookmarkEnd w:id="2763"/>
    </w:p>
    <w:p w14:paraId="01B5A3DC" w14:textId="77777777" w:rsidR="00CF04BC" w:rsidRPr="00B93493" w:rsidRDefault="00CF04BC" w:rsidP="00CF04BC">
      <w:r w:rsidRPr="00B93493">
        <w:t>The amount for fees, taxes and charges on radio electricity to be paid in conformity with the rules and regulations in force are fixed in the annex to this Order.</w:t>
      </w:r>
    </w:p>
    <w:p w14:paraId="305BEF49" w14:textId="77777777" w:rsidR="00CF04BC" w:rsidRPr="00B93493" w:rsidRDefault="00CF04BC" w:rsidP="00CF04BC">
      <w:pPr>
        <w:pStyle w:val="Headingb"/>
      </w:pPr>
      <w:bookmarkStart w:id="2764" w:name="_Toc462234193"/>
      <w:bookmarkStart w:id="2765" w:name="_Toc454285029"/>
      <w:r w:rsidRPr="00B93493">
        <w:t>Article 2</w:t>
      </w:r>
      <w:bookmarkEnd w:id="2764"/>
      <w:bookmarkEnd w:id="2765"/>
    </w:p>
    <w:p w14:paraId="51F79E7C" w14:textId="77777777" w:rsidR="00CF04BC" w:rsidRPr="00B93493" w:rsidRDefault="00CF04BC" w:rsidP="00CF04BC">
      <w:r w:rsidRPr="00B93493">
        <w:t>The Agence des Télécommunications de Côte d’Ivoire is charged with the responsibility of implementing this Order which will take effect from the date of signature and its publication in the Official Gazette of the Republic of Côte d’Ivoire.</w:t>
      </w:r>
    </w:p>
    <w:p w14:paraId="2387D929" w14:textId="77777777" w:rsidR="00CF04BC" w:rsidRPr="00B93493" w:rsidRDefault="00CF04BC" w:rsidP="00CF04BC"/>
    <w:p w14:paraId="2DA2B2C4" w14:textId="77777777" w:rsidR="00CF04BC" w:rsidRPr="00B93493" w:rsidRDefault="00CF04BC" w:rsidP="00CF04BC">
      <w:pPr>
        <w:jc w:val="center"/>
      </w:pPr>
      <w:r w:rsidRPr="00B93493">
        <w:t>Done in Abidjan on ……..</w:t>
      </w:r>
    </w:p>
    <w:p w14:paraId="55B0DDDF" w14:textId="77777777" w:rsidR="00CF04BC" w:rsidRPr="00B93493" w:rsidRDefault="00CF04BC" w:rsidP="00CF04BC">
      <w:pPr>
        <w:tabs>
          <w:tab w:val="left" w:pos="5103"/>
        </w:tabs>
      </w:pPr>
    </w:p>
    <w:p w14:paraId="7D3C9797" w14:textId="77777777" w:rsidR="00CF04BC" w:rsidRPr="00B93493" w:rsidRDefault="00CF04BC" w:rsidP="00CF04BC">
      <w:pPr>
        <w:tabs>
          <w:tab w:val="left" w:pos="5103"/>
        </w:tabs>
      </w:pPr>
      <w:r w:rsidRPr="00B93493">
        <w:t>The Minister of Economic Infrastructures</w:t>
      </w:r>
      <w:r w:rsidRPr="00B93493">
        <w:tab/>
        <w:t>The Minister of Economy and Finances</w:t>
      </w:r>
    </w:p>
    <w:p w14:paraId="1890650F" w14:textId="77777777" w:rsidR="00CF04BC" w:rsidRPr="00B93493" w:rsidRDefault="00CF04BC" w:rsidP="00CF04BC">
      <w:pPr>
        <w:tabs>
          <w:tab w:val="left" w:pos="5103"/>
        </w:tabs>
      </w:pPr>
      <w:r w:rsidRPr="00B93493">
        <w:t>AKELE Ezan</w:t>
      </w:r>
      <w:r w:rsidRPr="00B93493">
        <w:tab/>
        <w:t>N’Goran NIAMIEN</w:t>
      </w:r>
    </w:p>
    <w:p w14:paraId="7681A4D2" w14:textId="77777777" w:rsidR="00CF04BC" w:rsidRPr="00B93493" w:rsidRDefault="00CF04BC" w:rsidP="00CF04BC">
      <w:pPr>
        <w:keepNext/>
        <w:keepLines/>
        <w:jc w:val="center"/>
      </w:pPr>
      <w:r w:rsidRPr="00B93493">
        <w:t>AMOUNT OF FEES, TAXES AND CHARGES ON RADIOELECTRICITY</w:t>
      </w:r>
    </w:p>
    <w:p w14:paraId="669D0B37" w14:textId="77777777" w:rsidR="00CF04BC" w:rsidRPr="00B93493" w:rsidRDefault="00CF04BC" w:rsidP="00CF04BC">
      <w:pPr>
        <w:pStyle w:val="Headingb"/>
      </w:pPr>
      <w:bookmarkStart w:id="2766" w:name="_Toc454285030"/>
      <w:bookmarkStart w:id="2767" w:name="_Toc392515949"/>
      <w:bookmarkStart w:id="2768" w:name="_Toc518394285"/>
      <w:bookmarkStart w:id="2769" w:name="_Toc462234194"/>
      <w:bookmarkStart w:id="2770" w:name="_Toc289933402"/>
      <w:bookmarkStart w:id="2771" w:name="_Toc289932354"/>
      <w:bookmarkStart w:id="2772" w:name="_Toc291852965"/>
      <w:bookmarkStart w:id="2773" w:name="_Toc289868889"/>
      <w:bookmarkStart w:id="2774" w:name="_Toc289869048"/>
      <w:bookmarkStart w:id="2775" w:name="_Toc182391605"/>
      <w:r w:rsidRPr="00B93493">
        <w:t>A.</w:t>
      </w:r>
      <w:r w:rsidRPr="00B93493">
        <w:tab/>
        <w:t>TERRESTRIAL RADIOCOMMUNICATION SERVICES</w:t>
      </w:r>
      <w:bookmarkEnd w:id="2766"/>
      <w:bookmarkEnd w:id="2767"/>
      <w:bookmarkEnd w:id="2768"/>
      <w:bookmarkEnd w:id="2769"/>
      <w:bookmarkEnd w:id="2770"/>
      <w:bookmarkEnd w:id="2771"/>
      <w:bookmarkEnd w:id="2772"/>
      <w:bookmarkEnd w:id="2773"/>
      <w:bookmarkEnd w:id="2774"/>
      <w:bookmarkEnd w:id="27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161"/>
        <w:gridCol w:w="1229"/>
        <w:gridCol w:w="1501"/>
        <w:gridCol w:w="1500"/>
      </w:tblGrid>
      <w:tr w:rsidR="00CF04BC" w:rsidRPr="00B93493" w14:paraId="153163BE" w14:textId="77777777" w:rsidTr="002E7F54">
        <w:trPr>
          <w:tblHeader/>
          <w:jc w:val="center"/>
        </w:trPr>
        <w:tc>
          <w:tcPr>
            <w:tcW w:w="4248" w:type="dxa"/>
            <w:vAlign w:val="center"/>
          </w:tcPr>
          <w:p w14:paraId="31C431CB" w14:textId="77777777" w:rsidR="00CF04BC" w:rsidRPr="00B93493" w:rsidRDefault="00CF04BC" w:rsidP="00C65E6B">
            <w:pPr>
              <w:pStyle w:val="Tablehead"/>
              <w:rPr>
                <w:sz w:val="16"/>
                <w:szCs w:val="16"/>
              </w:rPr>
            </w:pPr>
            <w:r w:rsidRPr="00B93493">
              <w:rPr>
                <w:sz w:val="16"/>
                <w:szCs w:val="16"/>
              </w:rPr>
              <w:t>NETWORKS OR STATIONS</w:t>
            </w:r>
          </w:p>
        </w:tc>
        <w:tc>
          <w:tcPr>
            <w:tcW w:w="1161" w:type="dxa"/>
            <w:vAlign w:val="center"/>
          </w:tcPr>
          <w:p w14:paraId="4EB71967" w14:textId="77777777" w:rsidR="00CF04BC" w:rsidRPr="00B93493" w:rsidRDefault="00CF04BC" w:rsidP="002E7F54">
            <w:pPr>
              <w:pStyle w:val="Tablehead"/>
              <w:rPr>
                <w:sz w:val="16"/>
                <w:szCs w:val="16"/>
              </w:rPr>
            </w:pPr>
            <w:r w:rsidRPr="00B93493">
              <w:rPr>
                <w:sz w:val="16"/>
                <w:szCs w:val="16"/>
              </w:rPr>
              <w:t>Fees for compilation of file</w:t>
            </w:r>
          </w:p>
        </w:tc>
        <w:tc>
          <w:tcPr>
            <w:tcW w:w="1229" w:type="dxa"/>
            <w:vAlign w:val="center"/>
          </w:tcPr>
          <w:p w14:paraId="61566A65" w14:textId="77777777" w:rsidR="00CF04BC" w:rsidRPr="00B93493" w:rsidRDefault="00CF04BC" w:rsidP="002E7F54">
            <w:pPr>
              <w:pStyle w:val="Tablehead"/>
              <w:rPr>
                <w:sz w:val="16"/>
                <w:szCs w:val="16"/>
              </w:rPr>
            </w:pPr>
            <w:r w:rsidRPr="00B93493">
              <w:rPr>
                <w:sz w:val="16"/>
                <w:szCs w:val="16"/>
              </w:rPr>
              <w:t>Fees for visiting or control of stations in CFA</w:t>
            </w:r>
          </w:p>
        </w:tc>
        <w:tc>
          <w:tcPr>
            <w:tcW w:w="1501" w:type="dxa"/>
            <w:vAlign w:val="center"/>
          </w:tcPr>
          <w:p w14:paraId="4B3C86B2" w14:textId="77777777" w:rsidR="00CF04BC" w:rsidRPr="00B93493" w:rsidRDefault="00CF04BC" w:rsidP="002E7F54">
            <w:pPr>
              <w:pStyle w:val="Tablehead"/>
              <w:ind w:left="-57" w:right="-57"/>
              <w:rPr>
                <w:sz w:val="16"/>
                <w:szCs w:val="16"/>
              </w:rPr>
            </w:pPr>
            <w:r w:rsidRPr="00B93493">
              <w:rPr>
                <w:sz w:val="16"/>
                <w:szCs w:val="16"/>
              </w:rPr>
              <w:t xml:space="preserve">Contribution </w:t>
            </w:r>
            <w:r w:rsidRPr="00B93493">
              <w:rPr>
                <w:sz w:val="16"/>
                <w:szCs w:val="16"/>
              </w:rPr>
              <w:br/>
              <w:t>to management costs</w:t>
            </w:r>
          </w:p>
        </w:tc>
        <w:tc>
          <w:tcPr>
            <w:tcW w:w="1500" w:type="dxa"/>
            <w:vAlign w:val="center"/>
          </w:tcPr>
          <w:p w14:paraId="6C084AFB" w14:textId="77777777" w:rsidR="00CF04BC" w:rsidRPr="00B93493" w:rsidRDefault="00CF04BC" w:rsidP="002E7F54">
            <w:pPr>
              <w:pStyle w:val="Tablehead"/>
              <w:rPr>
                <w:sz w:val="16"/>
                <w:szCs w:val="16"/>
              </w:rPr>
            </w:pPr>
            <w:r w:rsidRPr="00B93493">
              <w:rPr>
                <w:sz w:val="16"/>
                <w:szCs w:val="16"/>
              </w:rPr>
              <w:t>Charges for use of frequency or radioelectric channel</w:t>
            </w:r>
          </w:p>
        </w:tc>
      </w:tr>
      <w:tr w:rsidR="00CF04BC" w:rsidRPr="00B93493" w14:paraId="2F7B75BC" w14:textId="77777777" w:rsidTr="002E7F54">
        <w:trPr>
          <w:jc w:val="center"/>
        </w:trPr>
        <w:tc>
          <w:tcPr>
            <w:tcW w:w="4248" w:type="dxa"/>
          </w:tcPr>
          <w:p w14:paraId="22CC1A83" w14:textId="77777777" w:rsidR="00CF04BC" w:rsidRPr="00B93493" w:rsidRDefault="00CF04BC" w:rsidP="00C65E6B">
            <w:pPr>
              <w:pStyle w:val="Tabletext"/>
              <w:jc w:val="left"/>
              <w:rPr>
                <w:sz w:val="16"/>
                <w:szCs w:val="16"/>
              </w:rPr>
            </w:pPr>
            <w:r w:rsidRPr="00B93493">
              <w:rPr>
                <w:sz w:val="16"/>
                <w:szCs w:val="16"/>
              </w:rPr>
              <w:t>I</w:t>
            </w:r>
            <w:r w:rsidRPr="00B93493">
              <w:rPr>
                <w:sz w:val="16"/>
                <w:szCs w:val="16"/>
              </w:rPr>
              <w:tab/>
              <w:t xml:space="preserve">FIXED NETWORKS AND INDEPENDENT MOBILE TERRESTRIAL NETWORKS FOR PRIVATE USE </w:t>
            </w:r>
            <w:r w:rsidRPr="00B93493">
              <w:rPr>
                <w:sz w:val="16"/>
                <w:szCs w:val="16"/>
              </w:rPr>
              <w:br/>
              <w:t>(Non profitable services)</w:t>
            </w:r>
          </w:p>
        </w:tc>
        <w:tc>
          <w:tcPr>
            <w:tcW w:w="1161" w:type="dxa"/>
          </w:tcPr>
          <w:p w14:paraId="0B21C6B2" w14:textId="77777777" w:rsidR="00CF04BC" w:rsidRPr="00B93493" w:rsidRDefault="00CF04BC" w:rsidP="002E7F54">
            <w:pPr>
              <w:pStyle w:val="Tabletext"/>
              <w:rPr>
                <w:sz w:val="16"/>
                <w:szCs w:val="16"/>
              </w:rPr>
            </w:pPr>
          </w:p>
        </w:tc>
        <w:tc>
          <w:tcPr>
            <w:tcW w:w="1229" w:type="dxa"/>
          </w:tcPr>
          <w:p w14:paraId="29D0497F" w14:textId="77777777" w:rsidR="00CF04BC" w:rsidRPr="00B93493" w:rsidRDefault="00CF04BC" w:rsidP="002E7F54">
            <w:pPr>
              <w:pStyle w:val="Tabletext"/>
              <w:rPr>
                <w:sz w:val="16"/>
                <w:szCs w:val="16"/>
              </w:rPr>
            </w:pPr>
          </w:p>
        </w:tc>
        <w:tc>
          <w:tcPr>
            <w:tcW w:w="1501" w:type="dxa"/>
          </w:tcPr>
          <w:p w14:paraId="36A054C5" w14:textId="77777777" w:rsidR="00CF04BC" w:rsidRPr="00B93493" w:rsidRDefault="00CF04BC" w:rsidP="002E7F54">
            <w:pPr>
              <w:pStyle w:val="Tabletext"/>
              <w:rPr>
                <w:sz w:val="16"/>
                <w:szCs w:val="16"/>
              </w:rPr>
            </w:pPr>
          </w:p>
        </w:tc>
        <w:tc>
          <w:tcPr>
            <w:tcW w:w="1500" w:type="dxa"/>
          </w:tcPr>
          <w:p w14:paraId="3FE0D5EB" w14:textId="77777777" w:rsidR="00CF04BC" w:rsidRPr="00B93493" w:rsidRDefault="00CF04BC" w:rsidP="002E7F54">
            <w:pPr>
              <w:pStyle w:val="Tabletext"/>
              <w:rPr>
                <w:sz w:val="16"/>
                <w:szCs w:val="16"/>
              </w:rPr>
            </w:pPr>
          </w:p>
        </w:tc>
      </w:tr>
      <w:tr w:rsidR="00CF04BC" w:rsidRPr="00B93493" w14:paraId="3CBCC901" w14:textId="77777777" w:rsidTr="002E7F54">
        <w:trPr>
          <w:jc w:val="center"/>
        </w:trPr>
        <w:tc>
          <w:tcPr>
            <w:tcW w:w="4248" w:type="dxa"/>
          </w:tcPr>
          <w:p w14:paraId="2E606D36" w14:textId="77777777" w:rsidR="00CF04BC" w:rsidRPr="00B93493" w:rsidRDefault="00CF04BC" w:rsidP="00C65E6B">
            <w:pPr>
              <w:pStyle w:val="Tabletext"/>
              <w:jc w:val="left"/>
              <w:rPr>
                <w:sz w:val="16"/>
                <w:szCs w:val="16"/>
              </w:rPr>
            </w:pPr>
            <w:r w:rsidRPr="00B93493">
              <w:rPr>
                <w:sz w:val="16"/>
                <w:szCs w:val="16"/>
              </w:rPr>
              <w:t>I.1 – VHF/UHF Radioelectric network</w:t>
            </w:r>
          </w:p>
          <w:p w14:paraId="444A8822" w14:textId="77777777" w:rsidR="00CF04BC" w:rsidRPr="00B93493" w:rsidRDefault="00CF04BC" w:rsidP="00C65E6B">
            <w:pPr>
              <w:pStyle w:val="Tabletext"/>
              <w:jc w:val="left"/>
              <w:rPr>
                <w:sz w:val="16"/>
                <w:szCs w:val="16"/>
              </w:rPr>
            </w:pPr>
            <w:r w:rsidRPr="00B93493">
              <w:rPr>
                <w:sz w:val="16"/>
                <w:szCs w:val="16"/>
              </w:rPr>
              <w:tab/>
              <w:t>(Bandwidth = 12.5 KHz)</w:t>
            </w:r>
          </w:p>
        </w:tc>
        <w:tc>
          <w:tcPr>
            <w:tcW w:w="1161" w:type="dxa"/>
          </w:tcPr>
          <w:p w14:paraId="7A55602E" w14:textId="77777777" w:rsidR="00CF04BC" w:rsidRPr="00B93493" w:rsidRDefault="00CF04BC" w:rsidP="002E7F54">
            <w:pPr>
              <w:pStyle w:val="Tabletext"/>
              <w:rPr>
                <w:sz w:val="16"/>
                <w:szCs w:val="16"/>
              </w:rPr>
            </w:pPr>
            <w:r w:rsidRPr="00B93493">
              <w:rPr>
                <w:sz w:val="16"/>
                <w:szCs w:val="16"/>
              </w:rPr>
              <w:t>11 600</w:t>
            </w:r>
          </w:p>
        </w:tc>
        <w:tc>
          <w:tcPr>
            <w:tcW w:w="1229" w:type="dxa"/>
          </w:tcPr>
          <w:p w14:paraId="3857D121" w14:textId="77777777" w:rsidR="00CF04BC" w:rsidRPr="00B93493" w:rsidRDefault="00CF04BC" w:rsidP="002E7F54">
            <w:pPr>
              <w:pStyle w:val="Tabletext"/>
              <w:rPr>
                <w:sz w:val="16"/>
                <w:szCs w:val="16"/>
              </w:rPr>
            </w:pPr>
          </w:p>
        </w:tc>
        <w:tc>
          <w:tcPr>
            <w:tcW w:w="1501" w:type="dxa"/>
          </w:tcPr>
          <w:p w14:paraId="1BFEA1C0" w14:textId="77777777" w:rsidR="00CF04BC" w:rsidRPr="00B93493" w:rsidRDefault="00CF04BC" w:rsidP="002E7F54">
            <w:pPr>
              <w:pStyle w:val="Tabletext"/>
              <w:rPr>
                <w:sz w:val="16"/>
                <w:szCs w:val="16"/>
              </w:rPr>
            </w:pPr>
          </w:p>
        </w:tc>
        <w:tc>
          <w:tcPr>
            <w:tcW w:w="1500" w:type="dxa"/>
          </w:tcPr>
          <w:p w14:paraId="12901686" w14:textId="77777777" w:rsidR="00CF04BC" w:rsidRPr="00B93493" w:rsidRDefault="00CF04BC" w:rsidP="002E7F54">
            <w:pPr>
              <w:pStyle w:val="Tabletext"/>
              <w:rPr>
                <w:sz w:val="16"/>
                <w:szCs w:val="16"/>
              </w:rPr>
            </w:pPr>
          </w:p>
        </w:tc>
      </w:tr>
      <w:tr w:rsidR="00CF04BC" w:rsidRPr="00B93493" w14:paraId="0787BF7B" w14:textId="77777777" w:rsidTr="002E7F54">
        <w:trPr>
          <w:jc w:val="center"/>
        </w:trPr>
        <w:tc>
          <w:tcPr>
            <w:tcW w:w="4248" w:type="dxa"/>
          </w:tcPr>
          <w:p w14:paraId="3177F94A" w14:textId="77777777" w:rsidR="00CF04BC" w:rsidRPr="00B93493" w:rsidRDefault="00CF04BC" w:rsidP="00C65E6B">
            <w:pPr>
              <w:pStyle w:val="Tabletext"/>
              <w:jc w:val="left"/>
              <w:rPr>
                <w:sz w:val="16"/>
                <w:szCs w:val="16"/>
              </w:rPr>
            </w:pPr>
            <w:r w:rsidRPr="00B93493">
              <w:rPr>
                <w:sz w:val="16"/>
                <w:szCs w:val="16"/>
              </w:rPr>
              <w:t>a1. Transmitter power equal or less than 10 W</w:t>
            </w:r>
          </w:p>
          <w:p w14:paraId="62A36220" w14:textId="77777777" w:rsidR="00CF04BC" w:rsidRPr="00B93493" w:rsidRDefault="00CF04BC" w:rsidP="00C65E6B">
            <w:pPr>
              <w:pStyle w:val="Tabletext"/>
              <w:jc w:val="left"/>
              <w:rPr>
                <w:sz w:val="16"/>
                <w:szCs w:val="16"/>
              </w:rPr>
            </w:pPr>
            <w:r w:rsidRPr="00B93493">
              <w:rPr>
                <w:sz w:val="16"/>
                <w:szCs w:val="16"/>
              </w:rPr>
              <w:t>a2. Transmitter power between 10 and 25 W</w:t>
            </w:r>
          </w:p>
          <w:p w14:paraId="30F84216" w14:textId="77777777" w:rsidR="00CF04BC" w:rsidRPr="00B93493" w:rsidRDefault="00CF04BC" w:rsidP="00C65E6B">
            <w:pPr>
              <w:pStyle w:val="Tabletext"/>
              <w:jc w:val="left"/>
              <w:rPr>
                <w:sz w:val="16"/>
                <w:szCs w:val="16"/>
              </w:rPr>
            </w:pPr>
            <w:r w:rsidRPr="00B93493">
              <w:rPr>
                <w:sz w:val="16"/>
                <w:szCs w:val="16"/>
              </w:rPr>
              <w:t>a3. Transmitter power above 25 W</w:t>
            </w:r>
          </w:p>
        </w:tc>
        <w:tc>
          <w:tcPr>
            <w:tcW w:w="1161" w:type="dxa"/>
          </w:tcPr>
          <w:p w14:paraId="3F0C2560" w14:textId="77777777" w:rsidR="00CF04BC" w:rsidRPr="00B93493" w:rsidRDefault="00CF04BC" w:rsidP="002E7F54">
            <w:pPr>
              <w:pStyle w:val="Tabletext"/>
              <w:rPr>
                <w:sz w:val="16"/>
                <w:szCs w:val="16"/>
              </w:rPr>
            </w:pPr>
          </w:p>
        </w:tc>
        <w:tc>
          <w:tcPr>
            <w:tcW w:w="1229" w:type="dxa"/>
          </w:tcPr>
          <w:p w14:paraId="5002B67B" w14:textId="77777777" w:rsidR="00CF04BC" w:rsidRPr="00B93493" w:rsidRDefault="00CF04BC" w:rsidP="002E7F54">
            <w:pPr>
              <w:pStyle w:val="Tabletext"/>
              <w:rPr>
                <w:sz w:val="16"/>
                <w:szCs w:val="16"/>
              </w:rPr>
            </w:pPr>
            <w:r w:rsidRPr="00B93493">
              <w:rPr>
                <w:sz w:val="16"/>
                <w:szCs w:val="16"/>
              </w:rPr>
              <w:t>87 000</w:t>
            </w:r>
          </w:p>
          <w:p w14:paraId="131F6806" w14:textId="77777777" w:rsidR="00CF04BC" w:rsidRPr="00B93493" w:rsidRDefault="00CF04BC" w:rsidP="002E7F54">
            <w:pPr>
              <w:pStyle w:val="Tabletext"/>
              <w:rPr>
                <w:sz w:val="16"/>
                <w:szCs w:val="16"/>
              </w:rPr>
            </w:pPr>
            <w:r w:rsidRPr="00B93493">
              <w:rPr>
                <w:sz w:val="16"/>
                <w:szCs w:val="16"/>
              </w:rPr>
              <w:t>14 500</w:t>
            </w:r>
          </w:p>
          <w:p w14:paraId="36E671C4" w14:textId="77777777" w:rsidR="00CF04BC" w:rsidRPr="00B93493" w:rsidRDefault="00CF04BC" w:rsidP="002E7F54">
            <w:pPr>
              <w:pStyle w:val="Tabletext"/>
              <w:rPr>
                <w:sz w:val="16"/>
                <w:szCs w:val="16"/>
              </w:rPr>
            </w:pPr>
            <w:r w:rsidRPr="00B93493">
              <w:rPr>
                <w:sz w:val="16"/>
                <w:szCs w:val="16"/>
              </w:rPr>
              <w:t>58 000</w:t>
            </w:r>
          </w:p>
        </w:tc>
        <w:tc>
          <w:tcPr>
            <w:tcW w:w="1501" w:type="dxa"/>
          </w:tcPr>
          <w:p w14:paraId="41A73FE6" w14:textId="77777777" w:rsidR="00CF04BC" w:rsidRPr="00B93493" w:rsidRDefault="00CF04BC" w:rsidP="002E7F54">
            <w:pPr>
              <w:pStyle w:val="Tabletext"/>
              <w:rPr>
                <w:sz w:val="16"/>
                <w:szCs w:val="16"/>
              </w:rPr>
            </w:pPr>
          </w:p>
        </w:tc>
        <w:tc>
          <w:tcPr>
            <w:tcW w:w="1500" w:type="dxa"/>
          </w:tcPr>
          <w:p w14:paraId="484B3046" w14:textId="77777777" w:rsidR="00CF04BC" w:rsidRPr="00B93493" w:rsidRDefault="00CF04BC" w:rsidP="002E7F54">
            <w:pPr>
              <w:pStyle w:val="Tabletext"/>
              <w:rPr>
                <w:sz w:val="16"/>
                <w:szCs w:val="16"/>
              </w:rPr>
            </w:pPr>
          </w:p>
        </w:tc>
      </w:tr>
      <w:tr w:rsidR="00CF04BC" w:rsidRPr="00B93493" w14:paraId="57A6096C" w14:textId="77777777" w:rsidTr="002E7F54">
        <w:trPr>
          <w:jc w:val="center"/>
        </w:trPr>
        <w:tc>
          <w:tcPr>
            <w:tcW w:w="4248" w:type="dxa"/>
          </w:tcPr>
          <w:p w14:paraId="7DC9812F" w14:textId="77777777" w:rsidR="00CF04BC" w:rsidRPr="00B93493" w:rsidRDefault="00CF04BC" w:rsidP="00C65E6B">
            <w:pPr>
              <w:pStyle w:val="Tabletext"/>
              <w:jc w:val="left"/>
              <w:rPr>
                <w:sz w:val="16"/>
                <w:szCs w:val="16"/>
              </w:rPr>
            </w:pPr>
            <w:r w:rsidRPr="00B93493">
              <w:rPr>
                <w:sz w:val="16"/>
                <w:szCs w:val="16"/>
              </w:rPr>
              <w:t>b1. Local links with no relay (less than 10 km)</w:t>
            </w:r>
          </w:p>
          <w:p w14:paraId="366DEE6C" w14:textId="77777777" w:rsidR="00CF04BC" w:rsidRPr="00B93493" w:rsidRDefault="00CF04BC" w:rsidP="00C65E6B">
            <w:pPr>
              <w:pStyle w:val="Tabletext"/>
              <w:jc w:val="left"/>
              <w:rPr>
                <w:sz w:val="16"/>
                <w:szCs w:val="16"/>
              </w:rPr>
            </w:pPr>
            <w:r w:rsidRPr="00B93493">
              <w:rPr>
                <w:sz w:val="16"/>
                <w:szCs w:val="16"/>
              </w:rPr>
              <w:t>b2. Local links with relay (less than 25 km)</w:t>
            </w:r>
          </w:p>
          <w:p w14:paraId="326072F0" w14:textId="77777777" w:rsidR="00CF04BC" w:rsidRPr="00B93493" w:rsidRDefault="00CF04BC" w:rsidP="00C65E6B">
            <w:pPr>
              <w:pStyle w:val="Tabletext"/>
              <w:jc w:val="left"/>
              <w:rPr>
                <w:sz w:val="16"/>
                <w:szCs w:val="16"/>
              </w:rPr>
            </w:pPr>
            <w:r w:rsidRPr="00B93493">
              <w:rPr>
                <w:sz w:val="16"/>
                <w:szCs w:val="16"/>
              </w:rPr>
              <w:t>b3. Local links in Abidjan</w:t>
            </w:r>
          </w:p>
        </w:tc>
        <w:tc>
          <w:tcPr>
            <w:tcW w:w="1161" w:type="dxa"/>
          </w:tcPr>
          <w:p w14:paraId="39262287" w14:textId="77777777" w:rsidR="00CF04BC" w:rsidRPr="00B93493" w:rsidRDefault="00CF04BC" w:rsidP="002E7F54">
            <w:pPr>
              <w:pStyle w:val="Tabletext"/>
              <w:rPr>
                <w:sz w:val="16"/>
                <w:szCs w:val="16"/>
              </w:rPr>
            </w:pPr>
          </w:p>
        </w:tc>
        <w:tc>
          <w:tcPr>
            <w:tcW w:w="1229" w:type="dxa"/>
          </w:tcPr>
          <w:p w14:paraId="07075782" w14:textId="77777777" w:rsidR="00CF04BC" w:rsidRPr="00B93493" w:rsidRDefault="00CF04BC" w:rsidP="002E7F54">
            <w:pPr>
              <w:pStyle w:val="Tabletext"/>
              <w:rPr>
                <w:sz w:val="16"/>
                <w:szCs w:val="16"/>
              </w:rPr>
            </w:pPr>
          </w:p>
        </w:tc>
        <w:tc>
          <w:tcPr>
            <w:tcW w:w="1501" w:type="dxa"/>
          </w:tcPr>
          <w:p w14:paraId="3FB4CE20" w14:textId="77777777" w:rsidR="00CF04BC" w:rsidRPr="00B93493" w:rsidRDefault="00CF04BC" w:rsidP="002E7F54">
            <w:pPr>
              <w:pStyle w:val="Tabletext"/>
              <w:rPr>
                <w:sz w:val="16"/>
                <w:szCs w:val="16"/>
              </w:rPr>
            </w:pPr>
          </w:p>
        </w:tc>
        <w:tc>
          <w:tcPr>
            <w:tcW w:w="1500" w:type="dxa"/>
          </w:tcPr>
          <w:p w14:paraId="1654686F" w14:textId="77777777" w:rsidR="00CF04BC" w:rsidRPr="00B93493" w:rsidRDefault="00CF04BC" w:rsidP="002E7F54">
            <w:pPr>
              <w:pStyle w:val="Tabletext"/>
              <w:rPr>
                <w:sz w:val="16"/>
                <w:szCs w:val="16"/>
              </w:rPr>
            </w:pPr>
            <w:r w:rsidRPr="00B93493">
              <w:rPr>
                <w:sz w:val="16"/>
                <w:szCs w:val="16"/>
              </w:rPr>
              <w:t>1 450 000</w:t>
            </w:r>
          </w:p>
          <w:p w14:paraId="3F3736C0" w14:textId="77777777" w:rsidR="00CF04BC" w:rsidRPr="00B93493" w:rsidRDefault="00CF04BC" w:rsidP="002E7F54">
            <w:pPr>
              <w:pStyle w:val="Tabletext"/>
              <w:rPr>
                <w:sz w:val="16"/>
                <w:szCs w:val="16"/>
              </w:rPr>
            </w:pPr>
            <w:r w:rsidRPr="00B93493">
              <w:rPr>
                <w:sz w:val="16"/>
                <w:szCs w:val="16"/>
              </w:rPr>
              <w:t>362 500</w:t>
            </w:r>
          </w:p>
          <w:p w14:paraId="443C4814" w14:textId="77777777" w:rsidR="00CF04BC" w:rsidRPr="00B93493" w:rsidRDefault="00CF04BC" w:rsidP="002E7F54">
            <w:pPr>
              <w:pStyle w:val="Tabletext"/>
              <w:rPr>
                <w:sz w:val="16"/>
                <w:szCs w:val="16"/>
              </w:rPr>
            </w:pPr>
            <w:r w:rsidRPr="00B93493">
              <w:rPr>
                <w:sz w:val="16"/>
                <w:szCs w:val="16"/>
              </w:rPr>
              <w:t>Double above taxes</w:t>
            </w:r>
          </w:p>
        </w:tc>
      </w:tr>
      <w:tr w:rsidR="00CF04BC" w:rsidRPr="00B93493" w14:paraId="287992D9" w14:textId="77777777" w:rsidTr="002E7F54">
        <w:trPr>
          <w:jc w:val="center"/>
        </w:trPr>
        <w:tc>
          <w:tcPr>
            <w:tcW w:w="4248" w:type="dxa"/>
          </w:tcPr>
          <w:p w14:paraId="17C44C21" w14:textId="77777777" w:rsidR="00CF04BC" w:rsidRPr="00B93493" w:rsidRDefault="00CF04BC" w:rsidP="00C65E6B">
            <w:pPr>
              <w:pStyle w:val="Tabletext"/>
              <w:jc w:val="left"/>
              <w:rPr>
                <w:sz w:val="16"/>
                <w:szCs w:val="16"/>
              </w:rPr>
            </w:pPr>
            <w:r w:rsidRPr="00B93493">
              <w:rPr>
                <w:sz w:val="16"/>
                <w:szCs w:val="16"/>
              </w:rPr>
              <w:t>c1. Network with less than 10 sets in Abidjan</w:t>
            </w:r>
          </w:p>
          <w:p w14:paraId="60A943EF" w14:textId="77777777" w:rsidR="00CF04BC" w:rsidRPr="00B93493" w:rsidRDefault="00CF04BC" w:rsidP="00C65E6B">
            <w:pPr>
              <w:pStyle w:val="Tabletext"/>
              <w:jc w:val="left"/>
              <w:rPr>
                <w:sz w:val="16"/>
                <w:szCs w:val="16"/>
              </w:rPr>
            </w:pPr>
            <w:r w:rsidRPr="00B93493">
              <w:rPr>
                <w:sz w:val="16"/>
                <w:szCs w:val="16"/>
              </w:rPr>
              <w:t>c2. Network with 10 to 50 sets in Abidjan</w:t>
            </w:r>
          </w:p>
          <w:p w14:paraId="58A01FA2" w14:textId="77777777" w:rsidR="00CF04BC" w:rsidRPr="00B93493" w:rsidRDefault="00CF04BC" w:rsidP="00C65E6B">
            <w:pPr>
              <w:pStyle w:val="Tabletext"/>
              <w:jc w:val="left"/>
              <w:rPr>
                <w:sz w:val="16"/>
                <w:szCs w:val="16"/>
              </w:rPr>
            </w:pPr>
            <w:r w:rsidRPr="00B93493">
              <w:rPr>
                <w:sz w:val="16"/>
                <w:szCs w:val="16"/>
              </w:rPr>
              <w:t>c3. Network with more than 50 sets in Abidjan</w:t>
            </w:r>
          </w:p>
          <w:p w14:paraId="11EA74B4" w14:textId="77777777" w:rsidR="00CF04BC" w:rsidRPr="00B93493" w:rsidRDefault="00CF04BC" w:rsidP="00C65E6B">
            <w:pPr>
              <w:pStyle w:val="Tabletext"/>
              <w:jc w:val="left"/>
              <w:rPr>
                <w:sz w:val="16"/>
                <w:szCs w:val="16"/>
              </w:rPr>
            </w:pPr>
            <w:r w:rsidRPr="00B93493">
              <w:rPr>
                <w:sz w:val="16"/>
                <w:szCs w:val="16"/>
              </w:rPr>
              <w:t>c4. Network outside Abidjan</w:t>
            </w:r>
          </w:p>
        </w:tc>
        <w:tc>
          <w:tcPr>
            <w:tcW w:w="1161" w:type="dxa"/>
          </w:tcPr>
          <w:p w14:paraId="6A8BD19D" w14:textId="77777777" w:rsidR="00CF04BC" w:rsidRPr="00B93493" w:rsidRDefault="00CF04BC" w:rsidP="002E7F54">
            <w:pPr>
              <w:pStyle w:val="Tabletext"/>
              <w:rPr>
                <w:sz w:val="16"/>
                <w:szCs w:val="16"/>
              </w:rPr>
            </w:pPr>
          </w:p>
        </w:tc>
        <w:tc>
          <w:tcPr>
            <w:tcW w:w="1229" w:type="dxa"/>
          </w:tcPr>
          <w:p w14:paraId="10F56508" w14:textId="77777777" w:rsidR="00CF04BC" w:rsidRPr="00B93493" w:rsidRDefault="00CF04BC" w:rsidP="002E7F54">
            <w:pPr>
              <w:pStyle w:val="Tabletext"/>
              <w:rPr>
                <w:sz w:val="16"/>
                <w:szCs w:val="16"/>
              </w:rPr>
            </w:pPr>
          </w:p>
        </w:tc>
        <w:tc>
          <w:tcPr>
            <w:tcW w:w="1501" w:type="dxa"/>
          </w:tcPr>
          <w:p w14:paraId="31319416" w14:textId="77777777" w:rsidR="00CF04BC" w:rsidRPr="00B93493" w:rsidRDefault="00CF04BC" w:rsidP="002E7F54">
            <w:pPr>
              <w:pStyle w:val="Tabletext"/>
              <w:rPr>
                <w:sz w:val="16"/>
                <w:szCs w:val="16"/>
              </w:rPr>
            </w:pPr>
            <w:r w:rsidRPr="00B93493">
              <w:rPr>
                <w:sz w:val="16"/>
                <w:szCs w:val="16"/>
              </w:rPr>
              <w:t>290 000</w:t>
            </w:r>
          </w:p>
          <w:p w14:paraId="560AE1F6" w14:textId="77777777" w:rsidR="00CF04BC" w:rsidRPr="00B93493" w:rsidRDefault="00CF04BC" w:rsidP="002E7F54">
            <w:pPr>
              <w:pStyle w:val="Tabletext"/>
              <w:rPr>
                <w:sz w:val="16"/>
                <w:szCs w:val="16"/>
              </w:rPr>
            </w:pPr>
            <w:r w:rsidRPr="00B93493">
              <w:rPr>
                <w:sz w:val="16"/>
                <w:szCs w:val="16"/>
              </w:rPr>
              <w:t>145 000</w:t>
            </w:r>
          </w:p>
          <w:p w14:paraId="7A8B8FA0" w14:textId="77777777" w:rsidR="00CF04BC" w:rsidRPr="00B93493" w:rsidRDefault="00CF04BC" w:rsidP="002E7F54">
            <w:pPr>
              <w:pStyle w:val="Tabletext"/>
              <w:rPr>
                <w:sz w:val="16"/>
                <w:szCs w:val="16"/>
              </w:rPr>
            </w:pPr>
            <w:r w:rsidRPr="00B93493">
              <w:rPr>
                <w:sz w:val="16"/>
                <w:szCs w:val="16"/>
              </w:rPr>
              <w:t>58 000</w:t>
            </w:r>
          </w:p>
          <w:p w14:paraId="5711F797" w14:textId="77777777" w:rsidR="00CF04BC" w:rsidRPr="00B93493" w:rsidRDefault="00CF04BC" w:rsidP="002E7F54">
            <w:pPr>
              <w:pStyle w:val="Tabletext"/>
              <w:rPr>
                <w:sz w:val="16"/>
                <w:szCs w:val="16"/>
              </w:rPr>
            </w:pPr>
            <w:r w:rsidRPr="00B93493">
              <w:rPr>
                <w:sz w:val="16"/>
                <w:szCs w:val="16"/>
              </w:rPr>
              <w:t>58 000</w:t>
            </w:r>
          </w:p>
        </w:tc>
        <w:tc>
          <w:tcPr>
            <w:tcW w:w="1500" w:type="dxa"/>
          </w:tcPr>
          <w:p w14:paraId="67544F78" w14:textId="77777777" w:rsidR="00CF04BC" w:rsidRPr="00B93493" w:rsidRDefault="00CF04BC" w:rsidP="002E7F54">
            <w:pPr>
              <w:pStyle w:val="Tabletext"/>
              <w:rPr>
                <w:sz w:val="16"/>
                <w:szCs w:val="16"/>
              </w:rPr>
            </w:pPr>
          </w:p>
        </w:tc>
      </w:tr>
      <w:tr w:rsidR="00CF04BC" w:rsidRPr="00B93493" w14:paraId="6D0583D2" w14:textId="77777777" w:rsidTr="002E7F54">
        <w:trPr>
          <w:jc w:val="center"/>
        </w:trPr>
        <w:tc>
          <w:tcPr>
            <w:tcW w:w="4248" w:type="dxa"/>
          </w:tcPr>
          <w:p w14:paraId="5B036A05" w14:textId="77777777" w:rsidR="00CF04BC" w:rsidRPr="00B93493" w:rsidRDefault="00CF04BC" w:rsidP="00C65E6B">
            <w:pPr>
              <w:pStyle w:val="Tabletext"/>
              <w:jc w:val="left"/>
              <w:rPr>
                <w:sz w:val="16"/>
                <w:szCs w:val="16"/>
              </w:rPr>
            </w:pPr>
            <w:r w:rsidRPr="00B93493">
              <w:rPr>
                <w:sz w:val="16"/>
                <w:szCs w:val="16"/>
              </w:rPr>
              <w:t>I.2 – Radioelectric Network in MF/HF</w:t>
            </w:r>
          </w:p>
          <w:p w14:paraId="2D071DD4" w14:textId="77777777" w:rsidR="00CF04BC" w:rsidRPr="00B93493" w:rsidRDefault="00CF04BC" w:rsidP="00C65E6B">
            <w:pPr>
              <w:pStyle w:val="Tabletext"/>
              <w:jc w:val="left"/>
              <w:rPr>
                <w:sz w:val="16"/>
                <w:szCs w:val="16"/>
              </w:rPr>
            </w:pPr>
            <w:r w:rsidRPr="00B93493">
              <w:rPr>
                <w:sz w:val="16"/>
                <w:szCs w:val="16"/>
              </w:rPr>
              <w:tab/>
              <w:t>(with bandwidth equal to 3 KHz)</w:t>
            </w:r>
          </w:p>
        </w:tc>
        <w:tc>
          <w:tcPr>
            <w:tcW w:w="1161" w:type="dxa"/>
          </w:tcPr>
          <w:p w14:paraId="051029F5" w14:textId="77777777" w:rsidR="00CF04BC" w:rsidRPr="00B93493" w:rsidRDefault="00CF04BC" w:rsidP="002E7F54">
            <w:pPr>
              <w:pStyle w:val="Tabletext"/>
              <w:rPr>
                <w:sz w:val="16"/>
                <w:szCs w:val="16"/>
              </w:rPr>
            </w:pPr>
            <w:r w:rsidRPr="00B93493">
              <w:rPr>
                <w:sz w:val="16"/>
                <w:szCs w:val="16"/>
              </w:rPr>
              <w:t>11 600</w:t>
            </w:r>
          </w:p>
        </w:tc>
        <w:tc>
          <w:tcPr>
            <w:tcW w:w="1229" w:type="dxa"/>
          </w:tcPr>
          <w:p w14:paraId="58264A9C" w14:textId="77777777" w:rsidR="00CF04BC" w:rsidRPr="00B93493" w:rsidRDefault="00CF04BC" w:rsidP="002E7F54">
            <w:pPr>
              <w:pStyle w:val="Tabletext"/>
              <w:rPr>
                <w:sz w:val="16"/>
                <w:szCs w:val="16"/>
              </w:rPr>
            </w:pPr>
          </w:p>
        </w:tc>
        <w:tc>
          <w:tcPr>
            <w:tcW w:w="1501" w:type="dxa"/>
          </w:tcPr>
          <w:p w14:paraId="50091BC3" w14:textId="77777777" w:rsidR="00CF04BC" w:rsidRPr="00B93493" w:rsidRDefault="00CF04BC" w:rsidP="002E7F54">
            <w:pPr>
              <w:pStyle w:val="Tabletext"/>
              <w:rPr>
                <w:sz w:val="16"/>
                <w:szCs w:val="16"/>
              </w:rPr>
            </w:pPr>
          </w:p>
        </w:tc>
        <w:tc>
          <w:tcPr>
            <w:tcW w:w="1500" w:type="dxa"/>
          </w:tcPr>
          <w:p w14:paraId="087AE08F" w14:textId="77777777" w:rsidR="00CF04BC" w:rsidRPr="00B93493" w:rsidRDefault="00CF04BC" w:rsidP="002E7F54">
            <w:pPr>
              <w:pStyle w:val="Tabletext"/>
              <w:rPr>
                <w:sz w:val="16"/>
                <w:szCs w:val="16"/>
              </w:rPr>
            </w:pPr>
          </w:p>
        </w:tc>
      </w:tr>
      <w:tr w:rsidR="00CF04BC" w:rsidRPr="00B93493" w14:paraId="672C868D" w14:textId="77777777" w:rsidTr="002E7F54">
        <w:trPr>
          <w:jc w:val="center"/>
        </w:trPr>
        <w:tc>
          <w:tcPr>
            <w:tcW w:w="4248" w:type="dxa"/>
          </w:tcPr>
          <w:p w14:paraId="079F0023" w14:textId="77777777" w:rsidR="00CF04BC" w:rsidRPr="00B93493" w:rsidRDefault="00CF04BC" w:rsidP="00C65E6B">
            <w:pPr>
              <w:pStyle w:val="Tabletext"/>
              <w:jc w:val="left"/>
              <w:rPr>
                <w:sz w:val="16"/>
                <w:szCs w:val="16"/>
              </w:rPr>
            </w:pPr>
            <w:r w:rsidRPr="00B93493">
              <w:rPr>
                <w:sz w:val="16"/>
                <w:szCs w:val="16"/>
              </w:rPr>
              <w:t>1. Transmitter less than 50 W</w:t>
            </w:r>
          </w:p>
          <w:p w14:paraId="79D4E11B" w14:textId="77777777" w:rsidR="00CF04BC" w:rsidRPr="00B93493" w:rsidRDefault="00CF04BC" w:rsidP="00C65E6B">
            <w:pPr>
              <w:pStyle w:val="Tabletext"/>
              <w:jc w:val="left"/>
              <w:rPr>
                <w:sz w:val="16"/>
                <w:szCs w:val="16"/>
              </w:rPr>
            </w:pPr>
            <w:r w:rsidRPr="00B93493">
              <w:rPr>
                <w:sz w:val="16"/>
                <w:szCs w:val="16"/>
              </w:rPr>
              <w:t>a2. Transmitter between 50 and 150 W</w:t>
            </w:r>
          </w:p>
          <w:p w14:paraId="76CCB0F5" w14:textId="77777777" w:rsidR="00CF04BC" w:rsidRPr="00B93493" w:rsidRDefault="00CF04BC" w:rsidP="00C65E6B">
            <w:pPr>
              <w:pStyle w:val="Tabletext"/>
              <w:jc w:val="left"/>
              <w:rPr>
                <w:sz w:val="16"/>
                <w:szCs w:val="16"/>
              </w:rPr>
            </w:pPr>
            <w:r w:rsidRPr="00B93493">
              <w:rPr>
                <w:sz w:val="16"/>
                <w:szCs w:val="16"/>
              </w:rPr>
              <w:t>a3. Transmitter above 150 W</w:t>
            </w:r>
          </w:p>
        </w:tc>
        <w:tc>
          <w:tcPr>
            <w:tcW w:w="1161" w:type="dxa"/>
          </w:tcPr>
          <w:p w14:paraId="25AD936D" w14:textId="77777777" w:rsidR="00CF04BC" w:rsidRPr="00B93493" w:rsidRDefault="00CF04BC" w:rsidP="002E7F54">
            <w:pPr>
              <w:pStyle w:val="Tabletext"/>
              <w:rPr>
                <w:sz w:val="16"/>
                <w:szCs w:val="16"/>
              </w:rPr>
            </w:pPr>
          </w:p>
        </w:tc>
        <w:tc>
          <w:tcPr>
            <w:tcW w:w="1229" w:type="dxa"/>
          </w:tcPr>
          <w:p w14:paraId="0EFD9025" w14:textId="77777777" w:rsidR="00CF04BC" w:rsidRPr="00B93493" w:rsidRDefault="00CF04BC" w:rsidP="002E7F54">
            <w:pPr>
              <w:pStyle w:val="Tabletext"/>
              <w:rPr>
                <w:sz w:val="16"/>
                <w:szCs w:val="16"/>
              </w:rPr>
            </w:pPr>
            <w:r w:rsidRPr="00B93493">
              <w:rPr>
                <w:sz w:val="16"/>
                <w:szCs w:val="16"/>
              </w:rPr>
              <w:t>14 500</w:t>
            </w:r>
          </w:p>
          <w:p w14:paraId="308FA339" w14:textId="77777777" w:rsidR="00CF04BC" w:rsidRPr="00B93493" w:rsidRDefault="00CF04BC" w:rsidP="002E7F54">
            <w:pPr>
              <w:pStyle w:val="Tabletext"/>
              <w:rPr>
                <w:sz w:val="16"/>
                <w:szCs w:val="16"/>
              </w:rPr>
            </w:pPr>
            <w:r w:rsidRPr="00B93493">
              <w:rPr>
                <w:sz w:val="16"/>
                <w:szCs w:val="16"/>
              </w:rPr>
              <w:t>17 400</w:t>
            </w:r>
          </w:p>
          <w:p w14:paraId="11759C00" w14:textId="77777777" w:rsidR="00CF04BC" w:rsidRPr="00B93493" w:rsidRDefault="00CF04BC" w:rsidP="002E7F54">
            <w:pPr>
              <w:pStyle w:val="Tabletext"/>
              <w:rPr>
                <w:sz w:val="16"/>
                <w:szCs w:val="16"/>
              </w:rPr>
            </w:pPr>
            <w:r w:rsidRPr="00B93493">
              <w:rPr>
                <w:sz w:val="16"/>
                <w:szCs w:val="16"/>
              </w:rPr>
              <w:t>58 000</w:t>
            </w:r>
          </w:p>
        </w:tc>
        <w:tc>
          <w:tcPr>
            <w:tcW w:w="1501" w:type="dxa"/>
          </w:tcPr>
          <w:p w14:paraId="67EE5AC1" w14:textId="77777777" w:rsidR="00CF04BC" w:rsidRPr="00B93493" w:rsidRDefault="00CF04BC" w:rsidP="002E7F54">
            <w:pPr>
              <w:pStyle w:val="Tabletext"/>
              <w:rPr>
                <w:sz w:val="16"/>
                <w:szCs w:val="16"/>
              </w:rPr>
            </w:pPr>
          </w:p>
        </w:tc>
        <w:tc>
          <w:tcPr>
            <w:tcW w:w="1500" w:type="dxa"/>
          </w:tcPr>
          <w:p w14:paraId="3E1C8524" w14:textId="77777777" w:rsidR="00CF04BC" w:rsidRPr="00B93493" w:rsidRDefault="00CF04BC" w:rsidP="002E7F54">
            <w:pPr>
              <w:pStyle w:val="Tabletext"/>
              <w:rPr>
                <w:sz w:val="16"/>
                <w:szCs w:val="16"/>
              </w:rPr>
            </w:pPr>
          </w:p>
        </w:tc>
      </w:tr>
      <w:tr w:rsidR="00CF04BC" w:rsidRPr="00B93493" w14:paraId="46FC0474" w14:textId="77777777" w:rsidTr="002E7F54">
        <w:trPr>
          <w:jc w:val="center"/>
        </w:trPr>
        <w:tc>
          <w:tcPr>
            <w:tcW w:w="4248" w:type="dxa"/>
          </w:tcPr>
          <w:p w14:paraId="3232AC36" w14:textId="77777777" w:rsidR="00CF04BC" w:rsidRPr="00B93493" w:rsidRDefault="00CF04BC" w:rsidP="00C65E6B">
            <w:pPr>
              <w:pStyle w:val="Tabletext"/>
              <w:jc w:val="left"/>
              <w:rPr>
                <w:sz w:val="16"/>
                <w:szCs w:val="16"/>
              </w:rPr>
            </w:pPr>
            <w:r w:rsidRPr="00B93493">
              <w:rPr>
                <w:sz w:val="16"/>
                <w:szCs w:val="16"/>
              </w:rPr>
              <w:t>b1. Regional links (average 100 km)</w:t>
            </w:r>
          </w:p>
          <w:p w14:paraId="5D05570D" w14:textId="77777777" w:rsidR="00CF04BC" w:rsidRPr="00B93493" w:rsidRDefault="00CF04BC" w:rsidP="00C65E6B">
            <w:pPr>
              <w:pStyle w:val="Tabletext"/>
              <w:jc w:val="left"/>
              <w:rPr>
                <w:sz w:val="16"/>
                <w:szCs w:val="16"/>
              </w:rPr>
            </w:pPr>
            <w:r w:rsidRPr="00B93493">
              <w:rPr>
                <w:sz w:val="16"/>
                <w:szCs w:val="16"/>
              </w:rPr>
              <w:t>b2. Inter-regional links (average 250 km)</w:t>
            </w:r>
          </w:p>
          <w:p w14:paraId="30E979D8" w14:textId="77777777" w:rsidR="00CF04BC" w:rsidRPr="00B93493" w:rsidRDefault="00CF04BC" w:rsidP="00C65E6B">
            <w:pPr>
              <w:pStyle w:val="Tabletext"/>
              <w:jc w:val="left"/>
              <w:rPr>
                <w:sz w:val="16"/>
                <w:szCs w:val="16"/>
              </w:rPr>
            </w:pPr>
            <w:r w:rsidRPr="00B93493">
              <w:rPr>
                <w:sz w:val="16"/>
                <w:szCs w:val="16"/>
              </w:rPr>
              <w:t>b3. National Links (average 500 km)</w:t>
            </w:r>
          </w:p>
        </w:tc>
        <w:tc>
          <w:tcPr>
            <w:tcW w:w="1161" w:type="dxa"/>
          </w:tcPr>
          <w:p w14:paraId="07F4316F" w14:textId="77777777" w:rsidR="00CF04BC" w:rsidRPr="00B93493" w:rsidRDefault="00CF04BC" w:rsidP="002E7F54">
            <w:pPr>
              <w:pStyle w:val="Tabletext"/>
              <w:rPr>
                <w:sz w:val="16"/>
                <w:szCs w:val="16"/>
              </w:rPr>
            </w:pPr>
          </w:p>
        </w:tc>
        <w:tc>
          <w:tcPr>
            <w:tcW w:w="1229" w:type="dxa"/>
          </w:tcPr>
          <w:p w14:paraId="3E191A42" w14:textId="77777777" w:rsidR="00CF04BC" w:rsidRPr="00B93493" w:rsidRDefault="00CF04BC" w:rsidP="002E7F54">
            <w:pPr>
              <w:pStyle w:val="Tabletext"/>
              <w:rPr>
                <w:sz w:val="16"/>
                <w:szCs w:val="16"/>
              </w:rPr>
            </w:pPr>
          </w:p>
        </w:tc>
        <w:tc>
          <w:tcPr>
            <w:tcW w:w="1501" w:type="dxa"/>
          </w:tcPr>
          <w:p w14:paraId="641132E3" w14:textId="77777777" w:rsidR="00CF04BC" w:rsidRPr="00B93493" w:rsidRDefault="00CF04BC" w:rsidP="002E7F54">
            <w:pPr>
              <w:pStyle w:val="Tabletext"/>
              <w:rPr>
                <w:sz w:val="16"/>
                <w:szCs w:val="16"/>
              </w:rPr>
            </w:pPr>
          </w:p>
        </w:tc>
        <w:tc>
          <w:tcPr>
            <w:tcW w:w="1500" w:type="dxa"/>
          </w:tcPr>
          <w:p w14:paraId="02DA114D" w14:textId="77777777" w:rsidR="00CF04BC" w:rsidRPr="00B93493" w:rsidRDefault="00CF04BC" w:rsidP="002E7F54">
            <w:pPr>
              <w:pStyle w:val="Tabletext"/>
              <w:rPr>
                <w:sz w:val="16"/>
                <w:szCs w:val="16"/>
              </w:rPr>
            </w:pPr>
            <w:r w:rsidRPr="00B93493">
              <w:rPr>
                <w:sz w:val="16"/>
                <w:szCs w:val="16"/>
              </w:rPr>
              <w:t>348 000</w:t>
            </w:r>
          </w:p>
          <w:p w14:paraId="02D65A7E" w14:textId="77777777" w:rsidR="00CF04BC" w:rsidRPr="00B93493" w:rsidRDefault="00CF04BC" w:rsidP="002E7F54">
            <w:pPr>
              <w:pStyle w:val="Tabletext"/>
              <w:rPr>
                <w:sz w:val="16"/>
                <w:szCs w:val="16"/>
              </w:rPr>
            </w:pPr>
            <w:r w:rsidRPr="00B93493">
              <w:rPr>
                <w:sz w:val="16"/>
                <w:szCs w:val="16"/>
              </w:rPr>
              <w:t>870 000</w:t>
            </w:r>
          </w:p>
          <w:p w14:paraId="745A4AFF" w14:textId="77777777" w:rsidR="00CF04BC" w:rsidRPr="00B93493" w:rsidRDefault="00CF04BC" w:rsidP="002E7F54">
            <w:pPr>
              <w:pStyle w:val="Tabletext"/>
              <w:rPr>
                <w:sz w:val="16"/>
                <w:szCs w:val="16"/>
              </w:rPr>
            </w:pPr>
            <w:r w:rsidRPr="00B93493">
              <w:rPr>
                <w:sz w:val="16"/>
                <w:szCs w:val="16"/>
              </w:rPr>
              <w:t>1 740 000</w:t>
            </w:r>
          </w:p>
        </w:tc>
      </w:tr>
      <w:tr w:rsidR="00CF04BC" w:rsidRPr="00B93493" w14:paraId="32665EED" w14:textId="77777777" w:rsidTr="002E7F54">
        <w:trPr>
          <w:jc w:val="center"/>
        </w:trPr>
        <w:tc>
          <w:tcPr>
            <w:tcW w:w="4248" w:type="dxa"/>
          </w:tcPr>
          <w:p w14:paraId="4D43B706" w14:textId="77777777" w:rsidR="00CF04BC" w:rsidRPr="00B93493" w:rsidRDefault="00CF04BC" w:rsidP="00C65E6B">
            <w:pPr>
              <w:pStyle w:val="Tabletext"/>
              <w:jc w:val="left"/>
              <w:rPr>
                <w:sz w:val="16"/>
                <w:szCs w:val="16"/>
              </w:rPr>
            </w:pPr>
            <w:r w:rsidRPr="00B93493">
              <w:rPr>
                <w:sz w:val="16"/>
                <w:szCs w:val="16"/>
              </w:rPr>
              <w:t>c1. Network with less than 5 stations</w:t>
            </w:r>
          </w:p>
          <w:p w14:paraId="39D135B3" w14:textId="77777777" w:rsidR="00CF04BC" w:rsidRPr="00B93493" w:rsidRDefault="00CF04BC" w:rsidP="00C65E6B">
            <w:pPr>
              <w:pStyle w:val="Tabletext"/>
              <w:jc w:val="left"/>
              <w:rPr>
                <w:sz w:val="16"/>
                <w:szCs w:val="16"/>
              </w:rPr>
            </w:pPr>
            <w:r w:rsidRPr="00B93493">
              <w:rPr>
                <w:sz w:val="16"/>
                <w:szCs w:val="16"/>
              </w:rPr>
              <w:t>c2. Network with 5 to 10 stations</w:t>
            </w:r>
          </w:p>
          <w:p w14:paraId="2A05E9AC" w14:textId="77777777" w:rsidR="00CF04BC" w:rsidRPr="00B93493" w:rsidRDefault="00CF04BC" w:rsidP="00C65E6B">
            <w:pPr>
              <w:pStyle w:val="Tabletext"/>
              <w:jc w:val="left"/>
              <w:rPr>
                <w:sz w:val="16"/>
                <w:szCs w:val="16"/>
              </w:rPr>
            </w:pPr>
            <w:r w:rsidRPr="00B93493">
              <w:rPr>
                <w:sz w:val="16"/>
                <w:szCs w:val="16"/>
              </w:rPr>
              <w:t>c3. Network with more than 10 stations</w:t>
            </w:r>
          </w:p>
        </w:tc>
        <w:tc>
          <w:tcPr>
            <w:tcW w:w="1161" w:type="dxa"/>
          </w:tcPr>
          <w:p w14:paraId="3FE23690" w14:textId="77777777" w:rsidR="00CF04BC" w:rsidRPr="00B93493" w:rsidRDefault="00CF04BC" w:rsidP="002E7F54">
            <w:pPr>
              <w:pStyle w:val="Tabletext"/>
              <w:rPr>
                <w:sz w:val="16"/>
                <w:szCs w:val="16"/>
              </w:rPr>
            </w:pPr>
          </w:p>
        </w:tc>
        <w:tc>
          <w:tcPr>
            <w:tcW w:w="1229" w:type="dxa"/>
          </w:tcPr>
          <w:p w14:paraId="64540C4D" w14:textId="77777777" w:rsidR="00CF04BC" w:rsidRPr="00B93493" w:rsidRDefault="00CF04BC" w:rsidP="002E7F54">
            <w:pPr>
              <w:pStyle w:val="Tabletext"/>
              <w:rPr>
                <w:sz w:val="16"/>
                <w:szCs w:val="16"/>
              </w:rPr>
            </w:pPr>
          </w:p>
        </w:tc>
        <w:tc>
          <w:tcPr>
            <w:tcW w:w="1501" w:type="dxa"/>
          </w:tcPr>
          <w:p w14:paraId="0768C596" w14:textId="77777777" w:rsidR="00CF04BC" w:rsidRPr="00B93493" w:rsidRDefault="00CF04BC" w:rsidP="002E7F54">
            <w:pPr>
              <w:pStyle w:val="Tabletext"/>
              <w:rPr>
                <w:sz w:val="16"/>
                <w:szCs w:val="16"/>
              </w:rPr>
            </w:pPr>
            <w:r w:rsidRPr="00B93493">
              <w:rPr>
                <w:sz w:val="16"/>
                <w:szCs w:val="16"/>
              </w:rPr>
              <w:t>58 000</w:t>
            </w:r>
          </w:p>
          <w:p w14:paraId="5970B646" w14:textId="77777777" w:rsidR="00CF04BC" w:rsidRPr="00B93493" w:rsidRDefault="00CF04BC" w:rsidP="002E7F54">
            <w:pPr>
              <w:pStyle w:val="Tabletext"/>
              <w:rPr>
                <w:sz w:val="16"/>
                <w:szCs w:val="16"/>
              </w:rPr>
            </w:pPr>
            <w:r w:rsidRPr="00B93493">
              <w:rPr>
                <w:sz w:val="16"/>
                <w:szCs w:val="16"/>
              </w:rPr>
              <w:t>87 000</w:t>
            </w:r>
          </w:p>
          <w:p w14:paraId="540D90C4" w14:textId="77777777" w:rsidR="00CF04BC" w:rsidRPr="00B93493" w:rsidRDefault="00CF04BC" w:rsidP="002E7F54">
            <w:pPr>
              <w:pStyle w:val="Tabletext"/>
              <w:rPr>
                <w:sz w:val="16"/>
                <w:szCs w:val="16"/>
              </w:rPr>
            </w:pPr>
            <w:r w:rsidRPr="00B93493">
              <w:rPr>
                <w:sz w:val="16"/>
                <w:szCs w:val="16"/>
              </w:rPr>
              <w:t>145 000</w:t>
            </w:r>
          </w:p>
        </w:tc>
        <w:tc>
          <w:tcPr>
            <w:tcW w:w="1500" w:type="dxa"/>
          </w:tcPr>
          <w:p w14:paraId="27779A47" w14:textId="77777777" w:rsidR="00CF04BC" w:rsidRPr="00B93493" w:rsidRDefault="00CF04BC" w:rsidP="002E7F54">
            <w:pPr>
              <w:pStyle w:val="Tabletext"/>
              <w:rPr>
                <w:sz w:val="16"/>
                <w:szCs w:val="16"/>
              </w:rPr>
            </w:pPr>
          </w:p>
        </w:tc>
      </w:tr>
      <w:tr w:rsidR="00CF04BC" w:rsidRPr="00B93493" w14:paraId="20E49684" w14:textId="77777777" w:rsidTr="002E7F54">
        <w:trPr>
          <w:jc w:val="center"/>
        </w:trPr>
        <w:tc>
          <w:tcPr>
            <w:tcW w:w="4248" w:type="dxa"/>
          </w:tcPr>
          <w:p w14:paraId="1C54685E" w14:textId="77777777" w:rsidR="00CF04BC" w:rsidRPr="00B93493" w:rsidRDefault="00CF04BC" w:rsidP="00C65E6B">
            <w:pPr>
              <w:pStyle w:val="Tabletext"/>
              <w:jc w:val="left"/>
              <w:rPr>
                <w:sz w:val="16"/>
                <w:szCs w:val="16"/>
              </w:rPr>
            </w:pPr>
            <w:r w:rsidRPr="00B93493">
              <w:rPr>
                <w:sz w:val="16"/>
                <w:szCs w:val="16"/>
              </w:rPr>
              <w:t xml:space="preserve">I.3 – Research radio/ Message radio networks </w:t>
            </w:r>
            <w:r w:rsidRPr="00B93493">
              <w:rPr>
                <w:sz w:val="16"/>
                <w:szCs w:val="16"/>
              </w:rPr>
              <w:br/>
            </w:r>
            <w:r w:rsidRPr="00B93493">
              <w:rPr>
                <w:sz w:val="16"/>
                <w:szCs w:val="16"/>
              </w:rPr>
              <w:tab/>
              <w:t>(Paging) (bandwidth = 12.5 KHz)</w:t>
            </w:r>
          </w:p>
        </w:tc>
        <w:tc>
          <w:tcPr>
            <w:tcW w:w="1161" w:type="dxa"/>
          </w:tcPr>
          <w:p w14:paraId="6D348F73" w14:textId="77777777" w:rsidR="00CF04BC" w:rsidRPr="00B93493" w:rsidRDefault="00CF04BC" w:rsidP="002E7F54">
            <w:pPr>
              <w:pStyle w:val="Tabletext"/>
              <w:rPr>
                <w:sz w:val="16"/>
                <w:szCs w:val="16"/>
              </w:rPr>
            </w:pPr>
          </w:p>
        </w:tc>
        <w:tc>
          <w:tcPr>
            <w:tcW w:w="1229" w:type="dxa"/>
          </w:tcPr>
          <w:p w14:paraId="14701C8D" w14:textId="77777777" w:rsidR="00CF04BC" w:rsidRPr="00B93493" w:rsidRDefault="00CF04BC" w:rsidP="002E7F54">
            <w:pPr>
              <w:pStyle w:val="Tabletext"/>
              <w:rPr>
                <w:sz w:val="16"/>
                <w:szCs w:val="16"/>
              </w:rPr>
            </w:pPr>
            <w:r w:rsidRPr="00B93493">
              <w:rPr>
                <w:sz w:val="16"/>
                <w:szCs w:val="16"/>
              </w:rPr>
              <w:t>34 800</w:t>
            </w:r>
          </w:p>
        </w:tc>
        <w:tc>
          <w:tcPr>
            <w:tcW w:w="1501" w:type="dxa"/>
          </w:tcPr>
          <w:p w14:paraId="2C0404BF" w14:textId="77777777" w:rsidR="00CF04BC" w:rsidRPr="00B93493" w:rsidRDefault="00CF04BC" w:rsidP="002E7F54">
            <w:pPr>
              <w:pStyle w:val="Tabletext"/>
              <w:rPr>
                <w:sz w:val="16"/>
                <w:szCs w:val="16"/>
              </w:rPr>
            </w:pPr>
          </w:p>
        </w:tc>
        <w:tc>
          <w:tcPr>
            <w:tcW w:w="1500" w:type="dxa"/>
          </w:tcPr>
          <w:p w14:paraId="3136DDB8" w14:textId="77777777" w:rsidR="00CF04BC" w:rsidRPr="00B93493" w:rsidRDefault="00CF04BC" w:rsidP="002E7F54">
            <w:pPr>
              <w:pStyle w:val="Tabletext"/>
              <w:rPr>
                <w:sz w:val="16"/>
                <w:szCs w:val="16"/>
              </w:rPr>
            </w:pPr>
          </w:p>
        </w:tc>
      </w:tr>
      <w:tr w:rsidR="00CF04BC" w:rsidRPr="00B93493" w14:paraId="0A069764" w14:textId="77777777" w:rsidTr="002E7F54">
        <w:trPr>
          <w:jc w:val="center"/>
        </w:trPr>
        <w:tc>
          <w:tcPr>
            <w:tcW w:w="4248" w:type="dxa"/>
          </w:tcPr>
          <w:p w14:paraId="7C6F020B" w14:textId="77777777" w:rsidR="00CF04BC" w:rsidRPr="00B93493" w:rsidRDefault="00CF04BC" w:rsidP="00C65E6B">
            <w:pPr>
              <w:pStyle w:val="Tabletext"/>
              <w:jc w:val="left"/>
              <w:rPr>
                <w:sz w:val="16"/>
                <w:szCs w:val="16"/>
              </w:rPr>
            </w:pPr>
            <w:r w:rsidRPr="00B93493">
              <w:rPr>
                <w:sz w:val="16"/>
                <w:szCs w:val="16"/>
              </w:rPr>
              <w:t>a1. Local network (urban)</w:t>
            </w:r>
          </w:p>
          <w:p w14:paraId="49AE53C3" w14:textId="77777777" w:rsidR="00CF04BC" w:rsidRPr="00B93493" w:rsidRDefault="00CF04BC" w:rsidP="00C65E6B">
            <w:pPr>
              <w:pStyle w:val="Tabletext"/>
              <w:jc w:val="left"/>
              <w:rPr>
                <w:sz w:val="16"/>
                <w:szCs w:val="16"/>
              </w:rPr>
            </w:pPr>
            <w:r w:rsidRPr="00B93493">
              <w:rPr>
                <w:sz w:val="16"/>
                <w:szCs w:val="16"/>
              </w:rPr>
              <w:t>a2. Regional network (interurban)</w:t>
            </w:r>
          </w:p>
          <w:p w14:paraId="3FD02BBE" w14:textId="77777777" w:rsidR="00CF04BC" w:rsidRPr="00B93493" w:rsidRDefault="00CF04BC" w:rsidP="00C65E6B">
            <w:pPr>
              <w:pStyle w:val="Tabletext"/>
              <w:jc w:val="left"/>
              <w:rPr>
                <w:sz w:val="16"/>
                <w:szCs w:val="16"/>
              </w:rPr>
            </w:pPr>
            <w:r w:rsidRPr="00B93493">
              <w:rPr>
                <w:sz w:val="16"/>
                <w:szCs w:val="16"/>
              </w:rPr>
              <w:t>a3. National network</w:t>
            </w:r>
          </w:p>
        </w:tc>
        <w:tc>
          <w:tcPr>
            <w:tcW w:w="1161" w:type="dxa"/>
          </w:tcPr>
          <w:p w14:paraId="302AF1F0" w14:textId="77777777" w:rsidR="00CF04BC" w:rsidRPr="00B93493" w:rsidRDefault="00CF04BC" w:rsidP="002E7F54">
            <w:pPr>
              <w:pStyle w:val="Tabletext"/>
              <w:rPr>
                <w:sz w:val="16"/>
                <w:szCs w:val="16"/>
              </w:rPr>
            </w:pPr>
            <w:r w:rsidRPr="00B93493">
              <w:rPr>
                <w:sz w:val="16"/>
                <w:szCs w:val="16"/>
              </w:rPr>
              <w:t>116 000</w:t>
            </w:r>
          </w:p>
          <w:p w14:paraId="7A905CD3" w14:textId="77777777" w:rsidR="00CF04BC" w:rsidRPr="00B93493" w:rsidRDefault="00CF04BC" w:rsidP="002E7F54">
            <w:pPr>
              <w:pStyle w:val="Tabletext"/>
              <w:rPr>
                <w:sz w:val="16"/>
                <w:szCs w:val="16"/>
              </w:rPr>
            </w:pPr>
            <w:r w:rsidRPr="00B93493">
              <w:rPr>
                <w:sz w:val="16"/>
                <w:szCs w:val="16"/>
              </w:rPr>
              <w:t>290 000</w:t>
            </w:r>
          </w:p>
          <w:p w14:paraId="0F46064A" w14:textId="77777777" w:rsidR="00CF04BC" w:rsidRPr="00B93493" w:rsidRDefault="00CF04BC" w:rsidP="002E7F54">
            <w:pPr>
              <w:pStyle w:val="Tabletext"/>
              <w:rPr>
                <w:sz w:val="16"/>
                <w:szCs w:val="16"/>
              </w:rPr>
            </w:pPr>
            <w:r w:rsidRPr="00B93493">
              <w:rPr>
                <w:sz w:val="16"/>
                <w:szCs w:val="16"/>
              </w:rPr>
              <w:t>580 000</w:t>
            </w:r>
          </w:p>
        </w:tc>
        <w:tc>
          <w:tcPr>
            <w:tcW w:w="1229" w:type="dxa"/>
          </w:tcPr>
          <w:p w14:paraId="0C6BED46" w14:textId="77777777" w:rsidR="00CF04BC" w:rsidRPr="00B93493" w:rsidRDefault="00CF04BC" w:rsidP="002E7F54">
            <w:pPr>
              <w:pStyle w:val="Tabletext"/>
              <w:rPr>
                <w:sz w:val="16"/>
                <w:szCs w:val="16"/>
              </w:rPr>
            </w:pPr>
          </w:p>
        </w:tc>
        <w:tc>
          <w:tcPr>
            <w:tcW w:w="1501" w:type="dxa"/>
          </w:tcPr>
          <w:p w14:paraId="237A463C" w14:textId="77777777" w:rsidR="00CF04BC" w:rsidRPr="00B93493" w:rsidRDefault="00CF04BC" w:rsidP="002E7F54">
            <w:pPr>
              <w:pStyle w:val="Tabletext"/>
              <w:rPr>
                <w:sz w:val="16"/>
                <w:szCs w:val="16"/>
              </w:rPr>
            </w:pPr>
          </w:p>
        </w:tc>
        <w:tc>
          <w:tcPr>
            <w:tcW w:w="1500" w:type="dxa"/>
          </w:tcPr>
          <w:p w14:paraId="24E5414B" w14:textId="77777777" w:rsidR="00CF04BC" w:rsidRPr="00B93493" w:rsidRDefault="00CF04BC" w:rsidP="002E7F54">
            <w:pPr>
              <w:pStyle w:val="Tabletext"/>
              <w:rPr>
                <w:sz w:val="16"/>
                <w:szCs w:val="16"/>
              </w:rPr>
            </w:pPr>
          </w:p>
        </w:tc>
      </w:tr>
      <w:tr w:rsidR="00CF04BC" w:rsidRPr="00B93493" w14:paraId="7A756D20" w14:textId="77777777" w:rsidTr="002E7F54">
        <w:trPr>
          <w:jc w:val="center"/>
        </w:trPr>
        <w:tc>
          <w:tcPr>
            <w:tcW w:w="4248" w:type="dxa"/>
          </w:tcPr>
          <w:p w14:paraId="39EA9332" w14:textId="77777777" w:rsidR="00CF04BC" w:rsidRPr="00B93493" w:rsidRDefault="00CF04BC" w:rsidP="00C65E6B">
            <w:pPr>
              <w:pStyle w:val="Tabletext"/>
              <w:jc w:val="left"/>
              <w:rPr>
                <w:sz w:val="16"/>
                <w:szCs w:val="16"/>
              </w:rPr>
            </w:pPr>
            <w:r w:rsidRPr="00B93493">
              <w:rPr>
                <w:sz w:val="16"/>
                <w:szCs w:val="16"/>
              </w:rPr>
              <w:t>b1. Base station</w:t>
            </w:r>
          </w:p>
        </w:tc>
        <w:tc>
          <w:tcPr>
            <w:tcW w:w="1161" w:type="dxa"/>
          </w:tcPr>
          <w:p w14:paraId="771DC405" w14:textId="77777777" w:rsidR="00CF04BC" w:rsidRPr="00B93493" w:rsidRDefault="00CF04BC" w:rsidP="002E7F54">
            <w:pPr>
              <w:pStyle w:val="Tabletext"/>
              <w:rPr>
                <w:sz w:val="16"/>
                <w:szCs w:val="16"/>
              </w:rPr>
            </w:pPr>
          </w:p>
        </w:tc>
        <w:tc>
          <w:tcPr>
            <w:tcW w:w="1229" w:type="dxa"/>
          </w:tcPr>
          <w:p w14:paraId="4BF5F25F" w14:textId="77777777" w:rsidR="00CF04BC" w:rsidRPr="00B93493" w:rsidRDefault="00CF04BC" w:rsidP="002E7F54">
            <w:pPr>
              <w:pStyle w:val="Tabletext"/>
              <w:rPr>
                <w:sz w:val="16"/>
                <w:szCs w:val="16"/>
              </w:rPr>
            </w:pPr>
            <w:r w:rsidRPr="00B93493">
              <w:rPr>
                <w:sz w:val="16"/>
                <w:szCs w:val="16"/>
              </w:rPr>
              <w:t>34 800</w:t>
            </w:r>
          </w:p>
        </w:tc>
        <w:tc>
          <w:tcPr>
            <w:tcW w:w="1501" w:type="dxa"/>
          </w:tcPr>
          <w:p w14:paraId="355FF869" w14:textId="77777777" w:rsidR="00CF04BC" w:rsidRPr="00B93493" w:rsidRDefault="00CF04BC" w:rsidP="002E7F54">
            <w:pPr>
              <w:pStyle w:val="Tabletext"/>
              <w:rPr>
                <w:sz w:val="16"/>
                <w:szCs w:val="16"/>
              </w:rPr>
            </w:pPr>
          </w:p>
        </w:tc>
        <w:tc>
          <w:tcPr>
            <w:tcW w:w="1500" w:type="dxa"/>
          </w:tcPr>
          <w:p w14:paraId="3DC99C13" w14:textId="77777777" w:rsidR="00CF04BC" w:rsidRPr="00B93493" w:rsidRDefault="00CF04BC" w:rsidP="002E7F54">
            <w:pPr>
              <w:pStyle w:val="Tabletext"/>
              <w:rPr>
                <w:sz w:val="16"/>
                <w:szCs w:val="16"/>
              </w:rPr>
            </w:pPr>
          </w:p>
        </w:tc>
      </w:tr>
      <w:tr w:rsidR="00CF04BC" w:rsidRPr="00B93493" w14:paraId="064EE154" w14:textId="77777777" w:rsidTr="002E7F54">
        <w:trPr>
          <w:jc w:val="center"/>
        </w:trPr>
        <w:tc>
          <w:tcPr>
            <w:tcW w:w="4248" w:type="dxa"/>
          </w:tcPr>
          <w:p w14:paraId="05E857DE" w14:textId="77777777" w:rsidR="00CF04BC" w:rsidRPr="00B93493" w:rsidRDefault="00CF04BC" w:rsidP="00C65E6B">
            <w:pPr>
              <w:pStyle w:val="Tabletext"/>
              <w:jc w:val="left"/>
              <w:rPr>
                <w:sz w:val="16"/>
                <w:szCs w:val="16"/>
              </w:rPr>
            </w:pPr>
            <w:r w:rsidRPr="00B93493">
              <w:rPr>
                <w:sz w:val="16"/>
                <w:szCs w:val="16"/>
              </w:rPr>
              <w:t>c1. Locally available frequency</w:t>
            </w:r>
          </w:p>
          <w:p w14:paraId="3D7FA136" w14:textId="77777777" w:rsidR="00CF04BC" w:rsidRPr="00B93493" w:rsidRDefault="00CF04BC" w:rsidP="00C65E6B">
            <w:pPr>
              <w:pStyle w:val="Tabletext"/>
              <w:jc w:val="left"/>
              <w:rPr>
                <w:sz w:val="16"/>
                <w:szCs w:val="16"/>
              </w:rPr>
            </w:pPr>
            <w:r w:rsidRPr="00B93493">
              <w:rPr>
                <w:sz w:val="16"/>
                <w:szCs w:val="16"/>
              </w:rPr>
              <w:t>c2. Regional available frequency</w:t>
            </w:r>
          </w:p>
          <w:p w14:paraId="64586BFB" w14:textId="77777777" w:rsidR="00CF04BC" w:rsidRPr="00B93493" w:rsidRDefault="00CF04BC" w:rsidP="00C65E6B">
            <w:pPr>
              <w:pStyle w:val="Tabletext"/>
              <w:jc w:val="left"/>
              <w:rPr>
                <w:sz w:val="16"/>
                <w:szCs w:val="16"/>
              </w:rPr>
            </w:pPr>
            <w:r w:rsidRPr="00B93493">
              <w:rPr>
                <w:sz w:val="16"/>
                <w:szCs w:val="16"/>
              </w:rPr>
              <w:t>c3. Frequency available throughout the national territory</w:t>
            </w:r>
          </w:p>
        </w:tc>
        <w:tc>
          <w:tcPr>
            <w:tcW w:w="1161" w:type="dxa"/>
          </w:tcPr>
          <w:p w14:paraId="2F337472" w14:textId="77777777" w:rsidR="00CF04BC" w:rsidRPr="00B93493" w:rsidRDefault="00CF04BC" w:rsidP="002E7F54">
            <w:pPr>
              <w:pStyle w:val="Tabletext"/>
              <w:rPr>
                <w:sz w:val="16"/>
                <w:szCs w:val="16"/>
              </w:rPr>
            </w:pPr>
          </w:p>
        </w:tc>
        <w:tc>
          <w:tcPr>
            <w:tcW w:w="1229" w:type="dxa"/>
          </w:tcPr>
          <w:p w14:paraId="64070158" w14:textId="77777777" w:rsidR="00CF04BC" w:rsidRPr="00B93493" w:rsidRDefault="00CF04BC" w:rsidP="002E7F54">
            <w:pPr>
              <w:pStyle w:val="Tabletext"/>
              <w:rPr>
                <w:sz w:val="16"/>
                <w:szCs w:val="16"/>
              </w:rPr>
            </w:pPr>
          </w:p>
        </w:tc>
        <w:tc>
          <w:tcPr>
            <w:tcW w:w="1501" w:type="dxa"/>
          </w:tcPr>
          <w:p w14:paraId="7BCB7531" w14:textId="77777777" w:rsidR="00CF04BC" w:rsidRPr="00B93493" w:rsidRDefault="00CF04BC" w:rsidP="002E7F54">
            <w:pPr>
              <w:pStyle w:val="Tabletext"/>
              <w:rPr>
                <w:sz w:val="16"/>
                <w:szCs w:val="16"/>
              </w:rPr>
            </w:pPr>
          </w:p>
        </w:tc>
        <w:tc>
          <w:tcPr>
            <w:tcW w:w="1500" w:type="dxa"/>
          </w:tcPr>
          <w:p w14:paraId="475BCC0A" w14:textId="77777777" w:rsidR="00CF04BC" w:rsidRPr="00B93493" w:rsidRDefault="00CF04BC" w:rsidP="002E7F54">
            <w:pPr>
              <w:pStyle w:val="Tabletext"/>
              <w:rPr>
                <w:sz w:val="16"/>
                <w:szCs w:val="16"/>
              </w:rPr>
            </w:pPr>
            <w:r w:rsidRPr="00B93493">
              <w:rPr>
                <w:sz w:val="16"/>
                <w:szCs w:val="16"/>
              </w:rPr>
              <w:t>1 044 000</w:t>
            </w:r>
          </w:p>
          <w:p w14:paraId="27AF838F" w14:textId="77777777" w:rsidR="00CF04BC" w:rsidRPr="00B93493" w:rsidRDefault="00CF04BC" w:rsidP="002E7F54">
            <w:pPr>
              <w:pStyle w:val="Tabletext"/>
              <w:rPr>
                <w:sz w:val="16"/>
                <w:szCs w:val="16"/>
              </w:rPr>
            </w:pPr>
            <w:r w:rsidRPr="00B93493">
              <w:rPr>
                <w:sz w:val="16"/>
                <w:szCs w:val="16"/>
              </w:rPr>
              <w:t>3 480 000</w:t>
            </w:r>
          </w:p>
          <w:p w14:paraId="1356DC52" w14:textId="77777777" w:rsidR="00CF04BC" w:rsidRPr="00B93493" w:rsidRDefault="00CF04BC" w:rsidP="002E7F54">
            <w:pPr>
              <w:pStyle w:val="Tabletext"/>
              <w:rPr>
                <w:sz w:val="16"/>
                <w:szCs w:val="16"/>
              </w:rPr>
            </w:pPr>
            <w:r w:rsidRPr="00B93493">
              <w:rPr>
                <w:sz w:val="16"/>
                <w:szCs w:val="16"/>
              </w:rPr>
              <w:t>5 800 000</w:t>
            </w:r>
          </w:p>
        </w:tc>
      </w:tr>
      <w:tr w:rsidR="00CF04BC" w:rsidRPr="00B93493" w14:paraId="29E7B236" w14:textId="77777777" w:rsidTr="002E7F54">
        <w:trPr>
          <w:jc w:val="center"/>
        </w:trPr>
        <w:tc>
          <w:tcPr>
            <w:tcW w:w="4248" w:type="dxa"/>
          </w:tcPr>
          <w:p w14:paraId="1B26F516" w14:textId="77777777" w:rsidR="00CF04BC" w:rsidRPr="00B93493" w:rsidRDefault="00CF04BC" w:rsidP="00C65E6B">
            <w:pPr>
              <w:pStyle w:val="Tabletext"/>
              <w:ind w:left="284" w:hanging="284"/>
              <w:jc w:val="left"/>
              <w:rPr>
                <w:sz w:val="16"/>
                <w:szCs w:val="16"/>
              </w:rPr>
            </w:pPr>
            <w:r w:rsidRPr="00B93493">
              <w:rPr>
                <w:sz w:val="16"/>
                <w:szCs w:val="16"/>
              </w:rPr>
              <w:t>I.4 – Shared resources network (Trunking)</w:t>
            </w:r>
          </w:p>
          <w:p w14:paraId="40950EDB" w14:textId="77777777" w:rsidR="00CF04BC" w:rsidRPr="00B93493" w:rsidRDefault="00CF04BC" w:rsidP="00C65E6B">
            <w:pPr>
              <w:pStyle w:val="Tabletext"/>
              <w:jc w:val="left"/>
              <w:rPr>
                <w:sz w:val="16"/>
                <w:szCs w:val="16"/>
              </w:rPr>
            </w:pPr>
            <w:r w:rsidRPr="00B93493">
              <w:rPr>
                <w:sz w:val="16"/>
                <w:szCs w:val="16"/>
              </w:rPr>
              <w:tab/>
              <w:t>(with bandwidth of 12.5 KHz)</w:t>
            </w:r>
          </w:p>
        </w:tc>
        <w:tc>
          <w:tcPr>
            <w:tcW w:w="1161" w:type="dxa"/>
          </w:tcPr>
          <w:p w14:paraId="3167B470" w14:textId="77777777" w:rsidR="00CF04BC" w:rsidRPr="00B93493" w:rsidRDefault="00CF04BC" w:rsidP="002E7F54">
            <w:pPr>
              <w:pStyle w:val="Tabletext"/>
              <w:rPr>
                <w:sz w:val="16"/>
                <w:szCs w:val="16"/>
              </w:rPr>
            </w:pPr>
          </w:p>
        </w:tc>
        <w:tc>
          <w:tcPr>
            <w:tcW w:w="1229" w:type="dxa"/>
          </w:tcPr>
          <w:p w14:paraId="7281EE19" w14:textId="77777777" w:rsidR="00CF04BC" w:rsidRPr="00B93493" w:rsidRDefault="00CF04BC" w:rsidP="002E7F54">
            <w:pPr>
              <w:pStyle w:val="Tabletext"/>
              <w:rPr>
                <w:sz w:val="16"/>
                <w:szCs w:val="16"/>
              </w:rPr>
            </w:pPr>
          </w:p>
        </w:tc>
        <w:tc>
          <w:tcPr>
            <w:tcW w:w="1501" w:type="dxa"/>
          </w:tcPr>
          <w:p w14:paraId="7D9824DF" w14:textId="77777777" w:rsidR="00CF04BC" w:rsidRPr="00B93493" w:rsidRDefault="00CF04BC" w:rsidP="002E7F54">
            <w:pPr>
              <w:pStyle w:val="Tabletext"/>
              <w:rPr>
                <w:sz w:val="16"/>
                <w:szCs w:val="16"/>
              </w:rPr>
            </w:pPr>
          </w:p>
        </w:tc>
        <w:tc>
          <w:tcPr>
            <w:tcW w:w="1500" w:type="dxa"/>
          </w:tcPr>
          <w:p w14:paraId="50CB7F83" w14:textId="77777777" w:rsidR="00CF04BC" w:rsidRPr="00B93493" w:rsidRDefault="00CF04BC" w:rsidP="002E7F54">
            <w:pPr>
              <w:pStyle w:val="Tabletext"/>
              <w:rPr>
                <w:sz w:val="16"/>
                <w:szCs w:val="16"/>
              </w:rPr>
            </w:pPr>
          </w:p>
        </w:tc>
      </w:tr>
      <w:tr w:rsidR="00CF04BC" w:rsidRPr="00B93493" w14:paraId="0849850B" w14:textId="77777777" w:rsidTr="002E7F54">
        <w:trPr>
          <w:jc w:val="center"/>
        </w:trPr>
        <w:tc>
          <w:tcPr>
            <w:tcW w:w="4248" w:type="dxa"/>
          </w:tcPr>
          <w:p w14:paraId="38AC917E" w14:textId="77777777" w:rsidR="00CF04BC" w:rsidRPr="00B93493" w:rsidRDefault="00CF04BC" w:rsidP="00C65E6B">
            <w:pPr>
              <w:pStyle w:val="Tabletext"/>
              <w:jc w:val="left"/>
              <w:rPr>
                <w:sz w:val="16"/>
                <w:szCs w:val="16"/>
              </w:rPr>
            </w:pPr>
            <w:r w:rsidRPr="00B93493">
              <w:rPr>
                <w:sz w:val="16"/>
                <w:szCs w:val="16"/>
              </w:rPr>
              <w:t>a1. Local network</w:t>
            </w:r>
          </w:p>
          <w:p w14:paraId="4F565A60" w14:textId="77777777" w:rsidR="00CF04BC" w:rsidRPr="00B93493" w:rsidRDefault="00CF04BC" w:rsidP="00C65E6B">
            <w:pPr>
              <w:pStyle w:val="Tabletext"/>
              <w:jc w:val="left"/>
              <w:rPr>
                <w:sz w:val="16"/>
                <w:szCs w:val="16"/>
              </w:rPr>
            </w:pPr>
            <w:r w:rsidRPr="00B93493">
              <w:rPr>
                <w:sz w:val="16"/>
                <w:szCs w:val="16"/>
              </w:rPr>
              <w:t>a2. Regional network</w:t>
            </w:r>
          </w:p>
          <w:p w14:paraId="3ED5F948" w14:textId="77777777" w:rsidR="00CF04BC" w:rsidRPr="00B93493" w:rsidRDefault="00CF04BC" w:rsidP="00C65E6B">
            <w:pPr>
              <w:pStyle w:val="Tabletext"/>
              <w:jc w:val="left"/>
              <w:rPr>
                <w:sz w:val="16"/>
                <w:szCs w:val="16"/>
              </w:rPr>
            </w:pPr>
            <w:r w:rsidRPr="00B93493">
              <w:rPr>
                <w:sz w:val="16"/>
                <w:szCs w:val="16"/>
              </w:rPr>
              <w:t>a3. National network</w:t>
            </w:r>
          </w:p>
        </w:tc>
        <w:tc>
          <w:tcPr>
            <w:tcW w:w="1161" w:type="dxa"/>
          </w:tcPr>
          <w:p w14:paraId="31C901EB" w14:textId="77777777" w:rsidR="00CF04BC" w:rsidRPr="00B93493" w:rsidRDefault="00CF04BC" w:rsidP="002E7F54">
            <w:pPr>
              <w:pStyle w:val="Tabletext"/>
              <w:rPr>
                <w:sz w:val="16"/>
                <w:szCs w:val="16"/>
              </w:rPr>
            </w:pPr>
            <w:r w:rsidRPr="00B93493">
              <w:rPr>
                <w:sz w:val="16"/>
                <w:szCs w:val="16"/>
              </w:rPr>
              <w:t>16 000</w:t>
            </w:r>
          </w:p>
          <w:p w14:paraId="075B6825" w14:textId="77777777" w:rsidR="00CF04BC" w:rsidRPr="00B93493" w:rsidRDefault="00CF04BC" w:rsidP="002E7F54">
            <w:pPr>
              <w:pStyle w:val="Tabletext"/>
              <w:rPr>
                <w:sz w:val="16"/>
                <w:szCs w:val="16"/>
              </w:rPr>
            </w:pPr>
            <w:r w:rsidRPr="00B93493">
              <w:rPr>
                <w:sz w:val="16"/>
                <w:szCs w:val="16"/>
              </w:rPr>
              <w:t>290 000</w:t>
            </w:r>
          </w:p>
          <w:p w14:paraId="58B709C3" w14:textId="77777777" w:rsidR="00CF04BC" w:rsidRPr="00B93493" w:rsidRDefault="00CF04BC" w:rsidP="002E7F54">
            <w:pPr>
              <w:pStyle w:val="Tabletext"/>
              <w:rPr>
                <w:sz w:val="16"/>
                <w:szCs w:val="16"/>
              </w:rPr>
            </w:pPr>
            <w:r w:rsidRPr="00B93493">
              <w:rPr>
                <w:sz w:val="16"/>
                <w:szCs w:val="16"/>
              </w:rPr>
              <w:t>580 000</w:t>
            </w:r>
          </w:p>
        </w:tc>
        <w:tc>
          <w:tcPr>
            <w:tcW w:w="1229" w:type="dxa"/>
          </w:tcPr>
          <w:p w14:paraId="00FE7222" w14:textId="77777777" w:rsidR="00CF04BC" w:rsidRPr="00B93493" w:rsidRDefault="00CF04BC" w:rsidP="002E7F54">
            <w:pPr>
              <w:pStyle w:val="Tabletext"/>
              <w:rPr>
                <w:sz w:val="16"/>
                <w:szCs w:val="16"/>
              </w:rPr>
            </w:pPr>
          </w:p>
        </w:tc>
        <w:tc>
          <w:tcPr>
            <w:tcW w:w="1501" w:type="dxa"/>
          </w:tcPr>
          <w:p w14:paraId="3C6D323B" w14:textId="77777777" w:rsidR="00CF04BC" w:rsidRPr="00B93493" w:rsidRDefault="00CF04BC" w:rsidP="002E7F54">
            <w:pPr>
              <w:pStyle w:val="Tabletext"/>
              <w:rPr>
                <w:sz w:val="16"/>
                <w:szCs w:val="16"/>
              </w:rPr>
            </w:pPr>
          </w:p>
        </w:tc>
        <w:tc>
          <w:tcPr>
            <w:tcW w:w="1500" w:type="dxa"/>
          </w:tcPr>
          <w:p w14:paraId="442CDDE5" w14:textId="77777777" w:rsidR="00CF04BC" w:rsidRPr="00B93493" w:rsidRDefault="00CF04BC" w:rsidP="002E7F54">
            <w:pPr>
              <w:pStyle w:val="Tabletext"/>
              <w:rPr>
                <w:sz w:val="16"/>
                <w:szCs w:val="16"/>
              </w:rPr>
            </w:pPr>
          </w:p>
        </w:tc>
      </w:tr>
      <w:tr w:rsidR="00CF04BC" w:rsidRPr="00B93493" w14:paraId="74D44016" w14:textId="77777777" w:rsidTr="002E7F54">
        <w:trPr>
          <w:jc w:val="center"/>
        </w:trPr>
        <w:tc>
          <w:tcPr>
            <w:tcW w:w="4248" w:type="dxa"/>
          </w:tcPr>
          <w:p w14:paraId="0781AB3A" w14:textId="77777777" w:rsidR="00CF04BC" w:rsidRPr="00B93493" w:rsidRDefault="00CF04BC" w:rsidP="00C65E6B">
            <w:pPr>
              <w:pStyle w:val="Tabletext"/>
              <w:jc w:val="left"/>
              <w:rPr>
                <w:sz w:val="16"/>
                <w:szCs w:val="16"/>
              </w:rPr>
            </w:pPr>
            <w:r w:rsidRPr="00B93493">
              <w:rPr>
                <w:sz w:val="16"/>
                <w:szCs w:val="16"/>
              </w:rPr>
              <w:t>b1. Base station</w:t>
            </w:r>
          </w:p>
        </w:tc>
        <w:tc>
          <w:tcPr>
            <w:tcW w:w="1161" w:type="dxa"/>
          </w:tcPr>
          <w:p w14:paraId="14927457" w14:textId="77777777" w:rsidR="00CF04BC" w:rsidRPr="00B93493" w:rsidRDefault="00CF04BC" w:rsidP="002E7F54">
            <w:pPr>
              <w:pStyle w:val="Tabletext"/>
              <w:rPr>
                <w:sz w:val="16"/>
                <w:szCs w:val="16"/>
              </w:rPr>
            </w:pPr>
          </w:p>
        </w:tc>
        <w:tc>
          <w:tcPr>
            <w:tcW w:w="1229" w:type="dxa"/>
          </w:tcPr>
          <w:p w14:paraId="5185DDC9" w14:textId="77777777" w:rsidR="00CF04BC" w:rsidRPr="00B93493" w:rsidRDefault="00CF04BC" w:rsidP="002E7F54">
            <w:pPr>
              <w:pStyle w:val="Tabletext"/>
              <w:rPr>
                <w:sz w:val="16"/>
                <w:szCs w:val="16"/>
              </w:rPr>
            </w:pPr>
            <w:r w:rsidRPr="00B93493">
              <w:rPr>
                <w:sz w:val="16"/>
                <w:szCs w:val="16"/>
              </w:rPr>
              <w:t>34 800</w:t>
            </w:r>
          </w:p>
        </w:tc>
        <w:tc>
          <w:tcPr>
            <w:tcW w:w="1501" w:type="dxa"/>
          </w:tcPr>
          <w:p w14:paraId="179A39FE" w14:textId="77777777" w:rsidR="00CF04BC" w:rsidRPr="00B93493" w:rsidRDefault="00CF04BC" w:rsidP="002E7F54">
            <w:pPr>
              <w:pStyle w:val="Tabletext"/>
              <w:rPr>
                <w:sz w:val="16"/>
                <w:szCs w:val="16"/>
              </w:rPr>
            </w:pPr>
          </w:p>
        </w:tc>
        <w:tc>
          <w:tcPr>
            <w:tcW w:w="1500" w:type="dxa"/>
          </w:tcPr>
          <w:p w14:paraId="12AF942D" w14:textId="77777777" w:rsidR="00CF04BC" w:rsidRPr="00B93493" w:rsidRDefault="00CF04BC" w:rsidP="002E7F54">
            <w:pPr>
              <w:pStyle w:val="Tabletext"/>
              <w:rPr>
                <w:sz w:val="16"/>
                <w:szCs w:val="16"/>
              </w:rPr>
            </w:pPr>
          </w:p>
        </w:tc>
      </w:tr>
      <w:tr w:rsidR="00CF04BC" w:rsidRPr="00B93493" w14:paraId="4A90F2D2" w14:textId="77777777" w:rsidTr="002E7F54">
        <w:trPr>
          <w:jc w:val="center"/>
        </w:trPr>
        <w:tc>
          <w:tcPr>
            <w:tcW w:w="4248" w:type="dxa"/>
          </w:tcPr>
          <w:p w14:paraId="0DAB7F9C" w14:textId="77777777" w:rsidR="00CF04BC" w:rsidRPr="00B93493" w:rsidRDefault="00CF04BC" w:rsidP="00C65E6B">
            <w:pPr>
              <w:pStyle w:val="Tabletext"/>
              <w:jc w:val="left"/>
              <w:rPr>
                <w:sz w:val="16"/>
                <w:szCs w:val="16"/>
              </w:rPr>
            </w:pPr>
            <w:r w:rsidRPr="00B93493">
              <w:rPr>
                <w:sz w:val="16"/>
                <w:szCs w:val="16"/>
              </w:rPr>
              <w:t>c1.</w:t>
            </w:r>
            <w:r w:rsidRPr="00B93493">
              <w:rPr>
                <w:sz w:val="16"/>
                <w:szCs w:val="16"/>
              </w:rPr>
              <w:tab/>
              <w:t>Locally available duplex channel</w:t>
            </w:r>
          </w:p>
          <w:p w14:paraId="074B41A4" w14:textId="77777777" w:rsidR="00CF04BC" w:rsidRPr="00B93493" w:rsidRDefault="00CF04BC" w:rsidP="00C65E6B">
            <w:pPr>
              <w:pStyle w:val="Tabletext"/>
              <w:jc w:val="left"/>
              <w:rPr>
                <w:sz w:val="16"/>
                <w:szCs w:val="16"/>
              </w:rPr>
            </w:pPr>
            <w:r w:rsidRPr="00B93493">
              <w:rPr>
                <w:sz w:val="16"/>
                <w:szCs w:val="16"/>
              </w:rPr>
              <w:t>c2.</w:t>
            </w:r>
            <w:r w:rsidRPr="00B93493">
              <w:rPr>
                <w:sz w:val="16"/>
                <w:szCs w:val="16"/>
              </w:rPr>
              <w:tab/>
              <w:t>Duplex channel available on regional plan</w:t>
            </w:r>
          </w:p>
          <w:p w14:paraId="6D21EC5E" w14:textId="77777777" w:rsidR="00CF04BC" w:rsidRPr="00B93493" w:rsidRDefault="00CF04BC" w:rsidP="00C65E6B">
            <w:pPr>
              <w:pStyle w:val="Tabletext"/>
              <w:jc w:val="left"/>
              <w:rPr>
                <w:sz w:val="16"/>
                <w:szCs w:val="16"/>
              </w:rPr>
            </w:pPr>
            <w:r w:rsidRPr="00B93493">
              <w:rPr>
                <w:sz w:val="16"/>
                <w:szCs w:val="16"/>
              </w:rPr>
              <w:t>c3.</w:t>
            </w:r>
            <w:r w:rsidRPr="00B93493">
              <w:rPr>
                <w:sz w:val="16"/>
                <w:szCs w:val="16"/>
              </w:rPr>
              <w:tab/>
              <w:t>Duplex channel available throughout the national territory</w:t>
            </w:r>
          </w:p>
        </w:tc>
        <w:tc>
          <w:tcPr>
            <w:tcW w:w="1161" w:type="dxa"/>
          </w:tcPr>
          <w:p w14:paraId="4975D067" w14:textId="77777777" w:rsidR="00CF04BC" w:rsidRPr="00B93493" w:rsidRDefault="00CF04BC" w:rsidP="002E7F54">
            <w:pPr>
              <w:pStyle w:val="Tabletext"/>
              <w:rPr>
                <w:sz w:val="16"/>
                <w:szCs w:val="16"/>
              </w:rPr>
            </w:pPr>
          </w:p>
        </w:tc>
        <w:tc>
          <w:tcPr>
            <w:tcW w:w="1229" w:type="dxa"/>
          </w:tcPr>
          <w:p w14:paraId="47C8DBCE" w14:textId="77777777" w:rsidR="00CF04BC" w:rsidRPr="00B93493" w:rsidRDefault="00CF04BC" w:rsidP="002E7F54">
            <w:pPr>
              <w:pStyle w:val="Tabletext"/>
              <w:rPr>
                <w:sz w:val="16"/>
                <w:szCs w:val="16"/>
              </w:rPr>
            </w:pPr>
          </w:p>
        </w:tc>
        <w:tc>
          <w:tcPr>
            <w:tcW w:w="1501" w:type="dxa"/>
          </w:tcPr>
          <w:p w14:paraId="7FA5463F" w14:textId="77777777" w:rsidR="00CF04BC" w:rsidRPr="00B93493" w:rsidRDefault="00CF04BC" w:rsidP="002E7F54">
            <w:pPr>
              <w:pStyle w:val="Tabletext"/>
              <w:rPr>
                <w:sz w:val="16"/>
                <w:szCs w:val="16"/>
              </w:rPr>
            </w:pPr>
          </w:p>
        </w:tc>
        <w:tc>
          <w:tcPr>
            <w:tcW w:w="1500" w:type="dxa"/>
          </w:tcPr>
          <w:p w14:paraId="0284EBFB" w14:textId="77777777" w:rsidR="00CF04BC" w:rsidRPr="00B93493" w:rsidRDefault="00CF04BC" w:rsidP="002E7F54">
            <w:pPr>
              <w:pStyle w:val="Tabletext"/>
              <w:rPr>
                <w:sz w:val="16"/>
                <w:szCs w:val="16"/>
              </w:rPr>
            </w:pPr>
            <w:r w:rsidRPr="00B93493">
              <w:rPr>
                <w:sz w:val="16"/>
                <w:szCs w:val="16"/>
              </w:rPr>
              <w:t>1 740 000</w:t>
            </w:r>
          </w:p>
          <w:p w14:paraId="405DB0DC" w14:textId="77777777" w:rsidR="00CF04BC" w:rsidRPr="00B93493" w:rsidRDefault="00CF04BC" w:rsidP="002E7F54">
            <w:pPr>
              <w:pStyle w:val="Tabletext"/>
              <w:rPr>
                <w:sz w:val="16"/>
                <w:szCs w:val="16"/>
              </w:rPr>
            </w:pPr>
            <w:r w:rsidRPr="00B93493">
              <w:rPr>
                <w:sz w:val="16"/>
                <w:szCs w:val="16"/>
              </w:rPr>
              <w:t>5 800 000</w:t>
            </w:r>
          </w:p>
          <w:p w14:paraId="6556B5FF" w14:textId="77777777" w:rsidR="00CF04BC" w:rsidRPr="00B93493" w:rsidRDefault="00CF04BC" w:rsidP="002E7F54">
            <w:pPr>
              <w:pStyle w:val="Tabletext"/>
              <w:rPr>
                <w:sz w:val="16"/>
                <w:szCs w:val="16"/>
              </w:rPr>
            </w:pPr>
            <w:r w:rsidRPr="00B93493">
              <w:rPr>
                <w:sz w:val="16"/>
                <w:szCs w:val="16"/>
              </w:rPr>
              <w:t>8 700 000</w:t>
            </w:r>
          </w:p>
        </w:tc>
      </w:tr>
      <w:tr w:rsidR="00CF04BC" w:rsidRPr="00B93493" w14:paraId="1D9EA1E5" w14:textId="77777777" w:rsidTr="002E7F54">
        <w:trPr>
          <w:jc w:val="center"/>
        </w:trPr>
        <w:tc>
          <w:tcPr>
            <w:tcW w:w="4248" w:type="dxa"/>
          </w:tcPr>
          <w:p w14:paraId="35C02D71" w14:textId="77777777" w:rsidR="00CF04BC" w:rsidRPr="00B93493" w:rsidRDefault="00CF04BC" w:rsidP="00C65E6B">
            <w:pPr>
              <w:pStyle w:val="Tabletext"/>
              <w:jc w:val="left"/>
              <w:rPr>
                <w:sz w:val="16"/>
                <w:szCs w:val="16"/>
              </w:rPr>
            </w:pPr>
            <w:r w:rsidRPr="00B93493">
              <w:rPr>
                <w:sz w:val="16"/>
                <w:szCs w:val="16"/>
              </w:rPr>
              <w:t>I.5 – Microwave Links above 1 GHz</w:t>
            </w:r>
          </w:p>
        </w:tc>
        <w:tc>
          <w:tcPr>
            <w:tcW w:w="1161" w:type="dxa"/>
          </w:tcPr>
          <w:p w14:paraId="289C2902" w14:textId="77777777" w:rsidR="00CF04BC" w:rsidRPr="00B93493" w:rsidRDefault="00CF04BC" w:rsidP="002E7F54">
            <w:pPr>
              <w:pStyle w:val="Tabletext"/>
              <w:rPr>
                <w:sz w:val="16"/>
                <w:szCs w:val="16"/>
              </w:rPr>
            </w:pPr>
          </w:p>
        </w:tc>
        <w:tc>
          <w:tcPr>
            <w:tcW w:w="1229" w:type="dxa"/>
          </w:tcPr>
          <w:p w14:paraId="09DE0D38" w14:textId="77777777" w:rsidR="00CF04BC" w:rsidRPr="00B93493" w:rsidRDefault="00CF04BC" w:rsidP="002E7F54">
            <w:pPr>
              <w:pStyle w:val="Tabletext"/>
              <w:rPr>
                <w:sz w:val="16"/>
                <w:szCs w:val="16"/>
              </w:rPr>
            </w:pPr>
          </w:p>
        </w:tc>
        <w:tc>
          <w:tcPr>
            <w:tcW w:w="1501" w:type="dxa"/>
          </w:tcPr>
          <w:p w14:paraId="26ADC881" w14:textId="77777777" w:rsidR="00CF04BC" w:rsidRPr="00B93493" w:rsidRDefault="00CF04BC" w:rsidP="002E7F54">
            <w:pPr>
              <w:pStyle w:val="Tabletext"/>
              <w:rPr>
                <w:sz w:val="16"/>
                <w:szCs w:val="16"/>
              </w:rPr>
            </w:pPr>
          </w:p>
        </w:tc>
        <w:tc>
          <w:tcPr>
            <w:tcW w:w="1500" w:type="dxa"/>
          </w:tcPr>
          <w:p w14:paraId="73F1C850" w14:textId="77777777" w:rsidR="00CF04BC" w:rsidRPr="00B93493" w:rsidRDefault="00CF04BC" w:rsidP="002E7F54">
            <w:pPr>
              <w:pStyle w:val="Tabletext"/>
              <w:rPr>
                <w:sz w:val="16"/>
                <w:szCs w:val="16"/>
              </w:rPr>
            </w:pPr>
          </w:p>
        </w:tc>
      </w:tr>
      <w:tr w:rsidR="00CF04BC" w:rsidRPr="00B93493" w14:paraId="34BA538F" w14:textId="77777777" w:rsidTr="002E7F54">
        <w:trPr>
          <w:jc w:val="center"/>
        </w:trPr>
        <w:tc>
          <w:tcPr>
            <w:tcW w:w="4248" w:type="dxa"/>
          </w:tcPr>
          <w:p w14:paraId="69B59958" w14:textId="77777777" w:rsidR="00CF04BC" w:rsidRPr="00B93493" w:rsidRDefault="00CF04BC" w:rsidP="00C65E6B">
            <w:pPr>
              <w:pStyle w:val="Tabletext"/>
              <w:jc w:val="left"/>
              <w:rPr>
                <w:sz w:val="16"/>
                <w:szCs w:val="16"/>
              </w:rPr>
            </w:pPr>
            <w:r w:rsidRPr="00B93493">
              <w:rPr>
                <w:sz w:val="16"/>
                <w:szCs w:val="16"/>
              </w:rPr>
              <w:t>a1. Trunk or local network</w:t>
            </w:r>
          </w:p>
          <w:p w14:paraId="76C8A5EC" w14:textId="77777777" w:rsidR="00CF04BC" w:rsidRPr="00B93493" w:rsidRDefault="00CF04BC" w:rsidP="00C65E6B">
            <w:pPr>
              <w:pStyle w:val="Tabletext"/>
              <w:jc w:val="left"/>
              <w:rPr>
                <w:sz w:val="16"/>
                <w:szCs w:val="16"/>
              </w:rPr>
            </w:pPr>
            <w:r w:rsidRPr="00B93493">
              <w:rPr>
                <w:sz w:val="16"/>
                <w:szCs w:val="16"/>
              </w:rPr>
              <w:t>a2. Trunk or regional network</w:t>
            </w:r>
          </w:p>
          <w:p w14:paraId="0A925097" w14:textId="77777777" w:rsidR="00CF04BC" w:rsidRPr="00B93493" w:rsidRDefault="00CF04BC" w:rsidP="00C65E6B">
            <w:pPr>
              <w:pStyle w:val="Tabletext"/>
              <w:jc w:val="left"/>
              <w:rPr>
                <w:sz w:val="16"/>
                <w:szCs w:val="16"/>
              </w:rPr>
            </w:pPr>
            <w:r w:rsidRPr="00B93493">
              <w:rPr>
                <w:sz w:val="16"/>
                <w:szCs w:val="16"/>
              </w:rPr>
              <w:t>a3. Trunk or national network</w:t>
            </w:r>
          </w:p>
        </w:tc>
        <w:tc>
          <w:tcPr>
            <w:tcW w:w="1161" w:type="dxa"/>
          </w:tcPr>
          <w:p w14:paraId="2A2A5C17" w14:textId="77777777" w:rsidR="00CF04BC" w:rsidRPr="00B93493" w:rsidRDefault="00CF04BC" w:rsidP="002E7F54">
            <w:pPr>
              <w:pStyle w:val="Tabletext"/>
              <w:rPr>
                <w:sz w:val="16"/>
                <w:szCs w:val="16"/>
              </w:rPr>
            </w:pPr>
            <w:r w:rsidRPr="00B93493">
              <w:rPr>
                <w:sz w:val="16"/>
                <w:szCs w:val="16"/>
              </w:rPr>
              <w:t>116 000</w:t>
            </w:r>
          </w:p>
          <w:p w14:paraId="361BB0C7" w14:textId="77777777" w:rsidR="00CF04BC" w:rsidRPr="00B93493" w:rsidRDefault="00CF04BC" w:rsidP="002E7F54">
            <w:pPr>
              <w:pStyle w:val="Tabletext"/>
              <w:rPr>
                <w:sz w:val="16"/>
                <w:szCs w:val="16"/>
              </w:rPr>
            </w:pPr>
            <w:r w:rsidRPr="00B93493">
              <w:rPr>
                <w:sz w:val="16"/>
                <w:szCs w:val="16"/>
              </w:rPr>
              <w:t>290 000</w:t>
            </w:r>
          </w:p>
          <w:p w14:paraId="5F5994A3" w14:textId="77777777" w:rsidR="00CF04BC" w:rsidRPr="00B93493" w:rsidRDefault="00CF04BC" w:rsidP="002E7F54">
            <w:pPr>
              <w:pStyle w:val="Tabletext"/>
              <w:rPr>
                <w:sz w:val="16"/>
                <w:szCs w:val="16"/>
              </w:rPr>
            </w:pPr>
            <w:r w:rsidRPr="00B93493">
              <w:rPr>
                <w:sz w:val="16"/>
                <w:szCs w:val="16"/>
              </w:rPr>
              <w:t>580 000</w:t>
            </w:r>
          </w:p>
        </w:tc>
        <w:tc>
          <w:tcPr>
            <w:tcW w:w="1229" w:type="dxa"/>
          </w:tcPr>
          <w:p w14:paraId="0AA822F6" w14:textId="77777777" w:rsidR="00CF04BC" w:rsidRPr="00B93493" w:rsidRDefault="00CF04BC" w:rsidP="002E7F54">
            <w:pPr>
              <w:pStyle w:val="Tabletext"/>
              <w:rPr>
                <w:sz w:val="16"/>
                <w:szCs w:val="16"/>
              </w:rPr>
            </w:pPr>
          </w:p>
        </w:tc>
        <w:tc>
          <w:tcPr>
            <w:tcW w:w="1501" w:type="dxa"/>
          </w:tcPr>
          <w:p w14:paraId="6F51E080" w14:textId="77777777" w:rsidR="00CF04BC" w:rsidRPr="00B93493" w:rsidRDefault="00CF04BC" w:rsidP="002E7F54">
            <w:pPr>
              <w:pStyle w:val="Tabletext"/>
              <w:rPr>
                <w:sz w:val="16"/>
                <w:szCs w:val="16"/>
              </w:rPr>
            </w:pPr>
          </w:p>
        </w:tc>
        <w:tc>
          <w:tcPr>
            <w:tcW w:w="1500" w:type="dxa"/>
          </w:tcPr>
          <w:p w14:paraId="331E83FD" w14:textId="77777777" w:rsidR="00CF04BC" w:rsidRPr="00B93493" w:rsidRDefault="00CF04BC" w:rsidP="002E7F54">
            <w:pPr>
              <w:pStyle w:val="Tabletext"/>
              <w:rPr>
                <w:sz w:val="16"/>
                <w:szCs w:val="16"/>
              </w:rPr>
            </w:pPr>
          </w:p>
        </w:tc>
      </w:tr>
      <w:tr w:rsidR="00CF04BC" w:rsidRPr="00B93493" w14:paraId="4CC0C4DC" w14:textId="77777777" w:rsidTr="002E7F54">
        <w:trPr>
          <w:jc w:val="center"/>
        </w:trPr>
        <w:tc>
          <w:tcPr>
            <w:tcW w:w="4248" w:type="dxa"/>
          </w:tcPr>
          <w:p w14:paraId="6B2455D6" w14:textId="77777777" w:rsidR="00CF04BC" w:rsidRPr="00B93493" w:rsidRDefault="00CF04BC" w:rsidP="00C65E6B">
            <w:pPr>
              <w:pStyle w:val="Tabletext"/>
              <w:jc w:val="left"/>
              <w:rPr>
                <w:sz w:val="16"/>
                <w:szCs w:val="16"/>
              </w:rPr>
            </w:pPr>
            <w:r w:rsidRPr="00B93493">
              <w:rPr>
                <w:sz w:val="16"/>
                <w:szCs w:val="16"/>
              </w:rPr>
              <w:t>b1. Terminal station</w:t>
            </w:r>
          </w:p>
          <w:p w14:paraId="6BFDD81E" w14:textId="77777777" w:rsidR="00CF04BC" w:rsidRPr="00B93493" w:rsidRDefault="00CF04BC" w:rsidP="00C65E6B">
            <w:pPr>
              <w:pStyle w:val="Tabletext"/>
              <w:jc w:val="left"/>
              <w:rPr>
                <w:sz w:val="16"/>
                <w:szCs w:val="16"/>
              </w:rPr>
            </w:pPr>
            <w:r w:rsidRPr="00B93493">
              <w:rPr>
                <w:sz w:val="16"/>
                <w:szCs w:val="16"/>
              </w:rPr>
              <w:t>b2. Relay station</w:t>
            </w:r>
          </w:p>
        </w:tc>
        <w:tc>
          <w:tcPr>
            <w:tcW w:w="1161" w:type="dxa"/>
          </w:tcPr>
          <w:p w14:paraId="0458EDF7" w14:textId="77777777" w:rsidR="00CF04BC" w:rsidRPr="00B93493" w:rsidRDefault="00CF04BC" w:rsidP="002E7F54">
            <w:pPr>
              <w:pStyle w:val="Tabletext"/>
              <w:rPr>
                <w:sz w:val="16"/>
                <w:szCs w:val="16"/>
              </w:rPr>
            </w:pPr>
          </w:p>
        </w:tc>
        <w:tc>
          <w:tcPr>
            <w:tcW w:w="1229" w:type="dxa"/>
          </w:tcPr>
          <w:p w14:paraId="62ADC1F8" w14:textId="77777777" w:rsidR="00CF04BC" w:rsidRPr="00B93493" w:rsidRDefault="00CF04BC" w:rsidP="002E7F54">
            <w:pPr>
              <w:pStyle w:val="Tabletext"/>
              <w:rPr>
                <w:sz w:val="16"/>
                <w:szCs w:val="16"/>
              </w:rPr>
            </w:pPr>
            <w:r w:rsidRPr="00B93493">
              <w:rPr>
                <w:sz w:val="16"/>
                <w:szCs w:val="16"/>
              </w:rPr>
              <w:t>34 800</w:t>
            </w:r>
          </w:p>
          <w:p w14:paraId="3EF72B80" w14:textId="77777777" w:rsidR="00CF04BC" w:rsidRPr="00B93493" w:rsidRDefault="00CF04BC" w:rsidP="002E7F54">
            <w:pPr>
              <w:pStyle w:val="Tabletext"/>
              <w:rPr>
                <w:sz w:val="16"/>
                <w:szCs w:val="16"/>
              </w:rPr>
            </w:pPr>
            <w:r w:rsidRPr="00B93493">
              <w:rPr>
                <w:sz w:val="16"/>
                <w:szCs w:val="16"/>
              </w:rPr>
              <w:t>29 000</w:t>
            </w:r>
          </w:p>
        </w:tc>
        <w:tc>
          <w:tcPr>
            <w:tcW w:w="1501" w:type="dxa"/>
          </w:tcPr>
          <w:p w14:paraId="2B4C9043" w14:textId="77777777" w:rsidR="00CF04BC" w:rsidRPr="00B93493" w:rsidRDefault="00CF04BC" w:rsidP="002E7F54">
            <w:pPr>
              <w:pStyle w:val="Tabletext"/>
              <w:rPr>
                <w:sz w:val="16"/>
                <w:szCs w:val="16"/>
              </w:rPr>
            </w:pPr>
          </w:p>
        </w:tc>
        <w:tc>
          <w:tcPr>
            <w:tcW w:w="1500" w:type="dxa"/>
          </w:tcPr>
          <w:p w14:paraId="33472E1C" w14:textId="77777777" w:rsidR="00CF04BC" w:rsidRPr="00B93493" w:rsidRDefault="00CF04BC" w:rsidP="002E7F54">
            <w:pPr>
              <w:pStyle w:val="Tabletext"/>
              <w:rPr>
                <w:sz w:val="16"/>
                <w:szCs w:val="16"/>
              </w:rPr>
            </w:pPr>
          </w:p>
        </w:tc>
      </w:tr>
      <w:tr w:rsidR="00CF04BC" w:rsidRPr="00B93493" w14:paraId="04B65D04" w14:textId="77777777" w:rsidTr="002E7F54">
        <w:trPr>
          <w:jc w:val="center"/>
        </w:trPr>
        <w:tc>
          <w:tcPr>
            <w:tcW w:w="4248" w:type="dxa"/>
          </w:tcPr>
          <w:p w14:paraId="1A4CF9DA" w14:textId="77777777" w:rsidR="00CF04BC" w:rsidRPr="00B93493" w:rsidRDefault="00CF04BC" w:rsidP="00C65E6B">
            <w:pPr>
              <w:pStyle w:val="Tabletext"/>
              <w:ind w:left="284" w:right="-57" w:hanging="284"/>
              <w:jc w:val="left"/>
              <w:rPr>
                <w:sz w:val="16"/>
                <w:szCs w:val="16"/>
              </w:rPr>
            </w:pPr>
            <w:r w:rsidRPr="00B93493">
              <w:rPr>
                <w:sz w:val="16"/>
                <w:szCs w:val="16"/>
              </w:rPr>
              <w:t>c1.</w:t>
            </w:r>
            <w:r w:rsidRPr="00B93493">
              <w:rPr>
                <w:sz w:val="16"/>
                <w:szCs w:val="16"/>
              </w:rPr>
              <w:tab/>
              <w:t xml:space="preserve">Links between 1 to 24 telephone channels </w:t>
            </w:r>
            <w:r w:rsidRPr="00B93493">
              <w:rPr>
                <w:sz w:val="16"/>
                <w:szCs w:val="16"/>
              </w:rPr>
              <w:br/>
              <w:t>or from 2.1 Mbits/s</w:t>
            </w:r>
          </w:p>
          <w:p w14:paraId="1619D014" w14:textId="77777777" w:rsidR="00CF04BC" w:rsidRPr="00B93493" w:rsidRDefault="00CF04BC" w:rsidP="00C65E6B">
            <w:pPr>
              <w:pStyle w:val="Tabletext"/>
              <w:jc w:val="left"/>
              <w:rPr>
                <w:sz w:val="16"/>
                <w:szCs w:val="16"/>
              </w:rPr>
            </w:pPr>
            <w:r w:rsidRPr="00B93493">
              <w:rPr>
                <w:sz w:val="16"/>
                <w:szCs w:val="16"/>
              </w:rPr>
              <w:t>c2.</w:t>
            </w:r>
            <w:r w:rsidRPr="00B93493">
              <w:rPr>
                <w:sz w:val="16"/>
                <w:szCs w:val="16"/>
              </w:rPr>
              <w:tab/>
              <w:t xml:space="preserve">Links between 25 to 120 telephone channels </w:t>
            </w:r>
            <w:r w:rsidRPr="00B93493">
              <w:rPr>
                <w:sz w:val="16"/>
                <w:szCs w:val="16"/>
              </w:rPr>
              <w:br/>
            </w:r>
            <w:r w:rsidRPr="00B93493">
              <w:rPr>
                <w:sz w:val="16"/>
                <w:szCs w:val="16"/>
              </w:rPr>
              <w:tab/>
              <w:t>or from 2.1 to 8 Mbits/s</w:t>
            </w:r>
          </w:p>
          <w:p w14:paraId="7750455C" w14:textId="77777777" w:rsidR="00CF04BC" w:rsidRPr="00B93493" w:rsidRDefault="00CF04BC" w:rsidP="00C65E6B">
            <w:pPr>
              <w:pStyle w:val="Tabletext"/>
              <w:ind w:left="284" w:right="-57" w:hanging="284"/>
              <w:jc w:val="left"/>
              <w:rPr>
                <w:sz w:val="16"/>
                <w:szCs w:val="16"/>
              </w:rPr>
            </w:pPr>
            <w:r w:rsidRPr="00B93493">
              <w:rPr>
                <w:sz w:val="16"/>
                <w:szCs w:val="16"/>
              </w:rPr>
              <w:t>c3.</w:t>
            </w:r>
            <w:r w:rsidRPr="00B93493">
              <w:rPr>
                <w:sz w:val="16"/>
                <w:szCs w:val="16"/>
              </w:rPr>
              <w:tab/>
              <w:t xml:space="preserve">Links from 121 to 600 telephone channels </w:t>
            </w:r>
            <w:r w:rsidRPr="00B93493">
              <w:rPr>
                <w:sz w:val="16"/>
                <w:szCs w:val="16"/>
              </w:rPr>
              <w:br/>
              <w:t>or from 8 to 34 Mbits/s</w:t>
            </w:r>
          </w:p>
          <w:p w14:paraId="5D81E02B" w14:textId="77777777" w:rsidR="00CF04BC" w:rsidRPr="00B93493" w:rsidRDefault="00CF04BC" w:rsidP="00C65E6B">
            <w:pPr>
              <w:pStyle w:val="Tabletext"/>
              <w:ind w:left="284" w:right="-57" w:hanging="284"/>
              <w:jc w:val="left"/>
              <w:rPr>
                <w:sz w:val="16"/>
                <w:szCs w:val="16"/>
              </w:rPr>
            </w:pPr>
            <w:r w:rsidRPr="00B93493">
              <w:rPr>
                <w:sz w:val="16"/>
                <w:szCs w:val="16"/>
              </w:rPr>
              <w:t>c4.</w:t>
            </w:r>
            <w:r w:rsidRPr="00B93493">
              <w:rPr>
                <w:sz w:val="16"/>
                <w:szCs w:val="16"/>
              </w:rPr>
              <w:tab/>
              <w:t xml:space="preserve">Links with more than 600 telephone channels </w:t>
            </w:r>
            <w:r w:rsidRPr="00B93493">
              <w:rPr>
                <w:sz w:val="16"/>
                <w:szCs w:val="16"/>
              </w:rPr>
              <w:br/>
              <w:t>or more than 34 Mbits/s</w:t>
            </w:r>
          </w:p>
        </w:tc>
        <w:tc>
          <w:tcPr>
            <w:tcW w:w="1161" w:type="dxa"/>
          </w:tcPr>
          <w:p w14:paraId="5A81B44D" w14:textId="77777777" w:rsidR="00CF04BC" w:rsidRPr="00B93493" w:rsidRDefault="00CF04BC" w:rsidP="002E7F54">
            <w:pPr>
              <w:pStyle w:val="Tabletext"/>
              <w:rPr>
                <w:sz w:val="16"/>
                <w:szCs w:val="16"/>
              </w:rPr>
            </w:pPr>
          </w:p>
        </w:tc>
        <w:tc>
          <w:tcPr>
            <w:tcW w:w="1229" w:type="dxa"/>
          </w:tcPr>
          <w:p w14:paraId="3CEED047" w14:textId="77777777" w:rsidR="00CF04BC" w:rsidRPr="00B93493" w:rsidRDefault="00CF04BC" w:rsidP="002E7F54">
            <w:pPr>
              <w:pStyle w:val="Tabletext"/>
              <w:rPr>
                <w:sz w:val="16"/>
                <w:szCs w:val="16"/>
              </w:rPr>
            </w:pPr>
          </w:p>
        </w:tc>
        <w:tc>
          <w:tcPr>
            <w:tcW w:w="1501" w:type="dxa"/>
          </w:tcPr>
          <w:p w14:paraId="30B9199F" w14:textId="77777777" w:rsidR="00CF04BC" w:rsidRPr="00B93493" w:rsidRDefault="00CF04BC" w:rsidP="002E7F54">
            <w:pPr>
              <w:pStyle w:val="Tabletext"/>
              <w:rPr>
                <w:sz w:val="16"/>
                <w:szCs w:val="16"/>
              </w:rPr>
            </w:pPr>
          </w:p>
        </w:tc>
        <w:tc>
          <w:tcPr>
            <w:tcW w:w="1500" w:type="dxa"/>
          </w:tcPr>
          <w:p w14:paraId="4818BCD5" w14:textId="77777777" w:rsidR="00CF04BC" w:rsidRPr="00B93493" w:rsidRDefault="00CF04BC" w:rsidP="002E7F54">
            <w:pPr>
              <w:pStyle w:val="Tabletext"/>
              <w:rPr>
                <w:sz w:val="16"/>
                <w:szCs w:val="16"/>
              </w:rPr>
            </w:pPr>
            <w:r w:rsidRPr="00B93493">
              <w:rPr>
                <w:sz w:val="16"/>
                <w:szCs w:val="16"/>
              </w:rPr>
              <w:br/>
              <w:t>1 160 000</w:t>
            </w:r>
          </w:p>
          <w:p w14:paraId="78110992" w14:textId="77777777" w:rsidR="00CF04BC" w:rsidRPr="00B93493" w:rsidRDefault="00CF04BC" w:rsidP="002E7F54">
            <w:pPr>
              <w:pStyle w:val="Tabletext"/>
              <w:rPr>
                <w:sz w:val="16"/>
                <w:szCs w:val="16"/>
              </w:rPr>
            </w:pPr>
            <w:r w:rsidRPr="00B93493">
              <w:rPr>
                <w:sz w:val="16"/>
                <w:szCs w:val="16"/>
              </w:rPr>
              <w:br/>
              <w:t>1 450 000</w:t>
            </w:r>
          </w:p>
          <w:p w14:paraId="40A93035" w14:textId="77777777" w:rsidR="00CF04BC" w:rsidRPr="00B93493" w:rsidRDefault="00CF04BC" w:rsidP="002E7F54">
            <w:pPr>
              <w:pStyle w:val="Tabletext"/>
              <w:rPr>
                <w:sz w:val="16"/>
                <w:szCs w:val="16"/>
              </w:rPr>
            </w:pPr>
            <w:r w:rsidRPr="00B93493">
              <w:rPr>
                <w:sz w:val="16"/>
                <w:szCs w:val="16"/>
              </w:rPr>
              <w:br/>
              <w:t>1 740 000</w:t>
            </w:r>
          </w:p>
          <w:p w14:paraId="35AB38FF" w14:textId="77777777" w:rsidR="00CF04BC" w:rsidRPr="00B93493" w:rsidRDefault="00CF04BC" w:rsidP="002E7F54">
            <w:pPr>
              <w:pStyle w:val="Tabletext"/>
              <w:rPr>
                <w:sz w:val="16"/>
                <w:szCs w:val="16"/>
              </w:rPr>
            </w:pPr>
            <w:r w:rsidRPr="00B93493">
              <w:rPr>
                <w:sz w:val="16"/>
                <w:szCs w:val="16"/>
              </w:rPr>
              <w:br/>
              <w:t>2 900 000</w:t>
            </w:r>
          </w:p>
        </w:tc>
      </w:tr>
      <w:tr w:rsidR="00CF04BC" w:rsidRPr="00B93493" w14:paraId="46818487" w14:textId="77777777" w:rsidTr="002E7F54">
        <w:trPr>
          <w:jc w:val="center"/>
        </w:trPr>
        <w:tc>
          <w:tcPr>
            <w:tcW w:w="4248" w:type="dxa"/>
          </w:tcPr>
          <w:p w14:paraId="631B15C7" w14:textId="77777777" w:rsidR="00CF04BC" w:rsidRPr="00B93493" w:rsidRDefault="00CF04BC" w:rsidP="00C65E6B">
            <w:pPr>
              <w:pStyle w:val="Tabletext"/>
              <w:ind w:left="284" w:right="-113" w:hanging="284"/>
              <w:jc w:val="left"/>
              <w:rPr>
                <w:sz w:val="16"/>
                <w:szCs w:val="16"/>
              </w:rPr>
            </w:pPr>
            <w:r w:rsidRPr="00B93493">
              <w:rPr>
                <w:sz w:val="16"/>
                <w:szCs w:val="16"/>
              </w:rPr>
              <w:t>II.</w:t>
            </w:r>
            <w:r w:rsidRPr="00B93493">
              <w:rPr>
                <w:sz w:val="16"/>
                <w:szCs w:val="16"/>
              </w:rPr>
              <w:tab/>
              <w:t>FIXED AND TERRESTRIAL MOBILE NETWORKS OPENED TO THE PUBLIC (Profitable business)</w:t>
            </w:r>
          </w:p>
        </w:tc>
        <w:tc>
          <w:tcPr>
            <w:tcW w:w="1161" w:type="dxa"/>
          </w:tcPr>
          <w:p w14:paraId="211F5D65" w14:textId="77777777" w:rsidR="00CF04BC" w:rsidRPr="00B93493" w:rsidRDefault="00CF04BC" w:rsidP="002E7F54">
            <w:pPr>
              <w:pStyle w:val="Tabletext"/>
              <w:rPr>
                <w:sz w:val="16"/>
                <w:szCs w:val="16"/>
              </w:rPr>
            </w:pPr>
          </w:p>
        </w:tc>
        <w:tc>
          <w:tcPr>
            <w:tcW w:w="1229" w:type="dxa"/>
          </w:tcPr>
          <w:p w14:paraId="4B4EA6F6" w14:textId="77777777" w:rsidR="00CF04BC" w:rsidRPr="00B93493" w:rsidRDefault="00CF04BC" w:rsidP="002E7F54">
            <w:pPr>
              <w:pStyle w:val="Tabletext"/>
              <w:rPr>
                <w:sz w:val="16"/>
                <w:szCs w:val="16"/>
              </w:rPr>
            </w:pPr>
          </w:p>
        </w:tc>
        <w:tc>
          <w:tcPr>
            <w:tcW w:w="1501" w:type="dxa"/>
          </w:tcPr>
          <w:p w14:paraId="2367F8D8" w14:textId="77777777" w:rsidR="00CF04BC" w:rsidRPr="00B93493" w:rsidRDefault="00CF04BC" w:rsidP="002E7F54">
            <w:pPr>
              <w:pStyle w:val="Tabletext"/>
              <w:rPr>
                <w:sz w:val="16"/>
                <w:szCs w:val="16"/>
              </w:rPr>
            </w:pPr>
          </w:p>
        </w:tc>
        <w:tc>
          <w:tcPr>
            <w:tcW w:w="1500" w:type="dxa"/>
          </w:tcPr>
          <w:p w14:paraId="66C24943" w14:textId="77777777" w:rsidR="00CF04BC" w:rsidRPr="00B93493" w:rsidRDefault="00CF04BC" w:rsidP="002E7F54">
            <w:pPr>
              <w:pStyle w:val="Tabletext"/>
              <w:rPr>
                <w:sz w:val="16"/>
                <w:szCs w:val="16"/>
              </w:rPr>
            </w:pPr>
          </w:p>
        </w:tc>
      </w:tr>
      <w:tr w:rsidR="00CF04BC" w:rsidRPr="00B93493" w14:paraId="04004686" w14:textId="77777777" w:rsidTr="002E7F54">
        <w:trPr>
          <w:jc w:val="center"/>
        </w:trPr>
        <w:tc>
          <w:tcPr>
            <w:tcW w:w="4248" w:type="dxa"/>
          </w:tcPr>
          <w:p w14:paraId="71C60C2D" w14:textId="77777777" w:rsidR="00CF04BC" w:rsidRPr="00B93493" w:rsidRDefault="00CF04BC" w:rsidP="00C65E6B">
            <w:pPr>
              <w:pStyle w:val="Tabletext"/>
              <w:ind w:right="-113"/>
              <w:jc w:val="left"/>
              <w:rPr>
                <w:sz w:val="16"/>
                <w:szCs w:val="16"/>
              </w:rPr>
            </w:pPr>
            <w:r w:rsidRPr="00B93493">
              <w:rPr>
                <w:sz w:val="16"/>
                <w:szCs w:val="16"/>
              </w:rPr>
              <w:t>II.1.</w:t>
            </w:r>
            <w:r w:rsidRPr="00B93493">
              <w:rPr>
                <w:sz w:val="16"/>
                <w:szCs w:val="16"/>
              </w:rPr>
              <w:tab/>
              <w:t>Research and Message networks (Paging)</w:t>
            </w:r>
            <w:r w:rsidRPr="00B93493">
              <w:rPr>
                <w:sz w:val="16"/>
                <w:szCs w:val="16"/>
              </w:rPr>
              <w:br/>
            </w:r>
            <w:r w:rsidRPr="00B93493">
              <w:rPr>
                <w:sz w:val="16"/>
                <w:szCs w:val="16"/>
              </w:rPr>
              <w:tab/>
              <w:t>(with 12.5 KHz bandwidth)</w:t>
            </w:r>
          </w:p>
        </w:tc>
        <w:tc>
          <w:tcPr>
            <w:tcW w:w="1161" w:type="dxa"/>
          </w:tcPr>
          <w:p w14:paraId="55CE1215" w14:textId="77777777" w:rsidR="00CF04BC" w:rsidRPr="00B93493" w:rsidRDefault="00CF04BC" w:rsidP="002E7F54">
            <w:pPr>
              <w:pStyle w:val="Tabletext"/>
              <w:rPr>
                <w:sz w:val="16"/>
                <w:szCs w:val="16"/>
              </w:rPr>
            </w:pPr>
          </w:p>
        </w:tc>
        <w:tc>
          <w:tcPr>
            <w:tcW w:w="1229" w:type="dxa"/>
          </w:tcPr>
          <w:p w14:paraId="5D9893A8" w14:textId="77777777" w:rsidR="00CF04BC" w:rsidRPr="00B93493" w:rsidRDefault="00CF04BC" w:rsidP="002E7F54">
            <w:pPr>
              <w:pStyle w:val="Tabletext"/>
              <w:rPr>
                <w:sz w:val="16"/>
                <w:szCs w:val="16"/>
              </w:rPr>
            </w:pPr>
          </w:p>
        </w:tc>
        <w:tc>
          <w:tcPr>
            <w:tcW w:w="1501" w:type="dxa"/>
          </w:tcPr>
          <w:p w14:paraId="416580AD" w14:textId="77777777" w:rsidR="00CF04BC" w:rsidRPr="00B93493" w:rsidRDefault="00CF04BC" w:rsidP="002E7F54">
            <w:pPr>
              <w:pStyle w:val="Tabletext"/>
              <w:rPr>
                <w:sz w:val="16"/>
                <w:szCs w:val="16"/>
              </w:rPr>
            </w:pPr>
          </w:p>
        </w:tc>
        <w:tc>
          <w:tcPr>
            <w:tcW w:w="1500" w:type="dxa"/>
          </w:tcPr>
          <w:p w14:paraId="6E065538" w14:textId="77777777" w:rsidR="00CF04BC" w:rsidRPr="00B93493" w:rsidRDefault="00CF04BC" w:rsidP="002E7F54">
            <w:pPr>
              <w:pStyle w:val="Tabletext"/>
              <w:rPr>
                <w:sz w:val="16"/>
                <w:szCs w:val="16"/>
              </w:rPr>
            </w:pPr>
          </w:p>
        </w:tc>
      </w:tr>
      <w:tr w:rsidR="00CF04BC" w:rsidRPr="00B93493" w14:paraId="32A9E345" w14:textId="77777777" w:rsidTr="002E7F54">
        <w:trPr>
          <w:jc w:val="center"/>
        </w:trPr>
        <w:tc>
          <w:tcPr>
            <w:tcW w:w="4248" w:type="dxa"/>
          </w:tcPr>
          <w:p w14:paraId="199E3BDA" w14:textId="77777777" w:rsidR="00CF04BC" w:rsidRPr="00B93493" w:rsidRDefault="00CF04BC" w:rsidP="00C65E6B">
            <w:pPr>
              <w:pStyle w:val="Tabletext"/>
              <w:jc w:val="left"/>
              <w:rPr>
                <w:sz w:val="16"/>
                <w:szCs w:val="16"/>
              </w:rPr>
            </w:pPr>
            <w:r w:rsidRPr="00B93493">
              <w:rPr>
                <w:sz w:val="16"/>
                <w:szCs w:val="16"/>
              </w:rPr>
              <w:t>a1. Local (urban) network</w:t>
            </w:r>
          </w:p>
          <w:p w14:paraId="666AE45F" w14:textId="77777777" w:rsidR="00CF04BC" w:rsidRPr="00B93493" w:rsidRDefault="00CF04BC" w:rsidP="00C65E6B">
            <w:pPr>
              <w:pStyle w:val="Tabletext"/>
              <w:jc w:val="left"/>
              <w:rPr>
                <w:sz w:val="16"/>
                <w:szCs w:val="16"/>
              </w:rPr>
            </w:pPr>
            <w:r w:rsidRPr="00B93493">
              <w:rPr>
                <w:sz w:val="16"/>
                <w:szCs w:val="16"/>
              </w:rPr>
              <w:t>a2. Regional (interurban) network</w:t>
            </w:r>
          </w:p>
          <w:p w14:paraId="2DC809F9" w14:textId="77777777" w:rsidR="00CF04BC" w:rsidRPr="00B93493" w:rsidRDefault="00CF04BC" w:rsidP="00C65E6B">
            <w:pPr>
              <w:pStyle w:val="Tabletext"/>
              <w:jc w:val="left"/>
              <w:rPr>
                <w:sz w:val="16"/>
                <w:szCs w:val="16"/>
              </w:rPr>
            </w:pPr>
            <w:r w:rsidRPr="00B93493">
              <w:rPr>
                <w:sz w:val="16"/>
                <w:szCs w:val="16"/>
              </w:rPr>
              <w:t>a3. National network</w:t>
            </w:r>
          </w:p>
        </w:tc>
        <w:tc>
          <w:tcPr>
            <w:tcW w:w="1161" w:type="dxa"/>
          </w:tcPr>
          <w:p w14:paraId="6E3359CA" w14:textId="77777777" w:rsidR="00CF04BC" w:rsidRPr="00B93493" w:rsidRDefault="00CF04BC" w:rsidP="002E7F54">
            <w:pPr>
              <w:pStyle w:val="Tabletext"/>
              <w:rPr>
                <w:sz w:val="16"/>
                <w:szCs w:val="16"/>
              </w:rPr>
            </w:pPr>
            <w:r w:rsidRPr="00B93493">
              <w:rPr>
                <w:sz w:val="16"/>
                <w:szCs w:val="16"/>
              </w:rPr>
              <w:t>1 160 000</w:t>
            </w:r>
          </w:p>
          <w:p w14:paraId="43088D66" w14:textId="77777777" w:rsidR="00CF04BC" w:rsidRPr="00B93493" w:rsidRDefault="00CF04BC" w:rsidP="002E7F54">
            <w:pPr>
              <w:pStyle w:val="Tabletext"/>
              <w:rPr>
                <w:sz w:val="16"/>
                <w:szCs w:val="16"/>
              </w:rPr>
            </w:pPr>
            <w:r w:rsidRPr="00B93493">
              <w:rPr>
                <w:sz w:val="16"/>
                <w:szCs w:val="16"/>
              </w:rPr>
              <w:t>1 740 000</w:t>
            </w:r>
          </w:p>
          <w:p w14:paraId="3A255500" w14:textId="77777777" w:rsidR="00CF04BC" w:rsidRPr="00B93493" w:rsidRDefault="00CF04BC" w:rsidP="002E7F54">
            <w:pPr>
              <w:pStyle w:val="Tabletext"/>
              <w:rPr>
                <w:sz w:val="16"/>
                <w:szCs w:val="16"/>
              </w:rPr>
            </w:pPr>
            <w:r w:rsidRPr="00B93493">
              <w:rPr>
                <w:sz w:val="16"/>
                <w:szCs w:val="16"/>
              </w:rPr>
              <w:t>3 770 000</w:t>
            </w:r>
          </w:p>
        </w:tc>
        <w:tc>
          <w:tcPr>
            <w:tcW w:w="1229" w:type="dxa"/>
          </w:tcPr>
          <w:p w14:paraId="453ABDC3" w14:textId="77777777" w:rsidR="00CF04BC" w:rsidRPr="00B93493" w:rsidRDefault="00CF04BC" w:rsidP="002E7F54">
            <w:pPr>
              <w:pStyle w:val="Tabletext"/>
              <w:rPr>
                <w:sz w:val="16"/>
                <w:szCs w:val="16"/>
              </w:rPr>
            </w:pPr>
          </w:p>
        </w:tc>
        <w:tc>
          <w:tcPr>
            <w:tcW w:w="1501" w:type="dxa"/>
          </w:tcPr>
          <w:p w14:paraId="798EB6BB" w14:textId="77777777" w:rsidR="00CF04BC" w:rsidRPr="00B93493" w:rsidRDefault="00CF04BC" w:rsidP="002E7F54">
            <w:pPr>
              <w:pStyle w:val="Tabletext"/>
              <w:rPr>
                <w:sz w:val="16"/>
                <w:szCs w:val="16"/>
              </w:rPr>
            </w:pPr>
            <w:r w:rsidRPr="00B93493">
              <w:rPr>
                <w:sz w:val="16"/>
                <w:szCs w:val="16"/>
              </w:rPr>
              <w:t>5 800 000</w:t>
            </w:r>
          </w:p>
          <w:p w14:paraId="73051C6A" w14:textId="77777777" w:rsidR="00CF04BC" w:rsidRPr="00B93493" w:rsidRDefault="00CF04BC" w:rsidP="002E7F54">
            <w:pPr>
              <w:pStyle w:val="Tabletext"/>
              <w:rPr>
                <w:sz w:val="16"/>
                <w:szCs w:val="16"/>
              </w:rPr>
            </w:pPr>
            <w:r w:rsidRPr="00B93493">
              <w:rPr>
                <w:sz w:val="16"/>
                <w:szCs w:val="16"/>
              </w:rPr>
              <w:t>14 500 000</w:t>
            </w:r>
          </w:p>
          <w:p w14:paraId="262011B6" w14:textId="77777777" w:rsidR="00CF04BC" w:rsidRPr="00B93493" w:rsidRDefault="00CF04BC" w:rsidP="002E7F54">
            <w:pPr>
              <w:pStyle w:val="Tabletext"/>
              <w:rPr>
                <w:sz w:val="16"/>
                <w:szCs w:val="16"/>
              </w:rPr>
            </w:pPr>
            <w:r w:rsidRPr="00B93493">
              <w:rPr>
                <w:sz w:val="16"/>
                <w:szCs w:val="16"/>
              </w:rPr>
              <w:t>29 000000</w:t>
            </w:r>
          </w:p>
        </w:tc>
        <w:tc>
          <w:tcPr>
            <w:tcW w:w="1500" w:type="dxa"/>
          </w:tcPr>
          <w:p w14:paraId="375428B1" w14:textId="77777777" w:rsidR="00CF04BC" w:rsidRPr="00B93493" w:rsidRDefault="00CF04BC" w:rsidP="002E7F54">
            <w:pPr>
              <w:pStyle w:val="Tabletext"/>
              <w:rPr>
                <w:sz w:val="16"/>
                <w:szCs w:val="16"/>
              </w:rPr>
            </w:pPr>
          </w:p>
        </w:tc>
      </w:tr>
      <w:tr w:rsidR="00CF04BC" w:rsidRPr="00B93493" w14:paraId="23BD939D" w14:textId="77777777" w:rsidTr="002E7F54">
        <w:trPr>
          <w:jc w:val="center"/>
        </w:trPr>
        <w:tc>
          <w:tcPr>
            <w:tcW w:w="4248" w:type="dxa"/>
          </w:tcPr>
          <w:p w14:paraId="3A80A728" w14:textId="77777777" w:rsidR="00CF04BC" w:rsidRPr="00B93493" w:rsidRDefault="00CF04BC" w:rsidP="00C65E6B">
            <w:pPr>
              <w:pStyle w:val="Tabletext"/>
              <w:jc w:val="left"/>
              <w:rPr>
                <w:sz w:val="16"/>
                <w:szCs w:val="16"/>
              </w:rPr>
            </w:pPr>
            <w:r w:rsidRPr="00B93493">
              <w:rPr>
                <w:sz w:val="16"/>
                <w:szCs w:val="16"/>
              </w:rPr>
              <w:t>b1. Base station</w:t>
            </w:r>
          </w:p>
        </w:tc>
        <w:tc>
          <w:tcPr>
            <w:tcW w:w="1161" w:type="dxa"/>
          </w:tcPr>
          <w:p w14:paraId="7499823E" w14:textId="77777777" w:rsidR="00CF04BC" w:rsidRPr="00B93493" w:rsidRDefault="00CF04BC" w:rsidP="002E7F54">
            <w:pPr>
              <w:pStyle w:val="Tabletext"/>
              <w:rPr>
                <w:sz w:val="16"/>
                <w:szCs w:val="16"/>
              </w:rPr>
            </w:pPr>
          </w:p>
        </w:tc>
        <w:tc>
          <w:tcPr>
            <w:tcW w:w="1229" w:type="dxa"/>
          </w:tcPr>
          <w:p w14:paraId="40268720" w14:textId="77777777" w:rsidR="00CF04BC" w:rsidRPr="00B93493" w:rsidRDefault="00CF04BC" w:rsidP="002E7F54">
            <w:pPr>
              <w:pStyle w:val="Tabletext"/>
              <w:rPr>
                <w:sz w:val="16"/>
                <w:szCs w:val="16"/>
              </w:rPr>
            </w:pPr>
            <w:r w:rsidRPr="00B93493">
              <w:rPr>
                <w:sz w:val="16"/>
                <w:szCs w:val="16"/>
              </w:rPr>
              <w:t>34 800</w:t>
            </w:r>
          </w:p>
        </w:tc>
        <w:tc>
          <w:tcPr>
            <w:tcW w:w="1501" w:type="dxa"/>
          </w:tcPr>
          <w:p w14:paraId="211AA12E" w14:textId="77777777" w:rsidR="00CF04BC" w:rsidRPr="00B93493" w:rsidRDefault="00CF04BC" w:rsidP="002E7F54">
            <w:pPr>
              <w:pStyle w:val="Tabletext"/>
              <w:rPr>
                <w:sz w:val="16"/>
                <w:szCs w:val="16"/>
              </w:rPr>
            </w:pPr>
          </w:p>
        </w:tc>
        <w:tc>
          <w:tcPr>
            <w:tcW w:w="1500" w:type="dxa"/>
          </w:tcPr>
          <w:p w14:paraId="15A6314A" w14:textId="77777777" w:rsidR="00CF04BC" w:rsidRPr="00B93493" w:rsidRDefault="00CF04BC" w:rsidP="002E7F54">
            <w:pPr>
              <w:pStyle w:val="Tabletext"/>
              <w:rPr>
                <w:sz w:val="16"/>
                <w:szCs w:val="16"/>
              </w:rPr>
            </w:pPr>
          </w:p>
        </w:tc>
      </w:tr>
      <w:tr w:rsidR="00CF04BC" w:rsidRPr="00B93493" w14:paraId="76AB5143" w14:textId="77777777" w:rsidTr="002E7F54">
        <w:trPr>
          <w:jc w:val="center"/>
        </w:trPr>
        <w:tc>
          <w:tcPr>
            <w:tcW w:w="4248" w:type="dxa"/>
          </w:tcPr>
          <w:p w14:paraId="3AD4BC90" w14:textId="77777777" w:rsidR="00CF04BC" w:rsidRPr="00B93493" w:rsidRDefault="00CF04BC" w:rsidP="00C65E6B">
            <w:pPr>
              <w:pStyle w:val="Tabletext"/>
              <w:keepNext/>
              <w:keepLines/>
              <w:jc w:val="left"/>
              <w:rPr>
                <w:sz w:val="16"/>
                <w:szCs w:val="16"/>
              </w:rPr>
            </w:pPr>
            <w:r w:rsidRPr="00B93493">
              <w:rPr>
                <w:sz w:val="16"/>
                <w:szCs w:val="16"/>
              </w:rPr>
              <w:t>c1. Locally available frequency</w:t>
            </w:r>
          </w:p>
          <w:p w14:paraId="0E52A194" w14:textId="77777777" w:rsidR="00CF04BC" w:rsidRPr="00B93493" w:rsidRDefault="00CF04BC" w:rsidP="00C65E6B">
            <w:pPr>
              <w:pStyle w:val="Tabletext"/>
              <w:keepNext/>
              <w:keepLines/>
              <w:jc w:val="left"/>
              <w:rPr>
                <w:sz w:val="16"/>
                <w:szCs w:val="16"/>
              </w:rPr>
            </w:pPr>
            <w:r w:rsidRPr="00B93493">
              <w:rPr>
                <w:sz w:val="16"/>
                <w:szCs w:val="16"/>
              </w:rPr>
              <w:t>c2. Regionally available frequency</w:t>
            </w:r>
          </w:p>
          <w:p w14:paraId="130D6643" w14:textId="77777777" w:rsidR="00CF04BC" w:rsidRPr="00B93493" w:rsidRDefault="00CF04BC" w:rsidP="00C65E6B">
            <w:pPr>
              <w:pStyle w:val="Tabletext"/>
              <w:jc w:val="left"/>
              <w:rPr>
                <w:sz w:val="16"/>
                <w:szCs w:val="16"/>
              </w:rPr>
            </w:pPr>
            <w:r w:rsidRPr="00B93493">
              <w:rPr>
                <w:sz w:val="16"/>
                <w:szCs w:val="16"/>
              </w:rPr>
              <w:t>c3. Nationally available frequency</w:t>
            </w:r>
          </w:p>
        </w:tc>
        <w:tc>
          <w:tcPr>
            <w:tcW w:w="1161" w:type="dxa"/>
          </w:tcPr>
          <w:p w14:paraId="0418D45D" w14:textId="77777777" w:rsidR="00CF04BC" w:rsidRPr="00B93493" w:rsidRDefault="00CF04BC" w:rsidP="002E7F54">
            <w:pPr>
              <w:pStyle w:val="Tabletext"/>
              <w:rPr>
                <w:sz w:val="16"/>
                <w:szCs w:val="16"/>
              </w:rPr>
            </w:pPr>
          </w:p>
        </w:tc>
        <w:tc>
          <w:tcPr>
            <w:tcW w:w="1229" w:type="dxa"/>
          </w:tcPr>
          <w:p w14:paraId="479793DB" w14:textId="77777777" w:rsidR="00CF04BC" w:rsidRPr="00B93493" w:rsidRDefault="00CF04BC" w:rsidP="002E7F54">
            <w:pPr>
              <w:pStyle w:val="Tabletext"/>
              <w:rPr>
                <w:sz w:val="16"/>
                <w:szCs w:val="16"/>
              </w:rPr>
            </w:pPr>
          </w:p>
        </w:tc>
        <w:tc>
          <w:tcPr>
            <w:tcW w:w="1501" w:type="dxa"/>
          </w:tcPr>
          <w:p w14:paraId="1D100882" w14:textId="77777777" w:rsidR="00CF04BC" w:rsidRPr="00B93493" w:rsidRDefault="00CF04BC" w:rsidP="002E7F54">
            <w:pPr>
              <w:pStyle w:val="Tabletext"/>
              <w:rPr>
                <w:sz w:val="16"/>
                <w:szCs w:val="16"/>
              </w:rPr>
            </w:pPr>
          </w:p>
        </w:tc>
        <w:tc>
          <w:tcPr>
            <w:tcW w:w="1500" w:type="dxa"/>
          </w:tcPr>
          <w:p w14:paraId="0B2335CD" w14:textId="77777777" w:rsidR="00CF04BC" w:rsidRPr="00B93493" w:rsidRDefault="00CF04BC" w:rsidP="002E7F54">
            <w:pPr>
              <w:pStyle w:val="Tabletext"/>
              <w:rPr>
                <w:sz w:val="16"/>
                <w:szCs w:val="16"/>
              </w:rPr>
            </w:pPr>
            <w:r w:rsidRPr="00B93493">
              <w:rPr>
                <w:sz w:val="16"/>
                <w:szCs w:val="16"/>
              </w:rPr>
              <w:t>3 480 000</w:t>
            </w:r>
          </w:p>
          <w:p w14:paraId="60D3B364" w14:textId="77777777" w:rsidR="00CF04BC" w:rsidRPr="00B93493" w:rsidRDefault="00CF04BC" w:rsidP="002E7F54">
            <w:pPr>
              <w:pStyle w:val="Tabletext"/>
              <w:rPr>
                <w:sz w:val="16"/>
                <w:szCs w:val="16"/>
              </w:rPr>
            </w:pPr>
            <w:r w:rsidRPr="00B93493">
              <w:rPr>
                <w:sz w:val="16"/>
                <w:szCs w:val="16"/>
              </w:rPr>
              <w:t>5 800 000</w:t>
            </w:r>
          </w:p>
          <w:p w14:paraId="3495ECD4" w14:textId="77777777" w:rsidR="00CF04BC" w:rsidRPr="00B93493" w:rsidRDefault="00CF04BC" w:rsidP="002E7F54">
            <w:pPr>
              <w:pStyle w:val="Tabletext"/>
              <w:rPr>
                <w:sz w:val="16"/>
                <w:szCs w:val="16"/>
              </w:rPr>
            </w:pPr>
            <w:r w:rsidRPr="00B93493">
              <w:rPr>
                <w:sz w:val="16"/>
                <w:szCs w:val="16"/>
              </w:rPr>
              <w:t>8 700 000</w:t>
            </w:r>
          </w:p>
        </w:tc>
      </w:tr>
      <w:tr w:rsidR="00CF04BC" w:rsidRPr="00B93493" w14:paraId="13964662" w14:textId="77777777" w:rsidTr="002E7F54">
        <w:trPr>
          <w:jc w:val="center"/>
        </w:trPr>
        <w:tc>
          <w:tcPr>
            <w:tcW w:w="4248" w:type="dxa"/>
          </w:tcPr>
          <w:p w14:paraId="255965C9" w14:textId="77777777" w:rsidR="00CF04BC" w:rsidRPr="00B93493" w:rsidRDefault="00CF04BC" w:rsidP="00C65E6B">
            <w:pPr>
              <w:pStyle w:val="Tabletext"/>
              <w:ind w:left="284" w:hanging="284"/>
              <w:jc w:val="left"/>
              <w:rPr>
                <w:sz w:val="16"/>
                <w:szCs w:val="16"/>
              </w:rPr>
            </w:pPr>
            <w:r w:rsidRPr="00B93493">
              <w:rPr>
                <w:sz w:val="16"/>
                <w:szCs w:val="16"/>
              </w:rPr>
              <w:t>II.2.</w:t>
            </w:r>
            <w:r w:rsidRPr="00B93493">
              <w:rPr>
                <w:sz w:val="16"/>
                <w:szCs w:val="16"/>
              </w:rPr>
              <w:tab/>
              <w:t>Shared Resources networks (Trunking)</w:t>
            </w:r>
            <w:r w:rsidRPr="00B93493">
              <w:rPr>
                <w:sz w:val="16"/>
                <w:szCs w:val="16"/>
              </w:rPr>
              <w:br/>
              <w:t>With channels = 12.5 KHz)</w:t>
            </w:r>
          </w:p>
        </w:tc>
        <w:tc>
          <w:tcPr>
            <w:tcW w:w="1161" w:type="dxa"/>
          </w:tcPr>
          <w:p w14:paraId="71A29FF7" w14:textId="77777777" w:rsidR="00CF04BC" w:rsidRPr="00B93493" w:rsidRDefault="00CF04BC" w:rsidP="002E7F54">
            <w:pPr>
              <w:pStyle w:val="Tabletext"/>
              <w:rPr>
                <w:sz w:val="16"/>
                <w:szCs w:val="16"/>
              </w:rPr>
            </w:pPr>
          </w:p>
        </w:tc>
        <w:tc>
          <w:tcPr>
            <w:tcW w:w="1229" w:type="dxa"/>
          </w:tcPr>
          <w:p w14:paraId="06DFBFAB" w14:textId="77777777" w:rsidR="00CF04BC" w:rsidRPr="00B93493" w:rsidRDefault="00CF04BC" w:rsidP="002E7F54">
            <w:pPr>
              <w:pStyle w:val="Tabletext"/>
              <w:rPr>
                <w:sz w:val="16"/>
                <w:szCs w:val="16"/>
              </w:rPr>
            </w:pPr>
          </w:p>
        </w:tc>
        <w:tc>
          <w:tcPr>
            <w:tcW w:w="1501" w:type="dxa"/>
          </w:tcPr>
          <w:p w14:paraId="50C8BD31" w14:textId="77777777" w:rsidR="00CF04BC" w:rsidRPr="00B93493" w:rsidRDefault="00CF04BC" w:rsidP="002E7F54">
            <w:pPr>
              <w:pStyle w:val="Tabletext"/>
              <w:rPr>
                <w:sz w:val="16"/>
                <w:szCs w:val="16"/>
              </w:rPr>
            </w:pPr>
          </w:p>
        </w:tc>
        <w:tc>
          <w:tcPr>
            <w:tcW w:w="1500" w:type="dxa"/>
          </w:tcPr>
          <w:p w14:paraId="400ED1E0" w14:textId="77777777" w:rsidR="00CF04BC" w:rsidRPr="00B93493" w:rsidRDefault="00CF04BC" w:rsidP="002E7F54">
            <w:pPr>
              <w:pStyle w:val="Tabletext"/>
              <w:rPr>
                <w:sz w:val="16"/>
                <w:szCs w:val="16"/>
              </w:rPr>
            </w:pPr>
          </w:p>
        </w:tc>
      </w:tr>
      <w:tr w:rsidR="00CF04BC" w:rsidRPr="00B93493" w14:paraId="3784A296" w14:textId="77777777" w:rsidTr="002E7F54">
        <w:trPr>
          <w:jc w:val="center"/>
        </w:trPr>
        <w:tc>
          <w:tcPr>
            <w:tcW w:w="4248" w:type="dxa"/>
          </w:tcPr>
          <w:p w14:paraId="0716E670" w14:textId="77777777" w:rsidR="00CF04BC" w:rsidRPr="00B93493" w:rsidRDefault="00CF04BC" w:rsidP="00C65E6B">
            <w:pPr>
              <w:pStyle w:val="Tabletext"/>
              <w:jc w:val="left"/>
              <w:rPr>
                <w:sz w:val="16"/>
                <w:szCs w:val="16"/>
              </w:rPr>
            </w:pPr>
            <w:r w:rsidRPr="00B93493">
              <w:rPr>
                <w:sz w:val="16"/>
                <w:szCs w:val="16"/>
              </w:rPr>
              <w:t>a1. Local network (urban)</w:t>
            </w:r>
          </w:p>
          <w:p w14:paraId="1492F915" w14:textId="77777777" w:rsidR="00CF04BC" w:rsidRPr="00B93493" w:rsidRDefault="00CF04BC" w:rsidP="00C65E6B">
            <w:pPr>
              <w:pStyle w:val="Tabletext"/>
              <w:jc w:val="left"/>
              <w:rPr>
                <w:sz w:val="16"/>
                <w:szCs w:val="16"/>
              </w:rPr>
            </w:pPr>
            <w:r w:rsidRPr="00B93493">
              <w:rPr>
                <w:sz w:val="16"/>
                <w:szCs w:val="16"/>
              </w:rPr>
              <w:t>a2. Regional network (interurban)</w:t>
            </w:r>
          </w:p>
          <w:p w14:paraId="656A5C6A" w14:textId="77777777" w:rsidR="00CF04BC" w:rsidRPr="00B93493" w:rsidRDefault="00CF04BC" w:rsidP="00C65E6B">
            <w:pPr>
              <w:pStyle w:val="Tabletext"/>
              <w:jc w:val="left"/>
              <w:rPr>
                <w:sz w:val="16"/>
                <w:szCs w:val="16"/>
              </w:rPr>
            </w:pPr>
            <w:r w:rsidRPr="00B93493">
              <w:rPr>
                <w:sz w:val="16"/>
                <w:szCs w:val="16"/>
              </w:rPr>
              <w:t>a3. National network</w:t>
            </w:r>
          </w:p>
        </w:tc>
        <w:tc>
          <w:tcPr>
            <w:tcW w:w="1161" w:type="dxa"/>
          </w:tcPr>
          <w:p w14:paraId="3C683AC8" w14:textId="77777777" w:rsidR="00CF04BC" w:rsidRPr="00B93493" w:rsidRDefault="00CF04BC" w:rsidP="002E7F54">
            <w:pPr>
              <w:pStyle w:val="Tabletext"/>
              <w:rPr>
                <w:sz w:val="16"/>
                <w:szCs w:val="16"/>
              </w:rPr>
            </w:pPr>
            <w:r w:rsidRPr="00B93493">
              <w:rPr>
                <w:sz w:val="16"/>
                <w:szCs w:val="16"/>
              </w:rPr>
              <w:t>1 160 000</w:t>
            </w:r>
          </w:p>
          <w:p w14:paraId="05A3D032" w14:textId="77777777" w:rsidR="00CF04BC" w:rsidRPr="00B93493" w:rsidRDefault="00CF04BC" w:rsidP="002E7F54">
            <w:pPr>
              <w:pStyle w:val="Tabletext"/>
              <w:rPr>
                <w:sz w:val="16"/>
                <w:szCs w:val="16"/>
              </w:rPr>
            </w:pPr>
            <w:r w:rsidRPr="00B93493">
              <w:rPr>
                <w:sz w:val="16"/>
                <w:szCs w:val="16"/>
              </w:rPr>
              <w:t>1 740 000</w:t>
            </w:r>
          </w:p>
          <w:p w14:paraId="7876B0DA" w14:textId="77777777" w:rsidR="00CF04BC" w:rsidRPr="00B93493" w:rsidRDefault="00CF04BC" w:rsidP="002E7F54">
            <w:pPr>
              <w:pStyle w:val="Tabletext"/>
              <w:rPr>
                <w:sz w:val="16"/>
                <w:szCs w:val="16"/>
              </w:rPr>
            </w:pPr>
            <w:r w:rsidRPr="00B93493">
              <w:rPr>
                <w:sz w:val="16"/>
                <w:szCs w:val="16"/>
              </w:rPr>
              <w:t>3 770 000</w:t>
            </w:r>
          </w:p>
        </w:tc>
        <w:tc>
          <w:tcPr>
            <w:tcW w:w="1229" w:type="dxa"/>
          </w:tcPr>
          <w:p w14:paraId="7C6B9F37" w14:textId="77777777" w:rsidR="00CF04BC" w:rsidRPr="00B93493" w:rsidRDefault="00CF04BC" w:rsidP="002E7F54">
            <w:pPr>
              <w:pStyle w:val="Tabletext"/>
              <w:rPr>
                <w:sz w:val="16"/>
                <w:szCs w:val="16"/>
              </w:rPr>
            </w:pPr>
          </w:p>
        </w:tc>
        <w:tc>
          <w:tcPr>
            <w:tcW w:w="1501" w:type="dxa"/>
          </w:tcPr>
          <w:p w14:paraId="47C80348" w14:textId="77777777" w:rsidR="00CF04BC" w:rsidRPr="00B93493" w:rsidRDefault="00CF04BC" w:rsidP="002E7F54">
            <w:pPr>
              <w:pStyle w:val="Tabletext"/>
              <w:rPr>
                <w:sz w:val="16"/>
                <w:szCs w:val="16"/>
              </w:rPr>
            </w:pPr>
          </w:p>
        </w:tc>
        <w:tc>
          <w:tcPr>
            <w:tcW w:w="1500" w:type="dxa"/>
          </w:tcPr>
          <w:p w14:paraId="5F32B633" w14:textId="77777777" w:rsidR="00CF04BC" w:rsidRPr="00B93493" w:rsidRDefault="00CF04BC" w:rsidP="002E7F54">
            <w:pPr>
              <w:pStyle w:val="Tabletext"/>
              <w:rPr>
                <w:sz w:val="16"/>
                <w:szCs w:val="16"/>
              </w:rPr>
            </w:pPr>
          </w:p>
        </w:tc>
      </w:tr>
      <w:tr w:rsidR="00CF04BC" w:rsidRPr="00B93493" w14:paraId="6362FA51" w14:textId="77777777" w:rsidTr="002E7F54">
        <w:trPr>
          <w:jc w:val="center"/>
        </w:trPr>
        <w:tc>
          <w:tcPr>
            <w:tcW w:w="4248" w:type="dxa"/>
          </w:tcPr>
          <w:p w14:paraId="765E2915" w14:textId="77777777" w:rsidR="00CF04BC" w:rsidRPr="00B93493" w:rsidRDefault="00CF04BC" w:rsidP="00C65E6B">
            <w:pPr>
              <w:pStyle w:val="Tabletext"/>
              <w:jc w:val="left"/>
              <w:rPr>
                <w:sz w:val="16"/>
                <w:szCs w:val="16"/>
              </w:rPr>
            </w:pPr>
            <w:r w:rsidRPr="00B93493">
              <w:rPr>
                <w:sz w:val="16"/>
                <w:szCs w:val="16"/>
              </w:rPr>
              <w:t>b1. Base station</w:t>
            </w:r>
          </w:p>
        </w:tc>
        <w:tc>
          <w:tcPr>
            <w:tcW w:w="1161" w:type="dxa"/>
          </w:tcPr>
          <w:p w14:paraId="155B0D9B" w14:textId="77777777" w:rsidR="00CF04BC" w:rsidRPr="00B93493" w:rsidRDefault="00CF04BC" w:rsidP="002E7F54">
            <w:pPr>
              <w:pStyle w:val="Tabletext"/>
              <w:rPr>
                <w:sz w:val="16"/>
                <w:szCs w:val="16"/>
              </w:rPr>
            </w:pPr>
          </w:p>
        </w:tc>
        <w:tc>
          <w:tcPr>
            <w:tcW w:w="1229" w:type="dxa"/>
          </w:tcPr>
          <w:p w14:paraId="6125BA44" w14:textId="77777777" w:rsidR="00CF04BC" w:rsidRPr="00B93493" w:rsidRDefault="00CF04BC" w:rsidP="002E7F54">
            <w:pPr>
              <w:pStyle w:val="Tabletext"/>
              <w:rPr>
                <w:sz w:val="16"/>
                <w:szCs w:val="16"/>
              </w:rPr>
            </w:pPr>
            <w:r w:rsidRPr="00B93493">
              <w:rPr>
                <w:sz w:val="16"/>
                <w:szCs w:val="16"/>
              </w:rPr>
              <w:t>34 800</w:t>
            </w:r>
          </w:p>
        </w:tc>
        <w:tc>
          <w:tcPr>
            <w:tcW w:w="1501" w:type="dxa"/>
          </w:tcPr>
          <w:p w14:paraId="7F679D10" w14:textId="77777777" w:rsidR="00CF04BC" w:rsidRPr="00B93493" w:rsidRDefault="00CF04BC" w:rsidP="002E7F54">
            <w:pPr>
              <w:pStyle w:val="Tabletext"/>
              <w:rPr>
                <w:sz w:val="16"/>
                <w:szCs w:val="16"/>
              </w:rPr>
            </w:pPr>
          </w:p>
        </w:tc>
        <w:tc>
          <w:tcPr>
            <w:tcW w:w="1500" w:type="dxa"/>
          </w:tcPr>
          <w:p w14:paraId="45017143" w14:textId="77777777" w:rsidR="00CF04BC" w:rsidRPr="00B93493" w:rsidRDefault="00CF04BC" w:rsidP="002E7F54">
            <w:pPr>
              <w:pStyle w:val="Tabletext"/>
              <w:rPr>
                <w:sz w:val="16"/>
                <w:szCs w:val="16"/>
              </w:rPr>
            </w:pPr>
          </w:p>
        </w:tc>
      </w:tr>
      <w:tr w:rsidR="00CF04BC" w:rsidRPr="00B93493" w14:paraId="4EEF4B74" w14:textId="77777777" w:rsidTr="002E7F54">
        <w:trPr>
          <w:jc w:val="center"/>
        </w:trPr>
        <w:tc>
          <w:tcPr>
            <w:tcW w:w="4248" w:type="dxa"/>
          </w:tcPr>
          <w:p w14:paraId="6729F39A" w14:textId="77777777" w:rsidR="00CF04BC" w:rsidRPr="00B93493" w:rsidRDefault="00CF04BC" w:rsidP="00C65E6B">
            <w:pPr>
              <w:pStyle w:val="Tabletext"/>
              <w:jc w:val="left"/>
              <w:rPr>
                <w:sz w:val="16"/>
                <w:szCs w:val="16"/>
              </w:rPr>
            </w:pPr>
            <w:r w:rsidRPr="00B93493">
              <w:rPr>
                <w:sz w:val="16"/>
                <w:szCs w:val="16"/>
              </w:rPr>
              <w:t>c1. Locally available frequency</w:t>
            </w:r>
          </w:p>
          <w:p w14:paraId="4F7356A7" w14:textId="77777777" w:rsidR="00CF04BC" w:rsidRPr="00B93493" w:rsidRDefault="00CF04BC" w:rsidP="00C65E6B">
            <w:pPr>
              <w:pStyle w:val="Tabletext"/>
              <w:jc w:val="left"/>
              <w:rPr>
                <w:sz w:val="16"/>
                <w:szCs w:val="16"/>
              </w:rPr>
            </w:pPr>
            <w:r w:rsidRPr="00B93493">
              <w:rPr>
                <w:sz w:val="16"/>
                <w:szCs w:val="16"/>
              </w:rPr>
              <w:t>c2. Regional available frequency</w:t>
            </w:r>
          </w:p>
          <w:p w14:paraId="16D01A3D" w14:textId="77777777" w:rsidR="00CF04BC" w:rsidRPr="00B93493" w:rsidRDefault="00CF04BC" w:rsidP="00C65E6B">
            <w:pPr>
              <w:pStyle w:val="Tabletext"/>
              <w:jc w:val="left"/>
              <w:rPr>
                <w:sz w:val="16"/>
                <w:szCs w:val="16"/>
              </w:rPr>
            </w:pPr>
            <w:r w:rsidRPr="00B93493">
              <w:rPr>
                <w:sz w:val="16"/>
                <w:szCs w:val="16"/>
              </w:rPr>
              <w:t>c3. Frequency available throughout the national territory</w:t>
            </w:r>
          </w:p>
        </w:tc>
        <w:tc>
          <w:tcPr>
            <w:tcW w:w="1161" w:type="dxa"/>
          </w:tcPr>
          <w:p w14:paraId="488B5A45" w14:textId="77777777" w:rsidR="00CF04BC" w:rsidRPr="00B93493" w:rsidRDefault="00CF04BC" w:rsidP="002E7F54">
            <w:pPr>
              <w:pStyle w:val="Tabletext"/>
              <w:rPr>
                <w:sz w:val="16"/>
                <w:szCs w:val="16"/>
              </w:rPr>
            </w:pPr>
          </w:p>
        </w:tc>
        <w:tc>
          <w:tcPr>
            <w:tcW w:w="1229" w:type="dxa"/>
          </w:tcPr>
          <w:p w14:paraId="2512E72E" w14:textId="77777777" w:rsidR="00CF04BC" w:rsidRPr="00B93493" w:rsidRDefault="00CF04BC" w:rsidP="002E7F54">
            <w:pPr>
              <w:pStyle w:val="Tabletext"/>
              <w:rPr>
                <w:sz w:val="16"/>
                <w:szCs w:val="16"/>
              </w:rPr>
            </w:pPr>
          </w:p>
        </w:tc>
        <w:tc>
          <w:tcPr>
            <w:tcW w:w="1501" w:type="dxa"/>
          </w:tcPr>
          <w:p w14:paraId="613B8894" w14:textId="77777777" w:rsidR="00CF04BC" w:rsidRPr="00B93493" w:rsidRDefault="00CF04BC" w:rsidP="002E7F54">
            <w:pPr>
              <w:pStyle w:val="Tabletext"/>
              <w:rPr>
                <w:sz w:val="16"/>
                <w:szCs w:val="16"/>
              </w:rPr>
            </w:pPr>
          </w:p>
        </w:tc>
        <w:tc>
          <w:tcPr>
            <w:tcW w:w="1500" w:type="dxa"/>
          </w:tcPr>
          <w:p w14:paraId="43F390CC" w14:textId="77777777" w:rsidR="00CF04BC" w:rsidRPr="00B93493" w:rsidRDefault="00CF04BC" w:rsidP="002E7F54">
            <w:pPr>
              <w:pStyle w:val="Tabletext"/>
              <w:rPr>
                <w:sz w:val="16"/>
                <w:szCs w:val="16"/>
              </w:rPr>
            </w:pPr>
            <w:r w:rsidRPr="00B93493">
              <w:rPr>
                <w:sz w:val="16"/>
                <w:szCs w:val="16"/>
              </w:rPr>
              <w:t>5 800 000</w:t>
            </w:r>
          </w:p>
          <w:p w14:paraId="7206C5B0" w14:textId="77777777" w:rsidR="00CF04BC" w:rsidRPr="00B93493" w:rsidRDefault="00CF04BC" w:rsidP="002E7F54">
            <w:pPr>
              <w:pStyle w:val="Tabletext"/>
              <w:rPr>
                <w:sz w:val="16"/>
                <w:szCs w:val="16"/>
              </w:rPr>
            </w:pPr>
            <w:r w:rsidRPr="00B93493">
              <w:rPr>
                <w:sz w:val="16"/>
                <w:szCs w:val="16"/>
              </w:rPr>
              <w:t>8 700 000</w:t>
            </w:r>
          </w:p>
          <w:p w14:paraId="08DADA24" w14:textId="77777777" w:rsidR="00CF04BC" w:rsidRPr="00B93493" w:rsidRDefault="00CF04BC" w:rsidP="002E7F54">
            <w:pPr>
              <w:pStyle w:val="Tabletext"/>
              <w:rPr>
                <w:sz w:val="16"/>
                <w:szCs w:val="16"/>
              </w:rPr>
            </w:pPr>
            <w:r w:rsidRPr="00B93493">
              <w:rPr>
                <w:sz w:val="16"/>
                <w:szCs w:val="16"/>
              </w:rPr>
              <w:t>10 440 000</w:t>
            </w:r>
          </w:p>
        </w:tc>
      </w:tr>
      <w:tr w:rsidR="00CF04BC" w:rsidRPr="00B93493" w14:paraId="7683B1F7" w14:textId="77777777" w:rsidTr="002E7F54">
        <w:trPr>
          <w:jc w:val="center"/>
        </w:trPr>
        <w:tc>
          <w:tcPr>
            <w:tcW w:w="4248" w:type="dxa"/>
          </w:tcPr>
          <w:p w14:paraId="4D2E79B5" w14:textId="77777777" w:rsidR="00CF04BC" w:rsidRPr="00B93493" w:rsidRDefault="00CF04BC" w:rsidP="00C65E6B">
            <w:pPr>
              <w:pStyle w:val="Tabletext"/>
              <w:ind w:left="284" w:hanging="284"/>
              <w:jc w:val="left"/>
              <w:rPr>
                <w:sz w:val="16"/>
                <w:szCs w:val="16"/>
              </w:rPr>
            </w:pPr>
            <w:r w:rsidRPr="00B93493">
              <w:rPr>
                <w:sz w:val="16"/>
                <w:szCs w:val="16"/>
              </w:rPr>
              <w:t>II.3. Cellular Network</w:t>
            </w:r>
          </w:p>
        </w:tc>
        <w:tc>
          <w:tcPr>
            <w:tcW w:w="1161" w:type="dxa"/>
          </w:tcPr>
          <w:p w14:paraId="0AFFE30F" w14:textId="77777777" w:rsidR="00CF04BC" w:rsidRPr="00B93493" w:rsidRDefault="00CF04BC" w:rsidP="002E7F54">
            <w:pPr>
              <w:pStyle w:val="Tabletext"/>
              <w:rPr>
                <w:sz w:val="16"/>
                <w:szCs w:val="16"/>
              </w:rPr>
            </w:pPr>
          </w:p>
        </w:tc>
        <w:tc>
          <w:tcPr>
            <w:tcW w:w="1229" w:type="dxa"/>
          </w:tcPr>
          <w:p w14:paraId="15B662CF" w14:textId="77777777" w:rsidR="00CF04BC" w:rsidRPr="00B93493" w:rsidRDefault="00CF04BC" w:rsidP="002E7F54">
            <w:pPr>
              <w:pStyle w:val="Tabletext"/>
              <w:rPr>
                <w:sz w:val="16"/>
                <w:szCs w:val="16"/>
              </w:rPr>
            </w:pPr>
          </w:p>
        </w:tc>
        <w:tc>
          <w:tcPr>
            <w:tcW w:w="1501" w:type="dxa"/>
          </w:tcPr>
          <w:p w14:paraId="10F9670F" w14:textId="77777777" w:rsidR="00CF04BC" w:rsidRPr="00B93493" w:rsidRDefault="00CF04BC" w:rsidP="002E7F54">
            <w:pPr>
              <w:pStyle w:val="Tabletext"/>
              <w:rPr>
                <w:sz w:val="16"/>
                <w:szCs w:val="16"/>
              </w:rPr>
            </w:pPr>
          </w:p>
        </w:tc>
        <w:tc>
          <w:tcPr>
            <w:tcW w:w="1500" w:type="dxa"/>
          </w:tcPr>
          <w:p w14:paraId="4AF36558" w14:textId="77777777" w:rsidR="00CF04BC" w:rsidRPr="00B93493" w:rsidRDefault="00CF04BC" w:rsidP="002E7F54">
            <w:pPr>
              <w:pStyle w:val="Tabletext"/>
              <w:rPr>
                <w:sz w:val="16"/>
                <w:szCs w:val="16"/>
              </w:rPr>
            </w:pPr>
          </w:p>
        </w:tc>
      </w:tr>
      <w:tr w:rsidR="00CF04BC" w:rsidRPr="00B93493" w14:paraId="0C72E43D" w14:textId="77777777" w:rsidTr="002E7F54">
        <w:trPr>
          <w:jc w:val="center"/>
        </w:trPr>
        <w:tc>
          <w:tcPr>
            <w:tcW w:w="4248" w:type="dxa"/>
          </w:tcPr>
          <w:p w14:paraId="354F3822" w14:textId="77777777" w:rsidR="00CF04BC" w:rsidRPr="00B93493" w:rsidRDefault="00CF04BC" w:rsidP="00C65E6B">
            <w:pPr>
              <w:pStyle w:val="Tabletext"/>
              <w:ind w:left="284" w:hanging="284"/>
              <w:jc w:val="left"/>
              <w:rPr>
                <w:sz w:val="16"/>
                <w:szCs w:val="16"/>
              </w:rPr>
            </w:pPr>
            <w:r w:rsidRPr="00B93493">
              <w:rPr>
                <w:sz w:val="16"/>
                <w:szCs w:val="16"/>
              </w:rPr>
              <w:t>a1. Base station</w:t>
            </w:r>
          </w:p>
        </w:tc>
        <w:tc>
          <w:tcPr>
            <w:tcW w:w="1161" w:type="dxa"/>
          </w:tcPr>
          <w:p w14:paraId="3B293D4E" w14:textId="77777777" w:rsidR="00CF04BC" w:rsidRPr="00B93493" w:rsidRDefault="00CF04BC" w:rsidP="002E7F54">
            <w:pPr>
              <w:pStyle w:val="Tabletext"/>
              <w:rPr>
                <w:sz w:val="16"/>
                <w:szCs w:val="16"/>
              </w:rPr>
            </w:pPr>
          </w:p>
        </w:tc>
        <w:tc>
          <w:tcPr>
            <w:tcW w:w="1229" w:type="dxa"/>
          </w:tcPr>
          <w:p w14:paraId="3821A1B8" w14:textId="77777777" w:rsidR="00CF04BC" w:rsidRPr="00B93493" w:rsidRDefault="00CF04BC" w:rsidP="002E7F54">
            <w:pPr>
              <w:pStyle w:val="Tabletext"/>
              <w:rPr>
                <w:sz w:val="16"/>
                <w:szCs w:val="16"/>
              </w:rPr>
            </w:pPr>
            <w:r w:rsidRPr="00B93493">
              <w:rPr>
                <w:sz w:val="16"/>
                <w:szCs w:val="16"/>
              </w:rPr>
              <w:t>34 800</w:t>
            </w:r>
          </w:p>
        </w:tc>
        <w:tc>
          <w:tcPr>
            <w:tcW w:w="1501" w:type="dxa"/>
          </w:tcPr>
          <w:p w14:paraId="7D45D526" w14:textId="77777777" w:rsidR="00CF04BC" w:rsidRPr="00B93493" w:rsidRDefault="00CF04BC" w:rsidP="002E7F54">
            <w:pPr>
              <w:pStyle w:val="Tabletext"/>
              <w:rPr>
                <w:sz w:val="16"/>
                <w:szCs w:val="16"/>
              </w:rPr>
            </w:pPr>
            <w:r w:rsidRPr="00B93493">
              <w:rPr>
                <w:sz w:val="16"/>
                <w:szCs w:val="16"/>
              </w:rPr>
              <w:t>29 000 000</w:t>
            </w:r>
          </w:p>
        </w:tc>
        <w:tc>
          <w:tcPr>
            <w:tcW w:w="1500" w:type="dxa"/>
          </w:tcPr>
          <w:p w14:paraId="7B0F13AE" w14:textId="77777777" w:rsidR="00CF04BC" w:rsidRPr="00B93493" w:rsidRDefault="00CF04BC" w:rsidP="002E7F54">
            <w:pPr>
              <w:pStyle w:val="Tabletext"/>
              <w:rPr>
                <w:sz w:val="16"/>
                <w:szCs w:val="16"/>
              </w:rPr>
            </w:pPr>
          </w:p>
        </w:tc>
      </w:tr>
      <w:tr w:rsidR="00CF04BC" w:rsidRPr="00B93493" w14:paraId="57FDB1C8" w14:textId="77777777" w:rsidTr="002E7F54">
        <w:trPr>
          <w:jc w:val="center"/>
        </w:trPr>
        <w:tc>
          <w:tcPr>
            <w:tcW w:w="4248" w:type="dxa"/>
          </w:tcPr>
          <w:p w14:paraId="2EAAAC89" w14:textId="77777777" w:rsidR="00CF04BC" w:rsidRPr="00B93493" w:rsidRDefault="00CF04BC" w:rsidP="00C65E6B">
            <w:pPr>
              <w:pStyle w:val="Tabletext"/>
              <w:ind w:left="284" w:hanging="284"/>
              <w:jc w:val="left"/>
              <w:rPr>
                <w:sz w:val="16"/>
                <w:szCs w:val="16"/>
              </w:rPr>
            </w:pPr>
            <w:r w:rsidRPr="00B93493">
              <w:rPr>
                <w:sz w:val="16"/>
                <w:szCs w:val="16"/>
              </w:rPr>
              <w:t>b1.</w:t>
            </w:r>
            <w:r w:rsidRPr="00B93493">
              <w:rPr>
                <w:sz w:val="16"/>
                <w:szCs w:val="16"/>
              </w:rPr>
              <w:tab/>
              <w:t xml:space="preserve">For duplex channel available throughout </w:t>
            </w:r>
            <w:r w:rsidRPr="00B93493">
              <w:rPr>
                <w:sz w:val="16"/>
                <w:szCs w:val="16"/>
              </w:rPr>
              <w:br/>
              <w:t>the national territory (with bandwidth = 200 KHz)</w:t>
            </w:r>
          </w:p>
        </w:tc>
        <w:tc>
          <w:tcPr>
            <w:tcW w:w="1161" w:type="dxa"/>
          </w:tcPr>
          <w:p w14:paraId="64A9DC55" w14:textId="77777777" w:rsidR="00CF04BC" w:rsidRPr="00B93493" w:rsidRDefault="00CF04BC" w:rsidP="002E7F54">
            <w:pPr>
              <w:pStyle w:val="Tabletext"/>
              <w:rPr>
                <w:sz w:val="16"/>
                <w:szCs w:val="16"/>
              </w:rPr>
            </w:pPr>
          </w:p>
        </w:tc>
        <w:tc>
          <w:tcPr>
            <w:tcW w:w="1229" w:type="dxa"/>
          </w:tcPr>
          <w:p w14:paraId="63769D8A" w14:textId="77777777" w:rsidR="00CF04BC" w:rsidRPr="00B93493" w:rsidRDefault="00CF04BC" w:rsidP="002E7F54">
            <w:pPr>
              <w:pStyle w:val="Tabletext"/>
              <w:rPr>
                <w:sz w:val="16"/>
                <w:szCs w:val="16"/>
              </w:rPr>
            </w:pPr>
          </w:p>
        </w:tc>
        <w:tc>
          <w:tcPr>
            <w:tcW w:w="1501" w:type="dxa"/>
          </w:tcPr>
          <w:p w14:paraId="5886B037" w14:textId="77777777" w:rsidR="00CF04BC" w:rsidRPr="00B93493" w:rsidRDefault="00CF04BC" w:rsidP="002E7F54">
            <w:pPr>
              <w:pStyle w:val="Tabletext"/>
              <w:rPr>
                <w:sz w:val="16"/>
                <w:szCs w:val="16"/>
              </w:rPr>
            </w:pPr>
            <w:r w:rsidRPr="00B93493">
              <w:rPr>
                <w:sz w:val="16"/>
                <w:szCs w:val="16"/>
              </w:rPr>
              <w:t>10 440 000</w:t>
            </w:r>
          </w:p>
        </w:tc>
        <w:tc>
          <w:tcPr>
            <w:tcW w:w="1500" w:type="dxa"/>
          </w:tcPr>
          <w:p w14:paraId="42231C33" w14:textId="77777777" w:rsidR="00CF04BC" w:rsidRPr="00B93493" w:rsidRDefault="00CF04BC" w:rsidP="002E7F54">
            <w:pPr>
              <w:pStyle w:val="Tabletext"/>
              <w:rPr>
                <w:sz w:val="16"/>
                <w:szCs w:val="16"/>
              </w:rPr>
            </w:pPr>
            <w:r w:rsidRPr="00B93493">
              <w:rPr>
                <w:sz w:val="16"/>
                <w:szCs w:val="16"/>
              </w:rPr>
              <w:t>10 440 000</w:t>
            </w:r>
          </w:p>
        </w:tc>
      </w:tr>
      <w:tr w:rsidR="00CF04BC" w:rsidRPr="00B93493" w14:paraId="61E15AB7" w14:textId="77777777" w:rsidTr="002E7F54">
        <w:trPr>
          <w:jc w:val="center"/>
        </w:trPr>
        <w:tc>
          <w:tcPr>
            <w:tcW w:w="4248" w:type="dxa"/>
          </w:tcPr>
          <w:p w14:paraId="3A9A3D05" w14:textId="77777777" w:rsidR="00CF04BC" w:rsidRPr="00B93493" w:rsidRDefault="00CF04BC" w:rsidP="00C65E6B">
            <w:pPr>
              <w:pStyle w:val="Tabletext"/>
              <w:ind w:left="284" w:hanging="284"/>
              <w:jc w:val="left"/>
              <w:rPr>
                <w:sz w:val="16"/>
                <w:szCs w:val="16"/>
              </w:rPr>
            </w:pPr>
            <w:r w:rsidRPr="00B93493">
              <w:rPr>
                <w:sz w:val="16"/>
                <w:szCs w:val="16"/>
              </w:rPr>
              <w:t>II.4. Microwave Links above 1 GHz</w:t>
            </w:r>
          </w:p>
        </w:tc>
        <w:tc>
          <w:tcPr>
            <w:tcW w:w="1161" w:type="dxa"/>
          </w:tcPr>
          <w:p w14:paraId="4A23A9DB" w14:textId="77777777" w:rsidR="00CF04BC" w:rsidRPr="00B93493" w:rsidRDefault="00CF04BC" w:rsidP="002E7F54">
            <w:pPr>
              <w:pStyle w:val="Tabletext"/>
              <w:rPr>
                <w:sz w:val="16"/>
                <w:szCs w:val="16"/>
              </w:rPr>
            </w:pPr>
          </w:p>
        </w:tc>
        <w:tc>
          <w:tcPr>
            <w:tcW w:w="1229" w:type="dxa"/>
          </w:tcPr>
          <w:p w14:paraId="55380382" w14:textId="77777777" w:rsidR="00CF04BC" w:rsidRPr="00B93493" w:rsidRDefault="00CF04BC" w:rsidP="002E7F54">
            <w:pPr>
              <w:pStyle w:val="Tabletext"/>
              <w:rPr>
                <w:sz w:val="16"/>
                <w:szCs w:val="16"/>
              </w:rPr>
            </w:pPr>
          </w:p>
        </w:tc>
        <w:tc>
          <w:tcPr>
            <w:tcW w:w="1501" w:type="dxa"/>
          </w:tcPr>
          <w:p w14:paraId="60EB80F8" w14:textId="77777777" w:rsidR="00CF04BC" w:rsidRPr="00B93493" w:rsidRDefault="00CF04BC" w:rsidP="002E7F54">
            <w:pPr>
              <w:pStyle w:val="Tabletext"/>
              <w:rPr>
                <w:sz w:val="16"/>
                <w:szCs w:val="16"/>
              </w:rPr>
            </w:pPr>
          </w:p>
        </w:tc>
        <w:tc>
          <w:tcPr>
            <w:tcW w:w="1500" w:type="dxa"/>
          </w:tcPr>
          <w:p w14:paraId="45BF95C4" w14:textId="77777777" w:rsidR="00CF04BC" w:rsidRPr="00B93493" w:rsidRDefault="00CF04BC" w:rsidP="002E7F54">
            <w:pPr>
              <w:pStyle w:val="Tabletext"/>
              <w:rPr>
                <w:sz w:val="16"/>
                <w:szCs w:val="16"/>
              </w:rPr>
            </w:pPr>
          </w:p>
        </w:tc>
      </w:tr>
      <w:tr w:rsidR="00CF04BC" w:rsidRPr="00B93493" w14:paraId="07659005" w14:textId="77777777" w:rsidTr="002E7F54">
        <w:trPr>
          <w:jc w:val="center"/>
        </w:trPr>
        <w:tc>
          <w:tcPr>
            <w:tcW w:w="4248" w:type="dxa"/>
          </w:tcPr>
          <w:p w14:paraId="1D620882" w14:textId="77777777" w:rsidR="00CF04BC" w:rsidRPr="00B93493" w:rsidRDefault="00CF04BC" w:rsidP="00C65E6B">
            <w:pPr>
              <w:pStyle w:val="Tabletext"/>
              <w:jc w:val="left"/>
              <w:rPr>
                <w:sz w:val="16"/>
                <w:szCs w:val="16"/>
              </w:rPr>
            </w:pPr>
            <w:r w:rsidRPr="00B93493">
              <w:rPr>
                <w:sz w:val="16"/>
                <w:szCs w:val="16"/>
              </w:rPr>
              <w:t>a1. Local links</w:t>
            </w:r>
          </w:p>
          <w:p w14:paraId="54ED1787" w14:textId="77777777" w:rsidR="00CF04BC" w:rsidRPr="00B93493" w:rsidRDefault="00CF04BC" w:rsidP="00C65E6B">
            <w:pPr>
              <w:pStyle w:val="Tabletext"/>
              <w:jc w:val="left"/>
              <w:rPr>
                <w:sz w:val="16"/>
                <w:szCs w:val="16"/>
              </w:rPr>
            </w:pPr>
            <w:r w:rsidRPr="00B93493">
              <w:rPr>
                <w:sz w:val="16"/>
                <w:szCs w:val="16"/>
              </w:rPr>
              <w:t>a2. Regional Links</w:t>
            </w:r>
          </w:p>
          <w:p w14:paraId="26AC67A4" w14:textId="77777777" w:rsidR="00CF04BC" w:rsidRPr="00B93493" w:rsidRDefault="00CF04BC" w:rsidP="00C65E6B">
            <w:pPr>
              <w:pStyle w:val="Tabletext"/>
              <w:jc w:val="left"/>
              <w:rPr>
                <w:sz w:val="16"/>
                <w:szCs w:val="16"/>
              </w:rPr>
            </w:pPr>
            <w:r w:rsidRPr="00B93493">
              <w:rPr>
                <w:sz w:val="16"/>
                <w:szCs w:val="16"/>
              </w:rPr>
              <w:t>a3. National Links</w:t>
            </w:r>
          </w:p>
        </w:tc>
        <w:tc>
          <w:tcPr>
            <w:tcW w:w="1161" w:type="dxa"/>
          </w:tcPr>
          <w:p w14:paraId="3F10D100" w14:textId="77777777" w:rsidR="00CF04BC" w:rsidRPr="00B93493" w:rsidRDefault="00CF04BC" w:rsidP="002E7F54">
            <w:pPr>
              <w:pStyle w:val="Tabletext"/>
              <w:rPr>
                <w:sz w:val="16"/>
                <w:szCs w:val="16"/>
              </w:rPr>
            </w:pPr>
            <w:r w:rsidRPr="00B93493">
              <w:rPr>
                <w:sz w:val="16"/>
                <w:szCs w:val="16"/>
              </w:rPr>
              <w:t>1 160 000</w:t>
            </w:r>
          </w:p>
          <w:p w14:paraId="032EBF5A" w14:textId="77777777" w:rsidR="00CF04BC" w:rsidRPr="00B93493" w:rsidRDefault="00CF04BC" w:rsidP="002E7F54">
            <w:pPr>
              <w:pStyle w:val="Tabletext"/>
              <w:rPr>
                <w:sz w:val="16"/>
                <w:szCs w:val="16"/>
              </w:rPr>
            </w:pPr>
            <w:r w:rsidRPr="00B93493">
              <w:rPr>
                <w:sz w:val="16"/>
                <w:szCs w:val="16"/>
              </w:rPr>
              <w:t>1 740 000</w:t>
            </w:r>
          </w:p>
          <w:p w14:paraId="336F84B6" w14:textId="77777777" w:rsidR="00CF04BC" w:rsidRPr="00B93493" w:rsidRDefault="00CF04BC" w:rsidP="002E7F54">
            <w:pPr>
              <w:pStyle w:val="Tabletext"/>
              <w:rPr>
                <w:sz w:val="16"/>
                <w:szCs w:val="16"/>
              </w:rPr>
            </w:pPr>
            <w:r w:rsidRPr="00B93493">
              <w:rPr>
                <w:sz w:val="16"/>
                <w:szCs w:val="16"/>
              </w:rPr>
              <w:t>3 770 000</w:t>
            </w:r>
          </w:p>
        </w:tc>
        <w:tc>
          <w:tcPr>
            <w:tcW w:w="1229" w:type="dxa"/>
          </w:tcPr>
          <w:p w14:paraId="5843099E" w14:textId="77777777" w:rsidR="00CF04BC" w:rsidRPr="00B93493" w:rsidRDefault="00CF04BC" w:rsidP="002E7F54">
            <w:pPr>
              <w:pStyle w:val="Tabletext"/>
              <w:rPr>
                <w:sz w:val="16"/>
                <w:szCs w:val="16"/>
              </w:rPr>
            </w:pPr>
          </w:p>
        </w:tc>
        <w:tc>
          <w:tcPr>
            <w:tcW w:w="1501" w:type="dxa"/>
          </w:tcPr>
          <w:p w14:paraId="1ED4D887" w14:textId="77777777" w:rsidR="00CF04BC" w:rsidRPr="00B93493" w:rsidRDefault="00CF04BC" w:rsidP="002E7F54">
            <w:pPr>
              <w:pStyle w:val="Tabletext"/>
              <w:rPr>
                <w:sz w:val="16"/>
                <w:szCs w:val="16"/>
              </w:rPr>
            </w:pPr>
            <w:r w:rsidRPr="00B93493">
              <w:rPr>
                <w:sz w:val="16"/>
                <w:szCs w:val="16"/>
              </w:rPr>
              <w:t>5 800 000</w:t>
            </w:r>
          </w:p>
          <w:p w14:paraId="66837C9F" w14:textId="77777777" w:rsidR="00CF04BC" w:rsidRPr="00B93493" w:rsidRDefault="00CF04BC" w:rsidP="002E7F54">
            <w:pPr>
              <w:pStyle w:val="Tabletext"/>
              <w:rPr>
                <w:sz w:val="16"/>
                <w:szCs w:val="16"/>
              </w:rPr>
            </w:pPr>
            <w:r w:rsidRPr="00B93493">
              <w:rPr>
                <w:sz w:val="16"/>
                <w:szCs w:val="16"/>
              </w:rPr>
              <w:t>14 500 000</w:t>
            </w:r>
          </w:p>
          <w:p w14:paraId="5D50C7D6" w14:textId="77777777" w:rsidR="00CF04BC" w:rsidRPr="00B93493" w:rsidRDefault="00CF04BC" w:rsidP="002E7F54">
            <w:pPr>
              <w:pStyle w:val="Tabletext"/>
              <w:rPr>
                <w:sz w:val="16"/>
                <w:szCs w:val="16"/>
              </w:rPr>
            </w:pPr>
            <w:r w:rsidRPr="00B93493">
              <w:rPr>
                <w:sz w:val="16"/>
                <w:szCs w:val="16"/>
              </w:rPr>
              <w:t>29 000 000</w:t>
            </w:r>
          </w:p>
        </w:tc>
        <w:tc>
          <w:tcPr>
            <w:tcW w:w="1500" w:type="dxa"/>
          </w:tcPr>
          <w:p w14:paraId="7F0F420B" w14:textId="77777777" w:rsidR="00CF04BC" w:rsidRPr="00B93493" w:rsidRDefault="00CF04BC" w:rsidP="002E7F54">
            <w:pPr>
              <w:pStyle w:val="Tabletext"/>
              <w:rPr>
                <w:sz w:val="16"/>
                <w:szCs w:val="16"/>
              </w:rPr>
            </w:pPr>
          </w:p>
        </w:tc>
      </w:tr>
      <w:tr w:rsidR="00CF04BC" w:rsidRPr="00B93493" w14:paraId="6F885517" w14:textId="77777777" w:rsidTr="002E7F54">
        <w:trPr>
          <w:jc w:val="center"/>
        </w:trPr>
        <w:tc>
          <w:tcPr>
            <w:tcW w:w="4248" w:type="dxa"/>
          </w:tcPr>
          <w:p w14:paraId="5E52B235" w14:textId="77777777" w:rsidR="00CF04BC" w:rsidRPr="00B93493" w:rsidRDefault="00CF04BC" w:rsidP="00C65E6B">
            <w:pPr>
              <w:pStyle w:val="Tabletext"/>
              <w:jc w:val="left"/>
              <w:rPr>
                <w:sz w:val="16"/>
                <w:szCs w:val="16"/>
              </w:rPr>
            </w:pPr>
            <w:r w:rsidRPr="00B93493">
              <w:rPr>
                <w:sz w:val="16"/>
                <w:szCs w:val="16"/>
              </w:rPr>
              <w:t>b1. Terminal station</w:t>
            </w:r>
          </w:p>
          <w:p w14:paraId="258B8368" w14:textId="77777777" w:rsidR="00CF04BC" w:rsidRPr="00B93493" w:rsidRDefault="00CF04BC" w:rsidP="00C65E6B">
            <w:pPr>
              <w:pStyle w:val="Tabletext"/>
              <w:jc w:val="left"/>
              <w:rPr>
                <w:sz w:val="16"/>
                <w:szCs w:val="16"/>
              </w:rPr>
            </w:pPr>
            <w:r w:rsidRPr="00B93493">
              <w:rPr>
                <w:sz w:val="16"/>
                <w:szCs w:val="16"/>
              </w:rPr>
              <w:t>b2. Terminal station</w:t>
            </w:r>
          </w:p>
        </w:tc>
        <w:tc>
          <w:tcPr>
            <w:tcW w:w="1161" w:type="dxa"/>
          </w:tcPr>
          <w:p w14:paraId="743CF2B0" w14:textId="77777777" w:rsidR="00CF04BC" w:rsidRPr="00B93493" w:rsidRDefault="00CF04BC" w:rsidP="002E7F54">
            <w:pPr>
              <w:pStyle w:val="Tabletext"/>
              <w:rPr>
                <w:sz w:val="16"/>
                <w:szCs w:val="16"/>
              </w:rPr>
            </w:pPr>
          </w:p>
        </w:tc>
        <w:tc>
          <w:tcPr>
            <w:tcW w:w="1229" w:type="dxa"/>
          </w:tcPr>
          <w:p w14:paraId="613735D5" w14:textId="77777777" w:rsidR="00CF04BC" w:rsidRPr="00B93493" w:rsidRDefault="00CF04BC" w:rsidP="002E7F54">
            <w:pPr>
              <w:pStyle w:val="Tabletext"/>
              <w:rPr>
                <w:sz w:val="16"/>
                <w:szCs w:val="16"/>
              </w:rPr>
            </w:pPr>
            <w:r w:rsidRPr="00B93493">
              <w:rPr>
                <w:sz w:val="16"/>
                <w:szCs w:val="16"/>
              </w:rPr>
              <w:t>34 800</w:t>
            </w:r>
          </w:p>
          <w:p w14:paraId="1E191BCD" w14:textId="77777777" w:rsidR="00CF04BC" w:rsidRPr="00B93493" w:rsidRDefault="00CF04BC" w:rsidP="002E7F54">
            <w:pPr>
              <w:pStyle w:val="Tabletext"/>
              <w:rPr>
                <w:sz w:val="16"/>
                <w:szCs w:val="16"/>
              </w:rPr>
            </w:pPr>
            <w:r w:rsidRPr="00B93493">
              <w:rPr>
                <w:sz w:val="16"/>
                <w:szCs w:val="16"/>
              </w:rPr>
              <w:t>29 000</w:t>
            </w:r>
          </w:p>
        </w:tc>
        <w:tc>
          <w:tcPr>
            <w:tcW w:w="1501" w:type="dxa"/>
          </w:tcPr>
          <w:p w14:paraId="444C3EC5" w14:textId="77777777" w:rsidR="00CF04BC" w:rsidRPr="00B93493" w:rsidRDefault="00CF04BC" w:rsidP="002E7F54">
            <w:pPr>
              <w:pStyle w:val="Tabletext"/>
              <w:rPr>
                <w:sz w:val="16"/>
                <w:szCs w:val="16"/>
              </w:rPr>
            </w:pPr>
          </w:p>
        </w:tc>
        <w:tc>
          <w:tcPr>
            <w:tcW w:w="1500" w:type="dxa"/>
          </w:tcPr>
          <w:p w14:paraId="3C10E75B" w14:textId="77777777" w:rsidR="00CF04BC" w:rsidRPr="00B93493" w:rsidRDefault="00CF04BC" w:rsidP="002E7F54">
            <w:pPr>
              <w:pStyle w:val="Tabletext"/>
              <w:rPr>
                <w:sz w:val="16"/>
                <w:szCs w:val="16"/>
              </w:rPr>
            </w:pPr>
          </w:p>
        </w:tc>
      </w:tr>
      <w:tr w:rsidR="00CF04BC" w:rsidRPr="00B93493" w14:paraId="3DF4F586" w14:textId="77777777" w:rsidTr="002E7F54">
        <w:trPr>
          <w:jc w:val="center"/>
        </w:trPr>
        <w:tc>
          <w:tcPr>
            <w:tcW w:w="4248" w:type="dxa"/>
          </w:tcPr>
          <w:p w14:paraId="5C3534B0" w14:textId="77777777" w:rsidR="00CF04BC" w:rsidRPr="00B93493" w:rsidRDefault="00CF04BC" w:rsidP="00C65E6B">
            <w:pPr>
              <w:pStyle w:val="Tabletext"/>
              <w:jc w:val="left"/>
              <w:rPr>
                <w:sz w:val="16"/>
                <w:szCs w:val="16"/>
              </w:rPr>
            </w:pPr>
            <w:r w:rsidRPr="00B93493">
              <w:rPr>
                <w:sz w:val="16"/>
                <w:szCs w:val="16"/>
              </w:rPr>
              <w:t>c1. Links of 120 telephone channels or 8 Mbits/s</w:t>
            </w:r>
          </w:p>
          <w:p w14:paraId="00331BFC" w14:textId="77777777" w:rsidR="00CF04BC" w:rsidRPr="00B93493" w:rsidRDefault="00CF04BC" w:rsidP="00C65E6B">
            <w:pPr>
              <w:pStyle w:val="Tabletext"/>
              <w:jc w:val="left"/>
              <w:rPr>
                <w:sz w:val="16"/>
                <w:szCs w:val="16"/>
              </w:rPr>
            </w:pPr>
            <w:r w:rsidRPr="00B93493">
              <w:rPr>
                <w:sz w:val="16"/>
                <w:szCs w:val="16"/>
              </w:rPr>
              <w:t xml:space="preserve">c2. Links from 121 to 600 telephone channels or </w:t>
            </w:r>
            <w:r w:rsidRPr="00B93493">
              <w:rPr>
                <w:sz w:val="16"/>
                <w:szCs w:val="16"/>
              </w:rPr>
              <w:br/>
            </w:r>
            <w:r w:rsidRPr="00B93493">
              <w:rPr>
                <w:sz w:val="16"/>
                <w:szCs w:val="16"/>
              </w:rPr>
              <w:tab/>
              <w:t>from 2.1-8 Mbits/s</w:t>
            </w:r>
          </w:p>
          <w:p w14:paraId="43C53012" w14:textId="77777777" w:rsidR="00CF04BC" w:rsidRPr="00B93493" w:rsidRDefault="00CF04BC" w:rsidP="00C65E6B">
            <w:pPr>
              <w:pStyle w:val="Tabletext"/>
              <w:jc w:val="left"/>
              <w:rPr>
                <w:sz w:val="16"/>
                <w:szCs w:val="16"/>
              </w:rPr>
            </w:pPr>
            <w:r w:rsidRPr="00B93493">
              <w:rPr>
                <w:sz w:val="16"/>
                <w:szCs w:val="16"/>
              </w:rPr>
              <w:t xml:space="preserve">c3. Links up to 1200 telephone channels or more </w:t>
            </w:r>
            <w:r w:rsidRPr="00B93493">
              <w:rPr>
                <w:sz w:val="16"/>
                <w:szCs w:val="16"/>
              </w:rPr>
              <w:br/>
            </w:r>
            <w:r w:rsidRPr="00B93493">
              <w:rPr>
                <w:sz w:val="16"/>
                <w:szCs w:val="16"/>
              </w:rPr>
              <w:tab/>
              <w:t>than 70 Mbits/s</w:t>
            </w:r>
          </w:p>
        </w:tc>
        <w:tc>
          <w:tcPr>
            <w:tcW w:w="1161" w:type="dxa"/>
          </w:tcPr>
          <w:p w14:paraId="7ED1EBBE" w14:textId="77777777" w:rsidR="00CF04BC" w:rsidRPr="00B93493" w:rsidRDefault="00CF04BC" w:rsidP="002E7F54">
            <w:pPr>
              <w:pStyle w:val="Tabletext"/>
              <w:rPr>
                <w:sz w:val="16"/>
                <w:szCs w:val="16"/>
              </w:rPr>
            </w:pPr>
          </w:p>
        </w:tc>
        <w:tc>
          <w:tcPr>
            <w:tcW w:w="1229" w:type="dxa"/>
          </w:tcPr>
          <w:p w14:paraId="564DD201" w14:textId="77777777" w:rsidR="00CF04BC" w:rsidRPr="00B93493" w:rsidRDefault="00CF04BC" w:rsidP="002E7F54">
            <w:pPr>
              <w:pStyle w:val="Tabletext"/>
              <w:rPr>
                <w:sz w:val="16"/>
                <w:szCs w:val="16"/>
              </w:rPr>
            </w:pPr>
          </w:p>
        </w:tc>
        <w:tc>
          <w:tcPr>
            <w:tcW w:w="1501" w:type="dxa"/>
          </w:tcPr>
          <w:p w14:paraId="027E657B" w14:textId="77777777" w:rsidR="00CF04BC" w:rsidRPr="00B93493" w:rsidRDefault="00CF04BC" w:rsidP="002E7F54">
            <w:pPr>
              <w:pStyle w:val="Tabletext"/>
              <w:rPr>
                <w:sz w:val="16"/>
                <w:szCs w:val="16"/>
              </w:rPr>
            </w:pPr>
          </w:p>
        </w:tc>
        <w:tc>
          <w:tcPr>
            <w:tcW w:w="1500" w:type="dxa"/>
          </w:tcPr>
          <w:p w14:paraId="4607CF7D" w14:textId="77777777" w:rsidR="00CF04BC" w:rsidRPr="00B93493" w:rsidRDefault="00CF04BC" w:rsidP="002E7F54">
            <w:pPr>
              <w:pStyle w:val="Tabletext"/>
              <w:rPr>
                <w:sz w:val="16"/>
                <w:szCs w:val="16"/>
              </w:rPr>
            </w:pPr>
            <w:r w:rsidRPr="00B93493">
              <w:rPr>
                <w:sz w:val="16"/>
                <w:szCs w:val="16"/>
              </w:rPr>
              <w:t>5 800 000</w:t>
            </w:r>
          </w:p>
          <w:p w14:paraId="34AFC3E8" w14:textId="77777777" w:rsidR="00CF04BC" w:rsidRPr="00B93493" w:rsidRDefault="00CF04BC" w:rsidP="002E7F54">
            <w:pPr>
              <w:pStyle w:val="Tabletext"/>
              <w:rPr>
                <w:sz w:val="16"/>
                <w:szCs w:val="16"/>
              </w:rPr>
            </w:pPr>
            <w:r w:rsidRPr="00B93493">
              <w:rPr>
                <w:sz w:val="16"/>
                <w:szCs w:val="16"/>
              </w:rPr>
              <w:t>10 440 000</w:t>
            </w:r>
          </w:p>
          <w:p w14:paraId="55FB6F6D" w14:textId="77777777" w:rsidR="00CF04BC" w:rsidRPr="00B93493" w:rsidRDefault="00CF04BC" w:rsidP="002E7F54">
            <w:pPr>
              <w:pStyle w:val="Tabletext"/>
              <w:rPr>
                <w:sz w:val="16"/>
                <w:szCs w:val="16"/>
              </w:rPr>
            </w:pPr>
            <w:r w:rsidRPr="00B93493">
              <w:rPr>
                <w:sz w:val="16"/>
                <w:szCs w:val="16"/>
              </w:rPr>
              <w:t>14 500 000</w:t>
            </w:r>
          </w:p>
          <w:p w14:paraId="29EE81C4" w14:textId="77777777" w:rsidR="00CF04BC" w:rsidRPr="00B93493" w:rsidRDefault="00CF04BC" w:rsidP="002E7F54">
            <w:pPr>
              <w:pStyle w:val="Tabletext"/>
              <w:rPr>
                <w:sz w:val="16"/>
                <w:szCs w:val="16"/>
              </w:rPr>
            </w:pPr>
            <w:r w:rsidRPr="00B93493">
              <w:rPr>
                <w:sz w:val="16"/>
                <w:szCs w:val="16"/>
              </w:rPr>
              <w:t>17 400 000</w:t>
            </w:r>
          </w:p>
        </w:tc>
      </w:tr>
      <w:tr w:rsidR="00CF04BC" w:rsidRPr="00B93493" w14:paraId="6C80AC7C" w14:textId="77777777" w:rsidTr="002E7F54">
        <w:trPr>
          <w:jc w:val="center"/>
        </w:trPr>
        <w:tc>
          <w:tcPr>
            <w:tcW w:w="4248" w:type="dxa"/>
          </w:tcPr>
          <w:p w14:paraId="797BEDCB" w14:textId="77777777" w:rsidR="00CF04BC" w:rsidRPr="00B93493" w:rsidRDefault="00CF04BC" w:rsidP="00C65E6B">
            <w:pPr>
              <w:pStyle w:val="Tabletext"/>
              <w:jc w:val="left"/>
              <w:rPr>
                <w:sz w:val="16"/>
                <w:szCs w:val="16"/>
              </w:rPr>
            </w:pPr>
            <w:r w:rsidRPr="00B93493">
              <w:rPr>
                <w:sz w:val="16"/>
                <w:szCs w:val="16"/>
              </w:rPr>
              <w:t>III.</w:t>
            </w:r>
            <w:r w:rsidRPr="00B93493">
              <w:rPr>
                <w:sz w:val="16"/>
                <w:szCs w:val="16"/>
              </w:rPr>
              <w:tab/>
              <w:t>TERRESTRIAL RADIOMARITIME SERVICE</w:t>
            </w:r>
          </w:p>
        </w:tc>
        <w:tc>
          <w:tcPr>
            <w:tcW w:w="1161" w:type="dxa"/>
          </w:tcPr>
          <w:p w14:paraId="225E75F7" w14:textId="77777777" w:rsidR="00CF04BC" w:rsidRPr="00B93493" w:rsidRDefault="00CF04BC" w:rsidP="002E7F54">
            <w:pPr>
              <w:pStyle w:val="Tabletext"/>
              <w:rPr>
                <w:sz w:val="16"/>
                <w:szCs w:val="16"/>
              </w:rPr>
            </w:pPr>
          </w:p>
        </w:tc>
        <w:tc>
          <w:tcPr>
            <w:tcW w:w="1229" w:type="dxa"/>
          </w:tcPr>
          <w:p w14:paraId="1CE049E4" w14:textId="77777777" w:rsidR="00CF04BC" w:rsidRPr="00B93493" w:rsidRDefault="00CF04BC" w:rsidP="002E7F54">
            <w:pPr>
              <w:pStyle w:val="Tabletext"/>
              <w:rPr>
                <w:sz w:val="16"/>
                <w:szCs w:val="16"/>
              </w:rPr>
            </w:pPr>
          </w:p>
        </w:tc>
        <w:tc>
          <w:tcPr>
            <w:tcW w:w="1501" w:type="dxa"/>
          </w:tcPr>
          <w:p w14:paraId="637F7C67" w14:textId="77777777" w:rsidR="00CF04BC" w:rsidRPr="00B93493" w:rsidRDefault="00CF04BC" w:rsidP="002E7F54">
            <w:pPr>
              <w:pStyle w:val="Tabletext"/>
              <w:rPr>
                <w:sz w:val="16"/>
                <w:szCs w:val="16"/>
              </w:rPr>
            </w:pPr>
          </w:p>
        </w:tc>
        <w:tc>
          <w:tcPr>
            <w:tcW w:w="1500" w:type="dxa"/>
          </w:tcPr>
          <w:p w14:paraId="2CD46DAF" w14:textId="77777777" w:rsidR="00CF04BC" w:rsidRPr="00B93493" w:rsidRDefault="00CF04BC" w:rsidP="002E7F54">
            <w:pPr>
              <w:pStyle w:val="Tabletext"/>
              <w:rPr>
                <w:sz w:val="16"/>
                <w:szCs w:val="16"/>
              </w:rPr>
            </w:pPr>
          </w:p>
        </w:tc>
      </w:tr>
      <w:tr w:rsidR="00CF04BC" w:rsidRPr="00B93493" w14:paraId="5D41961E" w14:textId="77777777" w:rsidTr="002E7F54">
        <w:trPr>
          <w:jc w:val="center"/>
        </w:trPr>
        <w:tc>
          <w:tcPr>
            <w:tcW w:w="4248" w:type="dxa"/>
          </w:tcPr>
          <w:p w14:paraId="1F66100D" w14:textId="77777777" w:rsidR="00CF04BC" w:rsidRPr="00BF109A" w:rsidRDefault="00CF04BC" w:rsidP="00C65E6B">
            <w:pPr>
              <w:pStyle w:val="Tabletext"/>
              <w:jc w:val="left"/>
              <w:rPr>
                <w:sz w:val="16"/>
                <w:szCs w:val="16"/>
                <w:lang w:val="fr-FR"/>
              </w:rPr>
            </w:pPr>
            <w:r w:rsidRPr="00BF109A">
              <w:rPr>
                <w:sz w:val="16"/>
                <w:szCs w:val="16"/>
                <w:lang w:val="fr-FR"/>
              </w:rPr>
              <w:t>III.1.</w:t>
            </w:r>
            <w:r w:rsidRPr="00BF109A">
              <w:rPr>
                <w:sz w:val="16"/>
                <w:szCs w:val="16"/>
                <w:lang w:val="fr-FR"/>
              </w:rPr>
              <w:tab/>
              <w:t>Private coastal station (non profitable)</w:t>
            </w:r>
          </w:p>
        </w:tc>
        <w:tc>
          <w:tcPr>
            <w:tcW w:w="1161" w:type="dxa"/>
          </w:tcPr>
          <w:p w14:paraId="29829811" w14:textId="77777777" w:rsidR="00CF04BC" w:rsidRPr="00B93493" w:rsidRDefault="00CF04BC" w:rsidP="002E7F54">
            <w:pPr>
              <w:pStyle w:val="Tabletext"/>
              <w:rPr>
                <w:sz w:val="16"/>
                <w:szCs w:val="16"/>
              </w:rPr>
            </w:pPr>
            <w:r w:rsidRPr="00B93493">
              <w:rPr>
                <w:sz w:val="16"/>
                <w:szCs w:val="16"/>
              </w:rPr>
              <w:t>580 000</w:t>
            </w:r>
          </w:p>
        </w:tc>
        <w:tc>
          <w:tcPr>
            <w:tcW w:w="1229" w:type="dxa"/>
          </w:tcPr>
          <w:p w14:paraId="121099BF" w14:textId="77777777" w:rsidR="00CF04BC" w:rsidRPr="00B93493" w:rsidRDefault="00CF04BC" w:rsidP="002E7F54">
            <w:pPr>
              <w:pStyle w:val="Tabletext"/>
              <w:rPr>
                <w:sz w:val="16"/>
                <w:szCs w:val="16"/>
              </w:rPr>
            </w:pPr>
            <w:r w:rsidRPr="00B93493">
              <w:rPr>
                <w:sz w:val="16"/>
                <w:szCs w:val="16"/>
              </w:rPr>
              <w:t>87 000</w:t>
            </w:r>
          </w:p>
        </w:tc>
        <w:tc>
          <w:tcPr>
            <w:tcW w:w="1501" w:type="dxa"/>
          </w:tcPr>
          <w:p w14:paraId="21E6F880" w14:textId="77777777" w:rsidR="00CF04BC" w:rsidRPr="00B93493" w:rsidRDefault="00CF04BC" w:rsidP="002E7F54">
            <w:pPr>
              <w:pStyle w:val="Tabletext"/>
              <w:rPr>
                <w:sz w:val="16"/>
                <w:szCs w:val="16"/>
              </w:rPr>
            </w:pPr>
            <w:r w:rsidRPr="00B93493">
              <w:rPr>
                <w:sz w:val="16"/>
                <w:szCs w:val="16"/>
              </w:rPr>
              <w:t>3 480 000</w:t>
            </w:r>
          </w:p>
        </w:tc>
        <w:tc>
          <w:tcPr>
            <w:tcW w:w="1500" w:type="dxa"/>
          </w:tcPr>
          <w:p w14:paraId="34D7FE3F" w14:textId="77777777" w:rsidR="00CF04BC" w:rsidRPr="00B93493" w:rsidRDefault="00CF04BC" w:rsidP="002E7F54">
            <w:pPr>
              <w:pStyle w:val="Tabletext"/>
              <w:rPr>
                <w:sz w:val="16"/>
                <w:szCs w:val="16"/>
              </w:rPr>
            </w:pPr>
          </w:p>
        </w:tc>
      </w:tr>
      <w:tr w:rsidR="00CF04BC" w:rsidRPr="00B93493" w14:paraId="43CC1D70" w14:textId="77777777" w:rsidTr="002E7F54">
        <w:trPr>
          <w:jc w:val="center"/>
        </w:trPr>
        <w:tc>
          <w:tcPr>
            <w:tcW w:w="4248" w:type="dxa"/>
          </w:tcPr>
          <w:p w14:paraId="3828F7EE" w14:textId="77777777" w:rsidR="00CF04BC" w:rsidRPr="00B93493" w:rsidRDefault="00CF04BC" w:rsidP="00C65E6B">
            <w:pPr>
              <w:pStyle w:val="Tabletext"/>
              <w:jc w:val="left"/>
              <w:rPr>
                <w:sz w:val="16"/>
                <w:szCs w:val="16"/>
              </w:rPr>
            </w:pPr>
            <w:r w:rsidRPr="00B93493">
              <w:rPr>
                <w:sz w:val="16"/>
                <w:szCs w:val="16"/>
              </w:rPr>
              <w:t>a1. Radioelectric links VHF (25KHz)</w:t>
            </w:r>
          </w:p>
          <w:p w14:paraId="16BC490B" w14:textId="77777777" w:rsidR="00CF04BC" w:rsidRPr="00B93493" w:rsidRDefault="00CF04BC" w:rsidP="00C65E6B">
            <w:pPr>
              <w:pStyle w:val="Tabletext"/>
              <w:jc w:val="left"/>
              <w:rPr>
                <w:sz w:val="16"/>
                <w:szCs w:val="16"/>
              </w:rPr>
            </w:pPr>
            <w:r w:rsidRPr="00B93493">
              <w:rPr>
                <w:sz w:val="16"/>
                <w:szCs w:val="16"/>
              </w:rPr>
              <w:t>a2. Radioelectric links MF/HF (less than 1 KHz)</w:t>
            </w:r>
          </w:p>
          <w:p w14:paraId="504AEDD5" w14:textId="77777777" w:rsidR="00CF04BC" w:rsidRPr="00B93493" w:rsidRDefault="00CF04BC" w:rsidP="00C65E6B">
            <w:pPr>
              <w:pStyle w:val="Tabletext"/>
              <w:jc w:val="left"/>
              <w:rPr>
                <w:sz w:val="16"/>
                <w:szCs w:val="16"/>
                <w:u w:val="single"/>
              </w:rPr>
            </w:pPr>
            <w:r w:rsidRPr="00B93493">
              <w:rPr>
                <w:sz w:val="16"/>
                <w:szCs w:val="16"/>
              </w:rPr>
              <w:t>a3. Radioelectric links MF/HF (3KHz)</w:t>
            </w:r>
          </w:p>
        </w:tc>
        <w:tc>
          <w:tcPr>
            <w:tcW w:w="1161" w:type="dxa"/>
          </w:tcPr>
          <w:p w14:paraId="6592DF1D" w14:textId="77777777" w:rsidR="00CF04BC" w:rsidRPr="00B93493" w:rsidRDefault="00CF04BC" w:rsidP="002E7F54">
            <w:pPr>
              <w:pStyle w:val="Tabletext"/>
              <w:rPr>
                <w:sz w:val="16"/>
                <w:szCs w:val="16"/>
              </w:rPr>
            </w:pPr>
          </w:p>
        </w:tc>
        <w:tc>
          <w:tcPr>
            <w:tcW w:w="1229" w:type="dxa"/>
          </w:tcPr>
          <w:p w14:paraId="4E865A77" w14:textId="77777777" w:rsidR="00CF04BC" w:rsidRPr="00B93493" w:rsidRDefault="00CF04BC" w:rsidP="002E7F54">
            <w:pPr>
              <w:pStyle w:val="Tabletext"/>
              <w:rPr>
                <w:sz w:val="16"/>
                <w:szCs w:val="16"/>
              </w:rPr>
            </w:pPr>
          </w:p>
        </w:tc>
        <w:tc>
          <w:tcPr>
            <w:tcW w:w="1501" w:type="dxa"/>
          </w:tcPr>
          <w:p w14:paraId="13495589" w14:textId="77777777" w:rsidR="00CF04BC" w:rsidRPr="00B93493" w:rsidRDefault="00CF04BC" w:rsidP="002E7F54">
            <w:pPr>
              <w:pStyle w:val="Tabletext"/>
              <w:rPr>
                <w:sz w:val="16"/>
                <w:szCs w:val="16"/>
              </w:rPr>
            </w:pPr>
          </w:p>
        </w:tc>
        <w:tc>
          <w:tcPr>
            <w:tcW w:w="1500" w:type="dxa"/>
          </w:tcPr>
          <w:p w14:paraId="7F631520" w14:textId="77777777" w:rsidR="00CF04BC" w:rsidRPr="00B93493" w:rsidRDefault="00CF04BC" w:rsidP="002E7F54">
            <w:pPr>
              <w:pStyle w:val="Tabletext"/>
              <w:rPr>
                <w:sz w:val="16"/>
                <w:szCs w:val="16"/>
              </w:rPr>
            </w:pPr>
            <w:r w:rsidRPr="00B93493">
              <w:rPr>
                <w:sz w:val="16"/>
                <w:szCs w:val="16"/>
              </w:rPr>
              <w:t>174 000</w:t>
            </w:r>
          </w:p>
          <w:p w14:paraId="172E5AD9" w14:textId="77777777" w:rsidR="00CF04BC" w:rsidRPr="00B93493" w:rsidRDefault="00CF04BC" w:rsidP="002E7F54">
            <w:pPr>
              <w:pStyle w:val="Tabletext"/>
              <w:rPr>
                <w:sz w:val="16"/>
                <w:szCs w:val="16"/>
              </w:rPr>
            </w:pPr>
            <w:r w:rsidRPr="00B93493">
              <w:rPr>
                <w:sz w:val="16"/>
                <w:szCs w:val="16"/>
              </w:rPr>
              <w:t>139 200</w:t>
            </w:r>
          </w:p>
          <w:p w14:paraId="685FF1CC" w14:textId="77777777" w:rsidR="00CF04BC" w:rsidRPr="00B93493" w:rsidRDefault="00CF04BC" w:rsidP="002E7F54">
            <w:pPr>
              <w:pStyle w:val="Tabletext"/>
              <w:rPr>
                <w:sz w:val="16"/>
                <w:szCs w:val="16"/>
              </w:rPr>
            </w:pPr>
            <w:r w:rsidRPr="00B93493">
              <w:rPr>
                <w:sz w:val="16"/>
                <w:szCs w:val="16"/>
              </w:rPr>
              <w:t>417 600</w:t>
            </w:r>
          </w:p>
        </w:tc>
      </w:tr>
      <w:tr w:rsidR="00CF04BC" w:rsidRPr="00B93493" w14:paraId="1202BD17" w14:textId="77777777" w:rsidTr="002E7F54">
        <w:trPr>
          <w:jc w:val="center"/>
        </w:trPr>
        <w:tc>
          <w:tcPr>
            <w:tcW w:w="4248" w:type="dxa"/>
          </w:tcPr>
          <w:p w14:paraId="089234F9" w14:textId="77777777" w:rsidR="00CF04BC" w:rsidRPr="00B93493" w:rsidRDefault="00CF04BC" w:rsidP="00C65E6B">
            <w:pPr>
              <w:pStyle w:val="Tabletext"/>
              <w:ind w:left="567" w:hanging="567"/>
              <w:jc w:val="left"/>
              <w:rPr>
                <w:sz w:val="16"/>
                <w:szCs w:val="16"/>
                <w:u w:val="single"/>
              </w:rPr>
            </w:pPr>
            <w:r w:rsidRPr="00B93493">
              <w:rPr>
                <w:sz w:val="16"/>
                <w:szCs w:val="16"/>
              </w:rPr>
              <w:t>III.2.</w:t>
            </w:r>
            <w:r w:rsidRPr="00B93493">
              <w:rPr>
                <w:sz w:val="16"/>
                <w:szCs w:val="16"/>
              </w:rPr>
              <w:tab/>
              <w:t>Coast Station opened to the public</w:t>
            </w:r>
            <w:r w:rsidRPr="00B93493">
              <w:rPr>
                <w:sz w:val="16"/>
                <w:szCs w:val="16"/>
              </w:rPr>
              <w:tab/>
              <w:t>(commercial service)</w:t>
            </w:r>
          </w:p>
        </w:tc>
        <w:tc>
          <w:tcPr>
            <w:tcW w:w="1161" w:type="dxa"/>
          </w:tcPr>
          <w:p w14:paraId="6C06DB6B" w14:textId="77777777" w:rsidR="00CF04BC" w:rsidRPr="00B93493" w:rsidRDefault="00CF04BC" w:rsidP="002E7F54">
            <w:pPr>
              <w:pStyle w:val="Tabletext"/>
              <w:rPr>
                <w:sz w:val="16"/>
                <w:szCs w:val="16"/>
              </w:rPr>
            </w:pPr>
            <w:r w:rsidRPr="00B93493">
              <w:rPr>
                <w:sz w:val="16"/>
                <w:szCs w:val="16"/>
              </w:rPr>
              <w:t>1 450 000</w:t>
            </w:r>
          </w:p>
        </w:tc>
        <w:tc>
          <w:tcPr>
            <w:tcW w:w="1229" w:type="dxa"/>
          </w:tcPr>
          <w:p w14:paraId="5E1C8318" w14:textId="77777777" w:rsidR="00CF04BC" w:rsidRPr="00B93493" w:rsidRDefault="00CF04BC" w:rsidP="002E7F54">
            <w:pPr>
              <w:pStyle w:val="Tabletext"/>
              <w:rPr>
                <w:sz w:val="16"/>
                <w:szCs w:val="16"/>
              </w:rPr>
            </w:pPr>
            <w:r w:rsidRPr="00B93493">
              <w:rPr>
                <w:sz w:val="16"/>
                <w:szCs w:val="16"/>
              </w:rPr>
              <w:t>580 000</w:t>
            </w:r>
          </w:p>
        </w:tc>
        <w:tc>
          <w:tcPr>
            <w:tcW w:w="1501" w:type="dxa"/>
          </w:tcPr>
          <w:p w14:paraId="06DE06DD" w14:textId="77777777" w:rsidR="00CF04BC" w:rsidRPr="00B93493" w:rsidRDefault="00CF04BC" w:rsidP="002E7F54">
            <w:pPr>
              <w:pStyle w:val="Tabletext"/>
              <w:rPr>
                <w:sz w:val="16"/>
                <w:szCs w:val="16"/>
              </w:rPr>
            </w:pPr>
            <w:r w:rsidRPr="00B93493">
              <w:rPr>
                <w:sz w:val="16"/>
                <w:szCs w:val="16"/>
              </w:rPr>
              <w:t>8 700 000</w:t>
            </w:r>
          </w:p>
        </w:tc>
        <w:tc>
          <w:tcPr>
            <w:tcW w:w="1500" w:type="dxa"/>
          </w:tcPr>
          <w:p w14:paraId="0EBA0948" w14:textId="77777777" w:rsidR="00CF04BC" w:rsidRPr="00B93493" w:rsidRDefault="00CF04BC" w:rsidP="002E7F54">
            <w:pPr>
              <w:pStyle w:val="Tabletext"/>
              <w:rPr>
                <w:sz w:val="16"/>
                <w:szCs w:val="16"/>
              </w:rPr>
            </w:pPr>
          </w:p>
        </w:tc>
      </w:tr>
      <w:tr w:rsidR="00CF04BC" w:rsidRPr="00B93493" w14:paraId="53776F44" w14:textId="77777777" w:rsidTr="002E7F54">
        <w:trPr>
          <w:jc w:val="center"/>
        </w:trPr>
        <w:tc>
          <w:tcPr>
            <w:tcW w:w="4248" w:type="dxa"/>
          </w:tcPr>
          <w:p w14:paraId="0E1CDC19" w14:textId="77777777" w:rsidR="00CF04BC" w:rsidRPr="00B93493" w:rsidRDefault="00CF04BC" w:rsidP="00C65E6B">
            <w:pPr>
              <w:pStyle w:val="Tabletext"/>
              <w:jc w:val="left"/>
              <w:rPr>
                <w:sz w:val="16"/>
                <w:szCs w:val="16"/>
              </w:rPr>
            </w:pPr>
            <w:r w:rsidRPr="00B93493">
              <w:rPr>
                <w:sz w:val="16"/>
                <w:szCs w:val="16"/>
              </w:rPr>
              <w:t>a1. Radioelectric links VHF (25KHz)</w:t>
            </w:r>
          </w:p>
          <w:p w14:paraId="04345C2A" w14:textId="77777777" w:rsidR="00CF04BC" w:rsidRPr="00B93493" w:rsidRDefault="00CF04BC" w:rsidP="00C65E6B">
            <w:pPr>
              <w:pStyle w:val="Tabletext"/>
              <w:jc w:val="left"/>
              <w:rPr>
                <w:sz w:val="16"/>
                <w:szCs w:val="16"/>
              </w:rPr>
            </w:pPr>
            <w:r w:rsidRPr="00B93493">
              <w:rPr>
                <w:sz w:val="16"/>
                <w:szCs w:val="16"/>
              </w:rPr>
              <w:t>a2. Radioelectric links MF/HF (less than 1 KHz)</w:t>
            </w:r>
          </w:p>
          <w:p w14:paraId="67C069C2" w14:textId="77777777" w:rsidR="00CF04BC" w:rsidRPr="00B93493" w:rsidRDefault="00CF04BC" w:rsidP="00C65E6B">
            <w:pPr>
              <w:pStyle w:val="Tabletext"/>
              <w:tabs>
                <w:tab w:val="clear" w:pos="284"/>
                <w:tab w:val="clear" w:pos="567"/>
                <w:tab w:val="clear" w:pos="851"/>
                <w:tab w:val="left" w:pos="142"/>
                <w:tab w:val="left" w:pos="480"/>
              </w:tabs>
              <w:ind w:left="142" w:hanging="142"/>
              <w:jc w:val="left"/>
              <w:rPr>
                <w:sz w:val="16"/>
                <w:szCs w:val="16"/>
              </w:rPr>
            </w:pPr>
            <w:r w:rsidRPr="00B93493">
              <w:rPr>
                <w:sz w:val="16"/>
                <w:szCs w:val="16"/>
              </w:rPr>
              <w:t>a3. Radioelectric links MF/HF (3KHz)</w:t>
            </w:r>
          </w:p>
        </w:tc>
        <w:tc>
          <w:tcPr>
            <w:tcW w:w="1161" w:type="dxa"/>
          </w:tcPr>
          <w:p w14:paraId="5BA621A6" w14:textId="77777777" w:rsidR="00CF04BC" w:rsidRPr="00B93493" w:rsidRDefault="00CF04BC" w:rsidP="002E7F54">
            <w:pPr>
              <w:pStyle w:val="Tabletext"/>
              <w:rPr>
                <w:sz w:val="16"/>
                <w:szCs w:val="16"/>
              </w:rPr>
            </w:pPr>
          </w:p>
        </w:tc>
        <w:tc>
          <w:tcPr>
            <w:tcW w:w="1229" w:type="dxa"/>
          </w:tcPr>
          <w:p w14:paraId="0F65C5E8" w14:textId="77777777" w:rsidR="00CF04BC" w:rsidRPr="00B93493" w:rsidRDefault="00CF04BC" w:rsidP="002E7F54">
            <w:pPr>
              <w:pStyle w:val="Tabletext"/>
              <w:rPr>
                <w:sz w:val="16"/>
                <w:szCs w:val="16"/>
              </w:rPr>
            </w:pPr>
          </w:p>
        </w:tc>
        <w:tc>
          <w:tcPr>
            <w:tcW w:w="1501" w:type="dxa"/>
          </w:tcPr>
          <w:p w14:paraId="4E661EA3" w14:textId="77777777" w:rsidR="00CF04BC" w:rsidRPr="00B93493" w:rsidRDefault="00CF04BC" w:rsidP="002E7F54">
            <w:pPr>
              <w:pStyle w:val="Tabletext"/>
              <w:rPr>
                <w:sz w:val="16"/>
                <w:szCs w:val="16"/>
              </w:rPr>
            </w:pPr>
          </w:p>
        </w:tc>
        <w:tc>
          <w:tcPr>
            <w:tcW w:w="1500" w:type="dxa"/>
          </w:tcPr>
          <w:p w14:paraId="3EB22663" w14:textId="77777777" w:rsidR="00CF04BC" w:rsidRPr="00B93493" w:rsidRDefault="00CF04BC" w:rsidP="002E7F54">
            <w:pPr>
              <w:pStyle w:val="Tabletext"/>
              <w:rPr>
                <w:sz w:val="16"/>
                <w:szCs w:val="16"/>
              </w:rPr>
            </w:pPr>
          </w:p>
        </w:tc>
      </w:tr>
      <w:tr w:rsidR="00CF04BC" w:rsidRPr="00B93493" w14:paraId="27021366" w14:textId="77777777" w:rsidTr="002E7F54">
        <w:trPr>
          <w:jc w:val="center"/>
        </w:trPr>
        <w:tc>
          <w:tcPr>
            <w:tcW w:w="4248" w:type="dxa"/>
          </w:tcPr>
          <w:p w14:paraId="27F47299" w14:textId="77777777" w:rsidR="00CF04BC" w:rsidRPr="00B93493" w:rsidRDefault="00CF04BC" w:rsidP="00C65E6B">
            <w:pPr>
              <w:pStyle w:val="Tabletext"/>
              <w:keepNext/>
              <w:tabs>
                <w:tab w:val="clear" w:pos="284"/>
                <w:tab w:val="clear" w:pos="567"/>
                <w:tab w:val="clear" w:pos="851"/>
                <w:tab w:val="left" w:pos="142"/>
                <w:tab w:val="left" w:pos="480"/>
              </w:tabs>
              <w:ind w:left="142" w:hanging="142"/>
              <w:jc w:val="left"/>
              <w:rPr>
                <w:sz w:val="16"/>
                <w:szCs w:val="16"/>
              </w:rPr>
            </w:pPr>
            <w:r w:rsidRPr="00B93493">
              <w:rPr>
                <w:sz w:val="16"/>
                <w:szCs w:val="16"/>
              </w:rPr>
              <w:t>III.3.</w:t>
            </w:r>
            <w:r w:rsidRPr="00B93493">
              <w:rPr>
                <w:sz w:val="16"/>
                <w:szCs w:val="16"/>
              </w:rPr>
              <w:tab/>
              <w:t>Commercial ship stations</w:t>
            </w:r>
          </w:p>
        </w:tc>
        <w:tc>
          <w:tcPr>
            <w:tcW w:w="1161" w:type="dxa"/>
          </w:tcPr>
          <w:p w14:paraId="67DD2AD3" w14:textId="77777777" w:rsidR="00CF04BC" w:rsidRPr="00B93493" w:rsidRDefault="00CF04BC" w:rsidP="002E7F54">
            <w:pPr>
              <w:pStyle w:val="Tabletext"/>
              <w:keepNext/>
              <w:rPr>
                <w:sz w:val="16"/>
                <w:szCs w:val="16"/>
              </w:rPr>
            </w:pPr>
          </w:p>
        </w:tc>
        <w:tc>
          <w:tcPr>
            <w:tcW w:w="1229" w:type="dxa"/>
          </w:tcPr>
          <w:p w14:paraId="2AC0D94A" w14:textId="77777777" w:rsidR="00CF04BC" w:rsidRPr="00B93493" w:rsidRDefault="00CF04BC" w:rsidP="002E7F54">
            <w:pPr>
              <w:pStyle w:val="Tabletext"/>
              <w:keepNext/>
              <w:rPr>
                <w:sz w:val="16"/>
                <w:szCs w:val="16"/>
              </w:rPr>
            </w:pPr>
          </w:p>
        </w:tc>
        <w:tc>
          <w:tcPr>
            <w:tcW w:w="1501" w:type="dxa"/>
          </w:tcPr>
          <w:p w14:paraId="435CB04B" w14:textId="77777777" w:rsidR="00CF04BC" w:rsidRPr="00B93493" w:rsidRDefault="00CF04BC" w:rsidP="002E7F54">
            <w:pPr>
              <w:pStyle w:val="Tabletext"/>
              <w:keepNext/>
              <w:rPr>
                <w:sz w:val="16"/>
                <w:szCs w:val="16"/>
              </w:rPr>
            </w:pPr>
          </w:p>
        </w:tc>
        <w:tc>
          <w:tcPr>
            <w:tcW w:w="1500" w:type="dxa"/>
          </w:tcPr>
          <w:p w14:paraId="55E400DD" w14:textId="77777777" w:rsidR="00CF04BC" w:rsidRPr="00B93493" w:rsidRDefault="00CF04BC" w:rsidP="002E7F54">
            <w:pPr>
              <w:pStyle w:val="Tabletext"/>
              <w:keepNext/>
              <w:rPr>
                <w:sz w:val="16"/>
                <w:szCs w:val="16"/>
              </w:rPr>
            </w:pPr>
          </w:p>
        </w:tc>
      </w:tr>
      <w:tr w:rsidR="00CF04BC" w:rsidRPr="00B93493" w14:paraId="7EBF7B97" w14:textId="77777777" w:rsidTr="002E7F54">
        <w:trPr>
          <w:jc w:val="center"/>
        </w:trPr>
        <w:tc>
          <w:tcPr>
            <w:tcW w:w="4248" w:type="dxa"/>
          </w:tcPr>
          <w:p w14:paraId="15AF063A" w14:textId="77777777" w:rsidR="00CF04BC" w:rsidRPr="00B93493" w:rsidRDefault="00CF04BC" w:rsidP="00C65E6B">
            <w:pPr>
              <w:pStyle w:val="Tabletext"/>
              <w:tabs>
                <w:tab w:val="clear" w:pos="284"/>
                <w:tab w:val="clear" w:pos="567"/>
                <w:tab w:val="clear" w:pos="851"/>
                <w:tab w:val="left" w:pos="142"/>
                <w:tab w:val="left" w:pos="480"/>
              </w:tabs>
              <w:ind w:left="142" w:hanging="142"/>
              <w:jc w:val="left"/>
              <w:rPr>
                <w:sz w:val="16"/>
                <w:szCs w:val="16"/>
              </w:rPr>
            </w:pPr>
            <w:r w:rsidRPr="00B93493">
              <w:rPr>
                <w:sz w:val="16"/>
                <w:szCs w:val="16"/>
              </w:rPr>
              <w:t>a1. Ports operations</w:t>
            </w:r>
          </w:p>
        </w:tc>
        <w:tc>
          <w:tcPr>
            <w:tcW w:w="1161" w:type="dxa"/>
          </w:tcPr>
          <w:p w14:paraId="768E8E32" w14:textId="77777777" w:rsidR="00CF04BC" w:rsidRPr="00B93493" w:rsidRDefault="00CF04BC" w:rsidP="002E7F54">
            <w:pPr>
              <w:pStyle w:val="Tabletext"/>
              <w:rPr>
                <w:sz w:val="16"/>
                <w:szCs w:val="16"/>
              </w:rPr>
            </w:pPr>
          </w:p>
        </w:tc>
        <w:tc>
          <w:tcPr>
            <w:tcW w:w="1229" w:type="dxa"/>
          </w:tcPr>
          <w:p w14:paraId="55F21E08" w14:textId="77777777" w:rsidR="00CF04BC" w:rsidRPr="00B93493" w:rsidRDefault="00CF04BC" w:rsidP="002E7F54">
            <w:pPr>
              <w:pStyle w:val="Tabletext"/>
              <w:rPr>
                <w:sz w:val="16"/>
                <w:szCs w:val="16"/>
              </w:rPr>
            </w:pPr>
          </w:p>
        </w:tc>
        <w:tc>
          <w:tcPr>
            <w:tcW w:w="1501" w:type="dxa"/>
          </w:tcPr>
          <w:p w14:paraId="4476FB23" w14:textId="77777777" w:rsidR="00CF04BC" w:rsidRPr="00B93493" w:rsidRDefault="00CF04BC" w:rsidP="002E7F54">
            <w:pPr>
              <w:pStyle w:val="Tabletext"/>
              <w:rPr>
                <w:sz w:val="16"/>
                <w:szCs w:val="16"/>
              </w:rPr>
            </w:pPr>
          </w:p>
        </w:tc>
        <w:tc>
          <w:tcPr>
            <w:tcW w:w="1500" w:type="dxa"/>
          </w:tcPr>
          <w:p w14:paraId="238D4C93" w14:textId="77777777" w:rsidR="00CF04BC" w:rsidRPr="00B93493" w:rsidRDefault="00CF04BC" w:rsidP="002E7F54">
            <w:pPr>
              <w:pStyle w:val="Tabletext"/>
              <w:rPr>
                <w:sz w:val="16"/>
                <w:szCs w:val="16"/>
              </w:rPr>
            </w:pPr>
            <w:r w:rsidRPr="00B93493">
              <w:rPr>
                <w:sz w:val="16"/>
                <w:szCs w:val="16"/>
              </w:rPr>
              <w:t>174 000</w:t>
            </w:r>
          </w:p>
        </w:tc>
      </w:tr>
      <w:tr w:rsidR="00CF04BC" w:rsidRPr="00B93493" w14:paraId="07B61FE8" w14:textId="77777777" w:rsidTr="002E7F54">
        <w:trPr>
          <w:jc w:val="center"/>
        </w:trPr>
        <w:tc>
          <w:tcPr>
            <w:tcW w:w="4248" w:type="dxa"/>
          </w:tcPr>
          <w:p w14:paraId="12F5480B" w14:textId="77777777" w:rsidR="00CF04BC" w:rsidRPr="00B93493" w:rsidRDefault="00CF04BC" w:rsidP="00C65E6B">
            <w:pPr>
              <w:pStyle w:val="Tabletext"/>
              <w:tabs>
                <w:tab w:val="clear" w:pos="284"/>
                <w:tab w:val="clear" w:pos="567"/>
                <w:tab w:val="clear" w:pos="851"/>
                <w:tab w:val="left" w:pos="142"/>
                <w:tab w:val="left" w:pos="480"/>
              </w:tabs>
              <w:ind w:left="142" w:hanging="142"/>
              <w:jc w:val="left"/>
              <w:rPr>
                <w:sz w:val="16"/>
                <w:szCs w:val="16"/>
              </w:rPr>
            </w:pPr>
            <w:r w:rsidRPr="00B93493">
              <w:rPr>
                <w:sz w:val="16"/>
                <w:szCs w:val="16"/>
              </w:rPr>
              <w:t>III.4.</w:t>
            </w:r>
            <w:r w:rsidRPr="00B93493">
              <w:rPr>
                <w:sz w:val="16"/>
                <w:szCs w:val="16"/>
              </w:rPr>
              <w:tab/>
              <w:t>Fishing ship stations</w:t>
            </w:r>
          </w:p>
        </w:tc>
        <w:tc>
          <w:tcPr>
            <w:tcW w:w="1161" w:type="dxa"/>
          </w:tcPr>
          <w:p w14:paraId="66D98EF5" w14:textId="77777777" w:rsidR="00CF04BC" w:rsidRPr="00B93493" w:rsidRDefault="00CF04BC" w:rsidP="002E7F54">
            <w:pPr>
              <w:pStyle w:val="Tabletext"/>
              <w:rPr>
                <w:sz w:val="16"/>
                <w:szCs w:val="16"/>
              </w:rPr>
            </w:pPr>
          </w:p>
        </w:tc>
        <w:tc>
          <w:tcPr>
            <w:tcW w:w="1229" w:type="dxa"/>
          </w:tcPr>
          <w:p w14:paraId="434E395A" w14:textId="77777777" w:rsidR="00CF04BC" w:rsidRPr="00B93493" w:rsidRDefault="00CF04BC" w:rsidP="002E7F54">
            <w:pPr>
              <w:pStyle w:val="Tabletext"/>
              <w:rPr>
                <w:sz w:val="16"/>
                <w:szCs w:val="16"/>
              </w:rPr>
            </w:pPr>
          </w:p>
        </w:tc>
        <w:tc>
          <w:tcPr>
            <w:tcW w:w="1501" w:type="dxa"/>
          </w:tcPr>
          <w:p w14:paraId="2AFAFE33" w14:textId="77777777" w:rsidR="00CF04BC" w:rsidRPr="00B93493" w:rsidRDefault="00CF04BC" w:rsidP="002E7F54">
            <w:pPr>
              <w:pStyle w:val="Tabletext"/>
              <w:rPr>
                <w:sz w:val="16"/>
                <w:szCs w:val="16"/>
              </w:rPr>
            </w:pPr>
          </w:p>
        </w:tc>
        <w:tc>
          <w:tcPr>
            <w:tcW w:w="1500" w:type="dxa"/>
          </w:tcPr>
          <w:p w14:paraId="79F6AF75" w14:textId="77777777" w:rsidR="00CF04BC" w:rsidRPr="00B93493" w:rsidRDefault="00CF04BC" w:rsidP="002E7F54">
            <w:pPr>
              <w:pStyle w:val="Tabletext"/>
              <w:rPr>
                <w:sz w:val="16"/>
                <w:szCs w:val="16"/>
              </w:rPr>
            </w:pPr>
          </w:p>
        </w:tc>
      </w:tr>
      <w:tr w:rsidR="00CF04BC" w:rsidRPr="00B93493" w14:paraId="0CF3CCFC" w14:textId="77777777" w:rsidTr="002E7F54">
        <w:trPr>
          <w:jc w:val="center"/>
        </w:trPr>
        <w:tc>
          <w:tcPr>
            <w:tcW w:w="4248" w:type="dxa"/>
          </w:tcPr>
          <w:p w14:paraId="70F2B941" w14:textId="77777777" w:rsidR="00CF04BC" w:rsidRPr="00B93493" w:rsidRDefault="00CF04BC" w:rsidP="00C65E6B">
            <w:pPr>
              <w:pStyle w:val="Tabletext"/>
              <w:jc w:val="left"/>
              <w:rPr>
                <w:sz w:val="16"/>
                <w:szCs w:val="16"/>
              </w:rPr>
            </w:pPr>
            <w:r w:rsidRPr="00B93493">
              <w:rPr>
                <w:sz w:val="16"/>
                <w:szCs w:val="16"/>
              </w:rPr>
              <w:t>a1. Of less than 150 tons</w:t>
            </w:r>
          </w:p>
          <w:p w14:paraId="2AB9F8BD" w14:textId="77777777" w:rsidR="00CF04BC" w:rsidRPr="00B93493" w:rsidRDefault="00CF04BC" w:rsidP="00C65E6B">
            <w:pPr>
              <w:pStyle w:val="Tabletext"/>
              <w:jc w:val="left"/>
              <w:rPr>
                <w:sz w:val="16"/>
                <w:szCs w:val="16"/>
              </w:rPr>
            </w:pPr>
            <w:r w:rsidRPr="00B93493">
              <w:rPr>
                <w:sz w:val="16"/>
                <w:szCs w:val="16"/>
              </w:rPr>
              <w:t>a2. Of more than 150 tons</w:t>
            </w:r>
          </w:p>
        </w:tc>
        <w:tc>
          <w:tcPr>
            <w:tcW w:w="1161" w:type="dxa"/>
          </w:tcPr>
          <w:p w14:paraId="3B882388" w14:textId="77777777" w:rsidR="00CF04BC" w:rsidRPr="00B93493" w:rsidRDefault="00CF04BC" w:rsidP="002E7F54">
            <w:pPr>
              <w:pStyle w:val="Tabletext"/>
              <w:rPr>
                <w:sz w:val="16"/>
                <w:szCs w:val="16"/>
              </w:rPr>
            </w:pPr>
            <w:r w:rsidRPr="00B93493">
              <w:rPr>
                <w:sz w:val="16"/>
                <w:szCs w:val="16"/>
              </w:rPr>
              <w:t>11 600</w:t>
            </w:r>
          </w:p>
          <w:p w14:paraId="70C7ED13" w14:textId="77777777" w:rsidR="00CF04BC" w:rsidRPr="00B93493" w:rsidRDefault="00CF04BC" w:rsidP="002E7F54">
            <w:pPr>
              <w:pStyle w:val="Tabletext"/>
              <w:rPr>
                <w:sz w:val="16"/>
                <w:szCs w:val="16"/>
              </w:rPr>
            </w:pPr>
            <w:r w:rsidRPr="00B93493">
              <w:rPr>
                <w:sz w:val="16"/>
                <w:szCs w:val="16"/>
              </w:rPr>
              <w:t>11 600</w:t>
            </w:r>
          </w:p>
        </w:tc>
        <w:tc>
          <w:tcPr>
            <w:tcW w:w="1229" w:type="dxa"/>
          </w:tcPr>
          <w:p w14:paraId="40DED57B" w14:textId="77777777" w:rsidR="00CF04BC" w:rsidRPr="00B93493" w:rsidRDefault="00CF04BC" w:rsidP="002E7F54">
            <w:pPr>
              <w:pStyle w:val="Tabletext"/>
              <w:rPr>
                <w:sz w:val="16"/>
                <w:szCs w:val="16"/>
              </w:rPr>
            </w:pPr>
            <w:r w:rsidRPr="00B93493">
              <w:rPr>
                <w:sz w:val="16"/>
                <w:szCs w:val="16"/>
              </w:rPr>
              <w:t>34 800</w:t>
            </w:r>
          </w:p>
          <w:p w14:paraId="3FB0B8F5" w14:textId="77777777" w:rsidR="00CF04BC" w:rsidRPr="00B93493" w:rsidRDefault="00CF04BC" w:rsidP="002E7F54">
            <w:pPr>
              <w:pStyle w:val="Tabletext"/>
              <w:rPr>
                <w:sz w:val="16"/>
                <w:szCs w:val="16"/>
              </w:rPr>
            </w:pPr>
            <w:r w:rsidRPr="00B93493">
              <w:rPr>
                <w:sz w:val="16"/>
                <w:szCs w:val="16"/>
              </w:rPr>
              <w:t>34 800</w:t>
            </w:r>
          </w:p>
        </w:tc>
        <w:tc>
          <w:tcPr>
            <w:tcW w:w="1501" w:type="dxa"/>
          </w:tcPr>
          <w:p w14:paraId="79B470B5" w14:textId="77777777" w:rsidR="00CF04BC" w:rsidRPr="00B93493" w:rsidRDefault="00CF04BC" w:rsidP="002E7F54">
            <w:pPr>
              <w:pStyle w:val="Tabletext"/>
              <w:rPr>
                <w:sz w:val="16"/>
                <w:szCs w:val="16"/>
              </w:rPr>
            </w:pPr>
            <w:r w:rsidRPr="00B93493">
              <w:rPr>
                <w:sz w:val="16"/>
                <w:szCs w:val="16"/>
              </w:rPr>
              <w:t>116 000</w:t>
            </w:r>
          </w:p>
          <w:p w14:paraId="1A54CA90" w14:textId="77777777" w:rsidR="00CF04BC" w:rsidRPr="00B93493" w:rsidRDefault="00CF04BC" w:rsidP="002E7F54">
            <w:pPr>
              <w:pStyle w:val="Tabletext"/>
              <w:rPr>
                <w:sz w:val="16"/>
                <w:szCs w:val="16"/>
              </w:rPr>
            </w:pPr>
            <w:r w:rsidRPr="00B93493">
              <w:rPr>
                <w:sz w:val="16"/>
                <w:szCs w:val="16"/>
              </w:rPr>
              <w:t>174 000</w:t>
            </w:r>
          </w:p>
        </w:tc>
        <w:tc>
          <w:tcPr>
            <w:tcW w:w="1500" w:type="dxa"/>
          </w:tcPr>
          <w:p w14:paraId="41EBC510" w14:textId="77777777" w:rsidR="00CF04BC" w:rsidRPr="00B93493" w:rsidRDefault="00CF04BC" w:rsidP="002E7F54">
            <w:pPr>
              <w:pStyle w:val="Tabletext"/>
              <w:rPr>
                <w:sz w:val="16"/>
                <w:szCs w:val="16"/>
              </w:rPr>
            </w:pPr>
            <w:r w:rsidRPr="00B93493">
              <w:rPr>
                <w:sz w:val="16"/>
                <w:szCs w:val="16"/>
              </w:rPr>
              <w:t>174 000</w:t>
            </w:r>
          </w:p>
        </w:tc>
      </w:tr>
      <w:tr w:rsidR="00CF04BC" w:rsidRPr="00B93493" w14:paraId="5B039916" w14:textId="77777777" w:rsidTr="002E7F54">
        <w:trPr>
          <w:jc w:val="center"/>
        </w:trPr>
        <w:tc>
          <w:tcPr>
            <w:tcW w:w="4248" w:type="dxa"/>
          </w:tcPr>
          <w:p w14:paraId="000B8EAE" w14:textId="77777777" w:rsidR="00CF04BC" w:rsidRPr="00B93493" w:rsidRDefault="00CF04BC" w:rsidP="00C65E6B">
            <w:pPr>
              <w:pStyle w:val="Tabletext"/>
              <w:jc w:val="left"/>
              <w:rPr>
                <w:sz w:val="16"/>
                <w:szCs w:val="16"/>
              </w:rPr>
            </w:pPr>
            <w:r w:rsidRPr="00B93493">
              <w:rPr>
                <w:sz w:val="16"/>
                <w:szCs w:val="16"/>
              </w:rPr>
              <w:t>b1. Ports operations</w:t>
            </w:r>
          </w:p>
        </w:tc>
        <w:tc>
          <w:tcPr>
            <w:tcW w:w="1161" w:type="dxa"/>
          </w:tcPr>
          <w:p w14:paraId="566D665A" w14:textId="77777777" w:rsidR="00CF04BC" w:rsidRPr="00B93493" w:rsidRDefault="00CF04BC" w:rsidP="002E7F54">
            <w:pPr>
              <w:pStyle w:val="Tabletext"/>
              <w:rPr>
                <w:sz w:val="16"/>
                <w:szCs w:val="16"/>
              </w:rPr>
            </w:pPr>
          </w:p>
        </w:tc>
        <w:tc>
          <w:tcPr>
            <w:tcW w:w="1229" w:type="dxa"/>
          </w:tcPr>
          <w:p w14:paraId="3DFC6CEE" w14:textId="77777777" w:rsidR="00CF04BC" w:rsidRPr="00B93493" w:rsidRDefault="00CF04BC" w:rsidP="002E7F54">
            <w:pPr>
              <w:pStyle w:val="Tabletext"/>
              <w:rPr>
                <w:sz w:val="16"/>
                <w:szCs w:val="16"/>
              </w:rPr>
            </w:pPr>
          </w:p>
        </w:tc>
        <w:tc>
          <w:tcPr>
            <w:tcW w:w="1501" w:type="dxa"/>
          </w:tcPr>
          <w:p w14:paraId="17EBAC99" w14:textId="77777777" w:rsidR="00CF04BC" w:rsidRPr="00B93493" w:rsidRDefault="00CF04BC" w:rsidP="002E7F54">
            <w:pPr>
              <w:pStyle w:val="Tabletext"/>
              <w:rPr>
                <w:sz w:val="16"/>
                <w:szCs w:val="16"/>
              </w:rPr>
            </w:pPr>
          </w:p>
        </w:tc>
        <w:tc>
          <w:tcPr>
            <w:tcW w:w="1500" w:type="dxa"/>
          </w:tcPr>
          <w:p w14:paraId="47491DA8" w14:textId="77777777" w:rsidR="00CF04BC" w:rsidRPr="00B93493" w:rsidRDefault="00CF04BC" w:rsidP="002E7F54">
            <w:pPr>
              <w:pStyle w:val="Tabletext"/>
              <w:rPr>
                <w:sz w:val="16"/>
                <w:szCs w:val="16"/>
              </w:rPr>
            </w:pPr>
            <w:r w:rsidRPr="00B93493">
              <w:rPr>
                <w:sz w:val="16"/>
                <w:szCs w:val="16"/>
              </w:rPr>
              <w:t>174 000</w:t>
            </w:r>
          </w:p>
        </w:tc>
      </w:tr>
      <w:tr w:rsidR="00CF04BC" w:rsidRPr="00B93493" w14:paraId="09E49806" w14:textId="77777777" w:rsidTr="002E7F54">
        <w:trPr>
          <w:jc w:val="center"/>
        </w:trPr>
        <w:tc>
          <w:tcPr>
            <w:tcW w:w="4248" w:type="dxa"/>
          </w:tcPr>
          <w:p w14:paraId="3414BFC7" w14:textId="77777777" w:rsidR="00CF04BC" w:rsidRPr="00B93493" w:rsidRDefault="00CF04BC" w:rsidP="00C65E6B">
            <w:pPr>
              <w:pStyle w:val="Tabletext"/>
              <w:jc w:val="left"/>
              <w:rPr>
                <w:sz w:val="16"/>
                <w:szCs w:val="16"/>
              </w:rPr>
            </w:pPr>
            <w:r w:rsidRPr="00B93493">
              <w:rPr>
                <w:sz w:val="16"/>
                <w:szCs w:val="16"/>
              </w:rPr>
              <w:t>III.5.</w:t>
            </w:r>
            <w:r w:rsidRPr="00B93493">
              <w:rPr>
                <w:sz w:val="16"/>
                <w:szCs w:val="16"/>
              </w:rPr>
              <w:tab/>
              <w:t>Tourists / Pleasure ships</w:t>
            </w:r>
          </w:p>
        </w:tc>
        <w:tc>
          <w:tcPr>
            <w:tcW w:w="1161" w:type="dxa"/>
          </w:tcPr>
          <w:p w14:paraId="1B0E0685" w14:textId="77777777" w:rsidR="00CF04BC" w:rsidRPr="00B93493" w:rsidRDefault="00CF04BC" w:rsidP="002E7F54">
            <w:pPr>
              <w:pStyle w:val="Tabletext"/>
              <w:rPr>
                <w:sz w:val="16"/>
                <w:szCs w:val="16"/>
              </w:rPr>
            </w:pPr>
            <w:r w:rsidRPr="00B93493">
              <w:rPr>
                <w:sz w:val="16"/>
                <w:szCs w:val="16"/>
              </w:rPr>
              <w:t>11 600</w:t>
            </w:r>
          </w:p>
        </w:tc>
        <w:tc>
          <w:tcPr>
            <w:tcW w:w="1229" w:type="dxa"/>
          </w:tcPr>
          <w:p w14:paraId="041CCBE6" w14:textId="77777777" w:rsidR="00CF04BC" w:rsidRPr="00B93493" w:rsidRDefault="00CF04BC" w:rsidP="002E7F54">
            <w:pPr>
              <w:pStyle w:val="Tabletext"/>
              <w:rPr>
                <w:sz w:val="16"/>
                <w:szCs w:val="16"/>
              </w:rPr>
            </w:pPr>
            <w:r w:rsidRPr="00B93493">
              <w:rPr>
                <w:sz w:val="16"/>
                <w:szCs w:val="16"/>
              </w:rPr>
              <w:t>34 800</w:t>
            </w:r>
          </w:p>
        </w:tc>
        <w:tc>
          <w:tcPr>
            <w:tcW w:w="1501" w:type="dxa"/>
          </w:tcPr>
          <w:p w14:paraId="5FC6F724" w14:textId="77777777" w:rsidR="00CF04BC" w:rsidRPr="00B93493" w:rsidRDefault="00CF04BC" w:rsidP="002E7F54">
            <w:pPr>
              <w:pStyle w:val="Tabletext"/>
              <w:rPr>
                <w:sz w:val="16"/>
                <w:szCs w:val="16"/>
              </w:rPr>
            </w:pPr>
            <w:r w:rsidRPr="00B93493">
              <w:rPr>
                <w:sz w:val="16"/>
                <w:szCs w:val="16"/>
              </w:rPr>
              <w:t>58 000</w:t>
            </w:r>
          </w:p>
        </w:tc>
        <w:tc>
          <w:tcPr>
            <w:tcW w:w="1500" w:type="dxa"/>
          </w:tcPr>
          <w:p w14:paraId="6F040FF2" w14:textId="77777777" w:rsidR="00CF04BC" w:rsidRPr="00B93493" w:rsidRDefault="00CF04BC" w:rsidP="002E7F54">
            <w:pPr>
              <w:pStyle w:val="Tabletext"/>
              <w:rPr>
                <w:sz w:val="16"/>
                <w:szCs w:val="16"/>
              </w:rPr>
            </w:pPr>
            <w:r w:rsidRPr="00B93493">
              <w:rPr>
                <w:sz w:val="16"/>
                <w:szCs w:val="16"/>
              </w:rPr>
              <w:t>Nothing</w:t>
            </w:r>
          </w:p>
        </w:tc>
      </w:tr>
      <w:tr w:rsidR="00CF04BC" w:rsidRPr="00B93493" w14:paraId="7BE3CA12" w14:textId="77777777" w:rsidTr="002E7F54">
        <w:trPr>
          <w:jc w:val="center"/>
        </w:trPr>
        <w:tc>
          <w:tcPr>
            <w:tcW w:w="4248" w:type="dxa"/>
          </w:tcPr>
          <w:p w14:paraId="21A8E13E" w14:textId="77777777" w:rsidR="00CF04BC" w:rsidRPr="00B93493" w:rsidRDefault="00CF04BC" w:rsidP="00C65E6B">
            <w:pPr>
              <w:pStyle w:val="Tabletext"/>
              <w:ind w:left="284" w:hanging="284"/>
              <w:jc w:val="left"/>
              <w:rPr>
                <w:sz w:val="16"/>
                <w:szCs w:val="16"/>
              </w:rPr>
            </w:pPr>
            <w:r w:rsidRPr="00B93493">
              <w:rPr>
                <w:sz w:val="16"/>
                <w:szCs w:val="16"/>
              </w:rPr>
              <w:t>III.6.</w:t>
            </w:r>
            <w:r w:rsidRPr="00B93493">
              <w:rPr>
                <w:sz w:val="16"/>
                <w:szCs w:val="16"/>
              </w:rPr>
              <w:tab/>
              <w:t xml:space="preserve">Maritime transmitter (receivers of 55 </w:t>
            </w:r>
            <w:r w:rsidRPr="00B93493">
              <w:rPr>
                <w:sz w:val="16"/>
                <w:szCs w:val="16"/>
              </w:rPr>
              <w:br/>
            </w:r>
            <w:r w:rsidRPr="00B93493">
              <w:rPr>
                <w:sz w:val="16"/>
                <w:szCs w:val="16"/>
              </w:rPr>
              <w:tab/>
              <w:t>channels</w:t>
            </w:r>
          </w:p>
        </w:tc>
        <w:tc>
          <w:tcPr>
            <w:tcW w:w="1161" w:type="dxa"/>
          </w:tcPr>
          <w:p w14:paraId="66D5D0CD" w14:textId="77777777" w:rsidR="00CF04BC" w:rsidRPr="00B93493" w:rsidRDefault="00CF04BC" w:rsidP="002E7F54">
            <w:pPr>
              <w:pStyle w:val="Tabletext"/>
              <w:rPr>
                <w:sz w:val="16"/>
                <w:szCs w:val="16"/>
              </w:rPr>
            </w:pPr>
            <w:r w:rsidRPr="00B93493">
              <w:rPr>
                <w:sz w:val="16"/>
                <w:szCs w:val="16"/>
              </w:rPr>
              <w:t>11 600</w:t>
            </w:r>
          </w:p>
        </w:tc>
        <w:tc>
          <w:tcPr>
            <w:tcW w:w="1229" w:type="dxa"/>
          </w:tcPr>
          <w:p w14:paraId="33B83B0A" w14:textId="77777777" w:rsidR="00CF04BC" w:rsidRPr="00B93493" w:rsidRDefault="00CF04BC" w:rsidP="002E7F54">
            <w:pPr>
              <w:pStyle w:val="Tabletext"/>
              <w:rPr>
                <w:sz w:val="16"/>
                <w:szCs w:val="16"/>
              </w:rPr>
            </w:pPr>
            <w:r w:rsidRPr="00B93493">
              <w:rPr>
                <w:sz w:val="16"/>
                <w:szCs w:val="16"/>
              </w:rPr>
              <w:t>11 600</w:t>
            </w:r>
          </w:p>
        </w:tc>
        <w:tc>
          <w:tcPr>
            <w:tcW w:w="1501" w:type="dxa"/>
          </w:tcPr>
          <w:p w14:paraId="3DBDBE0F" w14:textId="77777777" w:rsidR="00CF04BC" w:rsidRPr="00B93493" w:rsidRDefault="00CF04BC" w:rsidP="002E7F54">
            <w:pPr>
              <w:pStyle w:val="Tabletext"/>
              <w:rPr>
                <w:sz w:val="16"/>
                <w:szCs w:val="16"/>
              </w:rPr>
            </w:pPr>
            <w:r w:rsidRPr="00B93493">
              <w:rPr>
                <w:sz w:val="16"/>
                <w:szCs w:val="16"/>
              </w:rPr>
              <w:t>58 000</w:t>
            </w:r>
          </w:p>
        </w:tc>
        <w:tc>
          <w:tcPr>
            <w:tcW w:w="1500" w:type="dxa"/>
          </w:tcPr>
          <w:p w14:paraId="33310D9B" w14:textId="77777777" w:rsidR="00CF04BC" w:rsidRPr="00B93493" w:rsidRDefault="00CF04BC" w:rsidP="002E7F54">
            <w:pPr>
              <w:pStyle w:val="Tabletext"/>
              <w:rPr>
                <w:sz w:val="16"/>
                <w:szCs w:val="16"/>
              </w:rPr>
            </w:pPr>
          </w:p>
        </w:tc>
      </w:tr>
      <w:tr w:rsidR="00CF04BC" w:rsidRPr="00B93493" w14:paraId="7A5FBC15" w14:textId="77777777" w:rsidTr="002E7F54">
        <w:trPr>
          <w:jc w:val="center"/>
        </w:trPr>
        <w:tc>
          <w:tcPr>
            <w:tcW w:w="4248" w:type="dxa"/>
          </w:tcPr>
          <w:p w14:paraId="6CCC21C7" w14:textId="77777777" w:rsidR="00CF04BC" w:rsidRPr="00B93493" w:rsidRDefault="00CF04BC" w:rsidP="00C65E6B">
            <w:pPr>
              <w:pStyle w:val="Tabletext"/>
              <w:jc w:val="left"/>
              <w:rPr>
                <w:sz w:val="16"/>
                <w:szCs w:val="16"/>
              </w:rPr>
            </w:pPr>
            <w:r w:rsidRPr="00B93493">
              <w:rPr>
                <w:sz w:val="16"/>
                <w:szCs w:val="16"/>
              </w:rPr>
              <w:t>IV. Aeronautic mobile Stations</w:t>
            </w:r>
          </w:p>
        </w:tc>
        <w:tc>
          <w:tcPr>
            <w:tcW w:w="1161" w:type="dxa"/>
          </w:tcPr>
          <w:p w14:paraId="6E38B844" w14:textId="77777777" w:rsidR="00CF04BC" w:rsidRPr="00B93493" w:rsidRDefault="00CF04BC" w:rsidP="002E7F54">
            <w:pPr>
              <w:pStyle w:val="Tabletext"/>
              <w:rPr>
                <w:sz w:val="16"/>
                <w:szCs w:val="16"/>
              </w:rPr>
            </w:pPr>
          </w:p>
        </w:tc>
        <w:tc>
          <w:tcPr>
            <w:tcW w:w="1229" w:type="dxa"/>
          </w:tcPr>
          <w:p w14:paraId="1101F4FA" w14:textId="77777777" w:rsidR="00CF04BC" w:rsidRPr="00B93493" w:rsidRDefault="00CF04BC" w:rsidP="002E7F54">
            <w:pPr>
              <w:pStyle w:val="Tabletext"/>
              <w:rPr>
                <w:sz w:val="16"/>
                <w:szCs w:val="16"/>
              </w:rPr>
            </w:pPr>
          </w:p>
        </w:tc>
        <w:tc>
          <w:tcPr>
            <w:tcW w:w="1501" w:type="dxa"/>
          </w:tcPr>
          <w:p w14:paraId="131FE06F" w14:textId="77777777" w:rsidR="00CF04BC" w:rsidRPr="00B93493" w:rsidRDefault="00CF04BC" w:rsidP="002E7F54">
            <w:pPr>
              <w:pStyle w:val="Tabletext"/>
              <w:rPr>
                <w:sz w:val="16"/>
                <w:szCs w:val="16"/>
              </w:rPr>
            </w:pPr>
          </w:p>
        </w:tc>
        <w:tc>
          <w:tcPr>
            <w:tcW w:w="1500" w:type="dxa"/>
          </w:tcPr>
          <w:p w14:paraId="48F1ABFC" w14:textId="77777777" w:rsidR="00CF04BC" w:rsidRPr="00B93493" w:rsidRDefault="00CF04BC" w:rsidP="002E7F54">
            <w:pPr>
              <w:pStyle w:val="Tabletext"/>
              <w:rPr>
                <w:sz w:val="16"/>
                <w:szCs w:val="16"/>
              </w:rPr>
            </w:pPr>
          </w:p>
        </w:tc>
      </w:tr>
      <w:tr w:rsidR="00CF04BC" w:rsidRPr="00B93493" w14:paraId="5FFB00A5" w14:textId="77777777" w:rsidTr="002E7F54">
        <w:trPr>
          <w:jc w:val="center"/>
        </w:trPr>
        <w:tc>
          <w:tcPr>
            <w:tcW w:w="4248" w:type="dxa"/>
          </w:tcPr>
          <w:p w14:paraId="45BF7427" w14:textId="77777777" w:rsidR="00CF04BC" w:rsidRPr="00B93493" w:rsidRDefault="00CF04BC" w:rsidP="00C65E6B">
            <w:pPr>
              <w:pStyle w:val="Tabletext"/>
              <w:jc w:val="left"/>
              <w:rPr>
                <w:sz w:val="16"/>
                <w:szCs w:val="16"/>
              </w:rPr>
            </w:pPr>
            <w:r w:rsidRPr="00B93493">
              <w:rPr>
                <w:sz w:val="16"/>
                <w:szCs w:val="16"/>
              </w:rPr>
              <w:t>IV.1</w:t>
            </w:r>
            <w:r w:rsidRPr="00B93493">
              <w:rPr>
                <w:sz w:val="16"/>
                <w:szCs w:val="16"/>
              </w:rPr>
              <w:tab/>
              <w:t>Private aeronautic station (unofficial)</w:t>
            </w:r>
          </w:p>
        </w:tc>
        <w:tc>
          <w:tcPr>
            <w:tcW w:w="1161" w:type="dxa"/>
          </w:tcPr>
          <w:p w14:paraId="5CD7E631" w14:textId="77777777" w:rsidR="00CF04BC" w:rsidRPr="00B93493" w:rsidRDefault="00CF04BC" w:rsidP="002E7F54">
            <w:pPr>
              <w:pStyle w:val="Tabletext"/>
              <w:rPr>
                <w:sz w:val="16"/>
                <w:szCs w:val="16"/>
              </w:rPr>
            </w:pPr>
            <w:r w:rsidRPr="00B93493">
              <w:rPr>
                <w:sz w:val="16"/>
                <w:szCs w:val="16"/>
              </w:rPr>
              <w:t>116 000</w:t>
            </w:r>
          </w:p>
        </w:tc>
        <w:tc>
          <w:tcPr>
            <w:tcW w:w="1229" w:type="dxa"/>
          </w:tcPr>
          <w:p w14:paraId="61A6C076" w14:textId="77777777" w:rsidR="00CF04BC" w:rsidRPr="00B93493" w:rsidRDefault="00CF04BC" w:rsidP="002E7F54">
            <w:pPr>
              <w:pStyle w:val="Tabletext"/>
              <w:rPr>
                <w:sz w:val="16"/>
                <w:szCs w:val="16"/>
              </w:rPr>
            </w:pPr>
            <w:r w:rsidRPr="00B93493">
              <w:rPr>
                <w:sz w:val="16"/>
                <w:szCs w:val="16"/>
              </w:rPr>
              <w:t>87 000</w:t>
            </w:r>
          </w:p>
          <w:p w14:paraId="553266D4" w14:textId="77777777" w:rsidR="00CF04BC" w:rsidRPr="00B93493" w:rsidRDefault="00CF04BC" w:rsidP="002E7F54">
            <w:pPr>
              <w:pStyle w:val="Tabletext"/>
              <w:rPr>
                <w:sz w:val="16"/>
                <w:szCs w:val="16"/>
              </w:rPr>
            </w:pPr>
          </w:p>
        </w:tc>
        <w:tc>
          <w:tcPr>
            <w:tcW w:w="1501" w:type="dxa"/>
          </w:tcPr>
          <w:p w14:paraId="099FA571" w14:textId="77777777" w:rsidR="00CF04BC" w:rsidRPr="00B93493" w:rsidRDefault="00CF04BC" w:rsidP="002E7F54">
            <w:pPr>
              <w:pStyle w:val="Tabletext"/>
              <w:rPr>
                <w:sz w:val="16"/>
                <w:szCs w:val="16"/>
              </w:rPr>
            </w:pPr>
            <w:r w:rsidRPr="00B93493">
              <w:rPr>
                <w:sz w:val="16"/>
                <w:szCs w:val="16"/>
              </w:rPr>
              <w:t>580 000</w:t>
            </w:r>
          </w:p>
        </w:tc>
        <w:tc>
          <w:tcPr>
            <w:tcW w:w="1500" w:type="dxa"/>
          </w:tcPr>
          <w:p w14:paraId="4C9A8C09" w14:textId="77777777" w:rsidR="00CF04BC" w:rsidRPr="00B93493" w:rsidRDefault="00CF04BC" w:rsidP="002E7F54">
            <w:pPr>
              <w:pStyle w:val="Tabletext"/>
              <w:rPr>
                <w:sz w:val="16"/>
                <w:szCs w:val="16"/>
              </w:rPr>
            </w:pPr>
          </w:p>
        </w:tc>
      </w:tr>
      <w:tr w:rsidR="00CF04BC" w:rsidRPr="00B93493" w14:paraId="6661A60D" w14:textId="77777777" w:rsidTr="002E7F54">
        <w:trPr>
          <w:jc w:val="center"/>
        </w:trPr>
        <w:tc>
          <w:tcPr>
            <w:tcW w:w="4248" w:type="dxa"/>
          </w:tcPr>
          <w:p w14:paraId="3B54AFCE" w14:textId="77777777" w:rsidR="00CF04BC" w:rsidRPr="00B93493" w:rsidRDefault="00CF04BC" w:rsidP="00C65E6B">
            <w:pPr>
              <w:pStyle w:val="Tabletext"/>
              <w:jc w:val="left"/>
              <w:rPr>
                <w:sz w:val="16"/>
                <w:szCs w:val="16"/>
              </w:rPr>
            </w:pPr>
            <w:r w:rsidRPr="00B93493">
              <w:rPr>
                <w:sz w:val="16"/>
                <w:szCs w:val="16"/>
              </w:rPr>
              <w:t>a1. Link land to air</w:t>
            </w:r>
          </w:p>
          <w:p w14:paraId="3AE940F6" w14:textId="77777777" w:rsidR="00CF04BC" w:rsidRPr="00B93493" w:rsidRDefault="00CF04BC" w:rsidP="00C65E6B">
            <w:pPr>
              <w:pStyle w:val="Tabletext"/>
              <w:jc w:val="left"/>
              <w:rPr>
                <w:sz w:val="16"/>
                <w:szCs w:val="16"/>
              </w:rPr>
            </w:pPr>
            <w:r w:rsidRPr="00B93493">
              <w:rPr>
                <w:sz w:val="16"/>
                <w:szCs w:val="16"/>
              </w:rPr>
              <w:t>a2. Link land to land</w:t>
            </w:r>
          </w:p>
        </w:tc>
        <w:tc>
          <w:tcPr>
            <w:tcW w:w="1161" w:type="dxa"/>
          </w:tcPr>
          <w:p w14:paraId="216DF004" w14:textId="77777777" w:rsidR="00CF04BC" w:rsidRPr="00B93493" w:rsidRDefault="00CF04BC" w:rsidP="002E7F54">
            <w:pPr>
              <w:pStyle w:val="Tabletext"/>
              <w:rPr>
                <w:sz w:val="16"/>
                <w:szCs w:val="16"/>
              </w:rPr>
            </w:pPr>
          </w:p>
        </w:tc>
        <w:tc>
          <w:tcPr>
            <w:tcW w:w="1229" w:type="dxa"/>
          </w:tcPr>
          <w:p w14:paraId="119D8A58" w14:textId="77777777" w:rsidR="00CF04BC" w:rsidRPr="00B93493" w:rsidRDefault="00CF04BC" w:rsidP="002E7F54">
            <w:pPr>
              <w:pStyle w:val="Tabletext"/>
              <w:rPr>
                <w:sz w:val="16"/>
                <w:szCs w:val="16"/>
              </w:rPr>
            </w:pPr>
          </w:p>
        </w:tc>
        <w:tc>
          <w:tcPr>
            <w:tcW w:w="1501" w:type="dxa"/>
          </w:tcPr>
          <w:p w14:paraId="63D110FB" w14:textId="77777777" w:rsidR="00CF04BC" w:rsidRPr="00B93493" w:rsidRDefault="00CF04BC" w:rsidP="002E7F54">
            <w:pPr>
              <w:pStyle w:val="Tabletext"/>
              <w:rPr>
                <w:sz w:val="16"/>
                <w:szCs w:val="16"/>
              </w:rPr>
            </w:pPr>
          </w:p>
        </w:tc>
        <w:tc>
          <w:tcPr>
            <w:tcW w:w="1500" w:type="dxa"/>
          </w:tcPr>
          <w:p w14:paraId="6685642B" w14:textId="77777777" w:rsidR="00CF04BC" w:rsidRPr="00B93493" w:rsidRDefault="00CF04BC" w:rsidP="002E7F54">
            <w:pPr>
              <w:pStyle w:val="Tabletext"/>
              <w:rPr>
                <w:sz w:val="16"/>
                <w:szCs w:val="16"/>
              </w:rPr>
            </w:pPr>
            <w:r w:rsidRPr="00B93493">
              <w:rPr>
                <w:sz w:val="16"/>
                <w:szCs w:val="16"/>
              </w:rPr>
              <w:t>116 000</w:t>
            </w:r>
          </w:p>
          <w:p w14:paraId="2660B08C" w14:textId="77777777" w:rsidR="00CF04BC" w:rsidRPr="00B93493" w:rsidRDefault="00CF04BC" w:rsidP="002E7F54">
            <w:pPr>
              <w:pStyle w:val="Tabletext"/>
              <w:rPr>
                <w:sz w:val="16"/>
                <w:szCs w:val="16"/>
              </w:rPr>
            </w:pPr>
            <w:r w:rsidRPr="00B93493">
              <w:rPr>
                <w:sz w:val="16"/>
                <w:szCs w:val="16"/>
              </w:rPr>
              <w:t>145 000</w:t>
            </w:r>
          </w:p>
        </w:tc>
      </w:tr>
      <w:tr w:rsidR="00CF04BC" w:rsidRPr="00B93493" w14:paraId="3A51F851" w14:textId="77777777" w:rsidTr="002E7F54">
        <w:trPr>
          <w:jc w:val="center"/>
        </w:trPr>
        <w:tc>
          <w:tcPr>
            <w:tcW w:w="4248" w:type="dxa"/>
          </w:tcPr>
          <w:p w14:paraId="4B2C2D98" w14:textId="77777777" w:rsidR="00CF04BC" w:rsidRPr="00B93493" w:rsidRDefault="00CF04BC" w:rsidP="00C65E6B">
            <w:pPr>
              <w:pStyle w:val="Tabletext"/>
              <w:jc w:val="left"/>
              <w:rPr>
                <w:sz w:val="16"/>
                <w:szCs w:val="16"/>
              </w:rPr>
            </w:pPr>
            <w:r w:rsidRPr="00B93493">
              <w:rPr>
                <w:sz w:val="16"/>
                <w:szCs w:val="16"/>
              </w:rPr>
              <w:t>IV.2</w:t>
            </w:r>
            <w:r w:rsidRPr="00B93493">
              <w:rPr>
                <w:sz w:val="16"/>
                <w:szCs w:val="16"/>
              </w:rPr>
              <w:tab/>
              <w:t>Public Civil aviation transport system</w:t>
            </w:r>
          </w:p>
        </w:tc>
        <w:tc>
          <w:tcPr>
            <w:tcW w:w="1161" w:type="dxa"/>
          </w:tcPr>
          <w:p w14:paraId="78DDF722" w14:textId="77777777" w:rsidR="00CF04BC" w:rsidRPr="00B93493" w:rsidRDefault="00CF04BC" w:rsidP="002E7F54">
            <w:pPr>
              <w:pStyle w:val="Tabletext"/>
              <w:rPr>
                <w:sz w:val="16"/>
                <w:szCs w:val="16"/>
              </w:rPr>
            </w:pPr>
            <w:r w:rsidRPr="00B93493">
              <w:rPr>
                <w:sz w:val="16"/>
                <w:szCs w:val="16"/>
              </w:rPr>
              <w:t>17 400</w:t>
            </w:r>
          </w:p>
        </w:tc>
        <w:tc>
          <w:tcPr>
            <w:tcW w:w="1229" w:type="dxa"/>
          </w:tcPr>
          <w:p w14:paraId="765EC829" w14:textId="77777777" w:rsidR="00CF04BC" w:rsidRPr="00B93493" w:rsidRDefault="00CF04BC" w:rsidP="002E7F54">
            <w:pPr>
              <w:pStyle w:val="Tabletext"/>
              <w:rPr>
                <w:sz w:val="16"/>
                <w:szCs w:val="16"/>
              </w:rPr>
            </w:pPr>
            <w:r w:rsidRPr="00B93493">
              <w:rPr>
                <w:sz w:val="16"/>
                <w:szCs w:val="16"/>
              </w:rPr>
              <w:t>58 000</w:t>
            </w:r>
          </w:p>
        </w:tc>
        <w:tc>
          <w:tcPr>
            <w:tcW w:w="1501" w:type="dxa"/>
          </w:tcPr>
          <w:p w14:paraId="2D31D3FE" w14:textId="77777777" w:rsidR="00CF04BC" w:rsidRPr="00B93493" w:rsidRDefault="00CF04BC" w:rsidP="002E7F54">
            <w:pPr>
              <w:pStyle w:val="Tabletext"/>
              <w:rPr>
                <w:sz w:val="16"/>
                <w:szCs w:val="16"/>
              </w:rPr>
            </w:pPr>
            <w:r w:rsidRPr="00B93493">
              <w:rPr>
                <w:sz w:val="16"/>
                <w:szCs w:val="16"/>
              </w:rPr>
              <w:t>290 000</w:t>
            </w:r>
          </w:p>
        </w:tc>
        <w:tc>
          <w:tcPr>
            <w:tcW w:w="1500" w:type="dxa"/>
          </w:tcPr>
          <w:p w14:paraId="6B9E7DEE" w14:textId="77777777" w:rsidR="00CF04BC" w:rsidRPr="00B93493" w:rsidRDefault="00CF04BC" w:rsidP="002E7F54">
            <w:pPr>
              <w:pStyle w:val="Tabletext"/>
              <w:rPr>
                <w:sz w:val="16"/>
                <w:szCs w:val="16"/>
              </w:rPr>
            </w:pPr>
            <w:r w:rsidRPr="00B93493">
              <w:rPr>
                <w:sz w:val="16"/>
                <w:szCs w:val="16"/>
              </w:rPr>
              <w:t>Nothing</w:t>
            </w:r>
          </w:p>
        </w:tc>
      </w:tr>
      <w:tr w:rsidR="00CF04BC" w:rsidRPr="00B93493" w14:paraId="3CBFF55D" w14:textId="77777777" w:rsidTr="002E7F54">
        <w:trPr>
          <w:jc w:val="center"/>
        </w:trPr>
        <w:tc>
          <w:tcPr>
            <w:tcW w:w="4248" w:type="dxa"/>
          </w:tcPr>
          <w:p w14:paraId="75B001C8" w14:textId="77777777" w:rsidR="00CF04BC" w:rsidRPr="00BF109A" w:rsidRDefault="00CF04BC" w:rsidP="00C65E6B">
            <w:pPr>
              <w:pStyle w:val="Tabletext"/>
              <w:jc w:val="left"/>
              <w:rPr>
                <w:sz w:val="16"/>
                <w:szCs w:val="16"/>
                <w:u w:val="single"/>
                <w:lang w:val="fr-FR"/>
              </w:rPr>
            </w:pPr>
            <w:r w:rsidRPr="00BF109A">
              <w:rPr>
                <w:sz w:val="16"/>
                <w:szCs w:val="16"/>
                <w:lang w:val="fr-FR"/>
              </w:rPr>
              <w:t>IV.3</w:t>
            </w:r>
            <w:r w:rsidRPr="00BF109A">
              <w:rPr>
                <w:sz w:val="16"/>
                <w:szCs w:val="16"/>
                <w:lang w:val="fr-FR"/>
              </w:rPr>
              <w:tab/>
              <w:t>Private civil aviation transport</w:t>
            </w:r>
          </w:p>
        </w:tc>
        <w:tc>
          <w:tcPr>
            <w:tcW w:w="1161" w:type="dxa"/>
          </w:tcPr>
          <w:p w14:paraId="7C4144FF" w14:textId="77777777" w:rsidR="00CF04BC" w:rsidRPr="00B93493" w:rsidRDefault="00CF04BC" w:rsidP="002E7F54">
            <w:pPr>
              <w:pStyle w:val="Tabletext"/>
              <w:rPr>
                <w:sz w:val="16"/>
                <w:szCs w:val="16"/>
              </w:rPr>
            </w:pPr>
            <w:r w:rsidRPr="00B93493">
              <w:rPr>
                <w:sz w:val="16"/>
                <w:szCs w:val="16"/>
              </w:rPr>
              <w:t>11 600</w:t>
            </w:r>
          </w:p>
          <w:p w14:paraId="6F00E7D7" w14:textId="77777777" w:rsidR="00CF04BC" w:rsidRPr="00B93493" w:rsidRDefault="00CF04BC" w:rsidP="002E7F54">
            <w:pPr>
              <w:pStyle w:val="Tabletext"/>
              <w:rPr>
                <w:sz w:val="16"/>
                <w:szCs w:val="16"/>
              </w:rPr>
            </w:pPr>
          </w:p>
        </w:tc>
        <w:tc>
          <w:tcPr>
            <w:tcW w:w="1229" w:type="dxa"/>
          </w:tcPr>
          <w:p w14:paraId="10CB1107" w14:textId="77777777" w:rsidR="00CF04BC" w:rsidRPr="00B93493" w:rsidRDefault="00CF04BC" w:rsidP="002E7F54">
            <w:pPr>
              <w:pStyle w:val="Tabletext"/>
              <w:rPr>
                <w:sz w:val="16"/>
                <w:szCs w:val="16"/>
              </w:rPr>
            </w:pPr>
            <w:r w:rsidRPr="00B93493">
              <w:rPr>
                <w:sz w:val="16"/>
                <w:szCs w:val="16"/>
              </w:rPr>
              <w:t>34 800</w:t>
            </w:r>
          </w:p>
        </w:tc>
        <w:tc>
          <w:tcPr>
            <w:tcW w:w="1501" w:type="dxa"/>
          </w:tcPr>
          <w:p w14:paraId="5958FF00" w14:textId="77777777" w:rsidR="00CF04BC" w:rsidRPr="00B93493" w:rsidRDefault="00CF04BC" w:rsidP="002E7F54">
            <w:pPr>
              <w:pStyle w:val="Tabletext"/>
              <w:rPr>
                <w:sz w:val="16"/>
                <w:szCs w:val="16"/>
              </w:rPr>
            </w:pPr>
            <w:r w:rsidRPr="00B93493">
              <w:rPr>
                <w:sz w:val="16"/>
                <w:szCs w:val="16"/>
              </w:rPr>
              <w:t>58 000</w:t>
            </w:r>
          </w:p>
          <w:p w14:paraId="463B8B73" w14:textId="77777777" w:rsidR="00CF04BC" w:rsidRPr="00B93493" w:rsidRDefault="00CF04BC" w:rsidP="002E7F54">
            <w:pPr>
              <w:pStyle w:val="Tabletext"/>
              <w:rPr>
                <w:sz w:val="16"/>
                <w:szCs w:val="16"/>
              </w:rPr>
            </w:pPr>
          </w:p>
        </w:tc>
        <w:tc>
          <w:tcPr>
            <w:tcW w:w="1500" w:type="dxa"/>
          </w:tcPr>
          <w:p w14:paraId="75619C8E" w14:textId="77777777" w:rsidR="00CF04BC" w:rsidRPr="00B93493" w:rsidRDefault="00CF04BC" w:rsidP="002E7F54">
            <w:pPr>
              <w:pStyle w:val="Tabletext"/>
              <w:rPr>
                <w:sz w:val="16"/>
                <w:szCs w:val="16"/>
              </w:rPr>
            </w:pPr>
            <w:r w:rsidRPr="00B93493">
              <w:rPr>
                <w:sz w:val="16"/>
                <w:szCs w:val="16"/>
              </w:rPr>
              <w:t>Nothing</w:t>
            </w:r>
          </w:p>
        </w:tc>
      </w:tr>
      <w:tr w:rsidR="00CF04BC" w:rsidRPr="00B93493" w14:paraId="494BBA37" w14:textId="77777777" w:rsidTr="002E7F54">
        <w:trPr>
          <w:jc w:val="center"/>
        </w:trPr>
        <w:tc>
          <w:tcPr>
            <w:tcW w:w="4248" w:type="dxa"/>
          </w:tcPr>
          <w:p w14:paraId="2B34BB57" w14:textId="77777777" w:rsidR="00CF04BC" w:rsidRPr="00B93493" w:rsidRDefault="00CF04BC" w:rsidP="00C65E6B">
            <w:pPr>
              <w:pStyle w:val="Tabletext"/>
              <w:jc w:val="left"/>
              <w:rPr>
                <w:sz w:val="16"/>
                <w:szCs w:val="16"/>
                <w:u w:val="single"/>
              </w:rPr>
            </w:pPr>
            <w:r w:rsidRPr="00B93493">
              <w:rPr>
                <w:sz w:val="16"/>
                <w:szCs w:val="16"/>
              </w:rPr>
              <w:t xml:space="preserve">V. </w:t>
            </w:r>
            <w:r w:rsidRPr="00B93493">
              <w:rPr>
                <w:sz w:val="16"/>
                <w:szCs w:val="16"/>
              </w:rPr>
              <w:tab/>
              <w:t>AMATEUR STATIONS</w:t>
            </w:r>
          </w:p>
        </w:tc>
        <w:tc>
          <w:tcPr>
            <w:tcW w:w="1161" w:type="dxa"/>
          </w:tcPr>
          <w:p w14:paraId="2103C82E" w14:textId="77777777" w:rsidR="00CF04BC" w:rsidRPr="00B93493" w:rsidRDefault="00CF04BC" w:rsidP="002E7F54">
            <w:pPr>
              <w:pStyle w:val="Tabletext"/>
              <w:rPr>
                <w:sz w:val="16"/>
                <w:szCs w:val="16"/>
              </w:rPr>
            </w:pPr>
          </w:p>
        </w:tc>
        <w:tc>
          <w:tcPr>
            <w:tcW w:w="1229" w:type="dxa"/>
          </w:tcPr>
          <w:p w14:paraId="292362CE" w14:textId="77777777" w:rsidR="00CF04BC" w:rsidRPr="00B93493" w:rsidRDefault="00CF04BC" w:rsidP="002E7F54">
            <w:pPr>
              <w:pStyle w:val="Tabletext"/>
              <w:rPr>
                <w:sz w:val="16"/>
                <w:szCs w:val="16"/>
              </w:rPr>
            </w:pPr>
          </w:p>
        </w:tc>
        <w:tc>
          <w:tcPr>
            <w:tcW w:w="1501" w:type="dxa"/>
          </w:tcPr>
          <w:p w14:paraId="4D92475C" w14:textId="77777777" w:rsidR="00CF04BC" w:rsidRPr="00B93493" w:rsidRDefault="00CF04BC" w:rsidP="002E7F54">
            <w:pPr>
              <w:pStyle w:val="Tabletext"/>
              <w:rPr>
                <w:sz w:val="16"/>
                <w:szCs w:val="16"/>
              </w:rPr>
            </w:pPr>
          </w:p>
        </w:tc>
        <w:tc>
          <w:tcPr>
            <w:tcW w:w="1500" w:type="dxa"/>
          </w:tcPr>
          <w:p w14:paraId="7FC87C0B" w14:textId="77777777" w:rsidR="00CF04BC" w:rsidRPr="00B93493" w:rsidRDefault="00CF04BC" w:rsidP="002E7F54">
            <w:pPr>
              <w:pStyle w:val="Tabletext"/>
              <w:rPr>
                <w:sz w:val="16"/>
                <w:szCs w:val="16"/>
              </w:rPr>
            </w:pPr>
          </w:p>
        </w:tc>
      </w:tr>
      <w:tr w:rsidR="00CF04BC" w:rsidRPr="00B93493" w14:paraId="03B46848" w14:textId="77777777" w:rsidTr="002E7F54">
        <w:trPr>
          <w:jc w:val="center"/>
        </w:trPr>
        <w:tc>
          <w:tcPr>
            <w:tcW w:w="4248" w:type="dxa"/>
          </w:tcPr>
          <w:p w14:paraId="7933B282" w14:textId="77777777" w:rsidR="00CF04BC" w:rsidRPr="00B93493" w:rsidRDefault="00CF04BC" w:rsidP="00C65E6B">
            <w:pPr>
              <w:pStyle w:val="Tabletext"/>
              <w:jc w:val="left"/>
              <w:rPr>
                <w:sz w:val="16"/>
                <w:szCs w:val="16"/>
              </w:rPr>
            </w:pPr>
            <w:r w:rsidRPr="00B93493">
              <w:rPr>
                <w:sz w:val="16"/>
                <w:szCs w:val="16"/>
              </w:rPr>
              <w:t>a1. Radiotelephone station VHF</w:t>
            </w:r>
          </w:p>
          <w:p w14:paraId="4F541FF5" w14:textId="77777777" w:rsidR="00CF04BC" w:rsidRPr="00B93493" w:rsidRDefault="00CF04BC" w:rsidP="00C65E6B">
            <w:pPr>
              <w:pStyle w:val="Tabletext"/>
              <w:jc w:val="left"/>
              <w:rPr>
                <w:sz w:val="16"/>
                <w:szCs w:val="16"/>
              </w:rPr>
            </w:pPr>
            <w:r w:rsidRPr="00B93493">
              <w:rPr>
                <w:sz w:val="16"/>
                <w:szCs w:val="16"/>
              </w:rPr>
              <w:t>a2. Radiotelephone MF/HF</w:t>
            </w:r>
          </w:p>
        </w:tc>
        <w:tc>
          <w:tcPr>
            <w:tcW w:w="1161" w:type="dxa"/>
          </w:tcPr>
          <w:p w14:paraId="695AE839" w14:textId="77777777" w:rsidR="00CF04BC" w:rsidRPr="00B93493" w:rsidRDefault="00CF04BC" w:rsidP="002E7F54">
            <w:pPr>
              <w:pStyle w:val="Tabletext"/>
              <w:rPr>
                <w:sz w:val="16"/>
                <w:szCs w:val="16"/>
              </w:rPr>
            </w:pPr>
            <w:r w:rsidRPr="00B93493">
              <w:rPr>
                <w:sz w:val="16"/>
                <w:szCs w:val="16"/>
              </w:rPr>
              <w:t>5 800</w:t>
            </w:r>
          </w:p>
          <w:p w14:paraId="5F8BB3F6" w14:textId="77777777" w:rsidR="00CF04BC" w:rsidRPr="00B93493" w:rsidRDefault="00CF04BC" w:rsidP="002E7F54">
            <w:pPr>
              <w:pStyle w:val="Tabletext"/>
              <w:rPr>
                <w:sz w:val="16"/>
                <w:szCs w:val="16"/>
              </w:rPr>
            </w:pPr>
            <w:r w:rsidRPr="00B93493">
              <w:rPr>
                <w:sz w:val="16"/>
                <w:szCs w:val="16"/>
              </w:rPr>
              <w:t>5 800</w:t>
            </w:r>
          </w:p>
        </w:tc>
        <w:tc>
          <w:tcPr>
            <w:tcW w:w="1229" w:type="dxa"/>
          </w:tcPr>
          <w:p w14:paraId="0D83DBBB" w14:textId="77777777" w:rsidR="00CF04BC" w:rsidRPr="00B93493" w:rsidRDefault="00CF04BC" w:rsidP="002E7F54">
            <w:pPr>
              <w:pStyle w:val="Tabletext"/>
              <w:rPr>
                <w:sz w:val="16"/>
                <w:szCs w:val="16"/>
              </w:rPr>
            </w:pPr>
            <w:r w:rsidRPr="00B93493">
              <w:rPr>
                <w:sz w:val="16"/>
                <w:szCs w:val="16"/>
              </w:rPr>
              <w:t>8 700</w:t>
            </w:r>
          </w:p>
          <w:p w14:paraId="169155F9" w14:textId="77777777" w:rsidR="00CF04BC" w:rsidRPr="00B93493" w:rsidRDefault="00CF04BC" w:rsidP="002E7F54">
            <w:pPr>
              <w:pStyle w:val="Tabletext"/>
              <w:rPr>
                <w:sz w:val="16"/>
                <w:szCs w:val="16"/>
              </w:rPr>
            </w:pPr>
            <w:r w:rsidRPr="00B93493">
              <w:rPr>
                <w:sz w:val="16"/>
                <w:szCs w:val="16"/>
              </w:rPr>
              <w:t>17 400</w:t>
            </w:r>
          </w:p>
        </w:tc>
        <w:tc>
          <w:tcPr>
            <w:tcW w:w="1501" w:type="dxa"/>
          </w:tcPr>
          <w:p w14:paraId="609BFE68" w14:textId="77777777" w:rsidR="00CF04BC" w:rsidRPr="00B93493" w:rsidRDefault="00CF04BC" w:rsidP="002E7F54">
            <w:pPr>
              <w:pStyle w:val="Tabletext"/>
              <w:rPr>
                <w:sz w:val="16"/>
                <w:szCs w:val="16"/>
              </w:rPr>
            </w:pPr>
            <w:r w:rsidRPr="00B93493">
              <w:rPr>
                <w:sz w:val="16"/>
                <w:szCs w:val="16"/>
              </w:rPr>
              <w:t>Nothing</w:t>
            </w:r>
          </w:p>
          <w:p w14:paraId="5B7BCA86" w14:textId="77777777" w:rsidR="00CF04BC" w:rsidRPr="00B93493" w:rsidRDefault="00CF04BC" w:rsidP="002E7F54">
            <w:pPr>
              <w:pStyle w:val="Tabletext"/>
              <w:rPr>
                <w:sz w:val="16"/>
                <w:szCs w:val="16"/>
              </w:rPr>
            </w:pPr>
            <w:r w:rsidRPr="00B93493">
              <w:rPr>
                <w:sz w:val="16"/>
                <w:szCs w:val="16"/>
              </w:rPr>
              <w:t>Nothing</w:t>
            </w:r>
          </w:p>
        </w:tc>
        <w:tc>
          <w:tcPr>
            <w:tcW w:w="1500" w:type="dxa"/>
          </w:tcPr>
          <w:p w14:paraId="3715625A" w14:textId="77777777" w:rsidR="00CF04BC" w:rsidRPr="00B93493" w:rsidRDefault="00CF04BC" w:rsidP="002E7F54">
            <w:pPr>
              <w:pStyle w:val="Tabletext"/>
              <w:rPr>
                <w:sz w:val="16"/>
                <w:szCs w:val="16"/>
              </w:rPr>
            </w:pPr>
            <w:r w:rsidRPr="00B93493">
              <w:rPr>
                <w:sz w:val="16"/>
                <w:szCs w:val="16"/>
              </w:rPr>
              <w:t>Nothing</w:t>
            </w:r>
          </w:p>
          <w:p w14:paraId="4A6AF135" w14:textId="77777777" w:rsidR="00CF04BC" w:rsidRPr="00B93493" w:rsidRDefault="00CF04BC" w:rsidP="002E7F54">
            <w:pPr>
              <w:pStyle w:val="Tabletext"/>
              <w:rPr>
                <w:sz w:val="16"/>
                <w:szCs w:val="16"/>
              </w:rPr>
            </w:pPr>
            <w:r w:rsidRPr="00B93493">
              <w:rPr>
                <w:sz w:val="16"/>
                <w:szCs w:val="16"/>
              </w:rPr>
              <w:t>Nothing</w:t>
            </w:r>
          </w:p>
        </w:tc>
      </w:tr>
    </w:tbl>
    <w:p w14:paraId="3B114675" w14:textId="77777777" w:rsidR="00CF04BC" w:rsidRPr="00B93493" w:rsidRDefault="00CF04BC" w:rsidP="00CF04BC"/>
    <w:p w14:paraId="20C8C81A" w14:textId="77777777" w:rsidR="00CF04BC" w:rsidRPr="00B93493" w:rsidRDefault="00CF04BC" w:rsidP="00CF04BC">
      <w:pPr>
        <w:pStyle w:val="Headingb"/>
      </w:pPr>
      <w:bookmarkStart w:id="2776" w:name="_Toc291852966"/>
      <w:bookmarkStart w:id="2777" w:name="_Toc289932355"/>
      <w:bookmarkStart w:id="2778" w:name="_Toc289933403"/>
      <w:bookmarkStart w:id="2779" w:name="_Toc289868890"/>
      <w:bookmarkStart w:id="2780" w:name="_Toc289869049"/>
      <w:bookmarkStart w:id="2781" w:name="_Toc392515950"/>
      <w:bookmarkStart w:id="2782" w:name="_Toc518394286"/>
      <w:bookmarkStart w:id="2783" w:name="_Toc454285031"/>
      <w:bookmarkStart w:id="2784" w:name="_Toc462234195"/>
      <w:bookmarkStart w:id="2785" w:name="_Toc182391606"/>
      <w:r w:rsidRPr="00B93493">
        <w:t>B.</w:t>
      </w:r>
      <w:r w:rsidRPr="00B93493">
        <w:tab/>
        <w:t>SATELLITE RADIOCOMMUNICATIONS</w:t>
      </w:r>
      <w:bookmarkEnd w:id="2776"/>
      <w:bookmarkEnd w:id="2777"/>
      <w:bookmarkEnd w:id="2778"/>
      <w:bookmarkEnd w:id="2779"/>
      <w:bookmarkEnd w:id="2780"/>
      <w:bookmarkEnd w:id="2781"/>
      <w:bookmarkEnd w:id="2782"/>
      <w:bookmarkEnd w:id="2783"/>
      <w:bookmarkEnd w:id="2784"/>
      <w:bookmarkEnd w:id="278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9"/>
        <w:gridCol w:w="1204"/>
        <w:gridCol w:w="1560"/>
        <w:gridCol w:w="1559"/>
        <w:gridCol w:w="1417"/>
      </w:tblGrid>
      <w:tr w:rsidR="00CF04BC" w:rsidRPr="00B93493" w14:paraId="03844FDA" w14:textId="77777777" w:rsidTr="002E7F54">
        <w:trPr>
          <w:tblHeader/>
          <w:jc w:val="center"/>
        </w:trPr>
        <w:tc>
          <w:tcPr>
            <w:tcW w:w="3899" w:type="dxa"/>
            <w:vAlign w:val="center"/>
          </w:tcPr>
          <w:p w14:paraId="51B15FDE" w14:textId="77777777" w:rsidR="00CF04BC" w:rsidRPr="00B93493" w:rsidRDefault="00CF04BC" w:rsidP="00C65E6B">
            <w:pPr>
              <w:pStyle w:val="Tablehead"/>
              <w:rPr>
                <w:sz w:val="18"/>
                <w:szCs w:val="18"/>
              </w:rPr>
            </w:pPr>
            <w:r w:rsidRPr="00B93493">
              <w:rPr>
                <w:sz w:val="18"/>
                <w:szCs w:val="18"/>
              </w:rPr>
              <w:t>NETWORKS OR STATIONS</w:t>
            </w:r>
          </w:p>
        </w:tc>
        <w:tc>
          <w:tcPr>
            <w:tcW w:w="1204" w:type="dxa"/>
            <w:vAlign w:val="center"/>
          </w:tcPr>
          <w:p w14:paraId="1CB799FF" w14:textId="77777777" w:rsidR="00CF04BC" w:rsidRPr="00B93493" w:rsidRDefault="00CF04BC" w:rsidP="002E7F54">
            <w:pPr>
              <w:pStyle w:val="Tablehead"/>
              <w:rPr>
                <w:sz w:val="18"/>
                <w:szCs w:val="18"/>
              </w:rPr>
            </w:pPr>
            <w:r w:rsidRPr="00B93493">
              <w:rPr>
                <w:sz w:val="18"/>
                <w:szCs w:val="18"/>
              </w:rPr>
              <w:t>Tax for compiling files</w:t>
            </w:r>
          </w:p>
        </w:tc>
        <w:tc>
          <w:tcPr>
            <w:tcW w:w="1560" w:type="dxa"/>
            <w:vAlign w:val="center"/>
          </w:tcPr>
          <w:p w14:paraId="4A9B9704" w14:textId="77777777" w:rsidR="00CF04BC" w:rsidRPr="00B93493" w:rsidRDefault="00CF04BC" w:rsidP="002E7F54">
            <w:pPr>
              <w:pStyle w:val="Tablehead"/>
              <w:rPr>
                <w:sz w:val="18"/>
                <w:szCs w:val="18"/>
              </w:rPr>
            </w:pPr>
            <w:r w:rsidRPr="00B93493">
              <w:rPr>
                <w:sz w:val="18"/>
                <w:szCs w:val="18"/>
              </w:rPr>
              <w:t>Control or visit charges</w:t>
            </w:r>
          </w:p>
        </w:tc>
        <w:tc>
          <w:tcPr>
            <w:tcW w:w="1559" w:type="dxa"/>
            <w:vAlign w:val="center"/>
          </w:tcPr>
          <w:p w14:paraId="4DFD43F4" w14:textId="77777777" w:rsidR="00CF04BC" w:rsidRPr="00B93493" w:rsidRDefault="00CF04BC" w:rsidP="002E7F54">
            <w:pPr>
              <w:pStyle w:val="Tablehead"/>
              <w:rPr>
                <w:sz w:val="18"/>
                <w:szCs w:val="18"/>
              </w:rPr>
            </w:pPr>
            <w:r w:rsidRPr="00B93493">
              <w:rPr>
                <w:sz w:val="18"/>
                <w:szCs w:val="18"/>
              </w:rPr>
              <w:t>Contributions towards management costs</w:t>
            </w:r>
          </w:p>
        </w:tc>
        <w:tc>
          <w:tcPr>
            <w:tcW w:w="1417" w:type="dxa"/>
            <w:vAlign w:val="center"/>
          </w:tcPr>
          <w:p w14:paraId="0824B6C5" w14:textId="77777777" w:rsidR="00CF04BC" w:rsidRPr="00B93493" w:rsidRDefault="00CF04BC" w:rsidP="002E7F54">
            <w:pPr>
              <w:pStyle w:val="Tablehead"/>
              <w:rPr>
                <w:sz w:val="18"/>
                <w:szCs w:val="18"/>
              </w:rPr>
            </w:pPr>
            <w:r w:rsidRPr="00B93493">
              <w:rPr>
                <w:sz w:val="18"/>
                <w:szCs w:val="18"/>
              </w:rPr>
              <w:t>Charges for use of radio frequency or radioelectric channels</w:t>
            </w:r>
          </w:p>
        </w:tc>
      </w:tr>
      <w:tr w:rsidR="00CF04BC" w:rsidRPr="00B93493" w14:paraId="5F67697E" w14:textId="77777777" w:rsidTr="002E7F54">
        <w:trPr>
          <w:jc w:val="center"/>
        </w:trPr>
        <w:tc>
          <w:tcPr>
            <w:tcW w:w="3899" w:type="dxa"/>
          </w:tcPr>
          <w:p w14:paraId="05F81F16" w14:textId="77777777" w:rsidR="00CF04BC" w:rsidRPr="00B93493" w:rsidRDefault="00CF04BC" w:rsidP="00C65E6B">
            <w:pPr>
              <w:pStyle w:val="Tabletext"/>
              <w:ind w:left="284" w:hanging="284"/>
              <w:jc w:val="left"/>
              <w:rPr>
                <w:sz w:val="18"/>
                <w:szCs w:val="18"/>
              </w:rPr>
            </w:pPr>
            <w:r w:rsidRPr="00B93493">
              <w:rPr>
                <w:sz w:val="18"/>
                <w:szCs w:val="18"/>
              </w:rPr>
              <w:t>I</w:t>
            </w:r>
            <w:r w:rsidRPr="00B93493">
              <w:rPr>
                <w:sz w:val="18"/>
                <w:szCs w:val="18"/>
              </w:rPr>
              <w:tab/>
              <w:t>PRIVATE NETWORKS AND EARTH STATIONS (Non commercial services)</w:t>
            </w:r>
          </w:p>
        </w:tc>
        <w:tc>
          <w:tcPr>
            <w:tcW w:w="1204" w:type="dxa"/>
          </w:tcPr>
          <w:p w14:paraId="1ACD4E02" w14:textId="77777777" w:rsidR="00CF04BC" w:rsidRPr="00B93493" w:rsidRDefault="00CF04BC" w:rsidP="002E7F54">
            <w:pPr>
              <w:pStyle w:val="Tabletext"/>
              <w:rPr>
                <w:sz w:val="18"/>
                <w:szCs w:val="18"/>
              </w:rPr>
            </w:pPr>
          </w:p>
        </w:tc>
        <w:tc>
          <w:tcPr>
            <w:tcW w:w="1560" w:type="dxa"/>
          </w:tcPr>
          <w:p w14:paraId="51367359" w14:textId="77777777" w:rsidR="00CF04BC" w:rsidRPr="00B93493" w:rsidRDefault="00CF04BC" w:rsidP="002E7F54">
            <w:pPr>
              <w:pStyle w:val="Tabletext"/>
              <w:rPr>
                <w:sz w:val="18"/>
                <w:szCs w:val="18"/>
              </w:rPr>
            </w:pPr>
          </w:p>
        </w:tc>
        <w:tc>
          <w:tcPr>
            <w:tcW w:w="1559" w:type="dxa"/>
          </w:tcPr>
          <w:p w14:paraId="30F40842" w14:textId="77777777" w:rsidR="00CF04BC" w:rsidRPr="00B93493" w:rsidRDefault="00CF04BC" w:rsidP="002E7F54">
            <w:pPr>
              <w:pStyle w:val="Tabletext"/>
              <w:rPr>
                <w:sz w:val="18"/>
                <w:szCs w:val="18"/>
              </w:rPr>
            </w:pPr>
          </w:p>
        </w:tc>
        <w:tc>
          <w:tcPr>
            <w:tcW w:w="1417" w:type="dxa"/>
          </w:tcPr>
          <w:p w14:paraId="1CED872C" w14:textId="77777777" w:rsidR="00CF04BC" w:rsidRPr="00B93493" w:rsidRDefault="00CF04BC" w:rsidP="002E7F54">
            <w:pPr>
              <w:pStyle w:val="Tabletext"/>
              <w:rPr>
                <w:sz w:val="18"/>
                <w:szCs w:val="18"/>
              </w:rPr>
            </w:pPr>
          </w:p>
        </w:tc>
      </w:tr>
      <w:tr w:rsidR="00CF04BC" w:rsidRPr="00B93493" w14:paraId="0511E0E0" w14:textId="77777777" w:rsidTr="002E7F54">
        <w:trPr>
          <w:jc w:val="center"/>
        </w:trPr>
        <w:tc>
          <w:tcPr>
            <w:tcW w:w="3899" w:type="dxa"/>
          </w:tcPr>
          <w:p w14:paraId="1D46DDB1" w14:textId="77777777" w:rsidR="00CF04BC" w:rsidRPr="00B93493" w:rsidRDefault="00CF04BC" w:rsidP="00C65E6B">
            <w:pPr>
              <w:pStyle w:val="Tabletext"/>
              <w:jc w:val="left"/>
              <w:rPr>
                <w:sz w:val="18"/>
                <w:szCs w:val="18"/>
              </w:rPr>
            </w:pPr>
            <w:r w:rsidRPr="00B93493">
              <w:rPr>
                <w:sz w:val="18"/>
                <w:szCs w:val="18"/>
              </w:rPr>
              <w:t>I.1. National network (Fixed or Mobile)</w:t>
            </w:r>
          </w:p>
        </w:tc>
        <w:tc>
          <w:tcPr>
            <w:tcW w:w="1204" w:type="dxa"/>
          </w:tcPr>
          <w:p w14:paraId="42B39DC0" w14:textId="77777777" w:rsidR="00CF04BC" w:rsidRPr="00B93493" w:rsidRDefault="00CF04BC" w:rsidP="002E7F54">
            <w:pPr>
              <w:pStyle w:val="Tabletext"/>
              <w:rPr>
                <w:sz w:val="18"/>
                <w:szCs w:val="18"/>
              </w:rPr>
            </w:pPr>
            <w:r w:rsidRPr="00B93493">
              <w:rPr>
                <w:sz w:val="18"/>
                <w:szCs w:val="18"/>
              </w:rPr>
              <w:t>1 044 000</w:t>
            </w:r>
          </w:p>
        </w:tc>
        <w:tc>
          <w:tcPr>
            <w:tcW w:w="1560" w:type="dxa"/>
          </w:tcPr>
          <w:p w14:paraId="7FB7AF67" w14:textId="77777777" w:rsidR="00CF04BC" w:rsidRPr="00B93493" w:rsidRDefault="00CF04BC" w:rsidP="002E7F54">
            <w:pPr>
              <w:pStyle w:val="Tabletext"/>
              <w:rPr>
                <w:sz w:val="18"/>
                <w:szCs w:val="18"/>
              </w:rPr>
            </w:pPr>
          </w:p>
        </w:tc>
        <w:tc>
          <w:tcPr>
            <w:tcW w:w="1559" w:type="dxa"/>
          </w:tcPr>
          <w:p w14:paraId="44D10EC2" w14:textId="77777777" w:rsidR="00CF04BC" w:rsidRPr="00B93493" w:rsidRDefault="00CF04BC" w:rsidP="002E7F54">
            <w:pPr>
              <w:pStyle w:val="Tabletext"/>
              <w:rPr>
                <w:sz w:val="18"/>
                <w:szCs w:val="18"/>
              </w:rPr>
            </w:pPr>
            <w:r w:rsidRPr="00B93493">
              <w:rPr>
                <w:sz w:val="18"/>
                <w:szCs w:val="18"/>
              </w:rPr>
              <w:t>8 700 000</w:t>
            </w:r>
          </w:p>
        </w:tc>
        <w:tc>
          <w:tcPr>
            <w:tcW w:w="1417" w:type="dxa"/>
          </w:tcPr>
          <w:p w14:paraId="23300A8F" w14:textId="77777777" w:rsidR="00CF04BC" w:rsidRPr="00B93493" w:rsidRDefault="00CF04BC" w:rsidP="002E7F54">
            <w:pPr>
              <w:pStyle w:val="Tabletext"/>
              <w:rPr>
                <w:sz w:val="18"/>
                <w:szCs w:val="18"/>
              </w:rPr>
            </w:pPr>
          </w:p>
        </w:tc>
      </w:tr>
      <w:tr w:rsidR="00CF04BC" w:rsidRPr="00B93493" w14:paraId="13E2D491" w14:textId="77777777" w:rsidTr="002E7F54">
        <w:trPr>
          <w:jc w:val="center"/>
        </w:trPr>
        <w:tc>
          <w:tcPr>
            <w:tcW w:w="3899" w:type="dxa"/>
          </w:tcPr>
          <w:p w14:paraId="19ECAB72" w14:textId="77777777" w:rsidR="00CF04BC" w:rsidRPr="00B93493" w:rsidRDefault="00CF04BC" w:rsidP="00C65E6B">
            <w:pPr>
              <w:pStyle w:val="Tabletext"/>
              <w:jc w:val="left"/>
              <w:rPr>
                <w:sz w:val="18"/>
                <w:szCs w:val="18"/>
              </w:rPr>
            </w:pPr>
            <w:r w:rsidRPr="00B93493">
              <w:rPr>
                <w:sz w:val="18"/>
                <w:szCs w:val="18"/>
              </w:rPr>
              <w:t>a1. Master station</w:t>
            </w:r>
          </w:p>
          <w:p w14:paraId="277A057D" w14:textId="77777777" w:rsidR="00CF04BC" w:rsidRPr="00B93493" w:rsidRDefault="00CF04BC" w:rsidP="00C65E6B">
            <w:pPr>
              <w:pStyle w:val="Tabletext"/>
              <w:jc w:val="left"/>
              <w:rPr>
                <w:sz w:val="18"/>
                <w:szCs w:val="18"/>
              </w:rPr>
            </w:pPr>
            <w:r w:rsidRPr="00B93493">
              <w:rPr>
                <w:sz w:val="18"/>
                <w:szCs w:val="18"/>
              </w:rPr>
              <w:t>a2. Secondary station</w:t>
            </w:r>
          </w:p>
        </w:tc>
        <w:tc>
          <w:tcPr>
            <w:tcW w:w="1204" w:type="dxa"/>
          </w:tcPr>
          <w:p w14:paraId="0F31546B" w14:textId="77777777" w:rsidR="00CF04BC" w:rsidRPr="00B93493" w:rsidRDefault="00CF04BC" w:rsidP="002E7F54">
            <w:pPr>
              <w:pStyle w:val="Tabletext"/>
              <w:rPr>
                <w:sz w:val="18"/>
                <w:szCs w:val="18"/>
              </w:rPr>
            </w:pPr>
          </w:p>
        </w:tc>
        <w:tc>
          <w:tcPr>
            <w:tcW w:w="1560" w:type="dxa"/>
          </w:tcPr>
          <w:p w14:paraId="728055B3" w14:textId="77777777" w:rsidR="00CF04BC" w:rsidRPr="00B93493" w:rsidRDefault="00CF04BC" w:rsidP="002E7F54">
            <w:pPr>
              <w:pStyle w:val="Tabletext"/>
              <w:rPr>
                <w:sz w:val="18"/>
                <w:szCs w:val="18"/>
              </w:rPr>
            </w:pPr>
            <w:r w:rsidRPr="00B93493">
              <w:rPr>
                <w:sz w:val="18"/>
                <w:szCs w:val="18"/>
              </w:rPr>
              <w:t>87 000</w:t>
            </w:r>
          </w:p>
          <w:p w14:paraId="4064A325" w14:textId="77777777" w:rsidR="00CF04BC" w:rsidRPr="00B93493" w:rsidRDefault="00CF04BC" w:rsidP="002E7F54">
            <w:pPr>
              <w:pStyle w:val="Tabletext"/>
              <w:rPr>
                <w:sz w:val="18"/>
                <w:szCs w:val="18"/>
              </w:rPr>
            </w:pPr>
            <w:r w:rsidRPr="00B93493">
              <w:rPr>
                <w:sz w:val="18"/>
                <w:szCs w:val="18"/>
              </w:rPr>
              <w:t>34 000</w:t>
            </w:r>
          </w:p>
        </w:tc>
        <w:tc>
          <w:tcPr>
            <w:tcW w:w="1559" w:type="dxa"/>
          </w:tcPr>
          <w:p w14:paraId="6FD3AAAA" w14:textId="77777777" w:rsidR="00CF04BC" w:rsidRPr="00B93493" w:rsidRDefault="00CF04BC" w:rsidP="002E7F54">
            <w:pPr>
              <w:pStyle w:val="Tabletext"/>
              <w:rPr>
                <w:sz w:val="18"/>
                <w:szCs w:val="18"/>
              </w:rPr>
            </w:pPr>
          </w:p>
        </w:tc>
        <w:tc>
          <w:tcPr>
            <w:tcW w:w="1417" w:type="dxa"/>
          </w:tcPr>
          <w:p w14:paraId="26472F00" w14:textId="77777777" w:rsidR="00CF04BC" w:rsidRPr="00B93493" w:rsidRDefault="00CF04BC" w:rsidP="002E7F54">
            <w:pPr>
              <w:pStyle w:val="Tabletext"/>
              <w:rPr>
                <w:sz w:val="18"/>
                <w:szCs w:val="18"/>
              </w:rPr>
            </w:pPr>
          </w:p>
        </w:tc>
      </w:tr>
      <w:tr w:rsidR="00CF04BC" w:rsidRPr="00B93493" w14:paraId="0ACBDD46" w14:textId="77777777" w:rsidTr="002E7F54">
        <w:trPr>
          <w:jc w:val="center"/>
        </w:trPr>
        <w:tc>
          <w:tcPr>
            <w:tcW w:w="3899" w:type="dxa"/>
          </w:tcPr>
          <w:p w14:paraId="00016FAF" w14:textId="77777777" w:rsidR="00CF04BC" w:rsidRPr="00B93493" w:rsidRDefault="00CF04BC" w:rsidP="00C65E6B">
            <w:pPr>
              <w:pStyle w:val="Tabletext"/>
              <w:ind w:left="284" w:hanging="284"/>
              <w:jc w:val="left"/>
              <w:rPr>
                <w:sz w:val="18"/>
                <w:szCs w:val="18"/>
              </w:rPr>
            </w:pPr>
            <w:r w:rsidRPr="00B93493">
              <w:rPr>
                <w:sz w:val="18"/>
                <w:szCs w:val="18"/>
              </w:rPr>
              <w:t>b1.</w:t>
            </w:r>
            <w:r w:rsidRPr="00B93493">
              <w:rPr>
                <w:sz w:val="18"/>
                <w:szCs w:val="18"/>
              </w:rPr>
              <w:tab/>
              <w:t xml:space="preserve">Links between 1 to 24 telephone channels </w:t>
            </w:r>
            <w:r w:rsidRPr="00B93493">
              <w:rPr>
                <w:sz w:val="18"/>
                <w:szCs w:val="18"/>
              </w:rPr>
              <w:br/>
              <w:t>or less than 2.1 Mbits/s</w:t>
            </w:r>
          </w:p>
          <w:p w14:paraId="5226381B" w14:textId="77777777" w:rsidR="00CF04BC" w:rsidRPr="00B93493" w:rsidRDefault="00CF04BC" w:rsidP="00C65E6B">
            <w:pPr>
              <w:pStyle w:val="Tabletext"/>
              <w:ind w:left="284" w:hanging="284"/>
              <w:jc w:val="left"/>
              <w:rPr>
                <w:sz w:val="18"/>
                <w:szCs w:val="18"/>
              </w:rPr>
            </w:pPr>
            <w:r w:rsidRPr="00B93493">
              <w:rPr>
                <w:sz w:val="18"/>
                <w:szCs w:val="18"/>
              </w:rPr>
              <w:t>b2.</w:t>
            </w:r>
            <w:r w:rsidRPr="00B93493">
              <w:rPr>
                <w:sz w:val="18"/>
                <w:szCs w:val="18"/>
              </w:rPr>
              <w:tab/>
              <w:t>Links between 25 to 120 telephone channels</w:t>
            </w:r>
            <w:r w:rsidRPr="00B93493">
              <w:rPr>
                <w:sz w:val="18"/>
                <w:szCs w:val="18"/>
              </w:rPr>
              <w:br/>
              <w:t>or 2.1 to 8 Mbits/s</w:t>
            </w:r>
          </w:p>
          <w:p w14:paraId="1F43521B" w14:textId="77777777" w:rsidR="00CF04BC" w:rsidRPr="00B93493" w:rsidRDefault="00CF04BC" w:rsidP="00C65E6B">
            <w:pPr>
              <w:pStyle w:val="Tabletext"/>
              <w:ind w:left="284" w:hanging="284"/>
              <w:jc w:val="left"/>
              <w:rPr>
                <w:sz w:val="18"/>
                <w:szCs w:val="18"/>
              </w:rPr>
            </w:pPr>
            <w:r w:rsidRPr="00B93493">
              <w:rPr>
                <w:sz w:val="18"/>
                <w:szCs w:val="18"/>
              </w:rPr>
              <w:t>b3.</w:t>
            </w:r>
            <w:r w:rsidRPr="00B93493">
              <w:rPr>
                <w:sz w:val="18"/>
                <w:szCs w:val="18"/>
              </w:rPr>
              <w:tab/>
              <w:t>Links between 121 to 600 telephone channels or 8 to 34 Mbits/s</w:t>
            </w:r>
          </w:p>
          <w:p w14:paraId="74B1A588" w14:textId="77777777" w:rsidR="00CF04BC" w:rsidRPr="00B93493" w:rsidRDefault="00CF04BC" w:rsidP="00C65E6B">
            <w:pPr>
              <w:pStyle w:val="Tabletext"/>
              <w:ind w:left="284" w:hanging="284"/>
              <w:jc w:val="left"/>
              <w:rPr>
                <w:sz w:val="18"/>
                <w:szCs w:val="18"/>
              </w:rPr>
            </w:pPr>
            <w:r w:rsidRPr="00B93493">
              <w:rPr>
                <w:sz w:val="18"/>
                <w:szCs w:val="18"/>
              </w:rPr>
              <w:t>b4.</w:t>
            </w:r>
            <w:r w:rsidRPr="00B93493">
              <w:rPr>
                <w:sz w:val="18"/>
                <w:szCs w:val="18"/>
              </w:rPr>
              <w:tab/>
              <w:t>Links over 600 telephone channels or more than 34 Mbits/s</w:t>
            </w:r>
          </w:p>
        </w:tc>
        <w:tc>
          <w:tcPr>
            <w:tcW w:w="1204" w:type="dxa"/>
          </w:tcPr>
          <w:p w14:paraId="5E28366F" w14:textId="77777777" w:rsidR="00CF04BC" w:rsidRPr="00B93493" w:rsidRDefault="00CF04BC" w:rsidP="002E7F54">
            <w:pPr>
              <w:pStyle w:val="Tabletext"/>
              <w:rPr>
                <w:sz w:val="18"/>
                <w:szCs w:val="18"/>
              </w:rPr>
            </w:pPr>
          </w:p>
        </w:tc>
        <w:tc>
          <w:tcPr>
            <w:tcW w:w="1560" w:type="dxa"/>
          </w:tcPr>
          <w:p w14:paraId="47BD2D0C" w14:textId="77777777" w:rsidR="00CF04BC" w:rsidRPr="00B93493" w:rsidRDefault="00CF04BC" w:rsidP="002E7F54">
            <w:pPr>
              <w:pStyle w:val="Tabletext"/>
              <w:rPr>
                <w:sz w:val="18"/>
                <w:szCs w:val="18"/>
              </w:rPr>
            </w:pPr>
          </w:p>
        </w:tc>
        <w:tc>
          <w:tcPr>
            <w:tcW w:w="1559" w:type="dxa"/>
          </w:tcPr>
          <w:p w14:paraId="3F75EE57" w14:textId="77777777" w:rsidR="00CF04BC" w:rsidRPr="00B93493" w:rsidRDefault="00CF04BC" w:rsidP="002E7F54">
            <w:pPr>
              <w:pStyle w:val="Tabletext"/>
              <w:rPr>
                <w:sz w:val="18"/>
                <w:szCs w:val="18"/>
              </w:rPr>
            </w:pPr>
          </w:p>
        </w:tc>
        <w:tc>
          <w:tcPr>
            <w:tcW w:w="1417" w:type="dxa"/>
          </w:tcPr>
          <w:p w14:paraId="2A45564D" w14:textId="77777777" w:rsidR="00CF04BC" w:rsidRPr="00B93493" w:rsidRDefault="00CF04BC" w:rsidP="002E7F54">
            <w:pPr>
              <w:pStyle w:val="Tabletext"/>
              <w:rPr>
                <w:sz w:val="18"/>
                <w:szCs w:val="18"/>
              </w:rPr>
            </w:pPr>
            <w:r w:rsidRPr="00B93493">
              <w:rPr>
                <w:sz w:val="18"/>
                <w:szCs w:val="18"/>
              </w:rPr>
              <w:br/>
              <w:t>1 160 000</w:t>
            </w:r>
          </w:p>
          <w:p w14:paraId="410C8185" w14:textId="77777777" w:rsidR="00CF04BC" w:rsidRPr="00B93493" w:rsidRDefault="00CF04BC" w:rsidP="002E7F54">
            <w:pPr>
              <w:pStyle w:val="Tabletext"/>
              <w:rPr>
                <w:sz w:val="18"/>
                <w:szCs w:val="18"/>
              </w:rPr>
            </w:pPr>
            <w:r w:rsidRPr="00B93493">
              <w:rPr>
                <w:sz w:val="18"/>
                <w:szCs w:val="18"/>
              </w:rPr>
              <w:br/>
              <w:t>1 450 000</w:t>
            </w:r>
          </w:p>
          <w:p w14:paraId="17D191FA" w14:textId="77777777" w:rsidR="00CF04BC" w:rsidRPr="00B93493" w:rsidRDefault="00CF04BC" w:rsidP="002E7F54">
            <w:pPr>
              <w:pStyle w:val="Tabletext"/>
              <w:rPr>
                <w:sz w:val="18"/>
                <w:szCs w:val="18"/>
              </w:rPr>
            </w:pPr>
            <w:r w:rsidRPr="00B93493">
              <w:rPr>
                <w:sz w:val="18"/>
                <w:szCs w:val="18"/>
              </w:rPr>
              <w:br/>
              <w:t>1 740 000</w:t>
            </w:r>
          </w:p>
          <w:p w14:paraId="5DD9E24F" w14:textId="77777777" w:rsidR="00CF04BC" w:rsidRPr="00B93493" w:rsidRDefault="00CF04BC" w:rsidP="002E7F54">
            <w:pPr>
              <w:pStyle w:val="Tabletext"/>
              <w:rPr>
                <w:sz w:val="18"/>
                <w:szCs w:val="18"/>
              </w:rPr>
            </w:pPr>
            <w:r w:rsidRPr="00B93493">
              <w:rPr>
                <w:sz w:val="18"/>
                <w:szCs w:val="18"/>
              </w:rPr>
              <w:br/>
              <w:t>2 900 000</w:t>
            </w:r>
          </w:p>
        </w:tc>
      </w:tr>
      <w:tr w:rsidR="00CF04BC" w:rsidRPr="00B93493" w14:paraId="323F9656" w14:textId="77777777" w:rsidTr="002E7F54">
        <w:trPr>
          <w:jc w:val="center"/>
        </w:trPr>
        <w:tc>
          <w:tcPr>
            <w:tcW w:w="3899" w:type="dxa"/>
          </w:tcPr>
          <w:p w14:paraId="49F48179" w14:textId="77777777" w:rsidR="00CF04BC" w:rsidRPr="00B93493" w:rsidRDefault="00CF04BC" w:rsidP="00C65E6B">
            <w:pPr>
              <w:pStyle w:val="Tabletext"/>
              <w:jc w:val="left"/>
              <w:rPr>
                <w:sz w:val="18"/>
                <w:szCs w:val="18"/>
              </w:rPr>
            </w:pPr>
            <w:r w:rsidRPr="00B93493">
              <w:rPr>
                <w:sz w:val="18"/>
                <w:szCs w:val="18"/>
              </w:rPr>
              <w:t>I.2. International Independent Earth station</w:t>
            </w:r>
          </w:p>
        </w:tc>
        <w:tc>
          <w:tcPr>
            <w:tcW w:w="1204" w:type="dxa"/>
          </w:tcPr>
          <w:p w14:paraId="4417DDE4" w14:textId="77777777" w:rsidR="00CF04BC" w:rsidRPr="00B93493" w:rsidRDefault="00CF04BC" w:rsidP="002E7F54">
            <w:pPr>
              <w:pStyle w:val="Tabletext"/>
              <w:rPr>
                <w:sz w:val="18"/>
                <w:szCs w:val="18"/>
              </w:rPr>
            </w:pPr>
            <w:r w:rsidRPr="00B93493">
              <w:rPr>
                <w:sz w:val="18"/>
                <w:szCs w:val="18"/>
              </w:rPr>
              <w:t>116 000</w:t>
            </w:r>
          </w:p>
        </w:tc>
        <w:tc>
          <w:tcPr>
            <w:tcW w:w="1560" w:type="dxa"/>
          </w:tcPr>
          <w:p w14:paraId="62A852FC" w14:textId="77777777" w:rsidR="00CF04BC" w:rsidRPr="00B93493" w:rsidRDefault="00CF04BC" w:rsidP="002E7F54">
            <w:pPr>
              <w:pStyle w:val="Tabletext"/>
              <w:rPr>
                <w:sz w:val="18"/>
                <w:szCs w:val="18"/>
              </w:rPr>
            </w:pPr>
            <w:r w:rsidRPr="00B93493">
              <w:rPr>
                <w:sz w:val="18"/>
                <w:szCs w:val="18"/>
              </w:rPr>
              <w:t>34 800</w:t>
            </w:r>
          </w:p>
        </w:tc>
        <w:tc>
          <w:tcPr>
            <w:tcW w:w="1559" w:type="dxa"/>
          </w:tcPr>
          <w:p w14:paraId="6E84819C" w14:textId="77777777" w:rsidR="00CF04BC" w:rsidRPr="00B93493" w:rsidRDefault="00CF04BC" w:rsidP="002E7F54">
            <w:pPr>
              <w:pStyle w:val="Tabletext"/>
              <w:rPr>
                <w:sz w:val="18"/>
                <w:szCs w:val="18"/>
              </w:rPr>
            </w:pPr>
            <w:r w:rsidRPr="00B93493">
              <w:rPr>
                <w:sz w:val="18"/>
                <w:szCs w:val="18"/>
              </w:rPr>
              <w:t>580 000</w:t>
            </w:r>
          </w:p>
        </w:tc>
        <w:tc>
          <w:tcPr>
            <w:tcW w:w="1417" w:type="dxa"/>
          </w:tcPr>
          <w:p w14:paraId="6C6D255F" w14:textId="77777777" w:rsidR="00CF04BC" w:rsidRPr="00B93493" w:rsidRDefault="00CF04BC" w:rsidP="002E7F54">
            <w:pPr>
              <w:pStyle w:val="Tabletext"/>
              <w:rPr>
                <w:sz w:val="18"/>
                <w:szCs w:val="18"/>
              </w:rPr>
            </w:pPr>
            <w:r w:rsidRPr="00B93493">
              <w:rPr>
                <w:sz w:val="18"/>
                <w:szCs w:val="18"/>
              </w:rPr>
              <w:t>348 000</w:t>
            </w:r>
          </w:p>
        </w:tc>
      </w:tr>
      <w:tr w:rsidR="00CF04BC" w:rsidRPr="00B93493" w14:paraId="2C5EC1E9" w14:textId="77777777" w:rsidTr="002E7F54">
        <w:trPr>
          <w:jc w:val="center"/>
        </w:trPr>
        <w:tc>
          <w:tcPr>
            <w:tcW w:w="3899" w:type="dxa"/>
          </w:tcPr>
          <w:p w14:paraId="4C773F94" w14:textId="77777777" w:rsidR="00CF04BC" w:rsidRPr="00B93493" w:rsidRDefault="00CF04BC" w:rsidP="00C65E6B">
            <w:pPr>
              <w:pStyle w:val="Tabletext"/>
              <w:jc w:val="left"/>
              <w:rPr>
                <w:sz w:val="18"/>
                <w:szCs w:val="18"/>
              </w:rPr>
            </w:pPr>
            <w:r w:rsidRPr="00B93493">
              <w:rPr>
                <w:sz w:val="18"/>
                <w:szCs w:val="18"/>
              </w:rPr>
              <w:t>I.3.</w:t>
            </w:r>
            <w:r w:rsidRPr="00B93493">
              <w:rPr>
                <w:sz w:val="18"/>
                <w:szCs w:val="18"/>
              </w:rPr>
              <w:tab/>
              <w:t>International secondary micro earth stations (VSATs)</w:t>
            </w:r>
          </w:p>
        </w:tc>
        <w:tc>
          <w:tcPr>
            <w:tcW w:w="1204" w:type="dxa"/>
          </w:tcPr>
          <w:p w14:paraId="15CEDE8B" w14:textId="77777777" w:rsidR="00CF04BC" w:rsidRPr="00B93493" w:rsidRDefault="00CF04BC" w:rsidP="002E7F54">
            <w:pPr>
              <w:pStyle w:val="Tabletext"/>
              <w:rPr>
                <w:sz w:val="18"/>
                <w:szCs w:val="18"/>
              </w:rPr>
            </w:pPr>
            <w:r w:rsidRPr="00B93493">
              <w:rPr>
                <w:sz w:val="18"/>
                <w:szCs w:val="18"/>
              </w:rPr>
              <w:t>58 000</w:t>
            </w:r>
          </w:p>
        </w:tc>
        <w:tc>
          <w:tcPr>
            <w:tcW w:w="1560" w:type="dxa"/>
          </w:tcPr>
          <w:p w14:paraId="3C3C42CD" w14:textId="77777777" w:rsidR="00CF04BC" w:rsidRPr="00B93493" w:rsidRDefault="00CF04BC" w:rsidP="002E7F54">
            <w:pPr>
              <w:pStyle w:val="Tabletext"/>
              <w:rPr>
                <w:sz w:val="18"/>
                <w:szCs w:val="18"/>
              </w:rPr>
            </w:pPr>
            <w:r w:rsidRPr="00B93493">
              <w:rPr>
                <w:sz w:val="18"/>
                <w:szCs w:val="18"/>
              </w:rPr>
              <w:t>34 800</w:t>
            </w:r>
          </w:p>
        </w:tc>
        <w:tc>
          <w:tcPr>
            <w:tcW w:w="1559" w:type="dxa"/>
          </w:tcPr>
          <w:p w14:paraId="6EDB972C" w14:textId="77777777" w:rsidR="00CF04BC" w:rsidRPr="00B93493" w:rsidRDefault="00CF04BC" w:rsidP="002E7F54">
            <w:pPr>
              <w:pStyle w:val="Tabletext"/>
              <w:rPr>
                <w:sz w:val="18"/>
                <w:szCs w:val="18"/>
              </w:rPr>
            </w:pPr>
            <w:r w:rsidRPr="00B93493">
              <w:rPr>
                <w:sz w:val="18"/>
                <w:szCs w:val="18"/>
              </w:rPr>
              <w:t>174 000</w:t>
            </w:r>
          </w:p>
        </w:tc>
        <w:tc>
          <w:tcPr>
            <w:tcW w:w="1417" w:type="dxa"/>
          </w:tcPr>
          <w:p w14:paraId="794377FB" w14:textId="77777777" w:rsidR="00CF04BC" w:rsidRPr="00B93493" w:rsidRDefault="00CF04BC" w:rsidP="002E7F54">
            <w:pPr>
              <w:pStyle w:val="Tabletext"/>
              <w:rPr>
                <w:sz w:val="18"/>
                <w:szCs w:val="18"/>
              </w:rPr>
            </w:pPr>
            <w:r w:rsidRPr="00B93493">
              <w:rPr>
                <w:sz w:val="18"/>
                <w:szCs w:val="18"/>
              </w:rPr>
              <w:t>145 000</w:t>
            </w:r>
          </w:p>
        </w:tc>
      </w:tr>
      <w:tr w:rsidR="00CF04BC" w:rsidRPr="00B93493" w14:paraId="6C6AAE7B" w14:textId="77777777" w:rsidTr="002E7F54">
        <w:trPr>
          <w:jc w:val="center"/>
        </w:trPr>
        <w:tc>
          <w:tcPr>
            <w:tcW w:w="3899" w:type="dxa"/>
          </w:tcPr>
          <w:p w14:paraId="4A41C682" w14:textId="77777777" w:rsidR="00CF04BC" w:rsidRPr="00B93493" w:rsidRDefault="00CF04BC" w:rsidP="00C65E6B">
            <w:pPr>
              <w:pStyle w:val="Tabletext"/>
              <w:jc w:val="left"/>
              <w:rPr>
                <w:sz w:val="18"/>
                <w:szCs w:val="18"/>
              </w:rPr>
            </w:pPr>
            <w:r w:rsidRPr="00B93493">
              <w:rPr>
                <w:sz w:val="18"/>
                <w:szCs w:val="18"/>
              </w:rPr>
              <w:t>I.4. Portable or Mobile Earth station</w:t>
            </w:r>
          </w:p>
        </w:tc>
        <w:tc>
          <w:tcPr>
            <w:tcW w:w="1204" w:type="dxa"/>
          </w:tcPr>
          <w:p w14:paraId="58695246" w14:textId="77777777" w:rsidR="00CF04BC" w:rsidRPr="00B93493" w:rsidRDefault="00CF04BC" w:rsidP="002E7F54">
            <w:pPr>
              <w:pStyle w:val="Tabletext"/>
              <w:rPr>
                <w:sz w:val="18"/>
                <w:szCs w:val="18"/>
              </w:rPr>
            </w:pPr>
            <w:r w:rsidRPr="00B93493">
              <w:rPr>
                <w:sz w:val="18"/>
                <w:szCs w:val="18"/>
              </w:rPr>
              <w:t>58 000</w:t>
            </w:r>
          </w:p>
        </w:tc>
        <w:tc>
          <w:tcPr>
            <w:tcW w:w="1560" w:type="dxa"/>
          </w:tcPr>
          <w:p w14:paraId="5B863A98" w14:textId="77777777" w:rsidR="00CF04BC" w:rsidRPr="00B93493" w:rsidRDefault="00CF04BC" w:rsidP="002E7F54">
            <w:pPr>
              <w:pStyle w:val="Tabletext"/>
              <w:rPr>
                <w:sz w:val="18"/>
                <w:szCs w:val="18"/>
              </w:rPr>
            </w:pPr>
            <w:r w:rsidRPr="00B93493">
              <w:rPr>
                <w:sz w:val="18"/>
                <w:szCs w:val="18"/>
              </w:rPr>
              <w:t>29 000</w:t>
            </w:r>
          </w:p>
        </w:tc>
        <w:tc>
          <w:tcPr>
            <w:tcW w:w="1559" w:type="dxa"/>
          </w:tcPr>
          <w:p w14:paraId="4782BA07" w14:textId="77777777" w:rsidR="00CF04BC" w:rsidRPr="00B93493" w:rsidRDefault="00CF04BC" w:rsidP="002E7F54">
            <w:pPr>
              <w:pStyle w:val="Tabletext"/>
              <w:rPr>
                <w:sz w:val="18"/>
                <w:szCs w:val="18"/>
              </w:rPr>
            </w:pPr>
            <w:r w:rsidRPr="00B93493">
              <w:rPr>
                <w:sz w:val="18"/>
                <w:szCs w:val="18"/>
              </w:rPr>
              <w:t>145 000</w:t>
            </w:r>
          </w:p>
        </w:tc>
        <w:tc>
          <w:tcPr>
            <w:tcW w:w="1417" w:type="dxa"/>
          </w:tcPr>
          <w:p w14:paraId="7D276C17" w14:textId="77777777" w:rsidR="00CF04BC" w:rsidRPr="00B93493" w:rsidRDefault="00CF04BC" w:rsidP="002E7F54">
            <w:pPr>
              <w:pStyle w:val="Tabletext"/>
              <w:rPr>
                <w:sz w:val="18"/>
                <w:szCs w:val="18"/>
              </w:rPr>
            </w:pPr>
            <w:r w:rsidRPr="00B93493">
              <w:rPr>
                <w:sz w:val="18"/>
                <w:szCs w:val="18"/>
              </w:rPr>
              <w:t>116 000</w:t>
            </w:r>
          </w:p>
        </w:tc>
      </w:tr>
      <w:tr w:rsidR="00CF04BC" w:rsidRPr="00B93493" w14:paraId="30B5E13D" w14:textId="77777777" w:rsidTr="002E7F54">
        <w:trPr>
          <w:jc w:val="center"/>
        </w:trPr>
        <w:tc>
          <w:tcPr>
            <w:tcW w:w="3899" w:type="dxa"/>
          </w:tcPr>
          <w:p w14:paraId="53B495E6" w14:textId="77777777" w:rsidR="00CF04BC" w:rsidRPr="00B93493" w:rsidRDefault="00CF04BC" w:rsidP="00C65E6B">
            <w:pPr>
              <w:pStyle w:val="Tabletext"/>
              <w:jc w:val="left"/>
              <w:rPr>
                <w:sz w:val="18"/>
                <w:szCs w:val="18"/>
              </w:rPr>
            </w:pPr>
            <w:r w:rsidRPr="00B93493">
              <w:rPr>
                <w:sz w:val="18"/>
                <w:szCs w:val="18"/>
              </w:rPr>
              <w:t>I.5. Individual reception earth station</w:t>
            </w:r>
          </w:p>
        </w:tc>
        <w:tc>
          <w:tcPr>
            <w:tcW w:w="1204" w:type="dxa"/>
          </w:tcPr>
          <w:p w14:paraId="51E78413" w14:textId="77777777" w:rsidR="00CF04BC" w:rsidRPr="00B93493" w:rsidRDefault="00CF04BC" w:rsidP="002E7F54">
            <w:pPr>
              <w:pStyle w:val="Tabletext"/>
              <w:rPr>
                <w:sz w:val="18"/>
                <w:szCs w:val="18"/>
              </w:rPr>
            </w:pPr>
            <w:r w:rsidRPr="00B93493">
              <w:rPr>
                <w:sz w:val="18"/>
                <w:szCs w:val="18"/>
              </w:rPr>
              <w:t>11 600</w:t>
            </w:r>
          </w:p>
        </w:tc>
        <w:tc>
          <w:tcPr>
            <w:tcW w:w="1560" w:type="dxa"/>
          </w:tcPr>
          <w:p w14:paraId="39C2BFD8" w14:textId="77777777" w:rsidR="00CF04BC" w:rsidRPr="00B93493" w:rsidRDefault="00CF04BC" w:rsidP="002E7F54">
            <w:pPr>
              <w:pStyle w:val="Tabletext"/>
              <w:rPr>
                <w:sz w:val="18"/>
                <w:szCs w:val="18"/>
              </w:rPr>
            </w:pPr>
            <w:r w:rsidRPr="00B93493">
              <w:rPr>
                <w:sz w:val="18"/>
                <w:szCs w:val="18"/>
              </w:rPr>
              <w:t>14 500</w:t>
            </w:r>
          </w:p>
        </w:tc>
        <w:tc>
          <w:tcPr>
            <w:tcW w:w="1559" w:type="dxa"/>
          </w:tcPr>
          <w:p w14:paraId="7F468D5E" w14:textId="77777777" w:rsidR="00CF04BC" w:rsidRPr="00B93493" w:rsidRDefault="00CF04BC" w:rsidP="002E7F54">
            <w:pPr>
              <w:pStyle w:val="Tabletext"/>
              <w:rPr>
                <w:sz w:val="18"/>
                <w:szCs w:val="18"/>
              </w:rPr>
            </w:pPr>
            <w:r w:rsidRPr="00B93493">
              <w:rPr>
                <w:sz w:val="18"/>
                <w:szCs w:val="18"/>
              </w:rPr>
              <w:t>Nothing</w:t>
            </w:r>
          </w:p>
        </w:tc>
        <w:tc>
          <w:tcPr>
            <w:tcW w:w="1417" w:type="dxa"/>
          </w:tcPr>
          <w:p w14:paraId="50AA4F6D" w14:textId="77777777" w:rsidR="00CF04BC" w:rsidRPr="00B93493" w:rsidRDefault="00CF04BC" w:rsidP="002E7F54">
            <w:pPr>
              <w:pStyle w:val="Tabletext"/>
              <w:rPr>
                <w:sz w:val="18"/>
                <w:szCs w:val="18"/>
              </w:rPr>
            </w:pPr>
            <w:r w:rsidRPr="00B93493">
              <w:rPr>
                <w:sz w:val="18"/>
                <w:szCs w:val="18"/>
              </w:rPr>
              <w:t>Nothing</w:t>
            </w:r>
          </w:p>
        </w:tc>
      </w:tr>
      <w:tr w:rsidR="00CF04BC" w:rsidRPr="00B93493" w14:paraId="687522B6" w14:textId="77777777" w:rsidTr="002E7F54">
        <w:trPr>
          <w:jc w:val="center"/>
        </w:trPr>
        <w:tc>
          <w:tcPr>
            <w:tcW w:w="3899" w:type="dxa"/>
          </w:tcPr>
          <w:p w14:paraId="4C8EB66E" w14:textId="77777777" w:rsidR="00CF04BC" w:rsidRPr="00B93493" w:rsidRDefault="00CF04BC" w:rsidP="00C65E6B">
            <w:pPr>
              <w:pStyle w:val="Tabletext"/>
              <w:ind w:left="284" w:hanging="284"/>
              <w:jc w:val="left"/>
              <w:rPr>
                <w:sz w:val="18"/>
                <w:szCs w:val="18"/>
              </w:rPr>
            </w:pPr>
            <w:r w:rsidRPr="00B93493">
              <w:rPr>
                <w:sz w:val="18"/>
                <w:szCs w:val="18"/>
              </w:rPr>
              <w:t>II.</w:t>
            </w:r>
            <w:r w:rsidRPr="00B93493">
              <w:rPr>
                <w:sz w:val="18"/>
                <w:szCs w:val="18"/>
              </w:rPr>
              <w:tab/>
              <w:t>STATIONS AND TERRESTRIAL NETWORKS OPENED TO THE PUBLIC (Commercial services)</w:t>
            </w:r>
          </w:p>
        </w:tc>
        <w:tc>
          <w:tcPr>
            <w:tcW w:w="1204" w:type="dxa"/>
          </w:tcPr>
          <w:p w14:paraId="19F96890" w14:textId="77777777" w:rsidR="00CF04BC" w:rsidRPr="00B93493" w:rsidRDefault="00CF04BC" w:rsidP="002E7F54">
            <w:pPr>
              <w:pStyle w:val="Tabletext"/>
              <w:rPr>
                <w:sz w:val="18"/>
                <w:szCs w:val="18"/>
              </w:rPr>
            </w:pPr>
          </w:p>
        </w:tc>
        <w:tc>
          <w:tcPr>
            <w:tcW w:w="1560" w:type="dxa"/>
          </w:tcPr>
          <w:p w14:paraId="102D248C" w14:textId="77777777" w:rsidR="00CF04BC" w:rsidRPr="00B93493" w:rsidRDefault="00CF04BC" w:rsidP="002E7F54">
            <w:pPr>
              <w:pStyle w:val="Tabletext"/>
              <w:rPr>
                <w:sz w:val="18"/>
                <w:szCs w:val="18"/>
              </w:rPr>
            </w:pPr>
          </w:p>
        </w:tc>
        <w:tc>
          <w:tcPr>
            <w:tcW w:w="1559" w:type="dxa"/>
          </w:tcPr>
          <w:p w14:paraId="2EDFC63C" w14:textId="77777777" w:rsidR="00CF04BC" w:rsidRPr="00B93493" w:rsidRDefault="00CF04BC" w:rsidP="002E7F54">
            <w:pPr>
              <w:pStyle w:val="Tabletext"/>
              <w:rPr>
                <w:sz w:val="18"/>
                <w:szCs w:val="18"/>
              </w:rPr>
            </w:pPr>
          </w:p>
        </w:tc>
        <w:tc>
          <w:tcPr>
            <w:tcW w:w="1417" w:type="dxa"/>
          </w:tcPr>
          <w:p w14:paraId="59C4A830" w14:textId="77777777" w:rsidR="00CF04BC" w:rsidRPr="00B93493" w:rsidRDefault="00CF04BC" w:rsidP="002E7F54">
            <w:pPr>
              <w:pStyle w:val="Tabletext"/>
              <w:rPr>
                <w:sz w:val="18"/>
                <w:szCs w:val="18"/>
              </w:rPr>
            </w:pPr>
          </w:p>
        </w:tc>
      </w:tr>
      <w:tr w:rsidR="00CF04BC" w:rsidRPr="00B93493" w14:paraId="24CD8A34" w14:textId="77777777" w:rsidTr="002E7F54">
        <w:trPr>
          <w:jc w:val="center"/>
        </w:trPr>
        <w:tc>
          <w:tcPr>
            <w:tcW w:w="3899" w:type="dxa"/>
          </w:tcPr>
          <w:p w14:paraId="70C181D2" w14:textId="77777777" w:rsidR="00CF04BC" w:rsidRPr="00B93493" w:rsidRDefault="00CF04BC" w:rsidP="00C65E6B">
            <w:pPr>
              <w:pStyle w:val="Tabletext"/>
              <w:keepNext/>
              <w:jc w:val="left"/>
              <w:rPr>
                <w:sz w:val="18"/>
                <w:szCs w:val="18"/>
              </w:rPr>
            </w:pPr>
            <w:r w:rsidRPr="00B93493">
              <w:rPr>
                <w:sz w:val="18"/>
                <w:szCs w:val="18"/>
              </w:rPr>
              <w:t>II.1. National network opened to the public</w:t>
            </w:r>
          </w:p>
        </w:tc>
        <w:tc>
          <w:tcPr>
            <w:tcW w:w="1204" w:type="dxa"/>
          </w:tcPr>
          <w:p w14:paraId="4A9E5019" w14:textId="77777777" w:rsidR="00CF04BC" w:rsidRPr="00B93493" w:rsidRDefault="00CF04BC" w:rsidP="002E7F54">
            <w:pPr>
              <w:pStyle w:val="Tabletext"/>
              <w:keepNext/>
              <w:rPr>
                <w:sz w:val="18"/>
                <w:szCs w:val="18"/>
              </w:rPr>
            </w:pPr>
            <w:r w:rsidRPr="00B93493">
              <w:rPr>
                <w:sz w:val="18"/>
                <w:szCs w:val="18"/>
              </w:rPr>
              <w:t>3 770 000</w:t>
            </w:r>
          </w:p>
        </w:tc>
        <w:tc>
          <w:tcPr>
            <w:tcW w:w="1560" w:type="dxa"/>
          </w:tcPr>
          <w:p w14:paraId="36739DD5" w14:textId="77777777" w:rsidR="00CF04BC" w:rsidRPr="00B93493" w:rsidRDefault="00CF04BC" w:rsidP="002E7F54">
            <w:pPr>
              <w:pStyle w:val="Tabletext"/>
              <w:keepNext/>
              <w:rPr>
                <w:sz w:val="18"/>
                <w:szCs w:val="18"/>
              </w:rPr>
            </w:pPr>
          </w:p>
        </w:tc>
        <w:tc>
          <w:tcPr>
            <w:tcW w:w="1559" w:type="dxa"/>
          </w:tcPr>
          <w:p w14:paraId="0C7ACA8D" w14:textId="77777777" w:rsidR="00CF04BC" w:rsidRPr="00B93493" w:rsidRDefault="00CF04BC" w:rsidP="002E7F54">
            <w:pPr>
              <w:pStyle w:val="Tabletext"/>
              <w:keepNext/>
              <w:rPr>
                <w:sz w:val="18"/>
                <w:szCs w:val="18"/>
              </w:rPr>
            </w:pPr>
            <w:r w:rsidRPr="00B93493">
              <w:rPr>
                <w:sz w:val="18"/>
                <w:szCs w:val="18"/>
              </w:rPr>
              <w:t>29 000 000</w:t>
            </w:r>
          </w:p>
        </w:tc>
        <w:tc>
          <w:tcPr>
            <w:tcW w:w="1417" w:type="dxa"/>
          </w:tcPr>
          <w:p w14:paraId="5DB9325A" w14:textId="77777777" w:rsidR="00CF04BC" w:rsidRPr="00B93493" w:rsidRDefault="00CF04BC" w:rsidP="002E7F54">
            <w:pPr>
              <w:pStyle w:val="Tabletext"/>
              <w:keepNext/>
              <w:rPr>
                <w:sz w:val="18"/>
                <w:szCs w:val="18"/>
              </w:rPr>
            </w:pPr>
          </w:p>
        </w:tc>
      </w:tr>
      <w:tr w:rsidR="00CF04BC" w:rsidRPr="00B93493" w14:paraId="15F98452" w14:textId="77777777" w:rsidTr="002E7F54">
        <w:trPr>
          <w:jc w:val="center"/>
        </w:trPr>
        <w:tc>
          <w:tcPr>
            <w:tcW w:w="3899" w:type="dxa"/>
          </w:tcPr>
          <w:p w14:paraId="7C3BA8C1" w14:textId="77777777" w:rsidR="00CF04BC" w:rsidRPr="00B93493" w:rsidRDefault="00CF04BC" w:rsidP="00C65E6B">
            <w:pPr>
              <w:pStyle w:val="Tabletext"/>
              <w:ind w:left="284" w:hanging="284"/>
              <w:jc w:val="left"/>
              <w:rPr>
                <w:sz w:val="18"/>
                <w:szCs w:val="18"/>
              </w:rPr>
            </w:pPr>
            <w:r w:rsidRPr="00B93493">
              <w:rPr>
                <w:sz w:val="18"/>
                <w:szCs w:val="18"/>
              </w:rPr>
              <w:t>a1.</w:t>
            </w:r>
            <w:r w:rsidRPr="00B93493">
              <w:rPr>
                <w:sz w:val="18"/>
                <w:szCs w:val="18"/>
              </w:rPr>
              <w:tab/>
              <w:t>Terrestrial aeronautic  station-coastal or terrestrial</w:t>
            </w:r>
          </w:p>
          <w:p w14:paraId="17C5F957" w14:textId="77777777" w:rsidR="00CF04BC" w:rsidRPr="00B93493" w:rsidRDefault="00CF04BC" w:rsidP="00C65E6B">
            <w:pPr>
              <w:pStyle w:val="Tabletext"/>
              <w:jc w:val="left"/>
              <w:rPr>
                <w:sz w:val="18"/>
                <w:szCs w:val="18"/>
              </w:rPr>
            </w:pPr>
            <w:r w:rsidRPr="00B93493">
              <w:rPr>
                <w:sz w:val="18"/>
                <w:szCs w:val="18"/>
              </w:rPr>
              <w:t>a2. Terrestrial aeronautics- ship or terrestrial</w:t>
            </w:r>
          </w:p>
        </w:tc>
        <w:tc>
          <w:tcPr>
            <w:tcW w:w="1204" w:type="dxa"/>
          </w:tcPr>
          <w:p w14:paraId="20FB3096" w14:textId="77777777" w:rsidR="00CF04BC" w:rsidRPr="00B93493" w:rsidRDefault="00CF04BC" w:rsidP="002E7F54">
            <w:pPr>
              <w:pStyle w:val="Tabletext"/>
              <w:rPr>
                <w:sz w:val="18"/>
                <w:szCs w:val="18"/>
              </w:rPr>
            </w:pPr>
          </w:p>
        </w:tc>
        <w:tc>
          <w:tcPr>
            <w:tcW w:w="1560" w:type="dxa"/>
          </w:tcPr>
          <w:p w14:paraId="5F83A3E3" w14:textId="77777777" w:rsidR="00CF04BC" w:rsidRPr="00B93493" w:rsidRDefault="00CF04BC" w:rsidP="002E7F54">
            <w:pPr>
              <w:pStyle w:val="Tabletext"/>
              <w:rPr>
                <w:sz w:val="18"/>
                <w:szCs w:val="18"/>
              </w:rPr>
            </w:pPr>
            <w:r w:rsidRPr="00B93493">
              <w:rPr>
                <w:sz w:val="18"/>
                <w:szCs w:val="18"/>
              </w:rPr>
              <w:br/>
              <w:t>87 000</w:t>
            </w:r>
          </w:p>
          <w:p w14:paraId="58331A8C" w14:textId="77777777" w:rsidR="00CF04BC" w:rsidRPr="00B93493" w:rsidRDefault="00CF04BC" w:rsidP="002E7F54">
            <w:pPr>
              <w:pStyle w:val="Tabletext"/>
              <w:rPr>
                <w:sz w:val="18"/>
                <w:szCs w:val="18"/>
              </w:rPr>
            </w:pPr>
            <w:r w:rsidRPr="00B93493">
              <w:rPr>
                <w:sz w:val="18"/>
                <w:szCs w:val="18"/>
              </w:rPr>
              <w:t>58 000</w:t>
            </w:r>
          </w:p>
        </w:tc>
        <w:tc>
          <w:tcPr>
            <w:tcW w:w="1559" w:type="dxa"/>
          </w:tcPr>
          <w:p w14:paraId="3B8E59F5" w14:textId="77777777" w:rsidR="00CF04BC" w:rsidRPr="00B93493" w:rsidRDefault="00CF04BC" w:rsidP="002E7F54">
            <w:pPr>
              <w:pStyle w:val="Tabletext"/>
              <w:rPr>
                <w:sz w:val="18"/>
                <w:szCs w:val="18"/>
              </w:rPr>
            </w:pPr>
          </w:p>
        </w:tc>
        <w:tc>
          <w:tcPr>
            <w:tcW w:w="1417" w:type="dxa"/>
          </w:tcPr>
          <w:p w14:paraId="5F1DD176" w14:textId="77777777" w:rsidR="00CF04BC" w:rsidRPr="00B93493" w:rsidRDefault="00CF04BC" w:rsidP="002E7F54">
            <w:pPr>
              <w:pStyle w:val="Tabletext"/>
              <w:rPr>
                <w:sz w:val="18"/>
                <w:szCs w:val="18"/>
              </w:rPr>
            </w:pPr>
          </w:p>
        </w:tc>
      </w:tr>
      <w:tr w:rsidR="00CF04BC" w:rsidRPr="00B93493" w14:paraId="7AC0A9CE" w14:textId="77777777" w:rsidTr="002E7F54">
        <w:trPr>
          <w:jc w:val="center"/>
        </w:trPr>
        <w:tc>
          <w:tcPr>
            <w:tcW w:w="3899" w:type="dxa"/>
          </w:tcPr>
          <w:p w14:paraId="2055F936" w14:textId="77777777" w:rsidR="00CF04BC" w:rsidRPr="00B93493" w:rsidRDefault="00CF04BC" w:rsidP="00C65E6B">
            <w:pPr>
              <w:pStyle w:val="Tabletext"/>
              <w:ind w:left="284" w:hanging="284"/>
              <w:jc w:val="left"/>
              <w:rPr>
                <w:sz w:val="18"/>
                <w:szCs w:val="18"/>
              </w:rPr>
            </w:pPr>
            <w:r w:rsidRPr="00B93493">
              <w:rPr>
                <w:sz w:val="18"/>
                <w:szCs w:val="18"/>
              </w:rPr>
              <w:t>b1.</w:t>
            </w:r>
            <w:r w:rsidRPr="00B93493">
              <w:rPr>
                <w:sz w:val="18"/>
                <w:szCs w:val="18"/>
              </w:rPr>
              <w:tab/>
              <w:t>Links between 1 to 120 telephone channels or 2 to 8 Mbits/s</w:t>
            </w:r>
          </w:p>
          <w:p w14:paraId="1D4641AB" w14:textId="77777777" w:rsidR="00CF04BC" w:rsidRPr="00B93493" w:rsidRDefault="00CF04BC" w:rsidP="00C65E6B">
            <w:pPr>
              <w:pStyle w:val="Tabletext"/>
              <w:ind w:left="284" w:hanging="284"/>
              <w:jc w:val="left"/>
              <w:rPr>
                <w:sz w:val="18"/>
                <w:szCs w:val="18"/>
              </w:rPr>
            </w:pPr>
            <w:r w:rsidRPr="00B93493">
              <w:rPr>
                <w:sz w:val="18"/>
                <w:szCs w:val="18"/>
              </w:rPr>
              <w:t>b2.</w:t>
            </w:r>
            <w:r w:rsidRPr="00B93493">
              <w:rPr>
                <w:sz w:val="18"/>
                <w:szCs w:val="18"/>
              </w:rPr>
              <w:tab/>
              <w:t>Links between 121 to 600 telephone channels or 8 to 34 Mbits/s</w:t>
            </w:r>
          </w:p>
          <w:p w14:paraId="2B5207AD" w14:textId="77777777" w:rsidR="00CF04BC" w:rsidRPr="00B93493" w:rsidRDefault="00CF04BC" w:rsidP="00C65E6B">
            <w:pPr>
              <w:pStyle w:val="Tabletext"/>
              <w:ind w:left="284" w:hanging="284"/>
              <w:jc w:val="left"/>
              <w:rPr>
                <w:sz w:val="18"/>
                <w:szCs w:val="18"/>
              </w:rPr>
            </w:pPr>
            <w:r w:rsidRPr="00B93493">
              <w:rPr>
                <w:sz w:val="18"/>
                <w:szCs w:val="18"/>
              </w:rPr>
              <w:t>b3.</w:t>
            </w:r>
            <w:r w:rsidRPr="00B93493">
              <w:rPr>
                <w:sz w:val="18"/>
                <w:szCs w:val="18"/>
              </w:rPr>
              <w:tab/>
              <w:t>Links between 601 to 1200 telephone channels or 34 to 70 Mbits/s</w:t>
            </w:r>
          </w:p>
          <w:p w14:paraId="04FD476D" w14:textId="77777777" w:rsidR="00CF04BC" w:rsidRPr="00B93493" w:rsidRDefault="00CF04BC" w:rsidP="00C65E6B">
            <w:pPr>
              <w:pStyle w:val="Tabletext"/>
              <w:ind w:left="284" w:hanging="284"/>
              <w:jc w:val="left"/>
              <w:rPr>
                <w:sz w:val="18"/>
                <w:szCs w:val="18"/>
              </w:rPr>
            </w:pPr>
            <w:r w:rsidRPr="00B93493">
              <w:rPr>
                <w:sz w:val="18"/>
                <w:szCs w:val="18"/>
              </w:rPr>
              <w:t>b4.</w:t>
            </w:r>
            <w:r w:rsidRPr="00B93493">
              <w:rPr>
                <w:sz w:val="18"/>
                <w:szCs w:val="18"/>
              </w:rPr>
              <w:tab/>
              <w:t>Links above 1200 telephone channels or more than 70 Mbits/s</w:t>
            </w:r>
          </w:p>
        </w:tc>
        <w:tc>
          <w:tcPr>
            <w:tcW w:w="1204" w:type="dxa"/>
          </w:tcPr>
          <w:p w14:paraId="03A9D055" w14:textId="77777777" w:rsidR="00CF04BC" w:rsidRPr="00B93493" w:rsidRDefault="00CF04BC" w:rsidP="002E7F54">
            <w:pPr>
              <w:pStyle w:val="Tabletext"/>
              <w:rPr>
                <w:sz w:val="18"/>
                <w:szCs w:val="18"/>
              </w:rPr>
            </w:pPr>
          </w:p>
        </w:tc>
        <w:tc>
          <w:tcPr>
            <w:tcW w:w="1560" w:type="dxa"/>
          </w:tcPr>
          <w:p w14:paraId="24A9F50B" w14:textId="77777777" w:rsidR="00CF04BC" w:rsidRPr="00B93493" w:rsidRDefault="00CF04BC" w:rsidP="002E7F54">
            <w:pPr>
              <w:pStyle w:val="Tabletext"/>
              <w:rPr>
                <w:sz w:val="18"/>
                <w:szCs w:val="18"/>
              </w:rPr>
            </w:pPr>
          </w:p>
        </w:tc>
        <w:tc>
          <w:tcPr>
            <w:tcW w:w="1559" w:type="dxa"/>
          </w:tcPr>
          <w:p w14:paraId="272A6843" w14:textId="77777777" w:rsidR="00CF04BC" w:rsidRPr="00B93493" w:rsidRDefault="00CF04BC" w:rsidP="002E7F54">
            <w:pPr>
              <w:pStyle w:val="Tabletext"/>
              <w:rPr>
                <w:sz w:val="18"/>
                <w:szCs w:val="18"/>
              </w:rPr>
            </w:pPr>
          </w:p>
        </w:tc>
        <w:tc>
          <w:tcPr>
            <w:tcW w:w="1417" w:type="dxa"/>
          </w:tcPr>
          <w:p w14:paraId="20EE8DD6" w14:textId="77777777" w:rsidR="00CF04BC" w:rsidRPr="00B93493" w:rsidRDefault="00CF04BC" w:rsidP="002E7F54">
            <w:pPr>
              <w:pStyle w:val="Tabletext"/>
              <w:rPr>
                <w:sz w:val="18"/>
                <w:szCs w:val="18"/>
              </w:rPr>
            </w:pPr>
            <w:r w:rsidRPr="00B93493">
              <w:rPr>
                <w:sz w:val="18"/>
                <w:szCs w:val="18"/>
              </w:rPr>
              <w:br/>
              <w:t>5 800 000</w:t>
            </w:r>
          </w:p>
          <w:p w14:paraId="7AC406C2" w14:textId="77777777" w:rsidR="00CF04BC" w:rsidRPr="00B93493" w:rsidRDefault="00CF04BC" w:rsidP="002E7F54">
            <w:pPr>
              <w:pStyle w:val="Tabletext"/>
              <w:rPr>
                <w:sz w:val="18"/>
                <w:szCs w:val="18"/>
              </w:rPr>
            </w:pPr>
            <w:r w:rsidRPr="00B93493">
              <w:rPr>
                <w:sz w:val="18"/>
                <w:szCs w:val="18"/>
              </w:rPr>
              <w:br/>
              <w:t>10 440 000</w:t>
            </w:r>
          </w:p>
          <w:p w14:paraId="4D442D46" w14:textId="77777777" w:rsidR="00CF04BC" w:rsidRPr="00B93493" w:rsidRDefault="00CF04BC" w:rsidP="002E7F54">
            <w:pPr>
              <w:pStyle w:val="Tabletext"/>
              <w:rPr>
                <w:sz w:val="18"/>
                <w:szCs w:val="18"/>
              </w:rPr>
            </w:pPr>
            <w:r w:rsidRPr="00B93493">
              <w:rPr>
                <w:sz w:val="18"/>
                <w:szCs w:val="18"/>
              </w:rPr>
              <w:br/>
              <w:t>14 500 000</w:t>
            </w:r>
          </w:p>
          <w:p w14:paraId="4B89A661" w14:textId="77777777" w:rsidR="00CF04BC" w:rsidRPr="00B93493" w:rsidRDefault="00CF04BC" w:rsidP="002E7F54">
            <w:pPr>
              <w:pStyle w:val="Tabletext"/>
              <w:rPr>
                <w:sz w:val="18"/>
                <w:szCs w:val="18"/>
              </w:rPr>
            </w:pPr>
            <w:r w:rsidRPr="00B93493">
              <w:rPr>
                <w:sz w:val="18"/>
                <w:szCs w:val="18"/>
              </w:rPr>
              <w:br/>
              <w:t>17 400 000</w:t>
            </w:r>
          </w:p>
        </w:tc>
      </w:tr>
      <w:tr w:rsidR="00CF04BC" w:rsidRPr="00B93493" w14:paraId="77D99D69" w14:textId="77777777" w:rsidTr="002E7F54">
        <w:trPr>
          <w:jc w:val="center"/>
        </w:trPr>
        <w:tc>
          <w:tcPr>
            <w:tcW w:w="3899" w:type="dxa"/>
          </w:tcPr>
          <w:p w14:paraId="4C3F4A7B" w14:textId="77777777" w:rsidR="00CF04BC" w:rsidRPr="00B93493" w:rsidRDefault="00CF04BC" w:rsidP="00C65E6B">
            <w:pPr>
              <w:pStyle w:val="Tabletext"/>
              <w:jc w:val="left"/>
              <w:rPr>
                <w:sz w:val="18"/>
                <w:szCs w:val="18"/>
              </w:rPr>
            </w:pPr>
            <w:r w:rsidRPr="00B93493">
              <w:rPr>
                <w:sz w:val="18"/>
                <w:szCs w:val="18"/>
              </w:rPr>
              <w:t>II.2.</w:t>
            </w:r>
            <w:r w:rsidRPr="00B93493">
              <w:rPr>
                <w:sz w:val="18"/>
                <w:szCs w:val="18"/>
              </w:rPr>
              <w:tab/>
              <w:t>Terrestrial earth stations linked to international public networks</w:t>
            </w:r>
          </w:p>
        </w:tc>
        <w:tc>
          <w:tcPr>
            <w:tcW w:w="1204" w:type="dxa"/>
          </w:tcPr>
          <w:p w14:paraId="33193A42" w14:textId="77777777" w:rsidR="00CF04BC" w:rsidRPr="00B93493" w:rsidRDefault="00CF04BC" w:rsidP="002E7F54">
            <w:pPr>
              <w:pStyle w:val="Tabletext"/>
              <w:rPr>
                <w:sz w:val="18"/>
                <w:szCs w:val="18"/>
              </w:rPr>
            </w:pPr>
            <w:r w:rsidRPr="00B93493">
              <w:rPr>
                <w:sz w:val="18"/>
                <w:szCs w:val="18"/>
              </w:rPr>
              <w:t>1 740 000</w:t>
            </w:r>
          </w:p>
        </w:tc>
        <w:tc>
          <w:tcPr>
            <w:tcW w:w="1560" w:type="dxa"/>
          </w:tcPr>
          <w:p w14:paraId="69DCCD31" w14:textId="77777777" w:rsidR="00CF04BC" w:rsidRPr="00B93493" w:rsidRDefault="00CF04BC" w:rsidP="002E7F54">
            <w:pPr>
              <w:pStyle w:val="Tabletext"/>
              <w:rPr>
                <w:sz w:val="18"/>
                <w:szCs w:val="18"/>
              </w:rPr>
            </w:pPr>
            <w:r w:rsidRPr="00B93493">
              <w:rPr>
                <w:sz w:val="18"/>
                <w:szCs w:val="18"/>
              </w:rPr>
              <w:t>87 000</w:t>
            </w:r>
          </w:p>
        </w:tc>
        <w:tc>
          <w:tcPr>
            <w:tcW w:w="1559" w:type="dxa"/>
          </w:tcPr>
          <w:p w14:paraId="56B8BB1F" w14:textId="77777777" w:rsidR="00CF04BC" w:rsidRPr="00B93493" w:rsidRDefault="00CF04BC" w:rsidP="002E7F54">
            <w:pPr>
              <w:pStyle w:val="Tabletext"/>
              <w:rPr>
                <w:sz w:val="18"/>
                <w:szCs w:val="18"/>
              </w:rPr>
            </w:pPr>
            <w:r w:rsidRPr="00B93493">
              <w:rPr>
                <w:sz w:val="18"/>
                <w:szCs w:val="18"/>
              </w:rPr>
              <w:t>11 600 000</w:t>
            </w:r>
          </w:p>
        </w:tc>
        <w:tc>
          <w:tcPr>
            <w:tcW w:w="1417" w:type="dxa"/>
          </w:tcPr>
          <w:p w14:paraId="07EF8ACD" w14:textId="77777777" w:rsidR="00CF04BC" w:rsidRPr="00B93493" w:rsidRDefault="00CF04BC" w:rsidP="002E7F54">
            <w:pPr>
              <w:pStyle w:val="Tabletext"/>
              <w:rPr>
                <w:sz w:val="18"/>
                <w:szCs w:val="18"/>
              </w:rPr>
            </w:pPr>
            <w:r w:rsidRPr="00B93493">
              <w:rPr>
                <w:sz w:val="18"/>
                <w:szCs w:val="18"/>
              </w:rPr>
              <w:t>3 480 000</w:t>
            </w:r>
          </w:p>
          <w:p w14:paraId="0BAC9B97" w14:textId="77777777" w:rsidR="00CF04BC" w:rsidRPr="00B93493" w:rsidRDefault="00CF04BC" w:rsidP="002E7F54">
            <w:pPr>
              <w:pStyle w:val="Tabletext"/>
              <w:rPr>
                <w:sz w:val="18"/>
                <w:szCs w:val="18"/>
              </w:rPr>
            </w:pPr>
          </w:p>
        </w:tc>
      </w:tr>
      <w:tr w:rsidR="00CF04BC" w:rsidRPr="00B93493" w14:paraId="5A77E6FD" w14:textId="77777777" w:rsidTr="002E7F54">
        <w:trPr>
          <w:jc w:val="center"/>
        </w:trPr>
        <w:tc>
          <w:tcPr>
            <w:tcW w:w="3899" w:type="dxa"/>
          </w:tcPr>
          <w:p w14:paraId="7278AFC4" w14:textId="77777777" w:rsidR="00CF04BC" w:rsidRPr="00B93493" w:rsidRDefault="00CF04BC" w:rsidP="00C65E6B">
            <w:pPr>
              <w:pStyle w:val="Tabletext"/>
              <w:jc w:val="left"/>
              <w:rPr>
                <w:sz w:val="18"/>
                <w:szCs w:val="18"/>
              </w:rPr>
            </w:pPr>
            <w:r w:rsidRPr="00B93493">
              <w:rPr>
                <w:sz w:val="18"/>
                <w:szCs w:val="18"/>
              </w:rPr>
              <w:t>II.3.</w:t>
            </w:r>
            <w:r w:rsidRPr="00B93493">
              <w:rPr>
                <w:sz w:val="18"/>
                <w:szCs w:val="18"/>
              </w:rPr>
              <w:tab/>
              <w:t>Terrestrial stations linked to international independent networks</w:t>
            </w:r>
          </w:p>
        </w:tc>
        <w:tc>
          <w:tcPr>
            <w:tcW w:w="1204" w:type="dxa"/>
          </w:tcPr>
          <w:p w14:paraId="1AFBDE54" w14:textId="77777777" w:rsidR="00CF04BC" w:rsidRPr="00B93493" w:rsidRDefault="00CF04BC" w:rsidP="002E7F54">
            <w:pPr>
              <w:pStyle w:val="Tabletext"/>
              <w:rPr>
                <w:sz w:val="18"/>
                <w:szCs w:val="18"/>
              </w:rPr>
            </w:pPr>
            <w:r w:rsidRPr="00B93493">
              <w:rPr>
                <w:sz w:val="18"/>
                <w:szCs w:val="18"/>
              </w:rPr>
              <w:t>870 000</w:t>
            </w:r>
          </w:p>
        </w:tc>
        <w:tc>
          <w:tcPr>
            <w:tcW w:w="1560" w:type="dxa"/>
          </w:tcPr>
          <w:p w14:paraId="4B8CF430" w14:textId="77777777" w:rsidR="00CF04BC" w:rsidRPr="00B93493" w:rsidRDefault="00CF04BC" w:rsidP="002E7F54">
            <w:pPr>
              <w:pStyle w:val="Tabletext"/>
              <w:rPr>
                <w:sz w:val="18"/>
                <w:szCs w:val="18"/>
              </w:rPr>
            </w:pPr>
            <w:r w:rsidRPr="00B93493">
              <w:rPr>
                <w:sz w:val="18"/>
                <w:szCs w:val="18"/>
              </w:rPr>
              <w:t>34 800</w:t>
            </w:r>
          </w:p>
        </w:tc>
        <w:tc>
          <w:tcPr>
            <w:tcW w:w="1559" w:type="dxa"/>
          </w:tcPr>
          <w:p w14:paraId="7980ADB3" w14:textId="77777777" w:rsidR="00CF04BC" w:rsidRPr="00B93493" w:rsidRDefault="00CF04BC" w:rsidP="002E7F54">
            <w:pPr>
              <w:pStyle w:val="Tabletext"/>
              <w:rPr>
                <w:sz w:val="18"/>
                <w:szCs w:val="18"/>
              </w:rPr>
            </w:pPr>
            <w:r w:rsidRPr="00B93493">
              <w:rPr>
                <w:sz w:val="18"/>
                <w:szCs w:val="18"/>
              </w:rPr>
              <w:t>5 800 000</w:t>
            </w:r>
          </w:p>
        </w:tc>
        <w:tc>
          <w:tcPr>
            <w:tcW w:w="1417" w:type="dxa"/>
          </w:tcPr>
          <w:p w14:paraId="5894AB2E" w14:textId="77777777" w:rsidR="00CF04BC" w:rsidRPr="00B93493" w:rsidRDefault="00CF04BC" w:rsidP="002E7F54">
            <w:pPr>
              <w:pStyle w:val="Tabletext"/>
              <w:rPr>
                <w:sz w:val="18"/>
                <w:szCs w:val="18"/>
              </w:rPr>
            </w:pPr>
            <w:r w:rsidRPr="00B93493">
              <w:rPr>
                <w:sz w:val="18"/>
                <w:szCs w:val="18"/>
              </w:rPr>
              <w:t>1 740 000</w:t>
            </w:r>
          </w:p>
        </w:tc>
      </w:tr>
      <w:tr w:rsidR="00CF04BC" w:rsidRPr="00B93493" w14:paraId="7001CE79" w14:textId="77777777" w:rsidTr="002E7F54">
        <w:trPr>
          <w:jc w:val="center"/>
        </w:trPr>
        <w:tc>
          <w:tcPr>
            <w:tcW w:w="3899" w:type="dxa"/>
          </w:tcPr>
          <w:p w14:paraId="44E56B99" w14:textId="77777777" w:rsidR="00CF04BC" w:rsidRPr="00B93493" w:rsidRDefault="00CF04BC" w:rsidP="00C65E6B">
            <w:pPr>
              <w:pStyle w:val="Tabletext"/>
              <w:jc w:val="left"/>
              <w:rPr>
                <w:sz w:val="18"/>
                <w:szCs w:val="18"/>
              </w:rPr>
            </w:pPr>
            <w:r w:rsidRPr="00B93493">
              <w:rPr>
                <w:sz w:val="18"/>
                <w:szCs w:val="18"/>
              </w:rPr>
              <w:t>II.4.</w:t>
            </w:r>
            <w:r w:rsidRPr="00B93493">
              <w:rPr>
                <w:sz w:val="18"/>
                <w:szCs w:val="18"/>
              </w:rPr>
              <w:tab/>
              <w:t>Community reception earth stations</w:t>
            </w:r>
          </w:p>
        </w:tc>
        <w:tc>
          <w:tcPr>
            <w:tcW w:w="1204" w:type="dxa"/>
          </w:tcPr>
          <w:p w14:paraId="305DB7CE" w14:textId="77777777" w:rsidR="00CF04BC" w:rsidRPr="00B93493" w:rsidRDefault="00CF04BC" w:rsidP="002E7F54">
            <w:pPr>
              <w:pStyle w:val="Tabletext"/>
              <w:rPr>
                <w:sz w:val="18"/>
                <w:szCs w:val="18"/>
              </w:rPr>
            </w:pPr>
            <w:r w:rsidRPr="00B93493">
              <w:rPr>
                <w:sz w:val="18"/>
                <w:szCs w:val="18"/>
              </w:rPr>
              <w:t>580 000</w:t>
            </w:r>
          </w:p>
        </w:tc>
        <w:tc>
          <w:tcPr>
            <w:tcW w:w="1560" w:type="dxa"/>
          </w:tcPr>
          <w:p w14:paraId="166130E8" w14:textId="77777777" w:rsidR="00CF04BC" w:rsidRPr="00B93493" w:rsidRDefault="00CF04BC" w:rsidP="002E7F54">
            <w:pPr>
              <w:pStyle w:val="Tabletext"/>
              <w:rPr>
                <w:sz w:val="18"/>
                <w:szCs w:val="18"/>
              </w:rPr>
            </w:pPr>
            <w:r w:rsidRPr="00B93493">
              <w:rPr>
                <w:sz w:val="18"/>
                <w:szCs w:val="18"/>
              </w:rPr>
              <w:t>34 800</w:t>
            </w:r>
          </w:p>
        </w:tc>
        <w:tc>
          <w:tcPr>
            <w:tcW w:w="1559" w:type="dxa"/>
          </w:tcPr>
          <w:p w14:paraId="299DEA4E" w14:textId="77777777" w:rsidR="00CF04BC" w:rsidRPr="00B93493" w:rsidRDefault="00CF04BC" w:rsidP="002E7F54">
            <w:pPr>
              <w:pStyle w:val="Tabletext"/>
              <w:rPr>
                <w:sz w:val="18"/>
                <w:szCs w:val="18"/>
              </w:rPr>
            </w:pPr>
            <w:r w:rsidRPr="00B93493">
              <w:rPr>
                <w:sz w:val="18"/>
                <w:szCs w:val="18"/>
              </w:rPr>
              <w:t>29 900 000</w:t>
            </w:r>
          </w:p>
        </w:tc>
        <w:tc>
          <w:tcPr>
            <w:tcW w:w="1417" w:type="dxa"/>
          </w:tcPr>
          <w:p w14:paraId="2A328AC1" w14:textId="77777777" w:rsidR="00CF04BC" w:rsidRPr="00B93493" w:rsidRDefault="00CF04BC" w:rsidP="002E7F54">
            <w:pPr>
              <w:pStyle w:val="Tabletext"/>
              <w:rPr>
                <w:sz w:val="18"/>
                <w:szCs w:val="18"/>
              </w:rPr>
            </w:pPr>
            <w:r w:rsidRPr="00B93493">
              <w:rPr>
                <w:sz w:val="18"/>
                <w:szCs w:val="18"/>
              </w:rPr>
              <w:t>580 000</w:t>
            </w:r>
          </w:p>
        </w:tc>
      </w:tr>
      <w:tr w:rsidR="00CF04BC" w:rsidRPr="00B93493" w14:paraId="2FCEC8CC" w14:textId="77777777" w:rsidTr="002E7F54">
        <w:trPr>
          <w:jc w:val="center"/>
        </w:trPr>
        <w:tc>
          <w:tcPr>
            <w:tcW w:w="3899" w:type="dxa"/>
          </w:tcPr>
          <w:p w14:paraId="105AF949" w14:textId="77777777" w:rsidR="00CF04BC" w:rsidRPr="00B93493" w:rsidRDefault="00CF04BC" w:rsidP="00C65E6B">
            <w:pPr>
              <w:pStyle w:val="Tabletext"/>
              <w:jc w:val="left"/>
              <w:rPr>
                <w:sz w:val="18"/>
                <w:szCs w:val="18"/>
              </w:rPr>
            </w:pPr>
            <w:r w:rsidRPr="00B93493">
              <w:rPr>
                <w:sz w:val="18"/>
                <w:szCs w:val="18"/>
              </w:rPr>
              <w:t>a1. Reception of less than 5 programmes</w:t>
            </w:r>
          </w:p>
          <w:p w14:paraId="0D1A2CC8" w14:textId="77777777" w:rsidR="00CF04BC" w:rsidRPr="00B93493" w:rsidRDefault="00CF04BC" w:rsidP="00C65E6B">
            <w:pPr>
              <w:pStyle w:val="Tabletext"/>
              <w:jc w:val="left"/>
              <w:rPr>
                <w:sz w:val="18"/>
                <w:szCs w:val="18"/>
              </w:rPr>
            </w:pPr>
            <w:r w:rsidRPr="00B93493">
              <w:rPr>
                <w:sz w:val="18"/>
                <w:szCs w:val="18"/>
              </w:rPr>
              <w:t>a2. Reception of 5 to 10 programmes</w:t>
            </w:r>
          </w:p>
          <w:p w14:paraId="40349E2B" w14:textId="77777777" w:rsidR="00CF04BC" w:rsidRPr="00B93493" w:rsidRDefault="00CF04BC" w:rsidP="00C65E6B">
            <w:pPr>
              <w:pStyle w:val="Tabletext"/>
              <w:jc w:val="left"/>
              <w:rPr>
                <w:sz w:val="18"/>
                <w:szCs w:val="18"/>
              </w:rPr>
            </w:pPr>
            <w:r w:rsidRPr="00B93493">
              <w:rPr>
                <w:sz w:val="18"/>
                <w:szCs w:val="18"/>
              </w:rPr>
              <w:t>a3. Reception of more than 10 programmes</w:t>
            </w:r>
          </w:p>
        </w:tc>
        <w:tc>
          <w:tcPr>
            <w:tcW w:w="1204" w:type="dxa"/>
          </w:tcPr>
          <w:p w14:paraId="3DA4A339" w14:textId="77777777" w:rsidR="00CF04BC" w:rsidRPr="00B93493" w:rsidRDefault="00CF04BC" w:rsidP="002E7F54">
            <w:pPr>
              <w:pStyle w:val="Tabletext"/>
              <w:rPr>
                <w:sz w:val="18"/>
                <w:szCs w:val="18"/>
              </w:rPr>
            </w:pPr>
            <w:r w:rsidRPr="00B93493">
              <w:rPr>
                <w:sz w:val="18"/>
                <w:szCs w:val="18"/>
              </w:rPr>
              <w:t>29 000</w:t>
            </w:r>
          </w:p>
          <w:p w14:paraId="7016A61C" w14:textId="77777777" w:rsidR="00CF04BC" w:rsidRPr="00B93493" w:rsidRDefault="00CF04BC" w:rsidP="002E7F54">
            <w:pPr>
              <w:pStyle w:val="Tabletext"/>
              <w:rPr>
                <w:sz w:val="18"/>
                <w:szCs w:val="18"/>
              </w:rPr>
            </w:pPr>
            <w:r w:rsidRPr="00B93493">
              <w:rPr>
                <w:sz w:val="18"/>
                <w:szCs w:val="18"/>
              </w:rPr>
              <w:t>58 000</w:t>
            </w:r>
          </w:p>
          <w:p w14:paraId="2FEF694C" w14:textId="77777777" w:rsidR="00CF04BC" w:rsidRPr="00B93493" w:rsidRDefault="00CF04BC" w:rsidP="002E7F54">
            <w:pPr>
              <w:pStyle w:val="Tabletext"/>
              <w:rPr>
                <w:sz w:val="18"/>
                <w:szCs w:val="18"/>
              </w:rPr>
            </w:pPr>
            <w:r w:rsidRPr="00B93493">
              <w:rPr>
                <w:sz w:val="18"/>
                <w:szCs w:val="18"/>
              </w:rPr>
              <w:t>145 000</w:t>
            </w:r>
          </w:p>
        </w:tc>
        <w:tc>
          <w:tcPr>
            <w:tcW w:w="1560" w:type="dxa"/>
          </w:tcPr>
          <w:p w14:paraId="0EA75C75" w14:textId="77777777" w:rsidR="00CF04BC" w:rsidRPr="00B93493" w:rsidRDefault="00CF04BC" w:rsidP="002E7F54">
            <w:pPr>
              <w:pStyle w:val="Tabletext"/>
              <w:rPr>
                <w:sz w:val="18"/>
                <w:szCs w:val="18"/>
              </w:rPr>
            </w:pPr>
            <w:r w:rsidRPr="00B93493">
              <w:rPr>
                <w:sz w:val="18"/>
                <w:szCs w:val="18"/>
              </w:rPr>
              <w:t>14 500</w:t>
            </w:r>
          </w:p>
          <w:p w14:paraId="4592B1CC" w14:textId="77777777" w:rsidR="00CF04BC" w:rsidRPr="00B93493" w:rsidRDefault="00CF04BC" w:rsidP="002E7F54">
            <w:pPr>
              <w:pStyle w:val="Tabletext"/>
              <w:rPr>
                <w:sz w:val="18"/>
                <w:szCs w:val="18"/>
              </w:rPr>
            </w:pPr>
            <w:r w:rsidRPr="00B93493">
              <w:rPr>
                <w:sz w:val="18"/>
                <w:szCs w:val="18"/>
              </w:rPr>
              <w:t>29 000</w:t>
            </w:r>
          </w:p>
          <w:p w14:paraId="27BBA8EA" w14:textId="77777777" w:rsidR="00CF04BC" w:rsidRPr="00B93493" w:rsidRDefault="00CF04BC" w:rsidP="002E7F54">
            <w:pPr>
              <w:pStyle w:val="Tabletext"/>
              <w:rPr>
                <w:sz w:val="18"/>
                <w:szCs w:val="18"/>
              </w:rPr>
            </w:pPr>
            <w:r w:rsidRPr="00B93493">
              <w:rPr>
                <w:sz w:val="18"/>
                <w:szCs w:val="18"/>
              </w:rPr>
              <w:t>58 000</w:t>
            </w:r>
          </w:p>
        </w:tc>
        <w:tc>
          <w:tcPr>
            <w:tcW w:w="1559" w:type="dxa"/>
          </w:tcPr>
          <w:p w14:paraId="654BEF9F" w14:textId="77777777" w:rsidR="00CF04BC" w:rsidRPr="00B93493" w:rsidRDefault="00CF04BC" w:rsidP="002E7F54">
            <w:pPr>
              <w:pStyle w:val="Tabletext"/>
              <w:rPr>
                <w:sz w:val="18"/>
                <w:szCs w:val="18"/>
              </w:rPr>
            </w:pPr>
            <w:r w:rsidRPr="00B93493">
              <w:rPr>
                <w:sz w:val="18"/>
                <w:szCs w:val="18"/>
              </w:rPr>
              <w:t>1 450 000</w:t>
            </w:r>
          </w:p>
          <w:p w14:paraId="2D34A611" w14:textId="77777777" w:rsidR="00CF04BC" w:rsidRPr="00B93493" w:rsidRDefault="00CF04BC" w:rsidP="002E7F54">
            <w:pPr>
              <w:pStyle w:val="Tabletext"/>
              <w:rPr>
                <w:sz w:val="18"/>
                <w:szCs w:val="18"/>
              </w:rPr>
            </w:pPr>
            <w:r w:rsidRPr="00B93493">
              <w:rPr>
                <w:sz w:val="18"/>
                <w:szCs w:val="18"/>
              </w:rPr>
              <w:t>5 800 000</w:t>
            </w:r>
          </w:p>
          <w:p w14:paraId="57D3A4F4" w14:textId="77777777" w:rsidR="00CF04BC" w:rsidRPr="00B93493" w:rsidRDefault="00CF04BC" w:rsidP="002E7F54">
            <w:pPr>
              <w:pStyle w:val="Tabletext"/>
              <w:rPr>
                <w:sz w:val="18"/>
                <w:szCs w:val="18"/>
              </w:rPr>
            </w:pPr>
            <w:r w:rsidRPr="00B93493">
              <w:rPr>
                <w:sz w:val="18"/>
                <w:szCs w:val="18"/>
              </w:rPr>
              <w:t>1 160 000</w:t>
            </w:r>
          </w:p>
        </w:tc>
        <w:tc>
          <w:tcPr>
            <w:tcW w:w="1417" w:type="dxa"/>
          </w:tcPr>
          <w:p w14:paraId="6D6C091E" w14:textId="77777777" w:rsidR="00CF04BC" w:rsidRPr="00B93493" w:rsidRDefault="00CF04BC" w:rsidP="002E7F54">
            <w:pPr>
              <w:pStyle w:val="Tabletext"/>
              <w:rPr>
                <w:sz w:val="18"/>
                <w:szCs w:val="18"/>
              </w:rPr>
            </w:pPr>
            <w:r w:rsidRPr="00B93493">
              <w:rPr>
                <w:sz w:val="18"/>
                <w:szCs w:val="18"/>
              </w:rPr>
              <w:t>1 450 000</w:t>
            </w:r>
          </w:p>
          <w:p w14:paraId="64A6B3FD" w14:textId="77777777" w:rsidR="00CF04BC" w:rsidRPr="00B93493" w:rsidRDefault="00CF04BC" w:rsidP="002E7F54">
            <w:pPr>
              <w:pStyle w:val="Tabletext"/>
              <w:rPr>
                <w:sz w:val="18"/>
                <w:szCs w:val="18"/>
              </w:rPr>
            </w:pPr>
            <w:r w:rsidRPr="00B93493">
              <w:rPr>
                <w:sz w:val="18"/>
                <w:szCs w:val="18"/>
              </w:rPr>
              <w:t>5 800 000</w:t>
            </w:r>
          </w:p>
          <w:p w14:paraId="6A53E6EC" w14:textId="77777777" w:rsidR="00CF04BC" w:rsidRPr="00B93493" w:rsidRDefault="00CF04BC" w:rsidP="002E7F54">
            <w:pPr>
              <w:pStyle w:val="Tabletext"/>
              <w:rPr>
                <w:sz w:val="18"/>
                <w:szCs w:val="18"/>
              </w:rPr>
            </w:pPr>
            <w:r w:rsidRPr="00B93493">
              <w:rPr>
                <w:sz w:val="18"/>
                <w:szCs w:val="18"/>
              </w:rPr>
              <w:t>11 600 000</w:t>
            </w:r>
          </w:p>
        </w:tc>
      </w:tr>
    </w:tbl>
    <w:p w14:paraId="2AFA0484" w14:textId="77777777" w:rsidR="00CF04BC" w:rsidRPr="00B93493" w:rsidRDefault="00CF04BC" w:rsidP="00CF04BC">
      <w:pPr>
        <w:pStyle w:val="Tablefin"/>
      </w:pPr>
    </w:p>
    <w:p w14:paraId="548BFD97" w14:textId="77777777" w:rsidR="00CF04BC" w:rsidRPr="00B93493" w:rsidRDefault="00CF04BC" w:rsidP="00CF04BC">
      <w:pPr>
        <w:pStyle w:val="Headingb"/>
      </w:pPr>
      <w:bookmarkStart w:id="2786" w:name="_Toc289868891"/>
      <w:bookmarkStart w:id="2787" w:name="_Toc289869050"/>
      <w:bookmarkStart w:id="2788" w:name="_Toc291852967"/>
      <w:bookmarkStart w:id="2789" w:name="_Toc518394287"/>
      <w:bookmarkStart w:id="2790" w:name="_Toc289933404"/>
      <w:bookmarkStart w:id="2791" w:name="_Toc454285032"/>
      <w:bookmarkStart w:id="2792" w:name="_Toc289932356"/>
      <w:bookmarkStart w:id="2793" w:name="_Toc462234196"/>
      <w:bookmarkStart w:id="2794" w:name="_Toc392515951"/>
      <w:bookmarkStart w:id="2795" w:name="_Toc182391607"/>
      <w:r w:rsidRPr="00B93493">
        <w:t>C.</w:t>
      </w:r>
      <w:r w:rsidRPr="00B93493">
        <w:tab/>
        <w:t>TEMPORAL UTILIZATION OF RADIOELECTRIC STATIONS</w:t>
      </w:r>
      <w:bookmarkEnd w:id="2786"/>
      <w:bookmarkEnd w:id="2787"/>
      <w:bookmarkEnd w:id="2788"/>
      <w:bookmarkEnd w:id="2789"/>
      <w:bookmarkEnd w:id="2790"/>
      <w:bookmarkEnd w:id="2791"/>
      <w:bookmarkEnd w:id="2792"/>
      <w:bookmarkEnd w:id="2793"/>
      <w:bookmarkEnd w:id="2794"/>
      <w:bookmarkEnd w:id="279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99"/>
        <w:gridCol w:w="1383"/>
        <w:gridCol w:w="1559"/>
        <w:gridCol w:w="1559"/>
      </w:tblGrid>
      <w:tr w:rsidR="00CF04BC" w:rsidRPr="00B93493" w14:paraId="0A7EA72F" w14:textId="77777777" w:rsidTr="002E7F54">
        <w:trPr>
          <w:jc w:val="center"/>
        </w:trPr>
        <w:tc>
          <w:tcPr>
            <w:tcW w:w="3539" w:type="dxa"/>
            <w:vAlign w:val="center"/>
          </w:tcPr>
          <w:p w14:paraId="198C6831" w14:textId="77777777" w:rsidR="00CF04BC" w:rsidRPr="00B93493" w:rsidRDefault="00CF04BC" w:rsidP="002E7F54">
            <w:pPr>
              <w:pStyle w:val="Tablehead"/>
            </w:pPr>
            <w:r w:rsidRPr="00B93493">
              <w:t>NETWORKS OR STATIONS</w:t>
            </w:r>
          </w:p>
        </w:tc>
        <w:tc>
          <w:tcPr>
            <w:tcW w:w="1599" w:type="dxa"/>
            <w:vAlign w:val="center"/>
          </w:tcPr>
          <w:p w14:paraId="3A85ED94" w14:textId="77777777" w:rsidR="00CF04BC" w:rsidRPr="00B93493" w:rsidRDefault="00CF04BC" w:rsidP="002E7F54">
            <w:pPr>
              <w:pStyle w:val="Tablehead"/>
            </w:pPr>
            <w:r w:rsidRPr="00B93493">
              <w:t>FEES FOR COMPILING FILES</w:t>
            </w:r>
          </w:p>
        </w:tc>
        <w:tc>
          <w:tcPr>
            <w:tcW w:w="1383" w:type="dxa"/>
            <w:vAlign w:val="center"/>
          </w:tcPr>
          <w:p w14:paraId="3EF80F12" w14:textId="77777777" w:rsidR="00CF04BC" w:rsidRPr="00B93493" w:rsidRDefault="00CF04BC" w:rsidP="002E7F54">
            <w:pPr>
              <w:pStyle w:val="Tablehead"/>
            </w:pPr>
            <w:r w:rsidRPr="00B93493">
              <w:t>Control or visit tax</w:t>
            </w:r>
          </w:p>
        </w:tc>
        <w:tc>
          <w:tcPr>
            <w:tcW w:w="1559" w:type="dxa"/>
            <w:vAlign w:val="center"/>
          </w:tcPr>
          <w:p w14:paraId="4D670A3E" w14:textId="77777777" w:rsidR="00CF04BC" w:rsidRPr="00B93493" w:rsidRDefault="00CF04BC" w:rsidP="002E7F54">
            <w:pPr>
              <w:pStyle w:val="Tablehead"/>
              <w:ind w:left="-57" w:right="-57"/>
            </w:pPr>
            <w:r w:rsidRPr="00B93493">
              <w:t xml:space="preserve">Contribution </w:t>
            </w:r>
            <w:r w:rsidRPr="00B93493">
              <w:br/>
              <w:t>for management costs</w:t>
            </w:r>
          </w:p>
        </w:tc>
        <w:tc>
          <w:tcPr>
            <w:tcW w:w="1559" w:type="dxa"/>
            <w:vAlign w:val="center"/>
          </w:tcPr>
          <w:p w14:paraId="0500CB29" w14:textId="77777777" w:rsidR="00CF04BC" w:rsidRPr="00B93493" w:rsidRDefault="00CF04BC" w:rsidP="002E7F54">
            <w:pPr>
              <w:pStyle w:val="Tablehead"/>
              <w:ind w:left="-57" w:right="-57"/>
            </w:pPr>
            <w:r w:rsidRPr="00B93493">
              <w:t xml:space="preserve">Charges for use of frequencies </w:t>
            </w:r>
            <w:r w:rsidRPr="00B93493">
              <w:br/>
              <w:t>or Radioelectric spectrum</w:t>
            </w:r>
          </w:p>
        </w:tc>
      </w:tr>
      <w:tr w:rsidR="00CF04BC" w:rsidRPr="00B93493" w14:paraId="57A2611D" w14:textId="77777777" w:rsidTr="002E7F54">
        <w:trPr>
          <w:jc w:val="center"/>
        </w:trPr>
        <w:tc>
          <w:tcPr>
            <w:tcW w:w="3539" w:type="dxa"/>
          </w:tcPr>
          <w:p w14:paraId="37E06DE6" w14:textId="77777777" w:rsidR="00CF04BC" w:rsidRPr="00B93493" w:rsidRDefault="00CF04BC" w:rsidP="00C65E6B">
            <w:pPr>
              <w:pStyle w:val="Tabletext"/>
              <w:jc w:val="left"/>
            </w:pPr>
            <w:r w:rsidRPr="00B93493">
              <w:t>Terrestrial services</w:t>
            </w:r>
          </w:p>
        </w:tc>
        <w:tc>
          <w:tcPr>
            <w:tcW w:w="1599" w:type="dxa"/>
          </w:tcPr>
          <w:p w14:paraId="37E4D065" w14:textId="77777777" w:rsidR="00CF04BC" w:rsidRPr="00B93493" w:rsidRDefault="00CF04BC" w:rsidP="00C65E6B">
            <w:pPr>
              <w:pStyle w:val="Tabletext"/>
              <w:jc w:val="left"/>
            </w:pPr>
          </w:p>
        </w:tc>
        <w:tc>
          <w:tcPr>
            <w:tcW w:w="1383" w:type="dxa"/>
          </w:tcPr>
          <w:p w14:paraId="601B833D" w14:textId="77777777" w:rsidR="00CF04BC" w:rsidRPr="00B93493" w:rsidRDefault="00CF04BC" w:rsidP="00C65E6B">
            <w:pPr>
              <w:pStyle w:val="Tabletext"/>
              <w:jc w:val="left"/>
            </w:pPr>
          </w:p>
        </w:tc>
        <w:tc>
          <w:tcPr>
            <w:tcW w:w="1559" w:type="dxa"/>
          </w:tcPr>
          <w:p w14:paraId="1A869F1E" w14:textId="77777777" w:rsidR="00CF04BC" w:rsidRPr="00B93493" w:rsidRDefault="00CF04BC" w:rsidP="00C65E6B">
            <w:pPr>
              <w:pStyle w:val="Tabletext"/>
              <w:jc w:val="left"/>
            </w:pPr>
          </w:p>
        </w:tc>
        <w:tc>
          <w:tcPr>
            <w:tcW w:w="1559" w:type="dxa"/>
          </w:tcPr>
          <w:p w14:paraId="39930137" w14:textId="77777777" w:rsidR="00CF04BC" w:rsidRPr="00B93493" w:rsidRDefault="00CF04BC" w:rsidP="00C65E6B">
            <w:pPr>
              <w:pStyle w:val="Tabletext"/>
              <w:jc w:val="left"/>
            </w:pPr>
          </w:p>
        </w:tc>
      </w:tr>
      <w:tr w:rsidR="00CF04BC" w:rsidRPr="00B93493" w14:paraId="4A806928" w14:textId="77777777" w:rsidTr="002E7F54">
        <w:trPr>
          <w:jc w:val="center"/>
        </w:trPr>
        <w:tc>
          <w:tcPr>
            <w:tcW w:w="3539" w:type="dxa"/>
          </w:tcPr>
          <w:p w14:paraId="0B746FFA" w14:textId="77777777" w:rsidR="00CF04BC" w:rsidRPr="00B93493" w:rsidRDefault="00CF04BC" w:rsidP="00C65E6B">
            <w:pPr>
              <w:pStyle w:val="Tabletext"/>
              <w:jc w:val="left"/>
            </w:pPr>
            <w:r w:rsidRPr="00B93493">
              <w:t>a1. Fixed station or base</w:t>
            </w:r>
          </w:p>
          <w:p w14:paraId="0CF88684" w14:textId="77777777" w:rsidR="00CF04BC" w:rsidRPr="00B93493" w:rsidRDefault="00CF04BC" w:rsidP="00C65E6B">
            <w:pPr>
              <w:pStyle w:val="Tabletext"/>
              <w:jc w:val="left"/>
            </w:pPr>
            <w:r w:rsidRPr="00B93493">
              <w:t>a2. Mobile station</w:t>
            </w:r>
          </w:p>
          <w:p w14:paraId="354D2E60" w14:textId="77777777" w:rsidR="00CF04BC" w:rsidRPr="00B93493" w:rsidRDefault="00CF04BC" w:rsidP="00C65E6B">
            <w:pPr>
              <w:pStyle w:val="Tabletext"/>
              <w:jc w:val="left"/>
            </w:pPr>
            <w:r w:rsidRPr="00B93493">
              <w:t>a3. Portable station</w:t>
            </w:r>
          </w:p>
          <w:p w14:paraId="6CF8EA18" w14:textId="77777777" w:rsidR="00CF04BC" w:rsidRPr="00B93493" w:rsidRDefault="00CF04BC" w:rsidP="00C65E6B">
            <w:pPr>
              <w:pStyle w:val="Tabletext"/>
              <w:jc w:val="left"/>
            </w:pPr>
          </w:p>
        </w:tc>
        <w:tc>
          <w:tcPr>
            <w:tcW w:w="1599" w:type="dxa"/>
          </w:tcPr>
          <w:p w14:paraId="24399707" w14:textId="77777777" w:rsidR="00CF04BC" w:rsidRPr="00B93493" w:rsidRDefault="00CF04BC" w:rsidP="00C65E6B">
            <w:pPr>
              <w:pStyle w:val="Tabletext"/>
              <w:jc w:val="left"/>
            </w:pPr>
            <w:r w:rsidRPr="00B93493">
              <w:t>Nothing</w:t>
            </w:r>
          </w:p>
          <w:p w14:paraId="5063A835" w14:textId="77777777" w:rsidR="00CF04BC" w:rsidRPr="00B93493" w:rsidRDefault="00CF04BC" w:rsidP="00C65E6B">
            <w:pPr>
              <w:pStyle w:val="Tabletext"/>
              <w:jc w:val="left"/>
            </w:pPr>
            <w:r w:rsidRPr="00B93493">
              <w:t xml:space="preserve">Nothing </w:t>
            </w:r>
          </w:p>
          <w:p w14:paraId="1A38C9BB" w14:textId="77777777" w:rsidR="00CF04BC" w:rsidRPr="00B93493" w:rsidRDefault="00CF04BC" w:rsidP="00C65E6B">
            <w:pPr>
              <w:pStyle w:val="Tabletext"/>
              <w:jc w:val="left"/>
            </w:pPr>
            <w:r w:rsidRPr="00B93493">
              <w:t>Nothing</w:t>
            </w:r>
          </w:p>
          <w:p w14:paraId="0F9FC18F" w14:textId="77777777" w:rsidR="00CF04BC" w:rsidRPr="00B93493" w:rsidRDefault="00CF04BC" w:rsidP="00C65E6B">
            <w:pPr>
              <w:pStyle w:val="Tabletext"/>
              <w:jc w:val="left"/>
            </w:pPr>
          </w:p>
        </w:tc>
        <w:tc>
          <w:tcPr>
            <w:tcW w:w="1383" w:type="dxa"/>
          </w:tcPr>
          <w:p w14:paraId="7ED14E62" w14:textId="77777777" w:rsidR="00CF04BC" w:rsidRPr="00B93493" w:rsidRDefault="00CF04BC" w:rsidP="00C65E6B">
            <w:pPr>
              <w:pStyle w:val="Tabletext"/>
              <w:jc w:val="left"/>
            </w:pPr>
            <w:r w:rsidRPr="00B93493">
              <w:t>11 600</w:t>
            </w:r>
          </w:p>
          <w:p w14:paraId="3EB8F1B9" w14:textId="77777777" w:rsidR="00CF04BC" w:rsidRPr="00B93493" w:rsidRDefault="00CF04BC" w:rsidP="00C65E6B">
            <w:pPr>
              <w:pStyle w:val="Tabletext"/>
              <w:jc w:val="left"/>
            </w:pPr>
            <w:r w:rsidRPr="00B93493">
              <w:t>8 700</w:t>
            </w:r>
          </w:p>
          <w:p w14:paraId="581E243E" w14:textId="77777777" w:rsidR="00CF04BC" w:rsidRPr="00B93493" w:rsidRDefault="00CF04BC" w:rsidP="00C65E6B">
            <w:pPr>
              <w:pStyle w:val="Tabletext"/>
              <w:jc w:val="left"/>
            </w:pPr>
            <w:r w:rsidRPr="00B93493">
              <w:t>5 800</w:t>
            </w:r>
          </w:p>
          <w:p w14:paraId="176136CB" w14:textId="77777777" w:rsidR="00CF04BC" w:rsidRPr="00B93493" w:rsidRDefault="00CF04BC" w:rsidP="00C65E6B">
            <w:pPr>
              <w:pStyle w:val="Tabletext"/>
              <w:jc w:val="left"/>
            </w:pPr>
          </w:p>
        </w:tc>
        <w:tc>
          <w:tcPr>
            <w:tcW w:w="1559" w:type="dxa"/>
          </w:tcPr>
          <w:p w14:paraId="077FBC2D" w14:textId="77777777" w:rsidR="00CF04BC" w:rsidRPr="00B93493" w:rsidRDefault="00CF04BC" w:rsidP="00C65E6B">
            <w:pPr>
              <w:pStyle w:val="Tabletext"/>
              <w:jc w:val="left"/>
            </w:pPr>
            <w:r w:rsidRPr="00B93493">
              <w:t>Calculated for the whole month on the prorate of utilization</w:t>
            </w:r>
          </w:p>
        </w:tc>
        <w:tc>
          <w:tcPr>
            <w:tcW w:w="1559" w:type="dxa"/>
          </w:tcPr>
          <w:p w14:paraId="4A62C730" w14:textId="77777777" w:rsidR="00CF04BC" w:rsidRPr="00B93493" w:rsidRDefault="00CF04BC" w:rsidP="00C65E6B">
            <w:pPr>
              <w:pStyle w:val="Tabletext"/>
              <w:jc w:val="left"/>
            </w:pPr>
            <w:r w:rsidRPr="00B93493">
              <w:t>Calculated for the entire month on the prorate of utilization</w:t>
            </w:r>
          </w:p>
        </w:tc>
      </w:tr>
      <w:tr w:rsidR="00CF04BC" w:rsidRPr="00B93493" w14:paraId="47C54C1A" w14:textId="77777777" w:rsidTr="002E7F54">
        <w:trPr>
          <w:jc w:val="center"/>
        </w:trPr>
        <w:tc>
          <w:tcPr>
            <w:tcW w:w="3539" w:type="dxa"/>
          </w:tcPr>
          <w:p w14:paraId="3B4F12E0" w14:textId="77777777" w:rsidR="00CF04BC" w:rsidRPr="00B93493" w:rsidRDefault="00CF04BC" w:rsidP="00C65E6B">
            <w:pPr>
              <w:pStyle w:val="Tabletext"/>
              <w:jc w:val="left"/>
            </w:pPr>
            <w:r w:rsidRPr="00B93493">
              <w:t>Spatial services</w:t>
            </w:r>
          </w:p>
        </w:tc>
        <w:tc>
          <w:tcPr>
            <w:tcW w:w="1599" w:type="dxa"/>
          </w:tcPr>
          <w:p w14:paraId="6393F211" w14:textId="77777777" w:rsidR="00CF04BC" w:rsidRPr="00B93493" w:rsidRDefault="00CF04BC" w:rsidP="00C65E6B">
            <w:pPr>
              <w:pStyle w:val="Tabletext"/>
              <w:jc w:val="left"/>
            </w:pPr>
          </w:p>
        </w:tc>
        <w:tc>
          <w:tcPr>
            <w:tcW w:w="1383" w:type="dxa"/>
          </w:tcPr>
          <w:p w14:paraId="3DBA5616" w14:textId="77777777" w:rsidR="00CF04BC" w:rsidRPr="00B93493" w:rsidRDefault="00CF04BC" w:rsidP="00C65E6B">
            <w:pPr>
              <w:pStyle w:val="Tabletext"/>
              <w:jc w:val="left"/>
            </w:pPr>
          </w:p>
        </w:tc>
        <w:tc>
          <w:tcPr>
            <w:tcW w:w="1559" w:type="dxa"/>
          </w:tcPr>
          <w:p w14:paraId="308550A7" w14:textId="77777777" w:rsidR="00CF04BC" w:rsidRPr="00B93493" w:rsidRDefault="00CF04BC" w:rsidP="00C65E6B">
            <w:pPr>
              <w:pStyle w:val="Tabletext"/>
              <w:jc w:val="left"/>
            </w:pPr>
          </w:p>
        </w:tc>
        <w:tc>
          <w:tcPr>
            <w:tcW w:w="1559" w:type="dxa"/>
          </w:tcPr>
          <w:p w14:paraId="0573D529" w14:textId="77777777" w:rsidR="00CF04BC" w:rsidRPr="00B93493" w:rsidRDefault="00CF04BC" w:rsidP="00C65E6B">
            <w:pPr>
              <w:pStyle w:val="Tabletext"/>
              <w:jc w:val="left"/>
            </w:pPr>
          </w:p>
        </w:tc>
      </w:tr>
      <w:tr w:rsidR="00CF04BC" w:rsidRPr="00B93493" w14:paraId="0E999857" w14:textId="77777777" w:rsidTr="002E7F54">
        <w:trPr>
          <w:jc w:val="center"/>
        </w:trPr>
        <w:tc>
          <w:tcPr>
            <w:tcW w:w="3539" w:type="dxa"/>
          </w:tcPr>
          <w:p w14:paraId="770562D9" w14:textId="77777777" w:rsidR="00CF04BC" w:rsidRPr="00B93493" w:rsidRDefault="00CF04BC" w:rsidP="00C65E6B">
            <w:pPr>
              <w:pStyle w:val="Tabletext"/>
              <w:jc w:val="left"/>
            </w:pPr>
            <w:r w:rsidRPr="00B93493">
              <w:t>a1. Aeronautic, coastal or earth station</w:t>
            </w:r>
          </w:p>
          <w:p w14:paraId="24AE2422" w14:textId="77777777" w:rsidR="00CF04BC" w:rsidRPr="00B93493" w:rsidRDefault="00CF04BC" w:rsidP="00C65E6B">
            <w:pPr>
              <w:pStyle w:val="Tabletext"/>
              <w:jc w:val="left"/>
            </w:pPr>
            <w:r w:rsidRPr="00B93493">
              <w:t>a2. Mobile earth station</w:t>
            </w:r>
          </w:p>
          <w:p w14:paraId="47ACE539" w14:textId="77777777" w:rsidR="00CF04BC" w:rsidRPr="00B93493" w:rsidRDefault="00CF04BC" w:rsidP="00C65E6B">
            <w:pPr>
              <w:pStyle w:val="Tabletext"/>
              <w:jc w:val="left"/>
            </w:pPr>
            <w:r w:rsidRPr="00B93493">
              <w:t>a3. Portable or mobile earth stations</w:t>
            </w:r>
          </w:p>
        </w:tc>
        <w:tc>
          <w:tcPr>
            <w:tcW w:w="1599" w:type="dxa"/>
          </w:tcPr>
          <w:p w14:paraId="4EE29060" w14:textId="77777777" w:rsidR="00CF04BC" w:rsidRPr="00B93493" w:rsidRDefault="00CF04BC" w:rsidP="00C65E6B">
            <w:pPr>
              <w:pStyle w:val="Tabletext"/>
              <w:jc w:val="left"/>
            </w:pPr>
            <w:r w:rsidRPr="00B93493">
              <w:t>Nothing, Nothing, Nothing</w:t>
            </w:r>
          </w:p>
        </w:tc>
        <w:tc>
          <w:tcPr>
            <w:tcW w:w="1383" w:type="dxa"/>
          </w:tcPr>
          <w:p w14:paraId="64C99674" w14:textId="77777777" w:rsidR="00CF04BC" w:rsidRPr="00B93493" w:rsidRDefault="00CF04BC" w:rsidP="00C65E6B">
            <w:pPr>
              <w:pStyle w:val="Tabletext"/>
              <w:jc w:val="left"/>
            </w:pPr>
            <w:r w:rsidRPr="00B93493">
              <w:t>29 000</w:t>
            </w:r>
          </w:p>
          <w:p w14:paraId="249DC958" w14:textId="77777777" w:rsidR="00CF04BC" w:rsidRPr="00B93493" w:rsidRDefault="00CF04BC" w:rsidP="00C65E6B">
            <w:pPr>
              <w:pStyle w:val="Tabletext"/>
              <w:jc w:val="left"/>
            </w:pPr>
            <w:r w:rsidRPr="00B93493">
              <w:t>17 400</w:t>
            </w:r>
          </w:p>
          <w:p w14:paraId="5441E958" w14:textId="77777777" w:rsidR="00CF04BC" w:rsidRPr="00B93493" w:rsidRDefault="00CF04BC" w:rsidP="00C65E6B">
            <w:pPr>
              <w:pStyle w:val="Tabletext"/>
              <w:jc w:val="left"/>
            </w:pPr>
            <w:r w:rsidRPr="00B93493">
              <w:t>11 600</w:t>
            </w:r>
          </w:p>
        </w:tc>
        <w:tc>
          <w:tcPr>
            <w:tcW w:w="1559" w:type="dxa"/>
          </w:tcPr>
          <w:p w14:paraId="7FA1AD88" w14:textId="77777777" w:rsidR="00CF04BC" w:rsidRPr="00B93493" w:rsidRDefault="00CF04BC" w:rsidP="00C65E6B">
            <w:pPr>
              <w:pStyle w:val="Tabletext"/>
              <w:jc w:val="left"/>
            </w:pPr>
          </w:p>
        </w:tc>
        <w:tc>
          <w:tcPr>
            <w:tcW w:w="1559" w:type="dxa"/>
          </w:tcPr>
          <w:p w14:paraId="788B2F11" w14:textId="77777777" w:rsidR="00CF04BC" w:rsidRPr="00B93493" w:rsidRDefault="00CF04BC" w:rsidP="00C65E6B">
            <w:pPr>
              <w:pStyle w:val="Tabletext"/>
              <w:jc w:val="left"/>
            </w:pPr>
          </w:p>
        </w:tc>
      </w:tr>
    </w:tbl>
    <w:p w14:paraId="3575EA25" w14:textId="77777777" w:rsidR="00CF04BC" w:rsidRPr="00B93493" w:rsidRDefault="00CF04BC" w:rsidP="00CF04BC"/>
    <w:p w14:paraId="07A44B30" w14:textId="77777777" w:rsidR="00CF04BC" w:rsidRPr="00B93493" w:rsidRDefault="00CF04BC" w:rsidP="00CF04BC">
      <w:pPr>
        <w:pStyle w:val="Headingb"/>
      </w:pPr>
      <w:bookmarkStart w:id="2796" w:name="_Toc289932357"/>
      <w:bookmarkStart w:id="2797" w:name="_Toc289868892"/>
      <w:bookmarkStart w:id="2798" w:name="_Toc392515952"/>
      <w:bookmarkStart w:id="2799" w:name="_Toc289933405"/>
      <w:bookmarkStart w:id="2800" w:name="_Toc454285033"/>
      <w:bookmarkStart w:id="2801" w:name="_Toc289869051"/>
      <w:bookmarkStart w:id="2802" w:name="_Toc291852968"/>
      <w:bookmarkStart w:id="2803" w:name="_Toc518394288"/>
      <w:bookmarkStart w:id="2804" w:name="_Toc462234197"/>
      <w:bookmarkStart w:id="2805" w:name="_Toc182391608"/>
      <w:r w:rsidRPr="00B93493">
        <w:t>D.</w:t>
      </w:r>
      <w:r w:rsidRPr="00B93493">
        <w:tab/>
        <w:t>OTHER FEES AND TAXES</w:t>
      </w:r>
      <w:bookmarkEnd w:id="2796"/>
      <w:bookmarkEnd w:id="2797"/>
      <w:bookmarkEnd w:id="2798"/>
      <w:bookmarkEnd w:id="2799"/>
      <w:bookmarkEnd w:id="2800"/>
      <w:bookmarkEnd w:id="2801"/>
      <w:bookmarkEnd w:id="2802"/>
      <w:bookmarkEnd w:id="2803"/>
      <w:bookmarkEnd w:id="2804"/>
      <w:bookmarkEnd w:id="2805"/>
    </w:p>
    <w:p w14:paraId="44E51753" w14:textId="77777777" w:rsidR="00CF04BC" w:rsidRPr="00B93493" w:rsidRDefault="00CF04BC" w:rsidP="00CF04BC">
      <w:pPr>
        <w:pStyle w:val="Headingi"/>
      </w:pPr>
      <w:bookmarkStart w:id="2806" w:name="_Toc289869052"/>
      <w:bookmarkStart w:id="2807" w:name="_Toc291852969"/>
      <w:bookmarkStart w:id="2808" w:name="_Toc289868893"/>
      <w:bookmarkStart w:id="2809" w:name="_Toc518394289"/>
      <w:bookmarkStart w:id="2810" w:name="_Toc392515953"/>
      <w:bookmarkStart w:id="2811" w:name="_Toc289932358"/>
      <w:r w:rsidRPr="00B93493">
        <w:t>I.</w:t>
      </w:r>
      <w:r w:rsidRPr="00B93493">
        <w:tab/>
        <w:t>SPECIAL EQUIPMENTS.</w:t>
      </w:r>
      <w:bookmarkEnd w:id="2806"/>
      <w:bookmarkEnd w:id="2807"/>
      <w:bookmarkEnd w:id="2808"/>
      <w:bookmarkEnd w:id="2809"/>
      <w:bookmarkEnd w:id="2810"/>
      <w:bookmarkEnd w:id="2811"/>
    </w:p>
    <w:p w14:paraId="23BCAF69" w14:textId="77777777" w:rsidR="00CF04BC" w:rsidRPr="00B93493" w:rsidRDefault="00CF04BC" w:rsidP="00CF04BC">
      <w:r w:rsidRPr="00B93493">
        <w:t>1.</w:t>
      </w:r>
      <w:r w:rsidRPr="00B93493">
        <w:tab/>
        <w:t>Transmitters and Receivers with low power or CB sets</w:t>
      </w:r>
    </w:p>
    <w:p w14:paraId="18A203F9" w14:textId="77777777" w:rsidR="00CF04BC" w:rsidRPr="00B93493" w:rsidRDefault="00CF04BC" w:rsidP="00CF04BC">
      <w:pPr>
        <w:pStyle w:val="enumlev1"/>
      </w:pPr>
      <w:r w:rsidRPr="00B93493">
        <w:t>–</w:t>
      </w:r>
      <w:r w:rsidRPr="00B93493">
        <w:tab/>
        <w:t>Annual forfeitary charge</w:t>
      </w:r>
      <w:r w:rsidRPr="00B93493">
        <w:tab/>
      </w:r>
      <w:r w:rsidRPr="00B93493">
        <w:tab/>
      </w:r>
      <w:r w:rsidRPr="00B93493">
        <w:tab/>
      </w:r>
      <w:r w:rsidRPr="00B93493">
        <w:tab/>
      </w:r>
      <w:r w:rsidRPr="00B93493">
        <w:tab/>
        <w:t>23 200 F</w:t>
      </w:r>
    </w:p>
    <w:p w14:paraId="1A7F1D1C" w14:textId="77777777" w:rsidR="00CF04BC" w:rsidRPr="00B93493" w:rsidRDefault="00CF04BC" w:rsidP="00CF04BC">
      <w:r w:rsidRPr="00B93493">
        <w:t>2.</w:t>
      </w:r>
      <w:r w:rsidRPr="00B93493">
        <w:tab/>
        <w:t>Installation of reduced command radio</w:t>
      </w:r>
    </w:p>
    <w:p w14:paraId="198C70C0" w14:textId="77777777" w:rsidR="00CF04BC" w:rsidRPr="00B93493" w:rsidRDefault="00CF04BC" w:rsidP="00CF04BC">
      <w:pPr>
        <w:pStyle w:val="enumlev1"/>
      </w:pPr>
      <w:r w:rsidRPr="00B93493">
        <w:t>–</w:t>
      </w:r>
      <w:r w:rsidRPr="00B93493">
        <w:tab/>
        <w:t>Special tax for 5 years</w:t>
      </w:r>
      <w:r w:rsidRPr="00B93493">
        <w:tab/>
      </w:r>
      <w:r w:rsidRPr="00B93493">
        <w:tab/>
      </w:r>
      <w:r w:rsidRPr="00B93493">
        <w:tab/>
      </w:r>
      <w:r w:rsidRPr="00B93493">
        <w:tab/>
      </w:r>
      <w:r w:rsidRPr="00B93493">
        <w:tab/>
        <w:t>23 200 F</w:t>
      </w:r>
    </w:p>
    <w:p w14:paraId="3BCE245B" w14:textId="77777777" w:rsidR="00CF04BC" w:rsidRPr="00B93493" w:rsidRDefault="00CF04BC" w:rsidP="00CF04BC">
      <w:pPr>
        <w:pStyle w:val="Headingi"/>
      </w:pPr>
      <w:bookmarkStart w:id="2812" w:name="_Toc289868894"/>
      <w:bookmarkStart w:id="2813" w:name="_Toc291852970"/>
      <w:bookmarkStart w:id="2814" w:name="_Toc392515954"/>
      <w:bookmarkStart w:id="2815" w:name="_Toc289869053"/>
      <w:bookmarkStart w:id="2816" w:name="_Toc289932359"/>
      <w:bookmarkStart w:id="2817" w:name="_Toc518394290"/>
      <w:r w:rsidRPr="00B93493">
        <w:t>II.</w:t>
      </w:r>
      <w:r w:rsidRPr="00B93493">
        <w:tab/>
        <w:t>LICENCE FEES/CERTIFICATE</w:t>
      </w:r>
      <w:bookmarkEnd w:id="2812"/>
      <w:bookmarkEnd w:id="2813"/>
      <w:bookmarkEnd w:id="2814"/>
      <w:bookmarkEnd w:id="2815"/>
      <w:bookmarkEnd w:id="2816"/>
      <w:bookmarkEnd w:id="2817"/>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CF04BC" w:rsidRPr="00B93493" w14:paraId="7EF3BAED" w14:textId="77777777" w:rsidTr="002E7F54">
        <w:tc>
          <w:tcPr>
            <w:tcW w:w="4253" w:type="dxa"/>
          </w:tcPr>
          <w:p w14:paraId="6E559025" w14:textId="77777777" w:rsidR="00CF04BC" w:rsidRPr="00B93493" w:rsidRDefault="00CF04BC" w:rsidP="002E7F54">
            <w:pPr>
              <w:jc w:val="center"/>
            </w:pPr>
          </w:p>
        </w:tc>
        <w:tc>
          <w:tcPr>
            <w:tcW w:w="1984" w:type="dxa"/>
          </w:tcPr>
          <w:p w14:paraId="6387DA85" w14:textId="77777777" w:rsidR="00CF04BC" w:rsidRPr="00B93493" w:rsidRDefault="00CF04BC" w:rsidP="002E7F54">
            <w:pPr>
              <w:jc w:val="center"/>
            </w:pPr>
            <w:r w:rsidRPr="00B93493">
              <w:t>Establishing</w:t>
            </w:r>
          </w:p>
        </w:tc>
        <w:tc>
          <w:tcPr>
            <w:tcW w:w="1843" w:type="dxa"/>
          </w:tcPr>
          <w:p w14:paraId="6DD6FC8D" w14:textId="77777777" w:rsidR="00CF04BC" w:rsidRPr="00B93493" w:rsidRDefault="00CF04BC" w:rsidP="002E7F54">
            <w:pPr>
              <w:jc w:val="center"/>
            </w:pPr>
            <w:r w:rsidRPr="00B93493">
              <w:t>Renewal</w:t>
            </w:r>
          </w:p>
        </w:tc>
        <w:tc>
          <w:tcPr>
            <w:tcW w:w="1559" w:type="dxa"/>
          </w:tcPr>
          <w:p w14:paraId="6BA39E10" w14:textId="77777777" w:rsidR="00CF04BC" w:rsidRPr="00B93493" w:rsidRDefault="00CF04BC" w:rsidP="002E7F54">
            <w:pPr>
              <w:jc w:val="center"/>
            </w:pPr>
            <w:r w:rsidRPr="00B93493">
              <w:t>Duplicata</w:t>
            </w:r>
          </w:p>
        </w:tc>
      </w:tr>
      <w:tr w:rsidR="00CF04BC" w:rsidRPr="00B93493" w14:paraId="2C74559D" w14:textId="77777777" w:rsidTr="002E7F54">
        <w:tc>
          <w:tcPr>
            <w:tcW w:w="4253" w:type="dxa"/>
          </w:tcPr>
          <w:p w14:paraId="675724AF" w14:textId="77777777" w:rsidR="00CF04BC" w:rsidRPr="00B93493" w:rsidRDefault="00CF04BC" w:rsidP="002E7F54">
            <w:r w:rsidRPr="00B93493">
              <w:t>1. Amateur station aeronautic or ship</w:t>
            </w:r>
          </w:p>
        </w:tc>
        <w:tc>
          <w:tcPr>
            <w:tcW w:w="1984" w:type="dxa"/>
          </w:tcPr>
          <w:p w14:paraId="152740E4" w14:textId="77777777" w:rsidR="00CF04BC" w:rsidRPr="00B93493" w:rsidRDefault="00CF04BC" w:rsidP="00C65E6B">
            <w:pPr>
              <w:tabs>
                <w:tab w:val="decimal" w:pos="850"/>
              </w:tabs>
              <w:jc w:val="center"/>
            </w:pPr>
            <w:r w:rsidRPr="00B93493">
              <w:t>5 800</w:t>
            </w:r>
          </w:p>
        </w:tc>
        <w:tc>
          <w:tcPr>
            <w:tcW w:w="1843" w:type="dxa"/>
          </w:tcPr>
          <w:p w14:paraId="1DF13336" w14:textId="77777777" w:rsidR="00CF04BC" w:rsidRPr="00B93493" w:rsidRDefault="00CF04BC" w:rsidP="00C65E6B">
            <w:pPr>
              <w:tabs>
                <w:tab w:val="decimal" w:pos="851"/>
              </w:tabs>
              <w:jc w:val="center"/>
            </w:pPr>
            <w:r w:rsidRPr="00B93493">
              <w:t>5 800</w:t>
            </w:r>
          </w:p>
        </w:tc>
        <w:tc>
          <w:tcPr>
            <w:tcW w:w="1559" w:type="dxa"/>
          </w:tcPr>
          <w:p w14:paraId="494663ED" w14:textId="77777777" w:rsidR="00CF04BC" w:rsidRPr="00B93493" w:rsidRDefault="00CF04BC" w:rsidP="00C65E6B">
            <w:pPr>
              <w:tabs>
                <w:tab w:val="decimal" w:pos="709"/>
              </w:tabs>
              <w:jc w:val="center"/>
            </w:pPr>
            <w:r w:rsidRPr="00B93493">
              <w:t>11 600</w:t>
            </w:r>
          </w:p>
        </w:tc>
      </w:tr>
      <w:tr w:rsidR="00CF04BC" w:rsidRPr="00B93493" w14:paraId="2A27315A" w14:textId="77777777" w:rsidTr="002E7F54">
        <w:tc>
          <w:tcPr>
            <w:tcW w:w="4253" w:type="dxa"/>
          </w:tcPr>
          <w:p w14:paraId="06052BB3" w14:textId="77777777" w:rsidR="00CF04BC" w:rsidRPr="00B93493" w:rsidRDefault="00CF04BC" w:rsidP="002E7F54">
            <w:r w:rsidRPr="00B93493">
              <w:t>2. Amateur Earth Station aeronautic/Ship</w:t>
            </w:r>
          </w:p>
        </w:tc>
        <w:tc>
          <w:tcPr>
            <w:tcW w:w="1984" w:type="dxa"/>
          </w:tcPr>
          <w:p w14:paraId="0F6A2655" w14:textId="77777777" w:rsidR="00CF04BC" w:rsidRPr="00B93493" w:rsidRDefault="00CF04BC" w:rsidP="00C65E6B">
            <w:pPr>
              <w:tabs>
                <w:tab w:val="decimal" w:pos="850"/>
              </w:tabs>
              <w:jc w:val="center"/>
            </w:pPr>
            <w:r w:rsidRPr="00B93493">
              <w:t>11 600</w:t>
            </w:r>
          </w:p>
        </w:tc>
        <w:tc>
          <w:tcPr>
            <w:tcW w:w="1843" w:type="dxa"/>
          </w:tcPr>
          <w:p w14:paraId="764D361C" w14:textId="77777777" w:rsidR="00CF04BC" w:rsidRPr="00B93493" w:rsidRDefault="00CF04BC" w:rsidP="00C65E6B">
            <w:pPr>
              <w:tabs>
                <w:tab w:val="decimal" w:pos="851"/>
              </w:tabs>
              <w:jc w:val="center"/>
            </w:pPr>
            <w:r w:rsidRPr="00B93493">
              <w:t>11 600</w:t>
            </w:r>
          </w:p>
        </w:tc>
        <w:tc>
          <w:tcPr>
            <w:tcW w:w="1559" w:type="dxa"/>
          </w:tcPr>
          <w:p w14:paraId="0B21C8F6" w14:textId="77777777" w:rsidR="00CF04BC" w:rsidRPr="00B93493" w:rsidRDefault="00CF04BC" w:rsidP="00C65E6B">
            <w:pPr>
              <w:tabs>
                <w:tab w:val="decimal" w:pos="709"/>
              </w:tabs>
              <w:jc w:val="center"/>
            </w:pPr>
            <w:r w:rsidRPr="00B93493">
              <w:t>23 200</w:t>
            </w:r>
          </w:p>
        </w:tc>
      </w:tr>
      <w:tr w:rsidR="00CF04BC" w:rsidRPr="00B93493" w14:paraId="64481267" w14:textId="77777777" w:rsidTr="002E7F54">
        <w:tc>
          <w:tcPr>
            <w:tcW w:w="4253" w:type="dxa"/>
          </w:tcPr>
          <w:p w14:paraId="3C9D1513" w14:textId="77777777" w:rsidR="00CF04BC" w:rsidRPr="00B93493" w:rsidRDefault="00CF04BC" w:rsidP="002E7F54">
            <w:r w:rsidRPr="00B93493">
              <w:t>3. Operator’s certificate</w:t>
            </w:r>
          </w:p>
        </w:tc>
        <w:tc>
          <w:tcPr>
            <w:tcW w:w="1984" w:type="dxa"/>
          </w:tcPr>
          <w:p w14:paraId="713E4966" w14:textId="77777777" w:rsidR="00CF04BC" w:rsidRPr="00B93493" w:rsidRDefault="00CF04BC" w:rsidP="00C65E6B">
            <w:pPr>
              <w:tabs>
                <w:tab w:val="decimal" w:pos="850"/>
              </w:tabs>
              <w:jc w:val="center"/>
            </w:pPr>
            <w:r w:rsidRPr="00B93493">
              <w:t>5 800</w:t>
            </w:r>
          </w:p>
        </w:tc>
        <w:tc>
          <w:tcPr>
            <w:tcW w:w="1843" w:type="dxa"/>
          </w:tcPr>
          <w:p w14:paraId="7D92C38A" w14:textId="77777777" w:rsidR="00CF04BC" w:rsidRPr="00B93493" w:rsidRDefault="00CF04BC" w:rsidP="00C65E6B">
            <w:pPr>
              <w:tabs>
                <w:tab w:val="decimal" w:pos="851"/>
              </w:tabs>
              <w:jc w:val="center"/>
            </w:pPr>
            <w:r w:rsidRPr="00B93493">
              <w:t>–</w:t>
            </w:r>
          </w:p>
        </w:tc>
        <w:tc>
          <w:tcPr>
            <w:tcW w:w="1559" w:type="dxa"/>
          </w:tcPr>
          <w:p w14:paraId="02647E25" w14:textId="77777777" w:rsidR="00CF04BC" w:rsidRPr="00B93493" w:rsidRDefault="00CF04BC" w:rsidP="00C65E6B">
            <w:pPr>
              <w:tabs>
                <w:tab w:val="decimal" w:pos="709"/>
              </w:tabs>
              <w:jc w:val="center"/>
            </w:pPr>
            <w:r w:rsidRPr="00B93493">
              <w:t>11 600</w:t>
            </w:r>
          </w:p>
        </w:tc>
      </w:tr>
    </w:tbl>
    <w:p w14:paraId="3BF6E5C4" w14:textId="77777777" w:rsidR="00CF04BC" w:rsidRPr="00B93493" w:rsidRDefault="00CF04BC" w:rsidP="00CF04BC">
      <w:pPr>
        <w:pStyle w:val="Headingi"/>
      </w:pPr>
      <w:bookmarkStart w:id="2818" w:name="_Toc392515955"/>
      <w:bookmarkStart w:id="2819" w:name="_Toc289869054"/>
      <w:bookmarkStart w:id="2820" w:name="_Toc518394291"/>
      <w:bookmarkStart w:id="2821" w:name="_Toc289868895"/>
      <w:bookmarkStart w:id="2822" w:name="_Toc291852971"/>
      <w:bookmarkStart w:id="2823" w:name="_Toc289932360"/>
      <w:r w:rsidRPr="00B93493">
        <w:t>III.</w:t>
      </w:r>
      <w:r w:rsidRPr="00B93493">
        <w:tab/>
        <w:t>EXAM FEES FOR THE ISSUE OF OPERATOR’S CERTIFICATE</w:t>
      </w:r>
      <w:bookmarkEnd w:id="2818"/>
      <w:bookmarkEnd w:id="2819"/>
      <w:bookmarkEnd w:id="2820"/>
      <w:bookmarkEnd w:id="2821"/>
      <w:bookmarkEnd w:id="2822"/>
      <w:bookmarkEnd w:id="2823"/>
    </w:p>
    <w:p w14:paraId="09D973B6" w14:textId="77777777" w:rsidR="00CF04BC" w:rsidRPr="00B93493" w:rsidRDefault="00CF04BC" w:rsidP="00CF04BC">
      <w:r w:rsidRPr="00B93493">
        <w:t>1. Radiotelegraphic operator for ship station</w:t>
      </w:r>
      <w:r w:rsidRPr="00B93493">
        <w:tab/>
      </w:r>
    </w:p>
    <w:p w14:paraId="7638C8FB" w14:textId="77777777" w:rsidR="00CF04BC" w:rsidRPr="00B93493" w:rsidRDefault="00CF04BC" w:rsidP="00CF04BC">
      <w:r w:rsidRPr="00B93493">
        <w:t>a. General certificate for radiocommunications operator</w:t>
      </w:r>
      <w:r w:rsidRPr="00B93493">
        <w:tab/>
      </w:r>
      <w:r w:rsidRPr="00B93493">
        <w:tab/>
        <w:t>58 000F</w:t>
      </w:r>
    </w:p>
    <w:p w14:paraId="7B834A67" w14:textId="77777777" w:rsidR="00CF04BC" w:rsidRPr="00B93493" w:rsidRDefault="00CF04BC" w:rsidP="00CF04BC">
      <w:r w:rsidRPr="00B93493">
        <w:t>b. First class radiotelegraphic operator</w:t>
      </w:r>
      <w:r w:rsidRPr="00B93493">
        <w:tab/>
      </w:r>
      <w:r w:rsidRPr="00B93493">
        <w:tab/>
      </w:r>
      <w:r w:rsidRPr="00B93493">
        <w:tab/>
      </w:r>
      <w:r w:rsidRPr="00B93493">
        <w:tab/>
        <w:t>29 000F</w:t>
      </w:r>
    </w:p>
    <w:p w14:paraId="76CA501E" w14:textId="77777777" w:rsidR="00CF04BC" w:rsidRPr="00B93493" w:rsidRDefault="00CF04BC" w:rsidP="00CF04BC">
      <w:r w:rsidRPr="00B93493">
        <w:t>c. Second class radiotelegraphic operator</w:t>
      </w:r>
      <w:r w:rsidRPr="00B93493">
        <w:tab/>
      </w:r>
      <w:r w:rsidRPr="00B93493">
        <w:tab/>
      </w:r>
      <w:r w:rsidRPr="00B93493">
        <w:tab/>
      </w:r>
      <w:r w:rsidRPr="00B93493">
        <w:tab/>
        <w:t>29 000F</w:t>
      </w:r>
    </w:p>
    <w:p w14:paraId="4A709518" w14:textId="77777777" w:rsidR="00CF04BC" w:rsidRPr="00B93493" w:rsidRDefault="00CF04BC" w:rsidP="00CF04BC">
      <w:r w:rsidRPr="00B93493">
        <w:t>d. Special radiotelegraphic operator certificate</w:t>
      </w:r>
      <w:r w:rsidRPr="00B93493">
        <w:tab/>
      </w:r>
      <w:r w:rsidRPr="00B93493">
        <w:tab/>
      </w:r>
      <w:r w:rsidRPr="00B93493">
        <w:tab/>
        <w:t>29 000F</w:t>
      </w:r>
    </w:p>
    <w:p w14:paraId="5C149FD8" w14:textId="77777777" w:rsidR="00CF04BC" w:rsidRPr="00B93493" w:rsidRDefault="00CF04BC" w:rsidP="00CF04BC">
      <w:r w:rsidRPr="00B93493">
        <w:t>2. Radiotelegraphist for aeronautic or ship stations</w:t>
      </w:r>
    </w:p>
    <w:p w14:paraId="1E45116A" w14:textId="77777777" w:rsidR="00CF04BC" w:rsidRPr="00B93493" w:rsidRDefault="00CF04BC" w:rsidP="00CF04BC">
      <w:r w:rsidRPr="00B93493">
        <w:t>a. General certificate</w:t>
      </w:r>
      <w:r w:rsidRPr="00B93493">
        <w:tab/>
      </w:r>
      <w:r w:rsidRPr="00B93493">
        <w:tab/>
      </w:r>
      <w:r w:rsidRPr="00B93493">
        <w:tab/>
      </w:r>
      <w:r w:rsidRPr="00B93493">
        <w:tab/>
      </w:r>
      <w:r w:rsidRPr="00B93493">
        <w:tab/>
      </w:r>
      <w:r w:rsidRPr="00B93493">
        <w:tab/>
      </w:r>
      <w:r w:rsidRPr="00B93493">
        <w:tab/>
        <w:t>14 500F</w:t>
      </w:r>
    </w:p>
    <w:p w14:paraId="5AB9D138" w14:textId="6C43F229" w:rsidR="00CF04BC" w:rsidRPr="00B93493" w:rsidRDefault="00CF04BC" w:rsidP="00CF04BC">
      <w:r w:rsidRPr="00B93493">
        <w:t>b. Restricted certificate</w:t>
      </w:r>
      <w:r w:rsidRPr="00B93493">
        <w:tab/>
      </w:r>
      <w:r w:rsidRPr="00B93493">
        <w:tab/>
      </w:r>
      <w:r w:rsidRPr="00B93493">
        <w:tab/>
      </w:r>
      <w:r w:rsidRPr="00B93493">
        <w:tab/>
      </w:r>
      <w:r w:rsidRPr="00B93493">
        <w:tab/>
      </w:r>
      <w:r w:rsidRPr="00B93493">
        <w:tab/>
        <w:t>14 500F</w:t>
      </w:r>
    </w:p>
    <w:p w14:paraId="259C36A6" w14:textId="77777777" w:rsidR="00CF04BC" w:rsidRPr="00B93493" w:rsidRDefault="00CF04BC" w:rsidP="00CF04BC">
      <w:r w:rsidRPr="00B93493">
        <w:t>3. Operator’s certificate for Radio amateur station</w:t>
      </w:r>
    </w:p>
    <w:p w14:paraId="74E947F5" w14:textId="00DF24E6" w:rsidR="00CF04BC" w:rsidRPr="00B93493" w:rsidRDefault="00CF04BC" w:rsidP="00CF04BC">
      <w:r w:rsidRPr="00B93493">
        <w:t>a. Radiotelegraphist</w:t>
      </w:r>
      <w:r w:rsidRPr="00B93493">
        <w:tab/>
      </w:r>
      <w:r w:rsidRPr="00B93493">
        <w:tab/>
      </w:r>
      <w:r w:rsidRPr="00B93493">
        <w:tab/>
      </w:r>
      <w:r w:rsidRPr="00B93493">
        <w:tab/>
      </w:r>
      <w:r w:rsidRPr="00B93493">
        <w:tab/>
      </w:r>
      <w:r w:rsidRPr="00B93493">
        <w:tab/>
      </w:r>
      <w:r w:rsidRPr="00B93493">
        <w:tab/>
      </w:r>
      <w:r w:rsidR="00C65E6B">
        <w:tab/>
      </w:r>
      <w:r w:rsidRPr="00B93493">
        <w:t>14 500F</w:t>
      </w:r>
    </w:p>
    <w:p w14:paraId="347A710C" w14:textId="77777777" w:rsidR="00CF04BC" w:rsidRPr="00B93493" w:rsidRDefault="00CF04BC" w:rsidP="00CF04BC">
      <w:r w:rsidRPr="00B93493">
        <w:t>b. Radiotelephonic operator</w:t>
      </w:r>
      <w:r w:rsidRPr="00B93493">
        <w:tab/>
      </w:r>
      <w:r w:rsidRPr="00B93493">
        <w:tab/>
      </w:r>
      <w:r w:rsidRPr="00B93493">
        <w:tab/>
      </w:r>
      <w:r w:rsidRPr="00B93493">
        <w:tab/>
      </w:r>
      <w:r w:rsidRPr="00B93493">
        <w:tab/>
      </w:r>
      <w:r w:rsidRPr="00B93493">
        <w:tab/>
        <w:t>14 500F</w:t>
      </w:r>
    </w:p>
    <w:p w14:paraId="584FBAB1" w14:textId="77777777" w:rsidR="00CF04BC" w:rsidRPr="00B93493" w:rsidRDefault="00CF04BC" w:rsidP="00CF04BC">
      <w:pPr>
        <w:pStyle w:val="Headingi"/>
      </w:pPr>
      <w:bookmarkStart w:id="2824" w:name="_Toc289869055"/>
      <w:bookmarkStart w:id="2825" w:name="_Toc289932361"/>
      <w:bookmarkStart w:id="2826" w:name="_Toc518394292"/>
      <w:bookmarkStart w:id="2827" w:name="_Toc392515956"/>
      <w:bookmarkStart w:id="2828" w:name="_Toc289868896"/>
      <w:bookmarkStart w:id="2829" w:name="_Toc291852972"/>
      <w:r w:rsidRPr="00B93493">
        <w:t>IV.</w:t>
      </w:r>
      <w:r w:rsidRPr="00B93493">
        <w:tab/>
        <w:t>FEES FOR THE ISSUANCE OF AUTHORIZATIONS</w:t>
      </w:r>
      <w:bookmarkEnd w:id="2824"/>
      <w:bookmarkEnd w:id="2825"/>
      <w:bookmarkEnd w:id="2826"/>
      <w:bookmarkEnd w:id="2827"/>
      <w:bookmarkEnd w:id="2828"/>
      <w:bookmarkEnd w:id="2829"/>
    </w:p>
    <w:p w14:paraId="05B9F045" w14:textId="545841FA" w:rsidR="00CF04BC" w:rsidRPr="00B93493" w:rsidRDefault="00CF04BC" w:rsidP="00C65E6B">
      <w:pPr>
        <w:tabs>
          <w:tab w:val="clear" w:pos="1985"/>
          <w:tab w:val="left" w:pos="3261"/>
        </w:tabs>
      </w:pPr>
      <w:r w:rsidRPr="00B93493">
        <w:tab/>
      </w:r>
      <w:r w:rsidRPr="00B93493">
        <w:tab/>
      </w:r>
      <w:r w:rsidRPr="00B93493">
        <w:tab/>
      </w:r>
      <w:r w:rsidRPr="00B93493">
        <w:tab/>
      </w:r>
      <w:r w:rsidR="00C65E6B">
        <w:tab/>
      </w:r>
      <w:r w:rsidRPr="00B93493">
        <w:t>Fees for compiling file</w:t>
      </w:r>
      <w:r w:rsidR="00C65E6B">
        <w:tab/>
      </w:r>
      <w:r w:rsidRPr="00B93493">
        <w:t>Authorization charge</w:t>
      </w:r>
    </w:p>
    <w:p w14:paraId="494343FC" w14:textId="6F4155C6" w:rsidR="00CF04BC" w:rsidRPr="005112C3" w:rsidRDefault="00CF04BC" w:rsidP="00C65E6B">
      <w:pPr>
        <w:tabs>
          <w:tab w:val="clear" w:pos="1985"/>
          <w:tab w:val="left" w:pos="3261"/>
        </w:tabs>
        <w:rPr>
          <w:lang w:val="de-CH"/>
        </w:rPr>
      </w:pPr>
      <w:r w:rsidRPr="005112C3">
        <w:rPr>
          <w:lang w:val="de-CH"/>
        </w:rPr>
        <w:t>1. Private installer</w:t>
      </w:r>
      <w:r w:rsidRPr="005112C3">
        <w:rPr>
          <w:lang w:val="de-CH"/>
        </w:rPr>
        <w:tab/>
      </w:r>
      <w:r w:rsidRPr="005112C3">
        <w:rPr>
          <w:lang w:val="de-CH"/>
        </w:rPr>
        <w:tab/>
      </w:r>
      <w:r w:rsidRPr="005112C3">
        <w:rPr>
          <w:lang w:val="de-CH"/>
        </w:rPr>
        <w:tab/>
        <w:t xml:space="preserve">58 000F </w:t>
      </w:r>
      <w:r w:rsidRPr="005112C3">
        <w:rPr>
          <w:lang w:val="de-CH"/>
        </w:rPr>
        <w:tab/>
      </w:r>
      <w:r w:rsidRPr="005112C3">
        <w:rPr>
          <w:lang w:val="de-CH"/>
        </w:rPr>
        <w:tab/>
        <w:t>348 000F</w:t>
      </w:r>
    </w:p>
    <w:p w14:paraId="3493E7E0" w14:textId="5CED93A8" w:rsidR="00CF04BC" w:rsidRPr="005112C3" w:rsidRDefault="00CF04BC" w:rsidP="00C65E6B">
      <w:pPr>
        <w:tabs>
          <w:tab w:val="clear" w:pos="1985"/>
          <w:tab w:val="left" w:pos="3261"/>
        </w:tabs>
        <w:rPr>
          <w:lang w:val="de-CH"/>
        </w:rPr>
      </w:pPr>
      <w:r w:rsidRPr="005112C3">
        <w:rPr>
          <w:lang w:val="de-CH"/>
        </w:rPr>
        <w:t>2. Reseller</w:t>
      </w:r>
      <w:r w:rsidRPr="005112C3">
        <w:rPr>
          <w:lang w:val="de-CH"/>
        </w:rPr>
        <w:tab/>
      </w:r>
      <w:r w:rsidRPr="005112C3">
        <w:rPr>
          <w:lang w:val="de-CH"/>
        </w:rPr>
        <w:tab/>
      </w:r>
      <w:r w:rsidRPr="005112C3">
        <w:rPr>
          <w:lang w:val="de-CH"/>
        </w:rPr>
        <w:tab/>
      </w:r>
      <w:r w:rsidRPr="005112C3">
        <w:rPr>
          <w:lang w:val="de-CH"/>
        </w:rPr>
        <w:tab/>
      </w:r>
      <w:r w:rsidRPr="005112C3">
        <w:rPr>
          <w:lang w:val="de-CH"/>
        </w:rPr>
        <w:tab/>
        <w:t>58 000F</w:t>
      </w:r>
      <w:r w:rsidRPr="005112C3">
        <w:rPr>
          <w:lang w:val="de-CH"/>
        </w:rPr>
        <w:tab/>
      </w:r>
      <w:r w:rsidRPr="005112C3">
        <w:rPr>
          <w:lang w:val="de-CH"/>
        </w:rPr>
        <w:tab/>
        <w:t>145 000F</w:t>
      </w:r>
    </w:p>
    <w:p w14:paraId="2933413C" w14:textId="77777777" w:rsidR="00CF04BC" w:rsidRPr="00B93493" w:rsidRDefault="00CF04BC" w:rsidP="00CF04BC">
      <w:r w:rsidRPr="00B93493">
        <w:t>3. Simple Terminal Equipment</w:t>
      </w:r>
      <w:r w:rsidRPr="00B93493">
        <w:tab/>
      </w:r>
      <w:r w:rsidRPr="00B93493">
        <w:tab/>
        <w:t xml:space="preserve">  5 800F</w:t>
      </w:r>
      <w:r w:rsidRPr="00B93493">
        <w:tab/>
      </w:r>
      <w:r w:rsidRPr="00B93493">
        <w:tab/>
        <w:t xml:space="preserve">  58 000F</w:t>
      </w:r>
    </w:p>
    <w:p w14:paraId="2E5A71DD" w14:textId="77777777" w:rsidR="00CF04BC" w:rsidRPr="00B93493" w:rsidRDefault="00CF04BC" w:rsidP="00CF04BC">
      <w:r w:rsidRPr="00B93493">
        <w:t>4. Complex Terminal Equipment</w:t>
      </w:r>
      <w:r w:rsidRPr="00B93493">
        <w:tab/>
      </w:r>
      <w:r w:rsidRPr="00B93493">
        <w:tab/>
        <w:t>11 600F</w:t>
      </w:r>
      <w:r w:rsidRPr="00B93493">
        <w:tab/>
      </w:r>
      <w:r w:rsidRPr="00B93493">
        <w:tab/>
        <w:t>116 000F</w:t>
      </w:r>
    </w:p>
    <w:p w14:paraId="5ECF07AC" w14:textId="77777777" w:rsidR="00CF04BC" w:rsidRPr="00B93493" w:rsidRDefault="00CF04BC" w:rsidP="00CF04BC">
      <w:pPr>
        <w:pStyle w:val="Headingi"/>
      </w:pPr>
      <w:bookmarkStart w:id="2830" w:name="_Toc289868897"/>
      <w:bookmarkStart w:id="2831" w:name="_Toc518394293"/>
      <w:bookmarkStart w:id="2832" w:name="_Toc289932362"/>
      <w:bookmarkStart w:id="2833" w:name="_Toc289869056"/>
      <w:bookmarkStart w:id="2834" w:name="_Toc392515957"/>
      <w:bookmarkStart w:id="2835" w:name="_Toc291852973"/>
      <w:r w:rsidRPr="00B93493">
        <w:t>V.</w:t>
      </w:r>
      <w:r w:rsidRPr="00B93493">
        <w:tab/>
        <w:t>TAX FOR INTERVENING IN THE NETWORKS</w:t>
      </w:r>
      <w:bookmarkEnd w:id="2830"/>
      <w:bookmarkEnd w:id="2831"/>
      <w:bookmarkEnd w:id="2832"/>
      <w:bookmarkEnd w:id="2833"/>
      <w:bookmarkEnd w:id="2834"/>
      <w:bookmarkEnd w:id="2835"/>
    </w:p>
    <w:p w14:paraId="476629E6" w14:textId="7ECE1C38" w:rsidR="00CF04BC" w:rsidRPr="00B93493" w:rsidRDefault="00CF04BC" w:rsidP="00CF04BC">
      <w:r w:rsidRPr="00B93493">
        <w:t>1. Interference</w:t>
      </w:r>
      <w:r w:rsidRPr="00B93493">
        <w:tab/>
      </w:r>
      <w:r w:rsidRPr="00B93493">
        <w:tab/>
      </w:r>
      <w:r w:rsidRPr="00B93493">
        <w:tab/>
      </w:r>
      <w:r w:rsidRPr="00B93493">
        <w:tab/>
      </w:r>
      <w:r w:rsidRPr="00B93493">
        <w:tab/>
      </w:r>
      <w:r w:rsidRPr="00B93493">
        <w:tab/>
      </w:r>
      <w:r w:rsidRPr="00B93493">
        <w:tab/>
      </w:r>
      <w:r w:rsidR="00C65E6B">
        <w:tab/>
      </w:r>
      <w:r w:rsidRPr="00B93493">
        <w:tab/>
        <w:t>116 000F</w:t>
      </w:r>
    </w:p>
    <w:p w14:paraId="35624348" w14:textId="77777777" w:rsidR="00CF04BC" w:rsidRPr="00B93493" w:rsidRDefault="00CF04BC" w:rsidP="00CF04BC">
      <w:r w:rsidRPr="00B93493">
        <w:t xml:space="preserve">2. Non conformity of installations </w:t>
      </w:r>
      <w:r w:rsidRPr="00B93493">
        <w:tab/>
      </w:r>
      <w:r w:rsidRPr="00B93493">
        <w:tab/>
      </w:r>
      <w:r w:rsidRPr="00B93493">
        <w:tab/>
      </w:r>
      <w:r w:rsidRPr="00B93493">
        <w:tab/>
      </w:r>
      <w:r w:rsidRPr="00B93493">
        <w:tab/>
        <w:t>145 000F</w:t>
      </w:r>
    </w:p>
    <w:p w14:paraId="15BBFC1F" w14:textId="77777777" w:rsidR="00CF04BC" w:rsidRPr="00B93493" w:rsidRDefault="00CF04BC" w:rsidP="00CF04BC">
      <w:r w:rsidRPr="00B93493">
        <w:t>3. Miscellaneous</w:t>
      </w:r>
      <w:r w:rsidRPr="00B93493">
        <w:tab/>
      </w:r>
      <w:r w:rsidRPr="00B93493">
        <w:tab/>
      </w:r>
      <w:r w:rsidRPr="00B93493">
        <w:tab/>
      </w:r>
      <w:r w:rsidRPr="00B93493">
        <w:tab/>
      </w:r>
      <w:r w:rsidRPr="00B93493">
        <w:tab/>
      </w:r>
      <w:r w:rsidRPr="00B93493">
        <w:tab/>
      </w:r>
      <w:r w:rsidRPr="00B93493">
        <w:tab/>
      </w:r>
      <w:r w:rsidRPr="00B93493">
        <w:tab/>
        <w:t xml:space="preserve">  58 000F</w:t>
      </w:r>
    </w:p>
    <w:p w14:paraId="67C3F85E" w14:textId="77777777" w:rsidR="00CF04BC" w:rsidRPr="00B93493" w:rsidRDefault="00CF04BC" w:rsidP="00CF04BC">
      <w:pPr>
        <w:pStyle w:val="Headingi"/>
      </w:pPr>
      <w:bookmarkStart w:id="2836" w:name="_Toc518394294"/>
      <w:bookmarkStart w:id="2837" w:name="_Toc289932363"/>
      <w:bookmarkStart w:id="2838" w:name="_Toc291852974"/>
      <w:bookmarkStart w:id="2839" w:name="_Toc392515958"/>
      <w:bookmarkStart w:id="2840" w:name="_Toc289869057"/>
      <w:bookmarkStart w:id="2841" w:name="_Toc289868898"/>
      <w:r w:rsidRPr="00B93493">
        <w:t>VI.</w:t>
      </w:r>
      <w:r w:rsidRPr="00B93493">
        <w:tab/>
        <w:t>LABELLING</w:t>
      </w:r>
      <w:bookmarkEnd w:id="2836"/>
      <w:bookmarkEnd w:id="2837"/>
      <w:bookmarkEnd w:id="2838"/>
      <w:bookmarkEnd w:id="2839"/>
      <w:bookmarkEnd w:id="2840"/>
      <w:bookmarkEnd w:id="2841"/>
    </w:p>
    <w:p w14:paraId="641C1672" w14:textId="52AD8A23" w:rsidR="00CF04BC" w:rsidRPr="00B93493" w:rsidRDefault="00CF04BC" w:rsidP="00CF04BC">
      <w:r w:rsidRPr="00B93493">
        <w:t>1. Fixed set</w:t>
      </w:r>
      <w:r w:rsidRPr="00B93493">
        <w:tab/>
      </w:r>
      <w:r w:rsidRPr="00B93493">
        <w:tab/>
      </w:r>
      <w:r w:rsidRPr="00B93493">
        <w:tab/>
      </w:r>
      <w:r w:rsidRPr="00B93493">
        <w:tab/>
      </w:r>
      <w:r w:rsidRPr="00B93493">
        <w:tab/>
      </w:r>
      <w:r w:rsidRPr="00B93493">
        <w:tab/>
      </w:r>
      <w:r w:rsidRPr="00B93493">
        <w:tab/>
      </w:r>
      <w:r w:rsidRPr="00B93493">
        <w:tab/>
      </w:r>
      <w:r w:rsidRPr="00B93493">
        <w:tab/>
      </w:r>
      <w:r w:rsidR="00C65E6B">
        <w:tab/>
      </w:r>
      <w:r w:rsidRPr="00B93493">
        <w:t>2 900F</w:t>
      </w:r>
    </w:p>
    <w:p w14:paraId="24960DA0" w14:textId="03D2D0B0" w:rsidR="00CF04BC" w:rsidRPr="00B93493" w:rsidRDefault="00CF04BC" w:rsidP="00CF04BC">
      <w:r w:rsidRPr="00B93493">
        <w:t>2. Mobile set</w:t>
      </w:r>
      <w:r w:rsidRPr="00B93493">
        <w:tab/>
      </w:r>
      <w:r w:rsidRPr="00B93493">
        <w:tab/>
      </w:r>
      <w:r w:rsidRPr="00B93493">
        <w:tab/>
      </w:r>
      <w:r w:rsidRPr="00B93493">
        <w:tab/>
      </w:r>
      <w:r w:rsidRPr="00B93493">
        <w:tab/>
      </w:r>
      <w:r w:rsidRPr="00B93493">
        <w:tab/>
      </w:r>
      <w:r w:rsidRPr="00B93493">
        <w:tab/>
      </w:r>
      <w:r w:rsidRPr="00B93493">
        <w:tab/>
      </w:r>
      <w:r w:rsidR="00C65E6B">
        <w:tab/>
      </w:r>
      <w:r w:rsidRPr="00B93493">
        <w:t>1 740F</w:t>
      </w:r>
    </w:p>
    <w:p w14:paraId="2B95706B" w14:textId="22A27DA1" w:rsidR="00CF04BC" w:rsidRPr="00B93493" w:rsidRDefault="00CF04BC" w:rsidP="00CF04BC">
      <w:r w:rsidRPr="00B93493">
        <w:t>3. Handheld set</w:t>
      </w:r>
      <w:r w:rsidRPr="00B93493">
        <w:tab/>
      </w:r>
      <w:r w:rsidRPr="00B93493">
        <w:tab/>
      </w:r>
      <w:r w:rsidRPr="00B93493">
        <w:tab/>
      </w:r>
      <w:r w:rsidRPr="00B93493">
        <w:tab/>
      </w:r>
      <w:r w:rsidRPr="00B93493">
        <w:tab/>
      </w:r>
      <w:r w:rsidRPr="00B93493">
        <w:tab/>
      </w:r>
      <w:r w:rsidRPr="00B93493">
        <w:tab/>
      </w:r>
      <w:r w:rsidRPr="00B93493">
        <w:tab/>
      </w:r>
      <w:r w:rsidR="00C65E6B">
        <w:tab/>
      </w:r>
      <w:r w:rsidRPr="00B93493">
        <w:t>1 160F</w:t>
      </w:r>
      <w:r w:rsidRPr="00B93493">
        <w:tab/>
      </w:r>
    </w:p>
    <w:p w14:paraId="1F0682AE" w14:textId="77777777" w:rsidR="00CF04BC" w:rsidRPr="00B93493" w:rsidRDefault="00CF04BC" w:rsidP="00CF04BC">
      <w:pPr>
        <w:overflowPunct/>
        <w:autoSpaceDE/>
        <w:autoSpaceDN/>
        <w:adjustRightInd/>
        <w:spacing w:before="0"/>
        <w:textAlignment w:val="auto"/>
        <w:rPr>
          <w:b/>
        </w:rPr>
      </w:pPr>
      <w:r w:rsidRPr="00B93493">
        <w:br w:type="page"/>
      </w:r>
    </w:p>
    <w:p w14:paraId="57CFFD77" w14:textId="77777777" w:rsidR="00CF04BC" w:rsidRPr="00D3286B" w:rsidRDefault="00CF04BC" w:rsidP="00CF04BC">
      <w:pPr>
        <w:pStyle w:val="Headingb"/>
      </w:pPr>
      <w:bookmarkStart w:id="2842" w:name="_Toc454285034"/>
      <w:bookmarkStart w:id="2843" w:name="_Toc462234198"/>
      <w:r w:rsidRPr="00D3286B">
        <w:t>REPUBLIC OF COTE D’IVOIRE</w:t>
      </w:r>
      <w:bookmarkEnd w:id="2842"/>
      <w:bookmarkEnd w:id="2843"/>
    </w:p>
    <w:p w14:paraId="613B972B" w14:textId="77777777" w:rsidR="00CF04BC" w:rsidRPr="00B93493" w:rsidRDefault="00CF04BC" w:rsidP="00CF04BC">
      <w:pPr>
        <w:pStyle w:val="Headingb"/>
      </w:pPr>
      <w:bookmarkStart w:id="2844" w:name="_Toc454285035"/>
      <w:bookmarkStart w:id="2845" w:name="_Toc462234199"/>
      <w:r w:rsidRPr="00B93493">
        <w:t>CONCESSIONARY CONVENTION</w:t>
      </w:r>
      <w:bookmarkEnd w:id="2844"/>
      <w:bookmarkEnd w:id="2845"/>
    </w:p>
    <w:p w14:paraId="46233DC3" w14:textId="77777777" w:rsidR="00CF04BC" w:rsidRPr="00B93493" w:rsidRDefault="00CF04BC" w:rsidP="00CF04BC">
      <w:pPr>
        <w:pStyle w:val="Headingb"/>
      </w:pPr>
      <w:bookmarkStart w:id="2846" w:name="_Toc462234200"/>
      <w:bookmarkStart w:id="2847" w:name="_Toc454285036"/>
      <w:r w:rsidRPr="00B93493">
        <w:t>ANNEX 15</w:t>
      </w:r>
      <w:bookmarkEnd w:id="2846"/>
      <w:bookmarkEnd w:id="2847"/>
    </w:p>
    <w:p w14:paraId="51054651" w14:textId="77777777" w:rsidR="00CF04BC" w:rsidRPr="00B93493" w:rsidRDefault="00CF04BC" w:rsidP="00C65E6B">
      <w:pPr>
        <w:pStyle w:val="Headingb"/>
        <w:jc w:val="left"/>
      </w:pPr>
      <w:bookmarkStart w:id="2848" w:name="_Toc454285037"/>
      <w:bookmarkStart w:id="2849" w:name="_Toc462234201"/>
      <w:r w:rsidRPr="00B93493">
        <w:t xml:space="preserve">DRAFT DECREE FIXING FEES, TAXES AND </w:t>
      </w:r>
      <w:r w:rsidRPr="00B93493">
        <w:br/>
        <w:t>CHARGES ON RADIOCOMMUNICATIONS</w:t>
      </w:r>
      <w:bookmarkEnd w:id="2848"/>
      <w:bookmarkEnd w:id="2849"/>
    </w:p>
    <w:p w14:paraId="52678185" w14:textId="77777777" w:rsidR="00CF04BC" w:rsidRPr="00B93493" w:rsidRDefault="00CF04BC" w:rsidP="00CF04BC"/>
    <w:p w14:paraId="67E09AF7" w14:textId="77777777" w:rsidR="00CF04BC" w:rsidRPr="00B93493" w:rsidRDefault="00CF04BC" w:rsidP="00CF04BC">
      <w:pPr>
        <w:jc w:val="center"/>
        <w:rPr>
          <w:szCs w:val="24"/>
        </w:rPr>
      </w:pPr>
      <w:r w:rsidRPr="00B93493">
        <w:rPr>
          <w:szCs w:val="24"/>
        </w:rPr>
        <w:t>REPUBLIC OF COTE D’IVOIRE</w:t>
      </w:r>
    </w:p>
    <w:p w14:paraId="2EA5D2CB" w14:textId="77777777" w:rsidR="00CF04BC" w:rsidRPr="00B93493" w:rsidRDefault="00CF04BC" w:rsidP="00CF04BC">
      <w:pPr>
        <w:jc w:val="center"/>
        <w:rPr>
          <w:szCs w:val="24"/>
        </w:rPr>
      </w:pPr>
      <w:r w:rsidRPr="00B93493">
        <w:rPr>
          <w:szCs w:val="24"/>
        </w:rPr>
        <w:t>Unity-Discipline-Work</w:t>
      </w:r>
    </w:p>
    <w:p w14:paraId="2A948027" w14:textId="77777777" w:rsidR="00CF04BC" w:rsidRPr="00B93493" w:rsidRDefault="00CF04BC" w:rsidP="00CF04BC">
      <w:pPr>
        <w:rPr>
          <w:szCs w:val="24"/>
        </w:rPr>
      </w:pPr>
    </w:p>
    <w:p w14:paraId="1E0519CF" w14:textId="77777777" w:rsidR="00CF04BC" w:rsidRPr="00B93493" w:rsidRDefault="00CF04BC" w:rsidP="00CF04BC">
      <w:pPr>
        <w:rPr>
          <w:szCs w:val="24"/>
        </w:rPr>
      </w:pPr>
      <w:r w:rsidRPr="00B93493">
        <w:rPr>
          <w:szCs w:val="24"/>
        </w:rPr>
        <w:t>Ministry of Economic</w:t>
      </w:r>
      <w:r w:rsidRPr="00B93493">
        <w:rPr>
          <w:szCs w:val="24"/>
        </w:rPr>
        <w:tab/>
      </w:r>
      <w:r w:rsidRPr="00B93493">
        <w:rPr>
          <w:szCs w:val="24"/>
        </w:rPr>
        <w:tab/>
      </w:r>
      <w:r w:rsidRPr="00B93493">
        <w:rPr>
          <w:szCs w:val="24"/>
        </w:rPr>
        <w:tab/>
      </w:r>
      <w:r w:rsidRPr="00B93493">
        <w:rPr>
          <w:szCs w:val="24"/>
        </w:rPr>
        <w:tab/>
        <w:t>Ministry of Economy and Finances</w:t>
      </w:r>
    </w:p>
    <w:p w14:paraId="44BBD22C" w14:textId="77777777" w:rsidR="00CF04BC" w:rsidRPr="00B93493" w:rsidRDefault="00CF04BC" w:rsidP="00CF04BC">
      <w:pPr>
        <w:rPr>
          <w:szCs w:val="24"/>
        </w:rPr>
      </w:pPr>
      <w:r w:rsidRPr="00B93493">
        <w:rPr>
          <w:szCs w:val="24"/>
        </w:rPr>
        <w:t>Infrastructure</w:t>
      </w:r>
    </w:p>
    <w:p w14:paraId="747AAFC2" w14:textId="77777777" w:rsidR="00CF04BC" w:rsidRPr="00B93493" w:rsidRDefault="00CF04BC" w:rsidP="00CF04BC"/>
    <w:p w14:paraId="21B59426" w14:textId="77777777" w:rsidR="00CF04BC" w:rsidRPr="00B93493" w:rsidRDefault="00CF04BC" w:rsidP="00CF04BC">
      <w:pPr>
        <w:jc w:val="center"/>
      </w:pPr>
      <w:r w:rsidRPr="00B93493">
        <w:t>ORDINANCE N° 97/173/ of 19/03/97 DEFINING FEES, TAXES AND CHARGES IN</w:t>
      </w:r>
      <w:r w:rsidRPr="00B93493">
        <w:br/>
        <w:t>RADIOCOMMUNICATION SERVICES</w:t>
      </w:r>
    </w:p>
    <w:p w14:paraId="4E013438" w14:textId="77777777" w:rsidR="00CF04BC" w:rsidRPr="00B93493" w:rsidRDefault="00CF04BC" w:rsidP="00CF04BC">
      <w:pPr>
        <w:jc w:val="center"/>
      </w:pPr>
      <w:r w:rsidRPr="00B93493">
        <w:t>THE PRESIDENT OF THE REPUBLIC</w:t>
      </w:r>
    </w:p>
    <w:p w14:paraId="1F3D2DF3" w14:textId="77777777" w:rsidR="00CF04BC" w:rsidRPr="00B93493" w:rsidRDefault="00CF04BC" w:rsidP="00CF04BC">
      <w:pPr>
        <w:pStyle w:val="Normalaftertitle"/>
      </w:pPr>
      <w:r w:rsidRPr="00B93493">
        <w:t>Considering the joint report of the Ministry of Economy and Finances and the Ministry of Economic Infrastructure.</w:t>
      </w:r>
    </w:p>
    <w:p w14:paraId="09188272" w14:textId="77777777" w:rsidR="00CF04BC" w:rsidRPr="00B93493" w:rsidRDefault="00CF04BC" w:rsidP="00CF04BC">
      <w:r w:rsidRPr="00B93493">
        <w:t>Considering the Constitution.</w:t>
      </w:r>
    </w:p>
    <w:p w14:paraId="0C51079D" w14:textId="77777777" w:rsidR="00CF04BC" w:rsidRPr="00B93493" w:rsidRDefault="00CF04BC" w:rsidP="00CF04BC">
      <w:r w:rsidRPr="00B93493">
        <w:t>Considering law N° 95-526 of 7 July 1995 on Telecommunications Code.</w:t>
      </w:r>
    </w:p>
    <w:p w14:paraId="1B9DCE5B" w14:textId="77777777" w:rsidR="00CF04BC" w:rsidRPr="00B93493" w:rsidRDefault="00CF04BC" w:rsidP="00CF04BC">
      <w:r w:rsidRPr="00B93493">
        <w:t>Considering Decree N° 85-1089 of 16</w:t>
      </w:r>
      <w:r w:rsidRPr="00B93493">
        <w:rPr>
          <w:vertAlign w:val="superscript"/>
        </w:rPr>
        <w:t>th</w:t>
      </w:r>
      <w:r w:rsidRPr="00B93493">
        <w:t xml:space="preserve"> October 1985 fixing Private Radioelectricity regulations in Côte d’Ivoire.</w:t>
      </w:r>
    </w:p>
    <w:p w14:paraId="10023501" w14:textId="77777777" w:rsidR="00CF04BC" w:rsidRPr="00B93493" w:rsidRDefault="00CF04BC" w:rsidP="00CF04BC">
      <w:r w:rsidRPr="00B93493">
        <w:t>Considering decree N° 95-554 of 19 July 1995 fixing organization and functioning of a Special Public entity here-after named Agence des Télécommunications de Côte d’Ivoire.</w:t>
      </w:r>
    </w:p>
    <w:p w14:paraId="3FB826D4" w14:textId="77777777" w:rsidR="00CF04BC" w:rsidRPr="00B93493" w:rsidRDefault="00CF04BC" w:rsidP="00CF04BC">
      <w:r w:rsidRPr="00B93493">
        <w:t>Considering decree N° 96-PR/002 of 26</w:t>
      </w:r>
      <w:r w:rsidRPr="00B93493">
        <w:rPr>
          <w:vertAlign w:val="superscript"/>
        </w:rPr>
        <w:t>th</w:t>
      </w:r>
      <w:r w:rsidRPr="00B93493">
        <w:t xml:space="preserve"> January 1996 appointing members of Government; as modified by decree N° 96-PR/10 of 10</w:t>
      </w:r>
      <w:r w:rsidRPr="00B93493">
        <w:rPr>
          <w:vertAlign w:val="superscript"/>
        </w:rPr>
        <w:t>th</w:t>
      </w:r>
      <w:r w:rsidRPr="00B93493">
        <w:t xml:space="preserve"> August 1996.</w:t>
      </w:r>
    </w:p>
    <w:p w14:paraId="16B66717" w14:textId="77777777" w:rsidR="00CF04BC" w:rsidRPr="00B93493" w:rsidRDefault="00CF04BC" w:rsidP="00CF04BC">
      <w:r w:rsidRPr="00B93493">
        <w:t>Considering decree N° 96-179 of 1</w:t>
      </w:r>
      <w:r w:rsidRPr="00B93493">
        <w:rPr>
          <w:vertAlign w:val="superscript"/>
        </w:rPr>
        <w:t>st</w:t>
      </w:r>
      <w:r w:rsidRPr="00B93493">
        <w:t xml:space="preserve"> March 1996 fixing attributions of members of Government.</w:t>
      </w:r>
    </w:p>
    <w:p w14:paraId="6E9D8930" w14:textId="77777777" w:rsidR="00CF04BC" w:rsidRPr="00B93493" w:rsidRDefault="00CF04BC" w:rsidP="00CF04BC">
      <w:pPr>
        <w:spacing w:before="720"/>
        <w:jc w:val="center"/>
      </w:pPr>
      <w:r w:rsidRPr="00B93493">
        <w:t>THE MINISTER’S COUNCIL HAVING CONSIDERED:</w:t>
      </w:r>
    </w:p>
    <w:p w14:paraId="2CA4DA3E" w14:textId="77777777" w:rsidR="00CF04BC" w:rsidRPr="00B93493" w:rsidRDefault="00CF04BC" w:rsidP="00CF04BC">
      <w:pPr>
        <w:jc w:val="center"/>
      </w:pPr>
      <w:r w:rsidRPr="00B93493">
        <w:t>DECREES</w:t>
      </w:r>
    </w:p>
    <w:p w14:paraId="4B555444" w14:textId="77777777" w:rsidR="00CF04BC" w:rsidRPr="00B93493" w:rsidRDefault="00CF04BC" w:rsidP="00CF04BC"/>
    <w:p w14:paraId="238E8315" w14:textId="77777777" w:rsidR="00CF04BC" w:rsidRPr="00B93493" w:rsidRDefault="00CF04BC" w:rsidP="00CF04BC">
      <w:pPr>
        <w:jc w:val="center"/>
      </w:pPr>
      <w:r w:rsidRPr="00B93493">
        <w:t>CHAPTER I</w:t>
      </w:r>
    </w:p>
    <w:p w14:paraId="2D476FF5" w14:textId="77777777" w:rsidR="00CF04BC" w:rsidRPr="00B93493" w:rsidRDefault="00CF04BC" w:rsidP="00CF04BC">
      <w:pPr>
        <w:jc w:val="center"/>
      </w:pPr>
      <w:r w:rsidRPr="00B93493">
        <w:t>GENERAL PROVISIONS: EXTENT OF APPLICATION</w:t>
      </w:r>
    </w:p>
    <w:p w14:paraId="289ECDBE" w14:textId="77777777" w:rsidR="00CF04BC" w:rsidRPr="00B93493" w:rsidRDefault="00CF04BC" w:rsidP="00CF04BC">
      <w:pPr>
        <w:pStyle w:val="Normalaftertitle"/>
      </w:pPr>
      <w:r w:rsidRPr="00B93493">
        <w:t>Article 1: In application of the provisions of Articles 6, 8, 20, 24 and 51 of Law N° 95-526 of 7 July 1995 fixing Telecommunications Code, this decree defines fees, taxes, charges and contributions payable to Agence des Télécommunications de Côte d’Ivoire (ATCI) by applicants or holders of authorizations in radiocommunications matters.</w:t>
      </w:r>
    </w:p>
    <w:p w14:paraId="6F47AD4A" w14:textId="77777777" w:rsidR="00CF04BC" w:rsidRPr="00B93493" w:rsidRDefault="00CF04BC" w:rsidP="00CF04BC">
      <w:pPr>
        <w:keepNext/>
        <w:keepLines/>
        <w:jc w:val="center"/>
      </w:pPr>
      <w:r w:rsidRPr="00B93493">
        <w:t>CHAPTER II</w:t>
      </w:r>
    </w:p>
    <w:p w14:paraId="2BCFE3B9" w14:textId="77777777" w:rsidR="00CF04BC" w:rsidRPr="00B93493" w:rsidRDefault="00CF04BC" w:rsidP="00CF04BC">
      <w:pPr>
        <w:keepNext/>
        <w:keepLines/>
        <w:jc w:val="center"/>
      </w:pPr>
      <w:r w:rsidRPr="00B93493">
        <w:t xml:space="preserve">FEES, CHARGES AND CONTRIBUTIONS APPLICABLE TO RADIOELECTRIC </w:t>
      </w:r>
      <w:r w:rsidRPr="00B93493">
        <w:br/>
        <w:t>NETWORKS AND STATIONS</w:t>
      </w:r>
    </w:p>
    <w:p w14:paraId="61600327" w14:textId="77777777" w:rsidR="00CF04BC" w:rsidRPr="00B93493" w:rsidRDefault="00CF04BC" w:rsidP="00CF04BC">
      <w:pPr>
        <w:pStyle w:val="Normalaftertitle"/>
      </w:pPr>
      <w:r w:rsidRPr="00B93493">
        <w:t>Section</w:t>
      </w:r>
      <w:r w:rsidRPr="00B93493">
        <w:rPr>
          <w:u w:val="single"/>
        </w:rPr>
        <w:t xml:space="preserve"> </w:t>
      </w:r>
      <w:r w:rsidRPr="00B93493">
        <w:t>1: Radioelectric networks of fixed and mobile services, networks and earth stations of fixed satellite services and mobile satellite services.</w:t>
      </w:r>
    </w:p>
    <w:p w14:paraId="3B65CBEE" w14:textId="77777777" w:rsidR="00CF04BC" w:rsidRPr="00B93493" w:rsidRDefault="00CF04BC" w:rsidP="00CF04BC">
      <w:r w:rsidRPr="00B93493">
        <w:t>Article 2: The applicants or holders of authorizations relating to radioelectric networks for fixed and terrestrial mobile services, as well as networks and earth stations for fixed and  mobile satellite services are liable to the payment of fees, charges and contributions as follows:</w:t>
      </w:r>
    </w:p>
    <w:p w14:paraId="4B4D3E5B" w14:textId="77777777" w:rsidR="00CF04BC" w:rsidRPr="00B93493" w:rsidRDefault="00CF04BC" w:rsidP="00CF04BC">
      <w:pPr>
        <w:pStyle w:val="enumlev1"/>
      </w:pPr>
      <w:r w:rsidRPr="00B93493">
        <w:t>–</w:t>
      </w:r>
      <w:r w:rsidRPr="00B93493">
        <w:tab/>
        <w:t>fees for compiling file;</w:t>
      </w:r>
    </w:p>
    <w:p w14:paraId="6D5DFB2D" w14:textId="77777777" w:rsidR="00CF04BC" w:rsidRPr="00B93493" w:rsidRDefault="00CF04BC" w:rsidP="00CF04BC">
      <w:pPr>
        <w:pStyle w:val="enumlev1"/>
      </w:pPr>
      <w:r w:rsidRPr="00B93493">
        <w:t>–</w:t>
      </w:r>
      <w:r w:rsidRPr="00B93493">
        <w:tab/>
        <w:t>fees for controlling radioelectric stations;</w:t>
      </w:r>
    </w:p>
    <w:p w14:paraId="4979F08C" w14:textId="77777777" w:rsidR="00CF04BC" w:rsidRPr="00B93493" w:rsidRDefault="00CF04BC" w:rsidP="00CF04BC">
      <w:pPr>
        <w:pStyle w:val="enumlev1"/>
      </w:pPr>
      <w:r w:rsidRPr="00B93493">
        <w:t>–</w:t>
      </w:r>
      <w:r w:rsidRPr="00B93493">
        <w:tab/>
        <w:t>contribution to management costs;</w:t>
      </w:r>
    </w:p>
    <w:p w14:paraId="660E06CB" w14:textId="77777777" w:rsidR="00CF04BC" w:rsidRPr="00B93493" w:rsidRDefault="00CF04BC" w:rsidP="00CF04BC">
      <w:pPr>
        <w:pStyle w:val="enumlev1"/>
      </w:pPr>
      <w:r w:rsidRPr="00B93493">
        <w:t>–</w:t>
      </w:r>
      <w:r w:rsidRPr="00B93493">
        <w:tab/>
        <w:t>charges for using radioelectric frequencies.</w:t>
      </w:r>
    </w:p>
    <w:p w14:paraId="43279514" w14:textId="77777777" w:rsidR="00CF04BC" w:rsidRPr="00B93493" w:rsidRDefault="00CF04BC" w:rsidP="00CF04BC">
      <w:r w:rsidRPr="00B93493">
        <w:t>Section II: Community Earth Stations for Reception only.</w:t>
      </w:r>
    </w:p>
    <w:p w14:paraId="608EF95B" w14:textId="77777777" w:rsidR="00CF04BC" w:rsidRPr="00B93493" w:rsidRDefault="00CF04BC" w:rsidP="00CF04BC">
      <w:r w:rsidRPr="00B93493">
        <w:t>Article 3: Applicants or holders of authorizations relating to installation of radio broadcasting for collective reception or reception from redistribution in conformity with the provisions of Article 20 of Law N° 95-526 of 07 July 1995 fixing Telecommunications Code, are entitled to pay fees, charges and contributions stipulated in Article 2 above.</w:t>
      </w:r>
    </w:p>
    <w:p w14:paraId="6800F0C6" w14:textId="77777777" w:rsidR="00CF04BC" w:rsidRPr="00B93493" w:rsidRDefault="00CF04BC" w:rsidP="00CF04BC">
      <w:r w:rsidRPr="00B93493">
        <w:t>Section III: Amateur Stations.</w:t>
      </w:r>
    </w:p>
    <w:p w14:paraId="0721B82C" w14:textId="77777777" w:rsidR="00CF04BC" w:rsidRPr="00B93493" w:rsidRDefault="00CF04BC" w:rsidP="00CF04BC">
      <w:r w:rsidRPr="00B93493">
        <w:t>Article 4: Applicants or holders of authorizations for amateur stations are entitled to pay the following fees:</w:t>
      </w:r>
    </w:p>
    <w:p w14:paraId="33A3141A" w14:textId="77777777" w:rsidR="00CF04BC" w:rsidRPr="00B93493" w:rsidRDefault="00CF04BC" w:rsidP="00CF04BC">
      <w:pPr>
        <w:pStyle w:val="enumlev1"/>
      </w:pPr>
      <w:r w:rsidRPr="00B93493">
        <w:t>–</w:t>
      </w:r>
      <w:r w:rsidRPr="00B93493">
        <w:tab/>
        <w:t>Fees for compiling the file.</w:t>
      </w:r>
    </w:p>
    <w:p w14:paraId="1246F20E" w14:textId="77777777" w:rsidR="00CF04BC" w:rsidRPr="00B93493" w:rsidRDefault="00CF04BC" w:rsidP="00CF04BC">
      <w:pPr>
        <w:pStyle w:val="enumlev1"/>
      </w:pPr>
      <w:r w:rsidRPr="00B93493">
        <w:t>–</w:t>
      </w:r>
      <w:r w:rsidRPr="00B93493">
        <w:tab/>
        <w:t>Charges for controlling the stations.</w:t>
      </w:r>
    </w:p>
    <w:p w14:paraId="46C0B6F0" w14:textId="77777777" w:rsidR="00CF04BC" w:rsidRPr="00B93493" w:rsidRDefault="00CF04BC" w:rsidP="00CF04BC">
      <w:r w:rsidRPr="00B93493">
        <w:t>Section IV: Temporary utilization of radioelectric stations.</w:t>
      </w:r>
    </w:p>
    <w:p w14:paraId="6A36E356" w14:textId="77777777" w:rsidR="00CF04BC" w:rsidRPr="00B93493" w:rsidRDefault="00CF04BC" w:rsidP="00CF04BC">
      <w:r w:rsidRPr="00B93493">
        <w:t>Article 5: Terrestrial radioelectric stations as well as spatial earth stations which are used on temporal basis are entitled to pay the following charges and fees:</w:t>
      </w:r>
    </w:p>
    <w:p w14:paraId="56BC4563" w14:textId="77777777" w:rsidR="00CF04BC" w:rsidRPr="00B93493" w:rsidRDefault="00CF04BC" w:rsidP="00CF04BC">
      <w:pPr>
        <w:pStyle w:val="enumlev1"/>
      </w:pPr>
      <w:r w:rsidRPr="00B93493">
        <w:t>–</w:t>
      </w:r>
      <w:r w:rsidRPr="00B93493">
        <w:tab/>
        <w:t xml:space="preserve">control charge; </w:t>
      </w:r>
    </w:p>
    <w:p w14:paraId="0FBEDD6E" w14:textId="77777777" w:rsidR="00CF04BC" w:rsidRPr="00B93493" w:rsidRDefault="00CF04BC" w:rsidP="00CF04BC">
      <w:pPr>
        <w:pStyle w:val="enumlev1"/>
      </w:pPr>
      <w:r w:rsidRPr="00B93493">
        <w:t>–</w:t>
      </w:r>
      <w:r w:rsidRPr="00B93493">
        <w:tab/>
        <w:t>fees for contribution towards management costs and charges for the use of radioelectric frequencies calculated on monthly basis.</w:t>
      </w:r>
    </w:p>
    <w:p w14:paraId="28417F1B" w14:textId="77777777" w:rsidR="00CF04BC" w:rsidRPr="00B93493" w:rsidRDefault="00CF04BC" w:rsidP="00CF04BC">
      <w:r w:rsidRPr="00B93493">
        <w:t>Section V: Low power Transmitters and Receivers or CBs sets.</w:t>
      </w:r>
    </w:p>
    <w:p w14:paraId="73B606D9" w14:textId="77777777" w:rsidR="00CF04BC" w:rsidRPr="00B93493" w:rsidRDefault="00CF04BC" w:rsidP="00CF04BC">
      <w:r w:rsidRPr="00B93493">
        <w:t>Article 6: The use of transmitters and receivers sets which operate on simple channels called CB sets, is submitted to the payment of a forfeitary charge, which is not refundable at the time of awarding the authorization.</w:t>
      </w:r>
    </w:p>
    <w:p w14:paraId="29319D15" w14:textId="77777777" w:rsidR="00CF04BC" w:rsidRPr="00B93493" w:rsidRDefault="00CF04BC" w:rsidP="00CF04BC">
      <w:r w:rsidRPr="00B93493">
        <w:t>Not subject to this fees are CB sets with a maximum of 40 channels operating exclusively in angular modulation and having a maximum of 4 W.</w:t>
      </w:r>
    </w:p>
    <w:p w14:paraId="6F63F7FB" w14:textId="77777777" w:rsidR="00CF04BC" w:rsidRPr="00B93493" w:rsidRDefault="00CF04BC" w:rsidP="00CF04BC">
      <w:r w:rsidRPr="00B93493">
        <w:t>Section VI: Installation of reduced command radio.</w:t>
      </w:r>
    </w:p>
    <w:p w14:paraId="692D51B7" w14:textId="77777777" w:rsidR="00CF04BC" w:rsidRPr="00B93493" w:rsidRDefault="00CF04BC" w:rsidP="00CF04BC">
      <w:r w:rsidRPr="00B93493">
        <w:t>Article 7: The use of reduced transmitters and receivers sets with less than five (5) watts meant for command radio, except for those authorized with full right, is submitted to the payment of taxes for a period of five (5) years, which is collected upfront and non refundable.</w:t>
      </w:r>
    </w:p>
    <w:p w14:paraId="0AA4CB4D" w14:textId="77777777" w:rsidR="00CF04BC" w:rsidRPr="00B93493" w:rsidRDefault="00CF04BC" w:rsidP="00CF04BC">
      <w:r w:rsidRPr="00B93493">
        <w:t>Section VII: Rates and the modality of payment of radioelectric fees and charges.</w:t>
      </w:r>
    </w:p>
    <w:p w14:paraId="6F17F913" w14:textId="77777777" w:rsidR="00CF04BC" w:rsidRPr="00B93493" w:rsidRDefault="00CF04BC" w:rsidP="00CF04BC">
      <w:pPr>
        <w:keepNext/>
        <w:keepLines/>
      </w:pPr>
      <w:r w:rsidRPr="00B93493">
        <w:t>Article 8: The modalities for payment of fees, charges and contributions as stipulated in Sections I to IV stipulated above is as follows:</w:t>
      </w:r>
    </w:p>
    <w:p w14:paraId="05BB3F46" w14:textId="77777777" w:rsidR="00CF04BC" w:rsidRPr="00B93493" w:rsidRDefault="00CF04BC" w:rsidP="00CF04BC">
      <w:pPr>
        <w:pStyle w:val="enumlev1"/>
        <w:keepNext/>
        <w:keepLines/>
      </w:pPr>
      <w:r w:rsidRPr="00B93493">
        <w:t>–</w:t>
      </w:r>
      <w:r w:rsidRPr="00B93493">
        <w:tab/>
        <w:t>fees for the compilation of files, forfeitary and non refundable charges are paid upfront before the authorization is issued;</w:t>
      </w:r>
    </w:p>
    <w:p w14:paraId="7B770D29" w14:textId="77777777" w:rsidR="00CF04BC" w:rsidRPr="00B93493" w:rsidRDefault="00CF04BC" w:rsidP="00CF04BC">
      <w:pPr>
        <w:pStyle w:val="enumlev1"/>
      </w:pPr>
      <w:r w:rsidRPr="00B93493">
        <w:t>–</w:t>
      </w:r>
      <w:r w:rsidRPr="00B93493">
        <w:tab/>
        <w:t>control charge for stations and contributions for management costs are paid in advance and due payable on annual basis and non refundable;</w:t>
      </w:r>
    </w:p>
    <w:p w14:paraId="2140C898" w14:textId="77777777" w:rsidR="00CF04BC" w:rsidRPr="00B93493" w:rsidRDefault="00CF04BC" w:rsidP="00CF04BC">
      <w:pPr>
        <w:pStyle w:val="enumlev1"/>
      </w:pPr>
      <w:r w:rsidRPr="00B93493">
        <w:t>–</w:t>
      </w:r>
      <w:r w:rsidRPr="00B93493">
        <w:tab/>
        <w:t>charges due for the use of electric frequencies is on annual basis and the first year starts from the date of putting into service of the stations while the subsequent years start from the 1st of January.</w:t>
      </w:r>
    </w:p>
    <w:p w14:paraId="4D5C3BDF" w14:textId="77777777" w:rsidR="00CF04BC" w:rsidRPr="00B93493" w:rsidRDefault="00CF04BC" w:rsidP="00CF04BC">
      <w:r w:rsidRPr="00B93493">
        <w:t xml:space="preserve">Article 9: Payment of fees and charges is testified with the issue of a label which is gummed on the equipment, vehicles or ship for mobile stations. </w:t>
      </w:r>
    </w:p>
    <w:p w14:paraId="6671ACE1" w14:textId="77777777" w:rsidR="00CF04BC" w:rsidRPr="00B93493" w:rsidRDefault="00CF04BC" w:rsidP="00CF04BC"/>
    <w:p w14:paraId="32022FE5" w14:textId="77777777" w:rsidR="00CF04BC" w:rsidRPr="00B93493" w:rsidRDefault="00CF04BC" w:rsidP="00CF04BC">
      <w:pPr>
        <w:jc w:val="center"/>
      </w:pPr>
      <w:r w:rsidRPr="00B93493">
        <w:t>CHAPTER III</w:t>
      </w:r>
    </w:p>
    <w:p w14:paraId="18F43D35" w14:textId="77777777" w:rsidR="00CF04BC" w:rsidRPr="00B93493" w:rsidRDefault="00CF04BC" w:rsidP="00CF04BC">
      <w:pPr>
        <w:jc w:val="center"/>
      </w:pPr>
      <w:r w:rsidRPr="00B93493">
        <w:t>FEES AND OTHER CHARGES</w:t>
      </w:r>
    </w:p>
    <w:p w14:paraId="6CDCEC00" w14:textId="77777777" w:rsidR="00CF04BC" w:rsidRPr="00B93493" w:rsidRDefault="00CF04BC" w:rsidP="00CF04BC">
      <w:r w:rsidRPr="00B93493">
        <w:t>Section I: Exam Fees.</w:t>
      </w:r>
    </w:p>
    <w:p w14:paraId="72569C5B" w14:textId="77777777" w:rsidR="00CF04BC" w:rsidRPr="00B93493" w:rsidRDefault="00CF04BC" w:rsidP="00CF04BC">
      <w:r w:rsidRPr="00B93493">
        <w:t>Article 10: For the obtention of a certificates for radiotelegraph operator, radio telephone operator or a certificate for the two, exams fees are paid before the examinations start. The same fees will be paid for issuing a certificate (s) for those having military attestations as operators.</w:t>
      </w:r>
    </w:p>
    <w:p w14:paraId="7FB93FAC" w14:textId="77777777" w:rsidR="00CF04BC" w:rsidRPr="00B93493" w:rsidRDefault="00CF04BC" w:rsidP="00CF04BC">
      <w:r w:rsidRPr="00B93493">
        <w:t xml:space="preserve">Article 11: In the course of issuing or renewing or establishing a duplicate of a radio amateur, air or ship licence and a certificate of an operator, forfeitary and non refundable fees are paid. </w:t>
      </w:r>
    </w:p>
    <w:p w14:paraId="00CCA9FE" w14:textId="77777777" w:rsidR="00CF04BC" w:rsidRPr="00B93493" w:rsidRDefault="00CF04BC" w:rsidP="00CF04BC">
      <w:r w:rsidRPr="00B93493">
        <w:t>Section II: Intervention fees.</w:t>
      </w:r>
    </w:p>
    <w:p w14:paraId="46A2162B" w14:textId="77777777" w:rsidR="00CF04BC" w:rsidRPr="00B93493" w:rsidRDefault="00CF04BC" w:rsidP="00CF04BC">
      <w:r w:rsidRPr="00B93493">
        <w:t>Article 12: Exceptional fees are paid for radioelectric interference on frequency which is in regular use or installations which have not respected the norms as stipulated in chapter II above and this leads to payment of a forfeitary charge for each intervention. This tax is paid by the owner of the station which is either interfering with other stations or by the owner of a non conformity installation.</w:t>
      </w:r>
    </w:p>
    <w:p w14:paraId="53393F7F" w14:textId="77777777" w:rsidR="00CF04BC" w:rsidRPr="00B93493" w:rsidRDefault="00CF04BC" w:rsidP="00CF04BC">
      <w:r w:rsidRPr="00B93493">
        <w:t>Section III: Commissioning Charges.</w:t>
      </w:r>
    </w:p>
    <w:p w14:paraId="5645C234" w14:textId="77777777" w:rsidR="00CF04BC" w:rsidRPr="00B93493" w:rsidRDefault="00CF04BC" w:rsidP="00CF04BC">
      <w:r w:rsidRPr="00B93493">
        <w:t>Article 13: The commissioning of terminal equipments and an authorization of private radiocommunications installers are entitled to payment of non refundable charges as follows:</w:t>
      </w:r>
    </w:p>
    <w:p w14:paraId="4D382147" w14:textId="77777777" w:rsidR="00CF04BC" w:rsidRPr="00B93493" w:rsidRDefault="00CF04BC" w:rsidP="00CF04BC">
      <w:pPr>
        <w:pStyle w:val="enumlev1"/>
      </w:pPr>
      <w:r w:rsidRPr="00B93493">
        <w:t>1)</w:t>
      </w:r>
      <w:r w:rsidRPr="00B93493">
        <w:tab/>
      </w:r>
      <w:r w:rsidRPr="00B93493">
        <w:rPr>
          <w:b/>
        </w:rPr>
        <w:t>For equipments</w:t>
      </w:r>
      <w:r w:rsidRPr="00B93493">
        <w:t>: A fee for compiling a file and a fee for technical control of the equipment.</w:t>
      </w:r>
    </w:p>
    <w:p w14:paraId="7D617934" w14:textId="77777777" w:rsidR="00CF04BC" w:rsidRPr="00B93493" w:rsidRDefault="00CF04BC" w:rsidP="00CF04BC">
      <w:pPr>
        <w:pStyle w:val="enumlev1"/>
      </w:pPr>
      <w:r w:rsidRPr="00B93493">
        <w:rPr>
          <w:bCs/>
        </w:rPr>
        <w:t>2)</w:t>
      </w:r>
      <w:r w:rsidRPr="00B93493">
        <w:rPr>
          <w:b/>
        </w:rPr>
        <w:tab/>
        <w:t>For private installers</w:t>
      </w:r>
      <w:r w:rsidRPr="00B93493">
        <w:t>: A fee for compiling a file and a charge for commissioning which are paid during the issue or renewal of authorization.</w:t>
      </w:r>
    </w:p>
    <w:p w14:paraId="1F73CCFC" w14:textId="77777777" w:rsidR="00CF04BC" w:rsidRPr="00B93493" w:rsidRDefault="00CF04BC" w:rsidP="00CF04BC"/>
    <w:p w14:paraId="388B9439" w14:textId="77777777" w:rsidR="00CF04BC" w:rsidRPr="00B93493" w:rsidRDefault="00CF04BC" w:rsidP="00CF04BC">
      <w:pPr>
        <w:jc w:val="center"/>
      </w:pPr>
      <w:r w:rsidRPr="00B93493">
        <w:t>CHAPTER IV</w:t>
      </w:r>
    </w:p>
    <w:p w14:paraId="5DC21CC8" w14:textId="77777777" w:rsidR="00CF04BC" w:rsidRPr="00B93493" w:rsidRDefault="00CF04BC" w:rsidP="00CF04BC">
      <w:pPr>
        <w:jc w:val="center"/>
      </w:pPr>
      <w:r w:rsidRPr="00B93493">
        <w:t>PENAL PROVISIONS</w:t>
      </w:r>
    </w:p>
    <w:p w14:paraId="7AD708D5" w14:textId="77777777" w:rsidR="00CF04BC" w:rsidRPr="00B93493" w:rsidRDefault="00CF04BC" w:rsidP="00CF04BC">
      <w:pPr>
        <w:pStyle w:val="Normalaftertitle"/>
      </w:pPr>
      <w:r w:rsidRPr="00B93493">
        <w:t>Article 14: Any infringement to the provisions of this decree will be sanctioned by Articles 14 and 35 of Law N° 95-526 of 7 July 1995 on Telecommunications code.</w:t>
      </w:r>
    </w:p>
    <w:p w14:paraId="267ACDF7" w14:textId="77777777" w:rsidR="00CF04BC" w:rsidRPr="00B93493" w:rsidRDefault="00CF04BC" w:rsidP="00CF04BC">
      <w:r w:rsidRPr="00B93493">
        <w:t>Article 15: In addition, failure to pay the required fees, charges and contributions will lead to the suspension of the authorization and the sealing of the radioelectric equipment.</w:t>
      </w:r>
    </w:p>
    <w:p w14:paraId="503C3680" w14:textId="77777777" w:rsidR="00CF04BC" w:rsidRPr="00B93493" w:rsidRDefault="00CF04BC" w:rsidP="00CF04BC">
      <w:pPr>
        <w:jc w:val="center"/>
      </w:pPr>
      <w:r w:rsidRPr="00B93493">
        <w:br w:type="page"/>
      </w:r>
    </w:p>
    <w:p w14:paraId="3103A810" w14:textId="77777777" w:rsidR="00CF04BC" w:rsidRPr="00B93493" w:rsidRDefault="00CF04BC" w:rsidP="00CF04BC">
      <w:pPr>
        <w:jc w:val="center"/>
      </w:pPr>
      <w:r w:rsidRPr="00B93493">
        <w:t>CHAPTER V</w:t>
      </w:r>
    </w:p>
    <w:p w14:paraId="7453464D" w14:textId="77777777" w:rsidR="00CF04BC" w:rsidRPr="00B93493" w:rsidRDefault="00CF04BC" w:rsidP="00CF04BC">
      <w:pPr>
        <w:jc w:val="center"/>
      </w:pPr>
      <w:r w:rsidRPr="00B93493">
        <w:t>FINAL PROVISIONS</w:t>
      </w:r>
    </w:p>
    <w:p w14:paraId="39BCE5AB" w14:textId="77777777" w:rsidR="00CF04BC" w:rsidRPr="00B93493" w:rsidRDefault="00CF04BC" w:rsidP="00CF04BC">
      <w:pPr>
        <w:pStyle w:val="Normalaftertitle"/>
      </w:pPr>
      <w:r w:rsidRPr="00B93493">
        <w:t>Article 16: The amount of fees, charges and contributions to be paid in accordance to the provisions of this decree are fixed by a joint Ministerial Order of the Minister of Economy and Finances and the Minister in charge of Telecommunications.</w:t>
      </w:r>
    </w:p>
    <w:p w14:paraId="1EC3A7F7" w14:textId="77777777" w:rsidR="00CF04BC" w:rsidRPr="00B93493" w:rsidRDefault="00CF04BC" w:rsidP="00CF04BC">
      <w:r w:rsidRPr="00B93493">
        <w:t>Article 17: All other former provisions contrary to this decree are cancelled notably Articles 16, 17, 18, 19, 20, 21 and 22 of decree N° 85-1089 of 16 October 1985 fixing regulations on private radioelectricity.</w:t>
      </w:r>
    </w:p>
    <w:p w14:paraId="530F7636" w14:textId="77777777" w:rsidR="00CF04BC" w:rsidRPr="00B93493" w:rsidRDefault="00CF04BC" w:rsidP="00CF04BC">
      <w:r w:rsidRPr="00B93493">
        <w:t>Article 18: This decree shall enter into force from the date of signature and will be published in the Official Gazette of the Republic of Côte d’Ivoire.</w:t>
      </w:r>
    </w:p>
    <w:p w14:paraId="1336DA66" w14:textId="77777777" w:rsidR="00CF04BC" w:rsidRPr="00B93493" w:rsidRDefault="00CF04BC" w:rsidP="00CF04BC">
      <w:r w:rsidRPr="00B93493">
        <w:t>Article 19: The Minister in charge of Telecommunications and the Minister in charge of Economy and Finances are responsible as it concerns each of them in the implementation of this decree.</w:t>
      </w:r>
    </w:p>
    <w:p w14:paraId="1A607E72" w14:textId="3A653A4B" w:rsidR="00366814" w:rsidRPr="00FF4406" w:rsidRDefault="00CF04BC" w:rsidP="00C65E6B">
      <w:pPr>
        <w:jc w:val="left"/>
        <w:rPr>
          <w:lang w:val="de-CH"/>
        </w:rPr>
      </w:pPr>
      <w:r w:rsidRPr="005112C3">
        <w:rPr>
          <w:lang w:val="de-CH"/>
        </w:rPr>
        <w:t>Done in Abidjan</w:t>
      </w:r>
      <w:r w:rsidRPr="005112C3">
        <w:rPr>
          <w:lang w:val="de-CH"/>
        </w:rPr>
        <w:br/>
        <w:t>Henri KONAN BEDIE</w:t>
      </w:r>
    </w:p>
    <w:p w14:paraId="02DFA7D8" w14:textId="77777777" w:rsidR="00366814" w:rsidRPr="00FF4406" w:rsidRDefault="00366814" w:rsidP="00366814">
      <w:pPr>
        <w:rPr>
          <w:lang w:val="de-CH"/>
        </w:rPr>
      </w:pPr>
    </w:p>
    <w:p w14:paraId="5936C76F" w14:textId="77777777" w:rsidR="00366814" w:rsidRPr="00FF4406" w:rsidRDefault="00366814" w:rsidP="00366814">
      <w:pPr>
        <w:rPr>
          <w:lang w:val="de-CH"/>
        </w:rPr>
      </w:pPr>
    </w:p>
    <w:p w14:paraId="258DCF7C" w14:textId="77777777" w:rsidR="00366814" w:rsidRPr="00FF4406" w:rsidRDefault="00366814" w:rsidP="00366814">
      <w:pPr>
        <w:pStyle w:val="Line"/>
        <w:rPr>
          <w:lang w:val="de-CH"/>
        </w:rPr>
      </w:pPr>
    </w:p>
    <w:sectPr w:rsidR="00366814" w:rsidRPr="00FF4406" w:rsidSect="008F49EF">
      <w:headerReference w:type="even" r:id="rId250"/>
      <w:headerReference w:type="default" r:id="rId25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F1F7E" w14:textId="77777777" w:rsidR="00366814" w:rsidRDefault="00366814">
      <w:r>
        <w:separator/>
      </w:r>
    </w:p>
  </w:endnote>
  <w:endnote w:type="continuationSeparator" w:id="0">
    <w:p w14:paraId="742E3E5F" w14:textId="77777777" w:rsidR="00366814" w:rsidRDefault="0036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PS">
    <w:altName w:val="Segoe Print"/>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
    <w:panose1 w:val="02020603050405020304"/>
    <w:charset w:val="00"/>
    <w:family w:val="roman"/>
    <w:pitch w:val="variable"/>
    <w:sig w:usb0="00000007" w:usb1="00000000" w:usb2="00000000" w:usb3="00000000" w:csb0="00000093"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FD09" w14:textId="77777777" w:rsidR="00366814" w:rsidRDefault="00366814">
    <w:pPr>
      <w:pStyle w:val="Footer"/>
    </w:pPr>
    <w:r>
      <w:drawing>
        <wp:anchor distT="0" distB="0" distL="0" distR="0" simplePos="0" relativeHeight="251656192" behindDoc="0" locked="0" layoutInCell="1" allowOverlap="1" wp14:anchorId="11F5766D" wp14:editId="10CCF251">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900E" w14:textId="490613EB" w:rsidR="00CF04BC" w:rsidRPr="00657A74" w:rsidRDefault="00CF04BC" w:rsidP="00657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6F480" w14:textId="111E3C5E" w:rsidR="00CF04BC" w:rsidRPr="006E0151" w:rsidRDefault="00CF04BC" w:rsidP="006E01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BCFD" w14:textId="64AE2899" w:rsidR="00CF04BC" w:rsidRPr="008F49EF" w:rsidRDefault="00CF04BC" w:rsidP="008F4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0E0CB" w14:textId="77777777" w:rsidR="00366814" w:rsidRDefault="00366814">
      <w:r>
        <w:separator/>
      </w:r>
    </w:p>
  </w:footnote>
  <w:footnote w:type="continuationSeparator" w:id="0">
    <w:p w14:paraId="7D064255" w14:textId="77777777" w:rsidR="00366814" w:rsidRDefault="00366814">
      <w:r>
        <w:continuationSeparator/>
      </w:r>
    </w:p>
  </w:footnote>
  <w:footnote w:id="1">
    <w:p w14:paraId="307C942B" w14:textId="77777777" w:rsidR="00CF04BC" w:rsidRDefault="00CF04BC" w:rsidP="00CF04BC">
      <w:pPr>
        <w:pStyle w:val="FootnoteText"/>
        <w:spacing w:before="40"/>
        <w:rPr>
          <w:lang w:val="en-US"/>
        </w:rPr>
      </w:pPr>
      <w:r>
        <w:rPr>
          <w:rStyle w:val="FootnoteReference"/>
        </w:rPr>
        <w:footnoteRef/>
      </w:r>
      <w:r>
        <w:rPr>
          <w:lang w:val="en-US"/>
        </w:rPr>
        <w:tab/>
        <w:t>Source: A. M. YOUSSEF, E. KALMAN, L. BENZONI, “Technico-Economic Methods For Radio Spectrum Assignment”, in IEEE Communications Magazine, June 1995.</w:t>
      </w:r>
    </w:p>
  </w:footnote>
  <w:footnote w:id="2">
    <w:p w14:paraId="364D0199" w14:textId="77777777" w:rsidR="00CF04BC" w:rsidRDefault="00CF04BC" w:rsidP="00CF04BC">
      <w:pPr>
        <w:pStyle w:val="FootnoteText"/>
        <w:rPr>
          <w:lang w:val="en-US"/>
        </w:rPr>
      </w:pPr>
      <w:r>
        <w:rPr>
          <w:rStyle w:val="FootnoteReference"/>
        </w:rPr>
        <w:footnoteRef/>
      </w:r>
      <w:r>
        <w:rPr>
          <w:lang w:val="en-US"/>
        </w:rPr>
        <w:tab/>
        <w:t xml:space="preserve">SMITH-NERA (1996) – Study into the Use of Spectrum Pricing; Report prepared by the Smith Group and NERA for the UK Radio Agency. See also the Report by Europe Economics for OFCOM for the year ending 31 March 2006. </w:t>
      </w:r>
    </w:p>
  </w:footnote>
  <w:footnote w:id="3">
    <w:p w14:paraId="43432B77" w14:textId="77777777" w:rsidR="00CF04BC" w:rsidRDefault="00CF04BC" w:rsidP="00CF04BC">
      <w:pPr>
        <w:pStyle w:val="FootnoteText"/>
        <w:rPr>
          <w:lang w:val="en-US"/>
        </w:rPr>
      </w:pPr>
      <w:r>
        <w:rPr>
          <w:rStyle w:val="FootnoteReference"/>
        </w:rPr>
        <w:footnoteRef/>
      </w:r>
      <w:r>
        <w:rPr>
          <w:lang w:val="en-US"/>
        </w:rPr>
        <w:t xml:space="preserve"> </w:t>
      </w:r>
      <w:r>
        <w:rPr>
          <w:lang w:val="en-US"/>
        </w:rPr>
        <w:tab/>
        <w:t>NOZDRIN, V. [2003] Spectrum pricing. Regional Radiocommunication Seminar, Lusaka 2003.</w:t>
      </w:r>
    </w:p>
  </w:footnote>
  <w:footnote w:id="4">
    <w:p w14:paraId="02E748C1" w14:textId="77777777" w:rsidR="00CF04BC" w:rsidRDefault="00CF04BC" w:rsidP="00CF04BC">
      <w:pPr>
        <w:pStyle w:val="FootnoteText"/>
      </w:pPr>
      <w:r>
        <w:rPr>
          <w:rStyle w:val="FootnoteReference"/>
        </w:rPr>
        <w:footnoteRef/>
      </w:r>
      <w:r>
        <w:rPr>
          <w:rStyle w:val="FootnoteReference"/>
        </w:rPr>
        <w:tab/>
      </w:r>
      <w:r>
        <w:t xml:space="preserve">The term pricing used in this section should be understood according to </w:t>
      </w:r>
      <w:r>
        <w:rPr>
          <w:lang w:val="en-US"/>
        </w:rPr>
        <w:t xml:space="preserve">the No. 155 of the ITU </w:t>
      </w:r>
      <w:hyperlink r:id="rId1">
        <w:r>
          <w:rPr>
            <w:rStyle w:val="InternetLink"/>
            <w:lang w:val="en-US"/>
          </w:rPr>
          <w:t>Constitution and Convention</w:t>
        </w:r>
      </w:hyperlink>
      <w:r>
        <w:rPr>
          <w:lang w:val="en-US"/>
        </w:rPr>
        <w:t xml:space="preserve"> (Edition 2015).</w:t>
      </w:r>
    </w:p>
  </w:footnote>
  <w:footnote w:id="5">
    <w:p w14:paraId="7DDEC364" w14:textId="77777777" w:rsidR="00CF04BC" w:rsidRDefault="00CF04BC" w:rsidP="00CF04BC">
      <w:pPr>
        <w:pStyle w:val="FootnoteText"/>
      </w:pPr>
      <w:r>
        <w:rPr>
          <w:rStyle w:val="FootnoteReference"/>
        </w:rPr>
        <w:footnoteRef/>
      </w:r>
      <w:r>
        <w:rPr>
          <w:rStyle w:val="FootnoteReference"/>
        </w:rPr>
        <w:tab/>
      </w:r>
      <w:r>
        <w:t>The modifier to the fee</w:t>
      </w:r>
      <w:r>
        <w:rPr>
          <w:rFonts w:eastAsia="SimSun"/>
        </w:rPr>
        <w:t xml:space="preserve"> reflects the particular circumstances of the spectrum being priced.</w:t>
      </w:r>
    </w:p>
  </w:footnote>
  <w:footnote w:id="6">
    <w:p w14:paraId="65FAC4C5" w14:textId="77777777" w:rsidR="00CF04BC" w:rsidRDefault="00CF04BC" w:rsidP="00CF04BC">
      <w:pPr>
        <w:pStyle w:val="FootnoteText"/>
      </w:pPr>
      <w:r>
        <w:rPr>
          <w:rStyle w:val="FootnoteReference"/>
        </w:rPr>
        <w:footnoteRef/>
      </w:r>
      <w:r>
        <w:rPr>
          <w:rStyle w:val="FootnoteReference"/>
        </w:rPr>
        <w:tab/>
      </w:r>
      <w:r>
        <w:rPr>
          <w:szCs w:val="24"/>
          <w:lang w:val="en-US"/>
        </w:rPr>
        <w:t xml:space="preserve">This factor could </w:t>
      </w:r>
      <w:r>
        <w:rPr>
          <w:szCs w:val="24"/>
        </w:rPr>
        <w:t>be</w:t>
      </w:r>
      <w:r>
        <w:rPr>
          <w:szCs w:val="24"/>
          <w:lang w:val="en-US"/>
        </w:rPr>
        <w:t xml:space="preserve"> excluded in case of agreements among operators on spectrum sharing, under the provisions of national regulations; see </w:t>
      </w:r>
      <w:r>
        <w:rPr>
          <w:szCs w:val="24"/>
        </w:rPr>
        <w:t xml:space="preserve">Report </w:t>
      </w:r>
      <w:hyperlink r:id="rId2">
        <w:r w:rsidRPr="005D2CE0">
          <w:rPr>
            <w:rStyle w:val="InternetLink"/>
            <w:color w:val="auto"/>
            <w:szCs w:val="24"/>
            <w:u w:val="none"/>
          </w:rPr>
          <w:t>ITU-R SM.2404</w:t>
        </w:r>
      </w:hyperlink>
      <w:r w:rsidRPr="005D2CE0">
        <w:rPr>
          <w:szCs w:val="24"/>
        </w:rPr>
        <w:t xml:space="preserve"> – </w:t>
      </w:r>
      <w:r>
        <w:rPr>
          <w:szCs w:val="24"/>
        </w:rPr>
        <w:t>Regulatory tools to support enhanced shared use of the spectrum.</w:t>
      </w:r>
    </w:p>
  </w:footnote>
  <w:footnote w:id="7">
    <w:p w14:paraId="605BAAA2" w14:textId="77777777" w:rsidR="00CF04BC" w:rsidRDefault="00CF04BC" w:rsidP="00CF04BC">
      <w:pPr>
        <w:pStyle w:val="FootnoteText"/>
      </w:pPr>
      <w:r>
        <w:rPr>
          <w:rStyle w:val="FootnoteReference"/>
        </w:rPr>
        <w:footnoteRef/>
      </w:r>
      <w:r>
        <w:rPr>
          <w:rStyle w:val="FootnoteReference"/>
        </w:rPr>
        <w:tab/>
      </w:r>
      <w:r>
        <w:t>Using both subjective and objective parameters in the formula means that it becomes a subjective formula that is devaluing an objectivity that is expected in determining opportunity cost.</w:t>
      </w:r>
    </w:p>
  </w:footnote>
  <w:footnote w:id="8">
    <w:p w14:paraId="37ADE65D" w14:textId="2FCD4C60" w:rsidR="00CF04BC" w:rsidRDefault="00CF04BC" w:rsidP="00CF04BC">
      <w:pPr>
        <w:pStyle w:val="FootnoteText"/>
      </w:pPr>
      <w:r>
        <w:rPr>
          <w:rStyle w:val="FootnoteReference"/>
        </w:rPr>
        <w:footnoteRef/>
      </w:r>
      <w:r>
        <w:rPr>
          <w:rStyle w:val="FootnoteReference"/>
        </w:rPr>
        <w:tab/>
      </w:r>
      <w:r>
        <w:rPr>
          <w:szCs w:val="24"/>
          <w:lang w:val="en-US"/>
        </w:rPr>
        <w:t xml:space="preserve">The U.S. </w:t>
      </w:r>
      <w:hyperlink r:id="rId3">
        <w:r>
          <w:rPr>
            <w:rStyle w:val="InternetLink"/>
            <w:szCs w:val="24"/>
          </w:rPr>
          <w:t>Presidential Memorandum 2013</w:t>
        </w:r>
      </w:hyperlink>
      <w:r>
        <w:rPr>
          <w:szCs w:val="24"/>
        </w:rPr>
        <w:t xml:space="preserve"> </w:t>
      </w:r>
      <w:r w:rsidR="00922F64">
        <w:rPr>
          <w:szCs w:val="24"/>
        </w:rPr>
        <w:t>“</w:t>
      </w:r>
      <w:r>
        <w:rPr>
          <w:szCs w:val="24"/>
        </w:rPr>
        <w:t xml:space="preserve">… </w:t>
      </w:r>
      <w:r>
        <w:rPr>
          <w:szCs w:val="24"/>
          <w:lang w:val="en-US"/>
        </w:rPr>
        <w:t xml:space="preserve">to encompass more spectrum bands that may be candidates for shared access, specifically those in the </w:t>
      </w:r>
      <w:r>
        <w:rPr>
          <w:szCs w:val="24"/>
          <w:u w:val="single"/>
          <w:lang w:val="en-US"/>
        </w:rPr>
        <w:t>range below 6 GHz</w:t>
      </w:r>
      <w:r w:rsidR="00922F64">
        <w:rPr>
          <w:szCs w:val="24"/>
          <w:lang w:val="en-US"/>
        </w:rPr>
        <w:t>”</w:t>
      </w:r>
      <w:r>
        <w:rPr>
          <w:szCs w:val="24"/>
          <w:lang w:val="en-US"/>
        </w:rPr>
        <w:t xml:space="preserve"> (emphasis added). See also ITU-D </w:t>
      </w:r>
      <w:hyperlink r:id="rId4">
        <w:r>
          <w:rPr>
            <w:rStyle w:val="InternetLink"/>
            <w:szCs w:val="24"/>
            <w:lang w:val="en-US"/>
          </w:rPr>
          <w:t>Report</w:t>
        </w:r>
      </w:hyperlink>
      <w:r>
        <w:rPr>
          <w:szCs w:val="24"/>
          <w:lang w:val="en-US"/>
        </w:rPr>
        <w:t>, Table 3 Congestion factors by band [10].</w:t>
      </w:r>
    </w:p>
  </w:footnote>
  <w:footnote w:id="9">
    <w:p w14:paraId="256B4BA3" w14:textId="77777777" w:rsidR="00CF04BC" w:rsidRDefault="00CF04BC" w:rsidP="00CF04BC">
      <w:pPr>
        <w:pStyle w:val="FootnoteText"/>
        <w:rPr>
          <w:lang w:val="en-US"/>
        </w:rPr>
      </w:pPr>
      <w:r>
        <w:rPr>
          <w:rStyle w:val="FootnoteReference"/>
        </w:rPr>
        <w:footnoteRef/>
      </w:r>
      <w:r>
        <w:t xml:space="preserve"> </w:t>
      </w:r>
      <w:r>
        <w:rPr>
          <w:lang w:val="en-US"/>
        </w:rPr>
        <w:tab/>
        <w:t>ERC (1998) Report on the Introduction of Economic Criteria in Spectrum Management and the Principles of Fees and Charging in the CEPT, ERC Report 53, March, Manchester.</w:t>
      </w:r>
    </w:p>
  </w:footnote>
  <w:footnote w:id="10">
    <w:p w14:paraId="20417B7E" w14:textId="77777777" w:rsidR="00CF04BC" w:rsidRDefault="00CF04BC" w:rsidP="00CF04BC">
      <w:pPr>
        <w:pStyle w:val="FootnoteText"/>
      </w:pPr>
      <w:r>
        <w:rPr>
          <w:rStyle w:val="FootnoteReference"/>
        </w:rPr>
        <w:footnoteRef/>
      </w:r>
      <w:r>
        <w:t xml:space="preserve"> </w:t>
      </w:r>
      <w:r>
        <w:rPr>
          <w:lang w:val="en-US"/>
        </w:rPr>
        <w:tab/>
        <w:t>National experiences are only representing the views of the respective Administrations.</w:t>
      </w:r>
    </w:p>
  </w:footnote>
  <w:footnote w:id="11">
    <w:p w14:paraId="0B2B4AFF" w14:textId="77777777" w:rsidR="00CF04BC" w:rsidRDefault="00CF04BC" w:rsidP="00CF04BC">
      <w:pPr>
        <w:pStyle w:val="FootnoteText"/>
        <w:rPr>
          <w:lang w:val="en-US"/>
        </w:rPr>
      </w:pPr>
      <w:r>
        <w:rPr>
          <w:rStyle w:val="FootnoteReference"/>
          <w:sz w:val="20"/>
        </w:rPr>
        <w:footnoteRef/>
      </w:r>
      <w:r>
        <w:rPr>
          <w:lang w:val="en-US"/>
        </w:rPr>
        <w:tab/>
      </w:r>
      <w:r>
        <w:rPr>
          <w:szCs w:val="24"/>
          <w:lang w:val="en-US"/>
        </w:rPr>
        <w:t>License fee – payment levied on the winning bidder.</w:t>
      </w:r>
    </w:p>
  </w:footnote>
  <w:footnote w:id="12">
    <w:p w14:paraId="16E8D149" w14:textId="77777777" w:rsidR="00CF04BC" w:rsidRDefault="00CF04BC" w:rsidP="00CF04BC">
      <w:pPr>
        <w:pStyle w:val="FootnoteText"/>
      </w:pPr>
      <w:r>
        <w:rPr>
          <w:rStyle w:val="FootnoteReference"/>
          <w:sz w:val="20"/>
        </w:rPr>
        <w:footnoteRef/>
      </w:r>
      <w:r>
        <w:rPr>
          <w:sz w:val="20"/>
          <w:lang w:val="en-US"/>
        </w:rPr>
        <w:tab/>
      </w:r>
      <w:r>
        <w:rPr>
          <w:szCs w:val="24"/>
        </w:rPr>
        <w:t>Amount of licence fee based on results of bidding</w:t>
      </w:r>
      <w:r>
        <w:rPr>
          <w:szCs w:val="24"/>
          <w:lang w:val="en-US"/>
        </w:rPr>
        <w:t xml:space="preserve"> process</w:t>
      </w:r>
      <w:r>
        <w:rPr>
          <w:szCs w:val="24"/>
        </w:rPr>
        <w:t>.</w:t>
      </w:r>
    </w:p>
  </w:footnote>
  <w:footnote w:id="13">
    <w:p w14:paraId="7CB19D48" w14:textId="77777777" w:rsidR="00CF04BC" w:rsidRDefault="00CF04BC" w:rsidP="00CF04BC">
      <w:pPr>
        <w:pStyle w:val="FootnoteText"/>
        <w:rPr>
          <w:sz w:val="20"/>
          <w:lang w:val="en-US"/>
        </w:rPr>
      </w:pPr>
      <w:r>
        <w:rPr>
          <w:rStyle w:val="FootnoteReference"/>
          <w:sz w:val="20"/>
        </w:rPr>
        <w:footnoteRef/>
      </w:r>
      <w:r>
        <w:rPr>
          <w:sz w:val="20"/>
          <w:lang w:val="en-US"/>
        </w:rPr>
        <w:tab/>
      </w:r>
      <w:r>
        <w:rPr>
          <w:szCs w:val="24"/>
        </w:rPr>
        <w:t>The amount of</w:t>
      </w:r>
      <w:r>
        <w:rPr>
          <w:szCs w:val="24"/>
          <w:lang w:val="en-US"/>
        </w:rPr>
        <w:t xml:space="preserve"> </w:t>
      </w:r>
      <w:r>
        <w:rPr>
          <w:szCs w:val="24"/>
        </w:rPr>
        <w:t>payment does not depend on the way in which the frequencies are allocated. The methods of determining the one-off payment and annual payment for use of frequencies is set out in § 5.2.7.</w:t>
      </w:r>
    </w:p>
  </w:footnote>
  <w:footnote w:id="14">
    <w:p w14:paraId="44EBC319" w14:textId="112DE62C" w:rsidR="00CF04BC" w:rsidRDefault="00CF04BC" w:rsidP="00CF04BC">
      <w:pPr>
        <w:pStyle w:val="FootnoteText"/>
        <w:rPr>
          <w:sz w:val="20"/>
          <w:lang w:val="en-US"/>
        </w:rPr>
      </w:pPr>
      <w:r>
        <w:rPr>
          <w:rStyle w:val="FootnoteReference"/>
          <w:szCs w:val="18"/>
        </w:rPr>
        <w:footnoteRef/>
      </w:r>
      <w:r>
        <w:rPr>
          <w:sz w:val="18"/>
          <w:szCs w:val="18"/>
          <w:lang w:val="en-US"/>
        </w:rPr>
        <w:tab/>
      </w:r>
      <w:r>
        <w:rPr>
          <w:szCs w:val="24"/>
        </w:rPr>
        <w:t xml:space="preserve">Additional points were awarded to a bidder able to invest at least 243.75 m </w:t>
      </w:r>
      <w:r w:rsidR="00092428">
        <w:rPr>
          <w:szCs w:val="24"/>
        </w:rPr>
        <w:t>roubles</w:t>
      </w:r>
      <w:r>
        <w:rPr>
          <w:szCs w:val="24"/>
        </w:rPr>
        <w:t xml:space="preserve">, from the bidder’s own funds or from </w:t>
      </w:r>
      <w:r>
        <w:rPr>
          <w:szCs w:val="24"/>
          <w:lang w:val="en-US"/>
        </w:rPr>
        <w:t>borrowed funds</w:t>
      </w:r>
      <w:r>
        <w:rPr>
          <w:szCs w:val="24"/>
        </w:rPr>
        <w:t xml:space="preserve">, in order to </w:t>
      </w:r>
      <w:r>
        <w:rPr>
          <w:szCs w:val="24"/>
          <w:lang w:val="en-US"/>
        </w:rPr>
        <w:t xml:space="preserve">fulfil </w:t>
      </w:r>
      <w:r>
        <w:rPr>
          <w:szCs w:val="24"/>
        </w:rPr>
        <w:t xml:space="preserve">obligations </w:t>
      </w:r>
      <w:r>
        <w:rPr>
          <w:szCs w:val="24"/>
          <w:lang w:val="en-US"/>
        </w:rPr>
        <w:t xml:space="preserve">related to </w:t>
      </w:r>
      <w:r>
        <w:rPr>
          <w:szCs w:val="24"/>
        </w:rPr>
        <w:t>deployment of a GSM mobile network in the 1</w:t>
      </w:r>
      <w:r>
        <w:rPr>
          <w:szCs w:val="24"/>
          <w:lang w:val="en-US"/>
        </w:rPr>
        <w:t> </w:t>
      </w:r>
      <w:r>
        <w:rPr>
          <w:szCs w:val="24"/>
        </w:rPr>
        <w:t>800 MHz band.</w:t>
      </w:r>
    </w:p>
  </w:footnote>
  <w:footnote w:id="15">
    <w:p w14:paraId="23A87E4F" w14:textId="77777777" w:rsidR="00CF04BC" w:rsidRDefault="00CF04BC" w:rsidP="00CF04BC">
      <w:pPr>
        <w:pStyle w:val="FootnoteTextComplex12pt"/>
        <w:rPr>
          <w:szCs w:val="22"/>
        </w:rPr>
      </w:pPr>
      <w:r>
        <w:rPr>
          <w:rStyle w:val="FootnoteReference"/>
          <w:szCs w:val="18"/>
        </w:rPr>
        <w:footnoteRef/>
      </w:r>
      <w:r>
        <w:rPr>
          <w:sz w:val="18"/>
          <w:szCs w:val="18"/>
          <w:lang w:val="en-US"/>
        </w:rPr>
        <w:tab/>
      </w:r>
      <w:r>
        <w:rPr>
          <w:szCs w:val="22"/>
        </w:rPr>
        <w:t xml:space="preserve">Additional points were awarded to a bidder undertaking to ensure provision of mobile radiotelephony services in the competition territory of the lot in all </w:t>
      </w:r>
      <w:r>
        <w:rPr>
          <w:szCs w:val="22"/>
          <w:lang w:val="en-US"/>
        </w:rPr>
        <w:t xml:space="preserve">settlements with </w:t>
      </w:r>
      <w:r>
        <w:rPr>
          <w:szCs w:val="22"/>
        </w:rPr>
        <w:t>2 000</w:t>
      </w:r>
      <w:r>
        <w:rPr>
          <w:szCs w:val="22"/>
          <w:lang w:val="en-US"/>
        </w:rPr>
        <w:t>-</w:t>
      </w:r>
      <w:r>
        <w:rPr>
          <w:szCs w:val="22"/>
        </w:rPr>
        <w:t xml:space="preserve">100 000 inhabitants, and in at least 10 per cent of </w:t>
      </w:r>
      <w:r>
        <w:rPr>
          <w:szCs w:val="22"/>
          <w:lang w:val="en-US"/>
        </w:rPr>
        <w:t>settlements</w:t>
      </w:r>
      <w:r>
        <w:rPr>
          <w:szCs w:val="22"/>
        </w:rPr>
        <w:t xml:space="preserve"> with 200</w:t>
      </w:r>
      <w:r>
        <w:rPr>
          <w:szCs w:val="22"/>
          <w:lang w:val="en-US"/>
        </w:rPr>
        <w:t>-</w:t>
      </w:r>
      <w:r>
        <w:rPr>
          <w:szCs w:val="22"/>
        </w:rPr>
        <w:t>2 000 inhabitants, within a period of two to three years.</w:t>
      </w:r>
    </w:p>
  </w:footnote>
  <w:footnote w:id="16">
    <w:p w14:paraId="12026994" w14:textId="77777777" w:rsidR="00CF04BC" w:rsidRDefault="00CF04BC" w:rsidP="00CF04BC">
      <w:pPr>
        <w:pStyle w:val="FootnoteReference10pt"/>
        <w:rPr>
          <w:lang w:val="en-US"/>
        </w:rPr>
      </w:pPr>
      <w:r>
        <w:rPr>
          <w:rStyle w:val="FootnoteReference"/>
          <w:szCs w:val="18"/>
        </w:rPr>
        <w:footnoteRef/>
      </w:r>
      <w:r>
        <w:rPr>
          <w:sz w:val="18"/>
          <w:szCs w:val="18"/>
          <w:lang w:val="en-US"/>
        </w:rPr>
        <w:tab/>
      </w:r>
      <w:r>
        <w:rPr>
          <w:rStyle w:val="FootnoteTextChar"/>
          <w:lang w:val="en-US"/>
        </w:rPr>
        <w:t xml:space="preserve">Within one year – at least 10 per cent of settlements with population of at least 2 000; within two years </w:t>
      </w:r>
      <w:r>
        <w:rPr>
          <w:rStyle w:val="FootnoteTextChar"/>
          <w:lang w:val="en-US"/>
        </w:rPr>
        <w:noBreakHyphen/>
        <w:t xml:space="preserve"> 25 per cent; within three years – 40 per cent; within four years – 65 per cent; within five years – 85 per cent; within six years 95 per cent; within seven years – 99.9 per cent.</w:t>
      </w:r>
    </w:p>
  </w:footnote>
  <w:footnote w:id="17">
    <w:p w14:paraId="0199142F" w14:textId="77777777" w:rsidR="00CF04BC" w:rsidRDefault="00CF04BC" w:rsidP="00CF04BC">
      <w:pPr>
        <w:pStyle w:val="FootnoteText"/>
      </w:pPr>
      <w:r>
        <w:rPr>
          <w:rStyle w:val="FootnoteReference"/>
        </w:rPr>
        <w:footnoteRef/>
      </w:r>
      <w:r>
        <w:rPr>
          <w:rStyle w:val="FootnoteReference"/>
        </w:rPr>
        <w:tab/>
      </w:r>
      <w:r>
        <w:t>On June 2018, 1 South Korean Won (KRW) equals 0,00093 USD.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9094" w14:textId="77777777" w:rsidR="00366814" w:rsidRDefault="0036681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D2F6F" w14:textId="26607026"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1379B9">
      <w:rPr>
        <w:b/>
        <w:bCs/>
        <w:lang w:val="en-US"/>
      </w:rPr>
      <w:fldChar w:fldCharType="begin"/>
    </w:r>
    <w:r w:rsidR="001379B9">
      <w:rPr>
        <w:b/>
        <w:bCs/>
        <w:lang w:val="en-US"/>
      </w:rPr>
      <w:instrText xml:space="preserve"> DOCPROPERTY  "Header 2"  \* MERGEFORMAT </w:instrText>
    </w:r>
    <w:r w:rsidR="001379B9">
      <w:rPr>
        <w:b/>
        <w:bCs/>
        <w:lang w:val="en-US"/>
      </w:rPr>
      <w:fldChar w:fldCharType="separate"/>
    </w:r>
    <w:r w:rsidR="006E0151">
      <w:rPr>
        <w:b/>
        <w:bCs/>
        <w:lang w:val="en-US"/>
      </w:rPr>
      <w:t xml:space="preserve">Rep. </w:t>
    </w:r>
    <w:r w:rsidR="001379B9">
      <w:rPr>
        <w:b/>
        <w:bCs/>
        <w:lang w:val="en-US"/>
      </w:rPr>
      <w:fldChar w:fldCharType="end"/>
    </w:r>
    <w:r w:rsidR="001379B9">
      <w:rPr>
        <w:b/>
        <w:bCs/>
      </w:rPr>
      <w:t xml:space="preserve"> </w:t>
    </w:r>
    <w:r w:rsidR="001379B9">
      <w:rPr>
        <w:b/>
        <w:bCs/>
      </w:rPr>
      <w:fldChar w:fldCharType="begin"/>
    </w:r>
    <w:r w:rsidR="001379B9">
      <w:rPr>
        <w:b/>
        <w:bCs/>
        <w:lang w:val="en-US"/>
      </w:rPr>
      <w:instrText>styleref href</w:instrText>
    </w:r>
    <w:r w:rsidR="001379B9">
      <w:rPr>
        <w:b/>
        <w:bCs/>
      </w:rPr>
      <w:fldChar w:fldCharType="separate"/>
    </w:r>
    <w:r w:rsidR="006640E0">
      <w:rPr>
        <w:b/>
        <w:bCs/>
        <w:noProof/>
      </w:rPr>
      <w:t>ITU-R  SM.2012-7</w:t>
    </w:r>
    <w:r w:rsidR="001379B9">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B8DA" w14:textId="12234633" w:rsidR="00607D68" w:rsidRDefault="00607D68">
    <w:pPr>
      <w:pStyle w:val="Header"/>
    </w:pPr>
    <w:r>
      <w:tab/>
    </w:r>
    <w:r w:rsidR="001379B9">
      <w:rPr>
        <w:b/>
        <w:bCs/>
        <w:lang w:val="en-US"/>
      </w:rPr>
      <w:fldChar w:fldCharType="begin"/>
    </w:r>
    <w:r w:rsidR="001379B9">
      <w:rPr>
        <w:b/>
        <w:bCs/>
        <w:lang w:val="en-US"/>
      </w:rPr>
      <w:instrText xml:space="preserve"> DOCPROPERTY  "Header 2"  \* MERGEFORMAT </w:instrText>
    </w:r>
    <w:r w:rsidR="001379B9">
      <w:rPr>
        <w:b/>
        <w:bCs/>
        <w:lang w:val="en-US"/>
      </w:rPr>
      <w:fldChar w:fldCharType="separate"/>
    </w:r>
    <w:r w:rsidR="006E0151">
      <w:rPr>
        <w:b/>
        <w:bCs/>
        <w:lang w:val="en-US"/>
      </w:rPr>
      <w:t xml:space="preserve">Rep. </w:t>
    </w:r>
    <w:r w:rsidR="001379B9">
      <w:rPr>
        <w:b/>
        <w:bCs/>
        <w:lang w:val="en-US"/>
      </w:rPr>
      <w:fldChar w:fldCharType="end"/>
    </w:r>
    <w:r w:rsidR="001379B9">
      <w:rPr>
        <w:b/>
        <w:bCs/>
      </w:rPr>
      <w:t xml:space="preserve"> </w:t>
    </w:r>
    <w:r w:rsidR="001379B9">
      <w:rPr>
        <w:b/>
        <w:bCs/>
      </w:rPr>
      <w:fldChar w:fldCharType="begin"/>
    </w:r>
    <w:r w:rsidR="001379B9">
      <w:rPr>
        <w:b/>
        <w:bCs/>
        <w:lang w:val="en-US"/>
      </w:rPr>
      <w:instrText>styleref href</w:instrText>
    </w:r>
    <w:r w:rsidR="001379B9">
      <w:rPr>
        <w:b/>
        <w:bCs/>
      </w:rPr>
      <w:fldChar w:fldCharType="separate"/>
    </w:r>
    <w:r w:rsidR="006640E0">
      <w:rPr>
        <w:b/>
        <w:bCs/>
        <w:noProof/>
      </w:rPr>
      <w:t>ITU-R  SM.2012-7</w:t>
    </w:r>
    <w:r w:rsidR="001379B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366814" w:rsidRPr="00A239D1" w14:paraId="1FA577C9" w14:textId="77777777" w:rsidTr="0019307B">
      <w:tc>
        <w:tcPr>
          <w:tcW w:w="4634" w:type="dxa"/>
          <w:vAlign w:val="center"/>
        </w:tcPr>
        <w:p w14:paraId="21B0B25D" w14:textId="77777777" w:rsidR="00366814" w:rsidRPr="005B0371" w:rsidRDefault="0036681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2B75E33" w14:textId="77777777" w:rsidR="00366814" w:rsidRPr="00260B24" w:rsidRDefault="0036681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366814" w:rsidRPr="00A239D1" w14:paraId="13EE78CB" w14:textId="77777777" w:rsidTr="0019307B">
      <w:tc>
        <w:tcPr>
          <w:tcW w:w="4634" w:type="dxa"/>
          <w:vAlign w:val="center"/>
        </w:tcPr>
        <w:p w14:paraId="29F128C5" w14:textId="77777777" w:rsidR="00366814" w:rsidRPr="00260B24" w:rsidRDefault="00366814" w:rsidP="00744F8B">
          <w:pPr>
            <w:pStyle w:val="Header"/>
            <w:jc w:val="left"/>
            <w:rPr>
              <w:rFonts w:asciiTheme="minorBidi" w:hAnsiTheme="minorBidi"/>
              <w:spacing w:val="4"/>
              <w:sz w:val="21"/>
              <w:szCs w:val="21"/>
            </w:rPr>
          </w:pPr>
        </w:p>
      </w:tc>
      <w:tc>
        <w:tcPr>
          <w:tcW w:w="5998" w:type="dxa"/>
          <w:vAlign w:val="center"/>
        </w:tcPr>
        <w:p w14:paraId="23B5E3BC" w14:textId="77777777" w:rsidR="00366814" w:rsidRPr="00260B24" w:rsidRDefault="00366814"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3E9CC0E3" w14:textId="77777777" w:rsidR="00366814" w:rsidRDefault="00366814"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7D0C1DF" wp14:editId="7EAA59D4">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684527B4" wp14:editId="401110D0">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239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EA0A6B3" w14:textId="77777777" w:rsidR="00366814" w:rsidRDefault="0036681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9BECF08" wp14:editId="58194D15">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B0303"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4148D" w14:textId="5D3D7BD8" w:rsidR="00657A74" w:rsidRPr="00657A74" w:rsidRDefault="00657A74" w:rsidP="00657A74">
    <w:pPr>
      <w:pStyle w:val="Header"/>
      <w:jc w:val="both"/>
      <w:rPr>
        <w:lang w:val="en-US"/>
      </w:rPr>
    </w:pPr>
    <w:r>
      <w:rPr>
        <w:lang w:val="en-US"/>
      </w:rPr>
      <w:tab/>
    </w:r>
    <w:r>
      <w:rPr>
        <w:lang w:val="fr-FR"/>
      </w:rPr>
      <w:fldChar w:fldCharType="begin"/>
    </w:r>
    <w:r>
      <w:rPr>
        <w:lang w:val="en-US"/>
      </w:rPr>
      <w:instrText xml:space="preserve"> DOCPROPERTY "Header 2" \* MERGEFORMAT </w:instrText>
    </w:r>
    <w:r>
      <w:rPr>
        <w:lang w:val="fr-FR"/>
      </w:rPr>
      <w:fldChar w:fldCharType="separate"/>
    </w:r>
    <w:r w:rsidR="006E0151" w:rsidRPr="006E0151">
      <w:rPr>
        <w:b/>
        <w:bCs/>
        <w:lang w:val="en-US"/>
      </w:rPr>
      <w:t xml:space="preserve">Rep. </w:t>
    </w:r>
    <w:r>
      <w:rPr>
        <w:b/>
        <w:bCs/>
        <w:lang w:val="en-U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BD2851">
      <w:rPr>
        <w:b/>
        <w:bCs/>
        <w:noProof/>
      </w:rPr>
      <w:t>ITU-R  SM.2012-7</w:t>
    </w:r>
    <w:r>
      <w:fldChar w:fldCharType="end"/>
    </w:r>
    <w:r>
      <w:rPr>
        <w:lang w:val="en-US"/>
      </w:rPr>
      <w:tab/>
    </w:r>
    <w:r>
      <w:rPr>
        <w:b/>
        <w:bCs/>
      </w:rPr>
      <w:fldChar w:fldCharType="begin"/>
    </w:r>
    <w:r>
      <w:rPr>
        <w:b/>
        <w:bCs/>
        <w:lang w:val="en-US"/>
      </w:rPr>
      <w:instrText xml:space="preserve"> PAGE </w:instrText>
    </w:r>
    <w:r>
      <w:rPr>
        <w:b/>
        <w:bCs/>
      </w:rPr>
      <w:fldChar w:fldCharType="separate"/>
    </w:r>
    <w:r>
      <w:rPr>
        <w:b/>
        <w:bCs/>
      </w:rP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C22D" w14:textId="44ED7F9C" w:rsidR="00366814" w:rsidRPr="00D72623" w:rsidRDefault="0036681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E0151">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640E0">
      <w:rPr>
        <w:b/>
        <w:bCs/>
        <w:noProof/>
      </w:rPr>
      <w:t>ITU-R  SM.2012-7</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9564" w14:textId="323EA37A" w:rsidR="00366814" w:rsidRDefault="00366814">
    <w:pPr>
      <w:pStyle w:val="Header"/>
    </w:pPr>
    <w:r>
      <w:tab/>
    </w:r>
    <w:r>
      <w:rPr>
        <w:b/>
        <w:bCs/>
      </w:rPr>
      <w:fldChar w:fldCharType="begin"/>
    </w:r>
    <w:r>
      <w:rPr>
        <w:b/>
        <w:bCs/>
      </w:rPr>
      <w:instrText xml:space="preserve"> DOCPROPERTY  "Header 2"  \* MERGEFORMAT </w:instrText>
    </w:r>
    <w:r>
      <w:rPr>
        <w:b/>
        <w:bCs/>
      </w:rPr>
      <w:fldChar w:fldCharType="separate"/>
    </w:r>
    <w:r w:rsidR="006E0151">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6E0151">
      <w:rPr>
        <w:b/>
        <w:bCs/>
        <w:noProof/>
      </w:rPr>
      <w:t>ITU-R  SM.2012-7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F223" w14:textId="410BBE21" w:rsidR="00CF04BC" w:rsidRDefault="00CF04BC">
    <w:pPr>
      <w:pStyle w:val="Header"/>
      <w:jc w:val="both"/>
      <w:rPr>
        <w:lang w:val="en-US"/>
      </w:rPr>
    </w:pPr>
    <w:r>
      <w:rPr>
        <w:b/>
        <w:bCs/>
      </w:rPr>
      <w:fldChar w:fldCharType="begin"/>
    </w:r>
    <w:r>
      <w:rPr>
        <w:b/>
        <w:bCs/>
        <w:lang w:val="en-US"/>
      </w:rPr>
      <w:instrText xml:space="preserve"> PAGE </w:instrText>
    </w:r>
    <w:r>
      <w:rPr>
        <w:b/>
        <w:bCs/>
      </w:rPr>
      <w:fldChar w:fldCharType="separate"/>
    </w:r>
    <w:r>
      <w:rPr>
        <w:b/>
        <w:bCs/>
        <w:lang w:val="en-US"/>
      </w:rPr>
      <w:t>18</w:t>
    </w:r>
    <w:r>
      <w:fldChar w:fldCharType="end"/>
    </w:r>
    <w:r>
      <w:rPr>
        <w:lang w:val="en-US"/>
      </w:rPr>
      <w:tab/>
    </w:r>
    <w:r>
      <w:rPr>
        <w:lang w:val="fr-FR"/>
      </w:rPr>
      <w:fldChar w:fldCharType="begin"/>
    </w:r>
    <w:r>
      <w:rPr>
        <w:lang w:val="en-US"/>
      </w:rPr>
      <w:instrText xml:space="preserve"> DOCPROPERTY "Header 2" \* MERGEFORMAT </w:instrText>
    </w:r>
    <w:r>
      <w:rPr>
        <w:lang w:val="fr-FR"/>
      </w:rPr>
      <w:fldChar w:fldCharType="separate"/>
    </w:r>
    <w:r w:rsidR="006E0151" w:rsidRPr="006E0151">
      <w:rPr>
        <w:b/>
        <w:bCs/>
        <w:lang w:val="en-US"/>
      </w:rPr>
      <w:t xml:space="preserve">Rep. </w:t>
    </w:r>
    <w:r>
      <w:rPr>
        <w:b/>
        <w:bCs/>
        <w:lang w:val="en-U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BD2851">
      <w:rPr>
        <w:b/>
        <w:bCs/>
        <w:noProof/>
      </w:rPr>
      <w:t>ITU-R  SM.2012-7</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A02A" w14:textId="25338DB0" w:rsidR="00CF04BC" w:rsidRPr="00CA1D2D" w:rsidRDefault="00CA1D2D" w:rsidP="00CA1D2D">
    <w:pPr>
      <w:pStyle w:val="Header"/>
      <w:rPr>
        <w:rStyle w:val="PageNumber"/>
        <w:b/>
        <w:bCs/>
      </w:rPr>
    </w:pPr>
    <w:r>
      <w:rPr>
        <w:b/>
        <w:bCs/>
      </w:rPr>
      <w:tab/>
    </w:r>
    <w:r w:rsidR="00657A74" w:rsidRPr="00CA1D2D">
      <w:rPr>
        <w:b/>
        <w:bCs/>
      </w:rPr>
      <w:fldChar w:fldCharType="begin"/>
    </w:r>
    <w:r w:rsidR="00657A74" w:rsidRPr="00CA1D2D">
      <w:rPr>
        <w:b/>
        <w:bCs/>
      </w:rPr>
      <w:instrText xml:space="preserve"> DOCPROPERTY "Header 2" \* MERGEFORMAT </w:instrText>
    </w:r>
    <w:r w:rsidR="00657A74" w:rsidRPr="00CA1D2D">
      <w:rPr>
        <w:b/>
        <w:bCs/>
      </w:rPr>
      <w:fldChar w:fldCharType="separate"/>
    </w:r>
    <w:r w:rsidR="006E0151">
      <w:rPr>
        <w:b/>
        <w:bCs/>
      </w:rPr>
      <w:t xml:space="preserve">Rep. </w:t>
    </w:r>
    <w:r w:rsidR="00657A74" w:rsidRPr="00CA1D2D">
      <w:rPr>
        <w:b/>
        <w:bCs/>
      </w:rPr>
      <w:fldChar w:fldCharType="end"/>
    </w:r>
    <w:r w:rsidR="00657A74" w:rsidRPr="00CA1D2D">
      <w:rPr>
        <w:b/>
        <w:bCs/>
      </w:rPr>
      <w:t xml:space="preserve"> </w:t>
    </w:r>
    <w:r w:rsidR="00657A74" w:rsidRPr="00CA1D2D">
      <w:rPr>
        <w:b/>
        <w:bCs/>
      </w:rPr>
      <w:fldChar w:fldCharType="begin"/>
    </w:r>
    <w:r w:rsidR="00657A74" w:rsidRPr="00CA1D2D">
      <w:rPr>
        <w:b/>
        <w:bCs/>
      </w:rPr>
      <w:instrText>styleref href</w:instrText>
    </w:r>
    <w:r w:rsidR="00657A74" w:rsidRPr="00CA1D2D">
      <w:rPr>
        <w:b/>
        <w:bCs/>
      </w:rPr>
      <w:fldChar w:fldCharType="separate"/>
    </w:r>
    <w:r w:rsidR="00BD2851">
      <w:rPr>
        <w:b/>
        <w:bCs/>
        <w:noProof/>
      </w:rPr>
      <w:t>ITU-R  SM.2012-7</w:t>
    </w:r>
    <w:r w:rsidR="00657A74" w:rsidRPr="00CA1D2D">
      <w:rPr>
        <w:b/>
        <w:bCs/>
      </w:rPr>
      <w:fldChar w:fldCharType="end"/>
    </w:r>
    <w:r w:rsidR="00657A74" w:rsidRPr="00CA1D2D">
      <w:rPr>
        <w:b/>
        <w:bCs/>
      </w:rPr>
      <w:tab/>
    </w:r>
    <w:r w:rsidR="00657A74" w:rsidRPr="00CA1D2D">
      <w:rPr>
        <w:b/>
        <w:bCs/>
      </w:rPr>
      <w:fldChar w:fldCharType="begin"/>
    </w:r>
    <w:r w:rsidR="00657A74" w:rsidRPr="00CA1D2D">
      <w:rPr>
        <w:b/>
        <w:bCs/>
      </w:rPr>
      <w:instrText xml:space="preserve"> PAGE </w:instrText>
    </w:r>
    <w:r w:rsidR="00657A74" w:rsidRPr="00CA1D2D">
      <w:rPr>
        <w:b/>
        <w:bCs/>
      </w:rPr>
      <w:fldChar w:fldCharType="separate"/>
    </w:r>
    <w:r w:rsidR="00657A74" w:rsidRPr="00CA1D2D">
      <w:rPr>
        <w:b/>
        <w:bCs/>
      </w:rPr>
      <w:t>1</w:t>
    </w:r>
    <w:r w:rsidR="00657A74" w:rsidRPr="00CA1D2D">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B8A5" w14:textId="292D2585" w:rsidR="00CF04BC" w:rsidRDefault="00CF04BC">
    <w:pPr>
      <w:pStyle w:val="Header"/>
      <w:tabs>
        <w:tab w:val="center" w:pos="7258"/>
        <w:tab w:val="left" w:pos="14515"/>
      </w:tabs>
      <w:jc w:val="both"/>
      <w:rPr>
        <w:lang w:val="en-US"/>
      </w:rPr>
    </w:pPr>
    <w:r>
      <w:rPr>
        <w:b/>
        <w:bCs/>
      </w:rPr>
      <w:fldChar w:fldCharType="begin"/>
    </w:r>
    <w:r>
      <w:rPr>
        <w:b/>
        <w:bCs/>
        <w:lang w:val="en-US"/>
      </w:rPr>
      <w:instrText xml:space="preserve"> PAGE </w:instrText>
    </w:r>
    <w:r>
      <w:rPr>
        <w:b/>
        <w:bCs/>
      </w:rPr>
      <w:fldChar w:fldCharType="separate"/>
    </w:r>
    <w:r>
      <w:rPr>
        <w:b/>
        <w:bCs/>
        <w:lang w:val="en-US"/>
      </w:rPr>
      <w:t>38</w:t>
    </w:r>
    <w:r>
      <w:fldChar w:fldCharType="end"/>
    </w:r>
    <w:r w:rsidR="00CA1D2D">
      <w:tab/>
    </w:r>
    <w:r>
      <w:rPr>
        <w:lang w:val="en-US"/>
      </w:rPr>
      <w:tab/>
    </w:r>
    <w:r>
      <w:rPr>
        <w:lang w:val="fr-FR"/>
      </w:rPr>
      <w:fldChar w:fldCharType="begin"/>
    </w:r>
    <w:r>
      <w:rPr>
        <w:lang w:val="en-US"/>
      </w:rPr>
      <w:instrText xml:space="preserve"> DOCPROPERTY "Header 2" \* MERGEFORMAT </w:instrText>
    </w:r>
    <w:r>
      <w:rPr>
        <w:lang w:val="fr-FR"/>
      </w:rPr>
      <w:fldChar w:fldCharType="separate"/>
    </w:r>
    <w:r w:rsidR="006E0151" w:rsidRPr="006E0151">
      <w:rPr>
        <w:b/>
        <w:bCs/>
        <w:lang w:val="en-US"/>
      </w:rPr>
      <w:t xml:space="preserve">Rep. </w:t>
    </w:r>
    <w:r>
      <w:rPr>
        <w:b/>
        <w:bCs/>
        <w:lang w:val="en-U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FF4406">
      <w:rPr>
        <w:b/>
        <w:bCs/>
        <w:noProof/>
      </w:rPr>
      <w:t>ITU-R  SM.2012-7</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862A" w14:textId="0B8EF9E1" w:rsidR="001379B9" w:rsidRPr="00CA1D2D" w:rsidRDefault="001379B9" w:rsidP="001379B9">
    <w:pPr>
      <w:pStyle w:val="Header"/>
      <w:tabs>
        <w:tab w:val="clear" w:pos="4848"/>
        <w:tab w:val="clear" w:pos="9696"/>
        <w:tab w:val="center" w:pos="7088"/>
        <w:tab w:val="right" w:pos="13892"/>
      </w:tabs>
      <w:rPr>
        <w:rStyle w:val="PageNumber"/>
        <w:b/>
        <w:bCs/>
      </w:rPr>
    </w:pPr>
    <w:r>
      <w:rPr>
        <w:b/>
        <w:bCs/>
      </w:rPr>
      <w:tab/>
    </w:r>
    <w:r w:rsidRPr="00CA1D2D">
      <w:rPr>
        <w:b/>
        <w:bCs/>
      </w:rPr>
      <w:fldChar w:fldCharType="begin"/>
    </w:r>
    <w:r w:rsidRPr="00CA1D2D">
      <w:rPr>
        <w:b/>
        <w:bCs/>
      </w:rPr>
      <w:instrText xml:space="preserve"> DOCPROPERTY "Header 2" \* MERGEFORMAT </w:instrText>
    </w:r>
    <w:r w:rsidRPr="00CA1D2D">
      <w:rPr>
        <w:b/>
        <w:bCs/>
      </w:rPr>
      <w:fldChar w:fldCharType="separate"/>
    </w:r>
    <w:r w:rsidR="006E0151">
      <w:rPr>
        <w:b/>
        <w:bCs/>
      </w:rPr>
      <w:t xml:space="preserve">Rep. </w:t>
    </w:r>
    <w:r w:rsidRPr="00CA1D2D">
      <w:rPr>
        <w:b/>
        <w:bCs/>
      </w:rPr>
      <w:fldChar w:fldCharType="end"/>
    </w:r>
    <w:r w:rsidRPr="00CA1D2D">
      <w:rPr>
        <w:b/>
        <w:bCs/>
      </w:rPr>
      <w:t xml:space="preserve"> </w:t>
    </w:r>
    <w:r w:rsidRPr="00CA1D2D">
      <w:rPr>
        <w:b/>
        <w:bCs/>
      </w:rPr>
      <w:fldChar w:fldCharType="begin"/>
    </w:r>
    <w:r w:rsidRPr="00CA1D2D">
      <w:rPr>
        <w:b/>
        <w:bCs/>
      </w:rPr>
      <w:instrText>styleref href</w:instrText>
    </w:r>
    <w:r w:rsidRPr="00CA1D2D">
      <w:rPr>
        <w:b/>
        <w:bCs/>
      </w:rPr>
      <w:fldChar w:fldCharType="separate"/>
    </w:r>
    <w:r w:rsidR="006640E0">
      <w:rPr>
        <w:b/>
        <w:bCs/>
        <w:noProof/>
      </w:rPr>
      <w:t>ITU-R  SM.2012-7</w:t>
    </w:r>
    <w:r w:rsidRPr="00CA1D2D">
      <w:rPr>
        <w:b/>
        <w:bCs/>
      </w:rPr>
      <w:fldChar w:fldCharType="end"/>
    </w:r>
    <w:r w:rsidRPr="00CA1D2D">
      <w:rPr>
        <w:b/>
        <w:bCs/>
      </w:rPr>
      <w:tab/>
    </w:r>
    <w:r w:rsidRPr="00CA1D2D">
      <w:rPr>
        <w:b/>
        <w:bCs/>
      </w:rPr>
      <w:fldChar w:fldCharType="begin"/>
    </w:r>
    <w:r w:rsidRPr="00CA1D2D">
      <w:rPr>
        <w:b/>
        <w:bCs/>
      </w:rPr>
      <w:instrText xml:space="preserve"> PAGE </w:instrText>
    </w:r>
    <w:r w:rsidRPr="00CA1D2D">
      <w:rPr>
        <w:b/>
        <w:bCs/>
      </w:rPr>
      <w:fldChar w:fldCharType="separate"/>
    </w:r>
    <w:r w:rsidRPr="00CA1D2D">
      <w:rPr>
        <w:b/>
        <w:bCs/>
      </w:rPr>
      <w:t>1</w:t>
    </w:r>
    <w:r w:rsidRPr="00CA1D2D">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862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9806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B415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1E0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06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8AED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BEBB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4698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4C79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6E9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B5A0F"/>
    <w:multiLevelType w:val="multilevel"/>
    <w:tmpl w:val="0BEB5A0F"/>
    <w:lvl w:ilvl="0">
      <w:start w:val="1"/>
      <w:numFmt w:val="bullet"/>
      <w:pStyle w:val="ListParagraph"/>
      <w:lvlText w:val=""/>
      <w:lvlJc w:val="left"/>
      <w:pPr>
        <w:ind w:left="720" w:hanging="360"/>
      </w:pPr>
      <w:rPr>
        <w:rFonts w:ascii="SymbolPS" w:hAnsi="SymbolP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2B6AD8"/>
    <w:multiLevelType w:val="hybridMultilevel"/>
    <w:tmpl w:val="B60ED714"/>
    <w:lvl w:ilvl="0" w:tplc="0AFCABA8">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4623730">
    <w:abstractNumId w:val="10"/>
  </w:num>
  <w:num w:numId="2" w16cid:durableId="1206869318">
    <w:abstractNumId w:val="11"/>
  </w:num>
  <w:num w:numId="3" w16cid:durableId="341007463">
    <w:abstractNumId w:val="9"/>
  </w:num>
  <w:num w:numId="4" w16cid:durableId="135613437">
    <w:abstractNumId w:val="7"/>
  </w:num>
  <w:num w:numId="5" w16cid:durableId="368146096">
    <w:abstractNumId w:val="6"/>
  </w:num>
  <w:num w:numId="6" w16cid:durableId="2078698366">
    <w:abstractNumId w:val="5"/>
  </w:num>
  <w:num w:numId="7" w16cid:durableId="1425415984">
    <w:abstractNumId w:val="4"/>
  </w:num>
  <w:num w:numId="8" w16cid:durableId="37897634">
    <w:abstractNumId w:val="8"/>
  </w:num>
  <w:num w:numId="9" w16cid:durableId="1906838992">
    <w:abstractNumId w:val="3"/>
  </w:num>
  <w:num w:numId="10" w16cid:durableId="1579171898">
    <w:abstractNumId w:val="2"/>
  </w:num>
  <w:num w:numId="11" w16cid:durableId="168568572">
    <w:abstractNumId w:val="1"/>
  </w:num>
  <w:num w:numId="12" w16cid:durableId="1472596331">
    <w:abstractNumId w:val="0"/>
  </w:num>
  <w:num w:numId="13" w16cid:durableId="1345279243">
    <w:abstractNumId w:val="8"/>
  </w:num>
  <w:num w:numId="14" w16cid:durableId="1911574293">
    <w:abstractNumId w:val="3"/>
  </w:num>
  <w:num w:numId="15" w16cid:durableId="1885409705">
    <w:abstractNumId w:val="2"/>
  </w:num>
  <w:num w:numId="16" w16cid:durableId="1598978163">
    <w:abstractNumId w:val="1"/>
  </w:num>
  <w:num w:numId="17" w16cid:durableId="1187717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n-ID" w:vendorID="64" w:dllVersion="0" w:nlCheck="1" w:checkStyle="0"/>
  <w:activeWritingStyle w:appName="MSWord" w:lang="es-ES" w:vendorID="64" w:dllVersion="0" w:nlCheck="1" w:checkStyle="0"/>
  <w:activeWritingStyle w:appName="MSWord" w:lang="ru-RU" w:vendorID="64" w:dllVersion="0" w:nlCheck="1" w:checkStyle="0"/>
  <w:activeWritingStyle w:appName="MSWord" w:lang="ar-S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814"/>
    <w:rsid w:val="0002647B"/>
    <w:rsid w:val="000478B9"/>
    <w:rsid w:val="00051A02"/>
    <w:rsid w:val="000530A8"/>
    <w:rsid w:val="00092428"/>
    <w:rsid w:val="000973D9"/>
    <w:rsid w:val="000A22C4"/>
    <w:rsid w:val="000C0A02"/>
    <w:rsid w:val="001233AF"/>
    <w:rsid w:val="001379B9"/>
    <w:rsid w:val="00162BD8"/>
    <w:rsid w:val="00171961"/>
    <w:rsid w:val="001807D2"/>
    <w:rsid w:val="0018312D"/>
    <w:rsid w:val="00200C03"/>
    <w:rsid w:val="00216ACC"/>
    <w:rsid w:val="00217EBF"/>
    <w:rsid w:val="0022184C"/>
    <w:rsid w:val="00242AEE"/>
    <w:rsid w:val="00260859"/>
    <w:rsid w:val="00274DB9"/>
    <w:rsid w:val="002869B9"/>
    <w:rsid w:val="002D76C4"/>
    <w:rsid w:val="00345301"/>
    <w:rsid w:val="00366814"/>
    <w:rsid w:val="00436777"/>
    <w:rsid w:val="004454B6"/>
    <w:rsid w:val="00450D1C"/>
    <w:rsid w:val="00482460"/>
    <w:rsid w:val="004C58CF"/>
    <w:rsid w:val="004C6C5B"/>
    <w:rsid w:val="004F4AFD"/>
    <w:rsid w:val="00523D55"/>
    <w:rsid w:val="0052529D"/>
    <w:rsid w:val="0055037D"/>
    <w:rsid w:val="005B1526"/>
    <w:rsid w:val="005D2CE0"/>
    <w:rsid w:val="005F1CA3"/>
    <w:rsid w:val="00607D68"/>
    <w:rsid w:val="006144A0"/>
    <w:rsid w:val="00657A74"/>
    <w:rsid w:val="006640E0"/>
    <w:rsid w:val="006A469F"/>
    <w:rsid w:val="006C00AB"/>
    <w:rsid w:val="006C0CF6"/>
    <w:rsid w:val="006E0151"/>
    <w:rsid w:val="006E66D0"/>
    <w:rsid w:val="00721F90"/>
    <w:rsid w:val="007468DA"/>
    <w:rsid w:val="0074785C"/>
    <w:rsid w:val="007D67A7"/>
    <w:rsid w:val="00815F5C"/>
    <w:rsid w:val="0082305E"/>
    <w:rsid w:val="008D1559"/>
    <w:rsid w:val="008D295D"/>
    <w:rsid w:val="008F49EF"/>
    <w:rsid w:val="00922F64"/>
    <w:rsid w:val="0093046C"/>
    <w:rsid w:val="009B389D"/>
    <w:rsid w:val="009E00A8"/>
    <w:rsid w:val="009F4C12"/>
    <w:rsid w:val="00A6617B"/>
    <w:rsid w:val="00A73CE6"/>
    <w:rsid w:val="00AB0DC8"/>
    <w:rsid w:val="00AB297A"/>
    <w:rsid w:val="00B0489E"/>
    <w:rsid w:val="00B26736"/>
    <w:rsid w:val="00B304C8"/>
    <w:rsid w:val="00B34186"/>
    <w:rsid w:val="00B44E24"/>
    <w:rsid w:val="00B769FE"/>
    <w:rsid w:val="00BD100F"/>
    <w:rsid w:val="00BD2851"/>
    <w:rsid w:val="00BD7014"/>
    <w:rsid w:val="00C0502F"/>
    <w:rsid w:val="00C61CB4"/>
    <w:rsid w:val="00C65E6B"/>
    <w:rsid w:val="00C718C5"/>
    <w:rsid w:val="00C97BAB"/>
    <w:rsid w:val="00CA1D2D"/>
    <w:rsid w:val="00CB6302"/>
    <w:rsid w:val="00CF04BC"/>
    <w:rsid w:val="00D071FE"/>
    <w:rsid w:val="00D25898"/>
    <w:rsid w:val="00D25E5C"/>
    <w:rsid w:val="00D84A5F"/>
    <w:rsid w:val="00DC2B47"/>
    <w:rsid w:val="00DF4176"/>
    <w:rsid w:val="00E34CCC"/>
    <w:rsid w:val="00E424AC"/>
    <w:rsid w:val="00E91654"/>
    <w:rsid w:val="00E9290C"/>
    <w:rsid w:val="00EB029B"/>
    <w:rsid w:val="00EF1A91"/>
    <w:rsid w:val="00F63AE2"/>
    <w:rsid w:val="00FF44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4337"/>
    <o:shapelayout v:ext="edit">
      <o:idmap v:ext="edit" data="1"/>
    </o:shapelayout>
  </w:shapeDefaults>
  <w:decimalSymbol w:val="."/>
  <w:listSeparator w:val=","/>
  <w14:docId w14:val="340C4E58"/>
  <w15:docId w15:val="{F94E034B-F1DC-4A6F-8038-F5E014B76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58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25898"/>
    <w:pPr>
      <w:keepNext/>
      <w:keepLines/>
      <w:spacing w:before="480"/>
      <w:ind w:left="794" w:hanging="794"/>
      <w:outlineLvl w:val="0"/>
    </w:pPr>
    <w:rPr>
      <w:b/>
    </w:rPr>
  </w:style>
  <w:style w:type="paragraph" w:styleId="Heading2">
    <w:name w:val="heading 2"/>
    <w:basedOn w:val="Heading1"/>
    <w:next w:val="Normal"/>
    <w:link w:val="Heading2Char"/>
    <w:qFormat/>
    <w:rsid w:val="00D25898"/>
    <w:pPr>
      <w:spacing w:before="320"/>
      <w:outlineLvl w:val="1"/>
    </w:pPr>
  </w:style>
  <w:style w:type="paragraph" w:styleId="Heading3">
    <w:name w:val="heading 3"/>
    <w:basedOn w:val="Heading1"/>
    <w:next w:val="Normal"/>
    <w:link w:val="Heading3Char"/>
    <w:qFormat/>
    <w:rsid w:val="00D25898"/>
    <w:pPr>
      <w:spacing w:before="200"/>
      <w:outlineLvl w:val="2"/>
    </w:pPr>
  </w:style>
  <w:style w:type="paragraph" w:styleId="Heading4">
    <w:name w:val="heading 4"/>
    <w:basedOn w:val="Heading3"/>
    <w:next w:val="Normal"/>
    <w:link w:val="Heading4Char"/>
    <w:qFormat/>
    <w:rsid w:val="00D25898"/>
    <w:pPr>
      <w:tabs>
        <w:tab w:val="clear" w:pos="794"/>
        <w:tab w:val="left" w:pos="992"/>
      </w:tabs>
      <w:ind w:left="992" w:hanging="992"/>
      <w:outlineLvl w:val="3"/>
    </w:pPr>
  </w:style>
  <w:style w:type="paragraph" w:styleId="Heading5">
    <w:name w:val="heading 5"/>
    <w:basedOn w:val="Heading4"/>
    <w:next w:val="Normal"/>
    <w:link w:val="Heading5Char"/>
    <w:qFormat/>
    <w:rsid w:val="00D25898"/>
    <w:pPr>
      <w:outlineLvl w:val="4"/>
    </w:pPr>
  </w:style>
  <w:style w:type="paragraph" w:styleId="Heading6">
    <w:name w:val="heading 6"/>
    <w:basedOn w:val="Heading4"/>
    <w:next w:val="Normal"/>
    <w:link w:val="Heading6Char"/>
    <w:qFormat/>
    <w:rsid w:val="00D25898"/>
    <w:pPr>
      <w:tabs>
        <w:tab w:val="clear" w:pos="992"/>
        <w:tab w:val="clear" w:pos="1191"/>
      </w:tabs>
      <w:ind w:left="1588" w:hanging="1588"/>
      <w:outlineLvl w:val="5"/>
    </w:pPr>
  </w:style>
  <w:style w:type="paragraph" w:styleId="Heading7">
    <w:name w:val="heading 7"/>
    <w:basedOn w:val="Heading6"/>
    <w:next w:val="Normal"/>
    <w:link w:val="Heading7Char"/>
    <w:qFormat/>
    <w:rsid w:val="00D25898"/>
    <w:pPr>
      <w:outlineLvl w:val="6"/>
    </w:pPr>
  </w:style>
  <w:style w:type="paragraph" w:styleId="Heading8">
    <w:name w:val="heading 8"/>
    <w:basedOn w:val="Heading6"/>
    <w:next w:val="Normal"/>
    <w:link w:val="Heading8Char"/>
    <w:qFormat/>
    <w:rsid w:val="00D25898"/>
    <w:pPr>
      <w:outlineLvl w:val="7"/>
    </w:pPr>
  </w:style>
  <w:style w:type="paragraph" w:styleId="Heading9">
    <w:name w:val="heading 9"/>
    <w:basedOn w:val="Heading6"/>
    <w:next w:val="Normal"/>
    <w:link w:val="Heading9Char"/>
    <w:qFormat/>
    <w:rsid w:val="00D258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58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258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25898"/>
  </w:style>
  <w:style w:type="paragraph" w:customStyle="1" w:styleId="Headingb">
    <w:name w:val="Heading_b"/>
    <w:basedOn w:val="Heading3"/>
    <w:next w:val="Normal"/>
    <w:link w:val="HeadingbChar"/>
    <w:rsid w:val="00D25898"/>
    <w:pPr>
      <w:spacing w:before="160"/>
      <w:ind w:left="0" w:firstLine="0"/>
      <w:outlineLvl w:val="9"/>
    </w:pPr>
  </w:style>
  <w:style w:type="paragraph" w:customStyle="1" w:styleId="Headingi">
    <w:name w:val="Heading_i"/>
    <w:basedOn w:val="Heading3"/>
    <w:next w:val="Normal"/>
    <w:rsid w:val="00D25898"/>
    <w:pPr>
      <w:spacing w:before="160"/>
      <w:ind w:left="0" w:firstLine="0"/>
    </w:pPr>
    <w:rPr>
      <w:b w:val="0"/>
      <w:i/>
    </w:rPr>
  </w:style>
  <w:style w:type="character" w:customStyle="1" w:styleId="href">
    <w:name w:val="href"/>
    <w:basedOn w:val="DefaultParagraphFont"/>
    <w:rsid w:val="00D25898"/>
  </w:style>
  <w:style w:type="paragraph" w:customStyle="1" w:styleId="enumlev1">
    <w:name w:val="enumlev1"/>
    <w:basedOn w:val="Normal"/>
    <w:link w:val="enumlev1Char"/>
    <w:rsid w:val="00D25898"/>
    <w:pPr>
      <w:spacing w:before="80"/>
      <w:ind w:left="794" w:hanging="794"/>
    </w:pPr>
  </w:style>
  <w:style w:type="paragraph" w:customStyle="1" w:styleId="enumlev2">
    <w:name w:val="enumlev2"/>
    <w:basedOn w:val="enumlev1"/>
    <w:link w:val="enumlev2Char"/>
    <w:rsid w:val="00D25898"/>
    <w:pPr>
      <w:ind w:left="1191" w:hanging="397"/>
    </w:pPr>
  </w:style>
  <w:style w:type="paragraph" w:customStyle="1" w:styleId="enumlev3">
    <w:name w:val="enumlev3"/>
    <w:basedOn w:val="enumlev2"/>
    <w:rsid w:val="00D25898"/>
    <w:pPr>
      <w:ind w:left="1588"/>
    </w:pPr>
  </w:style>
  <w:style w:type="paragraph" w:customStyle="1" w:styleId="Normalaftertitle">
    <w:name w:val="Normal_after_title"/>
    <w:basedOn w:val="Normal"/>
    <w:next w:val="Normal"/>
    <w:link w:val="NormalaftertitleChar"/>
    <w:rsid w:val="00D25898"/>
    <w:pPr>
      <w:spacing w:before="320"/>
    </w:pPr>
  </w:style>
  <w:style w:type="paragraph" w:customStyle="1" w:styleId="Note">
    <w:name w:val="Note"/>
    <w:basedOn w:val="Normal"/>
    <w:link w:val="NoteChar"/>
    <w:rsid w:val="00D2589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2589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25898"/>
    <w:pPr>
      <w:spacing w:before="240"/>
    </w:pPr>
    <w:rPr>
      <w:sz w:val="22"/>
      <w:lang w:val="es-ES_tradnl"/>
    </w:rPr>
  </w:style>
  <w:style w:type="paragraph" w:customStyle="1" w:styleId="Recref">
    <w:name w:val="Rec_ref"/>
    <w:basedOn w:val="Normal"/>
    <w:next w:val="Recdate"/>
    <w:rsid w:val="00D25898"/>
    <w:pPr>
      <w:jc w:val="center"/>
    </w:pPr>
  </w:style>
  <w:style w:type="paragraph" w:customStyle="1" w:styleId="Recdate">
    <w:name w:val="Rec_date"/>
    <w:basedOn w:val="Recref"/>
    <w:next w:val="Normalaftertitle"/>
    <w:rsid w:val="00D25898"/>
    <w:pPr>
      <w:jc w:val="right"/>
    </w:pPr>
  </w:style>
  <w:style w:type="paragraph" w:customStyle="1" w:styleId="AnnexNoTitle">
    <w:name w:val="Annex_NoTitle"/>
    <w:basedOn w:val="Normal"/>
    <w:next w:val="Normalaftertitle"/>
    <w:link w:val="AnnexNoTitleChar"/>
    <w:rsid w:val="00D25898"/>
    <w:pPr>
      <w:keepNext/>
      <w:keepLines/>
      <w:spacing w:before="480" w:after="80"/>
      <w:jc w:val="center"/>
      <w:outlineLvl w:val="0"/>
    </w:pPr>
    <w:rPr>
      <w:b/>
      <w:sz w:val="28"/>
    </w:rPr>
  </w:style>
  <w:style w:type="paragraph" w:customStyle="1" w:styleId="AppendixNoTitle">
    <w:name w:val="Appendix_NoTitle"/>
    <w:basedOn w:val="AnnexNoTitle"/>
    <w:next w:val="Normal"/>
    <w:rsid w:val="00D25898"/>
  </w:style>
  <w:style w:type="paragraph" w:customStyle="1" w:styleId="Tablefin">
    <w:name w:val="Table_fin"/>
    <w:basedOn w:val="Normal"/>
    <w:next w:val="Normal"/>
    <w:rsid w:val="00D25898"/>
    <w:pPr>
      <w:spacing w:before="0"/>
    </w:pPr>
    <w:rPr>
      <w:sz w:val="20"/>
    </w:rPr>
  </w:style>
  <w:style w:type="paragraph" w:customStyle="1" w:styleId="Tablehead">
    <w:name w:val="Table_head"/>
    <w:basedOn w:val="Normal"/>
    <w:next w:val="Normal"/>
    <w:link w:val="TableheadChar"/>
    <w:rsid w:val="00D258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258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25898"/>
    <w:pPr>
      <w:keepNext/>
      <w:spacing w:before="360" w:after="120"/>
      <w:jc w:val="center"/>
    </w:pPr>
  </w:style>
  <w:style w:type="paragraph" w:customStyle="1" w:styleId="Tabletext">
    <w:name w:val="Table_text"/>
    <w:basedOn w:val="Normal"/>
    <w:link w:val="TabletextChar"/>
    <w:rsid w:val="00D258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2589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258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25898"/>
    <w:pPr>
      <w:ind w:left="794"/>
    </w:pPr>
  </w:style>
  <w:style w:type="paragraph" w:customStyle="1" w:styleId="Figurelegend">
    <w:name w:val="Figure_legend"/>
    <w:basedOn w:val="Normal"/>
    <w:rsid w:val="00D258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25898"/>
    <w:pPr>
      <w:keepNext/>
      <w:keepLines/>
      <w:spacing w:before="480" w:after="80"/>
      <w:jc w:val="center"/>
    </w:pPr>
    <w:rPr>
      <w:caps/>
      <w:sz w:val="18"/>
    </w:rPr>
  </w:style>
  <w:style w:type="paragraph" w:customStyle="1" w:styleId="tocpart">
    <w:name w:val="tocpart"/>
    <w:basedOn w:val="Normal"/>
    <w:rsid w:val="00D258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D25898"/>
    <w:pPr>
      <w:keepNext/>
      <w:keepLines/>
      <w:spacing w:before="480"/>
      <w:jc w:val="center"/>
    </w:pPr>
    <w:rPr>
      <w:sz w:val="28"/>
    </w:rPr>
  </w:style>
  <w:style w:type="paragraph" w:customStyle="1" w:styleId="Arttitle">
    <w:name w:val="Art_title"/>
    <w:basedOn w:val="Normal"/>
    <w:next w:val="Normalaftertitle"/>
    <w:link w:val="ArttitleCar"/>
    <w:rsid w:val="00D25898"/>
    <w:pPr>
      <w:keepNext/>
      <w:keepLines/>
      <w:spacing w:before="240"/>
      <w:jc w:val="center"/>
    </w:pPr>
    <w:rPr>
      <w:b/>
      <w:sz w:val="28"/>
    </w:rPr>
  </w:style>
  <w:style w:type="paragraph" w:customStyle="1" w:styleId="Blanc">
    <w:name w:val="Blanc"/>
    <w:basedOn w:val="Normal"/>
    <w:next w:val="Tabletext"/>
    <w:rsid w:val="00D25898"/>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258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25898"/>
    <w:pPr>
      <w:keepNext/>
      <w:keepLines/>
      <w:spacing w:before="160"/>
      <w:ind w:left="794"/>
    </w:pPr>
    <w:rPr>
      <w:i/>
    </w:rPr>
  </w:style>
  <w:style w:type="paragraph" w:customStyle="1" w:styleId="ChapNo">
    <w:name w:val="Chap_No"/>
    <w:basedOn w:val="ArtNo"/>
    <w:next w:val="Chaptitle"/>
    <w:rsid w:val="00D25898"/>
    <w:rPr>
      <w:b/>
    </w:rPr>
  </w:style>
  <w:style w:type="paragraph" w:customStyle="1" w:styleId="Chaptitle">
    <w:name w:val="Chap_title"/>
    <w:basedOn w:val="Arttitle"/>
    <w:next w:val="Normalaftertitle"/>
    <w:link w:val="ChaptitleChar"/>
    <w:rsid w:val="00D25898"/>
  </w:style>
  <w:style w:type="character" w:styleId="FootnoteReference">
    <w:name w:val="footnote reference"/>
    <w:basedOn w:val="DefaultParagraphFont"/>
    <w:rsid w:val="00D25898"/>
    <w:rPr>
      <w:position w:val="6"/>
      <w:sz w:val="18"/>
    </w:rPr>
  </w:style>
  <w:style w:type="paragraph" w:styleId="FootnoteText">
    <w:name w:val="footnote text"/>
    <w:basedOn w:val="Normal"/>
    <w:link w:val="FootnoteTextChar"/>
    <w:rsid w:val="00D25898"/>
    <w:pPr>
      <w:keepLines/>
      <w:tabs>
        <w:tab w:val="left" w:pos="255"/>
      </w:tabs>
      <w:ind w:left="255" w:hanging="255"/>
    </w:pPr>
    <w:rPr>
      <w:sz w:val="22"/>
    </w:rPr>
  </w:style>
  <w:style w:type="paragraph" w:styleId="Index1">
    <w:name w:val="index 1"/>
    <w:basedOn w:val="Normal"/>
    <w:next w:val="Normal"/>
    <w:rsid w:val="00D25898"/>
  </w:style>
  <w:style w:type="paragraph" w:styleId="Index2">
    <w:name w:val="index 2"/>
    <w:basedOn w:val="Normal"/>
    <w:next w:val="Normal"/>
    <w:rsid w:val="00D25898"/>
    <w:pPr>
      <w:ind w:left="283"/>
    </w:pPr>
  </w:style>
  <w:style w:type="paragraph" w:styleId="Index3">
    <w:name w:val="index 3"/>
    <w:basedOn w:val="Normal"/>
    <w:next w:val="Normal"/>
    <w:rsid w:val="00D25898"/>
    <w:pPr>
      <w:ind w:left="566"/>
    </w:pPr>
  </w:style>
  <w:style w:type="paragraph" w:styleId="IndexHeading">
    <w:name w:val="index heading"/>
    <w:basedOn w:val="Normal"/>
    <w:next w:val="Index1"/>
    <w:rsid w:val="00D25898"/>
  </w:style>
  <w:style w:type="paragraph" w:customStyle="1" w:styleId="Line">
    <w:name w:val="Line"/>
    <w:basedOn w:val="Normal"/>
    <w:next w:val="Normal"/>
    <w:rsid w:val="00D25898"/>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258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25898"/>
  </w:style>
  <w:style w:type="paragraph" w:customStyle="1" w:styleId="Partref">
    <w:name w:val="Part_ref"/>
    <w:basedOn w:val="Normal"/>
    <w:next w:val="Normal"/>
    <w:rsid w:val="00D25898"/>
    <w:pPr>
      <w:keepNext/>
      <w:keepLines/>
      <w:spacing w:after="280"/>
      <w:jc w:val="center"/>
    </w:pPr>
  </w:style>
  <w:style w:type="paragraph" w:customStyle="1" w:styleId="Parttitle">
    <w:name w:val="Part_title"/>
    <w:basedOn w:val="Normal"/>
    <w:next w:val="Normalaftertitle"/>
    <w:rsid w:val="00D2589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25898"/>
  </w:style>
  <w:style w:type="paragraph" w:customStyle="1" w:styleId="QuestionNo">
    <w:name w:val="Question_No"/>
    <w:basedOn w:val="RecNo"/>
    <w:next w:val="Normal"/>
    <w:rsid w:val="00D25898"/>
  </w:style>
  <w:style w:type="paragraph" w:customStyle="1" w:styleId="Questionref">
    <w:name w:val="Question_ref"/>
    <w:basedOn w:val="Recref"/>
    <w:next w:val="Questiondate"/>
    <w:rsid w:val="00D25898"/>
  </w:style>
  <w:style w:type="paragraph" w:customStyle="1" w:styleId="Questiontitle">
    <w:name w:val="Question_title"/>
    <w:basedOn w:val="Normal"/>
    <w:next w:val="Questionref"/>
    <w:rsid w:val="00D25898"/>
  </w:style>
  <w:style w:type="paragraph" w:customStyle="1" w:styleId="Reftext">
    <w:name w:val="Ref_text"/>
    <w:basedOn w:val="Normal"/>
    <w:rsid w:val="00D25898"/>
    <w:pPr>
      <w:ind w:left="794" w:hanging="794"/>
    </w:pPr>
    <w:rPr>
      <w:sz w:val="22"/>
    </w:rPr>
  </w:style>
  <w:style w:type="paragraph" w:customStyle="1" w:styleId="Reftitle">
    <w:name w:val="Ref_title"/>
    <w:basedOn w:val="Normal"/>
    <w:next w:val="Reftext"/>
    <w:rsid w:val="00D2589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25898"/>
  </w:style>
  <w:style w:type="paragraph" w:customStyle="1" w:styleId="RepNo">
    <w:name w:val="Rep_No"/>
    <w:basedOn w:val="RecNo"/>
    <w:next w:val="Reptitle"/>
    <w:link w:val="RepNoChar"/>
    <w:rsid w:val="00D25898"/>
  </w:style>
  <w:style w:type="paragraph" w:customStyle="1" w:styleId="Repref">
    <w:name w:val="Rep_ref"/>
    <w:basedOn w:val="Recref"/>
    <w:next w:val="Repdate"/>
    <w:rsid w:val="00D25898"/>
  </w:style>
  <w:style w:type="paragraph" w:customStyle="1" w:styleId="Reptitle">
    <w:name w:val="Rep_title"/>
    <w:basedOn w:val="Rectitle"/>
    <w:next w:val="Repref"/>
    <w:rsid w:val="00D25898"/>
  </w:style>
  <w:style w:type="paragraph" w:customStyle="1" w:styleId="Resdate">
    <w:name w:val="Res_date"/>
    <w:basedOn w:val="Recdate"/>
    <w:next w:val="Normalaftertitle"/>
    <w:rsid w:val="00D25898"/>
  </w:style>
  <w:style w:type="paragraph" w:customStyle="1" w:styleId="ResNo">
    <w:name w:val="Res_No"/>
    <w:basedOn w:val="RecNo"/>
    <w:next w:val="Restitle"/>
    <w:link w:val="ResNoChar"/>
    <w:rsid w:val="00D25898"/>
  </w:style>
  <w:style w:type="paragraph" w:customStyle="1" w:styleId="Resref">
    <w:name w:val="Res_ref"/>
    <w:basedOn w:val="Recref"/>
    <w:next w:val="Resdate"/>
    <w:rsid w:val="00D25898"/>
  </w:style>
  <w:style w:type="paragraph" w:customStyle="1" w:styleId="Restitle">
    <w:name w:val="Res_title"/>
    <w:basedOn w:val="Normal"/>
    <w:next w:val="Resref"/>
    <w:link w:val="RestitleChar"/>
    <w:rsid w:val="00D25898"/>
    <w:pPr>
      <w:spacing w:before="240"/>
      <w:jc w:val="center"/>
    </w:pPr>
    <w:rPr>
      <w:b/>
      <w:sz w:val="28"/>
    </w:rPr>
  </w:style>
  <w:style w:type="paragraph" w:customStyle="1" w:styleId="SectionNo">
    <w:name w:val="Section_No"/>
    <w:basedOn w:val="Normal"/>
    <w:next w:val="Normal"/>
    <w:rsid w:val="00D25898"/>
  </w:style>
  <w:style w:type="paragraph" w:customStyle="1" w:styleId="Sectiontitle">
    <w:name w:val="Section_title"/>
    <w:basedOn w:val="Normal"/>
    <w:next w:val="Normalaftertitle"/>
    <w:rsid w:val="00D2589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25898"/>
    <w:pPr>
      <w:tabs>
        <w:tab w:val="clear" w:pos="794"/>
        <w:tab w:val="clear" w:pos="1191"/>
        <w:tab w:val="clear" w:pos="1588"/>
        <w:tab w:val="clear" w:pos="1985"/>
        <w:tab w:val="right" w:pos="9611"/>
      </w:tabs>
    </w:pPr>
    <w:rPr>
      <w:i/>
    </w:rPr>
  </w:style>
  <w:style w:type="paragraph" w:styleId="TOC1">
    <w:name w:val="toc 1"/>
    <w:basedOn w:val="Normal"/>
    <w:uiPriority w:val="39"/>
    <w:rsid w:val="00D258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25898"/>
    <w:pPr>
      <w:tabs>
        <w:tab w:val="clear" w:pos="567"/>
        <w:tab w:val="left" w:pos="1276"/>
      </w:tabs>
      <w:spacing w:before="160"/>
      <w:ind w:left="1276" w:hanging="709"/>
    </w:pPr>
  </w:style>
  <w:style w:type="paragraph" w:styleId="TOC3">
    <w:name w:val="toc 3"/>
    <w:basedOn w:val="TOC2"/>
    <w:rsid w:val="00D25898"/>
    <w:pPr>
      <w:tabs>
        <w:tab w:val="clear" w:pos="1276"/>
        <w:tab w:val="left" w:pos="2155"/>
      </w:tabs>
      <w:ind w:left="2155" w:hanging="879"/>
    </w:pPr>
  </w:style>
  <w:style w:type="paragraph" w:styleId="TOC4">
    <w:name w:val="toc 4"/>
    <w:basedOn w:val="TOC3"/>
    <w:rsid w:val="00D25898"/>
    <w:pPr>
      <w:tabs>
        <w:tab w:val="left" w:pos="3261"/>
      </w:tabs>
      <w:spacing w:before="80"/>
      <w:ind w:left="3261" w:hanging="993"/>
    </w:pPr>
  </w:style>
  <w:style w:type="paragraph" w:styleId="TOC5">
    <w:name w:val="toc 5"/>
    <w:basedOn w:val="TOC4"/>
    <w:rsid w:val="00D25898"/>
  </w:style>
  <w:style w:type="paragraph" w:styleId="TOC6">
    <w:name w:val="toc 6"/>
    <w:basedOn w:val="TOC4"/>
    <w:rsid w:val="00D25898"/>
  </w:style>
  <w:style w:type="paragraph" w:styleId="TOC7">
    <w:name w:val="toc 7"/>
    <w:basedOn w:val="TOC4"/>
    <w:rsid w:val="00D25898"/>
  </w:style>
  <w:style w:type="paragraph" w:styleId="TOC8">
    <w:name w:val="toc 8"/>
    <w:basedOn w:val="TOC4"/>
    <w:rsid w:val="00D25898"/>
  </w:style>
  <w:style w:type="paragraph" w:customStyle="1" w:styleId="Rectitle">
    <w:name w:val="Rec_title"/>
    <w:basedOn w:val="Normal"/>
    <w:next w:val="Recref"/>
    <w:link w:val="RectitleChar"/>
    <w:rsid w:val="00D25898"/>
    <w:pPr>
      <w:keepNext/>
      <w:keepLines/>
      <w:spacing w:before="240"/>
      <w:jc w:val="center"/>
    </w:pPr>
    <w:rPr>
      <w:b/>
      <w:sz w:val="28"/>
    </w:rPr>
  </w:style>
  <w:style w:type="paragraph" w:customStyle="1" w:styleId="Annexref">
    <w:name w:val="Annex_ref"/>
    <w:basedOn w:val="Normal"/>
    <w:next w:val="Normalaftertitle"/>
    <w:rsid w:val="00D25898"/>
    <w:pPr>
      <w:keepNext/>
      <w:keepLines/>
      <w:spacing w:after="280"/>
      <w:jc w:val="center"/>
    </w:pPr>
  </w:style>
  <w:style w:type="paragraph" w:customStyle="1" w:styleId="Appendixref">
    <w:name w:val="Appendix_ref"/>
    <w:basedOn w:val="Annexref"/>
    <w:next w:val="Normalaftertitle"/>
    <w:rsid w:val="00D25898"/>
  </w:style>
  <w:style w:type="paragraph" w:customStyle="1" w:styleId="Figuretitle">
    <w:name w:val="Figure_title"/>
    <w:basedOn w:val="Normal"/>
    <w:next w:val="Figure"/>
    <w:link w:val="FiguretitleChar"/>
    <w:rsid w:val="00D2589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D25898"/>
    <w:pPr>
      <w:keepNext/>
      <w:spacing w:before="0" w:after="120"/>
      <w:jc w:val="center"/>
    </w:pPr>
    <w:rPr>
      <w:b/>
    </w:rPr>
  </w:style>
  <w:style w:type="paragraph" w:customStyle="1" w:styleId="Summary">
    <w:name w:val="Summary"/>
    <w:basedOn w:val="Normal"/>
    <w:next w:val="Normalaftertitle"/>
    <w:autoRedefine/>
    <w:rsid w:val="00D25898"/>
    <w:pPr>
      <w:spacing w:after="480"/>
    </w:pPr>
    <w:rPr>
      <w:sz w:val="22"/>
      <w:lang w:val="es-ES_tradnl"/>
    </w:rPr>
  </w:style>
  <w:style w:type="paragraph" w:customStyle="1" w:styleId="TableLegendNote">
    <w:name w:val="Table_Legend_Note"/>
    <w:basedOn w:val="Tablelegend"/>
    <w:next w:val="Tablelegend"/>
    <w:rsid w:val="00D25898"/>
    <w:pPr>
      <w:ind w:left="-85" w:firstLine="0"/>
    </w:pPr>
    <w:rPr>
      <w:lang w:val="en-US"/>
    </w:rPr>
  </w:style>
  <w:style w:type="paragraph" w:customStyle="1" w:styleId="Figure">
    <w:name w:val="Figure"/>
    <w:basedOn w:val="FigureNo"/>
    <w:next w:val="Normal"/>
    <w:rsid w:val="00D25898"/>
    <w:pPr>
      <w:keepNext w:val="0"/>
      <w:spacing w:before="0" w:after="240"/>
    </w:pPr>
  </w:style>
  <w:style w:type="character" w:styleId="Hyperlink">
    <w:name w:val="Hyperlink"/>
    <w:basedOn w:val="DefaultParagraphFont"/>
    <w:uiPriority w:val="99"/>
    <w:rsid w:val="00366814"/>
    <w:rPr>
      <w:color w:val="0000FF"/>
      <w:u w:val="single"/>
    </w:rPr>
  </w:style>
  <w:style w:type="character" w:customStyle="1" w:styleId="HeaderChar">
    <w:name w:val="Header Char"/>
    <w:basedOn w:val="DefaultParagraphFont"/>
    <w:link w:val="Header"/>
    <w:rsid w:val="00366814"/>
    <w:rPr>
      <w:sz w:val="24"/>
      <w:lang w:val="en-GB" w:eastAsia="en-US"/>
    </w:rPr>
  </w:style>
  <w:style w:type="table" w:styleId="TableGrid">
    <w:name w:val="Table Grid"/>
    <w:basedOn w:val="TableNormal"/>
    <w:uiPriority w:val="39"/>
    <w:rsid w:val="0036681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36681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36681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36681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36681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InternetLink">
    <w:name w:val="Internet Link"/>
    <w:basedOn w:val="DefaultParagraphFont"/>
    <w:rsid w:val="00051A02"/>
    <w:rPr>
      <w:color w:val="0000FF"/>
      <w:u w:val="single"/>
    </w:rPr>
  </w:style>
  <w:style w:type="paragraph" w:customStyle="1" w:styleId="Artheading">
    <w:name w:val="Art_heading"/>
    <w:basedOn w:val="Normal"/>
    <w:next w:val="Normal"/>
    <w:rsid w:val="00CF04BC"/>
    <w:pPr>
      <w:keepNext/>
      <w:keepLines/>
      <w:spacing w:before="480"/>
      <w:jc w:val="center"/>
    </w:pPr>
    <w:rPr>
      <w:rFonts w:ascii="Times New Roman Bold" w:hAnsi="Times New Roman Bold"/>
      <w:b/>
      <w:sz w:val="28"/>
    </w:rPr>
  </w:style>
  <w:style w:type="character" w:styleId="EndnoteReference">
    <w:name w:val="endnote reference"/>
    <w:basedOn w:val="DefaultParagraphFont"/>
    <w:rsid w:val="00CF04BC"/>
    <w:rPr>
      <w:vertAlign w:val="superscript"/>
    </w:rPr>
  </w:style>
  <w:style w:type="paragraph" w:customStyle="1" w:styleId="Figurewithouttitle">
    <w:name w:val="Figure_without_title"/>
    <w:basedOn w:val="FigureNo"/>
    <w:next w:val="Normal"/>
    <w:rsid w:val="00CF04BC"/>
    <w:pPr>
      <w:keepNext w:val="0"/>
    </w:pPr>
  </w:style>
  <w:style w:type="paragraph" w:customStyle="1" w:styleId="FirstFooter">
    <w:name w:val="FirstFooter"/>
    <w:basedOn w:val="Footer"/>
    <w:rsid w:val="00CF04BC"/>
    <w:pPr>
      <w:overflowPunct/>
      <w:autoSpaceDE/>
      <w:autoSpaceDN/>
      <w:adjustRightInd/>
      <w:spacing w:before="40"/>
      <w:textAlignment w:val="auto"/>
    </w:pPr>
    <w:rPr>
      <w:caps/>
      <w:noProof w:val="0"/>
    </w:rPr>
  </w:style>
  <w:style w:type="paragraph" w:customStyle="1" w:styleId="Source">
    <w:name w:val="Source"/>
    <w:basedOn w:val="Normal"/>
    <w:next w:val="Normal"/>
    <w:link w:val="SourceChar"/>
    <w:rsid w:val="00CF04BC"/>
    <w:pPr>
      <w:spacing w:before="840"/>
      <w:jc w:val="center"/>
    </w:pPr>
    <w:rPr>
      <w:b/>
      <w:sz w:val="28"/>
    </w:rPr>
  </w:style>
  <w:style w:type="paragraph" w:customStyle="1" w:styleId="SpecialFooter">
    <w:name w:val="Special Footer"/>
    <w:basedOn w:val="Footer"/>
    <w:rsid w:val="00CF04BC"/>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CF04BC"/>
    <w:pPr>
      <w:keepNext/>
      <w:spacing w:before="560"/>
      <w:jc w:val="center"/>
    </w:pPr>
    <w:rPr>
      <w:sz w:val="20"/>
    </w:rPr>
  </w:style>
  <w:style w:type="paragraph" w:customStyle="1" w:styleId="Title1">
    <w:name w:val="Title 1"/>
    <w:basedOn w:val="Source"/>
    <w:next w:val="Normal"/>
    <w:link w:val="Title1Char"/>
    <w:rsid w:val="00CF04BC"/>
    <w:pPr>
      <w:tabs>
        <w:tab w:val="left" w:pos="567"/>
        <w:tab w:val="left" w:pos="1701"/>
        <w:tab w:val="left" w:pos="2835"/>
      </w:tabs>
      <w:spacing w:before="240"/>
    </w:pPr>
    <w:rPr>
      <w:b w:val="0"/>
      <w:caps/>
    </w:rPr>
  </w:style>
  <w:style w:type="paragraph" w:customStyle="1" w:styleId="Title2">
    <w:name w:val="Title 2"/>
    <w:basedOn w:val="Source"/>
    <w:next w:val="Normal"/>
    <w:rsid w:val="00CF04BC"/>
    <w:pPr>
      <w:overflowPunct/>
      <w:autoSpaceDE/>
      <w:autoSpaceDN/>
      <w:adjustRightInd/>
      <w:spacing w:before="480"/>
      <w:textAlignment w:val="auto"/>
    </w:pPr>
    <w:rPr>
      <w:b w:val="0"/>
      <w:caps/>
    </w:rPr>
  </w:style>
  <w:style w:type="paragraph" w:customStyle="1" w:styleId="Title3">
    <w:name w:val="Title 3"/>
    <w:basedOn w:val="Title2"/>
    <w:next w:val="Normal"/>
    <w:rsid w:val="00CF04BC"/>
    <w:pPr>
      <w:spacing w:before="240"/>
    </w:pPr>
    <w:rPr>
      <w:caps w:val="0"/>
    </w:rPr>
  </w:style>
  <w:style w:type="paragraph" w:customStyle="1" w:styleId="Title4">
    <w:name w:val="Title 4"/>
    <w:basedOn w:val="Title3"/>
    <w:next w:val="Heading1"/>
    <w:rsid w:val="00CF04BC"/>
    <w:rPr>
      <w:b/>
    </w:rPr>
  </w:style>
  <w:style w:type="character" w:customStyle="1" w:styleId="Appdef">
    <w:name w:val="App_def"/>
    <w:basedOn w:val="DefaultParagraphFont"/>
    <w:rsid w:val="00CF04BC"/>
    <w:rPr>
      <w:rFonts w:ascii="Times New Roman" w:hAnsi="Times New Roman"/>
      <w:b/>
    </w:rPr>
  </w:style>
  <w:style w:type="character" w:customStyle="1" w:styleId="Appref">
    <w:name w:val="App_ref"/>
    <w:basedOn w:val="DefaultParagraphFont"/>
    <w:rsid w:val="00CF04BC"/>
  </w:style>
  <w:style w:type="character" w:customStyle="1" w:styleId="Artdef">
    <w:name w:val="Art_def"/>
    <w:basedOn w:val="DefaultParagraphFont"/>
    <w:rsid w:val="00CF04BC"/>
    <w:rPr>
      <w:rFonts w:ascii="Times New Roman" w:hAnsi="Times New Roman"/>
      <w:b/>
    </w:rPr>
  </w:style>
  <w:style w:type="character" w:customStyle="1" w:styleId="Artref">
    <w:name w:val="Art_ref"/>
    <w:basedOn w:val="DefaultParagraphFont"/>
    <w:rsid w:val="00CF04BC"/>
  </w:style>
  <w:style w:type="character" w:customStyle="1" w:styleId="Tablefreq">
    <w:name w:val="Table_freq"/>
    <w:basedOn w:val="DefaultParagraphFont"/>
    <w:rsid w:val="00CF04BC"/>
    <w:rPr>
      <w:b/>
      <w:color w:val="auto"/>
      <w:sz w:val="20"/>
    </w:rPr>
  </w:style>
  <w:style w:type="paragraph" w:customStyle="1" w:styleId="Formal">
    <w:name w:val="Formal"/>
    <w:basedOn w:val="ASN1"/>
    <w:rsid w:val="00CF04BC"/>
    <w:rPr>
      <w:b w:val="0"/>
    </w:rPr>
  </w:style>
  <w:style w:type="paragraph" w:customStyle="1" w:styleId="Section1">
    <w:name w:val="Section_1"/>
    <w:basedOn w:val="Normal"/>
    <w:link w:val="Section1Char"/>
    <w:rsid w:val="00CF04BC"/>
    <w:pPr>
      <w:tabs>
        <w:tab w:val="center" w:pos="4820"/>
      </w:tabs>
      <w:spacing w:before="360"/>
      <w:jc w:val="center"/>
    </w:pPr>
    <w:rPr>
      <w:b/>
    </w:rPr>
  </w:style>
  <w:style w:type="paragraph" w:customStyle="1" w:styleId="Section2">
    <w:name w:val="Section_2"/>
    <w:basedOn w:val="Section1"/>
    <w:link w:val="Section2Char"/>
    <w:rsid w:val="00CF04BC"/>
    <w:rPr>
      <w:b w:val="0"/>
      <w:i/>
    </w:rPr>
  </w:style>
  <w:style w:type="paragraph" w:customStyle="1" w:styleId="AnnexNo">
    <w:name w:val="Annex_No"/>
    <w:basedOn w:val="Normal"/>
    <w:next w:val="Normal"/>
    <w:link w:val="AnnexNoChar"/>
    <w:rsid w:val="00CF04BC"/>
    <w:pPr>
      <w:keepNext/>
      <w:keepLines/>
      <w:spacing w:before="480" w:after="80"/>
      <w:jc w:val="center"/>
    </w:pPr>
    <w:rPr>
      <w:caps/>
      <w:sz w:val="28"/>
    </w:rPr>
  </w:style>
  <w:style w:type="paragraph" w:customStyle="1" w:styleId="Annextitle">
    <w:name w:val="Annex_title"/>
    <w:basedOn w:val="Normal"/>
    <w:next w:val="Normal"/>
    <w:link w:val="AnnextitleChar1"/>
    <w:rsid w:val="00CF04BC"/>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link w:val="AppendixNoCar"/>
    <w:rsid w:val="00CF04BC"/>
  </w:style>
  <w:style w:type="paragraph" w:customStyle="1" w:styleId="Appendixtitle">
    <w:name w:val="Appendix_title"/>
    <w:basedOn w:val="Annextitle"/>
    <w:next w:val="Normal"/>
    <w:link w:val="AppendixtitleChar"/>
    <w:rsid w:val="00CF04BC"/>
  </w:style>
  <w:style w:type="paragraph" w:customStyle="1" w:styleId="Border">
    <w:name w:val="Border"/>
    <w:basedOn w:val="Normal"/>
    <w:rsid w:val="00CF04BC"/>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CF04BC"/>
    <w:pPr>
      <w:ind w:left="849"/>
    </w:pPr>
  </w:style>
  <w:style w:type="paragraph" w:styleId="Index5">
    <w:name w:val="index 5"/>
    <w:basedOn w:val="Normal"/>
    <w:next w:val="Normal"/>
    <w:rsid w:val="00CF04BC"/>
    <w:pPr>
      <w:ind w:left="1132"/>
    </w:pPr>
  </w:style>
  <w:style w:type="paragraph" w:styleId="Index6">
    <w:name w:val="index 6"/>
    <w:basedOn w:val="Normal"/>
    <w:next w:val="Normal"/>
    <w:rsid w:val="00CF04BC"/>
    <w:pPr>
      <w:ind w:left="1415"/>
    </w:pPr>
  </w:style>
  <w:style w:type="paragraph" w:styleId="Index7">
    <w:name w:val="index 7"/>
    <w:basedOn w:val="Normal"/>
    <w:next w:val="Normal"/>
    <w:rsid w:val="00CF04BC"/>
    <w:pPr>
      <w:ind w:left="1698"/>
    </w:pPr>
  </w:style>
  <w:style w:type="character" w:styleId="LineNumber">
    <w:name w:val="line number"/>
    <w:basedOn w:val="DefaultParagraphFont"/>
    <w:rsid w:val="00CF04BC"/>
  </w:style>
  <w:style w:type="paragraph" w:customStyle="1" w:styleId="Normalaftertitle0">
    <w:name w:val="Normal after title"/>
    <w:basedOn w:val="Normal"/>
    <w:next w:val="Normal"/>
    <w:link w:val="NormalaftertitleChar0"/>
    <w:rsid w:val="00CF04BC"/>
    <w:pPr>
      <w:spacing w:before="280"/>
    </w:pPr>
  </w:style>
  <w:style w:type="paragraph" w:customStyle="1" w:styleId="Proposal">
    <w:name w:val="Proposal"/>
    <w:basedOn w:val="Normal"/>
    <w:next w:val="Normal"/>
    <w:link w:val="ProposalChar"/>
    <w:rsid w:val="00CF04BC"/>
    <w:pPr>
      <w:keepNext/>
      <w:spacing w:before="240"/>
    </w:pPr>
    <w:rPr>
      <w:rFonts w:hAnsi="Times New Roman Bold"/>
      <w:b/>
    </w:rPr>
  </w:style>
  <w:style w:type="paragraph" w:customStyle="1" w:styleId="Reasons">
    <w:name w:val="Reasons"/>
    <w:basedOn w:val="Normal"/>
    <w:link w:val="ReasonsChar"/>
    <w:qFormat/>
    <w:rsid w:val="00CF04BC"/>
  </w:style>
  <w:style w:type="paragraph" w:customStyle="1" w:styleId="Section3">
    <w:name w:val="Section_3"/>
    <w:basedOn w:val="Section1"/>
    <w:link w:val="Section3Char"/>
    <w:rsid w:val="00CF04BC"/>
    <w:rPr>
      <w:b w:val="0"/>
    </w:rPr>
  </w:style>
  <w:style w:type="paragraph" w:customStyle="1" w:styleId="TableTextS5">
    <w:name w:val="Table_TextS5"/>
    <w:basedOn w:val="Normal"/>
    <w:link w:val="TableTextS5Char"/>
    <w:rsid w:val="00CF04BC"/>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CF04BC"/>
    <w:pPr>
      <w:overflowPunct/>
      <w:autoSpaceDE/>
      <w:autoSpaceDN/>
      <w:adjustRightInd/>
      <w:spacing w:before="240"/>
      <w:jc w:val="center"/>
      <w:textAlignment w:val="auto"/>
    </w:pPr>
    <w:rPr>
      <w:sz w:val="28"/>
    </w:rPr>
  </w:style>
  <w:style w:type="paragraph" w:customStyle="1" w:styleId="AppArtNo">
    <w:name w:val="App_Art_No"/>
    <w:basedOn w:val="ArtNo"/>
    <w:qFormat/>
    <w:rsid w:val="00CF04BC"/>
  </w:style>
  <w:style w:type="paragraph" w:customStyle="1" w:styleId="AppArttitle">
    <w:name w:val="App_Art_title"/>
    <w:basedOn w:val="Arttitle"/>
    <w:qFormat/>
    <w:rsid w:val="00CF04BC"/>
  </w:style>
  <w:style w:type="paragraph" w:customStyle="1" w:styleId="ApptoAnnex">
    <w:name w:val="App_to_Annex"/>
    <w:basedOn w:val="AppendixNo"/>
    <w:next w:val="Normal"/>
    <w:qFormat/>
    <w:rsid w:val="00CF04BC"/>
  </w:style>
  <w:style w:type="paragraph" w:customStyle="1" w:styleId="Committee">
    <w:name w:val="Committee"/>
    <w:basedOn w:val="Normal"/>
    <w:qFormat/>
    <w:rsid w:val="00CF04BC"/>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CF04BC"/>
    <w:rPr>
      <w:noProof/>
      <w:sz w:val="18"/>
      <w:lang w:val="en-GB" w:eastAsia="en-US"/>
    </w:rPr>
  </w:style>
  <w:style w:type="character" w:customStyle="1" w:styleId="FootnoteTextChar">
    <w:name w:val="Footnote Text Char"/>
    <w:basedOn w:val="DefaultParagraphFont"/>
    <w:link w:val="FootnoteText"/>
    <w:qFormat/>
    <w:rsid w:val="00CF04BC"/>
    <w:rPr>
      <w:sz w:val="22"/>
      <w:lang w:val="en-GB" w:eastAsia="en-US"/>
    </w:rPr>
  </w:style>
  <w:style w:type="paragraph" w:customStyle="1" w:styleId="Normalend">
    <w:name w:val="Normal_end"/>
    <w:basedOn w:val="Normal"/>
    <w:next w:val="Normal"/>
    <w:qFormat/>
    <w:rsid w:val="00CF04BC"/>
    <w:rPr>
      <w:lang w:val="en-US"/>
    </w:rPr>
  </w:style>
  <w:style w:type="paragraph" w:customStyle="1" w:styleId="Part1">
    <w:name w:val="Part_1"/>
    <w:basedOn w:val="Section1"/>
    <w:next w:val="Section1"/>
    <w:qFormat/>
    <w:rsid w:val="00CF04BC"/>
    <w:pPr>
      <w:keepNext/>
      <w:keepLines/>
    </w:pPr>
  </w:style>
  <w:style w:type="paragraph" w:customStyle="1" w:styleId="Subsection1">
    <w:name w:val="Subsection_1"/>
    <w:basedOn w:val="Section1"/>
    <w:next w:val="Normalaftertitle0"/>
    <w:qFormat/>
    <w:rsid w:val="00CF04BC"/>
  </w:style>
  <w:style w:type="paragraph" w:customStyle="1" w:styleId="Volumetitle">
    <w:name w:val="Volume_title"/>
    <w:basedOn w:val="Normal"/>
    <w:qFormat/>
    <w:rsid w:val="00CF04BC"/>
    <w:pPr>
      <w:jc w:val="center"/>
    </w:pPr>
    <w:rPr>
      <w:b/>
      <w:bCs/>
      <w:sz w:val="28"/>
      <w:szCs w:val="28"/>
    </w:rPr>
  </w:style>
  <w:style w:type="paragraph" w:customStyle="1" w:styleId="Headingsplit">
    <w:name w:val="Heading_split"/>
    <w:basedOn w:val="Headingi"/>
    <w:qFormat/>
    <w:rsid w:val="00CF04BC"/>
    <w:rPr>
      <w:lang w:val="en-US"/>
    </w:rPr>
  </w:style>
  <w:style w:type="paragraph" w:customStyle="1" w:styleId="Normalsplit">
    <w:name w:val="Normal_split"/>
    <w:basedOn w:val="Normal"/>
    <w:qFormat/>
    <w:rsid w:val="00CF04BC"/>
  </w:style>
  <w:style w:type="character" w:customStyle="1" w:styleId="Provsplit">
    <w:name w:val="Prov_split"/>
    <w:basedOn w:val="DefaultParagraphFont"/>
    <w:qFormat/>
    <w:rsid w:val="00CF04BC"/>
    <w:rPr>
      <w:rFonts w:ascii="Times New Roman" w:hAnsi="Times New Roman"/>
      <w:b w:val="0"/>
    </w:rPr>
  </w:style>
  <w:style w:type="paragraph" w:customStyle="1" w:styleId="Tablesplit">
    <w:name w:val="Table_split"/>
    <w:basedOn w:val="Tabletext"/>
    <w:qFormat/>
    <w:rsid w:val="00CF04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CF04BC"/>
  </w:style>
  <w:style w:type="paragraph" w:customStyle="1" w:styleId="Methodheading2">
    <w:name w:val="Method_heading2"/>
    <w:basedOn w:val="Heading2"/>
    <w:next w:val="Normal"/>
    <w:qFormat/>
    <w:rsid w:val="00CF04BC"/>
  </w:style>
  <w:style w:type="paragraph" w:customStyle="1" w:styleId="Methodheading3">
    <w:name w:val="Method_heading3"/>
    <w:basedOn w:val="Heading3"/>
    <w:next w:val="Normal"/>
    <w:qFormat/>
    <w:rsid w:val="00CF04BC"/>
  </w:style>
  <w:style w:type="paragraph" w:customStyle="1" w:styleId="Methodheading4">
    <w:name w:val="Method_heading4"/>
    <w:basedOn w:val="Heading4"/>
    <w:next w:val="Normal"/>
    <w:qFormat/>
    <w:rsid w:val="00CF04BC"/>
  </w:style>
  <w:style w:type="paragraph" w:customStyle="1" w:styleId="MethodHeadingb">
    <w:name w:val="Method_Headingb"/>
    <w:basedOn w:val="Headingb"/>
    <w:next w:val="Normal"/>
    <w:qFormat/>
    <w:rsid w:val="00CF04BC"/>
    <w:pPr>
      <w:overflowPunct/>
      <w:autoSpaceDE/>
      <w:autoSpaceDN/>
      <w:adjustRightInd/>
      <w:textAlignment w:val="auto"/>
    </w:pPr>
  </w:style>
  <w:style w:type="paragraph" w:customStyle="1" w:styleId="EditorsNote">
    <w:name w:val="EditorsNote"/>
    <w:basedOn w:val="Normal"/>
    <w:rsid w:val="00CF04BC"/>
    <w:pPr>
      <w:spacing w:before="240" w:after="240"/>
    </w:pPr>
    <w:rPr>
      <w:i/>
      <w:iCs/>
    </w:rPr>
  </w:style>
  <w:style w:type="character" w:customStyle="1" w:styleId="FiguretitleChar">
    <w:name w:val="Figure_title Char"/>
    <w:basedOn w:val="DefaultParagraphFont"/>
    <w:link w:val="Figuretitle"/>
    <w:rsid w:val="00CF04BC"/>
    <w:rPr>
      <w:rFonts w:ascii="Times New Roman Bold" w:hAnsi="Times New Roman Bold"/>
      <w:b/>
      <w:sz w:val="18"/>
      <w:lang w:val="en-GB" w:eastAsia="en-US"/>
    </w:rPr>
  </w:style>
  <w:style w:type="paragraph" w:customStyle="1" w:styleId="Figurewithlegend">
    <w:name w:val="Figure_with_legend"/>
    <w:basedOn w:val="Figure"/>
    <w:rsid w:val="00CF04BC"/>
  </w:style>
  <w:style w:type="paragraph" w:styleId="Signature">
    <w:name w:val="Signature"/>
    <w:basedOn w:val="Normal"/>
    <w:link w:val="SignatureChar"/>
    <w:unhideWhenUsed/>
    <w:rsid w:val="00CF04BC"/>
    <w:pPr>
      <w:tabs>
        <w:tab w:val="center" w:pos="7371"/>
      </w:tabs>
      <w:spacing w:before="600"/>
    </w:pPr>
  </w:style>
  <w:style w:type="character" w:customStyle="1" w:styleId="SignatureChar">
    <w:name w:val="Signature Char"/>
    <w:basedOn w:val="DefaultParagraphFont"/>
    <w:link w:val="Signature"/>
    <w:rsid w:val="00CF04BC"/>
    <w:rPr>
      <w:sz w:val="24"/>
      <w:lang w:val="en-GB" w:eastAsia="en-US"/>
    </w:rPr>
  </w:style>
  <w:style w:type="paragraph" w:styleId="BodyText">
    <w:name w:val="Body Text"/>
    <w:basedOn w:val="Normal"/>
    <w:link w:val="BodyTextChar"/>
    <w:rsid w:val="00CF04BC"/>
    <w:pPr>
      <w:framePr w:hSpace="181" w:wrap="around" w:vAnchor="page" w:hAnchor="margin" w:y="852"/>
      <w:jc w:val="center"/>
    </w:pPr>
    <w:rPr>
      <w:b/>
      <w:smallCaps/>
      <w:sz w:val="22"/>
      <w:lang w:val="ru-RU"/>
    </w:rPr>
  </w:style>
  <w:style w:type="character" w:customStyle="1" w:styleId="BodyTextChar">
    <w:name w:val="Body Text Char"/>
    <w:basedOn w:val="DefaultParagraphFont"/>
    <w:link w:val="BodyText"/>
    <w:rsid w:val="00CF04BC"/>
    <w:rPr>
      <w:b/>
      <w:smallCaps/>
      <w:sz w:val="22"/>
      <w:lang w:val="ru-RU" w:eastAsia="en-US"/>
    </w:rPr>
  </w:style>
  <w:style w:type="paragraph" w:styleId="PlainText">
    <w:name w:val="Plain Text"/>
    <w:basedOn w:val="Normal"/>
    <w:link w:val="PlainTextChar"/>
    <w:uiPriority w:val="99"/>
    <w:unhideWhenUsed/>
    <w:rsid w:val="00CF04BC"/>
    <w:pPr>
      <w:overflowPunct/>
      <w:autoSpaceDE/>
      <w:autoSpaceDN/>
      <w:adjustRightInd/>
      <w:spacing w:before="0"/>
      <w:textAlignment w:val="auto"/>
    </w:pPr>
    <w:rPr>
      <w:rFonts w:ascii="Calibri" w:eastAsia="SimSun" w:hAnsi="Calibri"/>
      <w:sz w:val="22"/>
      <w:szCs w:val="22"/>
      <w:lang w:val="en-US" w:eastAsia="zh-CN"/>
    </w:rPr>
  </w:style>
  <w:style w:type="character" w:customStyle="1" w:styleId="PlainTextChar">
    <w:name w:val="Plain Text Char"/>
    <w:basedOn w:val="DefaultParagraphFont"/>
    <w:link w:val="PlainText"/>
    <w:uiPriority w:val="99"/>
    <w:rsid w:val="00CF04BC"/>
    <w:rPr>
      <w:rFonts w:ascii="Calibri" w:eastAsia="SimSun" w:hAnsi="Calibri"/>
      <w:sz w:val="22"/>
      <w:szCs w:val="22"/>
    </w:rPr>
  </w:style>
  <w:style w:type="paragraph" w:styleId="BalloonText">
    <w:name w:val="Balloon Text"/>
    <w:basedOn w:val="Normal"/>
    <w:link w:val="BalloonTextChar"/>
    <w:rsid w:val="00CF04BC"/>
    <w:pPr>
      <w:spacing w:before="0"/>
    </w:pPr>
    <w:rPr>
      <w:rFonts w:ascii="Tahoma" w:hAnsi="Tahoma" w:cs="Tahoma"/>
      <w:sz w:val="16"/>
      <w:szCs w:val="16"/>
      <w:lang w:val="ru-RU"/>
    </w:rPr>
  </w:style>
  <w:style w:type="character" w:customStyle="1" w:styleId="BalloonTextChar">
    <w:name w:val="Balloon Text Char"/>
    <w:basedOn w:val="DefaultParagraphFont"/>
    <w:link w:val="BalloonText"/>
    <w:rsid w:val="00CF04BC"/>
    <w:rPr>
      <w:rFonts w:ascii="Tahoma" w:hAnsi="Tahoma" w:cs="Tahoma"/>
      <w:sz w:val="16"/>
      <w:szCs w:val="16"/>
      <w:lang w:val="ru-RU" w:eastAsia="en-US"/>
    </w:rPr>
  </w:style>
  <w:style w:type="paragraph" w:styleId="TOC9">
    <w:name w:val="toc 9"/>
    <w:basedOn w:val="Normal"/>
    <w:next w:val="Normal"/>
    <w:uiPriority w:val="39"/>
    <w:unhideWhenUsed/>
    <w:rsid w:val="00CF04BC"/>
    <w:pPr>
      <w:overflowPunct/>
      <w:autoSpaceDE/>
      <w:autoSpaceDN/>
      <w:adjustRightInd/>
      <w:spacing w:before="0" w:after="100" w:line="259" w:lineRule="auto"/>
      <w:ind w:left="1760"/>
      <w:textAlignment w:val="auto"/>
    </w:pPr>
    <w:rPr>
      <w:rFonts w:ascii="Calibri" w:eastAsia="SimSun" w:hAnsi="Calibri" w:cs="Arial"/>
      <w:sz w:val="22"/>
      <w:szCs w:val="22"/>
      <w:lang w:val="en-US" w:eastAsia="zh-CN"/>
    </w:rPr>
  </w:style>
  <w:style w:type="character" w:styleId="FollowedHyperlink">
    <w:name w:val="FollowedHyperlink"/>
    <w:basedOn w:val="DefaultParagraphFont"/>
    <w:semiHidden/>
    <w:unhideWhenUsed/>
    <w:rsid w:val="00CF04BC"/>
    <w:rPr>
      <w:color w:val="800080" w:themeColor="followedHyperlink"/>
      <w:u w:val="single"/>
    </w:rPr>
  </w:style>
  <w:style w:type="character" w:customStyle="1" w:styleId="Heading1Char">
    <w:name w:val="Heading 1 Char"/>
    <w:basedOn w:val="DefaultParagraphFont"/>
    <w:link w:val="Heading1"/>
    <w:rsid w:val="00CF04BC"/>
    <w:rPr>
      <w:b/>
      <w:sz w:val="24"/>
      <w:lang w:val="en-GB" w:eastAsia="en-US"/>
    </w:rPr>
  </w:style>
  <w:style w:type="character" w:customStyle="1" w:styleId="Heading2Char">
    <w:name w:val="Heading 2 Char"/>
    <w:link w:val="Heading2"/>
    <w:locked/>
    <w:rsid w:val="00CF04BC"/>
    <w:rPr>
      <w:b/>
      <w:sz w:val="24"/>
      <w:lang w:val="en-GB" w:eastAsia="en-US"/>
    </w:rPr>
  </w:style>
  <w:style w:type="character" w:customStyle="1" w:styleId="Heading3Char">
    <w:name w:val="Heading 3 Char"/>
    <w:link w:val="Heading3"/>
    <w:locked/>
    <w:rsid w:val="00CF04BC"/>
    <w:rPr>
      <w:b/>
      <w:sz w:val="24"/>
      <w:lang w:val="en-GB" w:eastAsia="en-US"/>
    </w:rPr>
  </w:style>
  <w:style w:type="character" w:customStyle="1" w:styleId="Heading4Char">
    <w:name w:val="Heading 4 Char"/>
    <w:link w:val="Heading4"/>
    <w:locked/>
    <w:rsid w:val="00CF04BC"/>
    <w:rPr>
      <w:b/>
      <w:sz w:val="24"/>
      <w:lang w:val="en-GB" w:eastAsia="en-US"/>
    </w:rPr>
  </w:style>
  <w:style w:type="character" w:customStyle="1" w:styleId="Heading5Char">
    <w:name w:val="Heading 5 Char"/>
    <w:link w:val="Heading5"/>
    <w:locked/>
    <w:rsid w:val="00CF04BC"/>
    <w:rPr>
      <w:b/>
      <w:sz w:val="24"/>
      <w:lang w:val="en-GB" w:eastAsia="en-US"/>
    </w:rPr>
  </w:style>
  <w:style w:type="character" w:customStyle="1" w:styleId="Heading6Char">
    <w:name w:val="Heading 6 Char"/>
    <w:link w:val="Heading6"/>
    <w:locked/>
    <w:rsid w:val="00CF04BC"/>
    <w:rPr>
      <w:b/>
      <w:sz w:val="24"/>
      <w:lang w:val="en-GB" w:eastAsia="en-US"/>
    </w:rPr>
  </w:style>
  <w:style w:type="character" w:customStyle="1" w:styleId="Heading7Char">
    <w:name w:val="Heading 7 Char"/>
    <w:link w:val="Heading7"/>
    <w:locked/>
    <w:rsid w:val="00CF04BC"/>
    <w:rPr>
      <w:b/>
      <w:sz w:val="24"/>
      <w:lang w:val="en-GB" w:eastAsia="en-US"/>
    </w:rPr>
  </w:style>
  <w:style w:type="character" w:customStyle="1" w:styleId="Heading8Char">
    <w:name w:val="Heading 8 Char"/>
    <w:link w:val="Heading8"/>
    <w:locked/>
    <w:rsid w:val="00CF04BC"/>
    <w:rPr>
      <w:b/>
      <w:sz w:val="24"/>
      <w:lang w:val="en-GB" w:eastAsia="en-US"/>
    </w:rPr>
  </w:style>
  <w:style w:type="character" w:customStyle="1" w:styleId="Heading9Char">
    <w:name w:val="Heading 9 Char"/>
    <w:link w:val="Heading9"/>
    <w:locked/>
    <w:rsid w:val="00CF04BC"/>
    <w:rPr>
      <w:b/>
      <w:sz w:val="24"/>
      <w:lang w:val="en-GB" w:eastAsia="en-US"/>
    </w:rPr>
  </w:style>
  <w:style w:type="character" w:customStyle="1" w:styleId="NormalaftertitleChar">
    <w:name w:val="Normal_after_title Char"/>
    <w:link w:val="Normalaftertitle"/>
    <w:locked/>
    <w:rsid w:val="00CF04BC"/>
    <w:rPr>
      <w:sz w:val="24"/>
      <w:lang w:val="en-GB" w:eastAsia="en-US"/>
    </w:rPr>
  </w:style>
  <w:style w:type="character" w:customStyle="1" w:styleId="ArtNoChar">
    <w:name w:val="Art_No Char"/>
    <w:link w:val="ArtNo"/>
    <w:locked/>
    <w:rsid w:val="00CF04BC"/>
    <w:rPr>
      <w:sz w:val="28"/>
      <w:lang w:val="en-GB" w:eastAsia="en-US"/>
    </w:rPr>
  </w:style>
  <w:style w:type="character" w:customStyle="1" w:styleId="ArttitleCar">
    <w:name w:val="Art_title Car"/>
    <w:link w:val="Arttitle"/>
    <w:locked/>
    <w:rsid w:val="00CF04BC"/>
    <w:rPr>
      <w:b/>
      <w:sz w:val="28"/>
      <w:lang w:val="en-GB" w:eastAsia="en-US"/>
    </w:rPr>
  </w:style>
  <w:style w:type="character" w:customStyle="1" w:styleId="CallChar">
    <w:name w:val="Call Char"/>
    <w:link w:val="Call"/>
    <w:locked/>
    <w:rsid w:val="00CF04BC"/>
    <w:rPr>
      <w:i/>
      <w:sz w:val="24"/>
      <w:lang w:val="en-GB" w:eastAsia="en-US"/>
    </w:rPr>
  </w:style>
  <w:style w:type="character" w:customStyle="1" w:styleId="ChaptitleChar">
    <w:name w:val="Chap_title Char"/>
    <w:link w:val="Chaptitle"/>
    <w:locked/>
    <w:rsid w:val="00CF04BC"/>
    <w:rPr>
      <w:b/>
      <w:sz w:val="28"/>
      <w:lang w:val="en-GB" w:eastAsia="en-US"/>
    </w:rPr>
  </w:style>
  <w:style w:type="character" w:customStyle="1" w:styleId="enumlev1Char">
    <w:name w:val="enumlev1 Char"/>
    <w:link w:val="enumlev1"/>
    <w:locked/>
    <w:rsid w:val="00CF04BC"/>
    <w:rPr>
      <w:sz w:val="24"/>
      <w:lang w:val="en-GB" w:eastAsia="en-US"/>
    </w:rPr>
  </w:style>
  <w:style w:type="character" w:customStyle="1" w:styleId="enumlev2Char">
    <w:name w:val="enumlev2 Char"/>
    <w:link w:val="enumlev2"/>
    <w:locked/>
    <w:rsid w:val="00CF04BC"/>
    <w:rPr>
      <w:sz w:val="24"/>
      <w:lang w:val="en-GB" w:eastAsia="en-US"/>
    </w:rPr>
  </w:style>
  <w:style w:type="character" w:customStyle="1" w:styleId="EquationChar">
    <w:name w:val="Equation Char"/>
    <w:link w:val="Equation"/>
    <w:qFormat/>
    <w:locked/>
    <w:rsid w:val="00CF04BC"/>
    <w:rPr>
      <w:sz w:val="24"/>
      <w:lang w:val="en-GB" w:eastAsia="en-US"/>
    </w:rPr>
  </w:style>
  <w:style w:type="character" w:customStyle="1" w:styleId="EquationlegendChar">
    <w:name w:val="Equation_legend Char"/>
    <w:link w:val="Equationlegend"/>
    <w:qFormat/>
    <w:locked/>
    <w:rsid w:val="00CF04BC"/>
    <w:rPr>
      <w:sz w:val="24"/>
      <w:lang w:eastAsia="en-US"/>
    </w:rPr>
  </w:style>
  <w:style w:type="character" w:customStyle="1" w:styleId="TabletextChar">
    <w:name w:val="Table_text Char"/>
    <w:basedOn w:val="DefaultParagraphFont"/>
    <w:link w:val="Tabletext"/>
    <w:qFormat/>
    <w:locked/>
    <w:rsid w:val="00CF04BC"/>
    <w:rPr>
      <w:sz w:val="22"/>
      <w:lang w:val="en-GB" w:eastAsia="en-US"/>
    </w:rPr>
  </w:style>
  <w:style w:type="character" w:customStyle="1" w:styleId="FigureNoChar">
    <w:name w:val="Figure_No Char"/>
    <w:link w:val="FigureNo"/>
    <w:locked/>
    <w:rsid w:val="00CF04BC"/>
    <w:rPr>
      <w:caps/>
      <w:sz w:val="18"/>
      <w:lang w:val="en-GB" w:eastAsia="en-US"/>
    </w:rPr>
  </w:style>
  <w:style w:type="character" w:customStyle="1" w:styleId="NoteChar">
    <w:name w:val="Note Char"/>
    <w:link w:val="Note"/>
    <w:qFormat/>
    <w:locked/>
    <w:rsid w:val="00CF04BC"/>
    <w:rPr>
      <w:sz w:val="22"/>
      <w:lang w:val="en-GB" w:eastAsia="en-US"/>
    </w:rPr>
  </w:style>
  <w:style w:type="character" w:customStyle="1" w:styleId="AnnexNoChar">
    <w:name w:val="Annex_No Char"/>
    <w:link w:val="AnnexNo"/>
    <w:locked/>
    <w:rsid w:val="00CF04BC"/>
    <w:rPr>
      <w:caps/>
      <w:sz w:val="28"/>
      <w:lang w:val="en-GB" w:eastAsia="en-US"/>
    </w:rPr>
  </w:style>
  <w:style w:type="character" w:customStyle="1" w:styleId="AnnextitleChar1">
    <w:name w:val="Annex_title Char1"/>
    <w:link w:val="Annextitle"/>
    <w:locked/>
    <w:rsid w:val="00CF04BC"/>
    <w:rPr>
      <w:rFonts w:ascii="Times New Roman Bold" w:hAnsi="Times New Roman Bold"/>
      <w:b/>
      <w:sz w:val="28"/>
      <w:lang w:val="en-GB" w:eastAsia="en-US"/>
    </w:rPr>
  </w:style>
  <w:style w:type="character" w:customStyle="1" w:styleId="NormalaftertitleChar0">
    <w:name w:val="Normal after title Char"/>
    <w:link w:val="Normalaftertitle0"/>
    <w:locked/>
    <w:rsid w:val="00CF04BC"/>
    <w:rPr>
      <w:sz w:val="24"/>
      <w:lang w:val="en-GB" w:eastAsia="en-US"/>
    </w:rPr>
  </w:style>
  <w:style w:type="character" w:customStyle="1" w:styleId="RecNoChar">
    <w:name w:val="Rec_No Char"/>
    <w:link w:val="RecNo"/>
    <w:locked/>
    <w:rsid w:val="00CF04BC"/>
    <w:rPr>
      <w:sz w:val="28"/>
      <w:lang w:val="en-GB" w:eastAsia="en-US"/>
    </w:rPr>
  </w:style>
  <w:style w:type="character" w:customStyle="1" w:styleId="RectitleChar">
    <w:name w:val="Rec_title Char"/>
    <w:link w:val="Rectitle"/>
    <w:locked/>
    <w:rsid w:val="00CF04BC"/>
    <w:rPr>
      <w:b/>
      <w:sz w:val="28"/>
      <w:lang w:val="en-GB" w:eastAsia="en-US"/>
    </w:rPr>
  </w:style>
  <w:style w:type="character" w:customStyle="1" w:styleId="RepNoChar">
    <w:name w:val="Rep_No Char"/>
    <w:link w:val="RepNo"/>
    <w:locked/>
    <w:rsid w:val="00CF04BC"/>
    <w:rPr>
      <w:sz w:val="28"/>
      <w:lang w:val="en-GB" w:eastAsia="en-US"/>
    </w:rPr>
  </w:style>
  <w:style w:type="character" w:customStyle="1" w:styleId="ResNoChar">
    <w:name w:val="Res_No Char"/>
    <w:link w:val="ResNo"/>
    <w:locked/>
    <w:rsid w:val="00CF04BC"/>
    <w:rPr>
      <w:sz w:val="28"/>
      <w:lang w:val="en-GB" w:eastAsia="en-US"/>
    </w:rPr>
  </w:style>
  <w:style w:type="character" w:customStyle="1" w:styleId="RestitleChar">
    <w:name w:val="Res_title Char"/>
    <w:link w:val="Restitle"/>
    <w:locked/>
    <w:rsid w:val="00CF04BC"/>
    <w:rPr>
      <w:b/>
      <w:sz w:val="28"/>
      <w:lang w:val="en-GB" w:eastAsia="en-US"/>
    </w:rPr>
  </w:style>
  <w:style w:type="character" w:customStyle="1" w:styleId="SourceChar">
    <w:name w:val="Source Char"/>
    <w:link w:val="Source"/>
    <w:locked/>
    <w:rsid w:val="00CF04BC"/>
    <w:rPr>
      <w:b/>
      <w:sz w:val="28"/>
      <w:lang w:val="en-GB" w:eastAsia="en-US"/>
    </w:rPr>
  </w:style>
  <w:style w:type="character" w:customStyle="1" w:styleId="TableheadChar">
    <w:name w:val="Table_head Char"/>
    <w:basedOn w:val="DefaultParagraphFont"/>
    <w:link w:val="Tablehead"/>
    <w:qFormat/>
    <w:rsid w:val="00CF04BC"/>
    <w:rPr>
      <w:b/>
      <w:sz w:val="22"/>
      <w:lang w:val="en-GB" w:eastAsia="en-US"/>
    </w:rPr>
  </w:style>
  <w:style w:type="character" w:customStyle="1" w:styleId="TableNoChar">
    <w:name w:val="Table_No Char"/>
    <w:link w:val="TableNo"/>
    <w:qFormat/>
    <w:locked/>
    <w:rsid w:val="00CF04BC"/>
    <w:rPr>
      <w:sz w:val="24"/>
      <w:lang w:val="en-GB" w:eastAsia="en-US"/>
    </w:rPr>
  </w:style>
  <w:style w:type="character" w:customStyle="1" w:styleId="Tabletitle0">
    <w:name w:val="Table_title Знак"/>
    <w:link w:val="Tabletitle"/>
    <w:locked/>
    <w:rsid w:val="00CF04BC"/>
    <w:rPr>
      <w:b/>
      <w:sz w:val="24"/>
      <w:lang w:val="en-GB" w:eastAsia="en-US"/>
    </w:rPr>
  </w:style>
  <w:style w:type="character" w:customStyle="1" w:styleId="Title1Char">
    <w:name w:val="Title 1 Char"/>
    <w:link w:val="Title1"/>
    <w:locked/>
    <w:rsid w:val="00CF04BC"/>
    <w:rPr>
      <w:caps/>
      <w:sz w:val="28"/>
      <w:lang w:val="en-GB" w:eastAsia="en-US"/>
    </w:rPr>
  </w:style>
  <w:style w:type="character" w:customStyle="1" w:styleId="Section1Char">
    <w:name w:val="Section_1 Char"/>
    <w:link w:val="Section1"/>
    <w:locked/>
    <w:rsid w:val="00CF04BC"/>
    <w:rPr>
      <w:b/>
      <w:sz w:val="24"/>
      <w:lang w:val="en-GB" w:eastAsia="en-US"/>
    </w:rPr>
  </w:style>
  <w:style w:type="character" w:customStyle="1" w:styleId="Section2Char">
    <w:name w:val="Section_2 Char"/>
    <w:link w:val="Section2"/>
    <w:locked/>
    <w:rsid w:val="00CF04BC"/>
    <w:rPr>
      <w:i/>
      <w:sz w:val="24"/>
      <w:lang w:val="en-GB" w:eastAsia="en-US"/>
    </w:rPr>
  </w:style>
  <w:style w:type="character" w:customStyle="1" w:styleId="HeadingbChar">
    <w:name w:val="Heading_b Char"/>
    <w:link w:val="Headingb"/>
    <w:qFormat/>
    <w:locked/>
    <w:rsid w:val="00CF04BC"/>
    <w:rPr>
      <w:b/>
      <w:sz w:val="24"/>
      <w:lang w:val="en-GB" w:eastAsia="en-US"/>
    </w:rPr>
  </w:style>
  <w:style w:type="character" w:customStyle="1" w:styleId="AppendixNoCar">
    <w:name w:val="Appendix_No Car"/>
    <w:link w:val="AppendixNo"/>
    <w:locked/>
    <w:rsid w:val="00CF04BC"/>
    <w:rPr>
      <w:caps/>
      <w:sz w:val="28"/>
      <w:lang w:val="en-GB" w:eastAsia="en-US"/>
    </w:rPr>
  </w:style>
  <w:style w:type="character" w:customStyle="1" w:styleId="AppendixtitleChar">
    <w:name w:val="Appendix_title Char"/>
    <w:link w:val="Appendixtitle"/>
    <w:locked/>
    <w:rsid w:val="00CF04BC"/>
    <w:rPr>
      <w:rFonts w:ascii="Times New Roman Bold" w:hAnsi="Times New Roman Bold"/>
      <w:b/>
      <w:sz w:val="28"/>
      <w:lang w:val="en-GB" w:eastAsia="en-US"/>
    </w:rPr>
  </w:style>
  <w:style w:type="character" w:customStyle="1" w:styleId="ProposalChar">
    <w:name w:val="Proposal Char"/>
    <w:link w:val="Proposal"/>
    <w:locked/>
    <w:rsid w:val="00CF04BC"/>
    <w:rPr>
      <w:rFonts w:hAnsi="Times New Roman Bold"/>
      <w:b/>
      <w:sz w:val="24"/>
      <w:lang w:val="en-GB" w:eastAsia="en-US"/>
    </w:rPr>
  </w:style>
  <w:style w:type="character" w:customStyle="1" w:styleId="ReasonsChar">
    <w:name w:val="Reasons Char"/>
    <w:link w:val="Reasons"/>
    <w:locked/>
    <w:rsid w:val="00CF04BC"/>
    <w:rPr>
      <w:sz w:val="24"/>
      <w:lang w:val="en-GB" w:eastAsia="en-US"/>
    </w:rPr>
  </w:style>
  <w:style w:type="character" w:customStyle="1" w:styleId="Section3Char">
    <w:name w:val="Section_3 Char"/>
    <w:link w:val="Section3"/>
    <w:locked/>
    <w:rsid w:val="00CF04BC"/>
    <w:rPr>
      <w:sz w:val="24"/>
      <w:lang w:val="en-GB" w:eastAsia="en-US"/>
    </w:rPr>
  </w:style>
  <w:style w:type="character" w:customStyle="1" w:styleId="TableTextS5Char">
    <w:name w:val="Table_TextS5 Char"/>
    <w:link w:val="TableTextS5"/>
    <w:locked/>
    <w:rsid w:val="00CF04BC"/>
    <w:rPr>
      <w:lang w:val="en-GB" w:eastAsia="en-US"/>
    </w:rPr>
  </w:style>
  <w:style w:type="character" w:styleId="PlaceholderText">
    <w:name w:val="Placeholder Text"/>
    <w:basedOn w:val="DefaultParagraphFont"/>
    <w:uiPriority w:val="99"/>
    <w:semiHidden/>
    <w:rsid w:val="00CF04BC"/>
    <w:rPr>
      <w:color w:val="808080"/>
    </w:rPr>
  </w:style>
  <w:style w:type="paragraph" w:customStyle="1" w:styleId="DocData">
    <w:name w:val="DocData"/>
    <w:basedOn w:val="Normal"/>
    <w:rsid w:val="00CF04BC"/>
    <w:pPr>
      <w:framePr w:hSpace="180" w:wrap="around" w:hAnchor="margin" w:y="-687"/>
      <w:shd w:val="solid" w:color="FFFFFF" w:fill="FFFFFF"/>
      <w:spacing w:before="0" w:line="240" w:lineRule="atLeast"/>
    </w:pPr>
    <w:rPr>
      <w:rFonts w:ascii="Verdana" w:hAnsi="Verdana"/>
      <w:b/>
      <w:sz w:val="20"/>
      <w:lang w:eastAsia="zh-CN"/>
    </w:rPr>
  </w:style>
  <w:style w:type="character" w:customStyle="1" w:styleId="AnnexNoTitleChar">
    <w:name w:val="Annex_NoTitle Char"/>
    <w:link w:val="AnnexNoTitle"/>
    <w:rsid w:val="00D25898"/>
    <w:rPr>
      <w:b/>
      <w:sz w:val="28"/>
      <w:lang w:val="en-GB" w:eastAsia="en-US"/>
    </w:rPr>
  </w:style>
  <w:style w:type="character" w:customStyle="1" w:styleId="Recdef">
    <w:name w:val="Rec_def"/>
    <w:rsid w:val="00CF04BC"/>
    <w:rPr>
      <w:b/>
    </w:rPr>
  </w:style>
  <w:style w:type="character" w:customStyle="1" w:styleId="Resdef">
    <w:name w:val="Res_def"/>
    <w:rsid w:val="00CF04BC"/>
    <w:rPr>
      <w:rFonts w:ascii="Times New Roman" w:hAnsi="Times New Roman"/>
      <w:b/>
    </w:rPr>
  </w:style>
  <w:style w:type="paragraph" w:customStyle="1" w:styleId="FootnoteReference10pt">
    <w:name w:val="Footnote Reference + 10 pt"/>
    <w:basedOn w:val="FootnoteText"/>
    <w:rsid w:val="00CF04BC"/>
    <w:rPr>
      <w:sz w:val="20"/>
      <w:lang w:val="fr-FR"/>
    </w:rPr>
  </w:style>
  <w:style w:type="paragraph" w:customStyle="1" w:styleId="FootnoteTextComplex12pt">
    <w:name w:val="Footnote Text + (Complex) 12 pt"/>
    <w:basedOn w:val="FootnoteText"/>
    <w:rsid w:val="00CF04BC"/>
    <w:rPr>
      <w:szCs w:val="24"/>
    </w:rPr>
  </w:style>
  <w:style w:type="paragraph" w:customStyle="1" w:styleId="FooterQP">
    <w:name w:val="Footer_QP"/>
    <w:basedOn w:val="Normal"/>
    <w:rsid w:val="00CF04BC"/>
    <w:pPr>
      <w:tabs>
        <w:tab w:val="left" w:pos="907"/>
        <w:tab w:val="right" w:pos="8789"/>
        <w:tab w:val="right" w:pos="9639"/>
      </w:tabs>
      <w:spacing w:before="0"/>
    </w:pPr>
    <w:rPr>
      <w:b/>
      <w:sz w:val="22"/>
    </w:rPr>
  </w:style>
  <w:style w:type="paragraph" w:customStyle="1" w:styleId="RecNoBR">
    <w:name w:val="Rec_No_BR"/>
    <w:basedOn w:val="Normal"/>
    <w:next w:val="Rectitle"/>
    <w:rsid w:val="00CF04BC"/>
    <w:pPr>
      <w:keepNext/>
      <w:keepLines/>
      <w:spacing w:before="480"/>
      <w:jc w:val="center"/>
    </w:pPr>
    <w:rPr>
      <w:caps/>
      <w:sz w:val="26"/>
      <w:lang w:val="ru-RU"/>
    </w:rPr>
  </w:style>
  <w:style w:type="paragraph" w:customStyle="1" w:styleId="QuestionNoBR">
    <w:name w:val="Question_No_BR"/>
    <w:basedOn w:val="RecNoBR"/>
    <w:next w:val="Questiontitle"/>
    <w:rsid w:val="00CF04BC"/>
  </w:style>
  <w:style w:type="paragraph" w:customStyle="1" w:styleId="RepNoBR">
    <w:name w:val="Rep_No_BR"/>
    <w:basedOn w:val="RecNoBR"/>
    <w:next w:val="Reptitle"/>
    <w:rsid w:val="00CF04BC"/>
  </w:style>
  <w:style w:type="paragraph" w:customStyle="1" w:styleId="ResNoBR">
    <w:name w:val="Res_No_BR"/>
    <w:basedOn w:val="RecNoBR"/>
    <w:next w:val="Restitle"/>
    <w:rsid w:val="00CF04BC"/>
  </w:style>
  <w:style w:type="paragraph" w:customStyle="1" w:styleId="TabletitleBR">
    <w:name w:val="Table_title_BR"/>
    <w:basedOn w:val="Normal"/>
    <w:next w:val="Tablehead"/>
    <w:rsid w:val="00CF04BC"/>
    <w:pPr>
      <w:keepNext/>
      <w:keepLines/>
      <w:spacing w:before="0" w:after="120"/>
      <w:jc w:val="center"/>
    </w:pPr>
    <w:rPr>
      <w:b/>
      <w:sz w:val="22"/>
      <w:lang w:val="ru-RU"/>
    </w:rPr>
  </w:style>
  <w:style w:type="paragraph" w:customStyle="1" w:styleId="TableNoBR">
    <w:name w:val="Table_No_BR"/>
    <w:basedOn w:val="Normal"/>
    <w:next w:val="TabletitleBR"/>
    <w:rsid w:val="00CF04BC"/>
    <w:pPr>
      <w:keepNext/>
      <w:spacing w:before="560" w:after="120"/>
      <w:jc w:val="center"/>
    </w:pPr>
    <w:rPr>
      <w:caps/>
      <w:sz w:val="22"/>
      <w:lang w:val="ru-RU"/>
    </w:rPr>
  </w:style>
  <w:style w:type="paragraph" w:customStyle="1" w:styleId="FiguretitleBR">
    <w:name w:val="Figure_title_BR"/>
    <w:basedOn w:val="TabletitleBR"/>
    <w:next w:val="Figurewithouttitle"/>
    <w:rsid w:val="00CF04BC"/>
    <w:pPr>
      <w:keepNext w:val="0"/>
      <w:spacing w:after="480"/>
    </w:pPr>
  </w:style>
  <w:style w:type="paragraph" w:customStyle="1" w:styleId="FigureNoBR">
    <w:name w:val="Figure_No_BR"/>
    <w:basedOn w:val="Normal"/>
    <w:next w:val="FiguretitleBR"/>
    <w:rsid w:val="00CF04BC"/>
    <w:pPr>
      <w:keepNext/>
      <w:keepLines/>
      <w:spacing w:before="480" w:after="120"/>
      <w:jc w:val="center"/>
    </w:pPr>
    <w:rPr>
      <w:caps/>
      <w:sz w:val="22"/>
      <w:lang w:val="ru-RU"/>
    </w:rPr>
  </w:style>
  <w:style w:type="paragraph" w:customStyle="1" w:styleId="Booktitle">
    <w:name w:val="Book_title"/>
    <w:basedOn w:val="Normal"/>
    <w:qFormat/>
    <w:rsid w:val="00CF04BC"/>
    <w:pPr>
      <w:jc w:val="center"/>
    </w:pPr>
    <w:rPr>
      <w:b/>
      <w:bCs/>
      <w:sz w:val="26"/>
      <w:szCs w:val="28"/>
    </w:rPr>
  </w:style>
  <w:style w:type="character" w:customStyle="1" w:styleId="TabletitleChar">
    <w:name w:val="Table_title Char"/>
    <w:locked/>
    <w:rsid w:val="00CF04BC"/>
    <w:rPr>
      <w:rFonts w:ascii="Times New Roman Bold" w:hAnsi="Times New Roman Bold"/>
      <w:b/>
      <w:lang w:val="en-GB" w:eastAsia="en-US"/>
    </w:rPr>
  </w:style>
  <w:style w:type="paragraph" w:customStyle="1" w:styleId="MEP">
    <w:name w:val="MEP"/>
    <w:basedOn w:val="Normal"/>
    <w:rsid w:val="00CF04BC"/>
    <w:pPr>
      <w:spacing w:before="240"/>
    </w:pPr>
    <w:rPr>
      <w:sz w:val="22"/>
      <w:lang w:val="fr-FR"/>
    </w:rPr>
  </w:style>
  <w:style w:type="paragraph" w:customStyle="1" w:styleId="TableNote">
    <w:name w:val="TableNote"/>
    <w:basedOn w:val="Tabletext"/>
    <w:rsid w:val="00CF04B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lang w:val="fr-FR"/>
    </w:rPr>
  </w:style>
  <w:style w:type="character" w:customStyle="1" w:styleId="hps">
    <w:name w:val="hps"/>
    <w:basedOn w:val="DefaultParagraphFont"/>
    <w:rsid w:val="00CF04BC"/>
  </w:style>
  <w:style w:type="character" w:customStyle="1" w:styleId="shorttext">
    <w:name w:val="short_text"/>
    <w:basedOn w:val="DefaultParagraphFont"/>
    <w:rsid w:val="00CF04BC"/>
  </w:style>
  <w:style w:type="paragraph" w:styleId="ListParagraph">
    <w:name w:val="List Paragraph"/>
    <w:basedOn w:val="Normal"/>
    <w:link w:val="ListParagraphChar"/>
    <w:uiPriority w:val="34"/>
    <w:qFormat/>
    <w:rsid w:val="00CF04BC"/>
    <w:pPr>
      <w:numPr>
        <w:numId w:val="1"/>
      </w:numPr>
      <w:overflowPunct/>
      <w:spacing w:before="0" w:line="360" w:lineRule="auto"/>
      <w:contextualSpacing/>
      <w:textAlignment w:val="auto"/>
    </w:pPr>
    <w:rPr>
      <w:rFonts w:eastAsia="Calibri" w:cs="Arial"/>
      <w:sz w:val="22"/>
      <w:szCs w:val="22"/>
      <w:lang w:val="ru-RU"/>
    </w:rPr>
  </w:style>
  <w:style w:type="character" w:customStyle="1" w:styleId="ListParagraphChar">
    <w:name w:val="List Paragraph Char"/>
    <w:link w:val="ListParagraph"/>
    <w:uiPriority w:val="34"/>
    <w:rsid w:val="00CF04BC"/>
    <w:rPr>
      <w:rFonts w:eastAsia="Calibri" w:cs="Arial"/>
      <w:sz w:val="22"/>
      <w:szCs w:val="22"/>
      <w:lang w:val="ru-RU" w:eastAsia="en-US"/>
    </w:rPr>
  </w:style>
  <w:style w:type="character" w:customStyle="1" w:styleId="a">
    <w:name w:val="Гипертекстовая ссылка"/>
    <w:uiPriority w:val="99"/>
    <w:rsid w:val="00CF04BC"/>
    <w:rPr>
      <w:color w:val="106BBE"/>
    </w:rPr>
  </w:style>
  <w:style w:type="paragraph" w:customStyle="1" w:styleId="a0">
    <w:name w:val="Комментарий"/>
    <w:basedOn w:val="Normal"/>
    <w:next w:val="Normal"/>
    <w:uiPriority w:val="99"/>
    <w:rsid w:val="00CF04BC"/>
    <w:pPr>
      <w:widowControl w:val="0"/>
      <w:overflowPunct/>
      <w:spacing w:before="75"/>
      <w:ind w:left="170"/>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CF04BC"/>
    <w:rPr>
      <w:i/>
      <w:iCs/>
    </w:rPr>
  </w:style>
  <w:style w:type="character" w:customStyle="1" w:styleId="a2">
    <w:name w:val="Основной текст_"/>
    <w:link w:val="1"/>
    <w:rsid w:val="00CF04BC"/>
    <w:rPr>
      <w:shd w:val="clear" w:color="auto" w:fill="FFFFFF"/>
    </w:rPr>
  </w:style>
  <w:style w:type="paragraph" w:customStyle="1" w:styleId="1">
    <w:name w:val="Основной текст1"/>
    <w:basedOn w:val="Normal"/>
    <w:link w:val="a2"/>
    <w:rsid w:val="00CF04BC"/>
    <w:pPr>
      <w:widowControl w:val="0"/>
      <w:shd w:val="clear" w:color="auto" w:fill="FFFFFF"/>
      <w:overflowPunct/>
      <w:autoSpaceDE/>
      <w:autoSpaceDN/>
      <w:adjustRightInd/>
      <w:spacing w:before="0"/>
      <w:textAlignment w:val="auto"/>
    </w:pPr>
    <w:rPr>
      <w:sz w:val="20"/>
      <w:lang w:val="en-US" w:eastAsia="zh-CN"/>
    </w:rPr>
  </w:style>
  <w:style w:type="character" w:customStyle="1" w:styleId="ArialNarrow12pt0pt">
    <w:name w:val="Основной текст + Arial Narrow;12 pt;Интервал 0 pt"/>
    <w:rsid w:val="00CF04BC"/>
    <w:rPr>
      <w:rFonts w:ascii="Arial Narrow" w:eastAsia="Arial Narrow" w:hAnsi="Arial Narrow" w:cs="Arial Narrow"/>
      <w:color w:val="000000"/>
      <w:spacing w:val="5"/>
      <w:w w:val="100"/>
      <w:position w:val="0"/>
      <w:sz w:val="24"/>
      <w:szCs w:val="24"/>
      <w:shd w:val="clear" w:color="auto" w:fill="FFFFFF"/>
      <w:lang w:val="ru-RU" w:eastAsia="ru-RU" w:bidi="ru-RU"/>
    </w:rPr>
  </w:style>
  <w:style w:type="character" w:customStyle="1" w:styleId="ArialNarrow12pt0pt0">
    <w:name w:val="Основной текст + Arial Narrow;12 pt;Полужирный;Интервал 0 pt"/>
    <w:rsid w:val="00CF04BC"/>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NormalLeft">
    <w:name w:val="Normal + Left"/>
    <w:basedOn w:val="Normal"/>
    <w:rsid w:val="00CF04BC"/>
    <w:pPr>
      <w:overflowPunct/>
      <w:autoSpaceDE/>
      <w:autoSpaceDN/>
      <w:adjustRightInd/>
      <w:spacing w:before="0"/>
      <w:textAlignment w:val="auto"/>
    </w:pPr>
    <w:rPr>
      <w:lang w:val="en-US"/>
    </w:rPr>
  </w:style>
  <w:style w:type="character" w:customStyle="1" w:styleId="FootnoteAnchor">
    <w:name w:val="Footnote Anchor"/>
    <w:rsid w:val="00CF04BC"/>
    <w:rPr>
      <w:vertAlign w:val="superscript"/>
    </w:rPr>
  </w:style>
  <w:style w:type="character" w:customStyle="1" w:styleId="rynqvb">
    <w:name w:val="rynqvb"/>
    <w:basedOn w:val="DefaultParagraphFont"/>
    <w:rsid w:val="00CF04BC"/>
  </w:style>
  <w:style w:type="paragraph" w:customStyle="1" w:styleId="Revision1">
    <w:name w:val="Revision1"/>
    <w:hidden/>
    <w:uiPriority w:val="99"/>
    <w:semiHidden/>
    <w:rsid w:val="00CF04BC"/>
    <w:rPr>
      <w:rFonts w:eastAsiaTheme="minorEastAsia"/>
      <w:sz w:val="24"/>
      <w:lang w:val="en-GB" w:eastAsia="en-US"/>
    </w:rPr>
  </w:style>
  <w:style w:type="character" w:customStyle="1" w:styleId="UnresolvedMention1">
    <w:name w:val="Unresolved Mention1"/>
    <w:basedOn w:val="DefaultParagraphFont"/>
    <w:uiPriority w:val="99"/>
    <w:semiHidden/>
    <w:unhideWhenUsed/>
    <w:rsid w:val="00CF04BC"/>
    <w:rPr>
      <w:color w:val="605E5C"/>
      <w:shd w:val="clear" w:color="auto" w:fill="E1DFDD"/>
    </w:rPr>
  </w:style>
  <w:style w:type="paragraph" w:styleId="Revision">
    <w:name w:val="Revision"/>
    <w:hidden/>
    <w:uiPriority w:val="99"/>
    <w:unhideWhenUsed/>
    <w:rsid w:val="00CF04BC"/>
    <w:rPr>
      <w:rFonts w:eastAsiaTheme="minorEastAsia"/>
      <w:sz w:val="24"/>
      <w:lang w:val="en-GB" w:eastAsia="en-US"/>
    </w:rPr>
  </w:style>
  <w:style w:type="character" w:styleId="UnresolvedMention">
    <w:name w:val="Unresolved Mention"/>
    <w:basedOn w:val="DefaultParagraphFont"/>
    <w:uiPriority w:val="99"/>
    <w:semiHidden/>
    <w:unhideWhenUsed/>
    <w:rsid w:val="00CF04BC"/>
    <w:rPr>
      <w:color w:val="605E5C"/>
      <w:shd w:val="clear" w:color="auto" w:fill="E1DFDD"/>
    </w:rPr>
  </w:style>
  <w:style w:type="paragraph" w:customStyle="1" w:styleId="NormalBold">
    <w:name w:val="Normal + Bold"/>
    <w:aliases w:val="Italic"/>
    <w:basedOn w:val="Normal"/>
    <w:rsid w:val="006144A0"/>
    <w:pPr>
      <w:spacing w:before="80"/>
    </w:pPr>
    <w:rPr>
      <w:b/>
      <w:i/>
      <w:szCs w:val="24"/>
    </w:rPr>
  </w:style>
  <w:style w:type="character" w:styleId="CommentReference">
    <w:name w:val="annotation reference"/>
    <w:basedOn w:val="DefaultParagraphFont"/>
    <w:semiHidden/>
    <w:unhideWhenUsed/>
    <w:rsid w:val="005F1CA3"/>
    <w:rPr>
      <w:sz w:val="16"/>
      <w:szCs w:val="16"/>
    </w:rPr>
  </w:style>
  <w:style w:type="paragraph" w:styleId="CommentText">
    <w:name w:val="annotation text"/>
    <w:basedOn w:val="Normal"/>
    <w:link w:val="CommentTextChar"/>
    <w:unhideWhenUsed/>
    <w:rsid w:val="005F1CA3"/>
    <w:rPr>
      <w:sz w:val="20"/>
    </w:rPr>
  </w:style>
  <w:style w:type="character" w:customStyle="1" w:styleId="CommentTextChar">
    <w:name w:val="Comment Text Char"/>
    <w:basedOn w:val="DefaultParagraphFont"/>
    <w:link w:val="CommentText"/>
    <w:rsid w:val="005F1CA3"/>
    <w:rPr>
      <w:lang w:val="en-GB" w:eastAsia="en-US"/>
    </w:rPr>
  </w:style>
  <w:style w:type="paragraph" w:styleId="CommentSubject">
    <w:name w:val="annotation subject"/>
    <w:basedOn w:val="CommentText"/>
    <w:next w:val="CommentText"/>
    <w:link w:val="CommentSubjectChar"/>
    <w:semiHidden/>
    <w:unhideWhenUsed/>
    <w:rsid w:val="005F1CA3"/>
    <w:rPr>
      <w:b/>
      <w:bCs/>
    </w:rPr>
  </w:style>
  <w:style w:type="character" w:customStyle="1" w:styleId="CommentSubjectChar">
    <w:name w:val="Comment Subject Char"/>
    <w:basedOn w:val="CommentTextChar"/>
    <w:link w:val="CommentSubject"/>
    <w:semiHidden/>
    <w:rsid w:val="005F1CA3"/>
    <w:rPr>
      <w:b/>
      <w:bCs/>
      <w:lang w:val="en-GB" w:eastAsia="en-US"/>
    </w:rPr>
  </w:style>
  <w:style w:type="paragraph" w:customStyle="1" w:styleId="StyleChapNoNotBold">
    <w:name w:val="Style Chap_No + Not Bold"/>
    <w:basedOn w:val="ChapNo"/>
    <w:rsid w:val="00D25898"/>
    <w:pPr>
      <w:outlineLvl w:val="0"/>
    </w:pPr>
    <w:rPr>
      <w:b w:val="0"/>
    </w:rPr>
  </w:style>
  <w:style w:type="paragraph" w:customStyle="1" w:styleId="StyleChapNoNotBold1">
    <w:name w:val="Style Chap_No + Not Bold1"/>
    <w:basedOn w:val="ChapNo"/>
    <w:rsid w:val="00F63AE2"/>
    <w:pPr>
      <w:outlineLvl w:val="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header" Target="header8.xml"/><Relationship Id="rId42" Type="http://schemas.openxmlformats.org/officeDocument/2006/relationships/image" Target="media/image14.png"/><Relationship Id="rId63" Type="http://schemas.openxmlformats.org/officeDocument/2006/relationships/oleObject" Target="embeddings/oleObject18.bin"/><Relationship Id="rId84" Type="http://schemas.openxmlformats.org/officeDocument/2006/relationships/image" Target="media/image36.png"/><Relationship Id="rId138" Type="http://schemas.openxmlformats.org/officeDocument/2006/relationships/oleObject" Target="embeddings/oleObject52.bin"/><Relationship Id="rId159" Type="http://schemas.openxmlformats.org/officeDocument/2006/relationships/image" Target="media/image73.emf"/><Relationship Id="rId170" Type="http://schemas.openxmlformats.org/officeDocument/2006/relationships/oleObject" Target="embeddings/oleObject67.bin"/><Relationship Id="rId191" Type="http://schemas.openxmlformats.org/officeDocument/2006/relationships/image" Target="media/image86.wmf"/><Relationship Id="rId205" Type="http://schemas.openxmlformats.org/officeDocument/2006/relationships/image" Target="media/image93.wmf"/><Relationship Id="rId226" Type="http://schemas.openxmlformats.org/officeDocument/2006/relationships/oleObject" Target="embeddings/oleObject93.bin"/><Relationship Id="rId247" Type="http://schemas.openxmlformats.org/officeDocument/2006/relationships/hyperlink" Target="https://www.fcc.gov/general/public-safety-frequency-coordinators" TargetMode="External"/><Relationship Id="rId107" Type="http://schemas.openxmlformats.org/officeDocument/2006/relationships/image" Target="media/image47.wmf"/><Relationship Id="rId11" Type="http://schemas.openxmlformats.org/officeDocument/2006/relationships/header" Target="header3.xml"/><Relationship Id="rId32" Type="http://schemas.openxmlformats.org/officeDocument/2006/relationships/oleObject" Target="embeddings/oleObject4.bin"/><Relationship Id="rId53" Type="http://schemas.openxmlformats.org/officeDocument/2006/relationships/oleObject" Target="embeddings/oleObject13.bin"/><Relationship Id="rId74" Type="http://schemas.openxmlformats.org/officeDocument/2006/relationships/oleObject" Target="embeddings/oleObject24.bin"/><Relationship Id="rId128" Type="http://schemas.openxmlformats.org/officeDocument/2006/relationships/oleObject" Target="embeddings/oleObject47.bin"/><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oleObject" Target="embeddings/oleObject63.bin"/><Relationship Id="rId181" Type="http://schemas.openxmlformats.org/officeDocument/2006/relationships/image" Target="media/image83.wmf"/><Relationship Id="rId216" Type="http://schemas.openxmlformats.org/officeDocument/2006/relationships/oleObject" Target="embeddings/oleObject88.bin"/><Relationship Id="rId237" Type="http://schemas.openxmlformats.org/officeDocument/2006/relationships/oleObject" Target="embeddings/oleObject97.bin"/><Relationship Id="rId22" Type="http://schemas.openxmlformats.org/officeDocument/2006/relationships/header" Target="header9.xml"/><Relationship Id="rId43" Type="http://schemas.openxmlformats.org/officeDocument/2006/relationships/image" Target="media/image15.wmf"/><Relationship Id="rId64" Type="http://schemas.openxmlformats.org/officeDocument/2006/relationships/image" Target="media/image25.wmf"/><Relationship Id="rId118" Type="http://schemas.openxmlformats.org/officeDocument/2006/relationships/oleObject" Target="embeddings/oleObject42.bin"/><Relationship Id="rId139" Type="http://schemas.openxmlformats.org/officeDocument/2006/relationships/image" Target="media/image63.wmf"/><Relationship Id="rId85" Type="http://schemas.openxmlformats.org/officeDocument/2006/relationships/image" Target="media/image37.wmf"/><Relationship Id="rId150" Type="http://schemas.openxmlformats.org/officeDocument/2006/relationships/oleObject" Target="embeddings/oleObject58.bin"/><Relationship Id="rId171" Type="http://schemas.openxmlformats.org/officeDocument/2006/relationships/image" Target="media/image78.wmf"/><Relationship Id="rId192" Type="http://schemas.openxmlformats.org/officeDocument/2006/relationships/oleObject" Target="embeddings/oleObject76.bin"/><Relationship Id="rId206" Type="http://schemas.openxmlformats.org/officeDocument/2006/relationships/oleObject" Target="embeddings/oleObject83.bin"/><Relationship Id="rId227" Type="http://schemas.openxmlformats.org/officeDocument/2006/relationships/image" Target="media/image104.wmf"/><Relationship Id="rId248" Type="http://schemas.openxmlformats.org/officeDocument/2006/relationships/hyperlink" Target="https://www.amazon.com/Radio-Spectrum-Management-Regulations-Techniques/dp/1118511794" TargetMode="External"/><Relationship Id="rId12" Type="http://schemas.openxmlformats.org/officeDocument/2006/relationships/hyperlink" Target="https://www.itu.int/ITU-R/go/patents/en" TargetMode="External"/><Relationship Id="rId33" Type="http://schemas.openxmlformats.org/officeDocument/2006/relationships/image" Target="media/image8.wmf"/><Relationship Id="rId108" Type="http://schemas.openxmlformats.org/officeDocument/2006/relationships/oleObject" Target="embeddings/oleObject37.bin"/><Relationship Id="rId129" Type="http://schemas.openxmlformats.org/officeDocument/2006/relationships/image" Target="media/image58.wmf"/><Relationship Id="rId54" Type="http://schemas.openxmlformats.org/officeDocument/2006/relationships/image" Target="media/image20.wmf"/><Relationship Id="rId75" Type="http://schemas.openxmlformats.org/officeDocument/2006/relationships/image" Target="media/image30.wmf"/><Relationship Id="rId96" Type="http://schemas.openxmlformats.org/officeDocument/2006/relationships/oleObject" Target="embeddings/oleObject31.bin"/><Relationship Id="rId140" Type="http://schemas.openxmlformats.org/officeDocument/2006/relationships/oleObject" Target="embeddings/oleObject53.bin"/><Relationship Id="rId161" Type="http://schemas.openxmlformats.org/officeDocument/2006/relationships/hyperlink" Target="https://www.fcc.gov/auctions" TargetMode="External"/><Relationship Id="rId182" Type="http://schemas.openxmlformats.org/officeDocument/2006/relationships/oleObject" Target="embeddings/oleObject73.bin"/><Relationship Id="rId217" Type="http://schemas.openxmlformats.org/officeDocument/2006/relationships/image" Target="media/image99.wmf"/><Relationship Id="rId6" Type="http://schemas.openxmlformats.org/officeDocument/2006/relationships/footnotes" Target="footnotes.xml"/><Relationship Id="rId238" Type="http://schemas.openxmlformats.org/officeDocument/2006/relationships/image" Target="media/image108.wmf"/><Relationship Id="rId23" Type="http://schemas.openxmlformats.org/officeDocument/2006/relationships/footer" Target="footer4.xml"/><Relationship Id="rId119" Type="http://schemas.openxmlformats.org/officeDocument/2006/relationships/image" Target="media/image53.wmf"/><Relationship Id="rId44" Type="http://schemas.openxmlformats.org/officeDocument/2006/relationships/oleObject" Target="embeddings/oleObject8.bin"/><Relationship Id="rId65" Type="http://schemas.openxmlformats.org/officeDocument/2006/relationships/oleObject" Target="embeddings/oleObject19.bin"/><Relationship Id="rId86" Type="http://schemas.openxmlformats.org/officeDocument/2006/relationships/oleObject" Target="embeddings/oleObject28.bin"/><Relationship Id="rId130" Type="http://schemas.openxmlformats.org/officeDocument/2006/relationships/oleObject" Target="embeddings/oleObject48.bin"/><Relationship Id="rId151" Type="http://schemas.openxmlformats.org/officeDocument/2006/relationships/image" Target="media/image69.wmf"/><Relationship Id="rId172" Type="http://schemas.openxmlformats.org/officeDocument/2006/relationships/oleObject" Target="embeddings/oleObject68.bin"/><Relationship Id="rId193" Type="http://schemas.openxmlformats.org/officeDocument/2006/relationships/image" Target="media/image87.wmf"/><Relationship Id="rId207" Type="http://schemas.openxmlformats.org/officeDocument/2006/relationships/image" Target="media/image94.wmf"/><Relationship Id="rId228" Type="http://schemas.openxmlformats.org/officeDocument/2006/relationships/oleObject" Target="embeddings/oleObject94.bin"/><Relationship Id="rId249" Type="http://schemas.openxmlformats.org/officeDocument/2006/relationships/hyperlink" Target="http://www.itu.int/en/ITU-D/Spectrum-Broadcasting/Documents/Publications/Guidelines_SpectrumFees_Final_E.pdf" TargetMode="External"/><Relationship Id="rId13" Type="http://schemas.openxmlformats.org/officeDocument/2006/relationships/hyperlink" Target="https://www.itu.int/publ/R-REP/en" TargetMode="External"/><Relationship Id="rId109" Type="http://schemas.openxmlformats.org/officeDocument/2006/relationships/image" Target="media/image48.wmf"/><Relationship Id="rId34" Type="http://schemas.openxmlformats.org/officeDocument/2006/relationships/oleObject" Target="embeddings/oleObject5.bin"/><Relationship Id="rId55" Type="http://schemas.openxmlformats.org/officeDocument/2006/relationships/oleObject" Target="embeddings/oleObject14.bin"/><Relationship Id="rId76" Type="http://schemas.openxmlformats.org/officeDocument/2006/relationships/oleObject" Target="embeddings/oleObject25.bin"/><Relationship Id="rId97" Type="http://schemas.openxmlformats.org/officeDocument/2006/relationships/image" Target="media/image42.wmf"/><Relationship Id="rId120" Type="http://schemas.openxmlformats.org/officeDocument/2006/relationships/oleObject" Target="embeddings/oleObject43.bin"/><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hyperlink" Target="https://dot.gov.in/sites/default/files/Notice%20Inviting%20Applications%202023-24.pdf" TargetMode="External"/><Relationship Id="rId183" Type="http://schemas.openxmlformats.org/officeDocument/2006/relationships/image" Target="media/image84.emf"/><Relationship Id="rId218" Type="http://schemas.openxmlformats.org/officeDocument/2006/relationships/oleObject" Target="embeddings/oleObject89.bin"/><Relationship Id="rId239" Type="http://schemas.openxmlformats.org/officeDocument/2006/relationships/oleObject" Target="embeddings/oleObject98.bin"/><Relationship Id="rId250" Type="http://schemas.openxmlformats.org/officeDocument/2006/relationships/header" Target="header10.xml"/><Relationship Id="rId24" Type="http://schemas.openxmlformats.org/officeDocument/2006/relationships/hyperlink" Target="http://www.itu.int/ITU-D/tech/spectrum_management/docs/MODEL_FULL.pdf" TargetMode="External"/><Relationship Id="rId45" Type="http://schemas.openxmlformats.org/officeDocument/2006/relationships/image" Target="media/image16.wmf"/><Relationship Id="rId66" Type="http://schemas.openxmlformats.org/officeDocument/2006/relationships/image" Target="media/image26.wmf"/><Relationship Id="rId87" Type="http://schemas.openxmlformats.org/officeDocument/2006/relationships/image" Target="media/image38.wmf"/><Relationship Id="rId110" Type="http://schemas.openxmlformats.org/officeDocument/2006/relationships/oleObject" Target="embeddings/oleObject38.bin"/><Relationship Id="rId131" Type="http://schemas.openxmlformats.org/officeDocument/2006/relationships/image" Target="media/image59.wmf"/><Relationship Id="rId152" Type="http://schemas.openxmlformats.org/officeDocument/2006/relationships/oleObject" Target="embeddings/oleObject59.bin"/><Relationship Id="rId173" Type="http://schemas.openxmlformats.org/officeDocument/2006/relationships/image" Target="media/image79.wmf"/><Relationship Id="rId194" Type="http://schemas.openxmlformats.org/officeDocument/2006/relationships/oleObject" Target="embeddings/oleObject77.bin"/><Relationship Id="rId208" Type="http://schemas.openxmlformats.org/officeDocument/2006/relationships/oleObject" Target="embeddings/oleObject84.bin"/><Relationship Id="rId229" Type="http://schemas.openxmlformats.org/officeDocument/2006/relationships/image" Target="media/image105.wmf"/><Relationship Id="rId240" Type="http://schemas.openxmlformats.org/officeDocument/2006/relationships/image" Target="media/image109.wmf"/><Relationship Id="rId14" Type="http://schemas.openxmlformats.org/officeDocument/2006/relationships/header" Target="header4.xml"/><Relationship Id="rId35" Type="http://schemas.openxmlformats.org/officeDocument/2006/relationships/image" Target="media/image9.emf"/><Relationship Id="rId56" Type="http://schemas.openxmlformats.org/officeDocument/2006/relationships/image" Target="media/image21.wmf"/><Relationship Id="rId77" Type="http://schemas.openxmlformats.org/officeDocument/2006/relationships/image" Target="media/image31.wmf"/><Relationship Id="rId100" Type="http://schemas.openxmlformats.org/officeDocument/2006/relationships/oleObject" Target="embeddings/oleObject33.bin"/><Relationship Id="rId8" Type="http://schemas.openxmlformats.org/officeDocument/2006/relationships/header" Target="header1.xml"/><Relationship Id="rId98" Type="http://schemas.openxmlformats.org/officeDocument/2006/relationships/oleObject" Target="embeddings/oleObject32.bin"/><Relationship Id="rId121" Type="http://schemas.openxmlformats.org/officeDocument/2006/relationships/image" Target="media/image54.wmf"/><Relationship Id="rId142" Type="http://schemas.openxmlformats.org/officeDocument/2006/relationships/oleObject" Target="embeddings/oleObject54.bin"/><Relationship Id="rId163" Type="http://schemas.openxmlformats.org/officeDocument/2006/relationships/image" Target="media/image74.wmf"/><Relationship Id="rId184" Type="http://schemas.openxmlformats.org/officeDocument/2006/relationships/oleObject" Target="embeddings/oleObject74.bin"/><Relationship Id="rId219" Type="http://schemas.openxmlformats.org/officeDocument/2006/relationships/image" Target="media/image100.wmf"/><Relationship Id="rId230" Type="http://schemas.openxmlformats.org/officeDocument/2006/relationships/oleObject" Target="embeddings/oleObject95.bin"/><Relationship Id="rId251" Type="http://schemas.openxmlformats.org/officeDocument/2006/relationships/header" Target="header11.xml"/><Relationship Id="rId25" Type="http://schemas.openxmlformats.org/officeDocument/2006/relationships/image" Target="media/image4.wmf"/><Relationship Id="rId46" Type="http://schemas.openxmlformats.org/officeDocument/2006/relationships/oleObject" Target="embeddings/oleObject9.bin"/><Relationship Id="rId67" Type="http://schemas.openxmlformats.org/officeDocument/2006/relationships/oleObject" Target="embeddings/oleObject20.bin"/><Relationship Id="rId88" Type="http://schemas.openxmlformats.org/officeDocument/2006/relationships/oleObject" Target="embeddings/oleObject29.bin"/><Relationship Id="rId111" Type="http://schemas.openxmlformats.org/officeDocument/2006/relationships/image" Target="media/image49.wmf"/><Relationship Id="rId132" Type="http://schemas.openxmlformats.org/officeDocument/2006/relationships/oleObject" Target="embeddings/oleObject49.bin"/><Relationship Id="rId153" Type="http://schemas.openxmlformats.org/officeDocument/2006/relationships/image" Target="media/image70.wmf"/><Relationship Id="rId174" Type="http://schemas.openxmlformats.org/officeDocument/2006/relationships/oleObject" Target="embeddings/oleObject69.bin"/><Relationship Id="rId195" Type="http://schemas.openxmlformats.org/officeDocument/2006/relationships/image" Target="media/image88.wmf"/><Relationship Id="rId209" Type="http://schemas.openxmlformats.org/officeDocument/2006/relationships/image" Target="media/image95.wmf"/><Relationship Id="rId220" Type="http://schemas.openxmlformats.org/officeDocument/2006/relationships/oleObject" Target="embeddings/oleObject90.bin"/><Relationship Id="rId241" Type="http://schemas.openxmlformats.org/officeDocument/2006/relationships/oleObject" Target="embeddings/oleObject99.bin"/><Relationship Id="rId15" Type="http://schemas.openxmlformats.org/officeDocument/2006/relationships/header" Target="header5.xml"/><Relationship Id="rId36" Type="http://schemas.openxmlformats.org/officeDocument/2006/relationships/oleObject" Target="embeddings/oleObject6.bin"/><Relationship Id="rId57" Type="http://schemas.openxmlformats.org/officeDocument/2006/relationships/oleObject" Target="embeddings/oleObject15.bin"/><Relationship Id="rId78" Type="http://schemas.openxmlformats.org/officeDocument/2006/relationships/oleObject" Target="embeddings/oleObject26.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44.bin"/><Relationship Id="rId143" Type="http://schemas.openxmlformats.org/officeDocument/2006/relationships/image" Target="media/image65.wmf"/><Relationship Id="rId164" Type="http://schemas.openxmlformats.org/officeDocument/2006/relationships/oleObject" Target="embeddings/oleObject64.bin"/><Relationship Id="rId185" Type="http://schemas.openxmlformats.org/officeDocument/2006/relationships/chart" Target="charts/chart1.xml"/><Relationship Id="rId9" Type="http://schemas.openxmlformats.org/officeDocument/2006/relationships/header" Target="header2.xml"/><Relationship Id="rId210" Type="http://schemas.openxmlformats.org/officeDocument/2006/relationships/oleObject" Target="embeddings/oleObject85.bin"/><Relationship Id="rId26" Type="http://schemas.openxmlformats.org/officeDocument/2006/relationships/oleObject" Target="embeddings/oleObject1.bin"/><Relationship Id="rId231" Type="http://schemas.openxmlformats.org/officeDocument/2006/relationships/hyperlink" Target="http://www.ofcom.org.uk/research/radiocomms/reports/policy_report/evaluation_report_AIP.pdf" TargetMode="External"/><Relationship Id="rId252" Type="http://schemas.openxmlformats.org/officeDocument/2006/relationships/fontTable" Target="fontTable.xml"/><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image" Target="media/image39.wmf"/><Relationship Id="rId112" Type="http://schemas.openxmlformats.org/officeDocument/2006/relationships/oleObject" Target="embeddings/oleObject39.bin"/><Relationship Id="rId133" Type="http://schemas.openxmlformats.org/officeDocument/2006/relationships/image" Target="media/image60.wmf"/><Relationship Id="rId154" Type="http://schemas.openxmlformats.org/officeDocument/2006/relationships/oleObject" Target="embeddings/oleObject60.bin"/><Relationship Id="rId175" Type="http://schemas.openxmlformats.org/officeDocument/2006/relationships/image" Target="media/image80.wmf"/><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image" Target="media/image3.png"/><Relationship Id="rId221" Type="http://schemas.openxmlformats.org/officeDocument/2006/relationships/image" Target="media/image101.wmf"/><Relationship Id="rId242" Type="http://schemas.openxmlformats.org/officeDocument/2006/relationships/oleObject" Target="embeddings/oleObject100.bin"/><Relationship Id="rId37" Type="http://schemas.openxmlformats.org/officeDocument/2006/relationships/image" Target="media/image10.png"/><Relationship Id="rId58" Type="http://schemas.openxmlformats.org/officeDocument/2006/relationships/image" Target="media/image22.wmf"/><Relationship Id="rId79" Type="http://schemas.openxmlformats.org/officeDocument/2006/relationships/image" Target="media/image32.wmf"/><Relationship Id="rId102" Type="http://schemas.openxmlformats.org/officeDocument/2006/relationships/oleObject" Target="embeddings/oleObject34.bin"/><Relationship Id="rId123" Type="http://schemas.openxmlformats.org/officeDocument/2006/relationships/image" Target="media/image55.wmf"/><Relationship Id="rId144" Type="http://schemas.openxmlformats.org/officeDocument/2006/relationships/oleObject" Target="embeddings/oleObject55.bin"/><Relationship Id="rId90" Type="http://schemas.openxmlformats.org/officeDocument/2006/relationships/oleObject" Target="embeddings/oleObject30.bin"/><Relationship Id="rId165" Type="http://schemas.openxmlformats.org/officeDocument/2006/relationships/image" Target="media/image75.wmf"/><Relationship Id="rId186" Type="http://schemas.openxmlformats.org/officeDocument/2006/relationships/chart" Target="charts/chart2.xml"/><Relationship Id="rId211" Type="http://schemas.openxmlformats.org/officeDocument/2006/relationships/image" Target="media/image96.wmf"/><Relationship Id="rId232" Type="http://schemas.openxmlformats.org/officeDocument/2006/relationships/hyperlink" Target="https://www.fcc.gov/licensing-databases/fees/application-processing-fees" TargetMode="External"/><Relationship Id="rId253" Type="http://schemas.openxmlformats.org/officeDocument/2006/relationships/theme" Target="theme/theme1.xml"/><Relationship Id="rId27" Type="http://schemas.openxmlformats.org/officeDocument/2006/relationships/image" Target="media/image5.wmf"/><Relationship Id="rId48" Type="http://schemas.openxmlformats.org/officeDocument/2006/relationships/oleObject" Target="embeddings/oleObject10.bin"/><Relationship Id="rId69" Type="http://schemas.openxmlformats.org/officeDocument/2006/relationships/oleObject" Target="embeddings/oleObject21.bin"/><Relationship Id="rId113" Type="http://schemas.openxmlformats.org/officeDocument/2006/relationships/image" Target="media/image50.wmf"/><Relationship Id="rId134" Type="http://schemas.openxmlformats.org/officeDocument/2006/relationships/oleObject" Target="embeddings/oleObject50.bin"/><Relationship Id="rId80" Type="http://schemas.openxmlformats.org/officeDocument/2006/relationships/oleObject" Target="embeddings/oleObject27.bin"/><Relationship Id="rId155" Type="http://schemas.openxmlformats.org/officeDocument/2006/relationships/image" Target="media/image71.wmf"/><Relationship Id="rId176" Type="http://schemas.openxmlformats.org/officeDocument/2006/relationships/oleObject" Target="embeddings/oleObject70.bin"/><Relationship Id="rId197" Type="http://schemas.openxmlformats.org/officeDocument/2006/relationships/image" Target="media/image89.wmf"/><Relationship Id="rId201" Type="http://schemas.openxmlformats.org/officeDocument/2006/relationships/image" Target="media/image91.wmf"/><Relationship Id="rId222" Type="http://schemas.openxmlformats.org/officeDocument/2006/relationships/oleObject" Target="embeddings/oleObject91.bin"/><Relationship Id="rId243" Type="http://schemas.openxmlformats.org/officeDocument/2006/relationships/image" Target="media/image110.png"/><Relationship Id="rId17" Type="http://schemas.openxmlformats.org/officeDocument/2006/relationships/header" Target="header6.xml"/><Relationship Id="rId38" Type="http://schemas.openxmlformats.org/officeDocument/2006/relationships/image" Target="media/image11.png"/><Relationship Id="rId59" Type="http://schemas.openxmlformats.org/officeDocument/2006/relationships/oleObject" Target="embeddings/oleObject16.bin"/><Relationship Id="rId103" Type="http://schemas.openxmlformats.org/officeDocument/2006/relationships/image" Target="media/image45.wmf"/><Relationship Id="rId124" Type="http://schemas.openxmlformats.org/officeDocument/2006/relationships/oleObject" Target="embeddings/oleObject45.bin"/><Relationship Id="rId70" Type="http://schemas.openxmlformats.org/officeDocument/2006/relationships/image" Target="media/image28.wmf"/><Relationship Id="rId91" Type="http://schemas.openxmlformats.org/officeDocument/2006/relationships/hyperlink" Target="https://www.itu.int/rec/R-REC-P.2040-1-201507-I/en" TargetMode="External"/><Relationship Id="rId145" Type="http://schemas.openxmlformats.org/officeDocument/2006/relationships/image" Target="media/image66.emf"/><Relationship Id="rId166" Type="http://schemas.openxmlformats.org/officeDocument/2006/relationships/oleObject" Target="embeddings/oleObject65.bin"/><Relationship Id="rId187" Type="http://schemas.openxmlformats.org/officeDocument/2006/relationships/chart" Target="charts/chart3.xml"/><Relationship Id="rId1" Type="http://schemas.openxmlformats.org/officeDocument/2006/relationships/customXml" Target="../customXml/item1.xml"/><Relationship Id="rId212" Type="http://schemas.openxmlformats.org/officeDocument/2006/relationships/oleObject" Target="embeddings/oleObject86.bin"/><Relationship Id="rId233" Type="http://schemas.openxmlformats.org/officeDocument/2006/relationships/hyperlink" Target="https://www.ecfr.gov/current/title-47/chapter-I/subchapter-A/part-1/subpart-A/subject-group-ECFRe23796df9028e47/section-1.80" TargetMode="External"/><Relationship Id="rId28" Type="http://schemas.openxmlformats.org/officeDocument/2006/relationships/oleObject" Target="embeddings/oleObject2.bin"/><Relationship Id="rId49" Type="http://schemas.openxmlformats.org/officeDocument/2006/relationships/oleObject" Target="embeddings/oleObject11.bin"/><Relationship Id="rId114" Type="http://schemas.openxmlformats.org/officeDocument/2006/relationships/oleObject" Target="embeddings/oleObject40.bin"/><Relationship Id="rId60" Type="http://schemas.openxmlformats.org/officeDocument/2006/relationships/image" Target="media/image23.wmf"/><Relationship Id="rId81" Type="http://schemas.openxmlformats.org/officeDocument/2006/relationships/image" Target="media/image33.png"/><Relationship Id="rId135" Type="http://schemas.openxmlformats.org/officeDocument/2006/relationships/image" Target="media/image61.wmf"/><Relationship Id="rId156" Type="http://schemas.openxmlformats.org/officeDocument/2006/relationships/oleObject" Target="embeddings/oleObject61.bin"/><Relationship Id="rId177" Type="http://schemas.openxmlformats.org/officeDocument/2006/relationships/image" Target="media/image81.wmf"/><Relationship Id="rId198" Type="http://schemas.openxmlformats.org/officeDocument/2006/relationships/oleObject" Target="embeddings/oleObject79.bin"/><Relationship Id="rId202" Type="http://schemas.openxmlformats.org/officeDocument/2006/relationships/oleObject" Target="embeddings/oleObject81.bin"/><Relationship Id="rId223" Type="http://schemas.openxmlformats.org/officeDocument/2006/relationships/image" Target="media/image102.wmf"/><Relationship Id="rId244" Type="http://schemas.openxmlformats.org/officeDocument/2006/relationships/image" Target="media/image111.png"/><Relationship Id="rId18" Type="http://schemas.openxmlformats.org/officeDocument/2006/relationships/header" Target="header7.xml"/><Relationship Id="rId39" Type="http://schemas.openxmlformats.org/officeDocument/2006/relationships/image" Target="media/image12.wmf"/><Relationship Id="rId50" Type="http://schemas.openxmlformats.org/officeDocument/2006/relationships/image" Target="media/image18.wmf"/><Relationship Id="rId104" Type="http://schemas.openxmlformats.org/officeDocument/2006/relationships/oleObject" Target="embeddings/oleObject35.bin"/><Relationship Id="rId125" Type="http://schemas.openxmlformats.org/officeDocument/2006/relationships/image" Target="media/image56.wmf"/><Relationship Id="rId146" Type="http://schemas.openxmlformats.org/officeDocument/2006/relationships/oleObject" Target="embeddings/oleObject56.bin"/><Relationship Id="rId167" Type="http://schemas.openxmlformats.org/officeDocument/2006/relationships/image" Target="media/image76.wmf"/><Relationship Id="rId188" Type="http://schemas.openxmlformats.org/officeDocument/2006/relationships/hyperlink" Target="http://www.multitran.ru/c/m.exe?t=5846411_1_2&amp;s1=%D1%EE%E1%F0%E0%ED%E8%E5%20%E7%E0%EA%EE%ED%EE%E4%E0%F2%E5%EB%FC%F1%F2%E2%E0" TargetMode="External"/><Relationship Id="rId71" Type="http://schemas.openxmlformats.org/officeDocument/2006/relationships/oleObject" Target="embeddings/oleObject22.bin"/><Relationship Id="rId92" Type="http://schemas.openxmlformats.org/officeDocument/2006/relationships/hyperlink" Target="https://www.itu.int/rec/R-REC-P.2109-0-201706-I/en" TargetMode="External"/><Relationship Id="rId213" Type="http://schemas.openxmlformats.org/officeDocument/2006/relationships/image" Target="media/image97.wmf"/><Relationship Id="rId234"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image" Target="media/image6.wmf"/><Relationship Id="rId40" Type="http://schemas.openxmlformats.org/officeDocument/2006/relationships/oleObject" Target="embeddings/oleObject7.bin"/><Relationship Id="rId115" Type="http://schemas.openxmlformats.org/officeDocument/2006/relationships/image" Target="media/image51.wmf"/><Relationship Id="rId136" Type="http://schemas.openxmlformats.org/officeDocument/2006/relationships/oleObject" Target="embeddings/oleObject51.bin"/><Relationship Id="rId157" Type="http://schemas.openxmlformats.org/officeDocument/2006/relationships/image" Target="media/image72.wmf"/><Relationship Id="rId178" Type="http://schemas.openxmlformats.org/officeDocument/2006/relationships/oleObject" Target="embeddings/oleObject71.bin"/><Relationship Id="rId61" Type="http://schemas.openxmlformats.org/officeDocument/2006/relationships/oleObject" Target="embeddings/oleObject17.bin"/><Relationship Id="rId82" Type="http://schemas.openxmlformats.org/officeDocument/2006/relationships/image" Target="media/image34.png"/><Relationship Id="rId199" Type="http://schemas.openxmlformats.org/officeDocument/2006/relationships/image" Target="media/image90.wmf"/><Relationship Id="rId203" Type="http://schemas.openxmlformats.org/officeDocument/2006/relationships/image" Target="media/image92.wmf"/><Relationship Id="rId19" Type="http://schemas.openxmlformats.org/officeDocument/2006/relationships/footer" Target="footer2.xml"/><Relationship Id="rId224" Type="http://schemas.openxmlformats.org/officeDocument/2006/relationships/oleObject" Target="embeddings/oleObject92.bin"/><Relationship Id="rId245" Type="http://schemas.openxmlformats.org/officeDocument/2006/relationships/image" Target="media/image112.png"/><Relationship Id="rId30" Type="http://schemas.openxmlformats.org/officeDocument/2006/relationships/oleObject" Target="embeddings/oleObject3.bin"/><Relationship Id="rId105" Type="http://schemas.openxmlformats.org/officeDocument/2006/relationships/image" Target="media/image46.wmf"/><Relationship Id="rId126" Type="http://schemas.openxmlformats.org/officeDocument/2006/relationships/oleObject" Target="embeddings/oleObject46.bin"/><Relationship Id="rId147" Type="http://schemas.openxmlformats.org/officeDocument/2006/relationships/image" Target="media/image67.wmf"/><Relationship Id="rId168" Type="http://schemas.openxmlformats.org/officeDocument/2006/relationships/oleObject" Target="embeddings/oleObject66.bin"/><Relationship Id="rId51" Type="http://schemas.openxmlformats.org/officeDocument/2006/relationships/oleObject" Target="embeddings/oleObject12.bin"/><Relationship Id="rId72" Type="http://schemas.openxmlformats.org/officeDocument/2006/relationships/oleObject" Target="embeddings/oleObject23.bin"/><Relationship Id="rId93" Type="http://schemas.openxmlformats.org/officeDocument/2006/relationships/hyperlink" Target="https://www.itu.int/pub/R-REP-P/publications.aspx?lang=en&amp;parent=R-REP-P.2346" TargetMode="External"/><Relationship Id="rId189" Type="http://schemas.openxmlformats.org/officeDocument/2006/relationships/image" Target="media/image85.wmf"/><Relationship Id="rId3" Type="http://schemas.openxmlformats.org/officeDocument/2006/relationships/styles" Target="styles.xml"/><Relationship Id="rId214" Type="http://schemas.openxmlformats.org/officeDocument/2006/relationships/oleObject" Target="embeddings/oleObject87.bin"/><Relationship Id="rId235" Type="http://schemas.openxmlformats.org/officeDocument/2006/relationships/oleObject" Target="embeddings/oleObject96.bin"/><Relationship Id="rId116" Type="http://schemas.openxmlformats.org/officeDocument/2006/relationships/oleObject" Target="embeddings/oleObject41.bin"/><Relationship Id="rId137" Type="http://schemas.openxmlformats.org/officeDocument/2006/relationships/image" Target="media/image62.wmf"/><Relationship Id="rId158" Type="http://schemas.openxmlformats.org/officeDocument/2006/relationships/oleObject" Target="embeddings/oleObject62.bin"/><Relationship Id="rId20" Type="http://schemas.openxmlformats.org/officeDocument/2006/relationships/footer" Target="footer3.xml"/><Relationship Id="rId41" Type="http://schemas.openxmlformats.org/officeDocument/2006/relationships/image" Target="media/image13.png"/><Relationship Id="rId62" Type="http://schemas.openxmlformats.org/officeDocument/2006/relationships/image" Target="media/image24.wmf"/><Relationship Id="rId83" Type="http://schemas.openxmlformats.org/officeDocument/2006/relationships/image" Target="media/image35.png"/><Relationship Id="rId179" Type="http://schemas.openxmlformats.org/officeDocument/2006/relationships/image" Target="media/image82.wmf"/><Relationship Id="rId190" Type="http://schemas.openxmlformats.org/officeDocument/2006/relationships/oleObject" Target="embeddings/oleObject75.bin"/><Relationship Id="rId204" Type="http://schemas.openxmlformats.org/officeDocument/2006/relationships/oleObject" Target="embeddings/oleObject82.bin"/><Relationship Id="rId225" Type="http://schemas.openxmlformats.org/officeDocument/2006/relationships/image" Target="media/image103.wmf"/><Relationship Id="rId246" Type="http://schemas.openxmlformats.org/officeDocument/2006/relationships/hyperlink" Target="https://www.fcc.gov/about-fcc/advisory-committees-fcc" TargetMode="External"/><Relationship Id="rId106" Type="http://schemas.openxmlformats.org/officeDocument/2006/relationships/oleObject" Target="embeddings/oleObject36.bin"/><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image" Target="media/image7.wmf"/><Relationship Id="rId52" Type="http://schemas.openxmlformats.org/officeDocument/2006/relationships/image" Target="media/image19.wmf"/><Relationship Id="rId73" Type="http://schemas.openxmlformats.org/officeDocument/2006/relationships/image" Target="media/image29.wmf"/><Relationship Id="rId94" Type="http://schemas.openxmlformats.org/officeDocument/2006/relationships/image" Target="media/image40.png"/><Relationship Id="rId148" Type="http://schemas.openxmlformats.org/officeDocument/2006/relationships/oleObject" Target="embeddings/oleObject57.bin"/><Relationship Id="rId169" Type="http://schemas.openxmlformats.org/officeDocument/2006/relationships/image" Target="media/image77.wmf"/><Relationship Id="rId4" Type="http://schemas.openxmlformats.org/officeDocument/2006/relationships/settings" Target="settings.xml"/><Relationship Id="rId180" Type="http://schemas.openxmlformats.org/officeDocument/2006/relationships/oleObject" Target="embeddings/oleObject72.bin"/><Relationship Id="rId215" Type="http://schemas.openxmlformats.org/officeDocument/2006/relationships/image" Target="media/image98.wmf"/><Relationship Id="rId236" Type="http://schemas.openxmlformats.org/officeDocument/2006/relationships/image" Target="media/image107.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hitehouse.gov/the-press-office/2013/06/14/presidential-memorandum-expanding-americas-leadership-wireless-innovatio" TargetMode="External"/><Relationship Id="rId2" Type="http://schemas.openxmlformats.org/officeDocument/2006/relationships/hyperlink" Target="https://www.itu.int/pub/R-REP-SM/publications.aspx?lang=en&amp;parent=R-REP-SM.2404" TargetMode="External"/><Relationship Id="rId1" Type="http://schemas.openxmlformats.org/officeDocument/2006/relationships/hyperlink" Target="http://handle.itu.int/11.1004/020.1000/5.21.61.en.100" TargetMode="External"/><Relationship Id="rId4" Type="http://schemas.openxmlformats.org/officeDocument/2006/relationships/hyperlink" Target="https://www.itu.int/en/ITU-D/Spectrum-Broadcasting/Documents/Publications/Guidelines_SpectrumFees_Final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4695-4A00-9201-A2886B4CFF4F}"/>
              </c:ext>
            </c:extLst>
          </c:dPt>
          <c:dLbls>
            <c:dLbl>
              <c:idx val="7"/>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695-4A00-9201-A2886B4CFF4F}"/>
                </c:ext>
              </c:extLst>
            </c:dLbl>
            <c:dLbl>
              <c:idx val="8"/>
              <c:tx>
                <c:rich>
                  <a:bodyPr/>
                  <a:lstStyle/>
                  <a:p>
                    <a:r>
                      <a:rPr lang="en-US"/>
                      <a:t>167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695-4A00-9201-A2886B4CFF4F}"/>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c:ext xmlns:c16="http://schemas.microsoft.com/office/drawing/2014/chart" uri="{C3380CC4-5D6E-409C-BE32-E72D297353CC}">
              <c16:uniqueId val="{00000003-4695-4A00-9201-A2886B4CFF4F}"/>
            </c:ext>
          </c:extLst>
        </c:ser>
        <c:dLbls>
          <c:showLegendKey val="0"/>
          <c:showVal val="0"/>
          <c:showCatName val="0"/>
          <c:showSerName val="0"/>
          <c:showPercent val="0"/>
          <c:showBubbleSize val="0"/>
        </c:dLbls>
        <c:gapWidth val="100"/>
        <c:axId val="1033669136"/>
        <c:axId val="585653072"/>
      </c:barChart>
      <c:catAx>
        <c:axId val="10336691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85653072"/>
        <c:crosses val="autoZero"/>
        <c:auto val="1"/>
        <c:lblAlgn val="ctr"/>
        <c:lblOffset val="100"/>
        <c:noMultiLvlLbl val="0"/>
      </c:catAx>
      <c:valAx>
        <c:axId val="585653072"/>
        <c:scaling>
          <c:orientation val="minMax"/>
        </c:scaling>
        <c:delete val="0"/>
        <c:axPos val="l"/>
        <c:title>
          <c:tx>
            <c:rich>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en-US" sz="1200"/>
                  <a:t>MHz</a:t>
                </a:r>
              </a:p>
            </c:rich>
          </c:tx>
          <c:layout>
            <c:manualLayout>
              <c:xMode val="edge"/>
              <c:yMode val="edge"/>
              <c:x val="2.7777777777777801E-2"/>
              <c:y val="4.1188393117526999E-2"/>
            </c:manualLayout>
          </c:layout>
          <c:overlay val="0"/>
        </c:title>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033669136"/>
        <c:crosses val="autoZero"/>
        <c:crossBetween val="between"/>
      </c:valAx>
    </c:plotArea>
    <c:plotVisOnly val="1"/>
    <c:dispBlanksAs val="gap"/>
    <c:showDLblsOverMax val="0"/>
  </c:chart>
  <c:spPr>
    <a:ln w="9525" cap="flat" cmpd="sng" algn="ctr">
      <a:noFill/>
      <a:prstDash val="solid"/>
      <a:round/>
    </a:ln>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E2DA-48FB-879B-E457B7B5D13E}"/>
              </c:ext>
            </c:extLst>
          </c:dPt>
          <c:dLbls>
            <c:dLbl>
              <c:idx val="5"/>
              <c:tx>
                <c:rich>
                  <a:bodyPr/>
                  <a:lstStyle/>
                  <a:p>
                    <a:r>
                      <a:rPr lang="en-US"/>
                      <a:t>15260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2DA-48FB-879B-E457B7B5D13E}"/>
                </c:ext>
              </c:extLst>
            </c:dLbl>
            <c:dLbl>
              <c:idx val="6"/>
              <c:tx>
                <c:rich>
                  <a:bodyPr/>
                  <a:lstStyle/>
                  <a:p>
                    <a:r>
                      <a:rPr lang="en-US"/>
                      <a:t>18556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2DA-48FB-879B-E457B7B5D13E}"/>
                </c:ext>
              </c:extLst>
            </c:dLbl>
            <c:dLbl>
              <c:idx val="7"/>
              <c:tx>
                <c:rich>
                  <a:bodyPr/>
                  <a:lstStyle/>
                  <a:p>
                    <a:r>
                      <a:rPr lang="en-US"/>
                      <a:t>20156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2DA-48FB-879B-E457B7B5D13E}"/>
                </c:ext>
              </c:extLst>
            </c:dLbl>
            <c:dLbl>
              <c:idx val="8"/>
              <c:tx>
                <c:rich>
                  <a:bodyPr/>
                  <a:lstStyle/>
                  <a:p>
                    <a:r>
                      <a:rPr lang="en-US"/>
                      <a:t>36739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2DA-48FB-879B-E457B7B5D13E}"/>
                </c:ext>
              </c:extLst>
            </c:dLbl>
            <c:dLbl>
              <c:idx val="9"/>
              <c:tx>
                <c:rich>
                  <a:bodyPr/>
                  <a:lstStyle/>
                  <a:p>
                    <a:r>
                      <a:rPr lang="en-US"/>
                      <a:t>47150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2DA-48FB-879B-E457B7B5D13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c:ext xmlns:c16="http://schemas.microsoft.com/office/drawing/2014/chart" uri="{C3380CC4-5D6E-409C-BE32-E72D297353CC}">
              <c16:uniqueId val="{00000007-E2DA-48FB-879B-E457B7B5D13E}"/>
            </c:ext>
          </c:extLst>
        </c:ser>
        <c:dLbls>
          <c:showLegendKey val="0"/>
          <c:showVal val="0"/>
          <c:showCatName val="0"/>
          <c:showSerName val="0"/>
          <c:showPercent val="0"/>
          <c:showBubbleSize val="0"/>
        </c:dLbls>
        <c:gapWidth val="100"/>
        <c:axId val="585652680"/>
        <c:axId val="1144102272"/>
      </c:barChart>
      <c:catAx>
        <c:axId val="58565268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144102272"/>
        <c:crosses val="autoZero"/>
        <c:auto val="1"/>
        <c:lblAlgn val="ctr"/>
        <c:lblOffset val="100"/>
        <c:noMultiLvlLbl val="0"/>
      </c:catAx>
      <c:valAx>
        <c:axId val="1144102272"/>
        <c:scaling>
          <c:orientation val="minMax"/>
        </c:scaling>
        <c:delete val="0"/>
        <c:axPos val="l"/>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Roub.</a:t>
                </a:r>
                <a:endParaRPr lang="ru-RU"/>
              </a:p>
            </c:rich>
          </c:tx>
          <c:layout>
            <c:manualLayout>
              <c:xMode val="edge"/>
              <c:yMode val="edge"/>
              <c:x val="3.05555555555556E-2"/>
              <c:y val="6.4336541265675104E-2"/>
            </c:manualLayout>
          </c:layout>
          <c:overlay val="0"/>
        </c:title>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85652680"/>
        <c:crosses val="autoZero"/>
        <c:crossBetween val="between"/>
      </c:valAx>
      <c:spPr>
        <a:noFill/>
        <a:ln w="25400">
          <a:noFill/>
        </a:ln>
      </c:spPr>
    </c:plotArea>
    <c:plotVisOnly val="1"/>
    <c:dispBlanksAs val="gap"/>
    <c:showDLblsOverMax val="0"/>
  </c:chart>
  <c:spPr>
    <a:ln w="9525" cap="flat" cmpd="sng" algn="ctr">
      <a:noFill/>
      <a:prstDash val="solid"/>
      <a:round/>
    </a:ln>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91557305336793E-2"/>
          <c:y val="6.0123801004978099E-2"/>
          <c:w val="0.87209733158355196"/>
          <c:h val="0.60742137678213204"/>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DE1F-41AD-A5C4-393484038688}"/>
              </c:ext>
            </c:extLst>
          </c:dPt>
          <c:dLbls>
            <c:dLbl>
              <c:idx val="3"/>
              <c:tx>
                <c:rich>
                  <a:bodyPr/>
                  <a:lstStyle/>
                  <a:p>
                    <a:r>
                      <a:rPr lang="en-US"/>
                      <a:t>391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E1F-41AD-A5C4-393484038688}"/>
                </c:ext>
              </c:extLst>
            </c:dLbl>
            <c:dLbl>
              <c:idx val="4"/>
              <c:tx>
                <c:rich>
                  <a:bodyPr/>
                  <a:lstStyle/>
                  <a:p>
                    <a:r>
                      <a:rPr lang="en-US"/>
                      <a:t>410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E1F-41AD-A5C4-393484038688}"/>
                </c:ext>
              </c:extLst>
            </c:dLbl>
            <c:dLbl>
              <c:idx val="5"/>
              <c:tx>
                <c:rich>
                  <a:bodyPr/>
                  <a:lstStyle/>
                  <a:p>
                    <a:r>
                      <a:rPr lang="en-US"/>
                      <a:t>763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E1F-41AD-A5C4-393484038688}"/>
                </c:ext>
              </c:extLst>
            </c:dLbl>
            <c:dLbl>
              <c:idx val="6"/>
              <c:tx>
                <c:rich>
                  <a:bodyPr/>
                  <a:lstStyle/>
                  <a:p>
                    <a:r>
                      <a:rPr lang="en-US"/>
                      <a:t>3093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E1F-41AD-A5C4-393484038688}"/>
                </c:ext>
              </c:extLst>
            </c:dLbl>
            <c:dLbl>
              <c:idx val="7"/>
              <c:tx>
                <c:rich>
                  <a:bodyPr/>
                  <a:lstStyle/>
                  <a:p>
                    <a:r>
                      <a:rPr lang="en-US"/>
                      <a:t>7559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E1F-41AD-A5C4-393484038688}"/>
                </c:ext>
              </c:extLst>
            </c:dLbl>
            <c:dLbl>
              <c:idx val="8"/>
              <c:tx>
                <c:rich>
                  <a:bodyPr/>
                  <a:lstStyle/>
                  <a:p>
                    <a:r>
                      <a:rPr lang="en-US"/>
                      <a:t>9702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E1F-41AD-A5C4-393484038688}"/>
                </c:ext>
              </c:extLst>
            </c:dLbl>
            <c:dLbl>
              <c:idx val="9"/>
              <c:layout>
                <c:manualLayout>
                  <c:x val="2.7777777777777801E-3"/>
                  <c:y val="0"/>
                </c:manualLayout>
              </c:layout>
              <c:tx>
                <c:rich>
                  <a:bodyPr/>
                  <a:lstStyle/>
                  <a:p>
                    <a:r>
                      <a:rPr lang="en-US"/>
                      <a:t>10078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E1F-41AD-A5C4-393484038688}"/>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c:ext xmlns:c16="http://schemas.microsoft.com/office/drawing/2014/chart" uri="{C3380CC4-5D6E-409C-BE32-E72D297353CC}">
              <c16:uniqueId val="{00000009-DE1F-41AD-A5C4-393484038688}"/>
            </c:ext>
          </c:extLst>
        </c:ser>
        <c:dLbls>
          <c:showLegendKey val="0"/>
          <c:showVal val="0"/>
          <c:showCatName val="0"/>
          <c:showSerName val="0"/>
          <c:showPercent val="0"/>
          <c:showBubbleSize val="0"/>
        </c:dLbls>
        <c:gapWidth val="100"/>
        <c:axId val="1144103056"/>
        <c:axId val="1144103448"/>
      </c:barChart>
      <c:catAx>
        <c:axId val="11441030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144103448"/>
        <c:crosses val="autoZero"/>
        <c:auto val="1"/>
        <c:lblAlgn val="ctr"/>
        <c:lblOffset val="100"/>
        <c:noMultiLvlLbl val="0"/>
      </c:catAx>
      <c:valAx>
        <c:axId val="1144103448"/>
        <c:scaling>
          <c:orientation val="minMax"/>
        </c:scaling>
        <c:delete val="0"/>
        <c:axPos val="l"/>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Roub</a:t>
                </a:r>
                <a:r>
                  <a:rPr lang="ru-RU"/>
                  <a:t>.</a:t>
                </a:r>
              </a:p>
            </c:rich>
          </c:tx>
          <c:layout>
            <c:manualLayout>
              <c:xMode val="edge"/>
              <c:yMode val="edge"/>
              <c:x val="2.2222222222222199E-2"/>
              <c:y val="3.2791003095582097E-2"/>
            </c:manualLayout>
          </c:layout>
          <c:overlay val="0"/>
        </c:title>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144103056"/>
        <c:crosses val="autoZero"/>
        <c:crossBetween val="between"/>
      </c:valAx>
    </c:plotArea>
    <c:plotVisOnly val="1"/>
    <c:dispBlanksAs val="gap"/>
    <c:showDLblsOverMax val="0"/>
  </c:chart>
  <c:spPr>
    <a:ln w="9525" cap="flat" cmpd="sng" algn="ctr">
      <a:noFill/>
      <a:prstDash val="solid"/>
      <a:round/>
    </a:ln>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B8C72-821C-49A2-AA5D-D9C2C984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497</TotalTime>
  <Pages>191</Pages>
  <Words>76009</Words>
  <Characters>415610</Characters>
  <Application>Microsoft Office Word</Application>
  <DocSecurity>0</DocSecurity>
  <Lines>3463</Lines>
  <Paragraphs>981</Paragraphs>
  <ScaleCrop>false</ScaleCrop>
  <HeadingPairs>
    <vt:vector size="2" baseType="variant">
      <vt:variant>
        <vt:lpstr>Title</vt:lpstr>
      </vt:variant>
      <vt:variant>
        <vt:i4>1</vt:i4>
      </vt:variant>
    </vt:vector>
  </HeadingPairs>
  <TitlesOfParts>
    <vt:vector size="1" baseType="lpstr">
      <vt:lpstr>Report ITU-R SM.2012-7 (06/2025) - Economic approaches to spectrum management</vt:lpstr>
    </vt:vector>
  </TitlesOfParts>
  <Manager/>
  <Company>ITU</Company>
  <LinksUpToDate>false</LinksUpToDate>
  <CharactersWithSpaces>490638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SM.2012-7 (06/2025) - Economic approaches to spectrum management</dc:title>
  <dc:subject/>
  <dc:creator>French</dc:creator>
  <cp:keywords/>
  <dc:description/>
  <cp:lastModifiedBy>Gomez, Yoanni</cp:lastModifiedBy>
  <cp:revision>27</cp:revision>
  <cp:lastPrinted>2025-06-26T07:53:00Z</cp:lastPrinted>
  <dcterms:created xsi:type="dcterms:W3CDTF">2025-06-25T10:26:00Z</dcterms:created>
  <dcterms:modified xsi:type="dcterms:W3CDTF">2025-07-02T10:03:00Z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