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7717" w:rsidRDefault="00E97717" w:rsidP="00E97717"/>
    <w:p w:rsidR="00E97717" w:rsidRDefault="00E97717" w:rsidP="00E97717"/>
    <w:p w:rsidR="00E97717" w:rsidRDefault="00E97717" w:rsidP="00E97717"/>
    <w:p w:rsidR="00E97717" w:rsidRDefault="00E97717" w:rsidP="00E97717"/>
    <w:p w:rsidR="00E97717" w:rsidRDefault="00E97717" w:rsidP="00E97717"/>
    <w:p w:rsidR="00E97717" w:rsidRDefault="00E97717" w:rsidP="00E97717"/>
    <w:p w:rsidR="00E97717" w:rsidRDefault="00E97717" w:rsidP="00E97717"/>
    <w:p w:rsidR="00E97717" w:rsidRDefault="00E97717" w:rsidP="00E97717"/>
    <w:p w:rsidR="00E97717" w:rsidRDefault="00E97717" w:rsidP="00E97717"/>
    <w:p w:rsidR="00E97717" w:rsidRDefault="00E97717" w:rsidP="00E97717"/>
    <w:p w:rsidR="00E97717" w:rsidRDefault="00E97717" w:rsidP="00E97717"/>
    <w:p w:rsidR="00E97717" w:rsidRDefault="00E97717" w:rsidP="00E97717"/>
    <w:tbl>
      <w:tblPr>
        <w:tblW w:w="10089" w:type="dxa"/>
        <w:tblLook w:val="01E0" w:firstRow="1" w:lastRow="1" w:firstColumn="1" w:lastColumn="1" w:noHBand="0" w:noVBand="0"/>
      </w:tblPr>
      <w:tblGrid>
        <w:gridCol w:w="10089"/>
      </w:tblGrid>
      <w:tr w:rsidR="00E97717" w:rsidRPr="00E97717" w:rsidTr="000F2BA7">
        <w:tc>
          <w:tcPr>
            <w:tcW w:w="10089" w:type="dxa"/>
          </w:tcPr>
          <w:p w:rsidR="00E97717" w:rsidRPr="0038303E" w:rsidRDefault="00E97717" w:rsidP="000F2BA7">
            <w:pPr>
              <w:spacing w:before="380" w:line="280" w:lineRule="exact"/>
              <w:jc w:val="right"/>
              <w:rPr>
                <w:rFonts w:ascii="Tahoma" w:hAnsi="Tahoma" w:cs="Tahoma"/>
                <w:b/>
                <w:bCs/>
                <w:iCs/>
                <w:color w:val="509141"/>
                <w:sz w:val="32"/>
                <w:szCs w:val="32"/>
                <w:lang w:val="en-US"/>
              </w:rPr>
            </w:pPr>
            <w:r w:rsidRPr="0038303E">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17.25pt" o:ole="">
                  <v:imagedata r:id="rId8" o:title=""/>
                </v:shape>
                <o:OLEObject Type="Embed" ProgID="Equation.3" ShapeID="_x0000_i1025" DrawAspect="Content" ObjectID="_1604324979" r:id="rId9"/>
              </w:object>
            </w:r>
          </w:p>
          <w:p w:rsidR="00E97717" w:rsidRPr="0038303E" w:rsidRDefault="00E97717" w:rsidP="002A3F0C">
            <w:pPr>
              <w:spacing w:before="380" w:line="28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Report  ITU-R  SM.</w:t>
            </w:r>
            <w:r>
              <w:rPr>
                <w:rFonts w:ascii="Tahoma" w:hAnsi="Tahoma" w:cs="Tahoma"/>
                <w:b/>
                <w:bCs/>
                <w:iCs/>
                <w:color w:val="509141"/>
                <w:sz w:val="36"/>
                <w:szCs w:val="36"/>
                <w:lang w:val="en-US"/>
              </w:rPr>
              <w:t>2012-</w:t>
            </w:r>
            <w:r w:rsidR="002A3F0C">
              <w:rPr>
                <w:rFonts w:ascii="Tahoma" w:hAnsi="Tahoma" w:cs="Tahoma"/>
                <w:b/>
                <w:bCs/>
                <w:iCs/>
                <w:color w:val="509141"/>
                <w:sz w:val="36"/>
                <w:szCs w:val="36"/>
                <w:lang w:val="en-US"/>
              </w:rPr>
              <w:t>6</w:t>
            </w:r>
          </w:p>
          <w:p w:rsidR="00E97717" w:rsidRPr="0038303E" w:rsidRDefault="00E97717" w:rsidP="002A3F0C">
            <w:pPr>
              <w:spacing w:before="80" w:line="280" w:lineRule="exact"/>
              <w:jc w:val="right"/>
              <w:rPr>
                <w:rFonts w:ascii="Tahoma" w:hAnsi="Tahoma" w:cs="Tahoma"/>
                <w:iCs/>
                <w:color w:val="509141"/>
                <w:szCs w:val="24"/>
                <w:lang w:val="en-US"/>
              </w:rPr>
            </w:pPr>
            <w:r w:rsidRPr="0038303E">
              <w:rPr>
                <w:rFonts w:ascii="Tahoma" w:hAnsi="Tahoma" w:cs="Tahoma"/>
                <w:b/>
                <w:bCs/>
                <w:iCs/>
                <w:color w:val="509141"/>
                <w:szCs w:val="24"/>
                <w:lang w:val="en-US"/>
              </w:rPr>
              <w:t>(</w:t>
            </w:r>
            <w:r>
              <w:rPr>
                <w:rFonts w:ascii="Tahoma" w:hAnsi="Tahoma" w:cs="Tahoma"/>
                <w:b/>
                <w:bCs/>
                <w:iCs/>
                <w:color w:val="509141"/>
                <w:szCs w:val="24"/>
                <w:lang w:val="en-US"/>
              </w:rPr>
              <w:t>06</w:t>
            </w:r>
            <w:r w:rsidRPr="0038303E">
              <w:rPr>
                <w:rFonts w:ascii="Tahoma" w:hAnsi="Tahoma" w:cs="Tahoma"/>
                <w:b/>
                <w:bCs/>
                <w:iCs/>
                <w:color w:val="509141"/>
                <w:szCs w:val="24"/>
                <w:lang w:val="en-US"/>
              </w:rPr>
              <w:t>/</w:t>
            </w:r>
            <w:r>
              <w:rPr>
                <w:rFonts w:ascii="Tahoma" w:hAnsi="Tahoma" w:cs="Tahoma"/>
                <w:b/>
                <w:bCs/>
                <w:iCs/>
                <w:color w:val="509141"/>
                <w:szCs w:val="24"/>
                <w:lang w:val="en-US"/>
              </w:rPr>
              <w:t>201</w:t>
            </w:r>
            <w:r w:rsidR="002A3F0C">
              <w:rPr>
                <w:rFonts w:ascii="Tahoma" w:hAnsi="Tahoma" w:cs="Tahoma"/>
                <w:b/>
                <w:bCs/>
                <w:iCs/>
                <w:color w:val="509141"/>
                <w:szCs w:val="24"/>
                <w:lang w:val="en-US"/>
              </w:rPr>
              <w:t>8</w:t>
            </w:r>
            <w:r w:rsidRPr="0038303E">
              <w:rPr>
                <w:rFonts w:ascii="Tahoma" w:hAnsi="Tahoma" w:cs="Tahoma"/>
                <w:b/>
                <w:bCs/>
                <w:iCs/>
                <w:color w:val="509141"/>
                <w:szCs w:val="24"/>
                <w:lang w:val="en-US"/>
              </w:rPr>
              <w:t>)</w:t>
            </w:r>
          </w:p>
        </w:tc>
      </w:tr>
      <w:tr w:rsidR="00E97717" w:rsidRPr="00E97717" w:rsidTr="000F2BA7">
        <w:tc>
          <w:tcPr>
            <w:tcW w:w="10089" w:type="dxa"/>
          </w:tcPr>
          <w:p w:rsidR="00E97717" w:rsidRPr="00B21000" w:rsidRDefault="00E97717" w:rsidP="000F2BA7">
            <w:pPr>
              <w:spacing w:before="80" w:line="500" w:lineRule="exact"/>
              <w:jc w:val="right"/>
              <w:rPr>
                <w:rFonts w:ascii="Tahoma" w:hAnsi="Tahoma" w:cs="Tahoma"/>
                <w:b/>
                <w:bCs/>
                <w:iCs/>
                <w:color w:val="509141"/>
                <w:sz w:val="44"/>
                <w:szCs w:val="44"/>
                <w:lang w:val="en-US"/>
              </w:rPr>
            </w:pPr>
          </w:p>
          <w:p w:rsidR="00E97717" w:rsidRPr="00D92F56" w:rsidRDefault="00E97717" w:rsidP="00E97717">
            <w:pPr>
              <w:pStyle w:val="Reptitle"/>
              <w:jc w:val="right"/>
              <w:rPr>
                <w:rFonts w:ascii="Tahoma" w:hAnsi="Tahoma" w:cs="Tahoma"/>
                <w:bCs/>
                <w:iCs/>
                <w:color w:val="509141"/>
                <w:sz w:val="44"/>
                <w:szCs w:val="44"/>
                <w:lang w:val="en-US"/>
              </w:rPr>
            </w:pPr>
            <w:r w:rsidRPr="00E97717">
              <w:rPr>
                <w:rFonts w:ascii="Tahoma" w:hAnsi="Tahoma" w:cs="Tahoma"/>
                <w:bCs/>
                <w:iCs/>
                <w:color w:val="509141"/>
                <w:sz w:val="44"/>
                <w:szCs w:val="44"/>
                <w:lang w:val="en-US" w:eastAsia="zh-CN"/>
              </w:rPr>
              <w:t xml:space="preserve">Economic aspects of spectrum </w:t>
            </w:r>
            <w:r>
              <w:rPr>
                <w:rFonts w:ascii="Tahoma" w:hAnsi="Tahoma" w:cs="Tahoma"/>
                <w:bCs/>
                <w:iCs/>
                <w:color w:val="509141"/>
                <w:sz w:val="44"/>
                <w:szCs w:val="44"/>
                <w:lang w:val="en-US" w:eastAsia="zh-CN"/>
              </w:rPr>
              <w:br/>
            </w:r>
            <w:r w:rsidRPr="00E97717">
              <w:rPr>
                <w:rFonts w:ascii="Tahoma" w:hAnsi="Tahoma" w:cs="Tahoma"/>
                <w:bCs/>
                <w:iCs/>
                <w:color w:val="509141"/>
                <w:sz w:val="44"/>
                <w:szCs w:val="44"/>
                <w:lang w:val="en-US" w:eastAsia="zh-CN"/>
              </w:rPr>
              <w:t>management</w:t>
            </w:r>
          </w:p>
          <w:p w:rsidR="00E97717" w:rsidRPr="00B21000" w:rsidRDefault="00E97717" w:rsidP="000F2BA7">
            <w:pPr>
              <w:spacing w:before="80" w:line="500" w:lineRule="exact"/>
              <w:jc w:val="right"/>
              <w:rPr>
                <w:rFonts w:ascii="Tahoma" w:hAnsi="Tahoma" w:cs="Tahoma"/>
                <w:b/>
                <w:bCs/>
                <w:iCs/>
                <w:color w:val="509141"/>
                <w:sz w:val="44"/>
                <w:szCs w:val="44"/>
                <w:lang w:val="en-US"/>
              </w:rPr>
            </w:pPr>
          </w:p>
          <w:p w:rsidR="00E97717" w:rsidRPr="00B21000" w:rsidRDefault="00E97717" w:rsidP="000F2BA7">
            <w:pPr>
              <w:spacing w:before="80" w:line="500" w:lineRule="exact"/>
              <w:jc w:val="right"/>
              <w:rPr>
                <w:rFonts w:ascii="Tahoma" w:hAnsi="Tahoma" w:cs="Tahoma"/>
                <w:b/>
                <w:bCs/>
                <w:iCs/>
                <w:color w:val="509141"/>
                <w:sz w:val="44"/>
                <w:szCs w:val="44"/>
                <w:lang w:val="en-US"/>
              </w:rPr>
            </w:pPr>
            <w:r w:rsidRPr="00B21000">
              <w:rPr>
                <w:rFonts w:ascii="Tahoma" w:hAnsi="Tahoma" w:cs="Tahoma"/>
                <w:b/>
                <w:bCs/>
                <w:iCs/>
                <w:color w:val="509141"/>
                <w:sz w:val="44"/>
                <w:szCs w:val="44"/>
                <w:lang w:val="en-US"/>
              </w:rPr>
              <w:t xml:space="preserve">  </w:t>
            </w:r>
          </w:p>
        </w:tc>
      </w:tr>
      <w:tr w:rsidR="00E97717" w:rsidRPr="0038303E" w:rsidTr="000F2BA7">
        <w:tc>
          <w:tcPr>
            <w:tcW w:w="10089" w:type="dxa"/>
          </w:tcPr>
          <w:p w:rsidR="00E97717" w:rsidRPr="0038303E" w:rsidRDefault="00E97717" w:rsidP="000F2BA7">
            <w:pPr>
              <w:spacing w:before="80" w:line="280" w:lineRule="exact"/>
              <w:ind w:right="640"/>
              <w:rPr>
                <w:rFonts w:ascii="Tahoma" w:hAnsi="Tahoma" w:cs="Tahoma"/>
                <w:b/>
                <w:bCs/>
                <w:iCs/>
                <w:color w:val="243285"/>
                <w:sz w:val="32"/>
                <w:szCs w:val="32"/>
                <w:lang w:val="en-US"/>
              </w:rPr>
            </w:pPr>
          </w:p>
          <w:p w:rsidR="00E97717" w:rsidRPr="0038303E" w:rsidRDefault="00E97717" w:rsidP="000F2BA7">
            <w:pPr>
              <w:spacing w:before="80" w:line="280" w:lineRule="exact"/>
              <w:ind w:right="640"/>
              <w:rPr>
                <w:rFonts w:ascii="Tahoma" w:hAnsi="Tahoma" w:cs="Tahoma"/>
                <w:b/>
                <w:bCs/>
                <w:iCs/>
                <w:color w:val="243285"/>
                <w:sz w:val="32"/>
                <w:szCs w:val="32"/>
                <w:lang w:val="en-US"/>
              </w:rPr>
            </w:pPr>
          </w:p>
          <w:p w:rsidR="00E97717" w:rsidRPr="0038303E" w:rsidRDefault="00E97717" w:rsidP="000F2BA7">
            <w:pPr>
              <w:spacing w:before="80" w:line="280" w:lineRule="exact"/>
              <w:ind w:right="640"/>
              <w:rPr>
                <w:rFonts w:ascii="Tahoma" w:hAnsi="Tahoma" w:cs="Tahoma"/>
                <w:b/>
                <w:bCs/>
                <w:iCs/>
                <w:color w:val="243285"/>
                <w:sz w:val="32"/>
                <w:szCs w:val="32"/>
                <w:lang w:val="en-US"/>
              </w:rPr>
            </w:pPr>
          </w:p>
          <w:p w:rsidR="00E97717" w:rsidRPr="0038303E" w:rsidRDefault="00E97717" w:rsidP="000F2BA7">
            <w:pPr>
              <w:spacing w:before="80" w:after="180" w:line="360" w:lineRule="exact"/>
              <w:jc w:val="right"/>
              <w:rPr>
                <w:rFonts w:ascii="Tahoma" w:hAnsi="Tahoma" w:cs="Tahoma"/>
                <w:b/>
                <w:bCs/>
                <w:iCs/>
                <w:color w:val="243285"/>
                <w:sz w:val="36"/>
                <w:szCs w:val="36"/>
                <w:lang w:val="en-US"/>
              </w:rPr>
            </w:pPr>
          </w:p>
          <w:p w:rsidR="00E97717" w:rsidRPr="0038303E" w:rsidRDefault="00E97717" w:rsidP="000F2BA7">
            <w:pPr>
              <w:spacing w:before="80" w:after="180" w:line="36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SM Series</w:t>
            </w:r>
          </w:p>
          <w:p w:rsidR="00E97717" w:rsidRPr="0038303E" w:rsidRDefault="00E97717" w:rsidP="000F2BA7">
            <w:pPr>
              <w:spacing w:before="80" w:line="420" w:lineRule="exact"/>
              <w:jc w:val="right"/>
              <w:rPr>
                <w:rFonts w:ascii="Tahoma" w:hAnsi="Tahoma" w:cs="Tahoma"/>
                <w:b/>
                <w:bCs/>
                <w:iCs/>
                <w:color w:val="509141"/>
                <w:sz w:val="36"/>
                <w:szCs w:val="36"/>
                <w:lang w:val="en-US"/>
              </w:rPr>
            </w:pPr>
            <w:r w:rsidRPr="0038303E">
              <w:rPr>
                <w:rFonts w:ascii="Tahoma" w:hAnsi="Tahoma" w:cs="Tahoma"/>
                <w:b/>
                <w:bCs/>
                <w:iCs/>
                <w:color w:val="509141"/>
                <w:sz w:val="36"/>
                <w:szCs w:val="36"/>
                <w:lang w:val="en-US"/>
              </w:rPr>
              <w:t>Spectrum management</w:t>
            </w:r>
          </w:p>
        </w:tc>
      </w:tr>
    </w:tbl>
    <w:p w:rsidR="00E97717" w:rsidRDefault="00E97717" w:rsidP="00E97717">
      <w:pPr>
        <w:spacing w:before="80"/>
        <w:rPr>
          <w:i/>
          <w:sz w:val="22"/>
          <w:lang w:val="en-US"/>
        </w:rPr>
      </w:pPr>
    </w:p>
    <w:p w:rsidR="00E97717" w:rsidRDefault="00E97717" w:rsidP="00E97717">
      <w:pPr>
        <w:spacing w:before="80"/>
        <w:rPr>
          <w:i/>
          <w:sz w:val="22"/>
          <w:lang w:val="en-US"/>
        </w:rPr>
      </w:pPr>
    </w:p>
    <w:p w:rsidR="00E97717" w:rsidRDefault="00E97717" w:rsidP="00E97717">
      <w:pPr>
        <w:spacing w:before="80"/>
        <w:rPr>
          <w:i/>
          <w:sz w:val="22"/>
          <w:lang w:val="en-US"/>
        </w:rPr>
      </w:pPr>
    </w:p>
    <w:p w:rsidR="00E97717" w:rsidRDefault="00E97717" w:rsidP="00E97717">
      <w:pPr>
        <w:spacing w:before="80"/>
        <w:rPr>
          <w:i/>
          <w:sz w:val="22"/>
          <w:lang w:val="en-US"/>
        </w:rPr>
      </w:pPr>
    </w:p>
    <w:p w:rsidR="00E97717" w:rsidRDefault="00E97717" w:rsidP="00E97717">
      <w:pPr>
        <w:spacing w:before="80"/>
        <w:rPr>
          <w:i/>
          <w:sz w:val="22"/>
          <w:lang w:val="en-US"/>
        </w:rPr>
      </w:pPr>
    </w:p>
    <w:p w:rsidR="00E97717" w:rsidRDefault="00E97717" w:rsidP="00E97717">
      <w:pPr>
        <w:spacing w:before="80"/>
        <w:rPr>
          <w:i/>
          <w:sz w:val="22"/>
          <w:lang w:val="en-US"/>
        </w:rPr>
      </w:pPr>
    </w:p>
    <w:p w:rsidR="00E97717" w:rsidRDefault="00E97717" w:rsidP="00E97717">
      <w:pPr>
        <w:rPr>
          <w:rFonts w:ascii="Palatino Linotype" w:hAnsi="Palatino Linotype"/>
          <w:lang w:val="en-US"/>
        </w:rPr>
        <w:sectPr w:rsidR="00E97717" w:rsidSect="000F2BA7">
          <w:headerReference w:type="even" r:id="rId10"/>
          <w:headerReference w:type="default" r:id="rId11"/>
          <w:pgSz w:w="11907" w:h="16840" w:code="9"/>
          <w:pgMar w:top="1089" w:right="1089" w:bottom="284" w:left="1089" w:header="567" w:footer="284" w:gutter="0"/>
          <w:pgNumType w:start="1"/>
          <w:cols w:space="720"/>
        </w:sectPr>
      </w:pPr>
    </w:p>
    <w:p w:rsidR="00E97717" w:rsidRDefault="00E97717" w:rsidP="00E97717">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E97717" w:rsidRDefault="00E97717" w:rsidP="00E97717">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E97717" w:rsidRDefault="00E97717" w:rsidP="00E97717">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E97717" w:rsidRDefault="00E97717" w:rsidP="00E97717">
      <w:pPr>
        <w:pStyle w:val="Heading1"/>
        <w:spacing w:before="400"/>
        <w:jc w:val="center"/>
        <w:rPr>
          <w:szCs w:val="24"/>
          <w:lang w:val="en-US"/>
        </w:rPr>
      </w:pPr>
    </w:p>
    <w:p w:rsidR="00E97717" w:rsidRDefault="00E97717" w:rsidP="00E97717">
      <w:pPr>
        <w:pStyle w:val="Heading1"/>
        <w:spacing w:before="540"/>
        <w:jc w:val="center"/>
        <w:rPr>
          <w:szCs w:val="24"/>
          <w:lang w:val="en-US"/>
        </w:rPr>
      </w:pPr>
      <w:bookmarkStart w:id="1" w:name="_Toc462233963"/>
      <w:bookmarkStart w:id="2" w:name="_Toc518394128"/>
      <w:r>
        <w:rPr>
          <w:szCs w:val="24"/>
          <w:lang w:val="en-US"/>
        </w:rPr>
        <w:t>Policy on Intellectual Property Right (IPR)</w:t>
      </w:r>
      <w:bookmarkEnd w:id="1"/>
      <w:bookmarkEnd w:id="2"/>
    </w:p>
    <w:p w:rsidR="00E97717" w:rsidRDefault="00E97717" w:rsidP="00E97717">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E97717" w:rsidRDefault="00E97717" w:rsidP="00E97717">
      <w:pPr>
        <w:jc w:val="center"/>
        <w:rPr>
          <w:sz w:val="22"/>
          <w:lang w:val="en-US"/>
        </w:rPr>
      </w:pPr>
    </w:p>
    <w:p w:rsidR="00E97717" w:rsidRDefault="00E97717" w:rsidP="00E97717">
      <w:pPr>
        <w:jc w:val="center"/>
        <w:rPr>
          <w:sz w:val="22"/>
          <w:lang w:val="en-US"/>
        </w:rPr>
      </w:pPr>
    </w:p>
    <w:p w:rsidR="00E97717" w:rsidRDefault="00E97717" w:rsidP="00E97717">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E97717" w:rsidRPr="00D17B5B" w:rsidTr="000F2BA7">
        <w:tc>
          <w:tcPr>
            <w:tcW w:w="9360" w:type="dxa"/>
            <w:gridSpan w:val="2"/>
            <w:tcBorders>
              <w:top w:val="single" w:sz="12" w:space="0" w:color="000080"/>
              <w:left w:val="single" w:sz="12" w:space="0" w:color="000080"/>
              <w:bottom w:val="nil"/>
              <w:right w:val="single" w:sz="12" w:space="0" w:color="000080"/>
            </w:tcBorders>
          </w:tcPr>
          <w:p w:rsidR="00E97717" w:rsidRPr="00C7761D" w:rsidRDefault="00E97717" w:rsidP="000F2BA7">
            <w:pPr>
              <w:pStyle w:val="ChapNo"/>
              <w:spacing w:before="240"/>
              <w:rPr>
                <w:sz w:val="22"/>
                <w:szCs w:val="22"/>
                <w:lang w:val="en-US"/>
              </w:rPr>
            </w:pPr>
            <w:bookmarkStart w:id="3" w:name="_Toc462233964"/>
            <w:bookmarkStart w:id="4" w:name="_Toc518394129"/>
            <w:r w:rsidRPr="00C7761D">
              <w:rPr>
                <w:sz w:val="22"/>
                <w:szCs w:val="22"/>
                <w:lang w:val="en-US"/>
              </w:rPr>
              <w:t>Series of ITU-R Reports</w:t>
            </w:r>
            <w:bookmarkEnd w:id="3"/>
            <w:bookmarkEnd w:id="4"/>
            <w:r w:rsidRPr="00C7761D">
              <w:rPr>
                <w:sz w:val="22"/>
                <w:szCs w:val="22"/>
                <w:lang w:val="en-US"/>
              </w:rPr>
              <w:t xml:space="preserve"> </w:t>
            </w:r>
          </w:p>
          <w:p w:rsidR="00E97717" w:rsidRDefault="00E97717" w:rsidP="000F2BA7">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E97717" w:rsidTr="000F2BA7">
        <w:tc>
          <w:tcPr>
            <w:tcW w:w="1140" w:type="dxa"/>
            <w:tcBorders>
              <w:top w:val="nil"/>
              <w:left w:val="single" w:sz="12" w:space="0" w:color="000080"/>
              <w:bottom w:val="nil"/>
              <w:right w:val="nil"/>
            </w:tcBorders>
          </w:tcPr>
          <w:p w:rsidR="00E97717" w:rsidRDefault="00E97717" w:rsidP="000F2BA7">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E97717" w:rsidRDefault="00E97717" w:rsidP="000F2BA7">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E97717" w:rsidTr="000F2BA7">
        <w:tc>
          <w:tcPr>
            <w:tcW w:w="1140" w:type="dxa"/>
            <w:tcBorders>
              <w:top w:val="nil"/>
              <w:left w:val="single" w:sz="12" w:space="0" w:color="000080"/>
              <w:bottom w:val="nil"/>
              <w:right w:val="nil"/>
            </w:tcBorders>
            <w:shd w:val="clear" w:color="auto" w:fill="auto"/>
          </w:tcPr>
          <w:p w:rsidR="00E97717" w:rsidRPr="006F2B77" w:rsidRDefault="00E97717" w:rsidP="000F2BA7">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E97717" w:rsidRPr="006F2B77" w:rsidRDefault="00E97717" w:rsidP="000F2BA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E97717" w:rsidRPr="00D17B5B" w:rsidTr="000F2BA7">
        <w:tc>
          <w:tcPr>
            <w:tcW w:w="1140" w:type="dxa"/>
            <w:tcBorders>
              <w:top w:val="nil"/>
              <w:left w:val="single" w:sz="12" w:space="0" w:color="000080"/>
              <w:bottom w:val="nil"/>
              <w:right w:val="nil"/>
            </w:tcBorders>
          </w:tcPr>
          <w:p w:rsidR="00E97717" w:rsidRDefault="00E97717" w:rsidP="000F2BA7">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E97717" w:rsidRDefault="00E97717" w:rsidP="000F2BA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E97717" w:rsidRPr="00D55B55" w:rsidTr="000F2BA7">
        <w:tc>
          <w:tcPr>
            <w:tcW w:w="1140" w:type="dxa"/>
            <w:tcBorders>
              <w:top w:val="nil"/>
              <w:left w:val="single" w:sz="12" w:space="0" w:color="000080"/>
              <w:bottom w:val="nil"/>
              <w:right w:val="nil"/>
            </w:tcBorders>
            <w:shd w:val="clear" w:color="auto" w:fill="auto"/>
          </w:tcPr>
          <w:p w:rsidR="00E97717" w:rsidRPr="00D55B55" w:rsidRDefault="00E97717" w:rsidP="000F2BA7">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E97717" w:rsidRPr="00D55B55" w:rsidRDefault="00E97717" w:rsidP="000F2BA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E97717" w:rsidRPr="00BD3F5C" w:rsidTr="000F2BA7">
        <w:tc>
          <w:tcPr>
            <w:tcW w:w="1140" w:type="dxa"/>
            <w:tcBorders>
              <w:top w:val="nil"/>
              <w:left w:val="single" w:sz="12" w:space="0" w:color="000080"/>
              <w:bottom w:val="nil"/>
              <w:right w:val="nil"/>
            </w:tcBorders>
            <w:shd w:val="clear" w:color="auto" w:fill="auto"/>
          </w:tcPr>
          <w:p w:rsidR="00E97717" w:rsidRPr="00BD3F5C" w:rsidRDefault="00E97717" w:rsidP="000F2BA7">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E97717" w:rsidRPr="00BD3F5C" w:rsidRDefault="00E97717" w:rsidP="000F2BA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E97717" w:rsidRPr="00D069F2" w:rsidTr="000F2BA7">
        <w:tc>
          <w:tcPr>
            <w:tcW w:w="1140" w:type="dxa"/>
            <w:tcBorders>
              <w:top w:val="nil"/>
              <w:left w:val="single" w:sz="12" w:space="0" w:color="000080"/>
              <w:bottom w:val="nil"/>
              <w:right w:val="nil"/>
            </w:tcBorders>
            <w:shd w:val="clear" w:color="auto" w:fill="auto"/>
          </w:tcPr>
          <w:p w:rsidR="00E97717" w:rsidRPr="00D069F2" w:rsidRDefault="00E97717" w:rsidP="000F2BA7">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E97717" w:rsidRPr="00D069F2" w:rsidRDefault="00E97717" w:rsidP="000F2BA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E97717" w:rsidRPr="008D3D8D" w:rsidTr="000F2BA7">
        <w:tc>
          <w:tcPr>
            <w:tcW w:w="1140" w:type="dxa"/>
            <w:tcBorders>
              <w:top w:val="nil"/>
              <w:left w:val="single" w:sz="12" w:space="0" w:color="000080"/>
              <w:bottom w:val="nil"/>
              <w:right w:val="nil"/>
            </w:tcBorders>
            <w:shd w:val="clear" w:color="auto" w:fill="auto"/>
          </w:tcPr>
          <w:p w:rsidR="00E97717" w:rsidRPr="008D3D8D" w:rsidRDefault="00E97717" w:rsidP="000F2BA7">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E97717" w:rsidRPr="008D3D8D" w:rsidRDefault="00E97717" w:rsidP="000F2BA7">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E97717" w:rsidRPr="002D77AF" w:rsidTr="000F2BA7">
        <w:tc>
          <w:tcPr>
            <w:tcW w:w="1140" w:type="dxa"/>
            <w:tcBorders>
              <w:top w:val="nil"/>
              <w:left w:val="single" w:sz="12" w:space="0" w:color="000080"/>
              <w:bottom w:val="nil"/>
              <w:right w:val="nil"/>
            </w:tcBorders>
            <w:shd w:val="clear" w:color="auto" w:fill="auto"/>
          </w:tcPr>
          <w:p w:rsidR="00E97717" w:rsidRPr="002D77AF" w:rsidRDefault="00E97717" w:rsidP="000F2BA7">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E97717" w:rsidRPr="002D77AF" w:rsidRDefault="00E97717" w:rsidP="000F2BA7">
            <w:pPr>
              <w:spacing w:before="30" w:after="30"/>
              <w:jc w:val="left"/>
              <w:rPr>
                <w:sz w:val="20"/>
                <w:lang w:val="fr-CH"/>
              </w:rPr>
            </w:pPr>
            <w:r w:rsidRPr="002D77AF">
              <w:rPr>
                <w:sz w:val="20"/>
                <w:lang w:val="fr-CH"/>
              </w:rPr>
              <w:t>Radiowave propagation</w:t>
            </w:r>
          </w:p>
        </w:tc>
      </w:tr>
      <w:tr w:rsidR="00E97717" w:rsidRPr="003B4EE8" w:rsidTr="000F2BA7">
        <w:tc>
          <w:tcPr>
            <w:tcW w:w="1140" w:type="dxa"/>
            <w:tcBorders>
              <w:top w:val="nil"/>
              <w:left w:val="single" w:sz="12" w:space="0" w:color="000080"/>
              <w:bottom w:val="nil"/>
              <w:right w:val="nil"/>
            </w:tcBorders>
            <w:shd w:val="clear" w:color="auto" w:fill="auto"/>
          </w:tcPr>
          <w:p w:rsidR="00E97717" w:rsidRPr="003B4EE8" w:rsidRDefault="00E97717" w:rsidP="000F2BA7">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E97717" w:rsidRPr="003B4EE8" w:rsidRDefault="00E97717" w:rsidP="000F2BA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E97717" w:rsidRPr="00CB1116" w:rsidTr="000F2BA7">
        <w:tc>
          <w:tcPr>
            <w:tcW w:w="1140" w:type="dxa"/>
            <w:tcBorders>
              <w:top w:val="nil"/>
              <w:left w:val="single" w:sz="12" w:space="0" w:color="000080"/>
              <w:bottom w:val="nil"/>
              <w:right w:val="nil"/>
            </w:tcBorders>
            <w:shd w:val="clear" w:color="auto" w:fill="auto"/>
          </w:tcPr>
          <w:p w:rsidR="00E97717" w:rsidRPr="00CB1116" w:rsidRDefault="00E97717" w:rsidP="000F2BA7">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E97717" w:rsidRPr="00CB1116" w:rsidRDefault="00E97717" w:rsidP="000F2BA7">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E97717" w:rsidRPr="00C114A7" w:rsidTr="000F2BA7">
        <w:tc>
          <w:tcPr>
            <w:tcW w:w="1140" w:type="dxa"/>
            <w:tcBorders>
              <w:top w:val="nil"/>
              <w:left w:val="single" w:sz="12" w:space="0" w:color="000080"/>
              <w:bottom w:val="nil"/>
              <w:right w:val="nil"/>
            </w:tcBorders>
            <w:shd w:val="clear" w:color="auto" w:fill="auto"/>
          </w:tcPr>
          <w:p w:rsidR="00E97717" w:rsidRPr="00C114A7" w:rsidRDefault="00E97717" w:rsidP="000F2BA7">
            <w:pPr>
              <w:spacing w:before="30" w:after="30"/>
              <w:ind w:left="57"/>
              <w:jc w:val="left"/>
              <w:rPr>
                <w:rFonts w:ascii="Times New Roman Bold" w:hAnsi="Times New Roman Bold" w:cs="Times New Roman Bold"/>
                <w:b/>
                <w:bCs/>
                <w:sz w:val="20"/>
                <w:lang w:val="en-US"/>
              </w:rPr>
            </w:pPr>
            <w:r w:rsidRPr="00C114A7">
              <w:rPr>
                <w:rFonts w:ascii="Times New Roman Bold" w:hAnsi="Times New Roman Bold" w:cs="Times New Roman Bold"/>
                <w:b/>
                <w:bCs/>
                <w:sz w:val="20"/>
                <w:lang w:val="en-US"/>
              </w:rPr>
              <w:t>S</w:t>
            </w:r>
          </w:p>
        </w:tc>
        <w:tc>
          <w:tcPr>
            <w:tcW w:w="8220" w:type="dxa"/>
            <w:tcBorders>
              <w:top w:val="nil"/>
              <w:left w:val="nil"/>
              <w:bottom w:val="nil"/>
              <w:right w:val="single" w:sz="12" w:space="0" w:color="000080"/>
            </w:tcBorders>
            <w:shd w:val="clear" w:color="auto" w:fill="auto"/>
          </w:tcPr>
          <w:p w:rsidR="00E97717" w:rsidRPr="00C114A7" w:rsidRDefault="00E97717" w:rsidP="000F2BA7">
            <w:pPr>
              <w:spacing w:before="30" w:after="30"/>
              <w:jc w:val="left"/>
              <w:rPr>
                <w:sz w:val="20"/>
                <w:lang w:val="en-US"/>
              </w:rPr>
            </w:pPr>
            <w:r w:rsidRPr="00C114A7">
              <w:rPr>
                <w:sz w:val="20"/>
                <w:lang w:val="en-US"/>
              </w:rPr>
              <w:t>Fixed</w:t>
            </w:r>
            <w:r>
              <w:rPr>
                <w:sz w:val="20"/>
                <w:lang w:val="en-US"/>
              </w:rPr>
              <w:t>-</w:t>
            </w:r>
            <w:r w:rsidRPr="00C114A7">
              <w:rPr>
                <w:sz w:val="20"/>
                <w:lang w:val="en-US"/>
              </w:rPr>
              <w:t>satellite service</w:t>
            </w:r>
          </w:p>
        </w:tc>
      </w:tr>
      <w:tr w:rsidR="00E97717" w:rsidRPr="00B135F6" w:rsidTr="000F2BA7">
        <w:tc>
          <w:tcPr>
            <w:tcW w:w="1140" w:type="dxa"/>
            <w:tcBorders>
              <w:top w:val="nil"/>
              <w:left w:val="single" w:sz="12" w:space="0" w:color="000080"/>
              <w:bottom w:val="nil"/>
              <w:right w:val="nil"/>
            </w:tcBorders>
            <w:shd w:val="clear" w:color="auto" w:fill="auto"/>
          </w:tcPr>
          <w:p w:rsidR="00E97717" w:rsidRPr="00B135F6" w:rsidRDefault="00E97717" w:rsidP="000F2BA7">
            <w:pPr>
              <w:spacing w:before="30" w:after="30"/>
              <w:ind w:left="57"/>
              <w:jc w:val="left"/>
              <w:rPr>
                <w:rFonts w:ascii="Times New Roman Bold" w:hAnsi="Times New Roman Bold" w:cs="Times New Roman Bold"/>
                <w:b/>
                <w:bCs/>
                <w:sz w:val="20"/>
                <w:lang w:val="en-US"/>
              </w:rPr>
            </w:pPr>
            <w:r w:rsidRPr="00B135F6">
              <w:rPr>
                <w:rFonts w:ascii="Times New Roman Bold" w:hAnsi="Times New Roman Bold" w:cs="Times New Roman Bold"/>
                <w:b/>
                <w:bCs/>
                <w:sz w:val="20"/>
                <w:lang w:val="en-US"/>
              </w:rPr>
              <w:t>SA</w:t>
            </w:r>
          </w:p>
        </w:tc>
        <w:tc>
          <w:tcPr>
            <w:tcW w:w="8220" w:type="dxa"/>
            <w:tcBorders>
              <w:top w:val="nil"/>
              <w:left w:val="nil"/>
              <w:bottom w:val="nil"/>
              <w:right w:val="single" w:sz="12" w:space="0" w:color="000080"/>
            </w:tcBorders>
            <w:shd w:val="clear" w:color="auto" w:fill="auto"/>
          </w:tcPr>
          <w:p w:rsidR="00E97717" w:rsidRPr="00B135F6" w:rsidRDefault="00E97717" w:rsidP="000F2BA7">
            <w:pPr>
              <w:spacing w:before="30" w:after="30"/>
              <w:jc w:val="left"/>
              <w:rPr>
                <w:sz w:val="20"/>
                <w:lang w:val="en-US"/>
              </w:rPr>
            </w:pPr>
            <w:r w:rsidRPr="00B135F6">
              <w:rPr>
                <w:sz w:val="20"/>
                <w:lang w:val="en-US"/>
              </w:rPr>
              <w:t>Space applications and meteorology</w:t>
            </w:r>
          </w:p>
        </w:tc>
      </w:tr>
      <w:tr w:rsidR="00E97717" w:rsidRPr="00D17B5B" w:rsidTr="000F2BA7">
        <w:tc>
          <w:tcPr>
            <w:tcW w:w="1140" w:type="dxa"/>
            <w:tcBorders>
              <w:top w:val="nil"/>
              <w:left w:val="single" w:sz="12" w:space="0" w:color="000080"/>
              <w:bottom w:val="nil"/>
              <w:right w:val="nil"/>
            </w:tcBorders>
            <w:shd w:val="clear" w:color="auto" w:fill="auto"/>
          </w:tcPr>
          <w:p w:rsidR="00E97717" w:rsidRPr="0006030B" w:rsidRDefault="00E97717" w:rsidP="000F2BA7">
            <w:pPr>
              <w:spacing w:before="30" w:after="30"/>
              <w:ind w:left="57"/>
              <w:jc w:val="left"/>
              <w:rPr>
                <w:rFonts w:ascii="Times New Roman Bold" w:hAnsi="Times New Roman Bold" w:cs="Times New Roman Bold"/>
                <w:b/>
                <w:bCs/>
                <w:sz w:val="20"/>
                <w:lang w:val="en-US"/>
              </w:rPr>
            </w:pPr>
            <w:r w:rsidRPr="0006030B">
              <w:rPr>
                <w:rFonts w:ascii="Times New Roman Bold" w:hAnsi="Times New Roman Bold" w:cs="Times New Roman Bold"/>
                <w:b/>
                <w:bCs/>
                <w:sz w:val="20"/>
                <w:lang w:val="en-US"/>
              </w:rPr>
              <w:t>SF</w:t>
            </w:r>
          </w:p>
        </w:tc>
        <w:tc>
          <w:tcPr>
            <w:tcW w:w="8220" w:type="dxa"/>
            <w:tcBorders>
              <w:top w:val="nil"/>
              <w:left w:val="nil"/>
              <w:bottom w:val="nil"/>
              <w:right w:val="single" w:sz="12" w:space="0" w:color="000080"/>
            </w:tcBorders>
            <w:shd w:val="clear" w:color="auto" w:fill="auto"/>
          </w:tcPr>
          <w:p w:rsidR="00E97717" w:rsidRPr="0006030B" w:rsidRDefault="00E97717" w:rsidP="000F2BA7">
            <w:pPr>
              <w:spacing w:before="30" w:after="30"/>
              <w:jc w:val="left"/>
              <w:rPr>
                <w:sz w:val="20"/>
                <w:lang w:val="en-US"/>
              </w:rPr>
            </w:pPr>
            <w:r w:rsidRPr="0006030B">
              <w:rPr>
                <w:sz w:val="20"/>
                <w:lang w:val="en-US"/>
              </w:rPr>
              <w:t>Frequency sharing and coordination between fixed-satellite and fixed service systems</w:t>
            </w:r>
          </w:p>
        </w:tc>
      </w:tr>
      <w:tr w:rsidR="00E97717" w:rsidRPr="0006030B" w:rsidTr="000F2BA7">
        <w:tc>
          <w:tcPr>
            <w:tcW w:w="1140" w:type="dxa"/>
            <w:tcBorders>
              <w:top w:val="nil"/>
              <w:left w:val="single" w:sz="12" w:space="0" w:color="000080"/>
              <w:bottom w:val="single" w:sz="12" w:space="0" w:color="000080"/>
              <w:right w:val="nil"/>
            </w:tcBorders>
            <w:shd w:val="clear" w:color="auto" w:fill="F3F3F3"/>
          </w:tcPr>
          <w:p w:rsidR="00E97717" w:rsidRPr="0006030B" w:rsidRDefault="00E97717" w:rsidP="000F2BA7">
            <w:pPr>
              <w:spacing w:before="30" w:after="30"/>
              <w:ind w:left="57"/>
              <w:jc w:val="left"/>
              <w:rPr>
                <w:b/>
                <w:bCs/>
                <w:color w:val="000080"/>
                <w:sz w:val="20"/>
                <w:lang w:val="en-US"/>
              </w:rPr>
            </w:pPr>
            <w:r w:rsidRPr="0006030B">
              <w:rPr>
                <w:b/>
                <w:bCs/>
                <w:color w:val="000080"/>
                <w:sz w:val="20"/>
                <w:lang w:val="en-US"/>
              </w:rPr>
              <w:t>SM</w:t>
            </w:r>
          </w:p>
        </w:tc>
        <w:tc>
          <w:tcPr>
            <w:tcW w:w="8220" w:type="dxa"/>
            <w:tcBorders>
              <w:top w:val="nil"/>
              <w:left w:val="nil"/>
              <w:bottom w:val="single" w:sz="12" w:space="0" w:color="000080"/>
              <w:right w:val="single" w:sz="12" w:space="0" w:color="000080"/>
            </w:tcBorders>
            <w:shd w:val="clear" w:color="auto" w:fill="F3F3F3"/>
          </w:tcPr>
          <w:p w:rsidR="00E97717" w:rsidRPr="0006030B" w:rsidRDefault="00E97717" w:rsidP="000F2BA7">
            <w:pPr>
              <w:spacing w:before="30" w:after="180"/>
              <w:jc w:val="left"/>
              <w:rPr>
                <w:b/>
                <w:bCs/>
                <w:color w:val="000080"/>
                <w:sz w:val="20"/>
                <w:lang w:val="en-US"/>
              </w:rPr>
            </w:pPr>
            <w:r w:rsidRPr="0006030B">
              <w:rPr>
                <w:b/>
                <w:bCs/>
                <w:color w:val="000080"/>
                <w:sz w:val="20"/>
                <w:lang w:val="en-US"/>
              </w:rPr>
              <w:t>Spectrum management</w:t>
            </w:r>
          </w:p>
        </w:tc>
      </w:tr>
    </w:tbl>
    <w:p w:rsidR="00E97717" w:rsidRDefault="00E97717" w:rsidP="00E97717">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97717" w:rsidTr="000F2BA7">
        <w:tc>
          <w:tcPr>
            <w:tcW w:w="720" w:type="dxa"/>
          </w:tcPr>
          <w:p w:rsidR="00E97717" w:rsidRDefault="00E97717" w:rsidP="000F2BA7">
            <w:pPr>
              <w:jc w:val="center"/>
              <w:rPr>
                <w:sz w:val="22"/>
                <w:lang w:val="en-US"/>
              </w:rPr>
            </w:pPr>
          </w:p>
        </w:tc>
      </w:tr>
    </w:tbl>
    <w:p w:rsidR="00E97717" w:rsidRDefault="00E97717" w:rsidP="00E97717">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E97717" w:rsidRPr="00D17B5B" w:rsidTr="000F2BA7">
        <w:tc>
          <w:tcPr>
            <w:tcW w:w="9360" w:type="dxa"/>
            <w:tcBorders>
              <w:top w:val="single" w:sz="12" w:space="0" w:color="000080"/>
              <w:left w:val="single" w:sz="12" w:space="0" w:color="000080"/>
              <w:bottom w:val="single" w:sz="12" w:space="0" w:color="000080"/>
              <w:right w:val="single" w:sz="12" w:space="0" w:color="000080"/>
            </w:tcBorders>
          </w:tcPr>
          <w:p w:rsidR="00E97717" w:rsidRPr="0038303E" w:rsidRDefault="00E97717" w:rsidP="000F2BA7">
            <w:pPr>
              <w:spacing w:after="120"/>
              <w:jc w:val="left"/>
              <w:rPr>
                <w:b/>
                <w:bCs/>
                <w:sz w:val="20"/>
                <w:lang w:val="en-US"/>
              </w:rPr>
            </w:pPr>
            <w:r w:rsidRPr="0038303E">
              <w:rPr>
                <w:b/>
                <w:bCs/>
                <w:i/>
                <w:iCs/>
                <w:sz w:val="20"/>
                <w:lang w:val="en-US"/>
              </w:rPr>
              <w:t>Note</w:t>
            </w:r>
            <w:r w:rsidRPr="0038303E">
              <w:rPr>
                <w:i/>
                <w:iCs/>
                <w:sz w:val="20"/>
                <w:lang w:val="en-US"/>
              </w:rPr>
              <w:t>: This ITU-R Report was approved in English by the Study Group under the procedure detailed in Resolution</w:t>
            </w:r>
            <w:r>
              <w:rPr>
                <w:i/>
                <w:iCs/>
                <w:sz w:val="20"/>
                <w:lang w:val="en-US"/>
              </w:rPr>
              <w:t> </w:t>
            </w:r>
            <w:r w:rsidRPr="0038303E">
              <w:rPr>
                <w:i/>
                <w:iCs/>
                <w:sz w:val="20"/>
                <w:lang w:val="en-US"/>
              </w:rPr>
              <w:t>ITU-R 1.</w:t>
            </w:r>
          </w:p>
        </w:tc>
      </w:tr>
    </w:tbl>
    <w:p w:rsidR="00E97717" w:rsidRDefault="00E97717" w:rsidP="00E97717">
      <w:pPr>
        <w:spacing w:before="0"/>
        <w:jc w:val="center"/>
        <w:rPr>
          <w:sz w:val="22"/>
          <w:lang w:val="en-US"/>
        </w:rPr>
      </w:pPr>
    </w:p>
    <w:p w:rsidR="00E97717" w:rsidRDefault="00E97717" w:rsidP="00E97717">
      <w:pPr>
        <w:spacing w:before="0"/>
        <w:jc w:val="center"/>
        <w:rPr>
          <w:sz w:val="22"/>
          <w:lang w:val="en-US"/>
        </w:rPr>
      </w:pPr>
    </w:p>
    <w:p w:rsidR="00E97717" w:rsidRDefault="00E97717" w:rsidP="00E97717">
      <w:pPr>
        <w:spacing w:before="0"/>
        <w:jc w:val="right"/>
        <w:rPr>
          <w:i/>
          <w:iCs/>
          <w:sz w:val="20"/>
          <w:lang w:val="en-US"/>
        </w:rPr>
      </w:pPr>
      <w:r>
        <w:rPr>
          <w:i/>
          <w:iCs/>
          <w:sz w:val="20"/>
          <w:lang w:val="en-US"/>
        </w:rPr>
        <w:t>Electronic Publication</w:t>
      </w:r>
    </w:p>
    <w:p w:rsidR="00E97717" w:rsidRDefault="00E97717" w:rsidP="00E97717">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sidR="00DC27A7">
        <w:rPr>
          <w:sz w:val="20"/>
          <w:lang w:val="en-US"/>
        </w:rPr>
        <w:t>, 2018</w:t>
      </w:r>
    </w:p>
    <w:p w:rsidR="00E97717" w:rsidRDefault="00E97717" w:rsidP="00E97717">
      <w:pPr>
        <w:jc w:val="center"/>
        <w:rPr>
          <w:sz w:val="20"/>
          <w:lang w:val="en-US"/>
        </w:rPr>
      </w:pPr>
      <w:r>
        <w:rPr>
          <w:sz w:val="20"/>
          <w:lang w:val="en-US"/>
        </w:rPr>
        <w:sym w:font="Symbol" w:char="00E3"/>
      </w:r>
      <w:r>
        <w:rPr>
          <w:sz w:val="20"/>
          <w:lang w:val="en-US"/>
        </w:rPr>
        <w:t xml:space="preserve"> ITU </w:t>
      </w:r>
      <w:bookmarkStart w:id="5" w:name="iiannee"/>
      <w:bookmarkEnd w:id="5"/>
      <w:r w:rsidR="00DC27A7">
        <w:rPr>
          <w:sz w:val="20"/>
          <w:lang w:val="en-US"/>
        </w:rPr>
        <w:t>2018</w:t>
      </w:r>
    </w:p>
    <w:p w:rsidR="00E97717" w:rsidRDefault="00E97717" w:rsidP="00E97717">
      <w:pPr>
        <w:rPr>
          <w:sz w:val="18"/>
          <w:szCs w:val="18"/>
          <w:lang w:val="en-US"/>
        </w:rPr>
      </w:pPr>
      <w:r>
        <w:rPr>
          <w:sz w:val="18"/>
          <w:szCs w:val="18"/>
          <w:lang w:val="en-US"/>
        </w:rPr>
        <w:t>All rights reserved. No part of this publication may be reproduced, by any means whatsoever, without written permission of ITU.</w:t>
      </w:r>
    </w:p>
    <w:p w:rsidR="00E97717" w:rsidRDefault="00E97717" w:rsidP="00E97717">
      <w:pPr>
        <w:tabs>
          <w:tab w:val="clear" w:pos="794"/>
          <w:tab w:val="clear" w:pos="1191"/>
          <w:tab w:val="clear" w:pos="1588"/>
          <w:tab w:val="clear" w:pos="1985"/>
        </w:tabs>
        <w:overflowPunct/>
        <w:autoSpaceDE/>
        <w:autoSpaceDN/>
        <w:adjustRightInd/>
        <w:spacing w:before="0"/>
        <w:jc w:val="left"/>
        <w:rPr>
          <w:i/>
          <w:sz w:val="20"/>
          <w:lang w:val="en-US"/>
        </w:rPr>
        <w:sectPr w:rsidR="00E97717">
          <w:pgSz w:w="11907" w:h="16834"/>
          <w:pgMar w:top="1418" w:right="1134" w:bottom="1134" w:left="1134" w:header="720" w:footer="482" w:gutter="0"/>
          <w:paperSrc w:first="15" w:other="15"/>
          <w:pgNumType w:fmt="lowerRoman" w:start="2"/>
          <w:cols w:space="720"/>
        </w:sectPr>
      </w:pPr>
    </w:p>
    <w:p w:rsidR="007F4B24" w:rsidRDefault="007F4B24" w:rsidP="007F4B24">
      <w:pPr>
        <w:pStyle w:val="RepNo"/>
        <w:spacing w:before="0"/>
        <w:rPr>
          <w:lang w:val="en-US"/>
        </w:rPr>
      </w:pPr>
      <w:bookmarkStart w:id="6" w:name="irecnoe"/>
      <w:bookmarkEnd w:id="6"/>
      <w:r w:rsidRPr="008D3D8D">
        <w:rPr>
          <w:lang w:val="en-US"/>
        </w:rPr>
        <w:lastRenderedPageBreak/>
        <w:t xml:space="preserve">REPORT  </w:t>
      </w:r>
      <w:r w:rsidRPr="008D3D8D">
        <w:rPr>
          <w:rStyle w:val="href"/>
          <w:lang w:val="en-US"/>
        </w:rPr>
        <w:t xml:space="preserve">ITU-R  </w:t>
      </w:r>
      <w:r>
        <w:rPr>
          <w:rStyle w:val="href"/>
          <w:lang w:val="en-US"/>
        </w:rPr>
        <w:t>SM</w:t>
      </w:r>
      <w:r w:rsidRPr="008D3D8D">
        <w:rPr>
          <w:rStyle w:val="href"/>
          <w:lang w:val="en-US"/>
        </w:rPr>
        <w:t>.</w:t>
      </w:r>
      <w:r>
        <w:rPr>
          <w:rStyle w:val="href"/>
          <w:lang w:val="en-US"/>
        </w:rPr>
        <w:t>2012-6</w:t>
      </w:r>
    </w:p>
    <w:p w:rsidR="007F4B24" w:rsidRPr="005B2348" w:rsidRDefault="007F4B24" w:rsidP="007F4B24">
      <w:pPr>
        <w:pStyle w:val="Reptitle"/>
        <w:rPr>
          <w:lang w:val="en-GB"/>
        </w:rPr>
      </w:pPr>
      <w:r w:rsidRPr="00A01420">
        <w:rPr>
          <w:rFonts w:ascii="Times New Roman Bold" w:hAnsi="Times New Roman Bold"/>
          <w:lang w:val="en-US" w:eastAsia="zh-CN"/>
        </w:rPr>
        <w:t>Economic aspects of spectrum management</w:t>
      </w:r>
    </w:p>
    <w:p w:rsidR="007F4B24" w:rsidRPr="005B2348" w:rsidRDefault="007F4B24" w:rsidP="007F4B24">
      <w:pPr>
        <w:pStyle w:val="Repdate"/>
        <w:rPr>
          <w:lang w:val="en-US"/>
        </w:rPr>
      </w:pPr>
      <w:r>
        <w:rPr>
          <w:lang w:val="en-US"/>
        </w:rPr>
        <w:t>(</w:t>
      </w:r>
      <w:r w:rsidRPr="00BD6197">
        <w:rPr>
          <w:lang w:val="en-US"/>
        </w:rPr>
        <w:t>1997-2000-2004-2010-2014</w:t>
      </w:r>
      <w:r>
        <w:rPr>
          <w:lang w:val="en-US"/>
        </w:rPr>
        <w:t>-2016-2018)</w:t>
      </w:r>
    </w:p>
    <w:p w:rsidR="00E97717" w:rsidRDefault="002A3F0C" w:rsidP="00E97717">
      <w:pPr>
        <w:pStyle w:val="Repref"/>
        <w:rPr>
          <w:lang w:val="en-US"/>
        </w:rPr>
      </w:pPr>
      <w:r w:rsidRPr="00DC27A7">
        <w:rPr>
          <w:lang w:val="en-GB"/>
        </w:rPr>
        <w:t xml:space="preserve">Question ITU-R </w:t>
      </w:r>
      <w:r w:rsidRPr="00DC27A7">
        <w:rPr>
          <w:rStyle w:val="InternetLink"/>
          <w:color w:val="auto"/>
          <w:u w:val="none"/>
          <w:lang w:val="en-GB"/>
        </w:rPr>
        <w:t>240/1</w:t>
      </w:r>
    </w:p>
    <w:p w:rsidR="00E97717" w:rsidRPr="00BD6197" w:rsidRDefault="00E97717" w:rsidP="00E97717">
      <w:pPr>
        <w:rPr>
          <w:lang w:val="en-US"/>
        </w:rPr>
      </w:pPr>
    </w:p>
    <w:p w:rsidR="00E97717" w:rsidRPr="00BD6197" w:rsidRDefault="00E97717" w:rsidP="00E97717">
      <w:pPr>
        <w:jc w:val="center"/>
        <w:rPr>
          <w:b/>
          <w:lang w:val="en-US"/>
        </w:rPr>
      </w:pPr>
      <w:r w:rsidRPr="00BD6197">
        <w:rPr>
          <w:b/>
          <w:lang w:val="en-US"/>
        </w:rPr>
        <w:t>TABLE OF CONTENTS</w:t>
      </w:r>
    </w:p>
    <w:p w:rsidR="00E97717" w:rsidRPr="00BD6197" w:rsidRDefault="00E97717" w:rsidP="003E54FB">
      <w:pPr>
        <w:pStyle w:val="toc0"/>
        <w:tabs>
          <w:tab w:val="clear" w:pos="9611"/>
          <w:tab w:val="left" w:pos="8647"/>
        </w:tabs>
        <w:ind w:right="992"/>
        <w:rPr>
          <w:lang w:val="en-US"/>
        </w:rPr>
      </w:pPr>
      <w:r w:rsidRPr="00BD6197">
        <w:rPr>
          <w:lang w:val="en-US"/>
        </w:rPr>
        <w:tab/>
        <w:t>Page</w:t>
      </w:r>
    </w:p>
    <w:p w:rsidR="003E54FB" w:rsidRDefault="003E54FB" w:rsidP="003E54FB">
      <w:pPr>
        <w:pStyle w:val="TOC1"/>
        <w:spacing w:before="0"/>
        <w:rPr>
          <w:rFonts w:asciiTheme="minorHAnsi" w:eastAsiaTheme="minorEastAsia" w:hAnsiTheme="minorHAnsi" w:cstheme="minorBidi"/>
          <w:noProof/>
          <w:sz w:val="22"/>
          <w:szCs w:val="22"/>
          <w:lang w:val="en-GB" w:eastAsia="en-GB"/>
        </w:rPr>
      </w:pPr>
      <w:r>
        <w:fldChar w:fldCharType="begin"/>
      </w:r>
      <w:r>
        <w:instrText xml:space="preserve"> TOC \o "1-3" \h \z \u </w:instrText>
      </w:r>
      <w:r>
        <w:fldChar w:fldCharType="separate"/>
      </w:r>
    </w:p>
    <w:p w:rsidR="003E54FB" w:rsidRDefault="003C5F80" w:rsidP="003E54FB">
      <w:pPr>
        <w:pStyle w:val="TOC1"/>
        <w:rPr>
          <w:rFonts w:asciiTheme="minorHAnsi" w:eastAsiaTheme="minorEastAsia" w:hAnsiTheme="minorHAnsi" w:cstheme="minorBidi"/>
          <w:noProof/>
          <w:sz w:val="22"/>
          <w:szCs w:val="22"/>
          <w:lang w:val="en-GB" w:eastAsia="en-GB"/>
        </w:rPr>
      </w:pPr>
      <w:hyperlink w:anchor="_Toc518394130" w:history="1">
        <w:r w:rsidR="003E54FB" w:rsidRPr="00FB2C38">
          <w:rPr>
            <w:rStyle w:val="Hyperlink"/>
            <w:noProof/>
          </w:rPr>
          <w:t>CHAPTER 1</w:t>
        </w:r>
        <w:r w:rsidR="003E54FB">
          <w:rPr>
            <w:rStyle w:val="Hyperlink"/>
            <w:noProof/>
          </w:rPr>
          <w:t xml:space="preserve"> –</w:t>
        </w:r>
      </w:hyperlink>
      <w:r w:rsidR="003E54FB" w:rsidRPr="003E54FB">
        <w:rPr>
          <w:rStyle w:val="Hyperlink"/>
          <w:noProof/>
          <w:u w:val="none"/>
        </w:rPr>
        <w:t xml:space="preserve"> </w:t>
      </w:r>
      <w:hyperlink w:anchor="_Toc518394131" w:history="1">
        <w:r w:rsidR="003E54FB" w:rsidRPr="00FB2C38">
          <w:rPr>
            <w:rStyle w:val="Hyperlink"/>
            <w:noProof/>
          </w:rPr>
          <w:t>Introduction to economic considerations</w:t>
        </w:r>
        <w:r w:rsidR="003E54FB">
          <w:rPr>
            <w:noProof/>
            <w:webHidden/>
          </w:rPr>
          <w:tab/>
        </w:r>
        <w:r w:rsidR="003E54FB">
          <w:rPr>
            <w:noProof/>
            <w:webHidden/>
          </w:rPr>
          <w:fldChar w:fldCharType="begin"/>
        </w:r>
        <w:r w:rsidR="003E54FB">
          <w:rPr>
            <w:noProof/>
            <w:webHidden/>
          </w:rPr>
          <w:instrText xml:space="preserve"> PAGEREF _Toc518394131 \h </w:instrText>
        </w:r>
        <w:r w:rsidR="003E54FB">
          <w:rPr>
            <w:noProof/>
            <w:webHidden/>
          </w:rPr>
        </w:r>
        <w:r w:rsidR="003E54FB">
          <w:rPr>
            <w:noProof/>
            <w:webHidden/>
          </w:rPr>
          <w:fldChar w:fldCharType="separate"/>
        </w:r>
        <w:r>
          <w:rPr>
            <w:noProof/>
            <w:webHidden/>
          </w:rPr>
          <w:t>10</w:t>
        </w:r>
        <w:r w:rsidR="003E54FB">
          <w:rPr>
            <w:noProof/>
            <w:webHidden/>
          </w:rPr>
          <w:fldChar w:fldCharType="end"/>
        </w:r>
      </w:hyperlink>
    </w:p>
    <w:p w:rsidR="003E54FB" w:rsidRDefault="003C5F80">
      <w:pPr>
        <w:pStyle w:val="TOC2"/>
        <w:rPr>
          <w:rFonts w:asciiTheme="minorHAnsi" w:eastAsiaTheme="minorEastAsia" w:hAnsiTheme="minorHAnsi" w:cstheme="minorBidi"/>
          <w:noProof/>
          <w:sz w:val="22"/>
          <w:szCs w:val="22"/>
          <w:lang w:val="en-GB" w:eastAsia="en-GB"/>
        </w:rPr>
      </w:pPr>
      <w:hyperlink w:anchor="_Toc518394132" w:history="1">
        <w:r w:rsidR="003E54FB" w:rsidRPr="00FB2C38">
          <w:rPr>
            <w:rStyle w:val="Hyperlink"/>
            <w:noProof/>
          </w:rPr>
          <w:t>1.1</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Need for spectrum economic approach</w:t>
        </w:r>
        <w:r w:rsidR="003E54FB">
          <w:rPr>
            <w:noProof/>
            <w:webHidden/>
          </w:rPr>
          <w:tab/>
        </w:r>
        <w:r w:rsidR="003E54FB">
          <w:rPr>
            <w:noProof/>
            <w:webHidden/>
          </w:rPr>
          <w:fldChar w:fldCharType="begin"/>
        </w:r>
        <w:r w:rsidR="003E54FB">
          <w:rPr>
            <w:noProof/>
            <w:webHidden/>
          </w:rPr>
          <w:instrText xml:space="preserve"> PAGEREF _Toc518394132 \h </w:instrText>
        </w:r>
        <w:r w:rsidR="003E54FB">
          <w:rPr>
            <w:noProof/>
            <w:webHidden/>
          </w:rPr>
        </w:r>
        <w:r w:rsidR="003E54FB">
          <w:rPr>
            <w:noProof/>
            <w:webHidden/>
          </w:rPr>
          <w:fldChar w:fldCharType="separate"/>
        </w:r>
        <w:r>
          <w:rPr>
            <w:noProof/>
            <w:webHidden/>
          </w:rPr>
          <w:t>10</w:t>
        </w:r>
        <w:r w:rsidR="003E54FB">
          <w:rPr>
            <w:noProof/>
            <w:webHidden/>
          </w:rPr>
          <w:fldChar w:fldCharType="end"/>
        </w:r>
      </w:hyperlink>
    </w:p>
    <w:p w:rsidR="003E54FB" w:rsidRDefault="003C5F80">
      <w:pPr>
        <w:pStyle w:val="TOC2"/>
        <w:rPr>
          <w:rFonts w:asciiTheme="minorHAnsi" w:eastAsiaTheme="minorEastAsia" w:hAnsiTheme="minorHAnsi" w:cstheme="minorBidi"/>
          <w:noProof/>
          <w:sz w:val="22"/>
          <w:szCs w:val="22"/>
          <w:lang w:val="en-GB" w:eastAsia="en-GB"/>
        </w:rPr>
      </w:pPr>
      <w:hyperlink w:anchor="_Toc518394133" w:history="1">
        <w:r w:rsidR="003E54FB" w:rsidRPr="00FB2C38">
          <w:rPr>
            <w:rStyle w:val="Hyperlink"/>
            <w:noProof/>
          </w:rPr>
          <w:t>1.2</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Requirements for national spectrum management</w:t>
        </w:r>
        <w:r w:rsidR="003E54FB">
          <w:rPr>
            <w:noProof/>
            <w:webHidden/>
          </w:rPr>
          <w:tab/>
        </w:r>
        <w:r w:rsidR="003E54FB">
          <w:rPr>
            <w:noProof/>
            <w:webHidden/>
          </w:rPr>
          <w:fldChar w:fldCharType="begin"/>
        </w:r>
        <w:r w:rsidR="003E54FB">
          <w:rPr>
            <w:noProof/>
            <w:webHidden/>
          </w:rPr>
          <w:instrText xml:space="preserve"> PAGEREF _Toc518394133 \h </w:instrText>
        </w:r>
        <w:r w:rsidR="003E54FB">
          <w:rPr>
            <w:noProof/>
            <w:webHidden/>
          </w:rPr>
        </w:r>
        <w:r w:rsidR="003E54FB">
          <w:rPr>
            <w:noProof/>
            <w:webHidden/>
          </w:rPr>
          <w:fldChar w:fldCharType="separate"/>
        </w:r>
        <w:r>
          <w:rPr>
            <w:noProof/>
            <w:webHidden/>
          </w:rPr>
          <w:t>10</w:t>
        </w:r>
        <w:r w:rsidR="003E54FB">
          <w:rPr>
            <w:noProof/>
            <w:webHidden/>
          </w:rPr>
          <w:fldChar w:fldCharType="end"/>
        </w:r>
      </w:hyperlink>
    </w:p>
    <w:p w:rsidR="003E54FB" w:rsidRDefault="003C5F80">
      <w:pPr>
        <w:pStyle w:val="TOC2"/>
        <w:rPr>
          <w:rFonts w:asciiTheme="minorHAnsi" w:eastAsiaTheme="minorEastAsia" w:hAnsiTheme="minorHAnsi" w:cstheme="minorBidi"/>
          <w:noProof/>
          <w:sz w:val="22"/>
          <w:szCs w:val="22"/>
          <w:lang w:val="en-GB" w:eastAsia="en-GB"/>
        </w:rPr>
      </w:pPr>
      <w:hyperlink w:anchor="_Toc518394134" w:history="1">
        <w:r w:rsidR="003E54FB" w:rsidRPr="00FB2C38">
          <w:rPr>
            <w:rStyle w:val="Hyperlink"/>
            <w:noProof/>
          </w:rPr>
          <w:t>1.3</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Goals and objectives</w:t>
        </w:r>
        <w:r w:rsidR="003E54FB">
          <w:rPr>
            <w:noProof/>
            <w:webHidden/>
          </w:rPr>
          <w:tab/>
        </w:r>
        <w:r w:rsidR="003E54FB">
          <w:rPr>
            <w:noProof/>
            <w:webHidden/>
          </w:rPr>
          <w:fldChar w:fldCharType="begin"/>
        </w:r>
        <w:r w:rsidR="003E54FB">
          <w:rPr>
            <w:noProof/>
            <w:webHidden/>
          </w:rPr>
          <w:instrText xml:space="preserve"> PAGEREF _Toc518394134 \h </w:instrText>
        </w:r>
        <w:r w:rsidR="003E54FB">
          <w:rPr>
            <w:noProof/>
            <w:webHidden/>
          </w:rPr>
        </w:r>
        <w:r w:rsidR="003E54FB">
          <w:rPr>
            <w:noProof/>
            <w:webHidden/>
          </w:rPr>
          <w:fldChar w:fldCharType="separate"/>
        </w:r>
        <w:r>
          <w:rPr>
            <w:noProof/>
            <w:webHidden/>
          </w:rPr>
          <w:t>11</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135" w:history="1">
        <w:r w:rsidR="003E54FB" w:rsidRPr="00FB2C38">
          <w:rPr>
            <w:rStyle w:val="Hyperlink"/>
            <w:noProof/>
          </w:rPr>
          <w:t>1.3.1</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Radiocommunications law</w:t>
        </w:r>
        <w:r w:rsidR="003E54FB">
          <w:rPr>
            <w:noProof/>
            <w:webHidden/>
          </w:rPr>
          <w:tab/>
        </w:r>
        <w:r w:rsidR="003E54FB">
          <w:rPr>
            <w:noProof/>
            <w:webHidden/>
          </w:rPr>
          <w:fldChar w:fldCharType="begin"/>
        </w:r>
        <w:r w:rsidR="003E54FB">
          <w:rPr>
            <w:noProof/>
            <w:webHidden/>
          </w:rPr>
          <w:instrText xml:space="preserve"> PAGEREF _Toc518394135 \h </w:instrText>
        </w:r>
        <w:r w:rsidR="003E54FB">
          <w:rPr>
            <w:noProof/>
            <w:webHidden/>
          </w:rPr>
        </w:r>
        <w:r w:rsidR="003E54FB">
          <w:rPr>
            <w:noProof/>
            <w:webHidden/>
          </w:rPr>
          <w:fldChar w:fldCharType="separate"/>
        </w:r>
        <w:r>
          <w:rPr>
            <w:noProof/>
            <w:webHidden/>
          </w:rPr>
          <w:t>11</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136" w:history="1">
        <w:r w:rsidR="003E54FB" w:rsidRPr="00FB2C38">
          <w:rPr>
            <w:rStyle w:val="Hyperlink"/>
            <w:noProof/>
          </w:rPr>
          <w:t>1.3.2</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National allocation tables</w:t>
        </w:r>
        <w:r w:rsidR="003E54FB">
          <w:rPr>
            <w:noProof/>
            <w:webHidden/>
          </w:rPr>
          <w:tab/>
        </w:r>
        <w:r w:rsidR="003E54FB">
          <w:rPr>
            <w:noProof/>
            <w:webHidden/>
          </w:rPr>
          <w:fldChar w:fldCharType="begin"/>
        </w:r>
        <w:r w:rsidR="003E54FB">
          <w:rPr>
            <w:noProof/>
            <w:webHidden/>
          </w:rPr>
          <w:instrText xml:space="preserve"> PAGEREF _Toc518394136 \h </w:instrText>
        </w:r>
        <w:r w:rsidR="003E54FB">
          <w:rPr>
            <w:noProof/>
            <w:webHidden/>
          </w:rPr>
        </w:r>
        <w:r w:rsidR="003E54FB">
          <w:rPr>
            <w:noProof/>
            <w:webHidden/>
          </w:rPr>
          <w:fldChar w:fldCharType="separate"/>
        </w:r>
        <w:r>
          <w:rPr>
            <w:noProof/>
            <w:webHidden/>
          </w:rPr>
          <w:t>11</w:t>
        </w:r>
        <w:r w:rsidR="003E54FB">
          <w:rPr>
            <w:noProof/>
            <w:webHidden/>
          </w:rPr>
          <w:fldChar w:fldCharType="end"/>
        </w:r>
      </w:hyperlink>
    </w:p>
    <w:p w:rsidR="003E54FB" w:rsidRDefault="003C5F80">
      <w:pPr>
        <w:pStyle w:val="TOC2"/>
        <w:rPr>
          <w:rFonts w:asciiTheme="minorHAnsi" w:eastAsiaTheme="minorEastAsia" w:hAnsiTheme="minorHAnsi" w:cstheme="minorBidi"/>
          <w:noProof/>
          <w:sz w:val="22"/>
          <w:szCs w:val="22"/>
          <w:lang w:val="en-GB" w:eastAsia="en-GB"/>
        </w:rPr>
      </w:pPr>
      <w:hyperlink w:anchor="_Toc518394137" w:history="1">
        <w:r w:rsidR="003E54FB" w:rsidRPr="00FB2C38">
          <w:rPr>
            <w:rStyle w:val="Hyperlink"/>
            <w:noProof/>
          </w:rPr>
          <w:t>1.4</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Structure and coordination</w:t>
        </w:r>
        <w:r w:rsidR="003E54FB">
          <w:rPr>
            <w:noProof/>
            <w:webHidden/>
          </w:rPr>
          <w:tab/>
        </w:r>
        <w:r w:rsidR="003E54FB">
          <w:rPr>
            <w:noProof/>
            <w:webHidden/>
          </w:rPr>
          <w:fldChar w:fldCharType="begin"/>
        </w:r>
        <w:r w:rsidR="003E54FB">
          <w:rPr>
            <w:noProof/>
            <w:webHidden/>
          </w:rPr>
          <w:instrText xml:space="preserve"> PAGEREF _Toc518394137 \h </w:instrText>
        </w:r>
        <w:r w:rsidR="003E54FB">
          <w:rPr>
            <w:noProof/>
            <w:webHidden/>
          </w:rPr>
        </w:r>
        <w:r w:rsidR="003E54FB">
          <w:rPr>
            <w:noProof/>
            <w:webHidden/>
          </w:rPr>
          <w:fldChar w:fldCharType="separate"/>
        </w:r>
        <w:r>
          <w:rPr>
            <w:noProof/>
            <w:webHidden/>
          </w:rPr>
          <w:t>11</w:t>
        </w:r>
        <w:r w:rsidR="003E54FB">
          <w:rPr>
            <w:noProof/>
            <w:webHidden/>
          </w:rPr>
          <w:fldChar w:fldCharType="end"/>
        </w:r>
      </w:hyperlink>
    </w:p>
    <w:p w:rsidR="003E54FB" w:rsidRDefault="003C5F80">
      <w:pPr>
        <w:pStyle w:val="TOC2"/>
        <w:rPr>
          <w:rFonts w:asciiTheme="minorHAnsi" w:eastAsiaTheme="minorEastAsia" w:hAnsiTheme="minorHAnsi" w:cstheme="minorBidi"/>
          <w:noProof/>
          <w:sz w:val="22"/>
          <w:szCs w:val="22"/>
          <w:lang w:val="en-GB" w:eastAsia="en-GB"/>
        </w:rPr>
      </w:pPr>
      <w:hyperlink w:anchor="_Toc518394138" w:history="1">
        <w:r w:rsidR="003E54FB" w:rsidRPr="00FB2C38">
          <w:rPr>
            <w:rStyle w:val="Hyperlink"/>
            <w:noProof/>
          </w:rPr>
          <w:t>1.5</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Functional responsibilities</w:t>
        </w:r>
        <w:r w:rsidR="003E54FB">
          <w:rPr>
            <w:noProof/>
            <w:webHidden/>
          </w:rPr>
          <w:tab/>
        </w:r>
        <w:r w:rsidR="003E54FB">
          <w:rPr>
            <w:noProof/>
            <w:webHidden/>
          </w:rPr>
          <w:fldChar w:fldCharType="begin"/>
        </w:r>
        <w:r w:rsidR="003E54FB">
          <w:rPr>
            <w:noProof/>
            <w:webHidden/>
          </w:rPr>
          <w:instrText xml:space="preserve"> PAGEREF _Toc518394138 \h </w:instrText>
        </w:r>
        <w:r w:rsidR="003E54FB">
          <w:rPr>
            <w:noProof/>
            <w:webHidden/>
          </w:rPr>
        </w:r>
        <w:r w:rsidR="003E54FB">
          <w:rPr>
            <w:noProof/>
            <w:webHidden/>
          </w:rPr>
          <w:fldChar w:fldCharType="separate"/>
        </w:r>
        <w:r>
          <w:rPr>
            <w:noProof/>
            <w:webHidden/>
          </w:rPr>
          <w:t>11</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139" w:history="1">
        <w:r w:rsidR="003E54FB" w:rsidRPr="00FB2C38">
          <w:rPr>
            <w:rStyle w:val="Hyperlink"/>
            <w:noProof/>
          </w:rPr>
          <w:t>1.5.1</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Spectrum management policy and planning/allocation of spectrum</w:t>
        </w:r>
        <w:r w:rsidR="003E54FB">
          <w:rPr>
            <w:noProof/>
            <w:webHidden/>
          </w:rPr>
          <w:tab/>
        </w:r>
        <w:r w:rsidR="003E54FB">
          <w:rPr>
            <w:noProof/>
            <w:webHidden/>
          </w:rPr>
          <w:fldChar w:fldCharType="begin"/>
        </w:r>
        <w:r w:rsidR="003E54FB">
          <w:rPr>
            <w:noProof/>
            <w:webHidden/>
          </w:rPr>
          <w:instrText xml:space="preserve"> PAGEREF _Toc518394139 \h </w:instrText>
        </w:r>
        <w:r w:rsidR="003E54FB">
          <w:rPr>
            <w:noProof/>
            <w:webHidden/>
          </w:rPr>
        </w:r>
        <w:r w:rsidR="003E54FB">
          <w:rPr>
            <w:noProof/>
            <w:webHidden/>
          </w:rPr>
          <w:fldChar w:fldCharType="separate"/>
        </w:r>
        <w:r>
          <w:rPr>
            <w:noProof/>
            <w:webHidden/>
          </w:rPr>
          <w:t>12</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140" w:history="1">
        <w:r w:rsidR="003E54FB" w:rsidRPr="00FB2C38">
          <w:rPr>
            <w:rStyle w:val="Hyperlink"/>
            <w:noProof/>
          </w:rPr>
          <w:t>1.5.2</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Frequency assignment and licensing</w:t>
        </w:r>
        <w:r w:rsidR="003E54FB">
          <w:rPr>
            <w:noProof/>
            <w:webHidden/>
          </w:rPr>
          <w:tab/>
        </w:r>
        <w:r w:rsidR="003E54FB">
          <w:rPr>
            <w:noProof/>
            <w:webHidden/>
          </w:rPr>
          <w:fldChar w:fldCharType="begin"/>
        </w:r>
        <w:r w:rsidR="003E54FB">
          <w:rPr>
            <w:noProof/>
            <w:webHidden/>
          </w:rPr>
          <w:instrText xml:space="preserve"> PAGEREF _Toc518394140 \h </w:instrText>
        </w:r>
        <w:r w:rsidR="003E54FB">
          <w:rPr>
            <w:noProof/>
            <w:webHidden/>
          </w:rPr>
        </w:r>
        <w:r w:rsidR="003E54FB">
          <w:rPr>
            <w:noProof/>
            <w:webHidden/>
          </w:rPr>
          <w:fldChar w:fldCharType="separate"/>
        </w:r>
        <w:r>
          <w:rPr>
            <w:noProof/>
            <w:webHidden/>
          </w:rPr>
          <w:t>12</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141" w:history="1">
        <w:r w:rsidR="003E54FB" w:rsidRPr="00FB2C38">
          <w:rPr>
            <w:rStyle w:val="Hyperlink"/>
            <w:noProof/>
          </w:rPr>
          <w:t>1.5.3</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International cooperation</w:t>
        </w:r>
        <w:r w:rsidR="003E54FB">
          <w:rPr>
            <w:noProof/>
            <w:webHidden/>
          </w:rPr>
          <w:tab/>
        </w:r>
        <w:r w:rsidR="003E54FB">
          <w:rPr>
            <w:noProof/>
            <w:webHidden/>
          </w:rPr>
          <w:fldChar w:fldCharType="begin"/>
        </w:r>
        <w:r w:rsidR="003E54FB">
          <w:rPr>
            <w:noProof/>
            <w:webHidden/>
          </w:rPr>
          <w:instrText xml:space="preserve"> PAGEREF _Toc518394141 \h </w:instrText>
        </w:r>
        <w:r w:rsidR="003E54FB">
          <w:rPr>
            <w:noProof/>
            <w:webHidden/>
          </w:rPr>
        </w:r>
        <w:r w:rsidR="003E54FB">
          <w:rPr>
            <w:noProof/>
            <w:webHidden/>
          </w:rPr>
          <w:fldChar w:fldCharType="separate"/>
        </w:r>
        <w:r>
          <w:rPr>
            <w:noProof/>
            <w:webHidden/>
          </w:rPr>
          <w:t>12</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142" w:history="1">
        <w:r w:rsidR="003E54FB" w:rsidRPr="00FB2C38">
          <w:rPr>
            <w:rStyle w:val="Hyperlink"/>
            <w:noProof/>
          </w:rPr>
          <w:t>1.5.4</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Liaison and consultation</w:t>
        </w:r>
        <w:r w:rsidR="003E54FB">
          <w:rPr>
            <w:noProof/>
            <w:webHidden/>
          </w:rPr>
          <w:tab/>
        </w:r>
        <w:r w:rsidR="003E54FB">
          <w:rPr>
            <w:noProof/>
            <w:webHidden/>
          </w:rPr>
          <w:fldChar w:fldCharType="begin"/>
        </w:r>
        <w:r w:rsidR="003E54FB">
          <w:rPr>
            <w:noProof/>
            <w:webHidden/>
          </w:rPr>
          <w:instrText xml:space="preserve"> PAGEREF _Toc518394142 \h </w:instrText>
        </w:r>
        <w:r w:rsidR="003E54FB">
          <w:rPr>
            <w:noProof/>
            <w:webHidden/>
          </w:rPr>
        </w:r>
        <w:r w:rsidR="003E54FB">
          <w:rPr>
            <w:noProof/>
            <w:webHidden/>
          </w:rPr>
          <w:fldChar w:fldCharType="separate"/>
        </w:r>
        <w:r>
          <w:rPr>
            <w:noProof/>
            <w:webHidden/>
          </w:rPr>
          <w:t>12</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143" w:history="1">
        <w:r w:rsidR="003E54FB" w:rsidRPr="00FB2C38">
          <w:rPr>
            <w:rStyle w:val="Hyperlink"/>
            <w:noProof/>
          </w:rPr>
          <w:t>1.5.5</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Spectrum engineering support</w:t>
        </w:r>
        <w:r w:rsidR="003E54FB">
          <w:rPr>
            <w:noProof/>
            <w:webHidden/>
          </w:rPr>
          <w:tab/>
        </w:r>
        <w:r w:rsidR="003E54FB">
          <w:rPr>
            <w:noProof/>
            <w:webHidden/>
          </w:rPr>
          <w:fldChar w:fldCharType="begin"/>
        </w:r>
        <w:r w:rsidR="003E54FB">
          <w:rPr>
            <w:noProof/>
            <w:webHidden/>
          </w:rPr>
          <w:instrText xml:space="preserve"> PAGEREF _Toc518394143 \h </w:instrText>
        </w:r>
        <w:r w:rsidR="003E54FB">
          <w:rPr>
            <w:noProof/>
            <w:webHidden/>
          </w:rPr>
        </w:r>
        <w:r w:rsidR="003E54FB">
          <w:rPr>
            <w:noProof/>
            <w:webHidden/>
          </w:rPr>
          <w:fldChar w:fldCharType="separate"/>
        </w:r>
        <w:r>
          <w:rPr>
            <w:noProof/>
            <w:webHidden/>
          </w:rPr>
          <w:t>12</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144" w:history="1">
        <w:r w:rsidR="003E54FB" w:rsidRPr="00FB2C38">
          <w:rPr>
            <w:rStyle w:val="Hyperlink"/>
            <w:noProof/>
          </w:rPr>
          <w:t>1.5.6</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Computer support</w:t>
        </w:r>
        <w:r w:rsidR="003E54FB">
          <w:rPr>
            <w:noProof/>
            <w:webHidden/>
          </w:rPr>
          <w:tab/>
        </w:r>
        <w:r w:rsidR="003E54FB">
          <w:rPr>
            <w:noProof/>
            <w:webHidden/>
          </w:rPr>
          <w:fldChar w:fldCharType="begin"/>
        </w:r>
        <w:r w:rsidR="003E54FB">
          <w:rPr>
            <w:noProof/>
            <w:webHidden/>
          </w:rPr>
          <w:instrText xml:space="preserve"> PAGEREF _Toc518394144 \h </w:instrText>
        </w:r>
        <w:r w:rsidR="003E54FB">
          <w:rPr>
            <w:noProof/>
            <w:webHidden/>
          </w:rPr>
        </w:r>
        <w:r w:rsidR="003E54FB">
          <w:rPr>
            <w:noProof/>
            <w:webHidden/>
          </w:rPr>
          <w:fldChar w:fldCharType="separate"/>
        </w:r>
        <w:r>
          <w:rPr>
            <w:noProof/>
            <w:webHidden/>
          </w:rPr>
          <w:t>13</w:t>
        </w:r>
        <w:r w:rsidR="003E54FB">
          <w:rPr>
            <w:noProof/>
            <w:webHidden/>
          </w:rPr>
          <w:fldChar w:fldCharType="end"/>
        </w:r>
      </w:hyperlink>
    </w:p>
    <w:p w:rsidR="003E54FB" w:rsidRDefault="003C5F80">
      <w:pPr>
        <w:pStyle w:val="TOC2"/>
        <w:rPr>
          <w:rFonts w:asciiTheme="minorHAnsi" w:eastAsiaTheme="minorEastAsia" w:hAnsiTheme="minorHAnsi" w:cstheme="minorBidi"/>
          <w:noProof/>
          <w:sz w:val="22"/>
          <w:szCs w:val="22"/>
          <w:lang w:val="en-GB" w:eastAsia="en-GB"/>
        </w:rPr>
      </w:pPr>
      <w:hyperlink w:anchor="_Toc518394145" w:history="1">
        <w:r w:rsidR="003E54FB" w:rsidRPr="00FB2C38">
          <w:rPr>
            <w:rStyle w:val="Hyperlink"/>
            <w:noProof/>
          </w:rPr>
          <w:t>1.6</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Performance of spectrum management functions</w:t>
        </w:r>
        <w:r w:rsidR="003E54FB">
          <w:rPr>
            <w:noProof/>
            <w:webHidden/>
          </w:rPr>
          <w:tab/>
        </w:r>
        <w:r w:rsidR="003E54FB">
          <w:rPr>
            <w:noProof/>
            <w:webHidden/>
          </w:rPr>
          <w:fldChar w:fldCharType="begin"/>
        </w:r>
        <w:r w:rsidR="003E54FB">
          <w:rPr>
            <w:noProof/>
            <w:webHidden/>
          </w:rPr>
          <w:instrText xml:space="preserve"> PAGEREF _Toc518394145 \h </w:instrText>
        </w:r>
        <w:r w:rsidR="003E54FB">
          <w:rPr>
            <w:noProof/>
            <w:webHidden/>
          </w:rPr>
        </w:r>
        <w:r w:rsidR="003E54FB">
          <w:rPr>
            <w:noProof/>
            <w:webHidden/>
          </w:rPr>
          <w:fldChar w:fldCharType="separate"/>
        </w:r>
        <w:r>
          <w:rPr>
            <w:noProof/>
            <w:webHidden/>
          </w:rPr>
          <w:t>13</w:t>
        </w:r>
        <w:r w:rsidR="003E54FB">
          <w:rPr>
            <w:noProof/>
            <w:webHidden/>
          </w:rPr>
          <w:fldChar w:fldCharType="end"/>
        </w:r>
      </w:hyperlink>
    </w:p>
    <w:p w:rsidR="003E54FB" w:rsidRDefault="003C5F80" w:rsidP="003E54FB">
      <w:pPr>
        <w:pStyle w:val="TOC1"/>
        <w:rPr>
          <w:rFonts w:asciiTheme="minorHAnsi" w:eastAsiaTheme="minorEastAsia" w:hAnsiTheme="minorHAnsi" w:cstheme="minorBidi"/>
          <w:noProof/>
          <w:sz w:val="22"/>
          <w:szCs w:val="22"/>
          <w:lang w:val="en-GB" w:eastAsia="en-GB"/>
        </w:rPr>
      </w:pPr>
      <w:hyperlink w:anchor="_Toc518394146" w:history="1">
        <w:r w:rsidR="003E54FB" w:rsidRPr="00FB2C38">
          <w:rPr>
            <w:rStyle w:val="Hyperlink"/>
            <w:noProof/>
          </w:rPr>
          <w:t>CHAPTER 2</w:t>
        </w:r>
        <w:r w:rsidR="003E54FB">
          <w:rPr>
            <w:rStyle w:val="Hyperlink"/>
            <w:noProof/>
          </w:rPr>
          <w:t xml:space="preserve"> –</w:t>
        </w:r>
      </w:hyperlink>
      <w:r w:rsidR="003E54FB" w:rsidRPr="003E54FB">
        <w:rPr>
          <w:rStyle w:val="Hyperlink"/>
          <w:noProof/>
          <w:u w:val="none"/>
        </w:rPr>
        <w:t xml:space="preserve"> </w:t>
      </w:r>
      <w:hyperlink w:anchor="_Toc518394147" w:history="1">
        <w:r w:rsidR="003E54FB" w:rsidRPr="00FB2C38">
          <w:rPr>
            <w:rStyle w:val="Hyperlink"/>
            <w:noProof/>
          </w:rPr>
          <w:t>Strategies for spectrum financing mechanisms</w:t>
        </w:r>
        <w:r w:rsidR="003E54FB">
          <w:rPr>
            <w:noProof/>
            <w:webHidden/>
          </w:rPr>
          <w:tab/>
        </w:r>
        <w:r w:rsidR="003E54FB">
          <w:rPr>
            <w:noProof/>
            <w:webHidden/>
          </w:rPr>
          <w:fldChar w:fldCharType="begin"/>
        </w:r>
        <w:r w:rsidR="003E54FB">
          <w:rPr>
            <w:noProof/>
            <w:webHidden/>
          </w:rPr>
          <w:instrText xml:space="preserve"> PAGEREF _Toc518394147 \h </w:instrText>
        </w:r>
        <w:r w:rsidR="003E54FB">
          <w:rPr>
            <w:noProof/>
            <w:webHidden/>
          </w:rPr>
        </w:r>
        <w:r w:rsidR="003E54FB">
          <w:rPr>
            <w:noProof/>
            <w:webHidden/>
          </w:rPr>
          <w:fldChar w:fldCharType="separate"/>
        </w:r>
        <w:r>
          <w:rPr>
            <w:noProof/>
            <w:webHidden/>
          </w:rPr>
          <w:t>13</w:t>
        </w:r>
        <w:r w:rsidR="003E54FB">
          <w:rPr>
            <w:noProof/>
            <w:webHidden/>
          </w:rPr>
          <w:fldChar w:fldCharType="end"/>
        </w:r>
      </w:hyperlink>
    </w:p>
    <w:p w:rsidR="003E54FB" w:rsidRDefault="003C5F80">
      <w:pPr>
        <w:pStyle w:val="TOC2"/>
        <w:rPr>
          <w:rFonts w:asciiTheme="minorHAnsi" w:eastAsiaTheme="minorEastAsia" w:hAnsiTheme="minorHAnsi" w:cstheme="minorBidi"/>
          <w:noProof/>
          <w:sz w:val="22"/>
          <w:szCs w:val="22"/>
          <w:lang w:val="en-GB" w:eastAsia="en-GB"/>
        </w:rPr>
      </w:pPr>
      <w:hyperlink w:anchor="_Toc518394148" w:history="1">
        <w:r w:rsidR="003E54FB" w:rsidRPr="00FB2C38">
          <w:rPr>
            <w:rStyle w:val="Hyperlink"/>
            <w:noProof/>
          </w:rPr>
          <w:t>2.1</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Background</w:t>
        </w:r>
        <w:r w:rsidR="003E54FB">
          <w:rPr>
            <w:noProof/>
            <w:webHidden/>
          </w:rPr>
          <w:tab/>
        </w:r>
        <w:r w:rsidR="003E54FB">
          <w:rPr>
            <w:noProof/>
            <w:webHidden/>
          </w:rPr>
          <w:fldChar w:fldCharType="begin"/>
        </w:r>
        <w:r w:rsidR="003E54FB">
          <w:rPr>
            <w:noProof/>
            <w:webHidden/>
          </w:rPr>
          <w:instrText xml:space="preserve"> PAGEREF _Toc518394148 \h </w:instrText>
        </w:r>
        <w:r w:rsidR="003E54FB">
          <w:rPr>
            <w:noProof/>
            <w:webHidden/>
          </w:rPr>
        </w:r>
        <w:r w:rsidR="003E54FB">
          <w:rPr>
            <w:noProof/>
            <w:webHidden/>
          </w:rPr>
          <w:fldChar w:fldCharType="separate"/>
        </w:r>
        <w:r>
          <w:rPr>
            <w:noProof/>
            <w:webHidden/>
          </w:rPr>
          <w:t>13</w:t>
        </w:r>
        <w:r w:rsidR="003E54FB">
          <w:rPr>
            <w:noProof/>
            <w:webHidden/>
          </w:rPr>
          <w:fldChar w:fldCharType="end"/>
        </w:r>
      </w:hyperlink>
    </w:p>
    <w:p w:rsidR="003E54FB" w:rsidRDefault="003C5F80">
      <w:pPr>
        <w:pStyle w:val="TOC2"/>
        <w:rPr>
          <w:rFonts w:asciiTheme="minorHAnsi" w:eastAsiaTheme="minorEastAsia" w:hAnsiTheme="minorHAnsi" w:cstheme="minorBidi"/>
          <w:noProof/>
          <w:sz w:val="22"/>
          <w:szCs w:val="22"/>
          <w:lang w:val="en-GB" w:eastAsia="en-GB"/>
        </w:rPr>
      </w:pPr>
      <w:hyperlink w:anchor="_Toc518394149" w:history="1">
        <w:r w:rsidR="003E54FB" w:rsidRPr="00FB2C38">
          <w:rPr>
            <w:rStyle w:val="Hyperlink"/>
            <w:noProof/>
          </w:rPr>
          <w:t>2.2</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Basic principles for financing national spectrum management</w:t>
        </w:r>
        <w:r w:rsidR="003E54FB">
          <w:rPr>
            <w:noProof/>
            <w:webHidden/>
          </w:rPr>
          <w:tab/>
        </w:r>
        <w:r w:rsidR="003E54FB">
          <w:rPr>
            <w:noProof/>
            <w:webHidden/>
          </w:rPr>
          <w:fldChar w:fldCharType="begin"/>
        </w:r>
        <w:r w:rsidR="003E54FB">
          <w:rPr>
            <w:noProof/>
            <w:webHidden/>
          </w:rPr>
          <w:instrText xml:space="preserve"> PAGEREF _Toc518394149 \h </w:instrText>
        </w:r>
        <w:r w:rsidR="003E54FB">
          <w:rPr>
            <w:noProof/>
            <w:webHidden/>
          </w:rPr>
        </w:r>
        <w:r w:rsidR="003E54FB">
          <w:rPr>
            <w:noProof/>
            <w:webHidden/>
          </w:rPr>
          <w:fldChar w:fldCharType="separate"/>
        </w:r>
        <w:r>
          <w:rPr>
            <w:noProof/>
            <w:webHidden/>
          </w:rPr>
          <w:t>13</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150" w:history="1">
        <w:r w:rsidR="003E54FB" w:rsidRPr="00FB2C38">
          <w:rPr>
            <w:rStyle w:val="Hyperlink"/>
            <w:noProof/>
          </w:rPr>
          <w:t>2.2.1</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Legal principles</w:t>
        </w:r>
        <w:r w:rsidR="003E54FB">
          <w:rPr>
            <w:noProof/>
            <w:webHidden/>
          </w:rPr>
          <w:tab/>
        </w:r>
        <w:r w:rsidR="003E54FB">
          <w:rPr>
            <w:noProof/>
            <w:webHidden/>
          </w:rPr>
          <w:fldChar w:fldCharType="begin"/>
        </w:r>
        <w:r w:rsidR="003E54FB">
          <w:rPr>
            <w:noProof/>
            <w:webHidden/>
          </w:rPr>
          <w:instrText xml:space="preserve"> PAGEREF _Toc518394150 \h </w:instrText>
        </w:r>
        <w:r w:rsidR="003E54FB">
          <w:rPr>
            <w:noProof/>
            <w:webHidden/>
          </w:rPr>
        </w:r>
        <w:r w:rsidR="003E54FB">
          <w:rPr>
            <w:noProof/>
            <w:webHidden/>
          </w:rPr>
          <w:fldChar w:fldCharType="separate"/>
        </w:r>
        <w:r>
          <w:rPr>
            <w:noProof/>
            <w:webHidden/>
          </w:rPr>
          <w:t>13</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151" w:history="1">
        <w:r w:rsidR="003E54FB" w:rsidRPr="00FB2C38">
          <w:rPr>
            <w:rStyle w:val="Hyperlink"/>
            <w:noProof/>
          </w:rPr>
          <w:t>2.2.2</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Economic principles</w:t>
        </w:r>
        <w:r w:rsidR="003E54FB">
          <w:rPr>
            <w:noProof/>
            <w:webHidden/>
          </w:rPr>
          <w:tab/>
        </w:r>
        <w:r w:rsidR="003E54FB">
          <w:rPr>
            <w:noProof/>
            <w:webHidden/>
          </w:rPr>
          <w:fldChar w:fldCharType="begin"/>
        </w:r>
        <w:r w:rsidR="003E54FB">
          <w:rPr>
            <w:noProof/>
            <w:webHidden/>
          </w:rPr>
          <w:instrText xml:space="preserve"> PAGEREF _Toc518394151 \h </w:instrText>
        </w:r>
        <w:r w:rsidR="003E54FB">
          <w:rPr>
            <w:noProof/>
            <w:webHidden/>
          </w:rPr>
        </w:r>
        <w:r w:rsidR="003E54FB">
          <w:rPr>
            <w:noProof/>
            <w:webHidden/>
          </w:rPr>
          <w:fldChar w:fldCharType="separate"/>
        </w:r>
        <w:r>
          <w:rPr>
            <w:noProof/>
            <w:webHidden/>
          </w:rPr>
          <w:t>14</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152" w:history="1">
        <w:r w:rsidR="003E54FB" w:rsidRPr="00FB2C38">
          <w:rPr>
            <w:rStyle w:val="Hyperlink"/>
            <w:noProof/>
          </w:rPr>
          <w:t>2.2.3</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Reality principles</w:t>
        </w:r>
        <w:r w:rsidR="003E54FB">
          <w:rPr>
            <w:noProof/>
            <w:webHidden/>
          </w:rPr>
          <w:tab/>
        </w:r>
        <w:r w:rsidR="003E54FB">
          <w:rPr>
            <w:noProof/>
            <w:webHidden/>
          </w:rPr>
          <w:fldChar w:fldCharType="begin"/>
        </w:r>
        <w:r w:rsidR="003E54FB">
          <w:rPr>
            <w:noProof/>
            <w:webHidden/>
          </w:rPr>
          <w:instrText xml:space="preserve"> PAGEREF _Toc518394152 \h </w:instrText>
        </w:r>
        <w:r w:rsidR="003E54FB">
          <w:rPr>
            <w:noProof/>
            <w:webHidden/>
          </w:rPr>
        </w:r>
        <w:r w:rsidR="003E54FB">
          <w:rPr>
            <w:noProof/>
            <w:webHidden/>
          </w:rPr>
          <w:fldChar w:fldCharType="separate"/>
        </w:r>
        <w:r>
          <w:rPr>
            <w:noProof/>
            <w:webHidden/>
          </w:rPr>
          <w:t>14</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153" w:history="1">
        <w:r w:rsidR="003E54FB" w:rsidRPr="00FB2C38">
          <w:rPr>
            <w:rStyle w:val="Hyperlink"/>
            <w:noProof/>
          </w:rPr>
          <w:t>2.2.4</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Approaches by different administrations</w:t>
        </w:r>
        <w:r w:rsidR="003E54FB">
          <w:rPr>
            <w:noProof/>
            <w:webHidden/>
          </w:rPr>
          <w:tab/>
        </w:r>
        <w:r w:rsidR="003E54FB">
          <w:rPr>
            <w:noProof/>
            <w:webHidden/>
          </w:rPr>
          <w:fldChar w:fldCharType="begin"/>
        </w:r>
        <w:r w:rsidR="003E54FB">
          <w:rPr>
            <w:noProof/>
            <w:webHidden/>
          </w:rPr>
          <w:instrText xml:space="preserve"> PAGEREF _Toc518394153 \h </w:instrText>
        </w:r>
        <w:r w:rsidR="003E54FB">
          <w:rPr>
            <w:noProof/>
            <w:webHidden/>
          </w:rPr>
        </w:r>
        <w:r w:rsidR="003E54FB">
          <w:rPr>
            <w:noProof/>
            <w:webHidden/>
          </w:rPr>
          <w:fldChar w:fldCharType="separate"/>
        </w:r>
        <w:r>
          <w:rPr>
            <w:noProof/>
            <w:webHidden/>
          </w:rPr>
          <w:t>15</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154" w:history="1">
        <w:r w:rsidR="003E54FB" w:rsidRPr="00FB2C38">
          <w:rPr>
            <w:rStyle w:val="Hyperlink"/>
            <w:noProof/>
          </w:rPr>
          <w:t>2.2.5</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Advantages and disadvantages of these approaches</w:t>
        </w:r>
        <w:r w:rsidR="003E54FB">
          <w:rPr>
            <w:noProof/>
            <w:webHidden/>
          </w:rPr>
          <w:tab/>
        </w:r>
        <w:r w:rsidR="003E54FB">
          <w:rPr>
            <w:noProof/>
            <w:webHidden/>
          </w:rPr>
          <w:fldChar w:fldCharType="begin"/>
        </w:r>
        <w:r w:rsidR="003E54FB">
          <w:rPr>
            <w:noProof/>
            <w:webHidden/>
          </w:rPr>
          <w:instrText xml:space="preserve"> PAGEREF _Toc518394154 \h </w:instrText>
        </w:r>
        <w:r w:rsidR="003E54FB">
          <w:rPr>
            <w:noProof/>
            <w:webHidden/>
          </w:rPr>
        </w:r>
        <w:r w:rsidR="003E54FB">
          <w:rPr>
            <w:noProof/>
            <w:webHidden/>
          </w:rPr>
          <w:fldChar w:fldCharType="separate"/>
        </w:r>
        <w:r>
          <w:rPr>
            <w:noProof/>
            <w:webHidden/>
          </w:rPr>
          <w:t>15</w:t>
        </w:r>
        <w:r w:rsidR="003E54FB">
          <w:rPr>
            <w:noProof/>
            <w:webHidden/>
          </w:rPr>
          <w:fldChar w:fldCharType="end"/>
        </w:r>
      </w:hyperlink>
    </w:p>
    <w:p w:rsidR="003E54FB" w:rsidRDefault="003C5F80">
      <w:pPr>
        <w:pStyle w:val="TOC2"/>
        <w:rPr>
          <w:rFonts w:asciiTheme="minorHAnsi" w:eastAsiaTheme="minorEastAsia" w:hAnsiTheme="minorHAnsi" w:cstheme="minorBidi"/>
          <w:noProof/>
          <w:sz w:val="22"/>
          <w:szCs w:val="22"/>
          <w:lang w:val="en-GB" w:eastAsia="en-GB"/>
        </w:rPr>
      </w:pPr>
      <w:hyperlink w:anchor="_Toc518394155" w:history="1">
        <w:r w:rsidR="003E54FB" w:rsidRPr="00FB2C38">
          <w:rPr>
            <w:rStyle w:val="Hyperlink"/>
            <w:noProof/>
          </w:rPr>
          <w:t>2.3</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Economic approaches used to promote efficient national spectrum management</w:t>
        </w:r>
        <w:r w:rsidR="003E54FB">
          <w:rPr>
            <w:noProof/>
            <w:webHidden/>
          </w:rPr>
          <w:tab/>
        </w:r>
        <w:r w:rsidR="003E54FB">
          <w:rPr>
            <w:noProof/>
            <w:webHidden/>
          </w:rPr>
          <w:fldChar w:fldCharType="begin"/>
        </w:r>
        <w:r w:rsidR="003E54FB">
          <w:rPr>
            <w:noProof/>
            <w:webHidden/>
          </w:rPr>
          <w:instrText xml:space="preserve"> PAGEREF _Toc518394155 \h </w:instrText>
        </w:r>
        <w:r w:rsidR="003E54FB">
          <w:rPr>
            <w:noProof/>
            <w:webHidden/>
          </w:rPr>
        </w:r>
        <w:r w:rsidR="003E54FB">
          <w:rPr>
            <w:noProof/>
            <w:webHidden/>
          </w:rPr>
          <w:fldChar w:fldCharType="separate"/>
        </w:r>
        <w:r>
          <w:rPr>
            <w:noProof/>
            <w:webHidden/>
          </w:rPr>
          <w:t>16</w:t>
        </w:r>
        <w:r w:rsidR="003E54FB">
          <w:rPr>
            <w:noProof/>
            <w:webHidden/>
          </w:rPr>
          <w:fldChar w:fldCharType="end"/>
        </w:r>
      </w:hyperlink>
    </w:p>
    <w:p w:rsidR="003E54FB" w:rsidRPr="00BD6197" w:rsidRDefault="003E54FB" w:rsidP="003E54FB">
      <w:pPr>
        <w:pStyle w:val="toc0"/>
        <w:tabs>
          <w:tab w:val="clear" w:pos="9611"/>
          <w:tab w:val="left" w:pos="8647"/>
        </w:tabs>
        <w:ind w:right="992"/>
        <w:rPr>
          <w:noProof/>
          <w:lang w:val="en-US"/>
        </w:rPr>
      </w:pPr>
      <w:r w:rsidRPr="00BD6197">
        <w:rPr>
          <w:noProof/>
          <w:lang w:val="en-US"/>
        </w:rPr>
        <w:lastRenderedPageBreak/>
        <w:tab/>
        <w:t>Page</w:t>
      </w:r>
    </w:p>
    <w:p w:rsidR="003E54FB" w:rsidRDefault="003C5F80">
      <w:pPr>
        <w:pStyle w:val="TOC3"/>
        <w:rPr>
          <w:rFonts w:asciiTheme="minorHAnsi" w:eastAsiaTheme="minorEastAsia" w:hAnsiTheme="minorHAnsi" w:cstheme="minorBidi"/>
          <w:noProof/>
          <w:sz w:val="22"/>
          <w:szCs w:val="22"/>
          <w:lang w:val="en-GB" w:eastAsia="en-GB"/>
        </w:rPr>
      </w:pPr>
      <w:hyperlink w:anchor="_Toc518394156" w:history="1">
        <w:r w:rsidR="003E54FB" w:rsidRPr="00FB2C38">
          <w:rPr>
            <w:rStyle w:val="Hyperlink"/>
            <w:noProof/>
          </w:rPr>
          <w:t>2.3.1</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Spectrum assignment methods</w:t>
        </w:r>
        <w:r w:rsidR="003E54FB">
          <w:rPr>
            <w:noProof/>
            <w:webHidden/>
          </w:rPr>
          <w:tab/>
        </w:r>
        <w:r w:rsidR="003E54FB">
          <w:rPr>
            <w:noProof/>
            <w:webHidden/>
          </w:rPr>
          <w:fldChar w:fldCharType="begin"/>
        </w:r>
        <w:r w:rsidR="003E54FB">
          <w:rPr>
            <w:noProof/>
            <w:webHidden/>
          </w:rPr>
          <w:instrText xml:space="preserve"> PAGEREF _Toc518394156 \h </w:instrText>
        </w:r>
        <w:r w:rsidR="003E54FB">
          <w:rPr>
            <w:noProof/>
            <w:webHidden/>
          </w:rPr>
        </w:r>
        <w:r w:rsidR="003E54FB">
          <w:rPr>
            <w:noProof/>
            <w:webHidden/>
          </w:rPr>
          <w:fldChar w:fldCharType="separate"/>
        </w:r>
        <w:r>
          <w:rPr>
            <w:noProof/>
            <w:webHidden/>
          </w:rPr>
          <w:t>17</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157" w:history="1">
        <w:r w:rsidR="003E54FB" w:rsidRPr="00FB2C38">
          <w:rPr>
            <w:rStyle w:val="Hyperlink"/>
            <w:noProof/>
          </w:rPr>
          <w:t>2.3.2</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Transferable and flexible spectrum rights</w:t>
        </w:r>
        <w:r w:rsidR="003E54FB">
          <w:rPr>
            <w:noProof/>
            <w:webHidden/>
          </w:rPr>
          <w:tab/>
        </w:r>
        <w:r w:rsidR="003E54FB">
          <w:rPr>
            <w:noProof/>
            <w:webHidden/>
          </w:rPr>
          <w:fldChar w:fldCharType="begin"/>
        </w:r>
        <w:r w:rsidR="003E54FB">
          <w:rPr>
            <w:noProof/>
            <w:webHidden/>
          </w:rPr>
          <w:instrText xml:space="preserve"> PAGEREF _Toc518394157 \h </w:instrText>
        </w:r>
        <w:r w:rsidR="003E54FB">
          <w:rPr>
            <w:noProof/>
            <w:webHidden/>
          </w:rPr>
        </w:r>
        <w:r w:rsidR="003E54FB">
          <w:rPr>
            <w:noProof/>
            <w:webHidden/>
          </w:rPr>
          <w:fldChar w:fldCharType="separate"/>
        </w:r>
        <w:r>
          <w:rPr>
            <w:noProof/>
            <w:webHidden/>
          </w:rPr>
          <w:t>18</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158" w:history="1">
        <w:r w:rsidR="003E54FB" w:rsidRPr="00FB2C38">
          <w:rPr>
            <w:rStyle w:val="Hyperlink"/>
            <w:noProof/>
          </w:rPr>
          <w:t>2.3.3</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Advantages and disadvantages of auctions and transferable spectrum rights</w:t>
        </w:r>
        <w:r w:rsidR="003E54FB">
          <w:rPr>
            <w:noProof/>
            <w:webHidden/>
          </w:rPr>
          <w:tab/>
        </w:r>
        <w:r w:rsidR="003E54FB">
          <w:rPr>
            <w:noProof/>
            <w:webHidden/>
          </w:rPr>
          <w:fldChar w:fldCharType="begin"/>
        </w:r>
        <w:r w:rsidR="003E54FB">
          <w:rPr>
            <w:noProof/>
            <w:webHidden/>
          </w:rPr>
          <w:instrText xml:space="preserve"> PAGEREF _Toc518394158 \h </w:instrText>
        </w:r>
        <w:r w:rsidR="003E54FB">
          <w:rPr>
            <w:noProof/>
            <w:webHidden/>
          </w:rPr>
        </w:r>
        <w:r w:rsidR="003E54FB">
          <w:rPr>
            <w:noProof/>
            <w:webHidden/>
          </w:rPr>
          <w:fldChar w:fldCharType="separate"/>
        </w:r>
        <w:r>
          <w:rPr>
            <w:noProof/>
            <w:webHidden/>
          </w:rPr>
          <w:t>19</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159" w:history="1">
        <w:r w:rsidR="003E54FB" w:rsidRPr="00FB2C38">
          <w:rPr>
            <w:rStyle w:val="Hyperlink"/>
            <w:noProof/>
          </w:rPr>
          <w:t>2.3.4</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Licence fees</w:t>
        </w:r>
        <w:r w:rsidR="003E54FB">
          <w:rPr>
            <w:noProof/>
            <w:webHidden/>
          </w:rPr>
          <w:tab/>
        </w:r>
        <w:r w:rsidR="003E54FB">
          <w:rPr>
            <w:noProof/>
            <w:webHidden/>
          </w:rPr>
          <w:fldChar w:fldCharType="begin"/>
        </w:r>
        <w:r w:rsidR="003E54FB">
          <w:rPr>
            <w:noProof/>
            <w:webHidden/>
          </w:rPr>
          <w:instrText xml:space="preserve"> PAGEREF _Toc518394159 \h </w:instrText>
        </w:r>
        <w:r w:rsidR="003E54FB">
          <w:rPr>
            <w:noProof/>
            <w:webHidden/>
          </w:rPr>
        </w:r>
        <w:r w:rsidR="003E54FB">
          <w:rPr>
            <w:noProof/>
            <w:webHidden/>
          </w:rPr>
          <w:fldChar w:fldCharType="separate"/>
        </w:r>
        <w:r>
          <w:rPr>
            <w:noProof/>
            <w:webHidden/>
          </w:rPr>
          <w:t>20</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160" w:history="1">
        <w:r w:rsidR="003E54FB" w:rsidRPr="00FB2C38">
          <w:rPr>
            <w:rStyle w:val="Hyperlink"/>
            <w:noProof/>
          </w:rPr>
          <w:t>2.3.5</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Advantages and disadvantages of fee approaches</w:t>
        </w:r>
        <w:r w:rsidR="003E54FB">
          <w:rPr>
            <w:noProof/>
            <w:webHidden/>
          </w:rPr>
          <w:tab/>
        </w:r>
        <w:r w:rsidR="003E54FB">
          <w:rPr>
            <w:noProof/>
            <w:webHidden/>
          </w:rPr>
          <w:fldChar w:fldCharType="begin"/>
        </w:r>
        <w:r w:rsidR="003E54FB">
          <w:rPr>
            <w:noProof/>
            <w:webHidden/>
          </w:rPr>
          <w:instrText xml:space="preserve"> PAGEREF _Toc518394160 \h </w:instrText>
        </w:r>
        <w:r w:rsidR="003E54FB">
          <w:rPr>
            <w:noProof/>
            <w:webHidden/>
          </w:rPr>
        </w:r>
        <w:r w:rsidR="003E54FB">
          <w:rPr>
            <w:noProof/>
            <w:webHidden/>
          </w:rPr>
          <w:fldChar w:fldCharType="separate"/>
        </w:r>
        <w:r>
          <w:rPr>
            <w:noProof/>
            <w:webHidden/>
          </w:rPr>
          <w:t>24</w:t>
        </w:r>
        <w:r w:rsidR="003E54FB">
          <w:rPr>
            <w:noProof/>
            <w:webHidden/>
          </w:rPr>
          <w:fldChar w:fldCharType="end"/>
        </w:r>
      </w:hyperlink>
    </w:p>
    <w:p w:rsidR="003E54FB" w:rsidRDefault="003C5F80">
      <w:pPr>
        <w:pStyle w:val="TOC2"/>
        <w:rPr>
          <w:rFonts w:asciiTheme="minorHAnsi" w:eastAsiaTheme="minorEastAsia" w:hAnsiTheme="minorHAnsi" w:cstheme="minorBidi"/>
          <w:noProof/>
          <w:sz w:val="22"/>
          <w:szCs w:val="22"/>
          <w:lang w:val="en-GB" w:eastAsia="en-GB"/>
        </w:rPr>
      </w:pPr>
      <w:hyperlink w:anchor="_Toc518394161" w:history="1">
        <w:r w:rsidR="003E54FB" w:rsidRPr="00FB2C38">
          <w:rPr>
            <w:rStyle w:val="Hyperlink"/>
            <w:noProof/>
          </w:rPr>
          <w:t>2.4</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Factors that could affect various economic approaches</w:t>
        </w:r>
        <w:r w:rsidR="003E54FB">
          <w:rPr>
            <w:noProof/>
            <w:webHidden/>
          </w:rPr>
          <w:tab/>
        </w:r>
        <w:r w:rsidR="003E54FB">
          <w:rPr>
            <w:noProof/>
            <w:webHidden/>
          </w:rPr>
          <w:fldChar w:fldCharType="begin"/>
        </w:r>
        <w:r w:rsidR="003E54FB">
          <w:rPr>
            <w:noProof/>
            <w:webHidden/>
          </w:rPr>
          <w:instrText xml:space="preserve"> PAGEREF _Toc518394161 \h </w:instrText>
        </w:r>
        <w:r w:rsidR="003E54FB">
          <w:rPr>
            <w:noProof/>
            <w:webHidden/>
          </w:rPr>
        </w:r>
        <w:r w:rsidR="003E54FB">
          <w:rPr>
            <w:noProof/>
            <w:webHidden/>
          </w:rPr>
          <w:fldChar w:fldCharType="separate"/>
        </w:r>
        <w:r>
          <w:rPr>
            <w:noProof/>
            <w:webHidden/>
          </w:rPr>
          <w:t>26</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162" w:history="1">
        <w:r w:rsidR="003E54FB" w:rsidRPr="00FB2C38">
          <w:rPr>
            <w:rStyle w:val="Hyperlink"/>
            <w:noProof/>
          </w:rPr>
          <w:t>2.4.1</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Auctions</w:t>
        </w:r>
        <w:r w:rsidR="003E54FB">
          <w:rPr>
            <w:noProof/>
            <w:webHidden/>
          </w:rPr>
          <w:tab/>
        </w:r>
        <w:r w:rsidR="003E54FB">
          <w:rPr>
            <w:noProof/>
            <w:webHidden/>
          </w:rPr>
          <w:fldChar w:fldCharType="begin"/>
        </w:r>
        <w:r w:rsidR="003E54FB">
          <w:rPr>
            <w:noProof/>
            <w:webHidden/>
          </w:rPr>
          <w:instrText xml:space="preserve"> PAGEREF _Toc518394162 \h </w:instrText>
        </w:r>
        <w:r w:rsidR="003E54FB">
          <w:rPr>
            <w:noProof/>
            <w:webHidden/>
          </w:rPr>
        </w:r>
        <w:r w:rsidR="003E54FB">
          <w:rPr>
            <w:noProof/>
            <w:webHidden/>
          </w:rPr>
          <w:fldChar w:fldCharType="separate"/>
        </w:r>
        <w:r>
          <w:rPr>
            <w:noProof/>
            <w:webHidden/>
          </w:rPr>
          <w:t>26</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163" w:history="1">
        <w:r w:rsidR="003E54FB" w:rsidRPr="00FB2C38">
          <w:rPr>
            <w:rStyle w:val="Hyperlink"/>
            <w:noProof/>
          </w:rPr>
          <w:t>2.4.2</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Transferable property rights</w:t>
        </w:r>
        <w:r w:rsidR="003E54FB">
          <w:rPr>
            <w:noProof/>
            <w:webHidden/>
          </w:rPr>
          <w:tab/>
        </w:r>
        <w:r w:rsidR="003E54FB">
          <w:rPr>
            <w:noProof/>
            <w:webHidden/>
          </w:rPr>
          <w:fldChar w:fldCharType="begin"/>
        </w:r>
        <w:r w:rsidR="003E54FB">
          <w:rPr>
            <w:noProof/>
            <w:webHidden/>
          </w:rPr>
          <w:instrText xml:space="preserve"> PAGEREF _Toc518394163 \h </w:instrText>
        </w:r>
        <w:r w:rsidR="003E54FB">
          <w:rPr>
            <w:noProof/>
            <w:webHidden/>
          </w:rPr>
        </w:r>
        <w:r w:rsidR="003E54FB">
          <w:rPr>
            <w:noProof/>
            <w:webHidden/>
          </w:rPr>
          <w:fldChar w:fldCharType="separate"/>
        </w:r>
        <w:r>
          <w:rPr>
            <w:noProof/>
            <w:webHidden/>
          </w:rPr>
          <w:t>28</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164" w:history="1">
        <w:r w:rsidR="003E54FB" w:rsidRPr="00FB2C38">
          <w:rPr>
            <w:rStyle w:val="Hyperlink"/>
            <w:noProof/>
          </w:rPr>
          <w:t>2.4.3</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Licence fees</w:t>
        </w:r>
        <w:r w:rsidR="003E54FB">
          <w:rPr>
            <w:noProof/>
            <w:webHidden/>
          </w:rPr>
          <w:tab/>
        </w:r>
        <w:r w:rsidR="003E54FB">
          <w:rPr>
            <w:noProof/>
            <w:webHidden/>
          </w:rPr>
          <w:fldChar w:fldCharType="begin"/>
        </w:r>
        <w:r w:rsidR="003E54FB">
          <w:rPr>
            <w:noProof/>
            <w:webHidden/>
          </w:rPr>
          <w:instrText xml:space="preserve"> PAGEREF _Toc518394164 \h </w:instrText>
        </w:r>
        <w:r w:rsidR="003E54FB">
          <w:rPr>
            <w:noProof/>
            <w:webHidden/>
          </w:rPr>
        </w:r>
        <w:r w:rsidR="003E54FB">
          <w:rPr>
            <w:noProof/>
            <w:webHidden/>
          </w:rPr>
          <w:fldChar w:fldCharType="separate"/>
        </w:r>
        <w:r>
          <w:rPr>
            <w:noProof/>
            <w:webHidden/>
          </w:rPr>
          <w:t>28</w:t>
        </w:r>
        <w:r w:rsidR="003E54FB">
          <w:rPr>
            <w:noProof/>
            <w:webHidden/>
          </w:rPr>
          <w:fldChar w:fldCharType="end"/>
        </w:r>
      </w:hyperlink>
    </w:p>
    <w:p w:rsidR="003E54FB" w:rsidRDefault="003C5F80">
      <w:pPr>
        <w:pStyle w:val="TOC2"/>
        <w:rPr>
          <w:rFonts w:asciiTheme="minorHAnsi" w:eastAsiaTheme="minorEastAsia" w:hAnsiTheme="minorHAnsi" w:cstheme="minorBidi"/>
          <w:noProof/>
          <w:sz w:val="22"/>
          <w:szCs w:val="22"/>
          <w:lang w:val="en-GB" w:eastAsia="en-GB"/>
        </w:rPr>
      </w:pPr>
      <w:hyperlink w:anchor="_Toc518394165" w:history="1">
        <w:r w:rsidR="003E54FB" w:rsidRPr="00FB2C38">
          <w:rPr>
            <w:rStyle w:val="Hyperlink"/>
            <w:noProof/>
          </w:rPr>
          <w:t>2.5</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Managing a change in spectrum management funding</w:t>
        </w:r>
        <w:r w:rsidR="003E54FB">
          <w:rPr>
            <w:noProof/>
            <w:webHidden/>
          </w:rPr>
          <w:tab/>
        </w:r>
        <w:r w:rsidR="003E54FB">
          <w:rPr>
            <w:noProof/>
            <w:webHidden/>
          </w:rPr>
          <w:fldChar w:fldCharType="begin"/>
        </w:r>
        <w:r w:rsidR="003E54FB">
          <w:rPr>
            <w:noProof/>
            <w:webHidden/>
          </w:rPr>
          <w:instrText xml:space="preserve"> PAGEREF _Toc518394165 \h </w:instrText>
        </w:r>
        <w:r w:rsidR="003E54FB">
          <w:rPr>
            <w:noProof/>
            <w:webHidden/>
          </w:rPr>
        </w:r>
        <w:r w:rsidR="003E54FB">
          <w:rPr>
            <w:noProof/>
            <w:webHidden/>
          </w:rPr>
          <w:fldChar w:fldCharType="separate"/>
        </w:r>
        <w:r>
          <w:rPr>
            <w:noProof/>
            <w:webHidden/>
          </w:rPr>
          <w:t>29</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166" w:history="1">
        <w:r w:rsidR="003E54FB" w:rsidRPr="00FB2C38">
          <w:rPr>
            <w:rStyle w:val="Hyperlink"/>
            <w:noProof/>
          </w:rPr>
          <w:t>2.5.1</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Legal</w:t>
        </w:r>
        <w:r w:rsidR="003E54FB">
          <w:rPr>
            <w:noProof/>
            <w:webHidden/>
          </w:rPr>
          <w:tab/>
        </w:r>
        <w:r w:rsidR="003E54FB">
          <w:rPr>
            <w:noProof/>
            <w:webHidden/>
          </w:rPr>
          <w:fldChar w:fldCharType="begin"/>
        </w:r>
        <w:r w:rsidR="003E54FB">
          <w:rPr>
            <w:noProof/>
            <w:webHidden/>
          </w:rPr>
          <w:instrText xml:space="preserve"> PAGEREF _Toc518394166 \h </w:instrText>
        </w:r>
        <w:r w:rsidR="003E54FB">
          <w:rPr>
            <w:noProof/>
            <w:webHidden/>
          </w:rPr>
        </w:r>
        <w:r w:rsidR="003E54FB">
          <w:rPr>
            <w:noProof/>
            <w:webHidden/>
          </w:rPr>
          <w:fldChar w:fldCharType="separate"/>
        </w:r>
        <w:r>
          <w:rPr>
            <w:noProof/>
            <w:webHidden/>
          </w:rPr>
          <w:t>29</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167" w:history="1">
        <w:r w:rsidR="003E54FB" w:rsidRPr="00FB2C38">
          <w:rPr>
            <w:rStyle w:val="Hyperlink"/>
            <w:noProof/>
          </w:rPr>
          <w:t>2.5.2</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International obligations</w:t>
        </w:r>
        <w:r w:rsidR="003E54FB">
          <w:rPr>
            <w:noProof/>
            <w:webHidden/>
          </w:rPr>
          <w:tab/>
        </w:r>
        <w:r w:rsidR="003E54FB">
          <w:rPr>
            <w:noProof/>
            <w:webHidden/>
          </w:rPr>
          <w:fldChar w:fldCharType="begin"/>
        </w:r>
        <w:r w:rsidR="003E54FB">
          <w:rPr>
            <w:noProof/>
            <w:webHidden/>
          </w:rPr>
          <w:instrText xml:space="preserve"> PAGEREF _Toc518394167 \h </w:instrText>
        </w:r>
        <w:r w:rsidR="003E54FB">
          <w:rPr>
            <w:noProof/>
            <w:webHidden/>
          </w:rPr>
        </w:r>
        <w:r w:rsidR="003E54FB">
          <w:rPr>
            <w:noProof/>
            <w:webHidden/>
          </w:rPr>
          <w:fldChar w:fldCharType="separate"/>
        </w:r>
        <w:r>
          <w:rPr>
            <w:noProof/>
            <w:webHidden/>
          </w:rPr>
          <w:t>29</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168" w:history="1">
        <w:r w:rsidR="003E54FB" w:rsidRPr="00FB2C38">
          <w:rPr>
            <w:rStyle w:val="Hyperlink"/>
            <w:noProof/>
          </w:rPr>
          <w:t>2.5.3</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Funding implications</w:t>
        </w:r>
        <w:r w:rsidR="003E54FB">
          <w:rPr>
            <w:noProof/>
            <w:webHidden/>
          </w:rPr>
          <w:tab/>
        </w:r>
        <w:r w:rsidR="003E54FB">
          <w:rPr>
            <w:noProof/>
            <w:webHidden/>
          </w:rPr>
          <w:fldChar w:fldCharType="begin"/>
        </w:r>
        <w:r w:rsidR="003E54FB">
          <w:rPr>
            <w:noProof/>
            <w:webHidden/>
          </w:rPr>
          <w:instrText xml:space="preserve"> PAGEREF _Toc518394168 \h </w:instrText>
        </w:r>
        <w:r w:rsidR="003E54FB">
          <w:rPr>
            <w:noProof/>
            <w:webHidden/>
          </w:rPr>
        </w:r>
        <w:r w:rsidR="003E54FB">
          <w:rPr>
            <w:noProof/>
            <w:webHidden/>
          </w:rPr>
          <w:fldChar w:fldCharType="separate"/>
        </w:r>
        <w:r>
          <w:rPr>
            <w:noProof/>
            <w:webHidden/>
          </w:rPr>
          <w:t>29</w:t>
        </w:r>
        <w:r w:rsidR="003E54FB">
          <w:rPr>
            <w:noProof/>
            <w:webHidden/>
          </w:rPr>
          <w:fldChar w:fldCharType="end"/>
        </w:r>
      </w:hyperlink>
    </w:p>
    <w:p w:rsidR="003E54FB" w:rsidRDefault="003C5F80">
      <w:pPr>
        <w:pStyle w:val="TOC2"/>
        <w:rPr>
          <w:rFonts w:asciiTheme="minorHAnsi" w:eastAsiaTheme="minorEastAsia" w:hAnsiTheme="minorHAnsi" w:cstheme="minorBidi"/>
          <w:noProof/>
          <w:sz w:val="22"/>
          <w:szCs w:val="22"/>
          <w:lang w:val="en-GB" w:eastAsia="en-GB"/>
        </w:rPr>
      </w:pPr>
      <w:hyperlink w:anchor="_Toc518394169" w:history="1">
        <w:r w:rsidR="003E54FB" w:rsidRPr="00FB2C38">
          <w:rPr>
            <w:rStyle w:val="Hyperlink"/>
            <w:noProof/>
          </w:rPr>
          <w:t>2.6</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Summary</w:t>
        </w:r>
        <w:r w:rsidR="003E54FB">
          <w:rPr>
            <w:noProof/>
            <w:webHidden/>
          </w:rPr>
          <w:tab/>
        </w:r>
        <w:r w:rsidR="003E54FB">
          <w:rPr>
            <w:noProof/>
            <w:webHidden/>
          </w:rPr>
          <w:fldChar w:fldCharType="begin"/>
        </w:r>
        <w:r w:rsidR="003E54FB">
          <w:rPr>
            <w:noProof/>
            <w:webHidden/>
          </w:rPr>
          <w:instrText xml:space="preserve"> PAGEREF _Toc518394169 \h </w:instrText>
        </w:r>
        <w:r w:rsidR="003E54FB">
          <w:rPr>
            <w:noProof/>
            <w:webHidden/>
          </w:rPr>
        </w:r>
        <w:r w:rsidR="003E54FB">
          <w:rPr>
            <w:noProof/>
            <w:webHidden/>
          </w:rPr>
          <w:fldChar w:fldCharType="separate"/>
        </w:r>
        <w:r>
          <w:rPr>
            <w:noProof/>
            <w:webHidden/>
          </w:rPr>
          <w:t>29</w:t>
        </w:r>
        <w:r w:rsidR="003E54FB">
          <w:rPr>
            <w:noProof/>
            <w:webHidden/>
          </w:rPr>
          <w:fldChar w:fldCharType="end"/>
        </w:r>
      </w:hyperlink>
    </w:p>
    <w:p w:rsidR="003E54FB" w:rsidRDefault="003C5F80" w:rsidP="003E54FB">
      <w:pPr>
        <w:pStyle w:val="TOC1"/>
        <w:rPr>
          <w:rFonts w:asciiTheme="minorHAnsi" w:eastAsiaTheme="minorEastAsia" w:hAnsiTheme="minorHAnsi" w:cstheme="minorBidi"/>
          <w:noProof/>
          <w:sz w:val="22"/>
          <w:szCs w:val="22"/>
          <w:lang w:val="en-GB" w:eastAsia="en-GB"/>
        </w:rPr>
      </w:pPr>
      <w:hyperlink w:anchor="_Toc518394170" w:history="1">
        <w:r w:rsidR="003E54FB" w:rsidRPr="00FB2C38">
          <w:rPr>
            <w:rStyle w:val="Hyperlink"/>
            <w:noProof/>
          </w:rPr>
          <w:t>CHAPTER 3</w:t>
        </w:r>
        <w:r w:rsidR="003E54FB">
          <w:rPr>
            <w:rStyle w:val="Hyperlink"/>
            <w:noProof/>
          </w:rPr>
          <w:t xml:space="preserve"> –</w:t>
        </w:r>
      </w:hyperlink>
      <w:r w:rsidR="003E54FB" w:rsidRPr="003E54FB">
        <w:rPr>
          <w:rStyle w:val="Hyperlink"/>
          <w:noProof/>
          <w:u w:val="none"/>
        </w:rPr>
        <w:t xml:space="preserve"> </w:t>
      </w:r>
      <w:hyperlink w:anchor="_Toc518394171" w:history="1">
        <w:r w:rsidR="003E54FB" w:rsidRPr="00FB2C38">
          <w:rPr>
            <w:rStyle w:val="Hyperlink"/>
            <w:noProof/>
          </w:rPr>
          <w:t>Assessment of the benefits of using the radio spectrum</w:t>
        </w:r>
        <w:r w:rsidR="003E54FB">
          <w:rPr>
            <w:noProof/>
            <w:webHidden/>
          </w:rPr>
          <w:tab/>
        </w:r>
        <w:r w:rsidR="003E54FB">
          <w:rPr>
            <w:noProof/>
            <w:webHidden/>
          </w:rPr>
          <w:fldChar w:fldCharType="begin"/>
        </w:r>
        <w:r w:rsidR="003E54FB">
          <w:rPr>
            <w:noProof/>
            <w:webHidden/>
          </w:rPr>
          <w:instrText xml:space="preserve"> PAGEREF _Toc518394171 \h </w:instrText>
        </w:r>
        <w:r w:rsidR="003E54FB">
          <w:rPr>
            <w:noProof/>
            <w:webHidden/>
          </w:rPr>
        </w:r>
        <w:r w:rsidR="003E54FB">
          <w:rPr>
            <w:noProof/>
            <w:webHidden/>
          </w:rPr>
          <w:fldChar w:fldCharType="separate"/>
        </w:r>
        <w:r>
          <w:rPr>
            <w:noProof/>
            <w:webHidden/>
          </w:rPr>
          <w:t>30</w:t>
        </w:r>
        <w:r w:rsidR="003E54FB">
          <w:rPr>
            <w:noProof/>
            <w:webHidden/>
          </w:rPr>
          <w:fldChar w:fldCharType="end"/>
        </w:r>
      </w:hyperlink>
    </w:p>
    <w:p w:rsidR="003E54FB" w:rsidRDefault="003C5F80">
      <w:pPr>
        <w:pStyle w:val="TOC2"/>
        <w:rPr>
          <w:rFonts w:asciiTheme="minorHAnsi" w:eastAsiaTheme="minorEastAsia" w:hAnsiTheme="minorHAnsi" w:cstheme="minorBidi"/>
          <w:noProof/>
          <w:sz w:val="22"/>
          <w:szCs w:val="22"/>
          <w:lang w:val="en-GB" w:eastAsia="en-GB"/>
        </w:rPr>
      </w:pPr>
      <w:hyperlink w:anchor="_Toc518394172" w:history="1">
        <w:r w:rsidR="003E54FB" w:rsidRPr="00FB2C38">
          <w:rPr>
            <w:rStyle w:val="Hyperlink"/>
            <w:noProof/>
          </w:rPr>
          <w:t>3.1</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Background</w:t>
        </w:r>
        <w:r w:rsidR="003E54FB">
          <w:rPr>
            <w:noProof/>
            <w:webHidden/>
          </w:rPr>
          <w:tab/>
        </w:r>
        <w:r w:rsidR="003E54FB">
          <w:rPr>
            <w:noProof/>
            <w:webHidden/>
          </w:rPr>
          <w:fldChar w:fldCharType="begin"/>
        </w:r>
        <w:r w:rsidR="003E54FB">
          <w:rPr>
            <w:noProof/>
            <w:webHidden/>
          </w:rPr>
          <w:instrText xml:space="preserve"> PAGEREF _Toc518394172 \h </w:instrText>
        </w:r>
        <w:r w:rsidR="003E54FB">
          <w:rPr>
            <w:noProof/>
            <w:webHidden/>
          </w:rPr>
        </w:r>
        <w:r w:rsidR="003E54FB">
          <w:rPr>
            <w:noProof/>
            <w:webHidden/>
          </w:rPr>
          <w:fldChar w:fldCharType="separate"/>
        </w:r>
        <w:r>
          <w:rPr>
            <w:noProof/>
            <w:webHidden/>
          </w:rPr>
          <w:t>30</w:t>
        </w:r>
        <w:r w:rsidR="003E54FB">
          <w:rPr>
            <w:noProof/>
            <w:webHidden/>
          </w:rPr>
          <w:fldChar w:fldCharType="end"/>
        </w:r>
      </w:hyperlink>
    </w:p>
    <w:p w:rsidR="003E54FB" w:rsidRDefault="003C5F80">
      <w:pPr>
        <w:pStyle w:val="TOC2"/>
        <w:rPr>
          <w:rFonts w:asciiTheme="minorHAnsi" w:eastAsiaTheme="minorEastAsia" w:hAnsiTheme="minorHAnsi" w:cstheme="minorBidi"/>
          <w:noProof/>
          <w:sz w:val="22"/>
          <w:szCs w:val="22"/>
          <w:lang w:val="en-GB" w:eastAsia="en-GB"/>
        </w:rPr>
      </w:pPr>
      <w:hyperlink w:anchor="_Toc518394173" w:history="1">
        <w:r w:rsidR="003E54FB" w:rsidRPr="00FB2C38">
          <w:rPr>
            <w:rStyle w:val="Hyperlink"/>
            <w:noProof/>
          </w:rPr>
          <w:t>3.2</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Methods of assessing the spectrum’s economic benefits</w:t>
        </w:r>
        <w:r w:rsidR="003E54FB">
          <w:rPr>
            <w:noProof/>
            <w:webHidden/>
          </w:rPr>
          <w:tab/>
        </w:r>
        <w:r w:rsidR="003E54FB">
          <w:rPr>
            <w:noProof/>
            <w:webHidden/>
          </w:rPr>
          <w:fldChar w:fldCharType="begin"/>
        </w:r>
        <w:r w:rsidR="003E54FB">
          <w:rPr>
            <w:noProof/>
            <w:webHidden/>
          </w:rPr>
          <w:instrText xml:space="preserve"> PAGEREF _Toc518394173 \h </w:instrText>
        </w:r>
        <w:r w:rsidR="003E54FB">
          <w:rPr>
            <w:noProof/>
            <w:webHidden/>
          </w:rPr>
        </w:r>
        <w:r w:rsidR="003E54FB">
          <w:rPr>
            <w:noProof/>
            <w:webHidden/>
          </w:rPr>
          <w:fldChar w:fldCharType="separate"/>
        </w:r>
        <w:r>
          <w:rPr>
            <w:noProof/>
            <w:webHidden/>
          </w:rPr>
          <w:t>30</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174" w:history="1">
        <w:r w:rsidR="003E54FB" w:rsidRPr="00FB2C38">
          <w:rPr>
            <w:rStyle w:val="Hyperlink"/>
            <w:noProof/>
          </w:rPr>
          <w:t>3.2.1</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GDP and employment</w:t>
        </w:r>
        <w:r w:rsidR="003E54FB">
          <w:rPr>
            <w:noProof/>
            <w:webHidden/>
          </w:rPr>
          <w:tab/>
        </w:r>
        <w:r w:rsidR="003E54FB">
          <w:rPr>
            <w:noProof/>
            <w:webHidden/>
          </w:rPr>
          <w:fldChar w:fldCharType="begin"/>
        </w:r>
        <w:r w:rsidR="003E54FB">
          <w:rPr>
            <w:noProof/>
            <w:webHidden/>
          </w:rPr>
          <w:instrText xml:space="preserve"> PAGEREF _Toc518394174 \h </w:instrText>
        </w:r>
        <w:r w:rsidR="003E54FB">
          <w:rPr>
            <w:noProof/>
            <w:webHidden/>
          </w:rPr>
        </w:r>
        <w:r w:rsidR="003E54FB">
          <w:rPr>
            <w:noProof/>
            <w:webHidden/>
          </w:rPr>
          <w:fldChar w:fldCharType="separate"/>
        </w:r>
        <w:r>
          <w:rPr>
            <w:noProof/>
            <w:webHidden/>
          </w:rPr>
          <w:t>31</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175" w:history="1">
        <w:r w:rsidR="003E54FB" w:rsidRPr="00FB2C38">
          <w:rPr>
            <w:rStyle w:val="Hyperlink"/>
            <w:noProof/>
          </w:rPr>
          <w:t>3.2.2</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Consumer and producer surplus</w:t>
        </w:r>
        <w:r w:rsidR="003E54FB">
          <w:rPr>
            <w:noProof/>
            <w:webHidden/>
          </w:rPr>
          <w:tab/>
        </w:r>
        <w:r w:rsidR="003E54FB">
          <w:rPr>
            <w:noProof/>
            <w:webHidden/>
          </w:rPr>
          <w:fldChar w:fldCharType="begin"/>
        </w:r>
        <w:r w:rsidR="003E54FB">
          <w:rPr>
            <w:noProof/>
            <w:webHidden/>
          </w:rPr>
          <w:instrText xml:space="preserve"> PAGEREF _Toc518394175 \h </w:instrText>
        </w:r>
        <w:r w:rsidR="003E54FB">
          <w:rPr>
            <w:noProof/>
            <w:webHidden/>
          </w:rPr>
        </w:r>
        <w:r w:rsidR="003E54FB">
          <w:rPr>
            <w:noProof/>
            <w:webHidden/>
          </w:rPr>
          <w:fldChar w:fldCharType="separate"/>
        </w:r>
        <w:r>
          <w:rPr>
            <w:noProof/>
            <w:webHidden/>
          </w:rPr>
          <w:t>33</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176" w:history="1">
        <w:r w:rsidR="003E54FB" w:rsidRPr="00FB2C38">
          <w:rPr>
            <w:rStyle w:val="Hyperlink"/>
            <w:noProof/>
          </w:rPr>
          <w:t>3.2.3</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The link between economic and social benefits</w:t>
        </w:r>
        <w:r w:rsidR="003E54FB">
          <w:rPr>
            <w:noProof/>
            <w:webHidden/>
          </w:rPr>
          <w:tab/>
        </w:r>
        <w:r w:rsidR="003E54FB">
          <w:rPr>
            <w:noProof/>
            <w:webHidden/>
          </w:rPr>
          <w:fldChar w:fldCharType="begin"/>
        </w:r>
        <w:r w:rsidR="003E54FB">
          <w:rPr>
            <w:noProof/>
            <w:webHidden/>
          </w:rPr>
          <w:instrText xml:space="preserve"> PAGEREF _Toc518394176 \h </w:instrText>
        </w:r>
        <w:r w:rsidR="003E54FB">
          <w:rPr>
            <w:noProof/>
            <w:webHidden/>
          </w:rPr>
        </w:r>
        <w:r w:rsidR="003E54FB">
          <w:rPr>
            <w:noProof/>
            <w:webHidden/>
          </w:rPr>
          <w:fldChar w:fldCharType="separate"/>
        </w:r>
        <w:r>
          <w:rPr>
            <w:noProof/>
            <w:webHidden/>
          </w:rPr>
          <w:t>34</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177" w:history="1">
        <w:r w:rsidR="003E54FB" w:rsidRPr="00FB2C38">
          <w:rPr>
            <w:rStyle w:val="Hyperlink"/>
            <w:noProof/>
          </w:rPr>
          <w:t>3.2.4</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Comparison of the methods for quantifying economic benefits</w:t>
        </w:r>
        <w:r w:rsidR="003E54FB">
          <w:rPr>
            <w:noProof/>
            <w:webHidden/>
          </w:rPr>
          <w:tab/>
        </w:r>
        <w:r w:rsidR="003E54FB">
          <w:rPr>
            <w:noProof/>
            <w:webHidden/>
          </w:rPr>
          <w:fldChar w:fldCharType="begin"/>
        </w:r>
        <w:r w:rsidR="003E54FB">
          <w:rPr>
            <w:noProof/>
            <w:webHidden/>
          </w:rPr>
          <w:instrText xml:space="preserve"> PAGEREF _Toc518394177 \h </w:instrText>
        </w:r>
        <w:r w:rsidR="003E54FB">
          <w:rPr>
            <w:noProof/>
            <w:webHidden/>
          </w:rPr>
        </w:r>
        <w:r w:rsidR="003E54FB">
          <w:rPr>
            <w:noProof/>
            <w:webHidden/>
          </w:rPr>
          <w:fldChar w:fldCharType="separate"/>
        </w:r>
        <w:r>
          <w:rPr>
            <w:noProof/>
            <w:webHidden/>
          </w:rPr>
          <w:t>35</w:t>
        </w:r>
        <w:r w:rsidR="003E54FB">
          <w:rPr>
            <w:noProof/>
            <w:webHidden/>
          </w:rPr>
          <w:fldChar w:fldCharType="end"/>
        </w:r>
      </w:hyperlink>
    </w:p>
    <w:p w:rsidR="003E54FB" w:rsidRDefault="003C5F80">
      <w:pPr>
        <w:pStyle w:val="TOC2"/>
        <w:rPr>
          <w:rFonts w:asciiTheme="minorHAnsi" w:eastAsiaTheme="minorEastAsia" w:hAnsiTheme="minorHAnsi" w:cstheme="minorBidi"/>
          <w:noProof/>
          <w:sz w:val="22"/>
          <w:szCs w:val="22"/>
          <w:lang w:val="en-GB" w:eastAsia="en-GB"/>
        </w:rPr>
      </w:pPr>
      <w:hyperlink w:anchor="_Toc518394178" w:history="1">
        <w:r w:rsidR="003E54FB" w:rsidRPr="00FB2C38">
          <w:rPr>
            <w:rStyle w:val="Hyperlink"/>
            <w:noProof/>
          </w:rPr>
          <w:t>3.3</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Potential uses for economic assessment</w:t>
        </w:r>
        <w:r w:rsidR="003E54FB">
          <w:rPr>
            <w:noProof/>
            <w:webHidden/>
          </w:rPr>
          <w:tab/>
        </w:r>
        <w:r w:rsidR="003E54FB">
          <w:rPr>
            <w:noProof/>
            <w:webHidden/>
          </w:rPr>
          <w:fldChar w:fldCharType="begin"/>
        </w:r>
        <w:r w:rsidR="003E54FB">
          <w:rPr>
            <w:noProof/>
            <w:webHidden/>
          </w:rPr>
          <w:instrText xml:space="preserve"> PAGEREF _Toc518394178 \h </w:instrText>
        </w:r>
        <w:r w:rsidR="003E54FB">
          <w:rPr>
            <w:noProof/>
            <w:webHidden/>
          </w:rPr>
        </w:r>
        <w:r w:rsidR="003E54FB">
          <w:rPr>
            <w:noProof/>
            <w:webHidden/>
          </w:rPr>
          <w:fldChar w:fldCharType="separate"/>
        </w:r>
        <w:r>
          <w:rPr>
            <w:noProof/>
            <w:webHidden/>
          </w:rPr>
          <w:t>36</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179" w:history="1">
        <w:r w:rsidR="003E54FB" w:rsidRPr="00FB2C38">
          <w:rPr>
            <w:rStyle w:val="Hyperlink"/>
            <w:noProof/>
          </w:rPr>
          <w:t>3.3.1</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Applications for funding spectrum management activities</w:t>
        </w:r>
        <w:r w:rsidR="003E54FB">
          <w:rPr>
            <w:noProof/>
            <w:webHidden/>
          </w:rPr>
          <w:tab/>
        </w:r>
        <w:r w:rsidR="003E54FB">
          <w:rPr>
            <w:noProof/>
            <w:webHidden/>
          </w:rPr>
          <w:fldChar w:fldCharType="begin"/>
        </w:r>
        <w:r w:rsidR="003E54FB">
          <w:rPr>
            <w:noProof/>
            <w:webHidden/>
          </w:rPr>
          <w:instrText xml:space="preserve"> PAGEREF _Toc518394179 \h </w:instrText>
        </w:r>
        <w:r w:rsidR="003E54FB">
          <w:rPr>
            <w:noProof/>
            <w:webHidden/>
          </w:rPr>
        </w:r>
        <w:r w:rsidR="003E54FB">
          <w:rPr>
            <w:noProof/>
            <w:webHidden/>
          </w:rPr>
          <w:fldChar w:fldCharType="separate"/>
        </w:r>
        <w:r>
          <w:rPr>
            <w:noProof/>
            <w:webHidden/>
          </w:rPr>
          <w:t>36</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180" w:history="1">
        <w:r w:rsidR="003E54FB" w:rsidRPr="00FB2C38">
          <w:rPr>
            <w:rStyle w:val="Hyperlink"/>
            <w:noProof/>
          </w:rPr>
          <w:t>3.3.2</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National frequency assignment decisions</w:t>
        </w:r>
        <w:r w:rsidR="003E54FB">
          <w:rPr>
            <w:noProof/>
            <w:webHidden/>
          </w:rPr>
          <w:tab/>
        </w:r>
        <w:r w:rsidR="003E54FB">
          <w:rPr>
            <w:noProof/>
            <w:webHidden/>
          </w:rPr>
          <w:fldChar w:fldCharType="begin"/>
        </w:r>
        <w:r w:rsidR="003E54FB">
          <w:rPr>
            <w:noProof/>
            <w:webHidden/>
          </w:rPr>
          <w:instrText xml:space="preserve"> PAGEREF _Toc518394180 \h </w:instrText>
        </w:r>
        <w:r w:rsidR="003E54FB">
          <w:rPr>
            <w:noProof/>
            <w:webHidden/>
          </w:rPr>
        </w:r>
        <w:r w:rsidR="003E54FB">
          <w:rPr>
            <w:noProof/>
            <w:webHidden/>
          </w:rPr>
          <w:fldChar w:fldCharType="separate"/>
        </w:r>
        <w:r>
          <w:rPr>
            <w:noProof/>
            <w:webHidden/>
          </w:rPr>
          <w:t>36</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181" w:history="1">
        <w:r w:rsidR="003E54FB" w:rsidRPr="00FB2C38">
          <w:rPr>
            <w:rStyle w:val="Hyperlink"/>
            <w:noProof/>
          </w:rPr>
          <w:t>3.3.3</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Changes in spectrum management national legislation</w:t>
        </w:r>
        <w:r w:rsidR="003E54FB">
          <w:rPr>
            <w:noProof/>
            <w:webHidden/>
          </w:rPr>
          <w:tab/>
        </w:r>
        <w:r w:rsidR="003E54FB">
          <w:rPr>
            <w:noProof/>
            <w:webHidden/>
          </w:rPr>
          <w:fldChar w:fldCharType="begin"/>
        </w:r>
        <w:r w:rsidR="003E54FB">
          <w:rPr>
            <w:noProof/>
            <w:webHidden/>
          </w:rPr>
          <w:instrText xml:space="preserve"> PAGEREF _Toc518394181 \h </w:instrText>
        </w:r>
        <w:r w:rsidR="003E54FB">
          <w:rPr>
            <w:noProof/>
            <w:webHidden/>
          </w:rPr>
        </w:r>
        <w:r w:rsidR="003E54FB">
          <w:rPr>
            <w:noProof/>
            <w:webHidden/>
          </w:rPr>
          <w:fldChar w:fldCharType="separate"/>
        </w:r>
        <w:r>
          <w:rPr>
            <w:noProof/>
            <w:webHidden/>
          </w:rPr>
          <w:t>37</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182" w:history="1">
        <w:r w:rsidR="003E54FB" w:rsidRPr="00FB2C38">
          <w:rPr>
            <w:rStyle w:val="Hyperlink"/>
            <w:noProof/>
          </w:rPr>
          <w:t>3.3.4</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Support to the spectrum manager on the operation of auctions</w:t>
        </w:r>
        <w:r w:rsidR="003E54FB">
          <w:rPr>
            <w:noProof/>
            <w:webHidden/>
          </w:rPr>
          <w:tab/>
        </w:r>
        <w:r w:rsidR="003E54FB">
          <w:rPr>
            <w:noProof/>
            <w:webHidden/>
          </w:rPr>
          <w:fldChar w:fldCharType="begin"/>
        </w:r>
        <w:r w:rsidR="003E54FB">
          <w:rPr>
            <w:noProof/>
            <w:webHidden/>
          </w:rPr>
          <w:instrText xml:space="preserve"> PAGEREF _Toc518394182 \h </w:instrText>
        </w:r>
        <w:r w:rsidR="003E54FB">
          <w:rPr>
            <w:noProof/>
            <w:webHidden/>
          </w:rPr>
        </w:r>
        <w:r w:rsidR="003E54FB">
          <w:rPr>
            <w:noProof/>
            <w:webHidden/>
          </w:rPr>
          <w:fldChar w:fldCharType="separate"/>
        </w:r>
        <w:r>
          <w:rPr>
            <w:noProof/>
            <w:webHidden/>
          </w:rPr>
          <w:t>37</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183" w:history="1">
        <w:r w:rsidR="003E54FB" w:rsidRPr="00FB2C38">
          <w:rPr>
            <w:rStyle w:val="Hyperlink"/>
            <w:noProof/>
          </w:rPr>
          <w:t>3.3.5</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Using economic assessment to monitor economic performance over time</w:t>
        </w:r>
        <w:r w:rsidR="003E54FB">
          <w:rPr>
            <w:noProof/>
            <w:webHidden/>
          </w:rPr>
          <w:tab/>
        </w:r>
        <w:r w:rsidR="003E54FB">
          <w:rPr>
            <w:noProof/>
            <w:webHidden/>
          </w:rPr>
          <w:fldChar w:fldCharType="begin"/>
        </w:r>
        <w:r w:rsidR="003E54FB">
          <w:rPr>
            <w:noProof/>
            <w:webHidden/>
          </w:rPr>
          <w:instrText xml:space="preserve"> PAGEREF _Toc518394183 \h </w:instrText>
        </w:r>
        <w:r w:rsidR="003E54FB">
          <w:rPr>
            <w:noProof/>
            <w:webHidden/>
          </w:rPr>
        </w:r>
        <w:r w:rsidR="003E54FB">
          <w:rPr>
            <w:noProof/>
            <w:webHidden/>
          </w:rPr>
          <w:fldChar w:fldCharType="separate"/>
        </w:r>
        <w:r>
          <w:rPr>
            <w:noProof/>
            <w:webHidden/>
          </w:rPr>
          <w:t>37</w:t>
        </w:r>
        <w:r w:rsidR="003E54FB">
          <w:rPr>
            <w:noProof/>
            <w:webHidden/>
          </w:rPr>
          <w:fldChar w:fldCharType="end"/>
        </w:r>
      </w:hyperlink>
    </w:p>
    <w:p w:rsidR="003E54FB" w:rsidRDefault="003C5F80">
      <w:pPr>
        <w:pStyle w:val="TOC2"/>
        <w:rPr>
          <w:rFonts w:asciiTheme="minorHAnsi" w:eastAsiaTheme="minorEastAsia" w:hAnsiTheme="minorHAnsi" w:cstheme="minorBidi"/>
          <w:noProof/>
          <w:sz w:val="22"/>
          <w:szCs w:val="22"/>
          <w:lang w:val="en-GB" w:eastAsia="en-GB"/>
        </w:rPr>
      </w:pPr>
      <w:hyperlink w:anchor="_Toc518394184" w:history="1">
        <w:r w:rsidR="003E54FB" w:rsidRPr="00FB2C38">
          <w:rPr>
            <w:rStyle w:val="Hyperlink"/>
            <w:noProof/>
          </w:rPr>
          <w:t>3.4</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Factors affecting benefits</w:t>
        </w:r>
        <w:r w:rsidR="003E54FB">
          <w:rPr>
            <w:noProof/>
            <w:webHidden/>
          </w:rPr>
          <w:tab/>
        </w:r>
        <w:r w:rsidR="003E54FB">
          <w:rPr>
            <w:noProof/>
            <w:webHidden/>
          </w:rPr>
          <w:fldChar w:fldCharType="begin"/>
        </w:r>
        <w:r w:rsidR="003E54FB">
          <w:rPr>
            <w:noProof/>
            <w:webHidden/>
          </w:rPr>
          <w:instrText xml:space="preserve"> PAGEREF _Toc518394184 \h </w:instrText>
        </w:r>
        <w:r w:rsidR="003E54FB">
          <w:rPr>
            <w:noProof/>
            <w:webHidden/>
          </w:rPr>
        </w:r>
        <w:r w:rsidR="003E54FB">
          <w:rPr>
            <w:noProof/>
            <w:webHidden/>
          </w:rPr>
          <w:fldChar w:fldCharType="separate"/>
        </w:r>
        <w:r>
          <w:rPr>
            <w:noProof/>
            <w:webHidden/>
          </w:rPr>
          <w:t>38</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185" w:history="1">
        <w:r w:rsidR="003E54FB" w:rsidRPr="00FB2C38">
          <w:rPr>
            <w:rStyle w:val="Hyperlink"/>
            <w:noProof/>
          </w:rPr>
          <w:t>3.4.1</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Frequency availability</w:t>
        </w:r>
        <w:r w:rsidR="003E54FB">
          <w:rPr>
            <w:noProof/>
            <w:webHidden/>
          </w:rPr>
          <w:tab/>
        </w:r>
        <w:r w:rsidR="003E54FB">
          <w:rPr>
            <w:noProof/>
            <w:webHidden/>
          </w:rPr>
          <w:fldChar w:fldCharType="begin"/>
        </w:r>
        <w:r w:rsidR="003E54FB">
          <w:rPr>
            <w:noProof/>
            <w:webHidden/>
          </w:rPr>
          <w:instrText xml:space="preserve"> PAGEREF _Toc518394185 \h </w:instrText>
        </w:r>
        <w:r w:rsidR="003E54FB">
          <w:rPr>
            <w:noProof/>
            <w:webHidden/>
          </w:rPr>
        </w:r>
        <w:r w:rsidR="003E54FB">
          <w:rPr>
            <w:noProof/>
            <w:webHidden/>
          </w:rPr>
          <w:fldChar w:fldCharType="separate"/>
        </w:r>
        <w:r>
          <w:rPr>
            <w:noProof/>
            <w:webHidden/>
          </w:rPr>
          <w:t>38</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186" w:history="1">
        <w:r w:rsidR="003E54FB" w:rsidRPr="00FB2C38">
          <w:rPr>
            <w:rStyle w:val="Hyperlink"/>
            <w:noProof/>
          </w:rPr>
          <w:t>3.4.2</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Demand</w:t>
        </w:r>
        <w:r w:rsidR="003E54FB">
          <w:rPr>
            <w:noProof/>
            <w:webHidden/>
          </w:rPr>
          <w:tab/>
        </w:r>
        <w:r w:rsidR="003E54FB">
          <w:rPr>
            <w:noProof/>
            <w:webHidden/>
          </w:rPr>
          <w:fldChar w:fldCharType="begin"/>
        </w:r>
        <w:r w:rsidR="003E54FB">
          <w:rPr>
            <w:noProof/>
            <w:webHidden/>
          </w:rPr>
          <w:instrText xml:space="preserve"> PAGEREF _Toc518394186 \h </w:instrText>
        </w:r>
        <w:r w:rsidR="003E54FB">
          <w:rPr>
            <w:noProof/>
            <w:webHidden/>
          </w:rPr>
        </w:r>
        <w:r w:rsidR="003E54FB">
          <w:rPr>
            <w:noProof/>
            <w:webHidden/>
          </w:rPr>
          <w:fldChar w:fldCharType="separate"/>
        </w:r>
        <w:r>
          <w:rPr>
            <w:noProof/>
            <w:webHidden/>
          </w:rPr>
          <w:t>38</w:t>
        </w:r>
        <w:r w:rsidR="003E54FB">
          <w:rPr>
            <w:noProof/>
            <w:webHidden/>
          </w:rPr>
          <w:fldChar w:fldCharType="end"/>
        </w:r>
      </w:hyperlink>
    </w:p>
    <w:p w:rsidR="003E54FB" w:rsidRPr="00BD6197" w:rsidRDefault="003E54FB" w:rsidP="003E54FB">
      <w:pPr>
        <w:pStyle w:val="toc0"/>
        <w:tabs>
          <w:tab w:val="clear" w:pos="9611"/>
          <w:tab w:val="left" w:pos="8647"/>
        </w:tabs>
        <w:ind w:right="992"/>
        <w:rPr>
          <w:noProof/>
          <w:lang w:val="en-US"/>
        </w:rPr>
      </w:pPr>
      <w:r w:rsidRPr="00BD6197">
        <w:rPr>
          <w:noProof/>
          <w:lang w:val="en-US"/>
        </w:rPr>
        <w:lastRenderedPageBreak/>
        <w:tab/>
        <w:t>Page</w:t>
      </w:r>
    </w:p>
    <w:p w:rsidR="003E54FB" w:rsidRDefault="003C5F80">
      <w:pPr>
        <w:pStyle w:val="TOC3"/>
        <w:rPr>
          <w:rFonts w:asciiTheme="minorHAnsi" w:eastAsiaTheme="minorEastAsia" w:hAnsiTheme="minorHAnsi" w:cstheme="minorBidi"/>
          <w:noProof/>
          <w:sz w:val="22"/>
          <w:szCs w:val="22"/>
          <w:lang w:val="en-GB" w:eastAsia="en-GB"/>
        </w:rPr>
      </w:pPr>
      <w:hyperlink w:anchor="_Toc518394187" w:history="1">
        <w:r w:rsidR="003E54FB" w:rsidRPr="00FB2C38">
          <w:rPr>
            <w:rStyle w:val="Hyperlink"/>
            <w:noProof/>
          </w:rPr>
          <w:t>3.4.3</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The country’s geography</w:t>
        </w:r>
        <w:r w:rsidR="003E54FB">
          <w:rPr>
            <w:noProof/>
            <w:webHidden/>
          </w:rPr>
          <w:tab/>
        </w:r>
        <w:r w:rsidR="003E54FB">
          <w:rPr>
            <w:noProof/>
            <w:webHidden/>
          </w:rPr>
          <w:fldChar w:fldCharType="begin"/>
        </w:r>
        <w:r w:rsidR="003E54FB">
          <w:rPr>
            <w:noProof/>
            <w:webHidden/>
          </w:rPr>
          <w:instrText xml:space="preserve"> PAGEREF _Toc518394187 \h </w:instrText>
        </w:r>
        <w:r w:rsidR="003E54FB">
          <w:rPr>
            <w:noProof/>
            <w:webHidden/>
          </w:rPr>
        </w:r>
        <w:r w:rsidR="003E54FB">
          <w:rPr>
            <w:noProof/>
            <w:webHidden/>
          </w:rPr>
          <w:fldChar w:fldCharType="separate"/>
        </w:r>
        <w:r>
          <w:rPr>
            <w:noProof/>
            <w:webHidden/>
          </w:rPr>
          <w:t>39</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188" w:history="1">
        <w:r w:rsidR="003E54FB" w:rsidRPr="00FB2C38">
          <w:rPr>
            <w:rStyle w:val="Hyperlink"/>
            <w:noProof/>
          </w:rPr>
          <w:t>3.4.4</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Variation from country to country</w:t>
        </w:r>
        <w:r w:rsidR="003E54FB">
          <w:rPr>
            <w:noProof/>
            <w:webHidden/>
          </w:rPr>
          <w:tab/>
        </w:r>
        <w:r w:rsidR="003E54FB">
          <w:rPr>
            <w:noProof/>
            <w:webHidden/>
          </w:rPr>
          <w:fldChar w:fldCharType="begin"/>
        </w:r>
        <w:r w:rsidR="003E54FB">
          <w:rPr>
            <w:noProof/>
            <w:webHidden/>
          </w:rPr>
          <w:instrText xml:space="preserve"> PAGEREF _Toc518394188 \h </w:instrText>
        </w:r>
        <w:r w:rsidR="003E54FB">
          <w:rPr>
            <w:noProof/>
            <w:webHidden/>
          </w:rPr>
        </w:r>
        <w:r w:rsidR="003E54FB">
          <w:rPr>
            <w:noProof/>
            <w:webHidden/>
          </w:rPr>
          <w:fldChar w:fldCharType="separate"/>
        </w:r>
        <w:r>
          <w:rPr>
            <w:noProof/>
            <w:webHidden/>
          </w:rPr>
          <w:t>40</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189" w:history="1">
        <w:r w:rsidR="003E54FB" w:rsidRPr="00FB2C38">
          <w:rPr>
            <w:rStyle w:val="Hyperlink"/>
            <w:noProof/>
          </w:rPr>
          <w:t>3.4.5</w:t>
        </w:r>
        <w:r w:rsidR="003E54FB">
          <w:rPr>
            <w:rFonts w:asciiTheme="minorHAnsi" w:eastAsiaTheme="minorEastAsia" w:hAnsiTheme="minorHAnsi" w:cstheme="minorBidi"/>
            <w:noProof/>
            <w:sz w:val="22"/>
            <w:szCs w:val="22"/>
            <w:lang w:val="en-GB" w:eastAsia="en-GB"/>
          </w:rPr>
          <w:tab/>
        </w:r>
        <w:r w:rsidR="003E54FB" w:rsidRPr="00FB2C38">
          <w:rPr>
            <w:rStyle w:val="Hyperlink"/>
            <w:noProof/>
            <w:lang w:eastAsia="fr-FR"/>
          </w:rPr>
          <w:t>Factors which may be taken into account in an international comparison of fee levels</w:t>
        </w:r>
        <w:r w:rsidR="003E54FB">
          <w:rPr>
            <w:noProof/>
            <w:webHidden/>
          </w:rPr>
          <w:tab/>
        </w:r>
        <w:r w:rsidR="003E54FB">
          <w:rPr>
            <w:noProof/>
            <w:webHidden/>
          </w:rPr>
          <w:fldChar w:fldCharType="begin"/>
        </w:r>
        <w:r w:rsidR="003E54FB">
          <w:rPr>
            <w:noProof/>
            <w:webHidden/>
          </w:rPr>
          <w:instrText xml:space="preserve"> PAGEREF _Toc518394189 \h </w:instrText>
        </w:r>
        <w:r w:rsidR="003E54FB">
          <w:rPr>
            <w:noProof/>
            <w:webHidden/>
          </w:rPr>
        </w:r>
        <w:r w:rsidR="003E54FB">
          <w:rPr>
            <w:noProof/>
            <w:webHidden/>
          </w:rPr>
          <w:fldChar w:fldCharType="separate"/>
        </w:r>
        <w:r>
          <w:rPr>
            <w:noProof/>
            <w:webHidden/>
          </w:rPr>
          <w:t>40</w:t>
        </w:r>
        <w:r w:rsidR="003E54FB">
          <w:rPr>
            <w:noProof/>
            <w:webHidden/>
          </w:rPr>
          <w:fldChar w:fldCharType="end"/>
        </w:r>
      </w:hyperlink>
    </w:p>
    <w:p w:rsidR="003E54FB" w:rsidRDefault="003C5F80">
      <w:pPr>
        <w:pStyle w:val="TOC2"/>
        <w:rPr>
          <w:rFonts w:asciiTheme="minorHAnsi" w:eastAsiaTheme="minorEastAsia" w:hAnsiTheme="minorHAnsi" w:cstheme="minorBidi"/>
          <w:noProof/>
          <w:sz w:val="22"/>
          <w:szCs w:val="22"/>
          <w:lang w:val="en-GB" w:eastAsia="en-GB"/>
        </w:rPr>
      </w:pPr>
      <w:hyperlink w:anchor="_Toc518394190" w:history="1">
        <w:r w:rsidR="003E54FB" w:rsidRPr="00FB2C38">
          <w:rPr>
            <w:rStyle w:val="Hyperlink"/>
            <w:noProof/>
          </w:rPr>
          <w:t>3.5</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Summary</w:t>
        </w:r>
        <w:r w:rsidR="003E54FB">
          <w:rPr>
            <w:noProof/>
            <w:webHidden/>
          </w:rPr>
          <w:tab/>
        </w:r>
        <w:r w:rsidR="003E54FB">
          <w:rPr>
            <w:noProof/>
            <w:webHidden/>
          </w:rPr>
          <w:fldChar w:fldCharType="begin"/>
        </w:r>
        <w:r w:rsidR="003E54FB">
          <w:rPr>
            <w:noProof/>
            <w:webHidden/>
          </w:rPr>
          <w:instrText xml:space="preserve"> PAGEREF _Toc518394190 \h </w:instrText>
        </w:r>
        <w:r w:rsidR="003E54FB">
          <w:rPr>
            <w:noProof/>
            <w:webHidden/>
          </w:rPr>
        </w:r>
        <w:r w:rsidR="003E54FB">
          <w:rPr>
            <w:noProof/>
            <w:webHidden/>
          </w:rPr>
          <w:fldChar w:fldCharType="separate"/>
        </w:r>
        <w:r>
          <w:rPr>
            <w:noProof/>
            <w:webHidden/>
          </w:rPr>
          <w:t>44</w:t>
        </w:r>
        <w:r w:rsidR="003E54FB">
          <w:rPr>
            <w:noProof/>
            <w:webHidden/>
          </w:rPr>
          <w:fldChar w:fldCharType="end"/>
        </w:r>
      </w:hyperlink>
    </w:p>
    <w:p w:rsidR="003E54FB" w:rsidRDefault="003C5F80" w:rsidP="003E54FB">
      <w:pPr>
        <w:pStyle w:val="TOC1"/>
        <w:rPr>
          <w:rFonts w:asciiTheme="minorHAnsi" w:eastAsiaTheme="minorEastAsia" w:hAnsiTheme="minorHAnsi" w:cstheme="minorBidi"/>
          <w:noProof/>
          <w:sz w:val="22"/>
          <w:szCs w:val="22"/>
          <w:lang w:val="en-GB" w:eastAsia="en-GB"/>
        </w:rPr>
      </w:pPr>
      <w:hyperlink w:anchor="_Toc518394191" w:history="1">
        <w:r w:rsidR="003E54FB" w:rsidRPr="00FB2C38">
          <w:rPr>
            <w:rStyle w:val="Hyperlink"/>
            <w:noProof/>
          </w:rPr>
          <w:t>CHAPTER 4</w:t>
        </w:r>
        <w:r w:rsidR="003E54FB">
          <w:rPr>
            <w:rStyle w:val="Hyperlink"/>
            <w:noProof/>
          </w:rPr>
          <w:t xml:space="preserve"> –</w:t>
        </w:r>
      </w:hyperlink>
      <w:r w:rsidR="003E54FB" w:rsidRPr="003E54FB">
        <w:rPr>
          <w:rStyle w:val="Hyperlink"/>
          <w:noProof/>
          <w:u w:val="none"/>
        </w:rPr>
        <w:t xml:space="preserve"> </w:t>
      </w:r>
      <w:hyperlink w:anchor="_Toc518394192" w:history="1">
        <w:r w:rsidR="003E54FB" w:rsidRPr="00FB2C38">
          <w:rPr>
            <w:rStyle w:val="Hyperlink"/>
            <w:noProof/>
          </w:rPr>
          <w:t>Guidelines on methodologies for the establishment of  spectrum fees formula and system</w:t>
        </w:r>
        <w:r w:rsidR="003E54FB">
          <w:rPr>
            <w:noProof/>
            <w:webHidden/>
          </w:rPr>
          <w:tab/>
        </w:r>
        <w:r w:rsidR="003E54FB">
          <w:rPr>
            <w:noProof/>
            <w:webHidden/>
          </w:rPr>
          <w:fldChar w:fldCharType="begin"/>
        </w:r>
        <w:r w:rsidR="003E54FB">
          <w:rPr>
            <w:noProof/>
            <w:webHidden/>
          </w:rPr>
          <w:instrText xml:space="preserve"> PAGEREF _Toc518394192 \h </w:instrText>
        </w:r>
        <w:r w:rsidR="003E54FB">
          <w:rPr>
            <w:noProof/>
            <w:webHidden/>
          </w:rPr>
        </w:r>
        <w:r w:rsidR="003E54FB">
          <w:rPr>
            <w:noProof/>
            <w:webHidden/>
          </w:rPr>
          <w:fldChar w:fldCharType="separate"/>
        </w:r>
        <w:r>
          <w:rPr>
            <w:noProof/>
            <w:webHidden/>
          </w:rPr>
          <w:t>44</w:t>
        </w:r>
        <w:r w:rsidR="003E54FB">
          <w:rPr>
            <w:noProof/>
            <w:webHidden/>
          </w:rPr>
          <w:fldChar w:fldCharType="end"/>
        </w:r>
      </w:hyperlink>
    </w:p>
    <w:p w:rsidR="003E54FB" w:rsidRDefault="003C5F80">
      <w:pPr>
        <w:pStyle w:val="TOC2"/>
        <w:rPr>
          <w:rFonts w:asciiTheme="minorHAnsi" w:eastAsiaTheme="minorEastAsia" w:hAnsiTheme="minorHAnsi" w:cstheme="minorBidi"/>
          <w:noProof/>
          <w:sz w:val="22"/>
          <w:szCs w:val="22"/>
          <w:lang w:val="en-GB" w:eastAsia="en-GB"/>
        </w:rPr>
      </w:pPr>
      <w:hyperlink w:anchor="_Toc518394193" w:history="1">
        <w:r w:rsidR="003E54FB" w:rsidRPr="00FB2C38">
          <w:rPr>
            <w:rStyle w:val="Hyperlink"/>
            <w:noProof/>
          </w:rPr>
          <w:t>4.1</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Formula development</w:t>
        </w:r>
        <w:r w:rsidR="003E54FB">
          <w:rPr>
            <w:noProof/>
            <w:webHidden/>
          </w:rPr>
          <w:tab/>
        </w:r>
        <w:r w:rsidR="003E54FB">
          <w:rPr>
            <w:noProof/>
            <w:webHidden/>
          </w:rPr>
          <w:fldChar w:fldCharType="begin"/>
        </w:r>
        <w:r w:rsidR="003E54FB">
          <w:rPr>
            <w:noProof/>
            <w:webHidden/>
          </w:rPr>
          <w:instrText xml:space="preserve"> PAGEREF _Toc518394193 \h </w:instrText>
        </w:r>
        <w:r w:rsidR="003E54FB">
          <w:rPr>
            <w:noProof/>
            <w:webHidden/>
          </w:rPr>
        </w:r>
        <w:r w:rsidR="003E54FB">
          <w:rPr>
            <w:noProof/>
            <w:webHidden/>
          </w:rPr>
          <w:fldChar w:fldCharType="separate"/>
        </w:r>
        <w:r>
          <w:rPr>
            <w:noProof/>
            <w:webHidden/>
          </w:rPr>
          <w:t>44</w:t>
        </w:r>
        <w:r w:rsidR="003E54FB">
          <w:rPr>
            <w:noProof/>
            <w:webHidden/>
          </w:rPr>
          <w:fldChar w:fldCharType="end"/>
        </w:r>
      </w:hyperlink>
    </w:p>
    <w:p w:rsidR="003E54FB" w:rsidRDefault="003C5F80">
      <w:pPr>
        <w:pStyle w:val="TOC2"/>
        <w:rPr>
          <w:rFonts w:asciiTheme="minorHAnsi" w:eastAsiaTheme="minorEastAsia" w:hAnsiTheme="minorHAnsi" w:cstheme="minorBidi"/>
          <w:noProof/>
          <w:sz w:val="22"/>
          <w:szCs w:val="22"/>
          <w:lang w:val="en-GB" w:eastAsia="en-GB"/>
        </w:rPr>
      </w:pPr>
      <w:hyperlink w:anchor="_Toc518394194" w:history="1">
        <w:r w:rsidR="003E54FB" w:rsidRPr="00FB2C38">
          <w:rPr>
            <w:rStyle w:val="Hyperlink"/>
            <w:noProof/>
          </w:rPr>
          <w:t>4.2</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Guidelines for the establishment of administrative fees (or administrative charges)</w:t>
        </w:r>
        <w:r w:rsidR="003E54FB">
          <w:rPr>
            <w:noProof/>
            <w:webHidden/>
          </w:rPr>
          <w:tab/>
        </w:r>
        <w:r w:rsidR="003E54FB">
          <w:rPr>
            <w:noProof/>
            <w:webHidden/>
          </w:rPr>
          <w:fldChar w:fldCharType="begin"/>
        </w:r>
        <w:r w:rsidR="003E54FB">
          <w:rPr>
            <w:noProof/>
            <w:webHidden/>
          </w:rPr>
          <w:instrText xml:space="preserve"> PAGEREF _Toc518394194 \h </w:instrText>
        </w:r>
        <w:r w:rsidR="003E54FB">
          <w:rPr>
            <w:noProof/>
            <w:webHidden/>
          </w:rPr>
        </w:r>
        <w:r w:rsidR="003E54FB">
          <w:rPr>
            <w:noProof/>
            <w:webHidden/>
          </w:rPr>
          <w:fldChar w:fldCharType="separate"/>
        </w:r>
        <w:r>
          <w:rPr>
            <w:noProof/>
            <w:webHidden/>
          </w:rPr>
          <w:t>44</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195" w:history="1">
        <w:r w:rsidR="003E54FB" w:rsidRPr="00FB2C38">
          <w:rPr>
            <w:rStyle w:val="Hyperlink"/>
            <w:noProof/>
          </w:rPr>
          <w:t>4.2.1</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Observations and general approaches</w:t>
        </w:r>
        <w:r w:rsidR="003E54FB">
          <w:rPr>
            <w:noProof/>
            <w:webHidden/>
          </w:rPr>
          <w:tab/>
        </w:r>
        <w:r w:rsidR="003E54FB">
          <w:rPr>
            <w:noProof/>
            <w:webHidden/>
          </w:rPr>
          <w:fldChar w:fldCharType="begin"/>
        </w:r>
        <w:r w:rsidR="003E54FB">
          <w:rPr>
            <w:noProof/>
            <w:webHidden/>
          </w:rPr>
          <w:instrText xml:space="preserve"> PAGEREF _Toc518394195 \h </w:instrText>
        </w:r>
        <w:r w:rsidR="003E54FB">
          <w:rPr>
            <w:noProof/>
            <w:webHidden/>
          </w:rPr>
        </w:r>
        <w:r w:rsidR="003E54FB">
          <w:rPr>
            <w:noProof/>
            <w:webHidden/>
          </w:rPr>
          <w:fldChar w:fldCharType="separate"/>
        </w:r>
        <w:r>
          <w:rPr>
            <w:noProof/>
            <w:webHidden/>
          </w:rPr>
          <w:t>44</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196" w:history="1">
        <w:r w:rsidR="003E54FB" w:rsidRPr="00FB2C38">
          <w:rPr>
            <w:rStyle w:val="Hyperlink"/>
            <w:noProof/>
          </w:rPr>
          <w:t>4.2.2</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Rule for the allocation of administrative costs – Example 1</w:t>
        </w:r>
        <w:r w:rsidR="003E54FB">
          <w:rPr>
            <w:noProof/>
            <w:webHidden/>
          </w:rPr>
          <w:tab/>
        </w:r>
        <w:r w:rsidR="003E54FB">
          <w:rPr>
            <w:noProof/>
            <w:webHidden/>
          </w:rPr>
          <w:fldChar w:fldCharType="begin"/>
        </w:r>
        <w:r w:rsidR="003E54FB">
          <w:rPr>
            <w:noProof/>
            <w:webHidden/>
          </w:rPr>
          <w:instrText xml:space="preserve"> PAGEREF _Toc518394196 \h </w:instrText>
        </w:r>
        <w:r w:rsidR="003E54FB">
          <w:rPr>
            <w:noProof/>
            <w:webHidden/>
          </w:rPr>
        </w:r>
        <w:r w:rsidR="003E54FB">
          <w:rPr>
            <w:noProof/>
            <w:webHidden/>
          </w:rPr>
          <w:fldChar w:fldCharType="separate"/>
        </w:r>
        <w:r>
          <w:rPr>
            <w:noProof/>
            <w:webHidden/>
          </w:rPr>
          <w:t>45</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197" w:history="1">
        <w:r w:rsidR="003E54FB" w:rsidRPr="00FB2C38">
          <w:rPr>
            <w:rStyle w:val="Hyperlink"/>
            <w:noProof/>
          </w:rPr>
          <w:t>4.2.3</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Rule for the allocation of administrative costs – Example 2</w:t>
        </w:r>
        <w:r w:rsidR="003E54FB">
          <w:rPr>
            <w:noProof/>
            <w:webHidden/>
          </w:rPr>
          <w:tab/>
        </w:r>
        <w:r w:rsidR="003E54FB">
          <w:rPr>
            <w:noProof/>
            <w:webHidden/>
          </w:rPr>
          <w:fldChar w:fldCharType="begin"/>
        </w:r>
        <w:r w:rsidR="003E54FB">
          <w:rPr>
            <w:noProof/>
            <w:webHidden/>
          </w:rPr>
          <w:instrText xml:space="preserve"> PAGEREF _Toc518394197 \h </w:instrText>
        </w:r>
        <w:r w:rsidR="003E54FB">
          <w:rPr>
            <w:noProof/>
            <w:webHidden/>
          </w:rPr>
        </w:r>
        <w:r w:rsidR="003E54FB">
          <w:rPr>
            <w:noProof/>
            <w:webHidden/>
          </w:rPr>
          <w:fldChar w:fldCharType="separate"/>
        </w:r>
        <w:r>
          <w:rPr>
            <w:noProof/>
            <w:webHidden/>
          </w:rPr>
          <w:t>45</w:t>
        </w:r>
        <w:r w:rsidR="003E54FB">
          <w:rPr>
            <w:noProof/>
            <w:webHidden/>
          </w:rPr>
          <w:fldChar w:fldCharType="end"/>
        </w:r>
      </w:hyperlink>
    </w:p>
    <w:p w:rsidR="003E54FB" w:rsidRDefault="003C5F80">
      <w:pPr>
        <w:pStyle w:val="TOC2"/>
        <w:rPr>
          <w:rFonts w:asciiTheme="minorHAnsi" w:eastAsiaTheme="minorEastAsia" w:hAnsiTheme="minorHAnsi" w:cstheme="minorBidi"/>
          <w:noProof/>
          <w:sz w:val="22"/>
          <w:szCs w:val="22"/>
          <w:lang w:val="en-GB" w:eastAsia="en-GB"/>
        </w:rPr>
      </w:pPr>
      <w:hyperlink w:anchor="_Toc518394198" w:history="1">
        <w:r w:rsidR="003E54FB" w:rsidRPr="00FB2C38">
          <w:rPr>
            <w:rStyle w:val="Hyperlink"/>
            <w:noProof/>
          </w:rPr>
          <w:t>4.3</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Guidelines for the establishment of spectrum fees</w:t>
        </w:r>
        <w:r w:rsidR="003E54FB">
          <w:rPr>
            <w:noProof/>
            <w:webHidden/>
          </w:rPr>
          <w:tab/>
        </w:r>
        <w:r w:rsidR="003E54FB">
          <w:rPr>
            <w:noProof/>
            <w:webHidden/>
          </w:rPr>
          <w:fldChar w:fldCharType="begin"/>
        </w:r>
        <w:r w:rsidR="003E54FB">
          <w:rPr>
            <w:noProof/>
            <w:webHidden/>
          </w:rPr>
          <w:instrText xml:space="preserve"> PAGEREF _Toc518394198 \h </w:instrText>
        </w:r>
        <w:r w:rsidR="003E54FB">
          <w:rPr>
            <w:noProof/>
            <w:webHidden/>
          </w:rPr>
        </w:r>
        <w:r w:rsidR="003E54FB">
          <w:rPr>
            <w:noProof/>
            <w:webHidden/>
          </w:rPr>
          <w:fldChar w:fldCharType="separate"/>
        </w:r>
        <w:r>
          <w:rPr>
            <w:noProof/>
            <w:webHidden/>
          </w:rPr>
          <w:t>46</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199" w:history="1">
        <w:r w:rsidR="003E54FB" w:rsidRPr="00FB2C38">
          <w:rPr>
            <w:rStyle w:val="Hyperlink"/>
            <w:noProof/>
          </w:rPr>
          <w:t>4.3.1</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Defining the goals of the spectrum fees</w:t>
        </w:r>
        <w:r w:rsidR="003E54FB">
          <w:rPr>
            <w:noProof/>
            <w:webHidden/>
          </w:rPr>
          <w:tab/>
        </w:r>
        <w:r w:rsidR="003E54FB">
          <w:rPr>
            <w:noProof/>
            <w:webHidden/>
          </w:rPr>
          <w:fldChar w:fldCharType="begin"/>
        </w:r>
        <w:r w:rsidR="003E54FB">
          <w:rPr>
            <w:noProof/>
            <w:webHidden/>
          </w:rPr>
          <w:instrText xml:space="preserve"> PAGEREF _Toc518394199 \h </w:instrText>
        </w:r>
        <w:r w:rsidR="003E54FB">
          <w:rPr>
            <w:noProof/>
            <w:webHidden/>
          </w:rPr>
        </w:r>
        <w:r w:rsidR="003E54FB">
          <w:rPr>
            <w:noProof/>
            <w:webHidden/>
          </w:rPr>
          <w:fldChar w:fldCharType="separate"/>
        </w:r>
        <w:r>
          <w:rPr>
            <w:noProof/>
            <w:webHidden/>
          </w:rPr>
          <w:t>46</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00" w:history="1">
        <w:r w:rsidR="003E54FB" w:rsidRPr="00FB2C38">
          <w:rPr>
            <w:rStyle w:val="Hyperlink"/>
            <w:noProof/>
          </w:rPr>
          <w:t>4.3.2</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Demand assessment for the spectrum</w:t>
        </w:r>
        <w:r w:rsidR="003E54FB">
          <w:rPr>
            <w:noProof/>
            <w:webHidden/>
          </w:rPr>
          <w:tab/>
        </w:r>
        <w:r w:rsidR="003E54FB">
          <w:rPr>
            <w:noProof/>
            <w:webHidden/>
          </w:rPr>
          <w:fldChar w:fldCharType="begin"/>
        </w:r>
        <w:r w:rsidR="003E54FB">
          <w:rPr>
            <w:noProof/>
            <w:webHidden/>
          </w:rPr>
          <w:instrText xml:space="preserve"> PAGEREF _Toc518394200 \h </w:instrText>
        </w:r>
        <w:r w:rsidR="003E54FB">
          <w:rPr>
            <w:noProof/>
            <w:webHidden/>
          </w:rPr>
        </w:r>
        <w:r w:rsidR="003E54FB">
          <w:rPr>
            <w:noProof/>
            <w:webHidden/>
          </w:rPr>
          <w:fldChar w:fldCharType="separate"/>
        </w:r>
        <w:r>
          <w:rPr>
            <w:noProof/>
            <w:webHidden/>
          </w:rPr>
          <w:t>46</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01" w:history="1">
        <w:r w:rsidR="003E54FB" w:rsidRPr="00FB2C38">
          <w:rPr>
            <w:rStyle w:val="Hyperlink"/>
            <w:noProof/>
          </w:rPr>
          <w:t>4.3.3</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Cost assessment for the spectrum</w:t>
        </w:r>
        <w:r w:rsidR="003E54FB">
          <w:rPr>
            <w:noProof/>
            <w:webHidden/>
          </w:rPr>
          <w:tab/>
        </w:r>
        <w:r w:rsidR="003E54FB">
          <w:rPr>
            <w:noProof/>
            <w:webHidden/>
          </w:rPr>
          <w:fldChar w:fldCharType="begin"/>
        </w:r>
        <w:r w:rsidR="003E54FB">
          <w:rPr>
            <w:noProof/>
            <w:webHidden/>
          </w:rPr>
          <w:instrText xml:space="preserve"> PAGEREF _Toc518394201 \h </w:instrText>
        </w:r>
        <w:r w:rsidR="003E54FB">
          <w:rPr>
            <w:noProof/>
            <w:webHidden/>
          </w:rPr>
        </w:r>
        <w:r w:rsidR="003E54FB">
          <w:rPr>
            <w:noProof/>
            <w:webHidden/>
          </w:rPr>
          <w:fldChar w:fldCharType="separate"/>
        </w:r>
        <w:r>
          <w:rPr>
            <w:noProof/>
            <w:webHidden/>
          </w:rPr>
          <w:t>46</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02" w:history="1">
        <w:r w:rsidR="003E54FB" w:rsidRPr="00FB2C38">
          <w:rPr>
            <w:rStyle w:val="Hyperlink"/>
            <w:noProof/>
          </w:rPr>
          <w:t>4.3.4</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Choosing the fees approach</w:t>
        </w:r>
        <w:r w:rsidR="003E54FB">
          <w:rPr>
            <w:noProof/>
            <w:webHidden/>
          </w:rPr>
          <w:tab/>
        </w:r>
        <w:r w:rsidR="003E54FB">
          <w:rPr>
            <w:noProof/>
            <w:webHidden/>
          </w:rPr>
          <w:fldChar w:fldCharType="begin"/>
        </w:r>
        <w:r w:rsidR="003E54FB">
          <w:rPr>
            <w:noProof/>
            <w:webHidden/>
          </w:rPr>
          <w:instrText xml:space="preserve"> PAGEREF _Toc518394202 \h </w:instrText>
        </w:r>
        <w:r w:rsidR="003E54FB">
          <w:rPr>
            <w:noProof/>
            <w:webHidden/>
          </w:rPr>
        </w:r>
        <w:r w:rsidR="003E54FB">
          <w:rPr>
            <w:noProof/>
            <w:webHidden/>
          </w:rPr>
          <w:fldChar w:fldCharType="separate"/>
        </w:r>
        <w:r>
          <w:rPr>
            <w:noProof/>
            <w:webHidden/>
          </w:rPr>
          <w:t>46</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03" w:history="1">
        <w:r w:rsidR="003E54FB" w:rsidRPr="00FB2C38">
          <w:rPr>
            <w:rStyle w:val="Hyperlink"/>
            <w:noProof/>
          </w:rPr>
          <w:t>4.3.5</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Determining the fees</w:t>
        </w:r>
        <w:r w:rsidR="003E54FB">
          <w:rPr>
            <w:noProof/>
            <w:webHidden/>
          </w:rPr>
          <w:tab/>
        </w:r>
        <w:r w:rsidR="003E54FB">
          <w:rPr>
            <w:noProof/>
            <w:webHidden/>
          </w:rPr>
          <w:fldChar w:fldCharType="begin"/>
        </w:r>
        <w:r w:rsidR="003E54FB">
          <w:rPr>
            <w:noProof/>
            <w:webHidden/>
          </w:rPr>
          <w:instrText xml:space="preserve"> PAGEREF _Toc518394203 \h </w:instrText>
        </w:r>
        <w:r w:rsidR="003E54FB">
          <w:rPr>
            <w:noProof/>
            <w:webHidden/>
          </w:rPr>
        </w:r>
        <w:r w:rsidR="003E54FB">
          <w:rPr>
            <w:noProof/>
            <w:webHidden/>
          </w:rPr>
          <w:fldChar w:fldCharType="separate"/>
        </w:r>
        <w:r>
          <w:rPr>
            <w:noProof/>
            <w:webHidden/>
          </w:rPr>
          <w:t>47</w:t>
        </w:r>
        <w:r w:rsidR="003E54FB">
          <w:rPr>
            <w:noProof/>
            <w:webHidden/>
          </w:rPr>
          <w:fldChar w:fldCharType="end"/>
        </w:r>
      </w:hyperlink>
    </w:p>
    <w:p w:rsidR="003E54FB" w:rsidRDefault="003C5F80">
      <w:pPr>
        <w:pStyle w:val="TOC2"/>
        <w:rPr>
          <w:rFonts w:asciiTheme="minorHAnsi" w:eastAsiaTheme="minorEastAsia" w:hAnsiTheme="minorHAnsi" w:cstheme="minorBidi"/>
          <w:noProof/>
          <w:sz w:val="22"/>
          <w:szCs w:val="22"/>
          <w:lang w:val="en-GB" w:eastAsia="en-GB"/>
        </w:rPr>
      </w:pPr>
      <w:hyperlink w:anchor="_Toc518394204" w:history="1">
        <w:r w:rsidR="003E54FB" w:rsidRPr="00FB2C38">
          <w:rPr>
            <w:rStyle w:val="Hyperlink"/>
            <w:noProof/>
          </w:rPr>
          <w:t>4.4</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Examples of formulas for fee calculation</w:t>
        </w:r>
        <w:r w:rsidR="003E54FB">
          <w:rPr>
            <w:noProof/>
            <w:webHidden/>
          </w:rPr>
          <w:tab/>
        </w:r>
        <w:r w:rsidR="003E54FB">
          <w:rPr>
            <w:noProof/>
            <w:webHidden/>
          </w:rPr>
          <w:fldChar w:fldCharType="begin"/>
        </w:r>
        <w:r w:rsidR="003E54FB">
          <w:rPr>
            <w:noProof/>
            <w:webHidden/>
          </w:rPr>
          <w:instrText xml:space="preserve"> PAGEREF _Toc518394204 \h </w:instrText>
        </w:r>
        <w:r w:rsidR="003E54FB">
          <w:rPr>
            <w:noProof/>
            <w:webHidden/>
          </w:rPr>
        </w:r>
        <w:r w:rsidR="003E54FB">
          <w:rPr>
            <w:noProof/>
            <w:webHidden/>
          </w:rPr>
          <w:fldChar w:fldCharType="separate"/>
        </w:r>
        <w:r>
          <w:rPr>
            <w:noProof/>
            <w:webHidden/>
          </w:rPr>
          <w:t>47</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05" w:history="1">
        <w:r w:rsidR="003E54FB" w:rsidRPr="00FB2C38">
          <w:rPr>
            <w:rStyle w:val="Hyperlink"/>
            <w:noProof/>
          </w:rPr>
          <w:t>4.4.1</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Notations and definitions of coefficients</w:t>
        </w:r>
        <w:r w:rsidR="003E54FB">
          <w:rPr>
            <w:noProof/>
            <w:webHidden/>
          </w:rPr>
          <w:tab/>
        </w:r>
        <w:r w:rsidR="003E54FB">
          <w:rPr>
            <w:noProof/>
            <w:webHidden/>
          </w:rPr>
          <w:fldChar w:fldCharType="begin"/>
        </w:r>
        <w:r w:rsidR="003E54FB">
          <w:rPr>
            <w:noProof/>
            <w:webHidden/>
          </w:rPr>
          <w:instrText xml:space="preserve"> PAGEREF _Toc518394205 \h </w:instrText>
        </w:r>
        <w:r w:rsidR="003E54FB">
          <w:rPr>
            <w:noProof/>
            <w:webHidden/>
          </w:rPr>
        </w:r>
        <w:r w:rsidR="003E54FB">
          <w:rPr>
            <w:noProof/>
            <w:webHidden/>
          </w:rPr>
          <w:fldChar w:fldCharType="separate"/>
        </w:r>
        <w:r>
          <w:rPr>
            <w:noProof/>
            <w:webHidden/>
          </w:rPr>
          <w:t>47</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06" w:history="1">
        <w:r w:rsidR="003E54FB" w:rsidRPr="00FB2C38">
          <w:rPr>
            <w:rStyle w:val="Hyperlink"/>
            <w:noProof/>
          </w:rPr>
          <w:t xml:space="preserve">4.4.2 </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Fee applied to a point-to-point fixed-service assignment</w:t>
        </w:r>
        <w:r w:rsidR="003E54FB">
          <w:rPr>
            <w:noProof/>
            <w:webHidden/>
          </w:rPr>
          <w:tab/>
        </w:r>
        <w:r w:rsidR="003E54FB">
          <w:rPr>
            <w:noProof/>
            <w:webHidden/>
          </w:rPr>
          <w:fldChar w:fldCharType="begin"/>
        </w:r>
        <w:r w:rsidR="003E54FB">
          <w:rPr>
            <w:noProof/>
            <w:webHidden/>
          </w:rPr>
          <w:instrText xml:space="preserve"> PAGEREF _Toc518394206 \h </w:instrText>
        </w:r>
        <w:r w:rsidR="003E54FB">
          <w:rPr>
            <w:noProof/>
            <w:webHidden/>
          </w:rPr>
        </w:r>
        <w:r w:rsidR="003E54FB">
          <w:rPr>
            <w:noProof/>
            <w:webHidden/>
          </w:rPr>
          <w:fldChar w:fldCharType="separate"/>
        </w:r>
        <w:r>
          <w:rPr>
            <w:noProof/>
            <w:webHidden/>
          </w:rPr>
          <w:t>47</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07" w:history="1">
        <w:r w:rsidR="003E54FB" w:rsidRPr="00FB2C38">
          <w:rPr>
            <w:rStyle w:val="Hyperlink"/>
            <w:noProof/>
          </w:rPr>
          <w:t xml:space="preserve">4.4.3 </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Fee applied to a point-to-point fixed-service allotment</w:t>
        </w:r>
        <w:r w:rsidR="003E54FB">
          <w:rPr>
            <w:noProof/>
            <w:webHidden/>
          </w:rPr>
          <w:tab/>
        </w:r>
        <w:r w:rsidR="003E54FB">
          <w:rPr>
            <w:noProof/>
            <w:webHidden/>
          </w:rPr>
          <w:fldChar w:fldCharType="begin"/>
        </w:r>
        <w:r w:rsidR="003E54FB">
          <w:rPr>
            <w:noProof/>
            <w:webHidden/>
          </w:rPr>
          <w:instrText xml:space="preserve"> PAGEREF _Toc518394207 \h </w:instrText>
        </w:r>
        <w:r w:rsidR="003E54FB">
          <w:rPr>
            <w:noProof/>
            <w:webHidden/>
          </w:rPr>
        </w:r>
        <w:r w:rsidR="003E54FB">
          <w:rPr>
            <w:noProof/>
            <w:webHidden/>
          </w:rPr>
          <w:fldChar w:fldCharType="separate"/>
        </w:r>
        <w:r>
          <w:rPr>
            <w:noProof/>
            <w:webHidden/>
          </w:rPr>
          <w:t>47</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08" w:history="1">
        <w:r w:rsidR="003E54FB" w:rsidRPr="00FB2C38">
          <w:rPr>
            <w:rStyle w:val="Hyperlink"/>
            <w:noProof/>
          </w:rPr>
          <w:t>4.4.4</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Fee applied to a wireless local loop allotment in the fixed service</w:t>
        </w:r>
        <w:r w:rsidR="003E54FB">
          <w:rPr>
            <w:noProof/>
            <w:webHidden/>
          </w:rPr>
          <w:tab/>
        </w:r>
        <w:r w:rsidR="003E54FB">
          <w:rPr>
            <w:noProof/>
            <w:webHidden/>
          </w:rPr>
          <w:fldChar w:fldCharType="begin"/>
        </w:r>
        <w:r w:rsidR="003E54FB">
          <w:rPr>
            <w:noProof/>
            <w:webHidden/>
          </w:rPr>
          <w:instrText xml:space="preserve"> PAGEREF _Toc518394208 \h </w:instrText>
        </w:r>
        <w:r w:rsidR="003E54FB">
          <w:rPr>
            <w:noProof/>
            <w:webHidden/>
          </w:rPr>
        </w:r>
        <w:r w:rsidR="003E54FB">
          <w:rPr>
            <w:noProof/>
            <w:webHidden/>
          </w:rPr>
          <w:fldChar w:fldCharType="separate"/>
        </w:r>
        <w:r>
          <w:rPr>
            <w:noProof/>
            <w:webHidden/>
          </w:rPr>
          <w:t>47</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09" w:history="1">
        <w:r w:rsidR="003E54FB" w:rsidRPr="00FB2C38">
          <w:rPr>
            <w:rStyle w:val="Hyperlink"/>
            <w:noProof/>
          </w:rPr>
          <w:t>4.4.5</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Fee applied to an assignment to an earth station in the fixed or mobile-satellite service</w:t>
        </w:r>
        <w:r w:rsidR="003E54FB">
          <w:rPr>
            <w:noProof/>
            <w:webHidden/>
          </w:rPr>
          <w:tab/>
        </w:r>
        <w:r w:rsidR="003E54FB">
          <w:rPr>
            <w:noProof/>
            <w:webHidden/>
          </w:rPr>
          <w:fldChar w:fldCharType="begin"/>
        </w:r>
        <w:r w:rsidR="003E54FB">
          <w:rPr>
            <w:noProof/>
            <w:webHidden/>
          </w:rPr>
          <w:instrText xml:space="preserve"> PAGEREF _Toc518394209 \h </w:instrText>
        </w:r>
        <w:r w:rsidR="003E54FB">
          <w:rPr>
            <w:noProof/>
            <w:webHidden/>
          </w:rPr>
        </w:r>
        <w:r w:rsidR="003E54FB">
          <w:rPr>
            <w:noProof/>
            <w:webHidden/>
          </w:rPr>
          <w:fldChar w:fldCharType="separate"/>
        </w:r>
        <w:r>
          <w:rPr>
            <w:noProof/>
            <w:webHidden/>
          </w:rPr>
          <w:t>48</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10" w:history="1">
        <w:r w:rsidR="003E54FB" w:rsidRPr="00FB2C38">
          <w:rPr>
            <w:rStyle w:val="Hyperlink"/>
            <w:noProof/>
          </w:rPr>
          <w:t>4.4.6</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Fee applied to an allotment in the fixed or mobile-satellite service</w:t>
        </w:r>
        <w:r w:rsidR="003E54FB">
          <w:rPr>
            <w:noProof/>
            <w:webHidden/>
          </w:rPr>
          <w:tab/>
        </w:r>
        <w:r w:rsidR="003E54FB">
          <w:rPr>
            <w:noProof/>
            <w:webHidden/>
          </w:rPr>
          <w:fldChar w:fldCharType="begin"/>
        </w:r>
        <w:r w:rsidR="003E54FB">
          <w:rPr>
            <w:noProof/>
            <w:webHidden/>
          </w:rPr>
          <w:instrText xml:space="preserve"> PAGEREF _Toc518394210 \h </w:instrText>
        </w:r>
        <w:r w:rsidR="003E54FB">
          <w:rPr>
            <w:noProof/>
            <w:webHidden/>
          </w:rPr>
        </w:r>
        <w:r w:rsidR="003E54FB">
          <w:rPr>
            <w:noProof/>
            <w:webHidden/>
          </w:rPr>
          <w:fldChar w:fldCharType="separate"/>
        </w:r>
        <w:r>
          <w:rPr>
            <w:noProof/>
            <w:webHidden/>
          </w:rPr>
          <w:t>48</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11" w:history="1">
        <w:r w:rsidR="003E54FB" w:rsidRPr="00FB2C38">
          <w:rPr>
            <w:rStyle w:val="Hyperlink"/>
            <w:noProof/>
          </w:rPr>
          <w:t>4.4.7</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Fee applied to an assignment for private networks in the mobile service</w:t>
        </w:r>
        <w:r w:rsidR="003E54FB">
          <w:rPr>
            <w:noProof/>
            <w:webHidden/>
          </w:rPr>
          <w:tab/>
        </w:r>
        <w:r w:rsidR="003E54FB">
          <w:rPr>
            <w:noProof/>
            <w:webHidden/>
          </w:rPr>
          <w:fldChar w:fldCharType="begin"/>
        </w:r>
        <w:r w:rsidR="003E54FB">
          <w:rPr>
            <w:noProof/>
            <w:webHidden/>
          </w:rPr>
          <w:instrText xml:space="preserve"> PAGEREF _Toc518394211 \h </w:instrText>
        </w:r>
        <w:r w:rsidR="003E54FB">
          <w:rPr>
            <w:noProof/>
            <w:webHidden/>
          </w:rPr>
        </w:r>
        <w:r w:rsidR="003E54FB">
          <w:rPr>
            <w:noProof/>
            <w:webHidden/>
          </w:rPr>
          <w:fldChar w:fldCharType="separate"/>
        </w:r>
        <w:r>
          <w:rPr>
            <w:noProof/>
            <w:webHidden/>
          </w:rPr>
          <w:t>48</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12" w:history="1">
        <w:r w:rsidR="003E54FB" w:rsidRPr="00FB2C38">
          <w:rPr>
            <w:rStyle w:val="Hyperlink"/>
            <w:noProof/>
          </w:rPr>
          <w:t>4.4.8</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Practical example of fee calculation formula from the Republic of Colombia</w:t>
        </w:r>
        <w:r w:rsidR="003E54FB">
          <w:rPr>
            <w:noProof/>
            <w:webHidden/>
          </w:rPr>
          <w:tab/>
        </w:r>
        <w:r w:rsidR="003E54FB">
          <w:rPr>
            <w:noProof/>
            <w:webHidden/>
          </w:rPr>
          <w:fldChar w:fldCharType="begin"/>
        </w:r>
        <w:r w:rsidR="003E54FB">
          <w:rPr>
            <w:noProof/>
            <w:webHidden/>
          </w:rPr>
          <w:instrText xml:space="preserve"> PAGEREF _Toc518394212 \h </w:instrText>
        </w:r>
        <w:r w:rsidR="003E54FB">
          <w:rPr>
            <w:noProof/>
            <w:webHidden/>
          </w:rPr>
        </w:r>
        <w:r w:rsidR="003E54FB">
          <w:rPr>
            <w:noProof/>
            <w:webHidden/>
          </w:rPr>
          <w:fldChar w:fldCharType="separate"/>
        </w:r>
        <w:r>
          <w:rPr>
            <w:noProof/>
            <w:webHidden/>
          </w:rPr>
          <w:t>48</w:t>
        </w:r>
        <w:r w:rsidR="003E54FB">
          <w:rPr>
            <w:noProof/>
            <w:webHidden/>
          </w:rPr>
          <w:fldChar w:fldCharType="end"/>
        </w:r>
      </w:hyperlink>
    </w:p>
    <w:p w:rsidR="003E54FB" w:rsidRDefault="003C5F80">
      <w:pPr>
        <w:pStyle w:val="TOC2"/>
        <w:rPr>
          <w:rFonts w:asciiTheme="minorHAnsi" w:eastAsiaTheme="minorEastAsia" w:hAnsiTheme="minorHAnsi" w:cstheme="minorBidi"/>
          <w:noProof/>
          <w:sz w:val="22"/>
          <w:szCs w:val="22"/>
          <w:lang w:val="en-GB" w:eastAsia="en-GB"/>
        </w:rPr>
      </w:pPr>
      <w:hyperlink w:anchor="_Toc518394213" w:history="1">
        <w:r w:rsidR="003E54FB" w:rsidRPr="00FB2C38">
          <w:rPr>
            <w:rStyle w:val="Hyperlink"/>
            <w:noProof/>
          </w:rPr>
          <w:t>4.5</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Spectrum fees for frequencies used in the provision or marketing of services intended for a</w:t>
        </w:r>
        <w:r w:rsidR="003E54FB" w:rsidRPr="00FB2C38">
          <w:rPr>
            <w:rStyle w:val="Hyperlink"/>
            <w:bCs/>
            <w:noProof/>
          </w:rPr>
          <w:t xml:space="preserve"> </w:t>
        </w:r>
        <w:r w:rsidR="003E54FB" w:rsidRPr="00FB2C38">
          <w:rPr>
            <w:rStyle w:val="Hyperlink"/>
            <w:noProof/>
          </w:rPr>
          <w:t>consumer market</w:t>
        </w:r>
        <w:r w:rsidR="003E54FB">
          <w:rPr>
            <w:noProof/>
            <w:webHidden/>
          </w:rPr>
          <w:tab/>
        </w:r>
        <w:r w:rsidR="003E54FB">
          <w:rPr>
            <w:noProof/>
            <w:webHidden/>
          </w:rPr>
          <w:fldChar w:fldCharType="begin"/>
        </w:r>
        <w:r w:rsidR="003E54FB">
          <w:rPr>
            <w:noProof/>
            <w:webHidden/>
          </w:rPr>
          <w:instrText xml:space="preserve"> PAGEREF _Toc518394213 \h </w:instrText>
        </w:r>
        <w:r w:rsidR="003E54FB">
          <w:rPr>
            <w:noProof/>
            <w:webHidden/>
          </w:rPr>
        </w:r>
        <w:r w:rsidR="003E54FB">
          <w:rPr>
            <w:noProof/>
            <w:webHidden/>
          </w:rPr>
          <w:fldChar w:fldCharType="separate"/>
        </w:r>
        <w:r>
          <w:rPr>
            <w:noProof/>
            <w:webHidden/>
          </w:rPr>
          <w:t>48</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14" w:history="1">
        <w:r w:rsidR="003E54FB" w:rsidRPr="00FB2C38">
          <w:rPr>
            <w:rStyle w:val="Hyperlink"/>
            <w:noProof/>
          </w:rPr>
          <w:t>4.5.1</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Observations and general approaches</w:t>
        </w:r>
        <w:r w:rsidR="003E54FB">
          <w:rPr>
            <w:noProof/>
            <w:webHidden/>
          </w:rPr>
          <w:tab/>
        </w:r>
        <w:r w:rsidR="003E54FB">
          <w:rPr>
            <w:noProof/>
            <w:webHidden/>
          </w:rPr>
          <w:fldChar w:fldCharType="begin"/>
        </w:r>
        <w:r w:rsidR="003E54FB">
          <w:rPr>
            <w:noProof/>
            <w:webHidden/>
          </w:rPr>
          <w:instrText xml:space="preserve"> PAGEREF _Toc518394214 \h </w:instrText>
        </w:r>
        <w:r w:rsidR="003E54FB">
          <w:rPr>
            <w:noProof/>
            <w:webHidden/>
          </w:rPr>
        </w:r>
        <w:r w:rsidR="003E54FB">
          <w:rPr>
            <w:noProof/>
            <w:webHidden/>
          </w:rPr>
          <w:fldChar w:fldCharType="separate"/>
        </w:r>
        <w:r>
          <w:rPr>
            <w:noProof/>
            <w:webHidden/>
          </w:rPr>
          <w:t>48</w:t>
        </w:r>
        <w:r w:rsidR="003E54FB">
          <w:rPr>
            <w:noProof/>
            <w:webHidden/>
          </w:rPr>
          <w:fldChar w:fldCharType="end"/>
        </w:r>
      </w:hyperlink>
    </w:p>
    <w:p w:rsidR="003E54FB" w:rsidRPr="00BD6197" w:rsidRDefault="003E54FB" w:rsidP="003E54FB">
      <w:pPr>
        <w:pStyle w:val="toc0"/>
        <w:tabs>
          <w:tab w:val="clear" w:pos="9611"/>
          <w:tab w:val="left" w:pos="8647"/>
        </w:tabs>
        <w:ind w:right="992"/>
        <w:rPr>
          <w:noProof/>
          <w:lang w:val="en-US"/>
        </w:rPr>
      </w:pPr>
      <w:r w:rsidRPr="00BD6197">
        <w:rPr>
          <w:noProof/>
          <w:lang w:val="en-US"/>
        </w:rPr>
        <w:lastRenderedPageBreak/>
        <w:tab/>
        <w:t>Page</w:t>
      </w:r>
    </w:p>
    <w:p w:rsidR="003E54FB" w:rsidRDefault="003C5F80">
      <w:pPr>
        <w:pStyle w:val="TOC3"/>
        <w:rPr>
          <w:rFonts w:asciiTheme="minorHAnsi" w:eastAsiaTheme="minorEastAsia" w:hAnsiTheme="minorHAnsi" w:cstheme="minorBidi"/>
          <w:noProof/>
          <w:sz w:val="22"/>
          <w:szCs w:val="22"/>
          <w:lang w:val="en-GB" w:eastAsia="en-GB"/>
        </w:rPr>
      </w:pPr>
      <w:hyperlink w:anchor="_Toc518394215" w:history="1">
        <w:r w:rsidR="003E54FB" w:rsidRPr="00FB2C38">
          <w:rPr>
            <w:rStyle w:val="Hyperlink"/>
            <w:noProof/>
          </w:rPr>
          <w:t>4.5.2</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Example of fees applied to the 2G mobile service</w:t>
        </w:r>
        <w:r w:rsidR="003E54FB">
          <w:rPr>
            <w:noProof/>
            <w:webHidden/>
          </w:rPr>
          <w:tab/>
        </w:r>
        <w:r w:rsidR="003E54FB">
          <w:rPr>
            <w:noProof/>
            <w:webHidden/>
          </w:rPr>
          <w:fldChar w:fldCharType="begin"/>
        </w:r>
        <w:r w:rsidR="003E54FB">
          <w:rPr>
            <w:noProof/>
            <w:webHidden/>
          </w:rPr>
          <w:instrText xml:space="preserve"> PAGEREF _Toc518394215 \h </w:instrText>
        </w:r>
        <w:r w:rsidR="003E54FB">
          <w:rPr>
            <w:noProof/>
            <w:webHidden/>
          </w:rPr>
        </w:r>
        <w:r w:rsidR="003E54FB">
          <w:rPr>
            <w:noProof/>
            <w:webHidden/>
          </w:rPr>
          <w:fldChar w:fldCharType="separate"/>
        </w:r>
        <w:r>
          <w:rPr>
            <w:noProof/>
            <w:webHidden/>
          </w:rPr>
          <w:t>48</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16" w:history="1">
        <w:r w:rsidR="003E54FB" w:rsidRPr="00FB2C38">
          <w:rPr>
            <w:rStyle w:val="Hyperlink"/>
            <w:noProof/>
          </w:rPr>
          <w:t>4.5.3</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Example of fees applied to the 3G mobile service</w:t>
        </w:r>
        <w:r w:rsidR="003E54FB">
          <w:rPr>
            <w:noProof/>
            <w:webHidden/>
          </w:rPr>
          <w:tab/>
        </w:r>
        <w:r w:rsidR="003E54FB">
          <w:rPr>
            <w:noProof/>
            <w:webHidden/>
          </w:rPr>
          <w:fldChar w:fldCharType="begin"/>
        </w:r>
        <w:r w:rsidR="003E54FB">
          <w:rPr>
            <w:noProof/>
            <w:webHidden/>
          </w:rPr>
          <w:instrText xml:space="preserve"> PAGEREF _Toc518394216 \h </w:instrText>
        </w:r>
        <w:r w:rsidR="003E54FB">
          <w:rPr>
            <w:noProof/>
            <w:webHidden/>
          </w:rPr>
        </w:r>
        <w:r w:rsidR="003E54FB">
          <w:rPr>
            <w:noProof/>
            <w:webHidden/>
          </w:rPr>
          <w:fldChar w:fldCharType="separate"/>
        </w:r>
        <w:r>
          <w:rPr>
            <w:noProof/>
            <w:webHidden/>
          </w:rPr>
          <w:t>48</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17" w:history="1">
        <w:r w:rsidR="003E54FB" w:rsidRPr="00FB2C38">
          <w:rPr>
            <w:rStyle w:val="Hyperlink"/>
            <w:noProof/>
          </w:rPr>
          <w:t>4.5.4</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Another example of fees applied to the fixed wireless local loop service</w:t>
        </w:r>
        <w:r w:rsidR="003E54FB">
          <w:rPr>
            <w:noProof/>
            <w:webHidden/>
          </w:rPr>
          <w:tab/>
        </w:r>
        <w:r w:rsidR="003E54FB">
          <w:rPr>
            <w:noProof/>
            <w:webHidden/>
          </w:rPr>
          <w:fldChar w:fldCharType="begin"/>
        </w:r>
        <w:r w:rsidR="003E54FB">
          <w:rPr>
            <w:noProof/>
            <w:webHidden/>
          </w:rPr>
          <w:instrText xml:space="preserve"> PAGEREF _Toc518394217 \h </w:instrText>
        </w:r>
        <w:r w:rsidR="003E54FB">
          <w:rPr>
            <w:noProof/>
            <w:webHidden/>
          </w:rPr>
        </w:r>
        <w:r w:rsidR="003E54FB">
          <w:rPr>
            <w:noProof/>
            <w:webHidden/>
          </w:rPr>
          <w:fldChar w:fldCharType="separate"/>
        </w:r>
        <w:r>
          <w:rPr>
            <w:noProof/>
            <w:webHidden/>
          </w:rPr>
          <w:t>49</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18" w:history="1">
        <w:r w:rsidR="003E54FB" w:rsidRPr="00FB2C38">
          <w:rPr>
            <w:rStyle w:val="Hyperlink"/>
            <w:noProof/>
          </w:rPr>
          <w:t xml:space="preserve">4.5.5 </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Example of fees applied to a television programme producer</w:t>
        </w:r>
        <w:r w:rsidR="003E54FB">
          <w:rPr>
            <w:noProof/>
            <w:webHidden/>
          </w:rPr>
          <w:tab/>
        </w:r>
        <w:r w:rsidR="003E54FB">
          <w:rPr>
            <w:noProof/>
            <w:webHidden/>
          </w:rPr>
          <w:fldChar w:fldCharType="begin"/>
        </w:r>
        <w:r w:rsidR="003E54FB">
          <w:rPr>
            <w:noProof/>
            <w:webHidden/>
          </w:rPr>
          <w:instrText xml:space="preserve"> PAGEREF _Toc518394218 \h </w:instrText>
        </w:r>
        <w:r w:rsidR="003E54FB">
          <w:rPr>
            <w:noProof/>
            <w:webHidden/>
          </w:rPr>
        </w:r>
        <w:r w:rsidR="003E54FB">
          <w:rPr>
            <w:noProof/>
            <w:webHidden/>
          </w:rPr>
          <w:fldChar w:fldCharType="separate"/>
        </w:r>
        <w:r>
          <w:rPr>
            <w:noProof/>
            <w:webHidden/>
          </w:rPr>
          <w:t>49</w:t>
        </w:r>
        <w:r w:rsidR="003E54FB">
          <w:rPr>
            <w:noProof/>
            <w:webHidden/>
          </w:rPr>
          <w:fldChar w:fldCharType="end"/>
        </w:r>
      </w:hyperlink>
    </w:p>
    <w:p w:rsidR="003E54FB" w:rsidRDefault="003C5F80">
      <w:pPr>
        <w:pStyle w:val="TOC2"/>
        <w:rPr>
          <w:rFonts w:asciiTheme="minorHAnsi" w:eastAsiaTheme="minorEastAsia" w:hAnsiTheme="minorHAnsi" w:cstheme="minorBidi"/>
          <w:noProof/>
          <w:sz w:val="22"/>
          <w:szCs w:val="22"/>
          <w:lang w:val="en-GB" w:eastAsia="en-GB"/>
        </w:rPr>
      </w:pPr>
      <w:hyperlink w:anchor="_Toc518394219" w:history="1">
        <w:r w:rsidR="003E54FB" w:rsidRPr="00FB2C38">
          <w:rPr>
            <w:rStyle w:val="Hyperlink"/>
            <w:noProof/>
          </w:rPr>
          <w:t>4.6</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An analytical model for calculating license fees on the basis of specified incentives that are designed to promote efficient spectrum use</w:t>
        </w:r>
        <w:r w:rsidR="003E54FB">
          <w:rPr>
            <w:noProof/>
            <w:webHidden/>
          </w:rPr>
          <w:tab/>
        </w:r>
        <w:r w:rsidR="003E54FB">
          <w:rPr>
            <w:noProof/>
            <w:webHidden/>
          </w:rPr>
          <w:fldChar w:fldCharType="begin"/>
        </w:r>
        <w:r w:rsidR="003E54FB">
          <w:rPr>
            <w:noProof/>
            <w:webHidden/>
          </w:rPr>
          <w:instrText xml:space="preserve"> PAGEREF _Toc518394219 \h </w:instrText>
        </w:r>
        <w:r w:rsidR="003E54FB">
          <w:rPr>
            <w:noProof/>
            <w:webHidden/>
          </w:rPr>
        </w:r>
        <w:r w:rsidR="003E54FB">
          <w:rPr>
            <w:noProof/>
            <w:webHidden/>
          </w:rPr>
          <w:fldChar w:fldCharType="separate"/>
        </w:r>
        <w:r>
          <w:rPr>
            <w:noProof/>
            <w:webHidden/>
          </w:rPr>
          <w:t>49</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20" w:history="1">
        <w:r w:rsidR="003E54FB" w:rsidRPr="00FB2C38">
          <w:rPr>
            <w:rStyle w:val="Hyperlink"/>
            <w:noProof/>
          </w:rPr>
          <w:t>4.6.1</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General purpose of the model</w:t>
        </w:r>
        <w:r w:rsidR="003E54FB">
          <w:rPr>
            <w:noProof/>
            <w:webHidden/>
          </w:rPr>
          <w:tab/>
        </w:r>
        <w:r w:rsidR="003E54FB">
          <w:rPr>
            <w:noProof/>
            <w:webHidden/>
          </w:rPr>
          <w:fldChar w:fldCharType="begin"/>
        </w:r>
        <w:r w:rsidR="003E54FB">
          <w:rPr>
            <w:noProof/>
            <w:webHidden/>
          </w:rPr>
          <w:instrText xml:space="preserve"> PAGEREF _Toc518394220 \h </w:instrText>
        </w:r>
        <w:r w:rsidR="003E54FB">
          <w:rPr>
            <w:noProof/>
            <w:webHidden/>
          </w:rPr>
        </w:r>
        <w:r w:rsidR="003E54FB">
          <w:rPr>
            <w:noProof/>
            <w:webHidden/>
          </w:rPr>
          <w:fldChar w:fldCharType="separate"/>
        </w:r>
        <w:r>
          <w:rPr>
            <w:noProof/>
            <w:webHidden/>
          </w:rPr>
          <w:t>50</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21" w:history="1">
        <w:r w:rsidR="003E54FB" w:rsidRPr="00FB2C38">
          <w:rPr>
            <w:rStyle w:val="Hyperlink"/>
            <w:noProof/>
          </w:rPr>
          <w:t>4.6.2</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Steps in the model formulation</w:t>
        </w:r>
        <w:r w:rsidR="003E54FB">
          <w:rPr>
            <w:noProof/>
            <w:webHidden/>
          </w:rPr>
          <w:tab/>
        </w:r>
        <w:r w:rsidR="003E54FB">
          <w:rPr>
            <w:noProof/>
            <w:webHidden/>
          </w:rPr>
          <w:fldChar w:fldCharType="begin"/>
        </w:r>
        <w:r w:rsidR="003E54FB">
          <w:rPr>
            <w:noProof/>
            <w:webHidden/>
          </w:rPr>
          <w:instrText xml:space="preserve"> PAGEREF _Toc518394221 \h </w:instrText>
        </w:r>
        <w:r w:rsidR="003E54FB">
          <w:rPr>
            <w:noProof/>
            <w:webHidden/>
          </w:rPr>
        </w:r>
        <w:r w:rsidR="003E54FB">
          <w:rPr>
            <w:noProof/>
            <w:webHidden/>
          </w:rPr>
          <w:fldChar w:fldCharType="separate"/>
        </w:r>
        <w:r>
          <w:rPr>
            <w:noProof/>
            <w:webHidden/>
          </w:rPr>
          <w:t>51</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22" w:history="1">
        <w:r w:rsidR="003E54FB" w:rsidRPr="00FB2C38">
          <w:rPr>
            <w:rStyle w:val="Hyperlink"/>
            <w:noProof/>
          </w:rPr>
          <w:t>4.6.3</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General principles for the model development</w:t>
        </w:r>
        <w:r w:rsidR="003E54FB">
          <w:rPr>
            <w:noProof/>
            <w:webHidden/>
          </w:rPr>
          <w:tab/>
        </w:r>
        <w:r w:rsidR="003E54FB">
          <w:rPr>
            <w:noProof/>
            <w:webHidden/>
          </w:rPr>
          <w:fldChar w:fldCharType="begin"/>
        </w:r>
        <w:r w:rsidR="003E54FB">
          <w:rPr>
            <w:noProof/>
            <w:webHidden/>
          </w:rPr>
          <w:instrText xml:space="preserve"> PAGEREF _Toc518394222 \h </w:instrText>
        </w:r>
        <w:r w:rsidR="003E54FB">
          <w:rPr>
            <w:noProof/>
            <w:webHidden/>
          </w:rPr>
        </w:r>
        <w:r w:rsidR="003E54FB">
          <w:rPr>
            <w:noProof/>
            <w:webHidden/>
          </w:rPr>
          <w:fldChar w:fldCharType="separate"/>
        </w:r>
        <w:r>
          <w:rPr>
            <w:noProof/>
            <w:webHidden/>
          </w:rPr>
          <w:t>51</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23" w:history="1">
        <w:r w:rsidR="003E54FB" w:rsidRPr="00FB2C38">
          <w:rPr>
            <w:rStyle w:val="Hyperlink"/>
            <w:noProof/>
          </w:rPr>
          <w:t>4.6.4</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Expenditures and income of a state concerning spectrum management</w:t>
        </w:r>
        <w:r w:rsidR="003E54FB">
          <w:rPr>
            <w:noProof/>
            <w:webHidden/>
          </w:rPr>
          <w:tab/>
        </w:r>
        <w:r w:rsidR="003E54FB">
          <w:rPr>
            <w:noProof/>
            <w:webHidden/>
          </w:rPr>
          <w:fldChar w:fldCharType="begin"/>
        </w:r>
        <w:r w:rsidR="003E54FB">
          <w:rPr>
            <w:noProof/>
            <w:webHidden/>
          </w:rPr>
          <w:instrText xml:space="preserve"> PAGEREF _Toc518394223 \h </w:instrText>
        </w:r>
        <w:r w:rsidR="003E54FB">
          <w:rPr>
            <w:noProof/>
            <w:webHidden/>
          </w:rPr>
        </w:r>
        <w:r w:rsidR="003E54FB">
          <w:rPr>
            <w:noProof/>
            <w:webHidden/>
          </w:rPr>
          <w:fldChar w:fldCharType="separate"/>
        </w:r>
        <w:r>
          <w:rPr>
            <w:noProof/>
            <w:webHidden/>
          </w:rPr>
          <w:t>52</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24" w:history="1">
        <w:r w:rsidR="003E54FB" w:rsidRPr="00FB2C38">
          <w:rPr>
            <w:rStyle w:val="Hyperlink"/>
            <w:noProof/>
          </w:rPr>
          <w:t>4.6.5</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Determination of the used spectral resource value</w:t>
        </w:r>
        <w:r w:rsidR="003E54FB">
          <w:rPr>
            <w:noProof/>
            <w:webHidden/>
          </w:rPr>
          <w:tab/>
        </w:r>
        <w:r w:rsidR="003E54FB">
          <w:rPr>
            <w:noProof/>
            <w:webHidden/>
          </w:rPr>
          <w:fldChar w:fldCharType="begin"/>
        </w:r>
        <w:r w:rsidR="003E54FB">
          <w:rPr>
            <w:noProof/>
            <w:webHidden/>
          </w:rPr>
          <w:instrText xml:space="preserve"> PAGEREF _Toc518394224 \h </w:instrText>
        </w:r>
        <w:r w:rsidR="003E54FB">
          <w:rPr>
            <w:noProof/>
            <w:webHidden/>
          </w:rPr>
        </w:r>
        <w:r w:rsidR="003E54FB">
          <w:rPr>
            <w:noProof/>
            <w:webHidden/>
          </w:rPr>
          <w:fldChar w:fldCharType="separate"/>
        </w:r>
        <w:r>
          <w:rPr>
            <w:noProof/>
            <w:webHidden/>
          </w:rPr>
          <w:t>53</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25" w:history="1">
        <w:r w:rsidR="003E54FB" w:rsidRPr="00FB2C38">
          <w:rPr>
            <w:rStyle w:val="Hyperlink"/>
            <w:noProof/>
          </w:rPr>
          <w:t>4.6.6</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Determination of a time resource used by an emission</w:t>
        </w:r>
        <w:r w:rsidR="003E54FB">
          <w:rPr>
            <w:noProof/>
            <w:webHidden/>
          </w:rPr>
          <w:tab/>
        </w:r>
        <w:r w:rsidR="003E54FB">
          <w:rPr>
            <w:noProof/>
            <w:webHidden/>
          </w:rPr>
          <w:fldChar w:fldCharType="begin"/>
        </w:r>
        <w:r w:rsidR="003E54FB">
          <w:rPr>
            <w:noProof/>
            <w:webHidden/>
          </w:rPr>
          <w:instrText xml:space="preserve"> PAGEREF _Toc518394225 \h </w:instrText>
        </w:r>
        <w:r w:rsidR="003E54FB">
          <w:rPr>
            <w:noProof/>
            <w:webHidden/>
          </w:rPr>
        </w:r>
        <w:r w:rsidR="003E54FB">
          <w:rPr>
            <w:noProof/>
            <w:webHidden/>
          </w:rPr>
          <w:fldChar w:fldCharType="separate"/>
        </w:r>
        <w:r>
          <w:rPr>
            <w:noProof/>
            <w:webHidden/>
          </w:rPr>
          <w:t>54</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26" w:history="1">
        <w:r w:rsidR="003E54FB" w:rsidRPr="00FB2C38">
          <w:rPr>
            <w:rStyle w:val="Hyperlink"/>
            <w:noProof/>
          </w:rPr>
          <w:t>4.6.7</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Determination of a territorial resource used by an emission</w:t>
        </w:r>
        <w:r w:rsidR="003E54FB">
          <w:rPr>
            <w:noProof/>
            <w:webHidden/>
          </w:rPr>
          <w:tab/>
        </w:r>
        <w:r w:rsidR="003E54FB">
          <w:rPr>
            <w:noProof/>
            <w:webHidden/>
          </w:rPr>
          <w:fldChar w:fldCharType="begin"/>
        </w:r>
        <w:r w:rsidR="003E54FB">
          <w:rPr>
            <w:noProof/>
            <w:webHidden/>
          </w:rPr>
          <w:instrText xml:space="preserve"> PAGEREF _Toc518394226 \h </w:instrText>
        </w:r>
        <w:r w:rsidR="003E54FB">
          <w:rPr>
            <w:noProof/>
            <w:webHidden/>
          </w:rPr>
        </w:r>
        <w:r w:rsidR="003E54FB">
          <w:rPr>
            <w:noProof/>
            <w:webHidden/>
          </w:rPr>
          <w:fldChar w:fldCharType="separate"/>
        </w:r>
        <w:r>
          <w:rPr>
            <w:noProof/>
            <w:webHidden/>
          </w:rPr>
          <w:t>54</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27" w:history="1">
        <w:r w:rsidR="003E54FB" w:rsidRPr="00FB2C38">
          <w:rPr>
            <w:rStyle w:val="Hyperlink"/>
            <w:noProof/>
          </w:rPr>
          <w:t>4.6.8</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Determination of a frequency resource used by an emission</w:t>
        </w:r>
        <w:r w:rsidR="003E54FB">
          <w:rPr>
            <w:noProof/>
            <w:webHidden/>
          </w:rPr>
          <w:tab/>
        </w:r>
        <w:r w:rsidR="003E54FB">
          <w:rPr>
            <w:noProof/>
            <w:webHidden/>
          </w:rPr>
          <w:fldChar w:fldCharType="begin"/>
        </w:r>
        <w:r w:rsidR="003E54FB">
          <w:rPr>
            <w:noProof/>
            <w:webHidden/>
          </w:rPr>
          <w:instrText xml:space="preserve"> PAGEREF _Toc518394227 \h </w:instrText>
        </w:r>
        <w:r w:rsidR="003E54FB">
          <w:rPr>
            <w:noProof/>
            <w:webHidden/>
          </w:rPr>
        </w:r>
        <w:r w:rsidR="003E54FB">
          <w:rPr>
            <w:noProof/>
            <w:webHidden/>
          </w:rPr>
          <w:fldChar w:fldCharType="separate"/>
        </w:r>
        <w:r>
          <w:rPr>
            <w:noProof/>
            <w:webHidden/>
          </w:rPr>
          <w:t>55</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28" w:history="1">
        <w:r w:rsidR="003E54FB" w:rsidRPr="00FB2C38">
          <w:rPr>
            <w:rStyle w:val="Hyperlink"/>
            <w:noProof/>
          </w:rPr>
          <w:t>4.6.9</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Determination of weighting coefficients</w:t>
        </w:r>
        <w:r w:rsidR="003E54FB">
          <w:rPr>
            <w:noProof/>
            <w:webHidden/>
          </w:rPr>
          <w:tab/>
        </w:r>
        <w:r w:rsidR="003E54FB">
          <w:rPr>
            <w:noProof/>
            <w:webHidden/>
          </w:rPr>
          <w:fldChar w:fldCharType="begin"/>
        </w:r>
        <w:r w:rsidR="003E54FB">
          <w:rPr>
            <w:noProof/>
            <w:webHidden/>
          </w:rPr>
          <w:instrText xml:space="preserve"> PAGEREF _Toc518394228 \h </w:instrText>
        </w:r>
        <w:r w:rsidR="003E54FB">
          <w:rPr>
            <w:noProof/>
            <w:webHidden/>
          </w:rPr>
        </w:r>
        <w:r w:rsidR="003E54FB">
          <w:rPr>
            <w:noProof/>
            <w:webHidden/>
          </w:rPr>
          <w:fldChar w:fldCharType="separate"/>
        </w:r>
        <w:r>
          <w:rPr>
            <w:noProof/>
            <w:webHidden/>
          </w:rPr>
          <w:t>56</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29" w:history="1">
        <w:r w:rsidR="003E54FB" w:rsidRPr="00FB2C38">
          <w:rPr>
            <w:rStyle w:val="Hyperlink"/>
            <w:rFonts w:eastAsia="SimSun"/>
            <w:noProof/>
            <w:lang w:eastAsia="zh-CN"/>
          </w:rPr>
          <w:t>4.6.10</w:t>
        </w:r>
        <w:r w:rsidR="003E54FB">
          <w:rPr>
            <w:rFonts w:asciiTheme="minorHAnsi" w:eastAsiaTheme="minorEastAsia" w:hAnsiTheme="minorHAnsi" w:cstheme="minorBidi"/>
            <w:noProof/>
            <w:sz w:val="22"/>
            <w:szCs w:val="22"/>
            <w:lang w:val="en-GB" w:eastAsia="en-GB"/>
          </w:rPr>
          <w:tab/>
        </w:r>
        <w:r w:rsidR="003E54FB" w:rsidRPr="00FB2C38">
          <w:rPr>
            <w:rStyle w:val="Hyperlink"/>
            <w:rFonts w:eastAsia="SimSun"/>
            <w:noProof/>
            <w:lang w:eastAsia="zh-CN"/>
          </w:rPr>
          <w:t>Determination of the whole value of the used spectral resource</w:t>
        </w:r>
        <w:r w:rsidR="003E54FB">
          <w:rPr>
            <w:noProof/>
            <w:webHidden/>
          </w:rPr>
          <w:tab/>
        </w:r>
        <w:r w:rsidR="003E54FB">
          <w:rPr>
            <w:noProof/>
            <w:webHidden/>
          </w:rPr>
          <w:fldChar w:fldCharType="begin"/>
        </w:r>
        <w:r w:rsidR="003E54FB">
          <w:rPr>
            <w:noProof/>
            <w:webHidden/>
          </w:rPr>
          <w:instrText xml:space="preserve"> PAGEREF _Toc518394229 \h </w:instrText>
        </w:r>
        <w:r w:rsidR="003E54FB">
          <w:rPr>
            <w:noProof/>
            <w:webHidden/>
          </w:rPr>
        </w:r>
        <w:r w:rsidR="003E54FB">
          <w:rPr>
            <w:noProof/>
            <w:webHidden/>
          </w:rPr>
          <w:fldChar w:fldCharType="separate"/>
        </w:r>
        <w:r>
          <w:rPr>
            <w:noProof/>
            <w:webHidden/>
          </w:rPr>
          <w:t>58</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30" w:history="1">
        <w:r w:rsidR="003E54FB" w:rsidRPr="00FB2C38">
          <w:rPr>
            <w:rStyle w:val="Hyperlink"/>
            <w:rFonts w:eastAsia="SimSun"/>
            <w:noProof/>
            <w:lang w:eastAsia="zh-CN"/>
          </w:rPr>
          <w:t>4.6.11</w:t>
        </w:r>
        <w:r w:rsidR="003E54FB">
          <w:rPr>
            <w:rFonts w:asciiTheme="minorHAnsi" w:eastAsiaTheme="minorEastAsia" w:hAnsiTheme="minorHAnsi" w:cstheme="minorBidi"/>
            <w:noProof/>
            <w:sz w:val="22"/>
            <w:szCs w:val="22"/>
            <w:lang w:val="en-GB" w:eastAsia="en-GB"/>
          </w:rPr>
          <w:tab/>
        </w:r>
        <w:r w:rsidR="003E54FB" w:rsidRPr="00FB2C38">
          <w:rPr>
            <w:rStyle w:val="Hyperlink"/>
            <w:rFonts w:eastAsia="SimSun"/>
            <w:noProof/>
            <w:lang w:eastAsia="zh-CN"/>
          </w:rPr>
          <w:t>Price for the qualified unit of the used spectral resource</w:t>
        </w:r>
        <w:r w:rsidR="003E54FB">
          <w:rPr>
            <w:noProof/>
            <w:webHidden/>
          </w:rPr>
          <w:tab/>
        </w:r>
        <w:r w:rsidR="003E54FB">
          <w:rPr>
            <w:noProof/>
            <w:webHidden/>
          </w:rPr>
          <w:fldChar w:fldCharType="begin"/>
        </w:r>
        <w:r w:rsidR="003E54FB">
          <w:rPr>
            <w:noProof/>
            <w:webHidden/>
          </w:rPr>
          <w:instrText xml:space="preserve"> PAGEREF _Toc518394230 \h </w:instrText>
        </w:r>
        <w:r w:rsidR="003E54FB">
          <w:rPr>
            <w:noProof/>
            <w:webHidden/>
          </w:rPr>
        </w:r>
        <w:r w:rsidR="003E54FB">
          <w:rPr>
            <w:noProof/>
            <w:webHidden/>
          </w:rPr>
          <w:fldChar w:fldCharType="separate"/>
        </w:r>
        <w:r>
          <w:rPr>
            <w:noProof/>
            <w:webHidden/>
          </w:rPr>
          <w:t>58</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31" w:history="1">
        <w:r w:rsidR="003E54FB" w:rsidRPr="00FB2C38">
          <w:rPr>
            <w:rStyle w:val="Hyperlink"/>
            <w:rFonts w:eastAsia="SimSun"/>
            <w:noProof/>
            <w:lang w:eastAsia="zh-CN"/>
          </w:rPr>
          <w:t>4.6.12</w:t>
        </w:r>
        <w:r w:rsidR="003E54FB">
          <w:rPr>
            <w:rFonts w:asciiTheme="minorHAnsi" w:eastAsiaTheme="minorEastAsia" w:hAnsiTheme="minorHAnsi" w:cstheme="minorBidi"/>
            <w:noProof/>
            <w:sz w:val="22"/>
            <w:szCs w:val="22"/>
            <w:lang w:val="en-GB" w:eastAsia="en-GB"/>
          </w:rPr>
          <w:tab/>
        </w:r>
        <w:r w:rsidR="003E54FB" w:rsidRPr="00FB2C38">
          <w:rPr>
            <w:rStyle w:val="Hyperlink"/>
            <w:rFonts w:eastAsia="SimSun"/>
            <w:noProof/>
            <w:lang w:eastAsia="zh-CN"/>
          </w:rPr>
          <w:t>Annual fees for particular frequency assignment</w:t>
        </w:r>
        <w:r w:rsidR="003E54FB">
          <w:rPr>
            <w:noProof/>
            <w:webHidden/>
          </w:rPr>
          <w:tab/>
        </w:r>
        <w:r w:rsidR="003E54FB">
          <w:rPr>
            <w:noProof/>
            <w:webHidden/>
          </w:rPr>
          <w:fldChar w:fldCharType="begin"/>
        </w:r>
        <w:r w:rsidR="003E54FB">
          <w:rPr>
            <w:noProof/>
            <w:webHidden/>
          </w:rPr>
          <w:instrText xml:space="preserve"> PAGEREF _Toc518394231 \h </w:instrText>
        </w:r>
        <w:r w:rsidR="003E54FB">
          <w:rPr>
            <w:noProof/>
            <w:webHidden/>
          </w:rPr>
        </w:r>
        <w:r w:rsidR="003E54FB">
          <w:rPr>
            <w:noProof/>
            <w:webHidden/>
          </w:rPr>
          <w:fldChar w:fldCharType="separate"/>
        </w:r>
        <w:r>
          <w:rPr>
            <w:noProof/>
            <w:webHidden/>
          </w:rPr>
          <w:t>58</w:t>
        </w:r>
        <w:r w:rsidR="003E54FB">
          <w:rPr>
            <w:noProof/>
            <w:webHidden/>
          </w:rPr>
          <w:fldChar w:fldCharType="end"/>
        </w:r>
      </w:hyperlink>
    </w:p>
    <w:p w:rsidR="003E54FB" w:rsidRDefault="003C5F80">
      <w:pPr>
        <w:pStyle w:val="TOC2"/>
        <w:rPr>
          <w:rFonts w:asciiTheme="minorHAnsi" w:eastAsiaTheme="minorEastAsia" w:hAnsiTheme="minorHAnsi" w:cstheme="minorBidi"/>
          <w:noProof/>
          <w:sz w:val="22"/>
          <w:szCs w:val="22"/>
          <w:lang w:val="en-GB" w:eastAsia="en-GB"/>
        </w:rPr>
      </w:pPr>
      <w:hyperlink w:anchor="_Toc518394232" w:history="1">
        <w:r w:rsidR="003E54FB" w:rsidRPr="00FB2C38">
          <w:rPr>
            <w:rStyle w:val="Hyperlink"/>
            <w:noProof/>
          </w:rPr>
          <w:t>4.7</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Procedures and examples of used spectral resource calculations in application to different radio services</w:t>
        </w:r>
        <w:r w:rsidR="003E54FB">
          <w:rPr>
            <w:noProof/>
            <w:webHidden/>
          </w:rPr>
          <w:tab/>
        </w:r>
        <w:r w:rsidR="003E54FB">
          <w:rPr>
            <w:noProof/>
            <w:webHidden/>
          </w:rPr>
          <w:fldChar w:fldCharType="begin"/>
        </w:r>
        <w:r w:rsidR="003E54FB">
          <w:rPr>
            <w:noProof/>
            <w:webHidden/>
          </w:rPr>
          <w:instrText xml:space="preserve"> PAGEREF _Toc518394232 \h </w:instrText>
        </w:r>
        <w:r w:rsidR="003E54FB">
          <w:rPr>
            <w:noProof/>
            <w:webHidden/>
          </w:rPr>
        </w:r>
        <w:r w:rsidR="003E54FB">
          <w:rPr>
            <w:noProof/>
            <w:webHidden/>
          </w:rPr>
          <w:fldChar w:fldCharType="separate"/>
        </w:r>
        <w:r>
          <w:rPr>
            <w:noProof/>
            <w:webHidden/>
          </w:rPr>
          <w:t>58</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33" w:history="1">
        <w:r w:rsidR="003E54FB" w:rsidRPr="00FB2C38">
          <w:rPr>
            <w:rStyle w:val="Hyperlink"/>
            <w:noProof/>
          </w:rPr>
          <w:t>4.7.1</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VHF/UHF sound and TV radio broadcasting calculation procedures</w:t>
        </w:r>
        <w:r w:rsidR="003E54FB">
          <w:rPr>
            <w:noProof/>
            <w:webHidden/>
          </w:rPr>
          <w:tab/>
        </w:r>
        <w:r w:rsidR="003E54FB">
          <w:rPr>
            <w:noProof/>
            <w:webHidden/>
          </w:rPr>
          <w:fldChar w:fldCharType="begin"/>
        </w:r>
        <w:r w:rsidR="003E54FB">
          <w:rPr>
            <w:noProof/>
            <w:webHidden/>
          </w:rPr>
          <w:instrText xml:space="preserve"> PAGEREF _Toc518394233 \h </w:instrText>
        </w:r>
        <w:r w:rsidR="003E54FB">
          <w:rPr>
            <w:noProof/>
            <w:webHidden/>
          </w:rPr>
        </w:r>
        <w:r w:rsidR="003E54FB">
          <w:rPr>
            <w:noProof/>
            <w:webHidden/>
          </w:rPr>
          <w:fldChar w:fldCharType="separate"/>
        </w:r>
        <w:r>
          <w:rPr>
            <w:noProof/>
            <w:webHidden/>
          </w:rPr>
          <w:t>60</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34" w:history="1">
        <w:r w:rsidR="003E54FB" w:rsidRPr="00FB2C38">
          <w:rPr>
            <w:rStyle w:val="Hyperlink"/>
            <w:noProof/>
          </w:rPr>
          <w:t>4.7.2</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Example of calculations</w:t>
        </w:r>
        <w:r w:rsidR="003E54FB">
          <w:rPr>
            <w:noProof/>
            <w:webHidden/>
          </w:rPr>
          <w:tab/>
        </w:r>
        <w:r w:rsidR="003E54FB">
          <w:rPr>
            <w:noProof/>
            <w:webHidden/>
          </w:rPr>
          <w:fldChar w:fldCharType="begin"/>
        </w:r>
        <w:r w:rsidR="003E54FB">
          <w:rPr>
            <w:noProof/>
            <w:webHidden/>
          </w:rPr>
          <w:instrText xml:space="preserve"> PAGEREF _Toc518394234 \h </w:instrText>
        </w:r>
        <w:r w:rsidR="003E54FB">
          <w:rPr>
            <w:noProof/>
            <w:webHidden/>
          </w:rPr>
        </w:r>
        <w:r w:rsidR="003E54FB">
          <w:rPr>
            <w:noProof/>
            <w:webHidden/>
          </w:rPr>
          <w:fldChar w:fldCharType="separate"/>
        </w:r>
        <w:r>
          <w:rPr>
            <w:noProof/>
            <w:webHidden/>
          </w:rPr>
          <w:t>71</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35" w:history="1">
        <w:r w:rsidR="003E54FB" w:rsidRPr="00FB2C38">
          <w:rPr>
            <w:rStyle w:val="Hyperlink"/>
            <w:noProof/>
          </w:rPr>
          <w:t>4.7.3</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LF-HF sound broadcasting</w:t>
        </w:r>
        <w:r w:rsidR="003E54FB">
          <w:rPr>
            <w:noProof/>
            <w:webHidden/>
          </w:rPr>
          <w:tab/>
        </w:r>
        <w:r w:rsidR="003E54FB">
          <w:rPr>
            <w:noProof/>
            <w:webHidden/>
          </w:rPr>
          <w:fldChar w:fldCharType="begin"/>
        </w:r>
        <w:r w:rsidR="003E54FB">
          <w:rPr>
            <w:noProof/>
            <w:webHidden/>
          </w:rPr>
          <w:instrText xml:space="preserve"> PAGEREF _Toc518394235 \h </w:instrText>
        </w:r>
        <w:r w:rsidR="003E54FB">
          <w:rPr>
            <w:noProof/>
            <w:webHidden/>
          </w:rPr>
        </w:r>
        <w:r w:rsidR="003E54FB">
          <w:rPr>
            <w:noProof/>
            <w:webHidden/>
          </w:rPr>
          <w:fldChar w:fldCharType="separate"/>
        </w:r>
        <w:r>
          <w:rPr>
            <w:noProof/>
            <w:webHidden/>
          </w:rPr>
          <w:t>72</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36" w:history="1">
        <w:r w:rsidR="003E54FB" w:rsidRPr="00FB2C38">
          <w:rPr>
            <w:rStyle w:val="Hyperlink"/>
            <w:noProof/>
          </w:rPr>
          <w:t>4.7.4</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Mobile radio services</w:t>
        </w:r>
        <w:r w:rsidR="003E54FB">
          <w:rPr>
            <w:noProof/>
            <w:webHidden/>
          </w:rPr>
          <w:tab/>
        </w:r>
        <w:r w:rsidR="003E54FB">
          <w:rPr>
            <w:noProof/>
            <w:webHidden/>
          </w:rPr>
          <w:fldChar w:fldCharType="begin"/>
        </w:r>
        <w:r w:rsidR="003E54FB">
          <w:rPr>
            <w:noProof/>
            <w:webHidden/>
          </w:rPr>
          <w:instrText xml:space="preserve"> PAGEREF _Toc518394236 \h </w:instrText>
        </w:r>
        <w:r w:rsidR="003E54FB">
          <w:rPr>
            <w:noProof/>
            <w:webHidden/>
          </w:rPr>
        </w:r>
        <w:r w:rsidR="003E54FB">
          <w:rPr>
            <w:noProof/>
            <w:webHidden/>
          </w:rPr>
          <w:fldChar w:fldCharType="separate"/>
        </w:r>
        <w:r>
          <w:rPr>
            <w:noProof/>
            <w:webHidden/>
          </w:rPr>
          <w:t>72</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37" w:history="1">
        <w:r w:rsidR="003E54FB" w:rsidRPr="00FB2C38">
          <w:rPr>
            <w:rStyle w:val="Hyperlink"/>
            <w:noProof/>
          </w:rPr>
          <w:t>4.7.5</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Maritime mobile radio service</w:t>
        </w:r>
        <w:r w:rsidR="003E54FB">
          <w:rPr>
            <w:noProof/>
            <w:webHidden/>
          </w:rPr>
          <w:tab/>
        </w:r>
        <w:r w:rsidR="003E54FB">
          <w:rPr>
            <w:noProof/>
            <w:webHidden/>
          </w:rPr>
          <w:fldChar w:fldCharType="begin"/>
        </w:r>
        <w:r w:rsidR="003E54FB">
          <w:rPr>
            <w:noProof/>
            <w:webHidden/>
          </w:rPr>
          <w:instrText xml:space="preserve"> PAGEREF _Toc518394237 \h </w:instrText>
        </w:r>
        <w:r w:rsidR="003E54FB">
          <w:rPr>
            <w:noProof/>
            <w:webHidden/>
          </w:rPr>
        </w:r>
        <w:r w:rsidR="003E54FB">
          <w:rPr>
            <w:noProof/>
            <w:webHidden/>
          </w:rPr>
          <w:fldChar w:fldCharType="separate"/>
        </w:r>
        <w:r>
          <w:rPr>
            <w:noProof/>
            <w:webHidden/>
          </w:rPr>
          <w:t>77</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38" w:history="1">
        <w:r w:rsidR="003E54FB" w:rsidRPr="00FB2C38">
          <w:rPr>
            <w:rStyle w:val="Hyperlink"/>
            <w:rFonts w:eastAsia="SimSun"/>
            <w:noProof/>
            <w:lang w:eastAsia="zh-CN"/>
          </w:rPr>
          <w:t>4.7.6</w:t>
        </w:r>
        <w:r w:rsidR="003E54FB">
          <w:rPr>
            <w:rFonts w:asciiTheme="minorHAnsi" w:eastAsiaTheme="minorEastAsia" w:hAnsiTheme="minorHAnsi" w:cstheme="minorBidi"/>
            <w:noProof/>
            <w:sz w:val="22"/>
            <w:szCs w:val="22"/>
            <w:lang w:val="en-GB" w:eastAsia="en-GB"/>
          </w:rPr>
          <w:tab/>
        </w:r>
        <w:r w:rsidR="003E54FB" w:rsidRPr="00FB2C38">
          <w:rPr>
            <w:rStyle w:val="Hyperlink"/>
            <w:rFonts w:eastAsia="SimSun"/>
            <w:noProof/>
            <w:lang w:eastAsia="zh-CN"/>
          </w:rPr>
          <w:t>Aeronautical mobile, radionavigation and radiolocation services</w:t>
        </w:r>
        <w:r w:rsidR="003E54FB">
          <w:rPr>
            <w:noProof/>
            <w:webHidden/>
          </w:rPr>
          <w:tab/>
        </w:r>
        <w:r w:rsidR="003E54FB">
          <w:rPr>
            <w:noProof/>
            <w:webHidden/>
          </w:rPr>
          <w:fldChar w:fldCharType="begin"/>
        </w:r>
        <w:r w:rsidR="003E54FB">
          <w:rPr>
            <w:noProof/>
            <w:webHidden/>
          </w:rPr>
          <w:instrText xml:space="preserve"> PAGEREF _Toc518394238 \h </w:instrText>
        </w:r>
        <w:r w:rsidR="003E54FB">
          <w:rPr>
            <w:noProof/>
            <w:webHidden/>
          </w:rPr>
        </w:r>
        <w:r w:rsidR="003E54FB">
          <w:rPr>
            <w:noProof/>
            <w:webHidden/>
          </w:rPr>
          <w:fldChar w:fldCharType="separate"/>
        </w:r>
        <w:r>
          <w:rPr>
            <w:noProof/>
            <w:webHidden/>
          </w:rPr>
          <w:t>81</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39" w:history="1">
        <w:r w:rsidR="003E54FB" w:rsidRPr="00FB2C38">
          <w:rPr>
            <w:rStyle w:val="Hyperlink"/>
            <w:rFonts w:eastAsia="SimSun"/>
            <w:noProof/>
            <w:lang w:eastAsia="zh-CN"/>
          </w:rPr>
          <w:t>4.7.7</w:t>
        </w:r>
        <w:r w:rsidR="003E54FB">
          <w:rPr>
            <w:rFonts w:asciiTheme="minorHAnsi" w:eastAsiaTheme="minorEastAsia" w:hAnsiTheme="minorHAnsi" w:cstheme="minorBidi"/>
            <w:noProof/>
            <w:sz w:val="22"/>
            <w:szCs w:val="22"/>
            <w:lang w:val="en-GB" w:eastAsia="en-GB"/>
          </w:rPr>
          <w:tab/>
        </w:r>
        <w:r w:rsidR="003E54FB" w:rsidRPr="00FB2C38">
          <w:rPr>
            <w:rStyle w:val="Hyperlink"/>
            <w:rFonts w:eastAsia="SimSun"/>
            <w:noProof/>
            <w:lang w:eastAsia="zh-CN"/>
          </w:rPr>
          <w:t>Examples of calculations</w:t>
        </w:r>
        <w:r w:rsidR="003E54FB">
          <w:rPr>
            <w:noProof/>
            <w:webHidden/>
          </w:rPr>
          <w:tab/>
        </w:r>
        <w:r w:rsidR="003E54FB">
          <w:rPr>
            <w:noProof/>
            <w:webHidden/>
          </w:rPr>
          <w:fldChar w:fldCharType="begin"/>
        </w:r>
        <w:r w:rsidR="003E54FB">
          <w:rPr>
            <w:noProof/>
            <w:webHidden/>
          </w:rPr>
          <w:instrText xml:space="preserve"> PAGEREF _Toc518394239 \h </w:instrText>
        </w:r>
        <w:r w:rsidR="003E54FB">
          <w:rPr>
            <w:noProof/>
            <w:webHidden/>
          </w:rPr>
        </w:r>
        <w:r w:rsidR="003E54FB">
          <w:rPr>
            <w:noProof/>
            <w:webHidden/>
          </w:rPr>
          <w:fldChar w:fldCharType="separate"/>
        </w:r>
        <w:r>
          <w:rPr>
            <w:noProof/>
            <w:webHidden/>
          </w:rPr>
          <w:t>81</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40" w:history="1">
        <w:r w:rsidR="003E54FB" w:rsidRPr="00FB2C38">
          <w:rPr>
            <w:rStyle w:val="Hyperlink"/>
            <w:noProof/>
          </w:rPr>
          <w:t>4.7.8</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Earth stations of satellite communications</w:t>
        </w:r>
        <w:r w:rsidR="003E54FB">
          <w:rPr>
            <w:noProof/>
            <w:webHidden/>
          </w:rPr>
          <w:tab/>
        </w:r>
        <w:r w:rsidR="003E54FB">
          <w:rPr>
            <w:noProof/>
            <w:webHidden/>
          </w:rPr>
          <w:fldChar w:fldCharType="begin"/>
        </w:r>
        <w:r w:rsidR="003E54FB">
          <w:rPr>
            <w:noProof/>
            <w:webHidden/>
          </w:rPr>
          <w:instrText xml:space="preserve"> PAGEREF _Toc518394240 \h </w:instrText>
        </w:r>
        <w:r w:rsidR="003E54FB">
          <w:rPr>
            <w:noProof/>
            <w:webHidden/>
          </w:rPr>
        </w:r>
        <w:r w:rsidR="003E54FB">
          <w:rPr>
            <w:noProof/>
            <w:webHidden/>
          </w:rPr>
          <w:fldChar w:fldCharType="separate"/>
        </w:r>
        <w:r>
          <w:rPr>
            <w:noProof/>
            <w:webHidden/>
          </w:rPr>
          <w:t>85</w:t>
        </w:r>
        <w:r w:rsidR="003E54FB">
          <w:rPr>
            <w:noProof/>
            <w:webHidden/>
          </w:rPr>
          <w:fldChar w:fldCharType="end"/>
        </w:r>
      </w:hyperlink>
    </w:p>
    <w:p w:rsidR="003E54FB" w:rsidRDefault="003C5F80">
      <w:pPr>
        <w:pStyle w:val="TOC2"/>
        <w:rPr>
          <w:rFonts w:asciiTheme="minorHAnsi" w:eastAsiaTheme="minorEastAsia" w:hAnsiTheme="minorHAnsi" w:cstheme="minorBidi"/>
          <w:noProof/>
          <w:sz w:val="22"/>
          <w:szCs w:val="22"/>
          <w:lang w:val="en-GB" w:eastAsia="en-GB"/>
        </w:rPr>
      </w:pPr>
      <w:hyperlink w:anchor="_Toc518394241" w:history="1">
        <w:r w:rsidR="003E54FB" w:rsidRPr="00FB2C38">
          <w:rPr>
            <w:rStyle w:val="Hyperlink"/>
            <w:noProof/>
            <w:lang w:val="en-GB"/>
          </w:rPr>
          <w:t>4.8</w:t>
        </w:r>
        <w:r w:rsidR="003E54FB">
          <w:rPr>
            <w:rFonts w:asciiTheme="minorHAnsi" w:eastAsiaTheme="minorEastAsia" w:hAnsiTheme="minorHAnsi" w:cstheme="minorBidi"/>
            <w:noProof/>
            <w:sz w:val="22"/>
            <w:szCs w:val="22"/>
            <w:lang w:val="en-GB" w:eastAsia="en-GB"/>
          </w:rPr>
          <w:tab/>
        </w:r>
        <w:r w:rsidR="003E54FB" w:rsidRPr="00FB2C38">
          <w:rPr>
            <w:rStyle w:val="Hyperlink"/>
            <w:noProof/>
            <w:lang w:val="en-GB"/>
          </w:rPr>
          <w:t>Opportunity cost and administrative incentive pricing: simple, functional and linear equations</w:t>
        </w:r>
        <w:r w:rsidR="003E54FB">
          <w:rPr>
            <w:noProof/>
            <w:webHidden/>
          </w:rPr>
          <w:tab/>
        </w:r>
        <w:r w:rsidR="003E54FB">
          <w:rPr>
            <w:noProof/>
            <w:webHidden/>
          </w:rPr>
          <w:fldChar w:fldCharType="begin"/>
        </w:r>
        <w:r w:rsidR="003E54FB">
          <w:rPr>
            <w:noProof/>
            <w:webHidden/>
          </w:rPr>
          <w:instrText xml:space="preserve"> PAGEREF _Toc518394241 \h </w:instrText>
        </w:r>
        <w:r w:rsidR="003E54FB">
          <w:rPr>
            <w:noProof/>
            <w:webHidden/>
          </w:rPr>
        </w:r>
        <w:r w:rsidR="003E54FB">
          <w:rPr>
            <w:noProof/>
            <w:webHidden/>
          </w:rPr>
          <w:fldChar w:fldCharType="separate"/>
        </w:r>
        <w:r>
          <w:rPr>
            <w:noProof/>
            <w:webHidden/>
          </w:rPr>
          <w:t>87</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42" w:history="1">
        <w:r w:rsidR="003E54FB" w:rsidRPr="00FB2C38">
          <w:rPr>
            <w:rStyle w:val="Hyperlink"/>
            <w:noProof/>
            <w:lang w:val="en-GB"/>
          </w:rPr>
          <w:t>4.8.1</w:t>
        </w:r>
        <w:r w:rsidR="003E54FB">
          <w:rPr>
            <w:rFonts w:asciiTheme="minorHAnsi" w:eastAsiaTheme="minorEastAsia" w:hAnsiTheme="minorHAnsi" w:cstheme="minorBidi"/>
            <w:noProof/>
            <w:sz w:val="22"/>
            <w:szCs w:val="22"/>
            <w:lang w:val="en-GB" w:eastAsia="en-GB"/>
          </w:rPr>
          <w:tab/>
        </w:r>
        <w:r w:rsidR="003E54FB" w:rsidRPr="00FB2C38">
          <w:rPr>
            <w:rStyle w:val="Hyperlink"/>
            <w:noProof/>
            <w:lang w:val="en-GB"/>
          </w:rPr>
          <w:t>The pricing formula and parameters</w:t>
        </w:r>
        <w:r w:rsidR="003E54FB">
          <w:rPr>
            <w:noProof/>
            <w:webHidden/>
          </w:rPr>
          <w:tab/>
        </w:r>
        <w:r w:rsidR="003E54FB">
          <w:rPr>
            <w:noProof/>
            <w:webHidden/>
          </w:rPr>
          <w:fldChar w:fldCharType="begin"/>
        </w:r>
        <w:r w:rsidR="003E54FB">
          <w:rPr>
            <w:noProof/>
            <w:webHidden/>
          </w:rPr>
          <w:instrText xml:space="preserve"> PAGEREF _Toc518394242 \h </w:instrText>
        </w:r>
        <w:r w:rsidR="003E54FB">
          <w:rPr>
            <w:noProof/>
            <w:webHidden/>
          </w:rPr>
        </w:r>
        <w:r w:rsidR="003E54FB">
          <w:rPr>
            <w:noProof/>
            <w:webHidden/>
          </w:rPr>
          <w:fldChar w:fldCharType="separate"/>
        </w:r>
        <w:r>
          <w:rPr>
            <w:noProof/>
            <w:webHidden/>
          </w:rPr>
          <w:t>87</w:t>
        </w:r>
        <w:r w:rsidR="003E54FB">
          <w:rPr>
            <w:noProof/>
            <w:webHidden/>
          </w:rPr>
          <w:fldChar w:fldCharType="end"/>
        </w:r>
      </w:hyperlink>
    </w:p>
    <w:p w:rsidR="003E54FB" w:rsidRPr="00BD6197" w:rsidRDefault="003E54FB" w:rsidP="003E54FB">
      <w:pPr>
        <w:pStyle w:val="toc0"/>
        <w:tabs>
          <w:tab w:val="clear" w:pos="9611"/>
          <w:tab w:val="left" w:pos="8647"/>
        </w:tabs>
        <w:ind w:right="992"/>
        <w:rPr>
          <w:noProof/>
          <w:lang w:val="en-US"/>
        </w:rPr>
      </w:pPr>
      <w:r w:rsidRPr="00BD6197">
        <w:rPr>
          <w:noProof/>
          <w:lang w:val="en-US"/>
        </w:rPr>
        <w:tab/>
        <w:t>Page</w:t>
      </w:r>
    </w:p>
    <w:p w:rsidR="003E54FB" w:rsidRPr="00BD6197" w:rsidRDefault="003E54FB" w:rsidP="003E54FB">
      <w:pPr>
        <w:pStyle w:val="toc0"/>
        <w:tabs>
          <w:tab w:val="clear" w:pos="9611"/>
          <w:tab w:val="left" w:pos="8647"/>
        </w:tabs>
        <w:ind w:right="992"/>
        <w:rPr>
          <w:noProof/>
          <w:lang w:val="en-US"/>
        </w:rPr>
      </w:pPr>
      <w:r w:rsidRPr="00BD6197">
        <w:rPr>
          <w:noProof/>
          <w:lang w:val="en-US"/>
        </w:rPr>
        <w:lastRenderedPageBreak/>
        <w:tab/>
        <w:t>Page</w:t>
      </w:r>
    </w:p>
    <w:p w:rsidR="003E54FB" w:rsidRDefault="003C5F80">
      <w:pPr>
        <w:pStyle w:val="TOC3"/>
        <w:rPr>
          <w:rFonts w:asciiTheme="minorHAnsi" w:eastAsiaTheme="minorEastAsia" w:hAnsiTheme="minorHAnsi" w:cstheme="minorBidi"/>
          <w:noProof/>
          <w:sz w:val="22"/>
          <w:szCs w:val="22"/>
          <w:lang w:val="en-GB" w:eastAsia="en-GB"/>
        </w:rPr>
      </w:pPr>
      <w:hyperlink w:anchor="_Toc518394243" w:history="1">
        <w:r w:rsidR="003E54FB" w:rsidRPr="00FB2C38">
          <w:rPr>
            <w:rStyle w:val="Hyperlink"/>
            <w:noProof/>
            <w:lang w:val="en-GB"/>
          </w:rPr>
          <w:t>4.8.2</w:t>
        </w:r>
        <w:r w:rsidR="003E54FB">
          <w:rPr>
            <w:rFonts w:asciiTheme="minorHAnsi" w:eastAsiaTheme="minorEastAsia" w:hAnsiTheme="minorHAnsi" w:cstheme="minorBidi"/>
            <w:noProof/>
            <w:sz w:val="22"/>
            <w:szCs w:val="22"/>
            <w:lang w:val="en-GB" w:eastAsia="en-GB"/>
          </w:rPr>
          <w:tab/>
        </w:r>
        <w:r w:rsidR="003E54FB" w:rsidRPr="00FB2C38">
          <w:rPr>
            <w:rStyle w:val="Hyperlink"/>
            <w:noProof/>
            <w:lang w:val="en-GB"/>
          </w:rPr>
          <w:t>Higher RF – lower fees, for all services</w:t>
        </w:r>
        <w:r w:rsidR="003E54FB">
          <w:rPr>
            <w:noProof/>
            <w:webHidden/>
          </w:rPr>
          <w:tab/>
        </w:r>
        <w:r w:rsidR="003E54FB">
          <w:rPr>
            <w:noProof/>
            <w:webHidden/>
          </w:rPr>
          <w:fldChar w:fldCharType="begin"/>
        </w:r>
        <w:r w:rsidR="003E54FB">
          <w:rPr>
            <w:noProof/>
            <w:webHidden/>
          </w:rPr>
          <w:instrText xml:space="preserve"> PAGEREF _Toc518394243 \h </w:instrText>
        </w:r>
        <w:r w:rsidR="003E54FB">
          <w:rPr>
            <w:noProof/>
            <w:webHidden/>
          </w:rPr>
        </w:r>
        <w:r w:rsidR="003E54FB">
          <w:rPr>
            <w:noProof/>
            <w:webHidden/>
          </w:rPr>
          <w:fldChar w:fldCharType="separate"/>
        </w:r>
        <w:r>
          <w:rPr>
            <w:noProof/>
            <w:webHidden/>
          </w:rPr>
          <w:t>88</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44" w:history="1">
        <w:r w:rsidR="003E54FB" w:rsidRPr="00FB2C38">
          <w:rPr>
            <w:rStyle w:val="Hyperlink"/>
            <w:noProof/>
            <w:lang w:val="en-GB"/>
          </w:rPr>
          <w:t>4.8.3</w:t>
        </w:r>
        <w:r w:rsidR="003E54FB">
          <w:rPr>
            <w:rFonts w:asciiTheme="minorHAnsi" w:eastAsiaTheme="minorEastAsia" w:hAnsiTheme="minorHAnsi" w:cstheme="minorBidi"/>
            <w:noProof/>
            <w:sz w:val="22"/>
            <w:szCs w:val="22"/>
            <w:lang w:val="en-GB" w:eastAsia="en-GB"/>
          </w:rPr>
          <w:tab/>
        </w:r>
        <w:r w:rsidR="003E54FB" w:rsidRPr="00FB2C38">
          <w:rPr>
            <w:rStyle w:val="Hyperlink"/>
            <w:noProof/>
            <w:lang w:val="en-GB"/>
          </w:rPr>
          <w:t>The values of F for all type of services</w:t>
        </w:r>
        <w:r w:rsidR="003E54FB">
          <w:rPr>
            <w:noProof/>
            <w:webHidden/>
          </w:rPr>
          <w:tab/>
        </w:r>
        <w:r w:rsidR="003E54FB">
          <w:rPr>
            <w:noProof/>
            <w:webHidden/>
          </w:rPr>
          <w:fldChar w:fldCharType="begin"/>
        </w:r>
        <w:r w:rsidR="003E54FB">
          <w:rPr>
            <w:noProof/>
            <w:webHidden/>
          </w:rPr>
          <w:instrText xml:space="preserve"> PAGEREF _Toc518394244 \h </w:instrText>
        </w:r>
        <w:r w:rsidR="003E54FB">
          <w:rPr>
            <w:noProof/>
            <w:webHidden/>
          </w:rPr>
        </w:r>
        <w:r w:rsidR="003E54FB">
          <w:rPr>
            <w:noProof/>
            <w:webHidden/>
          </w:rPr>
          <w:fldChar w:fldCharType="separate"/>
        </w:r>
        <w:r>
          <w:rPr>
            <w:noProof/>
            <w:webHidden/>
          </w:rPr>
          <w:t>89</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45" w:history="1">
        <w:r w:rsidR="003E54FB" w:rsidRPr="00FB2C38">
          <w:rPr>
            <w:rStyle w:val="Hyperlink"/>
            <w:noProof/>
            <w:lang w:val="en-GB"/>
          </w:rPr>
          <w:t>4.8.4</w:t>
        </w:r>
        <w:r w:rsidR="003E54FB">
          <w:rPr>
            <w:rFonts w:asciiTheme="minorHAnsi" w:eastAsiaTheme="minorEastAsia" w:hAnsiTheme="minorHAnsi" w:cstheme="minorBidi"/>
            <w:noProof/>
            <w:sz w:val="22"/>
            <w:szCs w:val="22"/>
            <w:lang w:val="en-GB" w:eastAsia="en-GB"/>
          </w:rPr>
          <w:tab/>
        </w:r>
        <w:r w:rsidR="003E54FB" w:rsidRPr="00FB2C38">
          <w:rPr>
            <w:rStyle w:val="Hyperlink"/>
            <w:noProof/>
            <w:lang w:val="en-GB"/>
          </w:rPr>
          <w:t>Examples to calculate fees per MHz</w:t>
        </w:r>
        <w:r w:rsidR="003E54FB">
          <w:rPr>
            <w:noProof/>
            <w:webHidden/>
          </w:rPr>
          <w:tab/>
        </w:r>
        <w:r w:rsidR="003E54FB">
          <w:rPr>
            <w:noProof/>
            <w:webHidden/>
          </w:rPr>
          <w:fldChar w:fldCharType="begin"/>
        </w:r>
        <w:r w:rsidR="003E54FB">
          <w:rPr>
            <w:noProof/>
            <w:webHidden/>
          </w:rPr>
          <w:instrText xml:space="preserve"> PAGEREF _Toc518394245 \h </w:instrText>
        </w:r>
        <w:r w:rsidR="003E54FB">
          <w:rPr>
            <w:noProof/>
            <w:webHidden/>
          </w:rPr>
        </w:r>
        <w:r w:rsidR="003E54FB">
          <w:rPr>
            <w:noProof/>
            <w:webHidden/>
          </w:rPr>
          <w:fldChar w:fldCharType="separate"/>
        </w:r>
        <w:r>
          <w:rPr>
            <w:noProof/>
            <w:webHidden/>
          </w:rPr>
          <w:t>90</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46" w:history="1">
        <w:r w:rsidR="003E54FB" w:rsidRPr="00FB2C38">
          <w:rPr>
            <w:rStyle w:val="Hyperlink"/>
            <w:noProof/>
            <w:lang w:val="en-GB"/>
          </w:rPr>
          <w:t>4.8.5</w:t>
        </w:r>
        <w:r w:rsidR="003E54FB">
          <w:rPr>
            <w:rFonts w:asciiTheme="minorHAnsi" w:eastAsiaTheme="minorEastAsia" w:hAnsiTheme="minorHAnsi" w:cstheme="minorBidi"/>
            <w:noProof/>
            <w:sz w:val="22"/>
            <w:szCs w:val="22"/>
            <w:lang w:val="en-GB" w:eastAsia="en-GB"/>
          </w:rPr>
          <w:tab/>
        </w:r>
        <w:r w:rsidR="003E54FB" w:rsidRPr="00FB2C38">
          <w:rPr>
            <w:rStyle w:val="Hyperlink"/>
            <w:noProof/>
            <w:lang w:val="en-GB"/>
          </w:rPr>
          <w:t>The factors non-included in the formulae</w:t>
        </w:r>
        <w:r w:rsidR="003E54FB">
          <w:rPr>
            <w:noProof/>
            <w:webHidden/>
          </w:rPr>
          <w:tab/>
        </w:r>
        <w:r w:rsidR="003E54FB">
          <w:rPr>
            <w:noProof/>
            <w:webHidden/>
          </w:rPr>
          <w:fldChar w:fldCharType="begin"/>
        </w:r>
        <w:r w:rsidR="003E54FB">
          <w:rPr>
            <w:noProof/>
            <w:webHidden/>
          </w:rPr>
          <w:instrText xml:space="preserve"> PAGEREF _Toc518394246 \h </w:instrText>
        </w:r>
        <w:r w:rsidR="003E54FB">
          <w:rPr>
            <w:noProof/>
            <w:webHidden/>
          </w:rPr>
        </w:r>
        <w:r w:rsidR="003E54FB">
          <w:rPr>
            <w:noProof/>
            <w:webHidden/>
          </w:rPr>
          <w:fldChar w:fldCharType="separate"/>
        </w:r>
        <w:r>
          <w:rPr>
            <w:noProof/>
            <w:webHidden/>
          </w:rPr>
          <w:t>91</w:t>
        </w:r>
        <w:r w:rsidR="003E54FB">
          <w:rPr>
            <w:noProof/>
            <w:webHidden/>
          </w:rPr>
          <w:fldChar w:fldCharType="end"/>
        </w:r>
      </w:hyperlink>
    </w:p>
    <w:p w:rsidR="003E54FB" w:rsidRDefault="003C5F80">
      <w:pPr>
        <w:pStyle w:val="TOC2"/>
        <w:rPr>
          <w:rFonts w:asciiTheme="minorHAnsi" w:eastAsiaTheme="minorEastAsia" w:hAnsiTheme="minorHAnsi" w:cstheme="minorBidi"/>
          <w:noProof/>
          <w:sz w:val="22"/>
          <w:szCs w:val="22"/>
          <w:lang w:val="en-GB" w:eastAsia="en-GB"/>
        </w:rPr>
      </w:pPr>
      <w:hyperlink w:anchor="_Toc518394247" w:history="1">
        <w:r w:rsidR="003E54FB" w:rsidRPr="00FB2C38">
          <w:rPr>
            <w:rStyle w:val="Hyperlink"/>
            <w:noProof/>
          </w:rPr>
          <w:t>4.9</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Guidelines on applying new fees system</w:t>
        </w:r>
        <w:r w:rsidR="003E54FB">
          <w:rPr>
            <w:noProof/>
            <w:webHidden/>
          </w:rPr>
          <w:tab/>
        </w:r>
        <w:r w:rsidR="003E54FB">
          <w:rPr>
            <w:noProof/>
            <w:webHidden/>
          </w:rPr>
          <w:fldChar w:fldCharType="begin"/>
        </w:r>
        <w:r w:rsidR="003E54FB">
          <w:rPr>
            <w:noProof/>
            <w:webHidden/>
          </w:rPr>
          <w:instrText xml:space="preserve"> PAGEREF _Toc518394247 \h </w:instrText>
        </w:r>
        <w:r w:rsidR="003E54FB">
          <w:rPr>
            <w:noProof/>
            <w:webHidden/>
          </w:rPr>
        </w:r>
        <w:r w:rsidR="003E54FB">
          <w:rPr>
            <w:noProof/>
            <w:webHidden/>
          </w:rPr>
          <w:fldChar w:fldCharType="separate"/>
        </w:r>
        <w:r>
          <w:rPr>
            <w:noProof/>
            <w:webHidden/>
          </w:rPr>
          <w:t>91</w:t>
        </w:r>
        <w:r w:rsidR="003E54FB">
          <w:rPr>
            <w:noProof/>
            <w:webHidden/>
          </w:rPr>
          <w:fldChar w:fldCharType="end"/>
        </w:r>
      </w:hyperlink>
    </w:p>
    <w:p w:rsidR="003E54FB" w:rsidRDefault="003C5F80" w:rsidP="003E54FB">
      <w:pPr>
        <w:pStyle w:val="TOC1"/>
        <w:rPr>
          <w:rFonts w:asciiTheme="minorHAnsi" w:eastAsiaTheme="minorEastAsia" w:hAnsiTheme="minorHAnsi" w:cstheme="minorBidi"/>
          <w:noProof/>
          <w:sz w:val="22"/>
          <w:szCs w:val="22"/>
          <w:lang w:val="en-GB" w:eastAsia="en-GB"/>
        </w:rPr>
      </w:pPr>
      <w:hyperlink w:anchor="_Toc518394248" w:history="1">
        <w:r w:rsidR="003E54FB" w:rsidRPr="00FB2C38">
          <w:rPr>
            <w:rStyle w:val="Hyperlink"/>
            <w:noProof/>
          </w:rPr>
          <w:t>CHAPTER 5</w:t>
        </w:r>
        <w:r w:rsidR="003E54FB">
          <w:rPr>
            <w:rStyle w:val="Hyperlink"/>
            <w:noProof/>
          </w:rPr>
          <w:t xml:space="preserve"> –</w:t>
        </w:r>
      </w:hyperlink>
      <w:r w:rsidR="003E54FB" w:rsidRPr="003E54FB">
        <w:rPr>
          <w:rStyle w:val="Hyperlink"/>
          <w:noProof/>
          <w:u w:val="none"/>
        </w:rPr>
        <w:t xml:space="preserve"> </w:t>
      </w:r>
      <w:hyperlink w:anchor="_Toc518394249" w:history="1">
        <w:r w:rsidR="003E54FB" w:rsidRPr="00FB2C38">
          <w:rPr>
            <w:rStyle w:val="Hyperlink"/>
            <w:noProof/>
          </w:rPr>
          <w:t>Administrations experience regarding the economic aspects of spectrum management</w:t>
        </w:r>
        <w:r w:rsidR="003E54FB">
          <w:rPr>
            <w:noProof/>
            <w:webHidden/>
          </w:rPr>
          <w:tab/>
        </w:r>
        <w:r w:rsidR="003E54FB">
          <w:rPr>
            <w:noProof/>
            <w:webHidden/>
          </w:rPr>
          <w:fldChar w:fldCharType="begin"/>
        </w:r>
        <w:r w:rsidR="003E54FB">
          <w:rPr>
            <w:noProof/>
            <w:webHidden/>
          </w:rPr>
          <w:instrText xml:space="preserve"> PAGEREF _Toc518394249 \h </w:instrText>
        </w:r>
        <w:r w:rsidR="003E54FB">
          <w:rPr>
            <w:noProof/>
            <w:webHidden/>
          </w:rPr>
        </w:r>
        <w:r w:rsidR="003E54FB">
          <w:rPr>
            <w:noProof/>
            <w:webHidden/>
          </w:rPr>
          <w:fldChar w:fldCharType="separate"/>
        </w:r>
        <w:r>
          <w:rPr>
            <w:noProof/>
            <w:webHidden/>
          </w:rPr>
          <w:t>92</w:t>
        </w:r>
        <w:r w:rsidR="003E54FB">
          <w:rPr>
            <w:noProof/>
            <w:webHidden/>
          </w:rPr>
          <w:fldChar w:fldCharType="end"/>
        </w:r>
      </w:hyperlink>
    </w:p>
    <w:p w:rsidR="003E54FB" w:rsidRDefault="003C5F80">
      <w:pPr>
        <w:pStyle w:val="TOC2"/>
        <w:rPr>
          <w:rFonts w:asciiTheme="minorHAnsi" w:eastAsiaTheme="minorEastAsia" w:hAnsiTheme="minorHAnsi" w:cstheme="minorBidi"/>
          <w:noProof/>
          <w:sz w:val="22"/>
          <w:szCs w:val="22"/>
          <w:lang w:val="en-GB" w:eastAsia="en-GB"/>
        </w:rPr>
      </w:pPr>
      <w:hyperlink w:anchor="_Toc518394250" w:history="1">
        <w:r w:rsidR="003E54FB" w:rsidRPr="00FB2C38">
          <w:rPr>
            <w:rStyle w:val="Hyperlink"/>
            <w:noProof/>
          </w:rPr>
          <w:t>5.1</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Experience with auctions and transferable property rights</w:t>
        </w:r>
        <w:r w:rsidR="003E54FB">
          <w:rPr>
            <w:noProof/>
            <w:webHidden/>
          </w:rPr>
          <w:tab/>
        </w:r>
        <w:r w:rsidR="003E54FB">
          <w:rPr>
            <w:noProof/>
            <w:webHidden/>
          </w:rPr>
          <w:fldChar w:fldCharType="begin"/>
        </w:r>
        <w:r w:rsidR="003E54FB">
          <w:rPr>
            <w:noProof/>
            <w:webHidden/>
          </w:rPr>
          <w:instrText xml:space="preserve"> PAGEREF _Toc518394250 \h </w:instrText>
        </w:r>
        <w:r w:rsidR="003E54FB">
          <w:rPr>
            <w:noProof/>
            <w:webHidden/>
          </w:rPr>
        </w:r>
        <w:r w:rsidR="003E54FB">
          <w:rPr>
            <w:noProof/>
            <w:webHidden/>
          </w:rPr>
          <w:fldChar w:fldCharType="separate"/>
        </w:r>
        <w:r>
          <w:rPr>
            <w:noProof/>
            <w:webHidden/>
          </w:rPr>
          <w:t>92</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51" w:history="1">
        <w:r w:rsidR="003E54FB" w:rsidRPr="00FB2C38">
          <w:rPr>
            <w:rStyle w:val="Hyperlink"/>
            <w:noProof/>
          </w:rPr>
          <w:t>5.1.1</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Australia</w:t>
        </w:r>
        <w:r w:rsidR="003E54FB">
          <w:rPr>
            <w:noProof/>
            <w:webHidden/>
          </w:rPr>
          <w:tab/>
        </w:r>
        <w:r w:rsidR="003E54FB">
          <w:rPr>
            <w:noProof/>
            <w:webHidden/>
          </w:rPr>
          <w:fldChar w:fldCharType="begin"/>
        </w:r>
        <w:r w:rsidR="003E54FB">
          <w:rPr>
            <w:noProof/>
            <w:webHidden/>
          </w:rPr>
          <w:instrText xml:space="preserve"> PAGEREF _Toc518394251 \h </w:instrText>
        </w:r>
        <w:r w:rsidR="003E54FB">
          <w:rPr>
            <w:noProof/>
            <w:webHidden/>
          </w:rPr>
        </w:r>
        <w:r w:rsidR="003E54FB">
          <w:rPr>
            <w:noProof/>
            <w:webHidden/>
          </w:rPr>
          <w:fldChar w:fldCharType="separate"/>
        </w:r>
        <w:r>
          <w:rPr>
            <w:noProof/>
            <w:webHidden/>
          </w:rPr>
          <w:t>92</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52" w:history="1">
        <w:r w:rsidR="003E54FB" w:rsidRPr="00FB2C38">
          <w:rPr>
            <w:rStyle w:val="Hyperlink"/>
            <w:noProof/>
          </w:rPr>
          <w:t>5.1.2</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Canada</w:t>
        </w:r>
        <w:r w:rsidR="003E54FB">
          <w:rPr>
            <w:noProof/>
            <w:webHidden/>
          </w:rPr>
          <w:tab/>
        </w:r>
        <w:r w:rsidR="003E54FB">
          <w:rPr>
            <w:noProof/>
            <w:webHidden/>
          </w:rPr>
          <w:fldChar w:fldCharType="begin"/>
        </w:r>
        <w:r w:rsidR="003E54FB">
          <w:rPr>
            <w:noProof/>
            <w:webHidden/>
          </w:rPr>
          <w:instrText xml:space="preserve"> PAGEREF _Toc518394252 \h </w:instrText>
        </w:r>
        <w:r w:rsidR="003E54FB">
          <w:rPr>
            <w:noProof/>
            <w:webHidden/>
          </w:rPr>
        </w:r>
        <w:r w:rsidR="003E54FB">
          <w:rPr>
            <w:noProof/>
            <w:webHidden/>
          </w:rPr>
          <w:fldChar w:fldCharType="separate"/>
        </w:r>
        <w:r>
          <w:rPr>
            <w:noProof/>
            <w:webHidden/>
          </w:rPr>
          <w:t>93</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53" w:history="1">
        <w:r w:rsidR="003E54FB" w:rsidRPr="00FB2C38">
          <w:rPr>
            <w:rStyle w:val="Hyperlink"/>
            <w:noProof/>
          </w:rPr>
          <w:t>5.1.3</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The Russian Federation’s experience with auctions</w:t>
        </w:r>
        <w:r w:rsidR="003E54FB">
          <w:rPr>
            <w:noProof/>
            <w:webHidden/>
          </w:rPr>
          <w:tab/>
        </w:r>
        <w:r w:rsidR="003E54FB">
          <w:rPr>
            <w:noProof/>
            <w:webHidden/>
          </w:rPr>
          <w:fldChar w:fldCharType="begin"/>
        </w:r>
        <w:r w:rsidR="003E54FB">
          <w:rPr>
            <w:noProof/>
            <w:webHidden/>
          </w:rPr>
          <w:instrText xml:space="preserve"> PAGEREF _Toc518394253 \h </w:instrText>
        </w:r>
        <w:r w:rsidR="003E54FB">
          <w:rPr>
            <w:noProof/>
            <w:webHidden/>
          </w:rPr>
        </w:r>
        <w:r w:rsidR="003E54FB">
          <w:rPr>
            <w:noProof/>
            <w:webHidden/>
          </w:rPr>
          <w:fldChar w:fldCharType="separate"/>
        </w:r>
        <w:r>
          <w:rPr>
            <w:noProof/>
            <w:webHidden/>
          </w:rPr>
          <w:t>94</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54" w:history="1">
        <w:r w:rsidR="003E54FB" w:rsidRPr="00FB2C38">
          <w:rPr>
            <w:rStyle w:val="Hyperlink"/>
            <w:noProof/>
          </w:rPr>
          <w:t>5.1.4</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New Zealand</w:t>
        </w:r>
        <w:r w:rsidR="003E54FB">
          <w:rPr>
            <w:noProof/>
            <w:webHidden/>
          </w:rPr>
          <w:tab/>
        </w:r>
        <w:r w:rsidR="003E54FB">
          <w:rPr>
            <w:noProof/>
            <w:webHidden/>
          </w:rPr>
          <w:fldChar w:fldCharType="begin"/>
        </w:r>
        <w:r w:rsidR="003E54FB">
          <w:rPr>
            <w:noProof/>
            <w:webHidden/>
          </w:rPr>
          <w:instrText xml:space="preserve"> PAGEREF _Toc518394254 \h </w:instrText>
        </w:r>
        <w:r w:rsidR="003E54FB">
          <w:rPr>
            <w:noProof/>
            <w:webHidden/>
          </w:rPr>
        </w:r>
        <w:r w:rsidR="003E54FB">
          <w:rPr>
            <w:noProof/>
            <w:webHidden/>
          </w:rPr>
          <w:fldChar w:fldCharType="separate"/>
        </w:r>
        <w:r>
          <w:rPr>
            <w:noProof/>
            <w:webHidden/>
          </w:rPr>
          <w:t>112</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55" w:history="1">
        <w:r w:rsidR="003E54FB" w:rsidRPr="00FB2C38">
          <w:rPr>
            <w:rStyle w:val="Hyperlink"/>
            <w:noProof/>
          </w:rPr>
          <w:t>5.1.5</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United States of America</w:t>
        </w:r>
        <w:r w:rsidR="003E54FB">
          <w:rPr>
            <w:noProof/>
            <w:webHidden/>
          </w:rPr>
          <w:tab/>
        </w:r>
        <w:r w:rsidR="003E54FB">
          <w:rPr>
            <w:noProof/>
            <w:webHidden/>
          </w:rPr>
          <w:fldChar w:fldCharType="begin"/>
        </w:r>
        <w:r w:rsidR="003E54FB">
          <w:rPr>
            <w:noProof/>
            <w:webHidden/>
          </w:rPr>
          <w:instrText xml:space="preserve"> PAGEREF _Toc518394255 \h </w:instrText>
        </w:r>
        <w:r w:rsidR="003E54FB">
          <w:rPr>
            <w:noProof/>
            <w:webHidden/>
          </w:rPr>
        </w:r>
        <w:r w:rsidR="003E54FB">
          <w:rPr>
            <w:noProof/>
            <w:webHidden/>
          </w:rPr>
          <w:fldChar w:fldCharType="separate"/>
        </w:r>
        <w:r>
          <w:rPr>
            <w:noProof/>
            <w:webHidden/>
          </w:rPr>
          <w:t>113</w:t>
        </w:r>
        <w:r w:rsidR="003E54FB">
          <w:rPr>
            <w:noProof/>
            <w:webHidden/>
          </w:rPr>
          <w:fldChar w:fldCharType="end"/>
        </w:r>
      </w:hyperlink>
    </w:p>
    <w:p w:rsidR="003E54FB" w:rsidRDefault="003C5F80">
      <w:pPr>
        <w:pStyle w:val="TOC2"/>
        <w:rPr>
          <w:rFonts w:asciiTheme="minorHAnsi" w:eastAsiaTheme="minorEastAsia" w:hAnsiTheme="minorHAnsi" w:cstheme="minorBidi"/>
          <w:noProof/>
          <w:sz w:val="22"/>
          <w:szCs w:val="22"/>
          <w:lang w:val="en-GB" w:eastAsia="en-GB"/>
        </w:rPr>
      </w:pPr>
      <w:hyperlink w:anchor="_Toc518394256" w:history="1">
        <w:r w:rsidR="003E54FB" w:rsidRPr="00FB2C38">
          <w:rPr>
            <w:rStyle w:val="Hyperlink"/>
            <w:noProof/>
          </w:rPr>
          <w:t>5.2</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Experience with fees</w:t>
        </w:r>
        <w:r w:rsidR="003E54FB">
          <w:rPr>
            <w:noProof/>
            <w:webHidden/>
          </w:rPr>
          <w:tab/>
        </w:r>
        <w:r w:rsidR="003E54FB">
          <w:rPr>
            <w:noProof/>
            <w:webHidden/>
          </w:rPr>
          <w:fldChar w:fldCharType="begin"/>
        </w:r>
        <w:r w:rsidR="003E54FB">
          <w:rPr>
            <w:noProof/>
            <w:webHidden/>
          </w:rPr>
          <w:instrText xml:space="preserve"> PAGEREF _Toc518394256 \h </w:instrText>
        </w:r>
        <w:r w:rsidR="003E54FB">
          <w:rPr>
            <w:noProof/>
            <w:webHidden/>
          </w:rPr>
        </w:r>
        <w:r w:rsidR="003E54FB">
          <w:rPr>
            <w:noProof/>
            <w:webHidden/>
          </w:rPr>
          <w:fldChar w:fldCharType="separate"/>
        </w:r>
        <w:r>
          <w:rPr>
            <w:noProof/>
            <w:webHidden/>
          </w:rPr>
          <w:t>117</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57" w:history="1">
        <w:r w:rsidR="003E54FB" w:rsidRPr="00FB2C38">
          <w:rPr>
            <w:rStyle w:val="Hyperlink"/>
            <w:noProof/>
          </w:rPr>
          <w:t>5.2.1</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Australia’s experience with licence fees</w:t>
        </w:r>
        <w:r w:rsidR="003E54FB">
          <w:rPr>
            <w:noProof/>
            <w:webHidden/>
          </w:rPr>
          <w:tab/>
        </w:r>
        <w:r w:rsidR="003E54FB">
          <w:rPr>
            <w:noProof/>
            <w:webHidden/>
          </w:rPr>
          <w:fldChar w:fldCharType="begin"/>
        </w:r>
        <w:r w:rsidR="003E54FB">
          <w:rPr>
            <w:noProof/>
            <w:webHidden/>
          </w:rPr>
          <w:instrText xml:space="preserve"> PAGEREF _Toc518394257 \h </w:instrText>
        </w:r>
        <w:r w:rsidR="003E54FB">
          <w:rPr>
            <w:noProof/>
            <w:webHidden/>
          </w:rPr>
        </w:r>
        <w:r w:rsidR="003E54FB">
          <w:rPr>
            <w:noProof/>
            <w:webHidden/>
          </w:rPr>
          <w:fldChar w:fldCharType="separate"/>
        </w:r>
        <w:r>
          <w:rPr>
            <w:noProof/>
            <w:webHidden/>
          </w:rPr>
          <w:t>117</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58" w:history="1">
        <w:r w:rsidR="003E54FB" w:rsidRPr="00FB2C38">
          <w:rPr>
            <w:rStyle w:val="Hyperlink"/>
            <w:noProof/>
          </w:rPr>
          <w:t>5.2.2</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Canada’s experience with licence fees</w:t>
        </w:r>
        <w:r w:rsidR="003E54FB">
          <w:rPr>
            <w:noProof/>
            <w:webHidden/>
          </w:rPr>
          <w:tab/>
        </w:r>
        <w:r w:rsidR="003E54FB">
          <w:rPr>
            <w:noProof/>
            <w:webHidden/>
          </w:rPr>
          <w:fldChar w:fldCharType="begin"/>
        </w:r>
        <w:r w:rsidR="003E54FB">
          <w:rPr>
            <w:noProof/>
            <w:webHidden/>
          </w:rPr>
          <w:instrText xml:space="preserve"> PAGEREF _Toc518394258 \h </w:instrText>
        </w:r>
        <w:r w:rsidR="003E54FB">
          <w:rPr>
            <w:noProof/>
            <w:webHidden/>
          </w:rPr>
        </w:r>
        <w:r w:rsidR="003E54FB">
          <w:rPr>
            <w:noProof/>
            <w:webHidden/>
          </w:rPr>
          <w:fldChar w:fldCharType="separate"/>
        </w:r>
        <w:r>
          <w:rPr>
            <w:noProof/>
            <w:webHidden/>
          </w:rPr>
          <w:t>117</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59" w:history="1">
        <w:r w:rsidR="003E54FB" w:rsidRPr="00FB2C38">
          <w:rPr>
            <w:rStyle w:val="Hyperlink"/>
            <w:noProof/>
          </w:rPr>
          <w:t>5.2.3</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China’s experience with licence fees</w:t>
        </w:r>
        <w:r w:rsidR="003E54FB">
          <w:rPr>
            <w:noProof/>
            <w:webHidden/>
          </w:rPr>
          <w:tab/>
        </w:r>
        <w:r w:rsidR="003E54FB">
          <w:rPr>
            <w:noProof/>
            <w:webHidden/>
          </w:rPr>
          <w:fldChar w:fldCharType="begin"/>
        </w:r>
        <w:r w:rsidR="003E54FB">
          <w:rPr>
            <w:noProof/>
            <w:webHidden/>
          </w:rPr>
          <w:instrText xml:space="preserve"> PAGEREF _Toc518394259 \h </w:instrText>
        </w:r>
        <w:r w:rsidR="003E54FB">
          <w:rPr>
            <w:noProof/>
            <w:webHidden/>
          </w:rPr>
        </w:r>
        <w:r w:rsidR="003E54FB">
          <w:rPr>
            <w:noProof/>
            <w:webHidden/>
          </w:rPr>
          <w:fldChar w:fldCharType="separate"/>
        </w:r>
        <w:r>
          <w:rPr>
            <w:noProof/>
            <w:webHidden/>
          </w:rPr>
          <w:t>118</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60" w:history="1">
        <w:r w:rsidR="003E54FB" w:rsidRPr="00FB2C38">
          <w:rPr>
            <w:rStyle w:val="Hyperlink"/>
            <w:noProof/>
          </w:rPr>
          <w:t>5.2.4</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Germany’s experience with spectrum usage fees</w:t>
        </w:r>
        <w:r w:rsidR="003E54FB">
          <w:rPr>
            <w:noProof/>
            <w:webHidden/>
          </w:rPr>
          <w:tab/>
        </w:r>
        <w:r w:rsidR="003E54FB">
          <w:rPr>
            <w:noProof/>
            <w:webHidden/>
          </w:rPr>
          <w:fldChar w:fldCharType="begin"/>
        </w:r>
        <w:r w:rsidR="003E54FB">
          <w:rPr>
            <w:noProof/>
            <w:webHidden/>
          </w:rPr>
          <w:instrText xml:space="preserve"> PAGEREF _Toc518394260 \h </w:instrText>
        </w:r>
        <w:r w:rsidR="003E54FB">
          <w:rPr>
            <w:noProof/>
            <w:webHidden/>
          </w:rPr>
        </w:r>
        <w:r w:rsidR="003E54FB">
          <w:rPr>
            <w:noProof/>
            <w:webHidden/>
          </w:rPr>
          <w:fldChar w:fldCharType="separate"/>
        </w:r>
        <w:r>
          <w:rPr>
            <w:noProof/>
            <w:webHidden/>
          </w:rPr>
          <w:t>119</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61" w:history="1">
        <w:r w:rsidR="003E54FB" w:rsidRPr="00FB2C38">
          <w:rPr>
            <w:rStyle w:val="Hyperlink"/>
            <w:noProof/>
          </w:rPr>
          <w:t>5.2.5</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Israel’s experience with licence fees</w:t>
        </w:r>
        <w:r w:rsidR="003E54FB">
          <w:rPr>
            <w:noProof/>
            <w:webHidden/>
          </w:rPr>
          <w:tab/>
        </w:r>
        <w:r w:rsidR="003E54FB">
          <w:rPr>
            <w:noProof/>
            <w:webHidden/>
          </w:rPr>
          <w:fldChar w:fldCharType="begin"/>
        </w:r>
        <w:r w:rsidR="003E54FB">
          <w:rPr>
            <w:noProof/>
            <w:webHidden/>
          </w:rPr>
          <w:instrText xml:space="preserve"> PAGEREF _Toc518394261 \h </w:instrText>
        </w:r>
        <w:r w:rsidR="003E54FB">
          <w:rPr>
            <w:noProof/>
            <w:webHidden/>
          </w:rPr>
        </w:r>
        <w:r w:rsidR="003E54FB">
          <w:rPr>
            <w:noProof/>
            <w:webHidden/>
          </w:rPr>
          <w:fldChar w:fldCharType="separate"/>
        </w:r>
        <w:r>
          <w:rPr>
            <w:noProof/>
            <w:webHidden/>
          </w:rPr>
          <w:t>121</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62" w:history="1">
        <w:r w:rsidR="003E54FB" w:rsidRPr="00FB2C38">
          <w:rPr>
            <w:rStyle w:val="Hyperlink"/>
            <w:noProof/>
          </w:rPr>
          <w:t>5.2.6</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Experience of the Kyrgyz Republic on application of licence fees</w:t>
        </w:r>
        <w:r w:rsidR="003E54FB">
          <w:rPr>
            <w:noProof/>
            <w:webHidden/>
          </w:rPr>
          <w:tab/>
        </w:r>
        <w:r w:rsidR="003E54FB">
          <w:rPr>
            <w:noProof/>
            <w:webHidden/>
          </w:rPr>
          <w:fldChar w:fldCharType="begin"/>
        </w:r>
        <w:r w:rsidR="003E54FB">
          <w:rPr>
            <w:noProof/>
            <w:webHidden/>
          </w:rPr>
          <w:instrText xml:space="preserve"> PAGEREF _Toc518394262 \h </w:instrText>
        </w:r>
        <w:r w:rsidR="003E54FB">
          <w:rPr>
            <w:noProof/>
            <w:webHidden/>
          </w:rPr>
        </w:r>
        <w:r w:rsidR="003E54FB">
          <w:rPr>
            <w:noProof/>
            <w:webHidden/>
          </w:rPr>
          <w:fldChar w:fldCharType="separate"/>
        </w:r>
        <w:r>
          <w:rPr>
            <w:noProof/>
            <w:webHidden/>
          </w:rPr>
          <w:t>122</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63" w:history="1">
        <w:r w:rsidR="003E54FB" w:rsidRPr="00FB2C38">
          <w:rPr>
            <w:rStyle w:val="Hyperlink"/>
            <w:noProof/>
          </w:rPr>
          <w:t>5.2.7</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The Russian Federation’s experience with spectrum fees</w:t>
        </w:r>
        <w:r w:rsidR="003E54FB">
          <w:rPr>
            <w:noProof/>
            <w:webHidden/>
          </w:rPr>
          <w:tab/>
        </w:r>
        <w:r w:rsidR="003E54FB">
          <w:rPr>
            <w:noProof/>
            <w:webHidden/>
          </w:rPr>
          <w:fldChar w:fldCharType="begin"/>
        </w:r>
        <w:r w:rsidR="003E54FB">
          <w:rPr>
            <w:noProof/>
            <w:webHidden/>
          </w:rPr>
          <w:instrText xml:space="preserve"> PAGEREF _Toc518394263 \h </w:instrText>
        </w:r>
        <w:r w:rsidR="003E54FB">
          <w:rPr>
            <w:noProof/>
            <w:webHidden/>
          </w:rPr>
        </w:r>
        <w:r w:rsidR="003E54FB">
          <w:rPr>
            <w:noProof/>
            <w:webHidden/>
          </w:rPr>
          <w:fldChar w:fldCharType="separate"/>
        </w:r>
        <w:r>
          <w:rPr>
            <w:noProof/>
            <w:webHidden/>
          </w:rPr>
          <w:t>130</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64" w:history="1">
        <w:r w:rsidR="003E54FB" w:rsidRPr="00FB2C38">
          <w:rPr>
            <w:rStyle w:val="Hyperlink"/>
            <w:noProof/>
          </w:rPr>
          <w:t>5.2.8</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The United Kingdom’s experience with licence fees</w:t>
        </w:r>
        <w:r w:rsidR="003E54FB">
          <w:rPr>
            <w:noProof/>
            <w:webHidden/>
          </w:rPr>
          <w:tab/>
        </w:r>
        <w:r w:rsidR="003E54FB">
          <w:rPr>
            <w:noProof/>
            <w:webHidden/>
          </w:rPr>
          <w:fldChar w:fldCharType="begin"/>
        </w:r>
        <w:r w:rsidR="003E54FB">
          <w:rPr>
            <w:noProof/>
            <w:webHidden/>
          </w:rPr>
          <w:instrText xml:space="preserve"> PAGEREF _Toc518394264 \h </w:instrText>
        </w:r>
        <w:r w:rsidR="003E54FB">
          <w:rPr>
            <w:noProof/>
            <w:webHidden/>
          </w:rPr>
        </w:r>
        <w:r w:rsidR="003E54FB">
          <w:rPr>
            <w:noProof/>
            <w:webHidden/>
          </w:rPr>
          <w:fldChar w:fldCharType="separate"/>
        </w:r>
        <w:r>
          <w:rPr>
            <w:noProof/>
            <w:webHidden/>
          </w:rPr>
          <w:t>140</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65" w:history="1">
        <w:r w:rsidR="003E54FB" w:rsidRPr="00FB2C38">
          <w:rPr>
            <w:rStyle w:val="Hyperlink"/>
            <w:noProof/>
          </w:rPr>
          <w:t>5.2.9</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United States of America’s experience with licence fees</w:t>
        </w:r>
        <w:r w:rsidR="003E54FB">
          <w:rPr>
            <w:noProof/>
            <w:webHidden/>
          </w:rPr>
          <w:tab/>
        </w:r>
        <w:r w:rsidR="003E54FB">
          <w:rPr>
            <w:noProof/>
            <w:webHidden/>
          </w:rPr>
          <w:fldChar w:fldCharType="begin"/>
        </w:r>
        <w:r w:rsidR="003E54FB">
          <w:rPr>
            <w:noProof/>
            <w:webHidden/>
          </w:rPr>
          <w:instrText xml:space="preserve"> PAGEREF _Toc518394265 \h </w:instrText>
        </w:r>
        <w:r w:rsidR="003E54FB">
          <w:rPr>
            <w:noProof/>
            <w:webHidden/>
          </w:rPr>
        </w:r>
        <w:r w:rsidR="003E54FB">
          <w:rPr>
            <w:noProof/>
            <w:webHidden/>
          </w:rPr>
          <w:fldChar w:fldCharType="separate"/>
        </w:r>
        <w:r>
          <w:rPr>
            <w:noProof/>
            <w:webHidden/>
          </w:rPr>
          <w:t>140</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66" w:history="1">
        <w:r w:rsidR="003E54FB" w:rsidRPr="00FB2C38">
          <w:rPr>
            <w:rStyle w:val="Hyperlink"/>
            <w:noProof/>
          </w:rPr>
          <w:t>5.2.10</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Brazil’s experience with spectrum fees</w:t>
        </w:r>
        <w:r w:rsidR="003E54FB">
          <w:rPr>
            <w:noProof/>
            <w:webHidden/>
          </w:rPr>
          <w:tab/>
        </w:r>
        <w:r w:rsidR="003E54FB">
          <w:rPr>
            <w:noProof/>
            <w:webHidden/>
          </w:rPr>
          <w:fldChar w:fldCharType="begin"/>
        </w:r>
        <w:r w:rsidR="003E54FB">
          <w:rPr>
            <w:noProof/>
            <w:webHidden/>
          </w:rPr>
          <w:instrText xml:space="preserve"> PAGEREF _Toc518394266 \h </w:instrText>
        </w:r>
        <w:r w:rsidR="003E54FB">
          <w:rPr>
            <w:noProof/>
            <w:webHidden/>
          </w:rPr>
        </w:r>
        <w:r w:rsidR="003E54FB">
          <w:rPr>
            <w:noProof/>
            <w:webHidden/>
          </w:rPr>
          <w:fldChar w:fldCharType="separate"/>
        </w:r>
        <w:r>
          <w:rPr>
            <w:noProof/>
            <w:webHidden/>
          </w:rPr>
          <w:t>145</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67" w:history="1">
        <w:r w:rsidR="003E54FB" w:rsidRPr="00FB2C38">
          <w:rPr>
            <w:rStyle w:val="Hyperlink"/>
            <w:noProof/>
            <w:lang w:val="en-GB"/>
          </w:rPr>
          <w:t>5.2.11</w:t>
        </w:r>
        <w:r w:rsidR="003E54FB">
          <w:rPr>
            <w:rFonts w:asciiTheme="minorHAnsi" w:eastAsiaTheme="minorEastAsia" w:hAnsiTheme="minorHAnsi" w:cstheme="minorBidi"/>
            <w:noProof/>
            <w:sz w:val="22"/>
            <w:szCs w:val="22"/>
            <w:lang w:val="en-GB" w:eastAsia="en-GB"/>
          </w:rPr>
          <w:tab/>
        </w:r>
        <w:r w:rsidR="003E54FB" w:rsidRPr="00FB2C38">
          <w:rPr>
            <w:rStyle w:val="Hyperlink"/>
            <w:noProof/>
            <w:lang w:val="en-GB"/>
          </w:rPr>
          <w:t xml:space="preserve">Experience with spectrum </w:t>
        </w:r>
        <w:r w:rsidR="003E54FB" w:rsidRPr="00FB2C38">
          <w:rPr>
            <w:rStyle w:val="Hyperlink"/>
            <w:noProof/>
            <w:lang w:val="en-GB" w:eastAsia="ko-KR"/>
          </w:rPr>
          <w:t>usage fees</w:t>
        </w:r>
        <w:r w:rsidR="003E54FB" w:rsidRPr="00FB2C38">
          <w:rPr>
            <w:rStyle w:val="Hyperlink"/>
            <w:noProof/>
            <w:lang w:val="en-GB"/>
          </w:rPr>
          <w:t xml:space="preserve"> – Republic of Korea</w:t>
        </w:r>
        <w:r w:rsidR="003E54FB">
          <w:rPr>
            <w:noProof/>
            <w:webHidden/>
          </w:rPr>
          <w:tab/>
        </w:r>
        <w:r w:rsidR="003E54FB">
          <w:rPr>
            <w:noProof/>
            <w:webHidden/>
          </w:rPr>
          <w:fldChar w:fldCharType="begin"/>
        </w:r>
        <w:r w:rsidR="003E54FB">
          <w:rPr>
            <w:noProof/>
            <w:webHidden/>
          </w:rPr>
          <w:instrText xml:space="preserve"> PAGEREF _Toc518394267 \h </w:instrText>
        </w:r>
        <w:r w:rsidR="003E54FB">
          <w:rPr>
            <w:noProof/>
            <w:webHidden/>
          </w:rPr>
        </w:r>
        <w:r w:rsidR="003E54FB">
          <w:rPr>
            <w:noProof/>
            <w:webHidden/>
          </w:rPr>
          <w:fldChar w:fldCharType="separate"/>
        </w:r>
        <w:r>
          <w:rPr>
            <w:noProof/>
            <w:webHidden/>
          </w:rPr>
          <w:t>148</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68" w:history="1">
        <w:r w:rsidR="003E54FB" w:rsidRPr="00FB2C38">
          <w:rPr>
            <w:rStyle w:val="Hyperlink"/>
            <w:noProof/>
          </w:rPr>
          <w:t xml:space="preserve">5.2.12 </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Indonesia’s experience with spectrum fees</w:t>
        </w:r>
        <w:r w:rsidR="003E54FB">
          <w:rPr>
            <w:noProof/>
            <w:webHidden/>
          </w:rPr>
          <w:tab/>
        </w:r>
        <w:r w:rsidR="003E54FB">
          <w:rPr>
            <w:noProof/>
            <w:webHidden/>
          </w:rPr>
          <w:fldChar w:fldCharType="begin"/>
        </w:r>
        <w:r w:rsidR="003E54FB">
          <w:rPr>
            <w:noProof/>
            <w:webHidden/>
          </w:rPr>
          <w:instrText xml:space="preserve"> PAGEREF _Toc518394268 \h </w:instrText>
        </w:r>
        <w:r w:rsidR="003E54FB">
          <w:rPr>
            <w:noProof/>
            <w:webHidden/>
          </w:rPr>
        </w:r>
        <w:r w:rsidR="003E54FB">
          <w:rPr>
            <w:noProof/>
            <w:webHidden/>
          </w:rPr>
          <w:fldChar w:fldCharType="separate"/>
        </w:r>
        <w:r>
          <w:rPr>
            <w:noProof/>
            <w:webHidden/>
          </w:rPr>
          <w:t>153</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69" w:history="1">
        <w:r w:rsidR="003E54FB" w:rsidRPr="00FB2C38">
          <w:rPr>
            <w:rStyle w:val="Hyperlink"/>
            <w:noProof/>
          </w:rPr>
          <w:t>5.2.13</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Colombia’s procedure for determining the occupation level in a specific geographic area for point-to-point links</w:t>
        </w:r>
        <w:r w:rsidR="003E54FB">
          <w:rPr>
            <w:noProof/>
            <w:webHidden/>
          </w:rPr>
          <w:tab/>
        </w:r>
        <w:r w:rsidR="003E54FB">
          <w:rPr>
            <w:noProof/>
            <w:webHidden/>
          </w:rPr>
          <w:fldChar w:fldCharType="begin"/>
        </w:r>
        <w:r w:rsidR="003E54FB">
          <w:rPr>
            <w:noProof/>
            <w:webHidden/>
          </w:rPr>
          <w:instrText xml:space="preserve"> PAGEREF _Toc518394269 \h </w:instrText>
        </w:r>
        <w:r w:rsidR="003E54FB">
          <w:rPr>
            <w:noProof/>
            <w:webHidden/>
          </w:rPr>
        </w:r>
        <w:r w:rsidR="003E54FB">
          <w:rPr>
            <w:noProof/>
            <w:webHidden/>
          </w:rPr>
          <w:fldChar w:fldCharType="separate"/>
        </w:r>
        <w:r>
          <w:rPr>
            <w:noProof/>
            <w:webHidden/>
          </w:rPr>
          <w:t>157</w:t>
        </w:r>
        <w:r w:rsidR="003E54FB">
          <w:rPr>
            <w:noProof/>
            <w:webHidden/>
          </w:rPr>
          <w:fldChar w:fldCharType="end"/>
        </w:r>
      </w:hyperlink>
    </w:p>
    <w:p w:rsidR="003E54FB" w:rsidRDefault="003C5F80">
      <w:pPr>
        <w:pStyle w:val="TOC2"/>
        <w:rPr>
          <w:rFonts w:asciiTheme="minorHAnsi" w:eastAsiaTheme="minorEastAsia" w:hAnsiTheme="minorHAnsi" w:cstheme="minorBidi"/>
          <w:noProof/>
          <w:sz w:val="22"/>
          <w:szCs w:val="22"/>
          <w:lang w:val="en-GB" w:eastAsia="en-GB"/>
        </w:rPr>
      </w:pPr>
      <w:hyperlink w:anchor="_Toc518394270" w:history="1">
        <w:r w:rsidR="003E54FB" w:rsidRPr="00FB2C38">
          <w:rPr>
            <w:rStyle w:val="Hyperlink"/>
            <w:noProof/>
          </w:rPr>
          <w:t>5.3</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Experience using alternative resources</w:t>
        </w:r>
        <w:r w:rsidR="003E54FB">
          <w:rPr>
            <w:noProof/>
            <w:webHidden/>
          </w:rPr>
          <w:tab/>
        </w:r>
        <w:r w:rsidR="003E54FB">
          <w:rPr>
            <w:noProof/>
            <w:webHidden/>
          </w:rPr>
          <w:fldChar w:fldCharType="begin"/>
        </w:r>
        <w:r w:rsidR="003E54FB">
          <w:rPr>
            <w:noProof/>
            <w:webHidden/>
          </w:rPr>
          <w:instrText xml:space="preserve"> PAGEREF _Toc518394270 \h </w:instrText>
        </w:r>
        <w:r w:rsidR="003E54FB">
          <w:rPr>
            <w:noProof/>
            <w:webHidden/>
          </w:rPr>
        </w:r>
        <w:r w:rsidR="003E54FB">
          <w:rPr>
            <w:noProof/>
            <w:webHidden/>
          </w:rPr>
          <w:fldChar w:fldCharType="separate"/>
        </w:r>
        <w:r>
          <w:rPr>
            <w:noProof/>
            <w:webHidden/>
          </w:rPr>
          <w:t>160</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71" w:history="1">
        <w:r w:rsidR="003E54FB" w:rsidRPr="00FB2C38">
          <w:rPr>
            <w:rStyle w:val="Hyperlink"/>
            <w:noProof/>
          </w:rPr>
          <w:t>5.3.1</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Canada</w:t>
        </w:r>
        <w:r w:rsidR="003E54FB">
          <w:rPr>
            <w:noProof/>
            <w:webHidden/>
          </w:rPr>
          <w:tab/>
        </w:r>
        <w:r w:rsidR="003E54FB">
          <w:rPr>
            <w:noProof/>
            <w:webHidden/>
          </w:rPr>
          <w:fldChar w:fldCharType="begin"/>
        </w:r>
        <w:r w:rsidR="003E54FB">
          <w:rPr>
            <w:noProof/>
            <w:webHidden/>
          </w:rPr>
          <w:instrText xml:space="preserve"> PAGEREF _Toc518394271 \h </w:instrText>
        </w:r>
        <w:r w:rsidR="003E54FB">
          <w:rPr>
            <w:noProof/>
            <w:webHidden/>
          </w:rPr>
        </w:r>
        <w:r w:rsidR="003E54FB">
          <w:rPr>
            <w:noProof/>
            <w:webHidden/>
          </w:rPr>
          <w:fldChar w:fldCharType="separate"/>
        </w:r>
        <w:r>
          <w:rPr>
            <w:noProof/>
            <w:webHidden/>
          </w:rPr>
          <w:t>160</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72" w:history="1">
        <w:r w:rsidR="003E54FB" w:rsidRPr="00FB2C38">
          <w:rPr>
            <w:rStyle w:val="Hyperlink"/>
            <w:noProof/>
          </w:rPr>
          <w:t>5.3.2</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Germany</w:t>
        </w:r>
        <w:r w:rsidR="003E54FB">
          <w:rPr>
            <w:noProof/>
            <w:webHidden/>
          </w:rPr>
          <w:tab/>
        </w:r>
        <w:r w:rsidR="003E54FB">
          <w:rPr>
            <w:noProof/>
            <w:webHidden/>
          </w:rPr>
          <w:fldChar w:fldCharType="begin"/>
        </w:r>
        <w:r w:rsidR="003E54FB">
          <w:rPr>
            <w:noProof/>
            <w:webHidden/>
          </w:rPr>
          <w:instrText xml:space="preserve"> PAGEREF _Toc518394272 \h </w:instrText>
        </w:r>
        <w:r w:rsidR="003E54FB">
          <w:rPr>
            <w:noProof/>
            <w:webHidden/>
          </w:rPr>
        </w:r>
        <w:r w:rsidR="003E54FB">
          <w:rPr>
            <w:noProof/>
            <w:webHidden/>
          </w:rPr>
          <w:fldChar w:fldCharType="separate"/>
        </w:r>
        <w:r>
          <w:rPr>
            <w:noProof/>
            <w:webHidden/>
          </w:rPr>
          <w:t>161</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73" w:history="1">
        <w:r w:rsidR="003E54FB" w:rsidRPr="00FB2C38">
          <w:rPr>
            <w:rStyle w:val="Hyperlink"/>
            <w:noProof/>
          </w:rPr>
          <w:t>5.3.3</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Israel</w:t>
        </w:r>
        <w:r w:rsidR="003E54FB">
          <w:rPr>
            <w:noProof/>
            <w:webHidden/>
          </w:rPr>
          <w:tab/>
        </w:r>
        <w:r w:rsidR="003E54FB">
          <w:rPr>
            <w:noProof/>
            <w:webHidden/>
          </w:rPr>
          <w:fldChar w:fldCharType="begin"/>
        </w:r>
        <w:r w:rsidR="003E54FB">
          <w:rPr>
            <w:noProof/>
            <w:webHidden/>
          </w:rPr>
          <w:instrText xml:space="preserve"> PAGEREF _Toc518394273 \h </w:instrText>
        </w:r>
        <w:r w:rsidR="003E54FB">
          <w:rPr>
            <w:noProof/>
            <w:webHidden/>
          </w:rPr>
        </w:r>
        <w:r w:rsidR="003E54FB">
          <w:rPr>
            <w:noProof/>
            <w:webHidden/>
          </w:rPr>
          <w:fldChar w:fldCharType="separate"/>
        </w:r>
        <w:r>
          <w:rPr>
            <w:noProof/>
            <w:webHidden/>
          </w:rPr>
          <w:t>161</w:t>
        </w:r>
        <w:r w:rsidR="003E54FB">
          <w:rPr>
            <w:noProof/>
            <w:webHidden/>
          </w:rPr>
          <w:fldChar w:fldCharType="end"/>
        </w:r>
      </w:hyperlink>
    </w:p>
    <w:p w:rsidR="00A4238B" w:rsidRPr="00BD6197" w:rsidRDefault="00A4238B" w:rsidP="00A4238B">
      <w:pPr>
        <w:pStyle w:val="toc0"/>
        <w:tabs>
          <w:tab w:val="clear" w:pos="9611"/>
          <w:tab w:val="left" w:pos="8647"/>
        </w:tabs>
        <w:ind w:right="992"/>
        <w:rPr>
          <w:noProof/>
          <w:lang w:val="en-US"/>
        </w:rPr>
      </w:pPr>
      <w:r w:rsidRPr="00BD6197">
        <w:rPr>
          <w:noProof/>
          <w:lang w:val="en-US"/>
        </w:rPr>
        <w:lastRenderedPageBreak/>
        <w:tab/>
        <w:t>Page</w:t>
      </w:r>
    </w:p>
    <w:p w:rsidR="003E54FB" w:rsidRDefault="003C5F80">
      <w:pPr>
        <w:pStyle w:val="TOC3"/>
        <w:rPr>
          <w:rFonts w:asciiTheme="minorHAnsi" w:eastAsiaTheme="minorEastAsia" w:hAnsiTheme="minorHAnsi" w:cstheme="minorBidi"/>
          <w:noProof/>
          <w:sz w:val="22"/>
          <w:szCs w:val="22"/>
          <w:lang w:val="en-GB" w:eastAsia="en-GB"/>
        </w:rPr>
      </w:pPr>
      <w:hyperlink w:anchor="_Toc518394274" w:history="1">
        <w:r w:rsidR="003E54FB" w:rsidRPr="00FB2C38">
          <w:rPr>
            <w:rStyle w:val="Hyperlink"/>
            <w:noProof/>
          </w:rPr>
          <w:t>5.3.4</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Russian Federation</w:t>
        </w:r>
        <w:r w:rsidR="003E54FB">
          <w:rPr>
            <w:noProof/>
            <w:webHidden/>
          </w:rPr>
          <w:tab/>
        </w:r>
        <w:r w:rsidR="003E54FB">
          <w:rPr>
            <w:noProof/>
            <w:webHidden/>
          </w:rPr>
          <w:fldChar w:fldCharType="begin"/>
        </w:r>
        <w:r w:rsidR="003E54FB">
          <w:rPr>
            <w:noProof/>
            <w:webHidden/>
          </w:rPr>
          <w:instrText xml:space="preserve"> PAGEREF _Toc518394274 \h </w:instrText>
        </w:r>
        <w:r w:rsidR="003E54FB">
          <w:rPr>
            <w:noProof/>
            <w:webHidden/>
          </w:rPr>
        </w:r>
        <w:r w:rsidR="003E54FB">
          <w:rPr>
            <w:noProof/>
            <w:webHidden/>
          </w:rPr>
          <w:fldChar w:fldCharType="separate"/>
        </w:r>
        <w:r>
          <w:rPr>
            <w:noProof/>
            <w:webHidden/>
          </w:rPr>
          <w:t>161</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75" w:history="1">
        <w:r w:rsidR="003E54FB" w:rsidRPr="00FB2C38">
          <w:rPr>
            <w:rStyle w:val="Hyperlink"/>
            <w:noProof/>
          </w:rPr>
          <w:t>5.3.5</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United States of America</w:t>
        </w:r>
        <w:r w:rsidR="003E54FB">
          <w:rPr>
            <w:noProof/>
            <w:webHidden/>
          </w:rPr>
          <w:tab/>
        </w:r>
        <w:r w:rsidR="003E54FB">
          <w:rPr>
            <w:noProof/>
            <w:webHidden/>
          </w:rPr>
          <w:fldChar w:fldCharType="begin"/>
        </w:r>
        <w:r w:rsidR="003E54FB">
          <w:rPr>
            <w:noProof/>
            <w:webHidden/>
          </w:rPr>
          <w:instrText xml:space="preserve"> PAGEREF _Toc518394275 \h </w:instrText>
        </w:r>
        <w:r w:rsidR="003E54FB">
          <w:rPr>
            <w:noProof/>
            <w:webHidden/>
          </w:rPr>
        </w:r>
        <w:r w:rsidR="003E54FB">
          <w:rPr>
            <w:noProof/>
            <w:webHidden/>
          </w:rPr>
          <w:fldChar w:fldCharType="separate"/>
        </w:r>
        <w:r>
          <w:rPr>
            <w:noProof/>
            <w:webHidden/>
          </w:rPr>
          <w:t>162</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76" w:history="1">
        <w:r w:rsidR="003E54FB" w:rsidRPr="00FB2C38">
          <w:rPr>
            <w:rStyle w:val="Hyperlink"/>
            <w:noProof/>
          </w:rPr>
          <w:t>5.3.6</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China’s experience with alternative resources</w:t>
        </w:r>
        <w:r w:rsidR="003E54FB">
          <w:rPr>
            <w:noProof/>
            <w:webHidden/>
          </w:rPr>
          <w:tab/>
        </w:r>
        <w:r w:rsidR="003E54FB">
          <w:rPr>
            <w:noProof/>
            <w:webHidden/>
          </w:rPr>
          <w:fldChar w:fldCharType="begin"/>
        </w:r>
        <w:r w:rsidR="003E54FB">
          <w:rPr>
            <w:noProof/>
            <w:webHidden/>
          </w:rPr>
          <w:instrText xml:space="preserve"> PAGEREF _Toc518394276 \h </w:instrText>
        </w:r>
        <w:r w:rsidR="003E54FB">
          <w:rPr>
            <w:noProof/>
            <w:webHidden/>
          </w:rPr>
        </w:r>
        <w:r w:rsidR="003E54FB">
          <w:rPr>
            <w:noProof/>
            <w:webHidden/>
          </w:rPr>
          <w:fldChar w:fldCharType="separate"/>
        </w:r>
        <w:r>
          <w:rPr>
            <w:noProof/>
            <w:webHidden/>
          </w:rPr>
          <w:t>164</w:t>
        </w:r>
        <w:r w:rsidR="003E54FB">
          <w:rPr>
            <w:noProof/>
            <w:webHidden/>
          </w:rPr>
          <w:fldChar w:fldCharType="end"/>
        </w:r>
      </w:hyperlink>
    </w:p>
    <w:p w:rsidR="003E54FB" w:rsidRDefault="003C5F80">
      <w:pPr>
        <w:pStyle w:val="TOC2"/>
        <w:rPr>
          <w:rFonts w:asciiTheme="minorHAnsi" w:eastAsiaTheme="minorEastAsia" w:hAnsiTheme="minorHAnsi" w:cstheme="minorBidi"/>
          <w:noProof/>
          <w:sz w:val="22"/>
          <w:szCs w:val="22"/>
          <w:lang w:val="en-GB" w:eastAsia="en-GB"/>
        </w:rPr>
      </w:pPr>
      <w:hyperlink w:anchor="_Toc518394277" w:history="1">
        <w:r w:rsidR="003E54FB" w:rsidRPr="00FB2C38">
          <w:rPr>
            <w:rStyle w:val="Hyperlink"/>
            <w:noProof/>
          </w:rPr>
          <w:t>5.4</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Other experiences</w:t>
        </w:r>
        <w:r w:rsidR="003E54FB">
          <w:rPr>
            <w:noProof/>
            <w:webHidden/>
          </w:rPr>
          <w:tab/>
        </w:r>
        <w:r w:rsidR="003E54FB">
          <w:rPr>
            <w:noProof/>
            <w:webHidden/>
          </w:rPr>
          <w:fldChar w:fldCharType="begin"/>
        </w:r>
        <w:r w:rsidR="003E54FB">
          <w:rPr>
            <w:noProof/>
            <w:webHidden/>
          </w:rPr>
          <w:instrText xml:space="preserve"> PAGEREF _Toc518394277 \h </w:instrText>
        </w:r>
        <w:r w:rsidR="003E54FB">
          <w:rPr>
            <w:noProof/>
            <w:webHidden/>
          </w:rPr>
        </w:r>
        <w:r w:rsidR="003E54FB">
          <w:rPr>
            <w:noProof/>
            <w:webHidden/>
          </w:rPr>
          <w:fldChar w:fldCharType="separate"/>
        </w:r>
        <w:r>
          <w:rPr>
            <w:noProof/>
            <w:webHidden/>
          </w:rPr>
          <w:t>165</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78" w:history="1">
        <w:r w:rsidR="003E54FB" w:rsidRPr="00FB2C38">
          <w:rPr>
            <w:rStyle w:val="Hyperlink"/>
            <w:noProof/>
          </w:rPr>
          <w:t>5.4.1</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Amateur services</w:t>
        </w:r>
        <w:r w:rsidR="003E54FB">
          <w:rPr>
            <w:noProof/>
            <w:webHidden/>
          </w:rPr>
          <w:tab/>
        </w:r>
        <w:r w:rsidR="003E54FB">
          <w:rPr>
            <w:noProof/>
            <w:webHidden/>
          </w:rPr>
          <w:fldChar w:fldCharType="begin"/>
        </w:r>
        <w:r w:rsidR="003E54FB">
          <w:rPr>
            <w:noProof/>
            <w:webHidden/>
          </w:rPr>
          <w:instrText xml:space="preserve"> PAGEREF _Toc518394278 \h </w:instrText>
        </w:r>
        <w:r w:rsidR="003E54FB">
          <w:rPr>
            <w:noProof/>
            <w:webHidden/>
          </w:rPr>
        </w:r>
        <w:r w:rsidR="003E54FB">
          <w:rPr>
            <w:noProof/>
            <w:webHidden/>
          </w:rPr>
          <w:fldChar w:fldCharType="separate"/>
        </w:r>
        <w:r>
          <w:rPr>
            <w:noProof/>
            <w:webHidden/>
          </w:rPr>
          <w:t>165</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79" w:history="1">
        <w:r w:rsidR="003E54FB" w:rsidRPr="00FB2C38">
          <w:rPr>
            <w:rStyle w:val="Hyperlink"/>
            <w:noProof/>
          </w:rPr>
          <w:t>5.4.2</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Area and high density systems</w:t>
        </w:r>
        <w:r w:rsidR="003E54FB">
          <w:rPr>
            <w:noProof/>
            <w:webHidden/>
          </w:rPr>
          <w:tab/>
        </w:r>
        <w:r w:rsidR="003E54FB">
          <w:rPr>
            <w:noProof/>
            <w:webHidden/>
          </w:rPr>
          <w:fldChar w:fldCharType="begin"/>
        </w:r>
        <w:r w:rsidR="003E54FB">
          <w:rPr>
            <w:noProof/>
            <w:webHidden/>
          </w:rPr>
          <w:instrText xml:space="preserve"> PAGEREF _Toc518394279 \h </w:instrText>
        </w:r>
        <w:r w:rsidR="003E54FB">
          <w:rPr>
            <w:noProof/>
            <w:webHidden/>
          </w:rPr>
        </w:r>
        <w:r w:rsidR="003E54FB">
          <w:rPr>
            <w:noProof/>
            <w:webHidden/>
          </w:rPr>
          <w:fldChar w:fldCharType="separate"/>
        </w:r>
        <w:r>
          <w:rPr>
            <w:noProof/>
            <w:webHidden/>
          </w:rPr>
          <w:t>165</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80" w:history="1">
        <w:r w:rsidR="003E54FB" w:rsidRPr="00FB2C38">
          <w:rPr>
            <w:rStyle w:val="Hyperlink"/>
            <w:noProof/>
          </w:rPr>
          <w:t>5.4.3</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Space services, orbital use and spectrum fees</w:t>
        </w:r>
        <w:r w:rsidR="003E54FB">
          <w:rPr>
            <w:noProof/>
            <w:webHidden/>
          </w:rPr>
          <w:tab/>
        </w:r>
        <w:r w:rsidR="003E54FB">
          <w:rPr>
            <w:noProof/>
            <w:webHidden/>
          </w:rPr>
          <w:fldChar w:fldCharType="begin"/>
        </w:r>
        <w:r w:rsidR="003E54FB">
          <w:rPr>
            <w:noProof/>
            <w:webHidden/>
          </w:rPr>
          <w:instrText xml:space="preserve"> PAGEREF _Toc518394280 \h </w:instrText>
        </w:r>
        <w:r w:rsidR="003E54FB">
          <w:rPr>
            <w:noProof/>
            <w:webHidden/>
          </w:rPr>
        </w:r>
        <w:r w:rsidR="003E54FB">
          <w:rPr>
            <w:noProof/>
            <w:webHidden/>
          </w:rPr>
          <w:fldChar w:fldCharType="separate"/>
        </w:r>
        <w:r>
          <w:rPr>
            <w:noProof/>
            <w:webHidden/>
          </w:rPr>
          <w:t>165</w:t>
        </w:r>
        <w:r w:rsidR="003E54FB">
          <w:rPr>
            <w:noProof/>
            <w:webHidden/>
          </w:rPr>
          <w:fldChar w:fldCharType="end"/>
        </w:r>
      </w:hyperlink>
    </w:p>
    <w:p w:rsidR="003E54FB" w:rsidRDefault="003C5F80">
      <w:pPr>
        <w:pStyle w:val="TOC1"/>
        <w:rPr>
          <w:rFonts w:asciiTheme="minorHAnsi" w:eastAsiaTheme="minorEastAsia" w:hAnsiTheme="minorHAnsi" w:cstheme="minorBidi"/>
          <w:noProof/>
          <w:sz w:val="22"/>
          <w:szCs w:val="22"/>
          <w:lang w:val="en-GB" w:eastAsia="en-GB"/>
        </w:rPr>
      </w:pPr>
      <w:hyperlink w:anchor="_Toc518394281" w:history="1">
        <w:r w:rsidR="003E54FB" w:rsidRPr="00FB2C38">
          <w:rPr>
            <w:rStyle w:val="Hyperlink"/>
            <w:noProof/>
          </w:rPr>
          <w:t>GLOSSARY</w:t>
        </w:r>
        <w:r w:rsidR="003E54FB">
          <w:rPr>
            <w:noProof/>
            <w:webHidden/>
          </w:rPr>
          <w:tab/>
        </w:r>
        <w:r w:rsidR="003E54FB">
          <w:rPr>
            <w:noProof/>
            <w:webHidden/>
          </w:rPr>
          <w:fldChar w:fldCharType="begin"/>
        </w:r>
        <w:r w:rsidR="003E54FB">
          <w:rPr>
            <w:noProof/>
            <w:webHidden/>
          </w:rPr>
          <w:instrText xml:space="preserve"> PAGEREF _Toc518394281 \h </w:instrText>
        </w:r>
        <w:r w:rsidR="003E54FB">
          <w:rPr>
            <w:noProof/>
            <w:webHidden/>
          </w:rPr>
        </w:r>
        <w:r w:rsidR="003E54FB">
          <w:rPr>
            <w:noProof/>
            <w:webHidden/>
          </w:rPr>
          <w:fldChar w:fldCharType="separate"/>
        </w:r>
        <w:r>
          <w:rPr>
            <w:noProof/>
            <w:webHidden/>
          </w:rPr>
          <w:t>167</w:t>
        </w:r>
        <w:r w:rsidR="003E54FB">
          <w:rPr>
            <w:noProof/>
            <w:webHidden/>
          </w:rPr>
          <w:fldChar w:fldCharType="end"/>
        </w:r>
      </w:hyperlink>
    </w:p>
    <w:p w:rsidR="003E54FB" w:rsidRDefault="003C5F80">
      <w:pPr>
        <w:pStyle w:val="TOC1"/>
        <w:rPr>
          <w:rFonts w:asciiTheme="minorHAnsi" w:eastAsiaTheme="minorEastAsia" w:hAnsiTheme="minorHAnsi" w:cstheme="minorBidi"/>
          <w:noProof/>
          <w:sz w:val="22"/>
          <w:szCs w:val="22"/>
          <w:lang w:val="en-GB" w:eastAsia="en-GB"/>
        </w:rPr>
      </w:pPr>
      <w:hyperlink w:anchor="_Toc518394282" w:history="1">
        <w:r w:rsidR="003E54FB" w:rsidRPr="00FB2C38">
          <w:rPr>
            <w:rStyle w:val="Hyperlink"/>
            <w:noProof/>
          </w:rPr>
          <w:t>Annex 1</w:t>
        </w:r>
        <w:r w:rsidR="003E54FB">
          <w:rPr>
            <w:noProof/>
            <w:webHidden/>
          </w:rPr>
          <w:tab/>
        </w:r>
        <w:r w:rsidR="003E54FB">
          <w:rPr>
            <w:noProof/>
            <w:webHidden/>
          </w:rPr>
          <w:fldChar w:fldCharType="begin"/>
        </w:r>
        <w:r w:rsidR="003E54FB">
          <w:rPr>
            <w:noProof/>
            <w:webHidden/>
          </w:rPr>
          <w:instrText xml:space="preserve"> PAGEREF _Toc518394282 \h </w:instrText>
        </w:r>
        <w:r w:rsidR="003E54FB">
          <w:rPr>
            <w:noProof/>
            <w:webHidden/>
          </w:rPr>
        </w:r>
        <w:r w:rsidR="003E54FB">
          <w:rPr>
            <w:noProof/>
            <w:webHidden/>
          </w:rPr>
          <w:fldChar w:fldCharType="separate"/>
        </w:r>
        <w:r>
          <w:rPr>
            <w:noProof/>
            <w:webHidden/>
          </w:rPr>
          <w:t>169</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83" w:history="1">
        <w:r w:rsidR="003E54FB" w:rsidRPr="00FB2C38">
          <w:rPr>
            <w:rStyle w:val="Hyperlink"/>
            <w:noProof/>
          </w:rPr>
          <w:t>A.1.1</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Spectrum Fees Regulations of the United Arab Emirates</w:t>
        </w:r>
        <w:r w:rsidR="003E54FB">
          <w:rPr>
            <w:noProof/>
            <w:webHidden/>
          </w:rPr>
          <w:tab/>
        </w:r>
        <w:r w:rsidR="003E54FB">
          <w:rPr>
            <w:noProof/>
            <w:webHidden/>
          </w:rPr>
          <w:fldChar w:fldCharType="begin"/>
        </w:r>
        <w:r w:rsidR="003E54FB">
          <w:rPr>
            <w:noProof/>
            <w:webHidden/>
          </w:rPr>
          <w:instrText xml:space="preserve"> PAGEREF _Toc518394283 \h </w:instrText>
        </w:r>
        <w:r w:rsidR="003E54FB">
          <w:rPr>
            <w:noProof/>
            <w:webHidden/>
          </w:rPr>
        </w:r>
        <w:r w:rsidR="003E54FB">
          <w:rPr>
            <w:noProof/>
            <w:webHidden/>
          </w:rPr>
          <w:fldChar w:fldCharType="separate"/>
        </w:r>
        <w:r>
          <w:rPr>
            <w:noProof/>
            <w:webHidden/>
          </w:rPr>
          <w:t>169</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84" w:history="1">
        <w:r w:rsidR="003E54FB" w:rsidRPr="00FB2C38">
          <w:rPr>
            <w:rStyle w:val="Hyperlink"/>
            <w:noProof/>
          </w:rPr>
          <w:t>A.1.2</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Fees Policy of Cote D’Ivoire</w:t>
        </w:r>
        <w:r w:rsidR="003E54FB">
          <w:rPr>
            <w:noProof/>
            <w:webHidden/>
          </w:rPr>
          <w:tab/>
        </w:r>
        <w:r w:rsidR="003E54FB">
          <w:rPr>
            <w:noProof/>
            <w:webHidden/>
          </w:rPr>
          <w:fldChar w:fldCharType="begin"/>
        </w:r>
        <w:r w:rsidR="003E54FB">
          <w:rPr>
            <w:noProof/>
            <w:webHidden/>
          </w:rPr>
          <w:instrText xml:space="preserve"> PAGEREF _Toc518394284 \h </w:instrText>
        </w:r>
        <w:r w:rsidR="003E54FB">
          <w:rPr>
            <w:noProof/>
            <w:webHidden/>
          </w:rPr>
        </w:r>
        <w:r w:rsidR="003E54FB">
          <w:rPr>
            <w:noProof/>
            <w:webHidden/>
          </w:rPr>
          <w:fldChar w:fldCharType="separate"/>
        </w:r>
        <w:r>
          <w:rPr>
            <w:noProof/>
            <w:webHidden/>
          </w:rPr>
          <w:t>186</w:t>
        </w:r>
        <w:r w:rsidR="003E54FB">
          <w:rPr>
            <w:noProof/>
            <w:webHidden/>
          </w:rPr>
          <w:fldChar w:fldCharType="end"/>
        </w:r>
      </w:hyperlink>
    </w:p>
    <w:p w:rsidR="003E54FB" w:rsidRDefault="003C5F80">
      <w:pPr>
        <w:pStyle w:val="TOC1"/>
        <w:rPr>
          <w:rFonts w:asciiTheme="minorHAnsi" w:eastAsiaTheme="minorEastAsia" w:hAnsiTheme="minorHAnsi" w:cstheme="minorBidi"/>
          <w:noProof/>
          <w:sz w:val="22"/>
          <w:szCs w:val="22"/>
          <w:lang w:val="en-GB" w:eastAsia="en-GB"/>
        </w:rPr>
      </w:pPr>
      <w:hyperlink w:anchor="_Toc518394285" w:history="1">
        <w:r w:rsidR="003E54FB" w:rsidRPr="00FB2C38">
          <w:rPr>
            <w:rStyle w:val="Hyperlink"/>
            <w:noProof/>
          </w:rPr>
          <w:t>A.</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TERRESTRIAL RADIOCOMMUNICATION SERVICES</w:t>
        </w:r>
        <w:r w:rsidR="003E54FB">
          <w:rPr>
            <w:noProof/>
            <w:webHidden/>
          </w:rPr>
          <w:tab/>
        </w:r>
        <w:r w:rsidR="003E54FB">
          <w:rPr>
            <w:noProof/>
            <w:webHidden/>
          </w:rPr>
          <w:fldChar w:fldCharType="begin"/>
        </w:r>
        <w:r w:rsidR="003E54FB">
          <w:rPr>
            <w:noProof/>
            <w:webHidden/>
          </w:rPr>
          <w:instrText xml:space="preserve"> PAGEREF _Toc518394285 \h </w:instrText>
        </w:r>
        <w:r w:rsidR="003E54FB">
          <w:rPr>
            <w:noProof/>
            <w:webHidden/>
          </w:rPr>
        </w:r>
        <w:r w:rsidR="003E54FB">
          <w:rPr>
            <w:noProof/>
            <w:webHidden/>
          </w:rPr>
          <w:fldChar w:fldCharType="separate"/>
        </w:r>
        <w:r>
          <w:rPr>
            <w:noProof/>
            <w:webHidden/>
          </w:rPr>
          <w:t>187</w:t>
        </w:r>
        <w:r w:rsidR="003E54FB">
          <w:rPr>
            <w:noProof/>
            <w:webHidden/>
          </w:rPr>
          <w:fldChar w:fldCharType="end"/>
        </w:r>
      </w:hyperlink>
    </w:p>
    <w:p w:rsidR="003E54FB" w:rsidRDefault="003C5F80">
      <w:pPr>
        <w:pStyle w:val="TOC1"/>
        <w:rPr>
          <w:rFonts w:asciiTheme="minorHAnsi" w:eastAsiaTheme="minorEastAsia" w:hAnsiTheme="minorHAnsi" w:cstheme="minorBidi"/>
          <w:noProof/>
          <w:sz w:val="22"/>
          <w:szCs w:val="22"/>
          <w:lang w:val="en-GB" w:eastAsia="en-GB"/>
        </w:rPr>
      </w:pPr>
      <w:hyperlink w:anchor="_Toc518394286" w:history="1">
        <w:r w:rsidR="003E54FB" w:rsidRPr="00FB2C38">
          <w:rPr>
            <w:rStyle w:val="Hyperlink"/>
            <w:noProof/>
          </w:rPr>
          <w:t>B.</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SATELLITE RADIOCOMMUNICATIONS</w:t>
        </w:r>
        <w:r w:rsidR="003E54FB">
          <w:rPr>
            <w:noProof/>
            <w:webHidden/>
          </w:rPr>
          <w:tab/>
        </w:r>
        <w:r w:rsidR="003E54FB">
          <w:rPr>
            <w:noProof/>
            <w:webHidden/>
          </w:rPr>
          <w:fldChar w:fldCharType="begin"/>
        </w:r>
        <w:r w:rsidR="003E54FB">
          <w:rPr>
            <w:noProof/>
            <w:webHidden/>
          </w:rPr>
          <w:instrText xml:space="preserve"> PAGEREF _Toc518394286 \h </w:instrText>
        </w:r>
        <w:r w:rsidR="003E54FB">
          <w:rPr>
            <w:noProof/>
            <w:webHidden/>
          </w:rPr>
        </w:r>
        <w:r w:rsidR="003E54FB">
          <w:rPr>
            <w:noProof/>
            <w:webHidden/>
          </w:rPr>
          <w:fldChar w:fldCharType="separate"/>
        </w:r>
        <w:r>
          <w:rPr>
            <w:noProof/>
            <w:webHidden/>
          </w:rPr>
          <w:t>189</w:t>
        </w:r>
        <w:r w:rsidR="003E54FB">
          <w:rPr>
            <w:noProof/>
            <w:webHidden/>
          </w:rPr>
          <w:fldChar w:fldCharType="end"/>
        </w:r>
      </w:hyperlink>
    </w:p>
    <w:p w:rsidR="003E54FB" w:rsidRDefault="003C5F80">
      <w:pPr>
        <w:pStyle w:val="TOC1"/>
        <w:rPr>
          <w:rFonts w:asciiTheme="minorHAnsi" w:eastAsiaTheme="minorEastAsia" w:hAnsiTheme="minorHAnsi" w:cstheme="minorBidi"/>
          <w:noProof/>
          <w:sz w:val="22"/>
          <w:szCs w:val="22"/>
          <w:lang w:val="en-GB" w:eastAsia="en-GB"/>
        </w:rPr>
      </w:pPr>
      <w:hyperlink w:anchor="_Toc518394287" w:history="1">
        <w:r w:rsidR="003E54FB" w:rsidRPr="00FB2C38">
          <w:rPr>
            <w:rStyle w:val="Hyperlink"/>
            <w:noProof/>
          </w:rPr>
          <w:t>C.</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TEMPORAL UTILIZATION OF RADIOELECTRIC STATIONS</w:t>
        </w:r>
        <w:r w:rsidR="003E54FB">
          <w:rPr>
            <w:noProof/>
            <w:webHidden/>
          </w:rPr>
          <w:tab/>
        </w:r>
        <w:r w:rsidR="003E54FB">
          <w:rPr>
            <w:noProof/>
            <w:webHidden/>
          </w:rPr>
          <w:fldChar w:fldCharType="begin"/>
        </w:r>
        <w:r w:rsidR="003E54FB">
          <w:rPr>
            <w:noProof/>
            <w:webHidden/>
          </w:rPr>
          <w:instrText xml:space="preserve"> PAGEREF _Toc518394287 \h </w:instrText>
        </w:r>
        <w:r w:rsidR="003E54FB">
          <w:rPr>
            <w:noProof/>
            <w:webHidden/>
          </w:rPr>
        </w:r>
        <w:r w:rsidR="003E54FB">
          <w:rPr>
            <w:noProof/>
            <w:webHidden/>
          </w:rPr>
          <w:fldChar w:fldCharType="separate"/>
        </w:r>
        <w:r>
          <w:rPr>
            <w:noProof/>
            <w:webHidden/>
          </w:rPr>
          <w:t>190</w:t>
        </w:r>
        <w:r w:rsidR="003E54FB">
          <w:rPr>
            <w:noProof/>
            <w:webHidden/>
          </w:rPr>
          <w:fldChar w:fldCharType="end"/>
        </w:r>
      </w:hyperlink>
    </w:p>
    <w:p w:rsidR="003E54FB" w:rsidRDefault="003C5F80">
      <w:pPr>
        <w:pStyle w:val="TOC1"/>
        <w:rPr>
          <w:rFonts w:asciiTheme="minorHAnsi" w:eastAsiaTheme="minorEastAsia" w:hAnsiTheme="minorHAnsi" w:cstheme="minorBidi"/>
          <w:noProof/>
          <w:sz w:val="22"/>
          <w:szCs w:val="22"/>
          <w:lang w:val="en-GB" w:eastAsia="en-GB"/>
        </w:rPr>
      </w:pPr>
      <w:hyperlink w:anchor="_Toc518394288" w:history="1">
        <w:r w:rsidR="003E54FB" w:rsidRPr="00FB2C38">
          <w:rPr>
            <w:rStyle w:val="Hyperlink"/>
            <w:noProof/>
          </w:rPr>
          <w:t>D.</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OTHER FEES AND TAXES</w:t>
        </w:r>
        <w:r w:rsidR="003E54FB">
          <w:rPr>
            <w:noProof/>
            <w:webHidden/>
          </w:rPr>
          <w:tab/>
        </w:r>
        <w:r w:rsidR="003E54FB">
          <w:rPr>
            <w:noProof/>
            <w:webHidden/>
          </w:rPr>
          <w:fldChar w:fldCharType="begin"/>
        </w:r>
        <w:r w:rsidR="003E54FB">
          <w:rPr>
            <w:noProof/>
            <w:webHidden/>
          </w:rPr>
          <w:instrText xml:space="preserve"> PAGEREF _Toc518394288 \h </w:instrText>
        </w:r>
        <w:r w:rsidR="003E54FB">
          <w:rPr>
            <w:noProof/>
            <w:webHidden/>
          </w:rPr>
        </w:r>
        <w:r w:rsidR="003E54FB">
          <w:rPr>
            <w:noProof/>
            <w:webHidden/>
          </w:rPr>
          <w:fldChar w:fldCharType="separate"/>
        </w:r>
        <w:r>
          <w:rPr>
            <w:noProof/>
            <w:webHidden/>
          </w:rPr>
          <w:t>190</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89" w:history="1">
        <w:r w:rsidR="003E54FB" w:rsidRPr="00FB2C38">
          <w:rPr>
            <w:rStyle w:val="Hyperlink"/>
            <w:noProof/>
          </w:rPr>
          <w:t>I.</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SPECIAL EQUIPMENTS.</w:t>
        </w:r>
        <w:r w:rsidR="003E54FB">
          <w:rPr>
            <w:noProof/>
            <w:webHidden/>
          </w:rPr>
          <w:tab/>
        </w:r>
        <w:r w:rsidR="003E54FB">
          <w:rPr>
            <w:noProof/>
            <w:webHidden/>
          </w:rPr>
          <w:fldChar w:fldCharType="begin"/>
        </w:r>
        <w:r w:rsidR="003E54FB">
          <w:rPr>
            <w:noProof/>
            <w:webHidden/>
          </w:rPr>
          <w:instrText xml:space="preserve"> PAGEREF _Toc518394289 \h </w:instrText>
        </w:r>
        <w:r w:rsidR="003E54FB">
          <w:rPr>
            <w:noProof/>
            <w:webHidden/>
          </w:rPr>
        </w:r>
        <w:r w:rsidR="003E54FB">
          <w:rPr>
            <w:noProof/>
            <w:webHidden/>
          </w:rPr>
          <w:fldChar w:fldCharType="separate"/>
        </w:r>
        <w:r>
          <w:rPr>
            <w:noProof/>
            <w:webHidden/>
          </w:rPr>
          <w:t>190</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90" w:history="1">
        <w:r w:rsidR="003E54FB" w:rsidRPr="00FB2C38">
          <w:rPr>
            <w:rStyle w:val="Hyperlink"/>
            <w:noProof/>
          </w:rPr>
          <w:t>II.</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LICENCE FEES/CERTIFICATE</w:t>
        </w:r>
        <w:r w:rsidR="003E54FB">
          <w:rPr>
            <w:noProof/>
            <w:webHidden/>
          </w:rPr>
          <w:tab/>
        </w:r>
        <w:r w:rsidR="003E54FB">
          <w:rPr>
            <w:noProof/>
            <w:webHidden/>
          </w:rPr>
          <w:fldChar w:fldCharType="begin"/>
        </w:r>
        <w:r w:rsidR="003E54FB">
          <w:rPr>
            <w:noProof/>
            <w:webHidden/>
          </w:rPr>
          <w:instrText xml:space="preserve"> PAGEREF _Toc518394290 \h </w:instrText>
        </w:r>
        <w:r w:rsidR="003E54FB">
          <w:rPr>
            <w:noProof/>
            <w:webHidden/>
          </w:rPr>
        </w:r>
        <w:r w:rsidR="003E54FB">
          <w:rPr>
            <w:noProof/>
            <w:webHidden/>
          </w:rPr>
          <w:fldChar w:fldCharType="separate"/>
        </w:r>
        <w:r>
          <w:rPr>
            <w:noProof/>
            <w:webHidden/>
          </w:rPr>
          <w:t>190</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91" w:history="1">
        <w:r w:rsidR="003E54FB" w:rsidRPr="00FB2C38">
          <w:rPr>
            <w:rStyle w:val="Hyperlink"/>
            <w:noProof/>
          </w:rPr>
          <w:t>III.</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EXAM FEES FOR THE ISSUE OF OPERATOR’S CERTIFICATE</w:t>
        </w:r>
        <w:r w:rsidR="003E54FB">
          <w:rPr>
            <w:noProof/>
            <w:webHidden/>
          </w:rPr>
          <w:tab/>
        </w:r>
        <w:r w:rsidR="003E54FB">
          <w:rPr>
            <w:noProof/>
            <w:webHidden/>
          </w:rPr>
          <w:fldChar w:fldCharType="begin"/>
        </w:r>
        <w:r w:rsidR="003E54FB">
          <w:rPr>
            <w:noProof/>
            <w:webHidden/>
          </w:rPr>
          <w:instrText xml:space="preserve"> PAGEREF _Toc518394291 \h </w:instrText>
        </w:r>
        <w:r w:rsidR="003E54FB">
          <w:rPr>
            <w:noProof/>
            <w:webHidden/>
          </w:rPr>
        </w:r>
        <w:r w:rsidR="003E54FB">
          <w:rPr>
            <w:noProof/>
            <w:webHidden/>
          </w:rPr>
          <w:fldChar w:fldCharType="separate"/>
        </w:r>
        <w:r>
          <w:rPr>
            <w:noProof/>
            <w:webHidden/>
          </w:rPr>
          <w:t>191</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92" w:history="1">
        <w:r w:rsidR="003E54FB" w:rsidRPr="00FB2C38">
          <w:rPr>
            <w:rStyle w:val="Hyperlink"/>
            <w:noProof/>
          </w:rPr>
          <w:t>IV.</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FEES FOR THE ISSUANCE OF AUTHORIZATIONS</w:t>
        </w:r>
        <w:r w:rsidR="003E54FB">
          <w:rPr>
            <w:noProof/>
            <w:webHidden/>
          </w:rPr>
          <w:tab/>
        </w:r>
        <w:r w:rsidR="003E54FB">
          <w:rPr>
            <w:noProof/>
            <w:webHidden/>
          </w:rPr>
          <w:fldChar w:fldCharType="begin"/>
        </w:r>
        <w:r w:rsidR="003E54FB">
          <w:rPr>
            <w:noProof/>
            <w:webHidden/>
          </w:rPr>
          <w:instrText xml:space="preserve"> PAGEREF _Toc518394292 \h </w:instrText>
        </w:r>
        <w:r w:rsidR="003E54FB">
          <w:rPr>
            <w:noProof/>
            <w:webHidden/>
          </w:rPr>
        </w:r>
        <w:r w:rsidR="003E54FB">
          <w:rPr>
            <w:noProof/>
            <w:webHidden/>
          </w:rPr>
          <w:fldChar w:fldCharType="separate"/>
        </w:r>
        <w:r>
          <w:rPr>
            <w:noProof/>
            <w:webHidden/>
          </w:rPr>
          <w:t>191</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93" w:history="1">
        <w:r w:rsidR="003E54FB" w:rsidRPr="00FB2C38">
          <w:rPr>
            <w:rStyle w:val="Hyperlink"/>
            <w:noProof/>
          </w:rPr>
          <w:t>V.</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TAX FOR INTERVENING IN THE NETWORKS</w:t>
        </w:r>
        <w:r w:rsidR="003E54FB">
          <w:rPr>
            <w:noProof/>
            <w:webHidden/>
          </w:rPr>
          <w:tab/>
        </w:r>
        <w:r w:rsidR="003E54FB">
          <w:rPr>
            <w:noProof/>
            <w:webHidden/>
          </w:rPr>
          <w:fldChar w:fldCharType="begin"/>
        </w:r>
        <w:r w:rsidR="003E54FB">
          <w:rPr>
            <w:noProof/>
            <w:webHidden/>
          </w:rPr>
          <w:instrText xml:space="preserve"> PAGEREF _Toc518394293 \h </w:instrText>
        </w:r>
        <w:r w:rsidR="003E54FB">
          <w:rPr>
            <w:noProof/>
            <w:webHidden/>
          </w:rPr>
        </w:r>
        <w:r w:rsidR="003E54FB">
          <w:rPr>
            <w:noProof/>
            <w:webHidden/>
          </w:rPr>
          <w:fldChar w:fldCharType="separate"/>
        </w:r>
        <w:r>
          <w:rPr>
            <w:noProof/>
            <w:webHidden/>
          </w:rPr>
          <w:t>191</w:t>
        </w:r>
        <w:r w:rsidR="003E54FB">
          <w:rPr>
            <w:noProof/>
            <w:webHidden/>
          </w:rPr>
          <w:fldChar w:fldCharType="end"/>
        </w:r>
      </w:hyperlink>
    </w:p>
    <w:p w:rsidR="003E54FB" w:rsidRDefault="003C5F80">
      <w:pPr>
        <w:pStyle w:val="TOC3"/>
        <w:rPr>
          <w:rFonts w:asciiTheme="minorHAnsi" w:eastAsiaTheme="minorEastAsia" w:hAnsiTheme="minorHAnsi" w:cstheme="minorBidi"/>
          <w:noProof/>
          <w:sz w:val="22"/>
          <w:szCs w:val="22"/>
          <w:lang w:val="en-GB" w:eastAsia="en-GB"/>
        </w:rPr>
      </w:pPr>
      <w:hyperlink w:anchor="_Toc518394294" w:history="1">
        <w:r w:rsidR="003E54FB" w:rsidRPr="00FB2C38">
          <w:rPr>
            <w:rStyle w:val="Hyperlink"/>
            <w:noProof/>
          </w:rPr>
          <w:t>VI.</w:t>
        </w:r>
        <w:r w:rsidR="003E54FB">
          <w:rPr>
            <w:rFonts w:asciiTheme="minorHAnsi" w:eastAsiaTheme="minorEastAsia" w:hAnsiTheme="minorHAnsi" w:cstheme="minorBidi"/>
            <w:noProof/>
            <w:sz w:val="22"/>
            <w:szCs w:val="22"/>
            <w:lang w:val="en-GB" w:eastAsia="en-GB"/>
          </w:rPr>
          <w:tab/>
        </w:r>
        <w:r w:rsidR="003E54FB" w:rsidRPr="00FB2C38">
          <w:rPr>
            <w:rStyle w:val="Hyperlink"/>
            <w:noProof/>
          </w:rPr>
          <w:t>LABELLING</w:t>
        </w:r>
        <w:r w:rsidR="003E54FB">
          <w:rPr>
            <w:noProof/>
            <w:webHidden/>
          </w:rPr>
          <w:tab/>
        </w:r>
        <w:r w:rsidR="003E54FB">
          <w:rPr>
            <w:noProof/>
            <w:webHidden/>
          </w:rPr>
          <w:fldChar w:fldCharType="begin"/>
        </w:r>
        <w:r w:rsidR="003E54FB">
          <w:rPr>
            <w:noProof/>
            <w:webHidden/>
          </w:rPr>
          <w:instrText xml:space="preserve"> PAGEREF _Toc518394294 \h </w:instrText>
        </w:r>
        <w:r w:rsidR="003E54FB">
          <w:rPr>
            <w:noProof/>
            <w:webHidden/>
          </w:rPr>
        </w:r>
        <w:r w:rsidR="003E54FB">
          <w:rPr>
            <w:noProof/>
            <w:webHidden/>
          </w:rPr>
          <w:fldChar w:fldCharType="separate"/>
        </w:r>
        <w:r>
          <w:rPr>
            <w:noProof/>
            <w:webHidden/>
          </w:rPr>
          <w:t>191</w:t>
        </w:r>
        <w:r w:rsidR="003E54FB">
          <w:rPr>
            <w:noProof/>
            <w:webHidden/>
          </w:rPr>
          <w:fldChar w:fldCharType="end"/>
        </w:r>
      </w:hyperlink>
    </w:p>
    <w:p w:rsidR="00D835E1" w:rsidRDefault="003E54FB" w:rsidP="00D835E1">
      <w:r>
        <w:fldChar w:fldCharType="end"/>
      </w:r>
    </w:p>
    <w:p w:rsidR="00E97717" w:rsidRPr="00BD6197" w:rsidRDefault="00E97717" w:rsidP="00E97717">
      <w:pPr>
        <w:pStyle w:val="NormalLeft"/>
      </w:pPr>
      <w:r w:rsidRPr="00BD6197">
        <w:br w:type="page"/>
      </w:r>
    </w:p>
    <w:p w:rsidR="00E97717" w:rsidRPr="00BD6197" w:rsidRDefault="00E97717" w:rsidP="00E97717">
      <w:pPr>
        <w:pStyle w:val="Title4"/>
        <w:rPr>
          <w:lang w:val="en-US"/>
        </w:rPr>
      </w:pPr>
      <w:r w:rsidRPr="00BD6197">
        <w:rPr>
          <w:lang w:val="en-US"/>
        </w:rPr>
        <w:lastRenderedPageBreak/>
        <w:t>PREFACE</w:t>
      </w:r>
    </w:p>
    <w:p w:rsidR="00E97717" w:rsidRPr="00BD6197" w:rsidRDefault="00E97717" w:rsidP="00D17B5B">
      <w:pPr>
        <w:pStyle w:val="Normalaftertitle"/>
        <w:rPr>
          <w:lang w:val="en-US"/>
        </w:rPr>
      </w:pPr>
      <w:r w:rsidRPr="00BD6197">
        <w:rPr>
          <w:lang w:val="en-US"/>
        </w:rPr>
        <w:t xml:space="preserve">The initial version of Report ITU-R SM.2012 – Economic aspects of spectrum management, was </w:t>
      </w:r>
      <w:r w:rsidR="00D17B5B">
        <w:rPr>
          <w:lang w:val="en-US"/>
        </w:rPr>
        <w:t>approved</w:t>
      </w:r>
      <w:r w:rsidRPr="00BD6197">
        <w:rPr>
          <w:lang w:val="en-US"/>
        </w:rPr>
        <w:t xml:space="preserve"> in 199</w:t>
      </w:r>
      <w:r w:rsidR="00D17B5B">
        <w:rPr>
          <w:lang w:val="en-US"/>
        </w:rPr>
        <w:t>7</w:t>
      </w:r>
      <w:r w:rsidRPr="00BD6197">
        <w:rPr>
          <w:lang w:val="en-US"/>
        </w:rPr>
        <w:t xml:space="preserve"> and revised </w:t>
      </w:r>
      <w:r w:rsidR="00D17B5B">
        <w:rPr>
          <w:lang w:val="en-US"/>
        </w:rPr>
        <w:t xml:space="preserve">several times </w:t>
      </w:r>
      <w:r w:rsidRPr="00BD6197">
        <w:rPr>
          <w:lang w:val="en-US"/>
        </w:rPr>
        <w:t xml:space="preserve">in order to include </w:t>
      </w:r>
      <w:r w:rsidR="00D17B5B" w:rsidRPr="00D17B5B">
        <w:rPr>
          <w:lang w:val="en-US"/>
        </w:rPr>
        <w:t xml:space="preserve">updated information and </w:t>
      </w:r>
      <w:r w:rsidRPr="00BD6197">
        <w:rPr>
          <w:lang w:val="en-US"/>
        </w:rPr>
        <w:t>summaries of experiences obtained on this subject by a number of administrations.</w:t>
      </w:r>
    </w:p>
    <w:p w:rsidR="00E97717" w:rsidRPr="00BD6197" w:rsidRDefault="00E97717" w:rsidP="00E97717">
      <w:pPr>
        <w:rPr>
          <w:lang w:val="en-US"/>
        </w:rPr>
      </w:pPr>
      <w:r w:rsidRPr="00BD6197">
        <w:rPr>
          <w:lang w:val="en-US"/>
        </w:rPr>
        <w:t>As with the previous version, this new revision of the Report describes the different economic approaches for spectrum management activities based on new experiences of administrations</w:t>
      </w:r>
      <w:r>
        <w:rPr>
          <w:lang w:val="en-US"/>
        </w:rPr>
        <w:t xml:space="preserve">, including on </w:t>
      </w:r>
      <w:r w:rsidRPr="000D2C75">
        <w:rPr>
          <w:lang w:val="en-US"/>
        </w:rPr>
        <w:t>spectrum auctions and calculations of</w:t>
      </w:r>
      <w:r>
        <w:rPr>
          <w:rStyle w:val="Hyperlink"/>
          <w:lang w:val="en-US"/>
        </w:rPr>
        <w:t xml:space="preserve"> </w:t>
      </w:r>
      <w:r w:rsidRPr="00BD6197">
        <w:rPr>
          <w:lang w:val="en-US"/>
        </w:rPr>
        <w:t>sp</w:t>
      </w:r>
      <w:bookmarkStart w:id="7" w:name="_GoBack"/>
      <w:bookmarkEnd w:id="7"/>
      <w:r w:rsidRPr="00BD6197">
        <w:rPr>
          <w:lang w:val="en-US"/>
        </w:rPr>
        <w:t>ectrum</w:t>
      </w:r>
      <w:r>
        <w:rPr>
          <w:lang w:val="en-US"/>
        </w:rPr>
        <w:t xml:space="preserve">/licence </w:t>
      </w:r>
      <w:r w:rsidRPr="00BD6197">
        <w:rPr>
          <w:lang w:val="en-US"/>
        </w:rPr>
        <w:t xml:space="preserve">fees. </w:t>
      </w:r>
      <w:r>
        <w:rPr>
          <w:lang w:val="en-US"/>
        </w:rPr>
        <w:t>I</w:t>
      </w:r>
      <w:r w:rsidRPr="00BD6197">
        <w:rPr>
          <w:lang w:val="en-US"/>
        </w:rPr>
        <w:t xml:space="preserve">t </w:t>
      </w:r>
      <w:r>
        <w:rPr>
          <w:lang w:val="en-US"/>
        </w:rPr>
        <w:t xml:space="preserve">still </w:t>
      </w:r>
      <w:r w:rsidRPr="00BD6197">
        <w:rPr>
          <w:lang w:val="en-US"/>
        </w:rPr>
        <w:t>includes the f</w:t>
      </w:r>
      <w:r w:rsidRPr="00BD6197">
        <w:rPr>
          <w:lang w:val="en-US" w:eastAsia="fr-FR"/>
        </w:rPr>
        <w:t>actors to be taken into account in an international comparison of fee levels, as well as g</w:t>
      </w:r>
      <w:r w:rsidRPr="00BD6197">
        <w:rPr>
          <w:lang w:val="en-US"/>
        </w:rPr>
        <w:t xml:space="preserve">uidelines on methodologies for the establishment of spectrum fees formula and system. It is the result of successful cooperation between ITU-R and ITU-D work on spectrum fees. </w:t>
      </w:r>
    </w:p>
    <w:p w:rsidR="00E97717" w:rsidRPr="00BD6197" w:rsidRDefault="00E97717" w:rsidP="00E97717">
      <w:pPr>
        <w:rPr>
          <w:lang w:val="en-US"/>
        </w:rPr>
      </w:pPr>
      <w:r w:rsidRPr="00BD6197">
        <w:rPr>
          <w:lang w:val="en-US"/>
        </w:rPr>
        <w:t>The Report is intended for the use by administrations of both developing and developed countries in formulating strategies on economic approaches to national spectrum management and financing this activity. In addition, the Report presents an analysis of the benefits of strategic development and the methods of technical support for national spectrum management. These approaches not only promote economic efficiency but can also promote technical and administrative efficiency.</w:t>
      </w:r>
    </w:p>
    <w:p w:rsidR="00E97717" w:rsidRPr="00731EA7" w:rsidRDefault="00E97717" w:rsidP="00E97717">
      <w:pPr>
        <w:tabs>
          <w:tab w:val="clear" w:pos="794"/>
          <w:tab w:val="clear" w:pos="1191"/>
          <w:tab w:val="clear" w:pos="1588"/>
          <w:tab w:val="clear" w:pos="1985"/>
          <w:tab w:val="center" w:pos="6521"/>
        </w:tabs>
        <w:spacing w:before="1800"/>
      </w:pPr>
      <w:r w:rsidRPr="00BD6197">
        <w:rPr>
          <w:lang w:val="en-US"/>
        </w:rPr>
        <w:tab/>
      </w:r>
      <w:r w:rsidRPr="00731EA7">
        <w:t>François Rancy</w:t>
      </w:r>
      <w:r w:rsidRPr="00731EA7">
        <w:br/>
      </w:r>
      <w:r w:rsidRPr="00731EA7">
        <w:tab/>
        <w:t>Director Radiocommunication Bureau</w:t>
      </w:r>
    </w:p>
    <w:p w:rsidR="00E97717" w:rsidRPr="00731EA7" w:rsidRDefault="00E97717" w:rsidP="00E97717">
      <w:pPr>
        <w:tabs>
          <w:tab w:val="clear" w:pos="794"/>
          <w:tab w:val="clear" w:pos="1191"/>
          <w:tab w:val="clear" w:pos="1588"/>
          <w:tab w:val="clear" w:pos="1985"/>
        </w:tabs>
        <w:overflowPunct/>
        <w:autoSpaceDE/>
        <w:autoSpaceDN/>
        <w:adjustRightInd/>
        <w:spacing w:before="0"/>
        <w:textAlignment w:val="auto"/>
      </w:pPr>
      <w:r w:rsidRPr="00731EA7">
        <w:br w:type="page"/>
      </w:r>
    </w:p>
    <w:p w:rsidR="00E97717" w:rsidRPr="00731EA7" w:rsidRDefault="00E97717" w:rsidP="00E97717">
      <w:pPr>
        <w:pStyle w:val="Title4"/>
        <w:rPr>
          <w:lang w:val="fr-FR"/>
        </w:rPr>
      </w:pPr>
      <w:bookmarkStart w:id="8" w:name="_Toc289868740"/>
      <w:r w:rsidRPr="00731EA7">
        <w:rPr>
          <w:lang w:val="fr-FR"/>
        </w:rPr>
        <w:lastRenderedPageBreak/>
        <w:t>FOREWORD</w:t>
      </w:r>
      <w:bookmarkEnd w:id="8"/>
    </w:p>
    <w:p w:rsidR="00E97717" w:rsidRPr="00BD6197" w:rsidRDefault="00E97717" w:rsidP="00E97717">
      <w:pPr>
        <w:pStyle w:val="Normalaftertitle"/>
        <w:rPr>
          <w:lang w:val="en-US"/>
        </w:rPr>
      </w:pPr>
      <w:r w:rsidRPr="00BD6197">
        <w:rPr>
          <w:lang w:val="en-US"/>
        </w:rPr>
        <w:t xml:space="preserve">The information and communications technology (ICT) </w:t>
      </w:r>
      <w:r>
        <w:rPr>
          <w:lang w:val="en-US"/>
        </w:rPr>
        <w:t xml:space="preserve">continue to </w:t>
      </w:r>
      <w:r w:rsidRPr="00BD6197">
        <w:rPr>
          <w:lang w:val="en-US"/>
        </w:rPr>
        <w:t xml:space="preserve">stimulate national economic growth with the </w:t>
      </w:r>
      <w:r>
        <w:rPr>
          <w:lang w:val="en-US"/>
        </w:rPr>
        <w:t xml:space="preserve">increasing </w:t>
      </w:r>
      <w:r w:rsidRPr="00BD6197">
        <w:rPr>
          <w:lang w:val="en-US"/>
        </w:rPr>
        <w:t>worldwide demand for wireless services</w:t>
      </w:r>
      <w:r>
        <w:rPr>
          <w:lang w:val="en-US"/>
        </w:rPr>
        <w:t>.</w:t>
      </w:r>
      <w:r w:rsidRPr="00BD6197">
        <w:rPr>
          <w:lang w:val="en-US"/>
        </w:rPr>
        <w:t xml:space="preserve"> </w:t>
      </w:r>
      <w:r>
        <w:rPr>
          <w:lang w:val="en-US"/>
        </w:rPr>
        <w:t xml:space="preserve">The related </w:t>
      </w:r>
      <w:r w:rsidRPr="00BD6197">
        <w:rPr>
          <w:lang w:val="en-US"/>
        </w:rPr>
        <w:t>economic challenges</w:t>
      </w:r>
      <w:r>
        <w:rPr>
          <w:lang w:val="en-US"/>
        </w:rPr>
        <w:t xml:space="preserve"> faced by spectrum regulators in </w:t>
      </w:r>
      <w:r w:rsidRPr="00BD6197">
        <w:rPr>
          <w:lang w:val="en-US"/>
        </w:rPr>
        <w:t xml:space="preserve">many nations </w:t>
      </w:r>
      <w:r>
        <w:rPr>
          <w:lang w:val="en-US"/>
        </w:rPr>
        <w:t xml:space="preserve">should benefit from the updates provided in this </w:t>
      </w:r>
      <w:r w:rsidRPr="00BD6197">
        <w:rPr>
          <w:lang w:val="en-US"/>
        </w:rPr>
        <w:t xml:space="preserve">new revision of the ITU-R Report on the economic aspects of spectrum management. </w:t>
      </w:r>
    </w:p>
    <w:p w:rsidR="00E97717" w:rsidRPr="00BD6197" w:rsidRDefault="00E97717" w:rsidP="00E97717">
      <w:pPr>
        <w:rPr>
          <w:lang w:val="en-US"/>
        </w:rPr>
      </w:pPr>
      <w:r w:rsidRPr="00BD6197">
        <w:rPr>
          <w:lang w:val="en-US"/>
        </w:rPr>
        <w:t>ITU-D Study Group </w:t>
      </w:r>
      <w:r>
        <w:rPr>
          <w:lang w:val="en-US"/>
        </w:rPr>
        <w:t>1</w:t>
      </w:r>
      <w:r w:rsidRPr="00BD6197">
        <w:rPr>
          <w:lang w:val="en-US"/>
        </w:rPr>
        <w:t xml:space="preserve"> and the Joint </w:t>
      </w:r>
      <w:r>
        <w:rPr>
          <w:lang w:val="en-US"/>
        </w:rPr>
        <w:t xml:space="preserve">ITU-D/ITU-R </w:t>
      </w:r>
      <w:r w:rsidRPr="00BD6197">
        <w:rPr>
          <w:lang w:val="en-US"/>
        </w:rPr>
        <w:t xml:space="preserve">Group on WTDC Resolution 9 </w:t>
      </w:r>
      <w:r>
        <w:rPr>
          <w:lang w:val="en-US"/>
        </w:rPr>
        <w:t xml:space="preserve">provided useful information to ITU-R </w:t>
      </w:r>
      <w:r w:rsidRPr="00BD6197">
        <w:rPr>
          <w:lang w:val="en-US"/>
        </w:rPr>
        <w:t xml:space="preserve">Study Group 1 </w:t>
      </w:r>
      <w:r>
        <w:rPr>
          <w:lang w:val="en-US"/>
        </w:rPr>
        <w:t xml:space="preserve">for the development of this Report, which is of particular importance for the </w:t>
      </w:r>
      <w:r w:rsidRPr="00BD6197">
        <w:rPr>
          <w:lang w:val="en-US"/>
        </w:rPr>
        <w:t>developing countries.</w:t>
      </w:r>
    </w:p>
    <w:p w:rsidR="00E97717" w:rsidRPr="00BD6197" w:rsidRDefault="00E97717" w:rsidP="006F5168">
      <w:pPr>
        <w:rPr>
          <w:lang w:val="en-US"/>
        </w:rPr>
      </w:pPr>
      <w:r w:rsidRPr="00BD6197">
        <w:rPr>
          <w:lang w:val="en-US"/>
        </w:rPr>
        <w:t>Though a number of administrations contributed to the development of this revision, I would like to specifically recognize Mr. </w:t>
      </w:r>
      <w:r>
        <w:rPr>
          <w:lang w:val="en-US"/>
        </w:rPr>
        <w:t>Ruoting Chang (China (</w:t>
      </w:r>
      <w:r w:rsidRPr="00DD26E5">
        <w:rPr>
          <w:lang w:val="en-US"/>
        </w:rPr>
        <w:t>People</w:t>
      </w:r>
      <w:r w:rsidR="006F5168">
        <w:rPr>
          <w:lang w:val="en-US"/>
        </w:rPr>
        <w:t>ʼ</w:t>
      </w:r>
      <w:r w:rsidRPr="00DD26E5">
        <w:rPr>
          <w:lang w:val="en-US"/>
        </w:rPr>
        <w:t>s Republic of)</w:t>
      </w:r>
      <w:r>
        <w:rPr>
          <w:lang w:val="en-US"/>
        </w:rPr>
        <w:t>)</w:t>
      </w:r>
      <w:r w:rsidRPr="00BD6197">
        <w:rPr>
          <w:lang w:val="en-US"/>
        </w:rPr>
        <w:t xml:space="preserve">, Vice-Chairman of Study Group 1 and Chairman of Working Party 1B, and </w:t>
      </w:r>
      <w:r>
        <w:rPr>
          <w:lang w:val="en-US"/>
        </w:rPr>
        <w:t xml:space="preserve">Ms. Gabrielle </w:t>
      </w:r>
      <w:r>
        <w:rPr>
          <w:rFonts w:eastAsia="SimSun"/>
          <w:szCs w:val="24"/>
          <w:lang w:val="en-GB" w:eastAsia="zh-CN"/>
        </w:rPr>
        <w:t>Owen (</w:t>
      </w:r>
      <w:r w:rsidRPr="00DD26E5">
        <w:rPr>
          <w:rFonts w:eastAsia="SimSun"/>
          <w:szCs w:val="24"/>
          <w:lang w:val="en-GB" w:eastAsia="zh-CN"/>
        </w:rPr>
        <w:t>Netherlands (Kingdom of the)</w:t>
      </w:r>
      <w:r>
        <w:rPr>
          <w:rFonts w:eastAsia="SimSun"/>
          <w:szCs w:val="24"/>
          <w:lang w:val="en-GB" w:eastAsia="zh-CN"/>
        </w:rPr>
        <w:t>),</w:t>
      </w:r>
      <w:r w:rsidRPr="00BD6197">
        <w:rPr>
          <w:lang w:val="en-US"/>
        </w:rPr>
        <w:t>Vice-Chairman of Study Group 1</w:t>
      </w:r>
      <w:r>
        <w:rPr>
          <w:lang w:val="en-US"/>
        </w:rPr>
        <w:t xml:space="preserve"> and of </w:t>
      </w:r>
      <w:r w:rsidRPr="00BD6197">
        <w:rPr>
          <w:lang w:val="en-US"/>
        </w:rPr>
        <w:t>Working Party 1</w:t>
      </w:r>
      <w:r>
        <w:rPr>
          <w:lang w:val="en-US"/>
        </w:rPr>
        <w:t xml:space="preserve">A, as well as Mr. </w:t>
      </w:r>
      <w:r w:rsidRPr="00DD26E5">
        <w:rPr>
          <w:lang w:val="en-US"/>
        </w:rPr>
        <w:t>Allen</w:t>
      </w:r>
      <w:r>
        <w:rPr>
          <w:lang w:val="en-US"/>
        </w:rPr>
        <w:t xml:space="preserve"> Yang (</w:t>
      </w:r>
      <w:r w:rsidRPr="00DD26E5">
        <w:rPr>
          <w:lang w:val="en-US"/>
        </w:rPr>
        <w:t>United States of America</w:t>
      </w:r>
      <w:r>
        <w:rPr>
          <w:lang w:val="en-US"/>
        </w:rPr>
        <w:t xml:space="preserve">) and </w:t>
      </w:r>
      <w:r w:rsidRPr="001E420B">
        <w:rPr>
          <w:lang w:val="en-US"/>
        </w:rPr>
        <w:t xml:space="preserve">Ms. </w:t>
      </w:r>
      <w:r w:rsidRPr="003841CC">
        <w:rPr>
          <w:lang w:val="en-US"/>
        </w:rPr>
        <w:t>Tatiana</w:t>
      </w:r>
      <w:r w:rsidRPr="001E420B">
        <w:rPr>
          <w:lang w:val="en-US"/>
        </w:rPr>
        <w:t xml:space="preserve"> </w:t>
      </w:r>
      <w:r>
        <w:rPr>
          <w:lang w:val="en-US"/>
        </w:rPr>
        <w:t xml:space="preserve">Sukhodolskaia </w:t>
      </w:r>
      <w:r w:rsidRPr="00BD6197">
        <w:rPr>
          <w:lang w:val="en-US"/>
        </w:rPr>
        <w:t xml:space="preserve">(Russian Federation), for their leadership in this effort. </w:t>
      </w:r>
    </w:p>
    <w:p w:rsidR="00E97717" w:rsidRPr="00BD6197" w:rsidRDefault="00E97717" w:rsidP="00E97717">
      <w:pPr>
        <w:tabs>
          <w:tab w:val="clear" w:pos="794"/>
          <w:tab w:val="clear" w:pos="1191"/>
          <w:tab w:val="clear" w:pos="1588"/>
          <w:tab w:val="clear" w:pos="1985"/>
          <w:tab w:val="center" w:pos="6521"/>
        </w:tabs>
        <w:spacing w:before="1680"/>
        <w:rPr>
          <w:lang w:val="en-US"/>
        </w:rPr>
      </w:pPr>
      <w:r w:rsidRPr="00BD6197">
        <w:rPr>
          <w:lang w:val="en-US"/>
        </w:rPr>
        <w:tab/>
        <w:t>Sergey Pastukh</w:t>
      </w:r>
      <w:r w:rsidRPr="00BD6197">
        <w:rPr>
          <w:lang w:val="en-US"/>
        </w:rPr>
        <w:br/>
      </w:r>
      <w:r w:rsidRPr="00BD6197">
        <w:rPr>
          <w:lang w:val="en-US"/>
        </w:rPr>
        <w:tab/>
        <w:t>Chairman, Radiocommunication Study Group 1</w:t>
      </w:r>
    </w:p>
    <w:p w:rsidR="00E97717" w:rsidRPr="00BD6197" w:rsidRDefault="00E97717" w:rsidP="00E97717">
      <w:pPr>
        <w:tabs>
          <w:tab w:val="clear" w:pos="794"/>
          <w:tab w:val="clear" w:pos="1191"/>
          <w:tab w:val="clear" w:pos="1588"/>
          <w:tab w:val="clear" w:pos="1985"/>
        </w:tabs>
        <w:overflowPunct/>
        <w:autoSpaceDE/>
        <w:autoSpaceDN/>
        <w:adjustRightInd/>
        <w:spacing w:before="0"/>
        <w:textAlignment w:val="auto"/>
        <w:rPr>
          <w:b/>
          <w:sz w:val="22"/>
          <w:lang w:val="en-US"/>
        </w:rPr>
      </w:pPr>
      <w:r w:rsidRPr="00BD6197">
        <w:rPr>
          <w:lang w:val="en-US"/>
        </w:rPr>
        <w:br w:type="page"/>
      </w:r>
    </w:p>
    <w:p w:rsidR="00E97717" w:rsidRPr="00A01420" w:rsidRDefault="00E97717" w:rsidP="00E97717">
      <w:pPr>
        <w:pStyle w:val="Headingb"/>
        <w:rPr>
          <w:lang w:val="en-US"/>
        </w:rPr>
      </w:pPr>
      <w:bookmarkStart w:id="9" w:name="_Toc289932208"/>
      <w:bookmarkStart w:id="10" w:name="_Toc462233965"/>
      <w:r w:rsidRPr="00A01420">
        <w:rPr>
          <w:lang w:val="en-US"/>
        </w:rPr>
        <w:lastRenderedPageBreak/>
        <w:t>Scope</w:t>
      </w:r>
      <w:bookmarkEnd w:id="9"/>
      <w:bookmarkEnd w:id="10"/>
    </w:p>
    <w:p w:rsidR="00E97717" w:rsidRPr="00BD6197" w:rsidRDefault="00E97717" w:rsidP="00E97717">
      <w:pPr>
        <w:rPr>
          <w:sz w:val="22"/>
          <w:szCs w:val="22"/>
          <w:lang w:val="en-US"/>
        </w:rPr>
      </w:pPr>
      <w:r w:rsidRPr="00BD6197">
        <w:rPr>
          <w:sz w:val="22"/>
          <w:szCs w:val="22"/>
          <w:lang w:val="en-US"/>
        </w:rPr>
        <w:t>The objective of this economic study is to respond to the following issues which are divided into three categories:</w:t>
      </w:r>
    </w:p>
    <w:p w:rsidR="00E97717" w:rsidRPr="00BD6197" w:rsidRDefault="00E97717" w:rsidP="00E97717">
      <w:pPr>
        <w:rPr>
          <w:sz w:val="22"/>
          <w:szCs w:val="22"/>
          <w:lang w:val="en-US"/>
        </w:rPr>
      </w:pPr>
      <w:r w:rsidRPr="00BD6197">
        <w:rPr>
          <w:b/>
          <w:i/>
          <w:iCs/>
          <w:sz w:val="22"/>
          <w:szCs w:val="22"/>
          <w:lang w:val="en-US"/>
        </w:rPr>
        <w:t>Category 1</w:t>
      </w:r>
      <w:r w:rsidRPr="00BD6197">
        <w:rPr>
          <w:bCs/>
          <w:sz w:val="22"/>
          <w:szCs w:val="22"/>
          <w:lang w:val="en-US"/>
        </w:rPr>
        <w:t>:</w:t>
      </w:r>
      <w:r w:rsidRPr="00BD6197">
        <w:rPr>
          <w:sz w:val="22"/>
          <w:szCs w:val="22"/>
          <w:lang w:val="en-US"/>
        </w:rPr>
        <w:tab/>
        <w:t xml:space="preserve"> Strategies for economic approaches to national spectrum management and their financing</w:t>
      </w:r>
    </w:p>
    <w:p w:rsidR="00E97717" w:rsidRPr="00BD6197" w:rsidRDefault="00E97717" w:rsidP="00E97717">
      <w:pPr>
        <w:pStyle w:val="enumlev1"/>
        <w:rPr>
          <w:sz w:val="22"/>
          <w:szCs w:val="22"/>
          <w:lang w:val="en-US"/>
        </w:rPr>
      </w:pPr>
      <w:r w:rsidRPr="00BD6197">
        <w:rPr>
          <w:bCs/>
          <w:sz w:val="22"/>
          <w:szCs w:val="22"/>
          <w:lang w:val="en-US"/>
        </w:rPr>
        <w:t>1.</w:t>
      </w:r>
      <w:r w:rsidRPr="00BD6197">
        <w:rPr>
          <w:sz w:val="22"/>
          <w:szCs w:val="22"/>
          <w:lang w:val="en-US"/>
        </w:rPr>
        <w:tab/>
        <w:t>What are the underlying principles that have been taken into consideration by various administrations in their approaches to financing the maintenance and development of national spectrum management?</w:t>
      </w:r>
    </w:p>
    <w:p w:rsidR="00E97717" w:rsidRPr="00BD6197" w:rsidRDefault="00E97717" w:rsidP="00E97717">
      <w:pPr>
        <w:pStyle w:val="enumlev1"/>
        <w:rPr>
          <w:sz w:val="22"/>
          <w:szCs w:val="22"/>
          <w:lang w:val="en-US"/>
        </w:rPr>
      </w:pPr>
      <w:r w:rsidRPr="00BD6197">
        <w:rPr>
          <w:bCs/>
          <w:sz w:val="22"/>
          <w:szCs w:val="22"/>
          <w:lang w:val="en-US"/>
        </w:rPr>
        <w:t>2.</w:t>
      </w:r>
      <w:r w:rsidRPr="00BD6197">
        <w:rPr>
          <w:sz w:val="22"/>
          <w:szCs w:val="22"/>
          <w:lang w:val="en-US"/>
        </w:rPr>
        <w:tab/>
        <w:t>What economic approaches have been, or are intended to be used to promote efficient national spectrum management in different frequency bands?</w:t>
      </w:r>
    </w:p>
    <w:p w:rsidR="00E97717" w:rsidRPr="00BD6197" w:rsidRDefault="00E97717" w:rsidP="00E97717">
      <w:pPr>
        <w:pStyle w:val="enumlev1"/>
        <w:rPr>
          <w:sz w:val="22"/>
          <w:szCs w:val="22"/>
          <w:lang w:val="en-US"/>
        </w:rPr>
      </w:pPr>
      <w:r w:rsidRPr="00BD6197">
        <w:rPr>
          <w:sz w:val="22"/>
          <w:szCs w:val="22"/>
          <w:lang w:val="en-US"/>
        </w:rPr>
        <w:t>3</w:t>
      </w:r>
      <w:r w:rsidRPr="00BD6197">
        <w:rPr>
          <w:bCs/>
          <w:sz w:val="22"/>
          <w:szCs w:val="22"/>
          <w:lang w:val="en-US"/>
        </w:rPr>
        <w:t>.</w:t>
      </w:r>
      <w:r w:rsidRPr="00BD6197">
        <w:rPr>
          <w:sz w:val="22"/>
          <w:szCs w:val="22"/>
          <w:lang w:val="en-US"/>
        </w:rPr>
        <w:tab/>
        <w:t>What are the advantages and disadvantages of these various economic approaches to national spectrum management?</w:t>
      </w:r>
    </w:p>
    <w:p w:rsidR="00E97717" w:rsidRPr="00BD6197" w:rsidRDefault="00E97717" w:rsidP="00E97717">
      <w:pPr>
        <w:pStyle w:val="enumlev1"/>
        <w:rPr>
          <w:sz w:val="22"/>
          <w:szCs w:val="22"/>
          <w:lang w:val="en-US"/>
        </w:rPr>
      </w:pPr>
      <w:r w:rsidRPr="00BD6197">
        <w:rPr>
          <w:sz w:val="22"/>
          <w:szCs w:val="22"/>
          <w:lang w:val="en-US"/>
        </w:rPr>
        <w:t>4</w:t>
      </w:r>
      <w:r w:rsidRPr="00BD6197">
        <w:rPr>
          <w:bCs/>
          <w:sz w:val="22"/>
          <w:szCs w:val="22"/>
          <w:lang w:val="en-US"/>
        </w:rPr>
        <w:t>.</w:t>
      </w:r>
      <w:r w:rsidRPr="00BD6197">
        <w:rPr>
          <w:sz w:val="22"/>
          <w:szCs w:val="22"/>
          <w:lang w:val="en-US"/>
        </w:rPr>
        <w:tab/>
        <w:t>What are the factors (e.g. geographical, topographical, infrastructural, social, legal) that could affect these approaches and how would they vary with the use of radio in a country and the level of that country’s development?</w:t>
      </w:r>
    </w:p>
    <w:p w:rsidR="00E97717" w:rsidRPr="00BD6197" w:rsidRDefault="00E97717" w:rsidP="00E97717">
      <w:pPr>
        <w:spacing w:before="80"/>
        <w:rPr>
          <w:sz w:val="22"/>
          <w:szCs w:val="22"/>
          <w:lang w:val="en-US"/>
        </w:rPr>
      </w:pPr>
      <w:r w:rsidRPr="00BD6197">
        <w:rPr>
          <w:b/>
          <w:i/>
          <w:sz w:val="22"/>
          <w:szCs w:val="22"/>
          <w:lang w:val="en-US"/>
        </w:rPr>
        <w:t>Category 2</w:t>
      </w:r>
      <w:r w:rsidRPr="00BD6197">
        <w:rPr>
          <w:bCs/>
          <w:iCs/>
          <w:sz w:val="22"/>
          <w:szCs w:val="22"/>
          <w:lang w:val="en-US"/>
        </w:rPr>
        <w:t>:</w:t>
      </w:r>
      <w:r w:rsidRPr="00BD6197">
        <w:rPr>
          <w:i/>
          <w:sz w:val="22"/>
          <w:szCs w:val="22"/>
          <w:lang w:val="en-US"/>
        </w:rPr>
        <w:tab/>
      </w:r>
      <w:r w:rsidRPr="00BD6197">
        <w:rPr>
          <w:sz w:val="22"/>
          <w:szCs w:val="22"/>
          <w:lang w:val="en-US"/>
        </w:rPr>
        <w:t>Assessment, for spectrum planning and strategic development purposes, of the benefits arising from the use of the radio spectrum</w:t>
      </w:r>
    </w:p>
    <w:p w:rsidR="00E97717" w:rsidRPr="00BD6197" w:rsidRDefault="00E97717" w:rsidP="00E97717">
      <w:pPr>
        <w:pStyle w:val="enumlev1"/>
        <w:rPr>
          <w:sz w:val="22"/>
          <w:szCs w:val="22"/>
          <w:lang w:val="en-US"/>
        </w:rPr>
      </w:pPr>
      <w:r w:rsidRPr="00BD6197">
        <w:rPr>
          <w:sz w:val="22"/>
          <w:szCs w:val="22"/>
          <w:lang w:val="en-US"/>
        </w:rPr>
        <w:t>1</w:t>
      </w:r>
      <w:r w:rsidRPr="00BD6197">
        <w:rPr>
          <w:bCs/>
          <w:sz w:val="22"/>
          <w:szCs w:val="22"/>
          <w:lang w:val="en-US"/>
        </w:rPr>
        <w:t>.</w:t>
      </w:r>
      <w:r w:rsidRPr="00BD6197">
        <w:rPr>
          <w:sz w:val="22"/>
          <w:szCs w:val="22"/>
          <w:lang w:val="en-US"/>
        </w:rPr>
        <w:tab/>
        <w:t>What are the benefits that accrue to an administration from the use of radio within its country and how can they be quantified, allowing them to be represented in an economic form so as to enable a comparison of the benefits and costs of particular spectrum management options (e.g. in terms of employment or Gross Domestic Product)?</w:t>
      </w:r>
    </w:p>
    <w:p w:rsidR="00E97717" w:rsidRPr="00BD6197" w:rsidRDefault="00E97717" w:rsidP="00E97717">
      <w:pPr>
        <w:pStyle w:val="enumlev1"/>
        <w:rPr>
          <w:sz w:val="22"/>
          <w:szCs w:val="22"/>
          <w:lang w:val="en-US"/>
        </w:rPr>
      </w:pPr>
      <w:r w:rsidRPr="00BD6197">
        <w:rPr>
          <w:sz w:val="22"/>
          <w:szCs w:val="22"/>
          <w:lang w:val="en-US"/>
        </w:rPr>
        <w:t>2</w:t>
      </w:r>
      <w:r w:rsidRPr="00BD6197">
        <w:rPr>
          <w:bCs/>
          <w:sz w:val="22"/>
          <w:szCs w:val="22"/>
          <w:lang w:val="en-US"/>
        </w:rPr>
        <w:t>.</w:t>
      </w:r>
      <w:r w:rsidRPr="00BD6197">
        <w:rPr>
          <w:sz w:val="22"/>
          <w:szCs w:val="22"/>
          <w:lang w:val="en-US"/>
        </w:rPr>
        <w:tab/>
        <w:t>What models can be used to represent these benefits in an economic form and how can they be validated?</w:t>
      </w:r>
    </w:p>
    <w:p w:rsidR="00E97717" w:rsidRPr="00BD6197" w:rsidRDefault="00E97717" w:rsidP="00E97717">
      <w:pPr>
        <w:pStyle w:val="enumlev1"/>
        <w:rPr>
          <w:sz w:val="22"/>
          <w:szCs w:val="22"/>
          <w:lang w:val="en-US"/>
        </w:rPr>
      </w:pPr>
      <w:r w:rsidRPr="00BD6197">
        <w:rPr>
          <w:sz w:val="22"/>
          <w:szCs w:val="22"/>
          <w:lang w:val="en-US"/>
        </w:rPr>
        <w:t>3</w:t>
      </w:r>
      <w:r w:rsidRPr="00BD6197">
        <w:rPr>
          <w:bCs/>
          <w:sz w:val="22"/>
          <w:szCs w:val="22"/>
          <w:lang w:val="en-US"/>
        </w:rPr>
        <w:t>.</w:t>
      </w:r>
      <w:r w:rsidRPr="00BD6197">
        <w:rPr>
          <w:sz w:val="22"/>
          <w:szCs w:val="22"/>
          <w:lang w:val="en-US"/>
        </w:rPr>
        <w:tab/>
        <w:t>What factors could affect the benefits accruing to an administration from the use of the radio</w:t>
      </w:r>
      <w:r w:rsidRPr="00BD6197">
        <w:rPr>
          <w:sz w:val="22"/>
          <w:szCs w:val="22"/>
          <w:lang w:val="en-US"/>
        </w:rPr>
        <w:noBreakHyphen/>
        <w:t>frequency spectrum, including by national safety services?</w:t>
      </w:r>
    </w:p>
    <w:p w:rsidR="00E97717" w:rsidRPr="00BD6197" w:rsidRDefault="00E97717" w:rsidP="00E97717">
      <w:pPr>
        <w:pStyle w:val="enumlev1"/>
        <w:rPr>
          <w:sz w:val="22"/>
          <w:szCs w:val="22"/>
          <w:lang w:val="en-US"/>
        </w:rPr>
      </w:pPr>
      <w:r w:rsidRPr="00BD6197">
        <w:rPr>
          <w:sz w:val="22"/>
          <w:szCs w:val="22"/>
          <w:lang w:val="en-US"/>
        </w:rPr>
        <w:t>4</w:t>
      </w:r>
      <w:r w:rsidRPr="00BD6197">
        <w:rPr>
          <w:bCs/>
          <w:sz w:val="22"/>
          <w:szCs w:val="22"/>
          <w:lang w:val="en-US"/>
        </w:rPr>
        <w:t>.</w:t>
      </w:r>
      <w:r w:rsidRPr="00BD6197">
        <w:rPr>
          <w:sz w:val="22"/>
          <w:szCs w:val="22"/>
          <w:lang w:val="en-US"/>
        </w:rPr>
        <w:tab/>
        <w:t>How would the factors in § 3 vary from country to country?</w:t>
      </w:r>
    </w:p>
    <w:p w:rsidR="00E97717" w:rsidRPr="00BD6197" w:rsidRDefault="00E97717" w:rsidP="00E97717">
      <w:pPr>
        <w:spacing w:before="80"/>
        <w:rPr>
          <w:sz w:val="22"/>
          <w:szCs w:val="22"/>
          <w:lang w:val="en-US"/>
        </w:rPr>
      </w:pPr>
      <w:r w:rsidRPr="00BD6197">
        <w:rPr>
          <w:b/>
          <w:i/>
          <w:iCs/>
          <w:sz w:val="22"/>
          <w:szCs w:val="22"/>
          <w:lang w:val="en-US"/>
        </w:rPr>
        <w:t>Category 3</w:t>
      </w:r>
      <w:r w:rsidRPr="00BD6197">
        <w:rPr>
          <w:bCs/>
          <w:sz w:val="22"/>
          <w:szCs w:val="22"/>
          <w:lang w:val="en-US"/>
        </w:rPr>
        <w:t>:</w:t>
      </w:r>
      <w:r w:rsidRPr="00BD6197">
        <w:rPr>
          <w:sz w:val="22"/>
          <w:szCs w:val="22"/>
          <w:lang w:val="en-US"/>
        </w:rPr>
        <w:tab/>
        <w:t>Alternative methods of national spectrum management</w:t>
      </w:r>
    </w:p>
    <w:p w:rsidR="00E97717" w:rsidRPr="00BD6197" w:rsidRDefault="00E97717" w:rsidP="00E97717">
      <w:pPr>
        <w:pStyle w:val="enumlev1"/>
        <w:rPr>
          <w:sz w:val="22"/>
          <w:szCs w:val="22"/>
          <w:lang w:val="en-US"/>
        </w:rPr>
      </w:pPr>
      <w:r w:rsidRPr="00BD6197">
        <w:rPr>
          <w:bCs/>
          <w:sz w:val="22"/>
          <w:szCs w:val="22"/>
          <w:lang w:val="en-US"/>
        </w:rPr>
        <w:t>1.</w:t>
      </w:r>
      <w:r w:rsidRPr="00BD6197">
        <w:rPr>
          <w:sz w:val="22"/>
          <w:szCs w:val="22"/>
          <w:lang w:val="en-US"/>
        </w:rPr>
        <w:tab/>
        <w:t>What are alternative spectrum management approaches including the use of non-profit making user groups and private sector spectrum management organizations?</w:t>
      </w:r>
    </w:p>
    <w:p w:rsidR="00E97717" w:rsidRPr="00BD6197" w:rsidRDefault="00E97717" w:rsidP="00E97717">
      <w:pPr>
        <w:pStyle w:val="enumlev1"/>
        <w:rPr>
          <w:sz w:val="22"/>
          <w:szCs w:val="22"/>
          <w:lang w:val="en-US"/>
        </w:rPr>
      </w:pPr>
      <w:r w:rsidRPr="00BD6197">
        <w:rPr>
          <w:sz w:val="22"/>
          <w:szCs w:val="22"/>
          <w:lang w:val="en-US"/>
        </w:rPr>
        <w:t>2</w:t>
      </w:r>
      <w:r w:rsidRPr="00BD6197">
        <w:rPr>
          <w:bCs/>
          <w:sz w:val="22"/>
          <w:szCs w:val="22"/>
          <w:lang w:val="en-US"/>
        </w:rPr>
        <w:t>.</w:t>
      </w:r>
      <w:r w:rsidRPr="00BD6197">
        <w:rPr>
          <w:sz w:val="22"/>
          <w:szCs w:val="22"/>
          <w:lang w:val="en-US"/>
        </w:rPr>
        <w:tab/>
        <w:t>How can these approaches be categorized?</w:t>
      </w:r>
    </w:p>
    <w:p w:rsidR="00E97717" w:rsidRPr="00BD6197" w:rsidRDefault="00E97717" w:rsidP="00E97717">
      <w:pPr>
        <w:pStyle w:val="enumlev1"/>
        <w:rPr>
          <w:sz w:val="22"/>
          <w:szCs w:val="22"/>
          <w:lang w:val="en-US"/>
        </w:rPr>
      </w:pPr>
      <w:r w:rsidRPr="00BD6197">
        <w:rPr>
          <w:sz w:val="22"/>
          <w:szCs w:val="22"/>
          <w:lang w:val="en-US"/>
        </w:rPr>
        <w:t>3</w:t>
      </w:r>
      <w:r w:rsidRPr="00BD6197">
        <w:rPr>
          <w:bCs/>
          <w:sz w:val="22"/>
          <w:szCs w:val="22"/>
          <w:lang w:val="en-US"/>
        </w:rPr>
        <w:t>.</w:t>
      </w:r>
      <w:r w:rsidRPr="00BD6197">
        <w:rPr>
          <w:sz w:val="22"/>
          <w:szCs w:val="22"/>
          <w:lang w:val="en-US"/>
        </w:rPr>
        <w:tab/>
        <w:t>Which of these alternative spectrum management approaches would be responsive to the needs of the developing countries as well as for the least developed ones?</w:t>
      </w:r>
    </w:p>
    <w:p w:rsidR="00E97717" w:rsidRPr="00BD6197" w:rsidRDefault="00E97717" w:rsidP="00E97717">
      <w:pPr>
        <w:pStyle w:val="enumlev1"/>
        <w:rPr>
          <w:sz w:val="22"/>
          <w:szCs w:val="22"/>
          <w:lang w:val="en-US"/>
        </w:rPr>
      </w:pPr>
      <w:r w:rsidRPr="00BD6197">
        <w:rPr>
          <w:sz w:val="22"/>
          <w:szCs w:val="22"/>
          <w:lang w:val="en-US"/>
        </w:rPr>
        <w:t>4</w:t>
      </w:r>
      <w:r w:rsidRPr="00BD6197">
        <w:rPr>
          <w:bCs/>
          <w:sz w:val="22"/>
          <w:szCs w:val="22"/>
          <w:lang w:val="en-US"/>
        </w:rPr>
        <w:t>.</w:t>
      </w:r>
      <w:r w:rsidRPr="00BD6197">
        <w:rPr>
          <w:sz w:val="22"/>
          <w:szCs w:val="22"/>
          <w:lang w:val="en-US"/>
        </w:rPr>
        <w:tab/>
        <w:t>What measures, of a technical, operational and regulatory nature, would it be necessary for an administration to consider implementing when adopting one or more of these spectrum management approaches in the context of:</w:t>
      </w:r>
    </w:p>
    <w:p w:rsidR="00E97717" w:rsidRPr="00BD6197" w:rsidRDefault="00E97717" w:rsidP="00E97717">
      <w:pPr>
        <w:pStyle w:val="enumlev2"/>
        <w:rPr>
          <w:sz w:val="22"/>
          <w:szCs w:val="22"/>
          <w:lang w:val="en-US"/>
        </w:rPr>
      </w:pPr>
      <w:r w:rsidRPr="00BD6197">
        <w:rPr>
          <w:sz w:val="22"/>
          <w:szCs w:val="22"/>
          <w:lang w:val="en-US"/>
        </w:rPr>
        <w:t>–</w:t>
      </w:r>
      <w:r w:rsidRPr="00BD6197">
        <w:rPr>
          <w:sz w:val="22"/>
          <w:szCs w:val="22"/>
          <w:lang w:val="en-US"/>
        </w:rPr>
        <w:tab/>
        <w:t>the country’s infrastructure;</w:t>
      </w:r>
    </w:p>
    <w:p w:rsidR="00E97717" w:rsidRPr="00BD6197" w:rsidRDefault="00E97717" w:rsidP="00E97717">
      <w:pPr>
        <w:pStyle w:val="enumlev2"/>
        <w:spacing w:before="60"/>
        <w:rPr>
          <w:sz w:val="22"/>
          <w:szCs w:val="22"/>
          <w:lang w:val="en-US"/>
        </w:rPr>
      </w:pPr>
      <w:r w:rsidRPr="00BD6197">
        <w:rPr>
          <w:sz w:val="22"/>
          <w:szCs w:val="22"/>
          <w:lang w:val="en-US"/>
        </w:rPr>
        <w:t>–</w:t>
      </w:r>
      <w:r w:rsidRPr="00BD6197">
        <w:rPr>
          <w:sz w:val="22"/>
          <w:szCs w:val="22"/>
          <w:lang w:val="en-US"/>
        </w:rPr>
        <w:tab/>
        <w:t>national spectrum management;</w:t>
      </w:r>
    </w:p>
    <w:p w:rsidR="00E97717" w:rsidRPr="00BD6197" w:rsidRDefault="00E97717" w:rsidP="00E97717">
      <w:pPr>
        <w:pStyle w:val="enumlev2"/>
        <w:spacing w:before="60"/>
        <w:rPr>
          <w:sz w:val="22"/>
          <w:szCs w:val="22"/>
          <w:lang w:val="en-US"/>
        </w:rPr>
      </w:pPr>
      <w:r w:rsidRPr="00BD6197">
        <w:rPr>
          <w:sz w:val="22"/>
          <w:szCs w:val="22"/>
          <w:lang w:val="en-US"/>
        </w:rPr>
        <w:t>–</w:t>
      </w:r>
      <w:r w:rsidRPr="00BD6197">
        <w:rPr>
          <w:sz w:val="22"/>
          <w:szCs w:val="22"/>
          <w:lang w:val="en-US"/>
        </w:rPr>
        <w:tab/>
        <w:t>regional and international aspects (e.g. notification, coordination, monitoring)?</w:t>
      </w:r>
    </w:p>
    <w:p w:rsidR="00E97717" w:rsidRPr="00BD6197" w:rsidRDefault="00E97717" w:rsidP="00E97717">
      <w:pPr>
        <w:rPr>
          <w:sz w:val="22"/>
          <w:szCs w:val="22"/>
          <w:lang w:val="en-US"/>
        </w:rPr>
      </w:pPr>
      <w:r w:rsidRPr="00BD6197">
        <w:rPr>
          <w:sz w:val="22"/>
          <w:szCs w:val="22"/>
          <w:lang w:val="en-US"/>
        </w:rPr>
        <w:t>Further information is likely to be submitted that is relevant to this Report and that information will be included in future revisions as appropriate.</w:t>
      </w:r>
    </w:p>
    <w:p w:rsidR="00E97717" w:rsidRPr="00BD6197" w:rsidRDefault="00E97717" w:rsidP="00E97717">
      <w:pPr>
        <w:rPr>
          <w:lang w:val="en-US"/>
        </w:rPr>
      </w:pPr>
      <w:bookmarkStart w:id="11" w:name="_Toc459746613"/>
      <w:bookmarkStart w:id="12" w:name="_Toc459792541"/>
      <w:bookmarkStart w:id="13" w:name="_Toc459793712"/>
      <w:bookmarkStart w:id="14" w:name="_Toc459793854"/>
      <w:bookmarkStart w:id="15" w:name="_Toc459970352"/>
      <w:r w:rsidRPr="00BD6197">
        <w:rPr>
          <w:lang w:val="en-US"/>
        </w:rPr>
        <w:br w:type="page"/>
      </w:r>
      <w:bookmarkStart w:id="16" w:name="_Toc289868741"/>
      <w:bookmarkStart w:id="17" w:name="_Toc289868901"/>
      <w:bookmarkStart w:id="18" w:name="_Toc289932209"/>
      <w:bookmarkStart w:id="19" w:name="_Toc289933255"/>
      <w:bookmarkStart w:id="20" w:name="_Toc291852818"/>
    </w:p>
    <w:p w:rsidR="00E97717" w:rsidRPr="00BD6197" w:rsidRDefault="00E97717" w:rsidP="00E97717">
      <w:pPr>
        <w:pStyle w:val="ChapNo"/>
        <w:spacing w:before="0"/>
        <w:rPr>
          <w:lang w:val="en-US"/>
        </w:rPr>
      </w:pPr>
      <w:bookmarkStart w:id="21" w:name="_Toc462233966"/>
      <w:bookmarkStart w:id="22" w:name="_Toc518394130"/>
      <w:r w:rsidRPr="00BD6197">
        <w:rPr>
          <w:lang w:val="en-US"/>
        </w:rPr>
        <w:lastRenderedPageBreak/>
        <w:t>CHAPTER 1</w:t>
      </w:r>
      <w:bookmarkEnd w:id="11"/>
      <w:bookmarkEnd w:id="12"/>
      <w:bookmarkEnd w:id="13"/>
      <w:bookmarkEnd w:id="14"/>
      <w:bookmarkEnd w:id="15"/>
      <w:bookmarkEnd w:id="16"/>
      <w:bookmarkEnd w:id="17"/>
      <w:bookmarkEnd w:id="18"/>
      <w:bookmarkEnd w:id="19"/>
      <w:bookmarkEnd w:id="20"/>
      <w:bookmarkEnd w:id="21"/>
      <w:bookmarkEnd w:id="22"/>
    </w:p>
    <w:p w:rsidR="00E97717" w:rsidRPr="00BD6197" w:rsidRDefault="00E97717" w:rsidP="00E97717">
      <w:pPr>
        <w:pStyle w:val="Chaptitle"/>
        <w:rPr>
          <w:lang w:val="en-US"/>
        </w:rPr>
      </w:pPr>
      <w:bookmarkStart w:id="23" w:name="_Toc459746614"/>
      <w:bookmarkStart w:id="24" w:name="_Toc459792542"/>
      <w:bookmarkStart w:id="25" w:name="_Toc459793713"/>
      <w:bookmarkStart w:id="26" w:name="_Toc459793855"/>
      <w:bookmarkStart w:id="27" w:name="_Toc459970353"/>
      <w:bookmarkStart w:id="28" w:name="_Toc289868742"/>
      <w:bookmarkStart w:id="29" w:name="_Toc289868902"/>
      <w:bookmarkStart w:id="30" w:name="_Toc289932210"/>
      <w:bookmarkStart w:id="31" w:name="_Toc289933256"/>
      <w:bookmarkStart w:id="32" w:name="_Toc291852819"/>
      <w:bookmarkStart w:id="33" w:name="_Toc454284798"/>
      <w:bookmarkStart w:id="34" w:name="_Toc462233967"/>
      <w:bookmarkStart w:id="35" w:name="_Toc518394131"/>
      <w:r w:rsidRPr="00BD6197">
        <w:rPr>
          <w:lang w:val="en-US"/>
        </w:rPr>
        <w:t>Introduction to economic considerations</w:t>
      </w:r>
      <w:bookmarkEnd w:id="23"/>
      <w:bookmarkEnd w:id="24"/>
      <w:bookmarkEnd w:id="25"/>
      <w:bookmarkEnd w:id="26"/>
      <w:bookmarkEnd w:id="27"/>
      <w:bookmarkEnd w:id="28"/>
      <w:bookmarkEnd w:id="29"/>
      <w:bookmarkEnd w:id="30"/>
      <w:bookmarkEnd w:id="31"/>
      <w:bookmarkEnd w:id="32"/>
      <w:bookmarkEnd w:id="33"/>
      <w:bookmarkEnd w:id="34"/>
      <w:bookmarkEnd w:id="35"/>
    </w:p>
    <w:p w:rsidR="00E97717" w:rsidRPr="00BD6197" w:rsidRDefault="00E97717" w:rsidP="00E97717">
      <w:pPr>
        <w:pStyle w:val="Heading2"/>
        <w:rPr>
          <w:lang w:val="en-US"/>
        </w:rPr>
      </w:pPr>
      <w:bookmarkStart w:id="36" w:name="_Toc394385955"/>
      <w:bookmarkStart w:id="37" w:name="_Toc394386042"/>
      <w:bookmarkStart w:id="38" w:name="_Toc395503146"/>
      <w:bookmarkStart w:id="39" w:name="_Toc459746615"/>
      <w:bookmarkStart w:id="40" w:name="_Toc459792543"/>
      <w:bookmarkStart w:id="41" w:name="_Toc459793714"/>
      <w:bookmarkStart w:id="42" w:name="_Toc459793856"/>
      <w:bookmarkStart w:id="43" w:name="_Toc459970354"/>
      <w:bookmarkStart w:id="44" w:name="_Toc497033091"/>
      <w:bookmarkStart w:id="45" w:name="_Toc497033889"/>
      <w:bookmarkStart w:id="46" w:name="_Toc289868743"/>
      <w:bookmarkStart w:id="47" w:name="_Toc289868903"/>
      <w:bookmarkStart w:id="48" w:name="_Toc289932211"/>
      <w:bookmarkStart w:id="49" w:name="_Toc289933257"/>
      <w:bookmarkStart w:id="50" w:name="_Toc291852820"/>
      <w:bookmarkStart w:id="51" w:name="_Toc392515812"/>
      <w:bookmarkStart w:id="52" w:name="_Toc462233968"/>
      <w:bookmarkStart w:id="53" w:name="_Toc518394132"/>
      <w:r w:rsidRPr="00BD6197">
        <w:rPr>
          <w:lang w:val="en-US"/>
        </w:rPr>
        <w:t>1.1</w:t>
      </w:r>
      <w:r w:rsidRPr="00BD6197">
        <w:rPr>
          <w:lang w:val="en-US"/>
        </w:rPr>
        <w:tab/>
        <w:t>Need for spectrum economic approach</w:t>
      </w:r>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p>
    <w:p w:rsidR="00E97717" w:rsidRPr="00BD6197" w:rsidRDefault="00E97717" w:rsidP="00E97717">
      <w:pPr>
        <w:rPr>
          <w:lang w:val="en-US"/>
        </w:rPr>
      </w:pPr>
      <w:r w:rsidRPr="00BD6197">
        <w:rPr>
          <w:lang w:val="en-US"/>
        </w:rPr>
        <w:t>The increasing use of new technologies has produced tremendous opportunities for improving the communications infrastructure of a country and the country’s economy. Further, the ongoing technological developments have opened the door to a variety of new spectrum applications. These developments, though often making spectrum use more efficient, have spurred greater interest and demand for the limited spectrum resource. Thus, the efficient and effective management of the spectrum, while crucial to making the most of the opportunities that the spectrum resource represents, grows more complex. Improved data handling capabilities and engineering analysis methods are key to accommodating the number and variety of users seeking access to the spectrum resource. If the spectrum resource is to be used efficiently and effectively, the sharing of the available spectrum has to be coordinated among users in accordance with national regulations within national boundaries and in accordance with the Radio Regulations (RR) of the International Telecommunication Union (ITU) for international use. The ability of each nation to take full advantage of the spectrum resource depends heavily on spectrum managers facilitating the implementation of radio systems, and ensuring their compatible operation. Furthermore, the imbalance between the demand for radio frequencies and the availability of spectrum keeps growing, especially in urban areas. According to economic theory, when demand exceeds supply, a price system should be implemented. As the frequency spectrum is a scarce resource, decisions concerning spectrum management should also consider the economic point of view. Therefore, to improve national spectrum management all available means including economic methods are needed.</w:t>
      </w:r>
    </w:p>
    <w:p w:rsidR="00E97717" w:rsidRPr="00BD6197" w:rsidRDefault="00E97717" w:rsidP="00E97717">
      <w:pPr>
        <w:rPr>
          <w:lang w:val="en-US"/>
        </w:rPr>
      </w:pPr>
      <w:r w:rsidRPr="00BD6197">
        <w:rPr>
          <w:lang w:val="en-US"/>
        </w:rPr>
        <w:t>This Report has been developed to assist administrations in the development of strategies on economic approaches to national spectrum management and their financing. In addition, the Report presents a discussion of the benefits of spectrum planning and strategic development and the methods of technical support for national spectrum management. These approaches not only promote economic efficiency but can also promote technical and administrative efficiency.</w:t>
      </w:r>
    </w:p>
    <w:p w:rsidR="00E97717" w:rsidRPr="00BD6197" w:rsidRDefault="00E97717" w:rsidP="00E97717">
      <w:pPr>
        <w:rPr>
          <w:lang w:val="en-US"/>
        </w:rPr>
      </w:pPr>
      <w:r w:rsidRPr="00BD6197">
        <w:rPr>
          <w:lang w:val="en-US"/>
        </w:rPr>
        <w:t>Before the economic approaches can be discussed it is first necessary to consider what is an effective spectrum management system and what areas of spectrum management can be appropriately supported by other means.</w:t>
      </w:r>
    </w:p>
    <w:p w:rsidR="00E97717" w:rsidRPr="00BD6197" w:rsidRDefault="00E97717" w:rsidP="00E97717">
      <w:pPr>
        <w:pStyle w:val="Heading2"/>
        <w:rPr>
          <w:lang w:val="en-US"/>
        </w:rPr>
      </w:pPr>
      <w:bookmarkStart w:id="54" w:name="_Toc394385956"/>
      <w:bookmarkStart w:id="55" w:name="_Toc394386043"/>
      <w:bookmarkStart w:id="56" w:name="_Toc395503147"/>
      <w:bookmarkStart w:id="57" w:name="_Toc459746616"/>
      <w:bookmarkStart w:id="58" w:name="_Toc459792544"/>
      <w:bookmarkStart w:id="59" w:name="_Toc459793715"/>
      <w:bookmarkStart w:id="60" w:name="_Toc459793857"/>
      <w:bookmarkStart w:id="61" w:name="_Toc459970355"/>
      <w:bookmarkStart w:id="62" w:name="_Toc497033092"/>
      <w:bookmarkStart w:id="63" w:name="_Toc497033890"/>
      <w:bookmarkStart w:id="64" w:name="_Toc289868744"/>
      <w:bookmarkStart w:id="65" w:name="_Toc289868904"/>
      <w:bookmarkStart w:id="66" w:name="_Toc289932212"/>
      <w:bookmarkStart w:id="67" w:name="_Toc289933258"/>
      <w:bookmarkStart w:id="68" w:name="_Toc291852821"/>
      <w:bookmarkStart w:id="69" w:name="_Toc392515813"/>
      <w:bookmarkStart w:id="70" w:name="_Toc462233969"/>
      <w:bookmarkStart w:id="71" w:name="_Toc518394133"/>
      <w:r w:rsidRPr="00BD6197">
        <w:rPr>
          <w:lang w:val="en-US"/>
        </w:rPr>
        <w:t>1.2</w:t>
      </w:r>
      <w:r w:rsidRPr="00BD6197">
        <w:rPr>
          <w:lang w:val="en-US"/>
        </w:rPr>
        <w:tab/>
        <w:t>Requirements for national spectrum management</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rsidR="00E97717" w:rsidRPr="00BD6197" w:rsidRDefault="00E97717" w:rsidP="00E97717">
      <w:pPr>
        <w:rPr>
          <w:lang w:val="en-US"/>
        </w:rPr>
      </w:pPr>
      <w:r w:rsidRPr="00BD6197">
        <w:rPr>
          <w:lang w:val="en-US"/>
        </w:rPr>
        <w:t>Effective management of the spectrum resource depends on a number of fundamental elements. Although no two administrations are likely to manage the spectrum in exactly the same manner, and the relative importance of these fundamental elements may be dependent on an administration’s use of the spectrum, they are essential to all approaches. For further information on spectrum management functions see the ITU Handbook on National spectrum management.</w:t>
      </w:r>
    </w:p>
    <w:p w:rsidR="00E97717" w:rsidRPr="00BD6197" w:rsidRDefault="00E97717" w:rsidP="00E97717">
      <w:pPr>
        <w:pStyle w:val="Heading2"/>
        <w:rPr>
          <w:lang w:val="en-US"/>
        </w:rPr>
      </w:pPr>
      <w:bookmarkStart w:id="72" w:name="_Toc394385957"/>
      <w:bookmarkStart w:id="73" w:name="_Toc394386044"/>
      <w:bookmarkStart w:id="74" w:name="_Toc395503148"/>
      <w:bookmarkStart w:id="75" w:name="_Toc459746617"/>
      <w:bookmarkStart w:id="76" w:name="_Toc459792545"/>
      <w:bookmarkStart w:id="77" w:name="_Toc459793716"/>
      <w:bookmarkStart w:id="78" w:name="_Toc459793858"/>
      <w:bookmarkStart w:id="79" w:name="_Toc459970356"/>
      <w:bookmarkStart w:id="80" w:name="_Toc497033093"/>
      <w:bookmarkStart w:id="81" w:name="_Toc497033891"/>
      <w:bookmarkStart w:id="82" w:name="_Toc289868745"/>
      <w:bookmarkStart w:id="83" w:name="_Toc289868905"/>
      <w:bookmarkStart w:id="84" w:name="_Toc289932213"/>
      <w:bookmarkStart w:id="85" w:name="_Toc289933259"/>
      <w:bookmarkStart w:id="86" w:name="_Toc291852822"/>
      <w:bookmarkStart w:id="87" w:name="_Toc392515814"/>
      <w:bookmarkStart w:id="88" w:name="_Toc462233970"/>
      <w:bookmarkStart w:id="89" w:name="_Toc518394134"/>
      <w:r w:rsidRPr="00BD6197">
        <w:rPr>
          <w:lang w:val="en-US"/>
        </w:rPr>
        <w:lastRenderedPageBreak/>
        <w:t>1.3</w:t>
      </w:r>
      <w:r w:rsidRPr="00BD6197">
        <w:rPr>
          <w:lang w:val="en-US"/>
        </w:rPr>
        <w:tab/>
        <w:t>Goals and objectives</w:t>
      </w:r>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rsidR="00E97717" w:rsidRPr="00BD6197" w:rsidRDefault="00E97717" w:rsidP="00E97717">
      <w:pPr>
        <w:keepNext/>
        <w:keepLines/>
        <w:rPr>
          <w:lang w:val="en-US"/>
        </w:rPr>
      </w:pPr>
      <w:r w:rsidRPr="00BD6197">
        <w:rPr>
          <w:lang w:val="en-US"/>
        </w:rPr>
        <w:t>In general, the goals and objectives of the spectrum management system are to facilitate the use of the radio spectrum within the ITU Radio Regulations and in the national interest. The spectrum management system must ensure that adequate spectrum is provided over both the short and long term for public service organizations to fulfil their missions for public correspondence, for private sector business communications, and for broadcasting information to the public. Many administrations also place high priorities on spectrum for research and amateur activities.</w:t>
      </w:r>
    </w:p>
    <w:p w:rsidR="00E97717" w:rsidRPr="00BD6197" w:rsidRDefault="00E97717" w:rsidP="00E97717">
      <w:pPr>
        <w:rPr>
          <w:lang w:val="en-US"/>
        </w:rPr>
      </w:pPr>
      <w:r w:rsidRPr="00BD6197">
        <w:rPr>
          <w:lang w:val="en-US"/>
        </w:rPr>
        <w:t>In order to accomplish these goals, the spectrum management system must provide an orderly method for allocating frequency bands, authorizing and recording frequency use, establishing regulations and standards to govern spectrum use, resolving spectrum conflicts, and representing national interests in international fora.</w:t>
      </w:r>
    </w:p>
    <w:p w:rsidR="00E97717" w:rsidRPr="00BD6197" w:rsidRDefault="00E97717" w:rsidP="00E97717">
      <w:pPr>
        <w:pStyle w:val="Heading3"/>
        <w:rPr>
          <w:lang w:val="en-US"/>
        </w:rPr>
      </w:pPr>
      <w:bookmarkStart w:id="90" w:name="_Toc394385958"/>
      <w:bookmarkStart w:id="91" w:name="_Toc394386045"/>
      <w:bookmarkStart w:id="92" w:name="_Toc395503149"/>
      <w:bookmarkStart w:id="93" w:name="_Toc459746618"/>
      <w:bookmarkStart w:id="94" w:name="_Toc459792546"/>
      <w:bookmarkStart w:id="95" w:name="_Toc459793717"/>
      <w:bookmarkStart w:id="96" w:name="_Toc459793859"/>
      <w:bookmarkStart w:id="97" w:name="_Toc459970357"/>
      <w:bookmarkStart w:id="98" w:name="_Toc497033094"/>
      <w:bookmarkStart w:id="99" w:name="_Toc497033892"/>
      <w:bookmarkStart w:id="100" w:name="_Toc289868746"/>
      <w:bookmarkStart w:id="101" w:name="_Toc289868906"/>
      <w:bookmarkStart w:id="102" w:name="_Toc289932214"/>
      <w:bookmarkStart w:id="103" w:name="_Toc289933260"/>
      <w:bookmarkStart w:id="104" w:name="_Toc291852823"/>
      <w:bookmarkStart w:id="105" w:name="_Toc392515815"/>
      <w:bookmarkStart w:id="106" w:name="_Toc462233971"/>
      <w:bookmarkStart w:id="107" w:name="_Toc518394135"/>
      <w:r w:rsidRPr="00BD6197">
        <w:rPr>
          <w:lang w:val="en-US"/>
        </w:rPr>
        <w:t>1.3.1</w:t>
      </w:r>
      <w:r w:rsidRPr="00BD6197">
        <w:rPr>
          <w:lang w:val="en-US"/>
        </w:rPr>
        <w:tab/>
        <w:t>Radiocommunications law</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rsidR="00E97717" w:rsidRPr="00BD6197" w:rsidRDefault="00E97717" w:rsidP="00E97717">
      <w:pPr>
        <w:rPr>
          <w:lang w:val="en-US"/>
        </w:rPr>
      </w:pPr>
      <w:r w:rsidRPr="00BD6197">
        <w:rPr>
          <w:lang w:val="en-US"/>
        </w:rPr>
        <w:t>The use and regulation of radiocommunications must be covered within each nation’s laws. In areas where radiocommunications use is not extensive, and where the need for management of the spectrum may not yet be crucial, national governments must still anticipate the increase of radio use and ensure that an adequate legal structure is in place.</w:t>
      </w:r>
    </w:p>
    <w:p w:rsidR="00E97717" w:rsidRPr="00BD6197" w:rsidRDefault="00E97717" w:rsidP="00E97717">
      <w:pPr>
        <w:pStyle w:val="Heading3"/>
        <w:rPr>
          <w:lang w:val="en-US"/>
        </w:rPr>
      </w:pPr>
      <w:bookmarkStart w:id="108" w:name="_Toc394385959"/>
      <w:bookmarkStart w:id="109" w:name="_Toc394386046"/>
      <w:bookmarkStart w:id="110" w:name="_Toc395503150"/>
      <w:bookmarkStart w:id="111" w:name="_Toc459746619"/>
      <w:bookmarkStart w:id="112" w:name="_Toc459792547"/>
      <w:bookmarkStart w:id="113" w:name="_Toc459793718"/>
      <w:bookmarkStart w:id="114" w:name="_Toc459793860"/>
      <w:bookmarkStart w:id="115" w:name="_Toc459970358"/>
      <w:bookmarkStart w:id="116" w:name="_Toc497033095"/>
      <w:bookmarkStart w:id="117" w:name="_Toc497033893"/>
      <w:bookmarkStart w:id="118" w:name="_Toc289868747"/>
      <w:bookmarkStart w:id="119" w:name="_Toc289868907"/>
      <w:bookmarkStart w:id="120" w:name="_Toc289932215"/>
      <w:bookmarkStart w:id="121" w:name="_Toc289933261"/>
      <w:bookmarkStart w:id="122" w:name="_Toc291852824"/>
      <w:bookmarkStart w:id="123" w:name="_Toc392515816"/>
      <w:bookmarkStart w:id="124" w:name="_Toc462233972"/>
      <w:bookmarkStart w:id="125" w:name="_Toc518394136"/>
      <w:r w:rsidRPr="00BD6197">
        <w:rPr>
          <w:lang w:val="en-US"/>
        </w:rPr>
        <w:t>1.3.2</w:t>
      </w:r>
      <w:r w:rsidRPr="00BD6197">
        <w:rPr>
          <w:lang w:val="en-US"/>
        </w:rPr>
        <w:tab/>
        <w:t>National allocation tables</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p>
    <w:p w:rsidR="00E97717" w:rsidRPr="00BD6197" w:rsidRDefault="00E97717" w:rsidP="00E97717">
      <w:pPr>
        <w:rPr>
          <w:lang w:val="en-US"/>
        </w:rPr>
      </w:pPr>
      <w:r w:rsidRPr="00BD6197">
        <w:rPr>
          <w:lang w:val="en-US"/>
        </w:rPr>
        <w:t>A national table of frequency allocations provides a foundation for an effective spectrum management process. It provides a general plan for spectrum use and the basic structure to ensure efficient use of the spectrum and the prevention of RF interference between services nationally and internationally.</w:t>
      </w:r>
    </w:p>
    <w:p w:rsidR="00E97717" w:rsidRPr="00BD6197" w:rsidRDefault="00E97717" w:rsidP="00E97717">
      <w:pPr>
        <w:pStyle w:val="Heading2"/>
        <w:rPr>
          <w:lang w:val="en-US"/>
        </w:rPr>
      </w:pPr>
      <w:bookmarkStart w:id="126" w:name="_Toc394385960"/>
      <w:bookmarkStart w:id="127" w:name="_Toc394386047"/>
      <w:bookmarkStart w:id="128" w:name="_Toc395503151"/>
      <w:bookmarkStart w:id="129" w:name="_Toc459746620"/>
      <w:bookmarkStart w:id="130" w:name="_Toc459792548"/>
      <w:bookmarkStart w:id="131" w:name="_Toc459793719"/>
      <w:bookmarkStart w:id="132" w:name="_Toc459793861"/>
      <w:bookmarkStart w:id="133" w:name="_Toc459970359"/>
      <w:bookmarkStart w:id="134" w:name="_Toc497033096"/>
      <w:bookmarkStart w:id="135" w:name="_Toc497033894"/>
      <w:bookmarkStart w:id="136" w:name="_Toc289868748"/>
      <w:bookmarkStart w:id="137" w:name="_Toc289868908"/>
      <w:bookmarkStart w:id="138" w:name="_Toc289932216"/>
      <w:bookmarkStart w:id="139" w:name="_Toc289933262"/>
      <w:bookmarkStart w:id="140" w:name="_Toc291852825"/>
      <w:bookmarkStart w:id="141" w:name="_Toc392515817"/>
      <w:bookmarkStart w:id="142" w:name="_Toc462233973"/>
      <w:bookmarkStart w:id="143" w:name="_Toc518394137"/>
      <w:r w:rsidRPr="00BD6197">
        <w:rPr>
          <w:lang w:val="en-US"/>
        </w:rPr>
        <w:t>1.4</w:t>
      </w:r>
      <w:r w:rsidRPr="00BD6197">
        <w:rPr>
          <w:lang w:val="en-US"/>
        </w:rPr>
        <w:tab/>
        <w:t>Structure and coordination</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E97717" w:rsidRPr="00BD6197" w:rsidRDefault="00E97717" w:rsidP="00E97717">
      <w:pPr>
        <w:rPr>
          <w:lang w:val="en-US"/>
        </w:rPr>
      </w:pPr>
      <w:r w:rsidRPr="00BD6197">
        <w:rPr>
          <w:lang w:val="en-US"/>
        </w:rPr>
        <w:t>Spectrum management activities may be performed by a government body or by a combination of government bodies and private sector organizations. Which government bodies or organizations are given the authority to manage the spectrum, will however, depend upon the structure of the national government itself and will vary from country to country.</w:t>
      </w:r>
    </w:p>
    <w:p w:rsidR="00E97717" w:rsidRPr="00BD6197" w:rsidRDefault="00E97717" w:rsidP="00E97717">
      <w:pPr>
        <w:pStyle w:val="Heading2"/>
        <w:rPr>
          <w:lang w:val="en-US"/>
        </w:rPr>
      </w:pPr>
      <w:bookmarkStart w:id="144" w:name="_Toc394385962"/>
      <w:bookmarkStart w:id="145" w:name="_Toc394386049"/>
      <w:bookmarkStart w:id="146" w:name="_Toc395503153"/>
      <w:bookmarkStart w:id="147" w:name="_Toc459746622"/>
      <w:bookmarkStart w:id="148" w:name="_Toc459792550"/>
      <w:bookmarkStart w:id="149" w:name="_Toc459793721"/>
      <w:bookmarkStart w:id="150" w:name="_Toc459793863"/>
      <w:bookmarkStart w:id="151" w:name="_Toc459970361"/>
      <w:bookmarkStart w:id="152" w:name="_Toc497033098"/>
      <w:bookmarkStart w:id="153" w:name="_Toc497033896"/>
      <w:bookmarkStart w:id="154" w:name="_Toc289868749"/>
      <w:bookmarkStart w:id="155" w:name="_Toc289868909"/>
      <w:bookmarkStart w:id="156" w:name="_Toc289932217"/>
      <w:bookmarkStart w:id="157" w:name="_Toc289933263"/>
      <w:bookmarkStart w:id="158" w:name="_Toc291852826"/>
      <w:bookmarkStart w:id="159" w:name="_Toc392515818"/>
      <w:bookmarkStart w:id="160" w:name="_Toc462233974"/>
      <w:bookmarkStart w:id="161" w:name="_Toc518394138"/>
      <w:r w:rsidRPr="00BD6197">
        <w:rPr>
          <w:lang w:val="en-US"/>
        </w:rPr>
        <w:t>1.5</w:t>
      </w:r>
      <w:r w:rsidRPr="00BD6197">
        <w:rPr>
          <w:lang w:val="en-US"/>
        </w:rPr>
        <w:tab/>
        <w:t>Functional responsibilities</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E97717" w:rsidRPr="00BD6197" w:rsidRDefault="00E97717" w:rsidP="00E97717">
      <w:pPr>
        <w:rPr>
          <w:lang w:val="en-US"/>
        </w:rPr>
      </w:pPr>
      <w:r w:rsidRPr="00BD6197">
        <w:rPr>
          <w:lang w:val="en-US"/>
        </w:rPr>
        <w:t>The spectrum management structure is naturally formed around the functions that it must perform. The basic functions are:</w:t>
      </w:r>
    </w:p>
    <w:p w:rsidR="00E97717" w:rsidRPr="00BD6197" w:rsidRDefault="00E97717" w:rsidP="00E97717">
      <w:pPr>
        <w:pStyle w:val="enumlev1"/>
        <w:rPr>
          <w:lang w:val="en-US"/>
        </w:rPr>
      </w:pPr>
      <w:r w:rsidRPr="00BD6197">
        <w:rPr>
          <w:lang w:val="en-US"/>
        </w:rPr>
        <w:t>–</w:t>
      </w:r>
      <w:r w:rsidRPr="00BD6197">
        <w:rPr>
          <w:lang w:val="en-US"/>
        </w:rPr>
        <w:tab/>
        <w:t>spectrum management policy and planning/allocation of spectrum;</w:t>
      </w:r>
    </w:p>
    <w:p w:rsidR="00E97717" w:rsidRPr="00BD6197" w:rsidRDefault="00E97717" w:rsidP="00E97717">
      <w:pPr>
        <w:pStyle w:val="enumlev1"/>
        <w:rPr>
          <w:lang w:val="en-US"/>
        </w:rPr>
      </w:pPr>
      <w:r w:rsidRPr="00BD6197">
        <w:rPr>
          <w:lang w:val="en-US"/>
        </w:rPr>
        <w:t>–</w:t>
      </w:r>
      <w:r w:rsidRPr="00BD6197">
        <w:rPr>
          <w:lang w:val="en-US"/>
        </w:rPr>
        <w:tab/>
        <w:t>frequency assignment and licensing;</w:t>
      </w:r>
    </w:p>
    <w:p w:rsidR="00E97717" w:rsidRPr="00BD6197" w:rsidRDefault="00E97717" w:rsidP="00E97717">
      <w:pPr>
        <w:pStyle w:val="enumlev1"/>
        <w:rPr>
          <w:lang w:val="en-US"/>
        </w:rPr>
      </w:pPr>
      <w:r w:rsidRPr="00BD6197">
        <w:rPr>
          <w:lang w:val="en-US"/>
        </w:rPr>
        <w:t>–</w:t>
      </w:r>
      <w:r w:rsidRPr="00BD6197">
        <w:rPr>
          <w:lang w:val="en-US"/>
        </w:rPr>
        <w:tab/>
        <w:t>standards, specifications, and equipment authorization;</w:t>
      </w:r>
    </w:p>
    <w:p w:rsidR="00E97717" w:rsidRPr="00BD6197" w:rsidRDefault="00E97717" w:rsidP="00E97717">
      <w:pPr>
        <w:pStyle w:val="enumlev1"/>
        <w:rPr>
          <w:lang w:val="en-US"/>
        </w:rPr>
      </w:pPr>
      <w:r w:rsidRPr="00BD6197">
        <w:rPr>
          <w:lang w:val="en-US"/>
        </w:rPr>
        <w:t>–</w:t>
      </w:r>
      <w:r w:rsidRPr="00BD6197">
        <w:rPr>
          <w:lang w:val="en-US"/>
        </w:rPr>
        <w:tab/>
        <w:t>spectrum control (enforcement and monitoring);</w:t>
      </w:r>
    </w:p>
    <w:p w:rsidR="00E97717" w:rsidRPr="00BD6197" w:rsidRDefault="00E97717" w:rsidP="00E97717">
      <w:pPr>
        <w:pStyle w:val="enumlev1"/>
        <w:rPr>
          <w:lang w:val="en-US"/>
        </w:rPr>
      </w:pPr>
      <w:r w:rsidRPr="00BD6197">
        <w:rPr>
          <w:lang w:val="en-US"/>
        </w:rPr>
        <w:t>–</w:t>
      </w:r>
      <w:r w:rsidRPr="00BD6197">
        <w:rPr>
          <w:lang w:val="en-US"/>
        </w:rPr>
        <w:tab/>
        <w:t>international cooperation;</w:t>
      </w:r>
    </w:p>
    <w:p w:rsidR="00E97717" w:rsidRPr="00BD6197" w:rsidRDefault="00E97717" w:rsidP="00E97717">
      <w:pPr>
        <w:pStyle w:val="enumlev1"/>
        <w:rPr>
          <w:lang w:val="en-US"/>
        </w:rPr>
      </w:pPr>
      <w:r w:rsidRPr="00BD6197">
        <w:rPr>
          <w:lang w:val="en-US"/>
        </w:rPr>
        <w:t>–</w:t>
      </w:r>
      <w:r w:rsidRPr="00BD6197">
        <w:rPr>
          <w:lang w:val="en-US"/>
        </w:rPr>
        <w:tab/>
        <w:t>liaison and consultation;</w:t>
      </w:r>
    </w:p>
    <w:p w:rsidR="00E97717" w:rsidRPr="00BD6197" w:rsidRDefault="00E97717" w:rsidP="00E97717">
      <w:pPr>
        <w:pStyle w:val="enumlev1"/>
        <w:rPr>
          <w:lang w:val="en-US"/>
        </w:rPr>
      </w:pPr>
      <w:r w:rsidRPr="00BD6197">
        <w:rPr>
          <w:lang w:val="en-US"/>
        </w:rPr>
        <w:t>–</w:t>
      </w:r>
      <w:r w:rsidRPr="00BD6197">
        <w:rPr>
          <w:lang w:val="en-US"/>
        </w:rPr>
        <w:tab/>
        <w:t>spectrum engineering support;</w:t>
      </w:r>
    </w:p>
    <w:p w:rsidR="00E97717" w:rsidRPr="00BD6197" w:rsidRDefault="00E97717" w:rsidP="00E97717">
      <w:pPr>
        <w:pStyle w:val="enumlev1"/>
        <w:rPr>
          <w:lang w:val="en-US"/>
        </w:rPr>
      </w:pPr>
      <w:r w:rsidRPr="00BD6197">
        <w:rPr>
          <w:lang w:val="en-US"/>
        </w:rPr>
        <w:t>–</w:t>
      </w:r>
      <w:r w:rsidRPr="00BD6197">
        <w:rPr>
          <w:lang w:val="en-US"/>
        </w:rPr>
        <w:tab/>
        <w:t>computer support;</w:t>
      </w:r>
    </w:p>
    <w:p w:rsidR="00E97717" w:rsidRPr="00BD6197" w:rsidRDefault="00E97717" w:rsidP="00E97717">
      <w:pPr>
        <w:pStyle w:val="enumlev1"/>
        <w:rPr>
          <w:lang w:val="en-US"/>
        </w:rPr>
      </w:pPr>
      <w:r w:rsidRPr="00BD6197">
        <w:rPr>
          <w:lang w:val="en-US"/>
        </w:rPr>
        <w:t>–</w:t>
      </w:r>
      <w:r w:rsidRPr="00BD6197">
        <w:rPr>
          <w:lang w:val="en-US"/>
        </w:rPr>
        <w:tab/>
        <w:t>administrative and legal support.</w:t>
      </w:r>
    </w:p>
    <w:p w:rsidR="00E97717" w:rsidRPr="00BD6197" w:rsidRDefault="00E97717" w:rsidP="00E97717">
      <w:pPr>
        <w:rPr>
          <w:lang w:val="en-US"/>
        </w:rPr>
      </w:pPr>
      <w:r w:rsidRPr="00BD6197">
        <w:rPr>
          <w:lang w:val="en-US"/>
        </w:rPr>
        <w:t>Administrative and legal support functions will necessarily be a part of the spectrum management organization, but they are common to all organizations and thus it is not necessary to discuss these in relation to spectrum management.</w:t>
      </w:r>
    </w:p>
    <w:p w:rsidR="00E97717" w:rsidRPr="00BD6197" w:rsidRDefault="00E97717" w:rsidP="00E97717">
      <w:pPr>
        <w:pStyle w:val="Heading3"/>
        <w:rPr>
          <w:lang w:val="en-US"/>
        </w:rPr>
      </w:pPr>
      <w:bookmarkStart w:id="162" w:name="_Toc394385963"/>
      <w:bookmarkStart w:id="163" w:name="_Toc394386050"/>
      <w:bookmarkStart w:id="164" w:name="_Toc395503154"/>
      <w:bookmarkStart w:id="165" w:name="_Toc459746623"/>
      <w:bookmarkStart w:id="166" w:name="_Toc459792551"/>
      <w:bookmarkStart w:id="167" w:name="_Toc459793722"/>
      <w:bookmarkStart w:id="168" w:name="_Toc459793864"/>
      <w:bookmarkStart w:id="169" w:name="_Toc459970362"/>
      <w:bookmarkStart w:id="170" w:name="_Toc497033099"/>
      <w:bookmarkStart w:id="171" w:name="_Toc497033897"/>
      <w:bookmarkStart w:id="172" w:name="_Toc289868750"/>
      <w:bookmarkStart w:id="173" w:name="_Toc289868910"/>
      <w:bookmarkStart w:id="174" w:name="_Toc289932218"/>
      <w:bookmarkStart w:id="175" w:name="_Toc289933264"/>
      <w:bookmarkStart w:id="176" w:name="_Toc291852827"/>
      <w:bookmarkStart w:id="177" w:name="_Toc392515819"/>
      <w:bookmarkStart w:id="178" w:name="_Toc462233975"/>
      <w:bookmarkStart w:id="179" w:name="_Toc518394139"/>
      <w:r w:rsidRPr="00BD6197">
        <w:rPr>
          <w:lang w:val="en-US"/>
        </w:rPr>
        <w:lastRenderedPageBreak/>
        <w:t>1.5.1</w:t>
      </w:r>
      <w:r w:rsidRPr="00BD6197">
        <w:rPr>
          <w:lang w:val="en-US"/>
        </w:rPr>
        <w:tab/>
        <w:t>Spectrum management policy and planning/allocation of spectrum</w:t>
      </w:r>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rsidR="00E97717" w:rsidRPr="00BD6197" w:rsidRDefault="00E97717" w:rsidP="00E97717">
      <w:pPr>
        <w:rPr>
          <w:lang w:val="en-US"/>
        </w:rPr>
      </w:pPr>
      <w:r w:rsidRPr="00BD6197">
        <w:rPr>
          <w:lang w:val="en-US"/>
        </w:rPr>
        <w:t>The national spectrum management organization should develop and implement policies and plans relating to the use of the radio spectrum, taking into account advances in technology as well as social, economic and political realities. National radiocommunications policy is commonly associated with regulation development because the regulations generally follow the establishment of policies and plans. Accordingly, it is often a primary function of the policy and planning unit to conduct studies to determine existing and future radiocommunications needs of the country and to develop policies to ensure the best combination of radio and wireline communications systems employed in meeting the identified needs.</w:t>
      </w:r>
    </w:p>
    <w:p w:rsidR="00E97717" w:rsidRPr="00BD6197" w:rsidRDefault="00E97717" w:rsidP="00E97717">
      <w:pPr>
        <w:rPr>
          <w:lang w:val="en-US"/>
        </w:rPr>
      </w:pPr>
      <w:r w:rsidRPr="00BD6197">
        <w:rPr>
          <w:lang w:val="en-US"/>
        </w:rPr>
        <w:t>The primary result of the planning and policy-making effort is the allocation of frequency bands to the various radio services. The designation of frequency bands for specific uses serves as the first step to promoting spectrum use. From allocation decisions follow further considerations such as standards, sharing criteria, channelling plans and others.</w:t>
      </w:r>
    </w:p>
    <w:p w:rsidR="00E97717" w:rsidRPr="00BD6197" w:rsidRDefault="00E97717" w:rsidP="00E97717">
      <w:pPr>
        <w:pStyle w:val="Heading3"/>
        <w:rPr>
          <w:lang w:val="en-US"/>
        </w:rPr>
      </w:pPr>
      <w:bookmarkStart w:id="180" w:name="_Toc394385964"/>
      <w:bookmarkStart w:id="181" w:name="_Toc394386051"/>
      <w:bookmarkStart w:id="182" w:name="_Toc395503155"/>
      <w:bookmarkStart w:id="183" w:name="_Toc459746624"/>
      <w:bookmarkStart w:id="184" w:name="_Toc459792552"/>
      <w:bookmarkStart w:id="185" w:name="_Toc459793723"/>
      <w:bookmarkStart w:id="186" w:name="_Toc459793865"/>
      <w:bookmarkStart w:id="187" w:name="_Toc459970363"/>
      <w:bookmarkStart w:id="188" w:name="_Toc497033100"/>
      <w:bookmarkStart w:id="189" w:name="_Toc497033898"/>
      <w:bookmarkStart w:id="190" w:name="_Toc289868751"/>
      <w:bookmarkStart w:id="191" w:name="_Toc289868911"/>
      <w:bookmarkStart w:id="192" w:name="_Toc289932219"/>
      <w:bookmarkStart w:id="193" w:name="_Toc289933265"/>
      <w:bookmarkStart w:id="194" w:name="_Toc291852828"/>
      <w:bookmarkStart w:id="195" w:name="_Toc392515820"/>
      <w:bookmarkStart w:id="196" w:name="_Toc462233976"/>
      <w:bookmarkStart w:id="197" w:name="_Toc518394140"/>
      <w:r w:rsidRPr="00BD6197">
        <w:rPr>
          <w:lang w:val="en-US"/>
        </w:rPr>
        <w:t>1.5.2</w:t>
      </w:r>
      <w:r w:rsidRPr="00BD6197">
        <w:rPr>
          <w:lang w:val="en-US"/>
        </w:rPr>
        <w:tab/>
        <w:t>Frequency assignment and licensing</w:t>
      </w:r>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p>
    <w:p w:rsidR="00E97717" w:rsidRPr="00BD6197" w:rsidRDefault="00E97717" w:rsidP="00E97717">
      <w:pPr>
        <w:rPr>
          <w:lang w:val="en-US"/>
        </w:rPr>
      </w:pPr>
      <w:r w:rsidRPr="00BD6197">
        <w:rPr>
          <w:lang w:val="en-US"/>
        </w:rPr>
        <w:t>Providing or assigning frequencies represents the heart of the daily operation of the spectrum management organization. The frequency assignment unit performs, or coordinates the performance of, whatever analysis is required to select the most appropriate frequencies for radiocommunications systems. It also coordinates all proposed assignments with regard to existing assignments.</w:t>
      </w:r>
    </w:p>
    <w:p w:rsidR="00E97717" w:rsidRPr="00BD6197" w:rsidRDefault="00E97717" w:rsidP="00E97717">
      <w:pPr>
        <w:pStyle w:val="Heading3"/>
        <w:rPr>
          <w:lang w:val="en-US"/>
        </w:rPr>
      </w:pPr>
      <w:bookmarkStart w:id="198" w:name="_Toc394385967"/>
      <w:bookmarkStart w:id="199" w:name="_Toc394386054"/>
      <w:bookmarkStart w:id="200" w:name="_Toc395503158"/>
      <w:bookmarkStart w:id="201" w:name="_Toc459746629"/>
      <w:bookmarkStart w:id="202" w:name="_Toc459792557"/>
      <w:bookmarkStart w:id="203" w:name="_Toc459793728"/>
      <w:bookmarkStart w:id="204" w:name="_Toc459793870"/>
      <w:bookmarkStart w:id="205" w:name="_Toc459970366"/>
      <w:bookmarkStart w:id="206" w:name="_Toc497033105"/>
      <w:bookmarkStart w:id="207" w:name="_Toc497033903"/>
      <w:bookmarkStart w:id="208" w:name="_Toc289868752"/>
      <w:bookmarkStart w:id="209" w:name="_Toc289868912"/>
      <w:bookmarkStart w:id="210" w:name="_Toc289932220"/>
      <w:bookmarkStart w:id="211" w:name="_Toc289933266"/>
      <w:bookmarkStart w:id="212" w:name="_Toc291852829"/>
      <w:bookmarkStart w:id="213" w:name="_Toc392515821"/>
      <w:bookmarkStart w:id="214" w:name="_Toc462233977"/>
      <w:bookmarkStart w:id="215" w:name="_Toc518394141"/>
      <w:r w:rsidRPr="00BD6197">
        <w:rPr>
          <w:lang w:val="en-US"/>
        </w:rPr>
        <w:t>1.5.3</w:t>
      </w:r>
      <w:r w:rsidRPr="00BD6197">
        <w:rPr>
          <w:lang w:val="en-US"/>
        </w:rPr>
        <w:tab/>
        <w:t>International cooperation</w:t>
      </w:r>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rsidR="00E97717" w:rsidRPr="00BD6197" w:rsidRDefault="00E97717" w:rsidP="00E97717">
      <w:pPr>
        <w:rPr>
          <w:lang w:val="en-US"/>
        </w:rPr>
      </w:pPr>
      <w:r w:rsidRPr="00BD6197">
        <w:rPr>
          <w:lang w:val="en-US"/>
        </w:rPr>
        <w:t>Radiocommunications have a significance that goes beyond the borders of each nation. Navigation equipment is standardized to allow movement throughout the world. Satellite system transmissions facilitate worldwide communications. Radio wave propagation is unhindered by political boundaries. Communications system manufactur</w:t>
      </w:r>
      <w:r w:rsidRPr="00BD6197">
        <w:rPr>
          <w:lang w:val="en-US"/>
        </w:rPr>
        <w:softHyphen/>
        <w:t>ers produce equipment for many markets, and the more the markets encourage commonality the simpler and less expensive the production process will be. For each of these reasons, the national spectrum manager’s ability to participate in international fora becomes significant. International activities include those within the ITU, those within other international bodies, and bilateral discussions between neighbouring countries concerned with ITU Radio Regulations.</w:t>
      </w:r>
    </w:p>
    <w:p w:rsidR="00E97717" w:rsidRPr="00BD6197" w:rsidRDefault="00E97717" w:rsidP="00E97717">
      <w:pPr>
        <w:pStyle w:val="Heading3"/>
        <w:rPr>
          <w:lang w:val="en-US"/>
        </w:rPr>
      </w:pPr>
      <w:bookmarkStart w:id="216" w:name="_Toc394385968"/>
      <w:bookmarkStart w:id="217" w:name="_Toc394386055"/>
      <w:bookmarkStart w:id="218" w:name="_Toc395503159"/>
      <w:bookmarkStart w:id="219" w:name="_Toc459746630"/>
      <w:bookmarkStart w:id="220" w:name="_Toc459792558"/>
      <w:bookmarkStart w:id="221" w:name="_Toc459793729"/>
      <w:bookmarkStart w:id="222" w:name="_Toc459793871"/>
      <w:bookmarkStart w:id="223" w:name="_Toc459970367"/>
      <w:bookmarkStart w:id="224" w:name="_Toc497033106"/>
      <w:bookmarkStart w:id="225" w:name="_Toc497033904"/>
      <w:bookmarkStart w:id="226" w:name="_Toc289868753"/>
      <w:bookmarkStart w:id="227" w:name="_Toc289868913"/>
      <w:bookmarkStart w:id="228" w:name="_Toc289932221"/>
      <w:bookmarkStart w:id="229" w:name="_Toc289933267"/>
      <w:bookmarkStart w:id="230" w:name="_Toc291852830"/>
      <w:bookmarkStart w:id="231" w:name="_Toc392515822"/>
      <w:bookmarkStart w:id="232" w:name="_Toc462233978"/>
      <w:bookmarkStart w:id="233" w:name="_Toc518394142"/>
      <w:r w:rsidRPr="00BD6197">
        <w:rPr>
          <w:lang w:val="en-US"/>
        </w:rPr>
        <w:t>1.5.4</w:t>
      </w:r>
      <w:r w:rsidRPr="00BD6197">
        <w:rPr>
          <w:lang w:val="en-US"/>
        </w:rPr>
        <w:tab/>
        <w:t>Liaison and consultation</w:t>
      </w:r>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p>
    <w:p w:rsidR="00E97717" w:rsidRPr="00BD6197" w:rsidRDefault="00E97717" w:rsidP="00E97717">
      <w:pPr>
        <w:rPr>
          <w:lang w:val="en-US"/>
        </w:rPr>
      </w:pPr>
      <w:r w:rsidRPr="00BD6197">
        <w:rPr>
          <w:lang w:val="en-US"/>
        </w:rPr>
        <w:t>In order to be effective, the spectrum management organization must communicate with and consult its constituents, i.e. the radio users composed of businesses, the communications industry, government users and the general public. This includes dissemination of information on the policies, rules and practices of the administration and provides mechanisms for feedback to evaluate the results of these policies, rules and practices.</w:t>
      </w:r>
    </w:p>
    <w:p w:rsidR="00E97717" w:rsidRPr="00BD6197" w:rsidRDefault="00E97717" w:rsidP="00E97717">
      <w:pPr>
        <w:pStyle w:val="Heading3"/>
        <w:rPr>
          <w:lang w:val="en-US"/>
        </w:rPr>
      </w:pPr>
      <w:bookmarkStart w:id="234" w:name="_Toc394385969"/>
      <w:bookmarkStart w:id="235" w:name="_Toc394386056"/>
      <w:bookmarkStart w:id="236" w:name="_Toc395503160"/>
      <w:bookmarkStart w:id="237" w:name="_Toc459746631"/>
      <w:bookmarkStart w:id="238" w:name="_Toc459792559"/>
      <w:bookmarkStart w:id="239" w:name="_Toc459793730"/>
      <w:bookmarkStart w:id="240" w:name="_Toc459793872"/>
      <w:bookmarkStart w:id="241" w:name="_Toc459970368"/>
      <w:bookmarkStart w:id="242" w:name="_Toc497033107"/>
      <w:bookmarkStart w:id="243" w:name="_Toc497033905"/>
      <w:bookmarkStart w:id="244" w:name="_Toc289868754"/>
      <w:bookmarkStart w:id="245" w:name="_Toc289868914"/>
      <w:bookmarkStart w:id="246" w:name="_Toc289932222"/>
      <w:bookmarkStart w:id="247" w:name="_Toc289933268"/>
      <w:bookmarkStart w:id="248" w:name="_Toc291852831"/>
      <w:bookmarkStart w:id="249" w:name="_Toc392515823"/>
      <w:bookmarkStart w:id="250" w:name="_Toc462233979"/>
      <w:bookmarkStart w:id="251" w:name="_Toc518394143"/>
      <w:r w:rsidRPr="00BD6197">
        <w:rPr>
          <w:lang w:val="en-US"/>
        </w:rPr>
        <w:t>1.5.5</w:t>
      </w:r>
      <w:r w:rsidRPr="00BD6197">
        <w:rPr>
          <w:lang w:val="en-US"/>
        </w:rPr>
        <w:tab/>
        <w:t>Spectrum engineering support</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rsidR="00E97717" w:rsidRPr="00BD6197" w:rsidRDefault="00E97717" w:rsidP="00E97717">
      <w:pPr>
        <w:rPr>
          <w:lang w:val="en-US"/>
        </w:rPr>
      </w:pPr>
      <w:r w:rsidRPr="00BD6197">
        <w:rPr>
          <w:lang w:val="en-US"/>
        </w:rPr>
        <w:t>Since spectrum management involves decisions pertaining to a field of technology, engineering support is required to adequately evaluate the information, capabilities and choices involved. Engineering support can assist the spectrum manager in many ways. For example, interference situations can often be prevented or resolved through technical analysis. The equipment specifications and standards necessary to ensure compatibility between systems can be determined. Frequencies can be assigned using models or methods developed through engineering support. Also, the resolution of many spectrum allocation issues can be facilitated by analysis of spectrum use and future requirements.</w:t>
      </w:r>
    </w:p>
    <w:p w:rsidR="00E97717" w:rsidRPr="00BD6197" w:rsidRDefault="00E97717" w:rsidP="00E97717">
      <w:pPr>
        <w:pStyle w:val="Heading3"/>
        <w:rPr>
          <w:lang w:val="en-US"/>
        </w:rPr>
      </w:pPr>
      <w:bookmarkStart w:id="252" w:name="_Toc394385970"/>
      <w:bookmarkStart w:id="253" w:name="_Toc394386057"/>
      <w:bookmarkStart w:id="254" w:name="_Toc395503161"/>
      <w:bookmarkStart w:id="255" w:name="_Toc459746632"/>
      <w:bookmarkStart w:id="256" w:name="_Toc459792560"/>
      <w:bookmarkStart w:id="257" w:name="_Toc459793731"/>
      <w:bookmarkStart w:id="258" w:name="_Toc459793873"/>
      <w:bookmarkStart w:id="259" w:name="_Toc459970369"/>
      <w:bookmarkStart w:id="260" w:name="_Toc497033108"/>
      <w:bookmarkStart w:id="261" w:name="_Toc497033906"/>
      <w:bookmarkStart w:id="262" w:name="_Toc289868755"/>
      <w:bookmarkStart w:id="263" w:name="_Toc289868915"/>
      <w:bookmarkStart w:id="264" w:name="_Toc289932223"/>
      <w:bookmarkStart w:id="265" w:name="_Toc289933269"/>
      <w:bookmarkStart w:id="266" w:name="_Toc291852832"/>
      <w:bookmarkStart w:id="267" w:name="_Toc392515824"/>
      <w:bookmarkStart w:id="268" w:name="_Toc462233980"/>
      <w:bookmarkStart w:id="269" w:name="_Toc518394144"/>
      <w:r w:rsidRPr="00BD6197">
        <w:rPr>
          <w:lang w:val="en-US"/>
        </w:rPr>
        <w:lastRenderedPageBreak/>
        <w:t>1.5.6</w:t>
      </w:r>
      <w:r w:rsidRPr="00BD6197">
        <w:rPr>
          <w:lang w:val="en-US"/>
        </w:rPr>
        <w:tab/>
        <w:t>Computer support</w:t>
      </w:r>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 w:rsidR="00E97717" w:rsidRPr="00BD6197" w:rsidRDefault="00E97717" w:rsidP="00E97717">
      <w:pPr>
        <w:rPr>
          <w:lang w:val="en-US"/>
        </w:rPr>
      </w:pPr>
      <w:r w:rsidRPr="00BD6197">
        <w:rPr>
          <w:lang w:val="en-US"/>
        </w:rPr>
        <w:t>The extent to which computer support facilities are available to be used and are used by the spectrum management authority depends on the resources, priorities, and particular requirements of the country concerned. Computer support may cover licensing records to complex engineering calculations and may include the development, provision, and maintenance of support facilities for nearly all spectrum management activities, including record keeping, forecasting and financial management related to licensing.</w:t>
      </w:r>
    </w:p>
    <w:p w:rsidR="00E97717" w:rsidRPr="00BD6197" w:rsidRDefault="00E97717" w:rsidP="00E97717">
      <w:pPr>
        <w:pStyle w:val="Heading2"/>
        <w:rPr>
          <w:lang w:val="en-US"/>
        </w:rPr>
      </w:pPr>
      <w:bookmarkStart w:id="270" w:name="_Toc394385971"/>
      <w:bookmarkStart w:id="271" w:name="_Toc394386058"/>
      <w:bookmarkStart w:id="272" w:name="_Toc395503162"/>
      <w:bookmarkStart w:id="273" w:name="_Toc459746633"/>
      <w:bookmarkStart w:id="274" w:name="_Toc459792561"/>
      <w:bookmarkStart w:id="275" w:name="_Toc459793732"/>
      <w:bookmarkStart w:id="276" w:name="_Toc459793874"/>
      <w:bookmarkStart w:id="277" w:name="_Toc459970370"/>
      <w:bookmarkStart w:id="278" w:name="_Toc497033109"/>
      <w:bookmarkStart w:id="279" w:name="_Toc497033907"/>
      <w:bookmarkStart w:id="280" w:name="_Toc289868756"/>
      <w:bookmarkStart w:id="281" w:name="_Toc289868916"/>
      <w:bookmarkStart w:id="282" w:name="_Toc289932224"/>
      <w:bookmarkStart w:id="283" w:name="_Toc289933270"/>
      <w:bookmarkStart w:id="284" w:name="_Toc291852833"/>
      <w:bookmarkStart w:id="285" w:name="_Toc392515825"/>
      <w:bookmarkStart w:id="286" w:name="_Toc462233981"/>
      <w:bookmarkStart w:id="287" w:name="_Toc518394145"/>
      <w:r w:rsidRPr="00BD6197">
        <w:rPr>
          <w:lang w:val="en-US"/>
        </w:rPr>
        <w:t>1.6</w:t>
      </w:r>
      <w:r w:rsidRPr="00BD6197">
        <w:rPr>
          <w:lang w:val="en-US"/>
        </w:rPr>
        <w:tab/>
        <w:t>Performance of spectrum management function</w:t>
      </w:r>
      <w:bookmarkEnd w:id="270"/>
      <w:bookmarkEnd w:id="271"/>
      <w:r w:rsidRPr="00BD6197">
        <w:rPr>
          <w:lang w:val="en-US"/>
        </w:rPr>
        <w:t>s</w:t>
      </w:r>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rsidR="00E97717" w:rsidRDefault="00E97717" w:rsidP="00E97717">
      <w:pPr>
        <w:rPr>
          <w:lang w:val="en-US"/>
        </w:rPr>
      </w:pPr>
      <w:r w:rsidRPr="00BD6197">
        <w:rPr>
          <w:lang w:val="en-US"/>
        </w:rPr>
        <w:t>The previously described spectrum management functions need to be established in order to have an effective spectrum management system. However not every aspect of each function needs to be performed by the national spectrum management organization. The policy or overall management authority must, however, remain with the national spectrum management organizations. The following Chapters discuss the means by which spectrum management may be funded and the means by which economic approaches may improve the efficiency of spectrum use, methods of assessing the benefits of spectrum use and the use of other organizations to support and/or provide part, or all, of specific spectrum management functions.</w:t>
      </w:r>
    </w:p>
    <w:p w:rsidR="00007F8D" w:rsidRDefault="00007F8D" w:rsidP="00E97717">
      <w:pPr>
        <w:rPr>
          <w:lang w:val="en-US"/>
        </w:rPr>
      </w:pPr>
    </w:p>
    <w:p w:rsidR="00007F8D" w:rsidRDefault="00007F8D" w:rsidP="00E97717">
      <w:pPr>
        <w:rPr>
          <w:lang w:val="en-US"/>
        </w:rPr>
      </w:pPr>
    </w:p>
    <w:p w:rsidR="00007F8D" w:rsidRPr="00BD6197" w:rsidRDefault="00007F8D" w:rsidP="00007F8D">
      <w:pPr>
        <w:pStyle w:val="ChapNo"/>
        <w:rPr>
          <w:lang w:val="en-US"/>
        </w:rPr>
      </w:pPr>
      <w:bookmarkStart w:id="288" w:name="_Toc289868757"/>
      <w:bookmarkStart w:id="289" w:name="_Toc289868917"/>
      <w:bookmarkStart w:id="290" w:name="_Toc289932225"/>
      <w:bookmarkStart w:id="291" w:name="_Toc289933271"/>
      <w:bookmarkStart w:id="292" w:name="_Toc291852834"/>
      <w:bookmarkStart w:id="293" w:name="_Toc462233982"/>
      <w:bookmarkStart w:id="294" w:name="_Toc518394146"/>
      <w:r w:rsidRPr="00BD6197">
        <w:rPr>
          <w:lang w:val="en-US"/>
        </w:rPr>
        <w:t>CHAPTER 2</w:t>
      </w:r>
      <w:bookmarkEnd w:id="288"/>
      <w:bookmarkEnd w:id="289"/>
      <w:bookmarkEnd w:id="290"/>
      <w:bookmarkEnd w:id="291"/>
      <w:bookmarkEnd w:id="292"/>
      <w:bookmarkEnd w:id="293"/>
      <w:bookmarkEnd w:id="294"/>
    </w:p>
    <w:p w:rsidR="00007F8D" w:rsidRPr="00BD6197" w:rsidRDefault="00007F8D" w:rsidP="00007F8D">
      <w:pPr>
        <w:pStyle w:val="Chaptitle"/>
        <w:rPr>
          <w:lang w:val="en-US"/>
        </w:rPr>
      </w:pPr>
      <w:bookmarkStart w:id="295" w:name="_Toc459746636"/>
      <w:bookmarkStart w:id="296" w:name="_Toc459792564"/>
      <w:bookmarkStart w:id="297" w:name="_Toc459793735"/>
      <w:bookmarkStart w:id="298" w:name="_Toc459793877"/>
      <w:bookmarkStart w:id="299" w:name="_Toc459970373"/>
      <w:bookmarkStart w:id="300" w:name="_Toc289868758"/>
      <w:bookmarkStart w:id="301" w:name="_Toc289868918"/>
      <w:bookmarkStart w:id="302" w:name="_Toc289932226"/>
      <w:bookmarkStart w:id="303" w:name="_Toc289933272"/>
      <w:bookmarkStart w:id="304" w:name="_Toc291852835"/>
      <w:bookmarkStart w:id="305" w:name="_Toc454284814"/>
      <w:bookmarkStart w:id="306" w:name="_Toc462233983"/>
      <w:bookmarkStart w:id="307" w:name="_Toc518394147"/>
      <w:r w:rsidRPr="00BD6197">
        <w:rPr>
          <w:lang w:val="en-US"/>
        </w:rPr>
        <w:t>Strategies for spectrum financing</w:t>
      </w:r>
      <w:bookmarkEnd w:id="295"/>
      <w:bookmarkEnd w:id="296"/>
      <w:bookmarkEnd w:id="297"/>
      <w:bookmarkEnd w:id="298"/>
      <w:bookmarkEnd w:id="299"/>
      <w:r w:rsidRPr="00BD6197">
        <w:rPr>
          <w:lang w:val="en-US"/>
        </w:rPr>
        <w:t xml:space="preserve"> mechanisms</w:t>
      </w:r>
      <w:bookmarkEnd w:id="300"/>
      <w:bookmarkEnd w:id="301"/>
      <w:bookmarkEnd w:id="302"/>
      <w:bookmarkEnd w:id="303"/>
      <w:bookmarkEnd w:id="304"/>
      <w:bookmarkEnd w:id="305"/>
      <w:bookmarkEnd w:id="306"/>
      <w:bookmarkEnd w:id="307"/>
    </w:p>
    <w:p w:rsidR="00007F8D" w:rsidRPr="00BD6197" w:rsidRDefault="00007F8D" w:rsidP="00007F8D">
      <w:pPr>
        <w:pStyle w:val="Heading2"/>
        <w:rPr>
          <w:u w:val="single"/>
          <w:lang w:val="en-US"/>
        </w:rPr>
      </w:pPr>
      <w:bookmarkStart w:id="308" w:name="_Toc394385973"/>
      <w:bookmarkStart w:id="309" w:name="_Toc394386060"/>
      <w:bookmarkStart w:id="310" w:name="_Toc395503164"/>
      <w:bookmarkStart w:id="311" w:name="_Toc459746637"/>
      <w:bookmarkStart w:id="312" w:name="_Toc459792565"/>
      <w:bookmarkStart w:id="313" w:name="_Toc459793736"/>
      <w:bookmarkStart w:id="314" w:name="_Toc459793878"/>
      <w:bookmarkStart w:id="315" w:name="_Toc459970374"/>
      <w:bookmarkStart w:id="316" w:name="_Toc497033110"/>
      <w:bookmarkStart w:id="317" w:name="_Toc497033908"/>
      <w:bookmarkStart w:id="318" w:name="_Toc289868759"/>
      <w:bookmarkStart w:id="319" w:name="_Toc289868919"/>
      <w:bookmarkStart w:id="320" w:name="_Toc289932227"/>
      <w:bookmarkStart w:id="321" w:name="_Toc289933273"/>
      <w:bookmarkStart w:id="322" w:name="_Toc291852836"/>
      <w:bookmarkStart w:id="323" w:name="_Toc392515826"/>
      <w:bookmarkStart w:id="324" w:name="_Toc462233984"/>
      <w:bookmarkStart w:id="325" w:name="_Toc518394148"/>
      <w:r w:rsidRPr="00BD6197">
        <w:rPr>
          <w:lang w:val="en-US"/>
        </w:rPr>
        <w:t>2.1</w:t>
      </w:r>
      <w:r w:rsidRPr="00BD6197">
        <w:rPr>
          <w:lang w:val="en-US"/>
        </w:rPr>
        <w:tab/>
        <w:t>Background</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rsidR="00007F8D" w:rsidRPr="00BD6197" w:rsidRDefault="00007F8D" w:rsidP="00007F8D">
      <w:pPr>
        <w:rPr>
          <w:lang w:val="en-US"/>
        </w:rPr>
      </w:pPr>
      <w:r w:rsidRPr="00BD6197">
        <w:rPr>
          <w:lang w:val="en-US"/>
        </w:rPr>
        <w:t>There is increasing interest in economic approaches to national spectrum management. This Chapter of the Report addresses issues pertaining both to the principles on financing a national spectrum management program and the strategies. The objective of economic approaches must be consistent with an administration’s spectrum management goals and objectives. When implementing an economic approach, using and managing spectrum efficiently and effectively should be a top priority.</w:t>
      </w:r>
    </w:p>
    <w:p w:rsidR="00007F8D" w:rsidRPr="00BD6197" w:rsidRDefault="00007F8D" w:rsidP="00007F8D">
      <w:pPr>
        <w:pStyle w:val="Heading2"/>
        <w:rPr>
          <w:lang w:val="en-US"/>
        </w:rPr>
      </w:pPr>
      <w:bookmarkStart w:id="326" w:name="_Toc394385974"/>
      <w:bookmarkStart w:id="327" w:name="_Toc394386061"/>
      <w:bookmarkStart w:id="328" w:name="_Toc395503165"/>
      <w:bookmarkStart w:id="329" w:name="_Toc459746638"/>
      <w:bookmarkStart w:id="330" w:name="_Toc459792566"/>
      <w:bookmarkStart w:id="331" w:name="_Toc459793737"/>
      <w:bookmarkStart w:id="332" w:name="_Toc459793879"/>
      <w:bookmarkStart w:id="333" w:name="_Toc459970375"/>
      <w:bookmarkStart w:id="334" w:name="_Toc497033111"/>
      <w:bookmarkStart w:id="335" w:name="_Toc497033909"/>
      <w:bookmarkStart w:id="336" w:name="_Toc289868760"/>
      <w:bookmarkStart w:id="337" w:name="_Toc289868920"/>
      <w:bookmarkStart w:id="338" w:name="_Toc289932228"/>
      <w:bookmarkStart w:id="339" w:name="_Toc289933274"/>
      <w:bookmarkStart w:id="340" w:name="_Toc291852837"/>
      <w:bookmarkStart w:id="341" w:name="_Toc392515827"/>
      <w:bookmarkStart w:id="342" w:name="_Toc462233985"/>
      <w:bookmarkStart w:id="343" w:name="_Toc518394149"/>
      <w:r w:rsidRPr="00BD6197">
        <w:rPr>
          <w:lang w:val="en-US"/>
        </w:rPr>
        <w:t>2.2</w:t>
      </w:r>
      <w:r w:rsidRPr="00BD6197">
        <w:rPr>
          <w:lang w:val="en-US"/>
        </w:rPr>
        <w:tab/>
        <w:t>Basic principles for financing national spectrum management</w:t>
      </w:r>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rsidR="00007F8D" w:rsidRPr="00BD6197" w:rsidRDefault="00007F8D" w:rsidP="00007F8D">
      <w:pPr>
        <w:rPr>
          <w:lang w:val="en-US"/>
        </w:rPr>
      </w:pPr>
      <w:r w:rsidRPr="00BD6197">
        <w:rPr>
          <w:lang w:val="en-US"/>
        </w:rPr>
        <w:t>The following principles should be adhered to when establishing any fee system.</w:t>
      </w:r>
    </w:p>
    <w:p w:rsidR="00007F8D" w:rsidRPr="00BD6197" w:rsidRDefault="00007F8D" w:rsidP="00007F8D">
      <w:pPr>
        <w:pStyle w:val="Heading3"/>
        <w:rPr>
          <w:lang w:val="en-US"/>
        </w:rPr>
      </w:pPr>
      <w:bookmarkStart w:id="344" w:name="_Toc289868761"/>
      <w:bookmarkStart w:id="345" w:name="_Toc289868921"/>
      <w:bookmarkStart w:id="346" w:name="_Toc289932229"/>
      <w:bookmarkStart w:id="347" w:name="_Toc289933275"/>
      <w:bookmarkStart w:id="348" w:name="_Toc291852838"/>
      <w:bookmarkStart w:id="349" w:name="_Toc392515828"/>
      <w:bookmarkStart w:id="350" w:name="_Toc462233986"/>
      <w:bookmarkStart w:id="351" w:name="_Toc518394150"/>
      <w:r w:rsidRPr="00BD6197">
        <w:rPr>
          <w:lang w:val="en-US"/>
        </w:rPr>
        <w:t>2.2.1</w:t>
      </w:r>
      <w:r w:rsidRPr="00BD6197">
        <w:rPr>
          <w:lang w:val="en-US"/>
        </w:rPr>
        <w:tab/>
        <w:t>Legal principles</w:t>
      </w:r>
      <w:bookmarkEnd w:id="344"/>
      <w:bookmarkEnd w:id="345"/>
      <w:bookmarkEnd w:id="346"/>
      <w:bookmarkEnd w:id="347"/>
      <w:bookmarkEnd w:id="348"/>
      <w:bookmarkEnd w:id="349"/>
      <w:bookmarkEnd w:id="350"/>
      <w:bookmarkEnd w:id="351"/>
    </w:p>
    <w:p w:rsidR="00007F8D" w:rsidRPr="00BD6197" w:rsidRDefault="00007F8D" w:rsidP="00007F8D">
      <w:pPr>
        <w:pStyle w:val="enumlev1"/>
        <w:rPr>
          <w:lang w:val="en-US"/>
        </w:rPr>
      </w:pPr>
      <w:r w:rsidRPr="00BD6197">
        <w:rPr>
          <w:lang w:val="en-US"/>
        </w:rPr>
        <w:t>a)</w:t>
      </w:r>
      <w:r w:rsidRPr="00BD6197">
        <w:rPr>
          <w:lang w:val="en-US"/>
        </w:rPr>
        <w:tab/>
        <w:t>The radio-frequency spectrum is the property of the State. Thus, any spectrum occupancy relating to non-governmental activities is considered to be private occupancy.</w:t>
      </w:r>
    </w:p>
    <w:p w:rsidR="00007F8D" w:rsidRPr="00BD6197" w:rsidRDefault="00007F8D" w:rsidP="00007F8D">
      <w:pPr>
        <w:pStyle w:val="enumlev1"/>
        <w:rPr>
          <w:lang w:val="en-US"/>
        </w:rPr>
      </w:pPr>
      <w:r w:rsidRPr="00BD6197">
        <w:rPr>
          <w:lang w:val="en-US"/>
        </w:rPr>
        <w:t>b)</w:t>
      </w:r>
      <w:r w:rsidRPr="00BD6197">
        <w:rPr>
          <w:lang w:val="en-US"/>
        </w:rPr>
        <w:tab/>
        <w:t>Belonging as it does to the public domain of the State, the spectrum must be managed in the interests of the national community as a whole.</w:t>
      </w:r>
    </w:p>
    <w:p w:rsidR="00007F8D" w:rsidRPr="00BD6197" w:rsidRDefault="00007F8D" w:rsidP="00007F8D">
      <w:pPr>
        <w:pStyle w:val="enumlev1"/>
        <w:rPr>
          <w:lang w:val="en-US"/>
        </w:rPr>
      </w:pPr>
      <w:r w:rsidRPr="00BD6197">
        <w:rPr>
          <w:lang w:val="en-US"/>
        </w:rPr>
        <w:t>c)</w:t>
      </w:r>
      <w:r w:rsidRPr="00BD6197">
        <w:rPr>
          <w:lang w:val="en-US"/>
        </w:rPr>
        <w:tab/>
        <w:t xml:space="preserve">As the owner of the spectrum, the State has the right to require private occupants thereof to pay </w:t>
      </w:r>
      <w:r w:rsidRPr="00BD6197">
        <w:rPr>
          <w:i/>
          <w:iCs/>
          <w:u w:val="single"/>
          <w:lang w:val="en-US"/>
        </w:rPr>
        <w:t>spectrum fees</w:t>
      </w:r>
      <w:r w:rsidRPr="00BD6197">
        <w:rPr>
          <w:lang w:val="en-US"/>
        </w:rPr>
        <w:t xml:space="preserve"> (known also as </w:t>
      </w:r>
      <w:r w:rsidRPr="00BD6197">
        <w:rPr>
          <w:i/>
          <w:iCs/>
          <w:lang w:val="en-US"/>
        </w:rPr>
        <w:t>spectrum occupancy fees</w:t>
      </w:r>
      <w:r w:rsidRPr="00BD6197">
        <w:rPr>
          <w:lang w:val="en-US"/>
        </w:rPr>
        <w:t xml:space="preserve">, </w:t>
      </w:r>
      <w:r w:rsidRPr="00BD6197">
        <w:rPr>
          <w:i/>
          <w:iCs/>
          <w:lang w:val="en-US"/>
        </w:rPr>
        <w:t>frequency availability fees</w:t>
      </w:r>
      <w:r w:rsidRPr="00BD6197">
        <w:rPr>
          <w:lang w:val="en-US"/>
        </w:rPr>
        <w:t xml:space="preserve"> or</w:t>
      </w:r>
      <w:r w:rsidRPr="00BD6197">
        <w:rPr>
          <w:i/>
          <w:iCs/>
          <w:lang w:val="en-US"/>
        </w:rPr>
        <w:t xml:space="preserve"> spectrum usage fees</w:t>
      </w:r>
      <w:r w:rsidRPr="00BD6197">
        <w:rPr>
          <w:lang w:val="en-US"/>
        </w:rPr>
        <w:t xml:space="preserve">, or simply as </w:t>
      </w:r>
      <w:r w:rsidRPr="00BD6197">
        <w:rPr>
          <w:i/>
          <w:iCs/>
          <w:lang w:val="en-US"/>
        </w:rPr>
        <w:t>fees</w:t>
      </w:r>
      <w:r w:rsidRPr="00BD6197">
        <w:rPr>
          <w:lang w:val="en-US"/>
        </w:rPr>
        <w:t xml:space="preserve"> where there is no ambiguity). </w:t>
      </w:r>
    </w:p>
    <w:p w:rsidR="00007F8D" w:rsidRPr="00BD6197" w:rsidRDefault="00007F8D" w:rsidP="00007F8D">
      <w:pPr>
        <w:pStyle w:val="enumlev1"/>
        <w:keepNext/>
        <w:keepLines/>
        <w:rPr>
          <w:lang w:val="en-US"/>
        </w:rPr>
      </w:pPr>
      <w:r w:rsidRPr="00BD6197">
        <w:rPr>
          <w:lang w:val="en-US"/>
        </w:rPr>
        <w:lastRenderedPageBreak/>
        <w:t>d)</w:t>
      </w:r>
      <w:r w:rsidRPr="00BD6197">
        <w:rPr>
          <w:lang w:val="en-US"/>
        </w:rPr>
        <w:tab/>
        <w:t xml:space="preserve">The planning, management and monitoring of the spectrum are carried out by the State or by entities to which the State has delegated such responsibilities. Those activities, together with the corresponding equipment and investment, are essential to ensuring that the spectrum is used under satisfactory conditions. </w:t>
      </w:r>
    </w:p>
    <w:p w:rsidR="00007F8D" w:rsidRPr="00BD6197" w:rsidRDefault="00007F8D" w:rsidP="00007F8D">
      <w:pPr>
        <w:pStyle w:val="enumlev1"/>
        <w:rPr>
          <w:lang w:val="en-US"/>
        </w:rPr>
      </w:pPr>
      <w:r w:rsidRPr="00BD6197">
        <w:rPr>
          <w:lang w:val="en-US"/>
        </w:rPr>
        <w:t>e)</w:t>
      </w:r>
      <w:r w:rsidRPr="00BD6197">
        <w:rPr>
          <w:lang w:val="en-US"/>
        </w:rPr>
        <w:tab/>
        <w:t xml:space="preserve">It is therefore lawful for the authorities to require, moreover, that private spectrum occupants also pay </w:t>
      </w:r>
      <w:r w:rsidRPr="00BD6197">
        <w:rPr>
          <w:i/>
          <w:iCs/>
          <w:u w:val="single"/>
          <w:lang w:val="en-US"/>
        </w:rPr>
        <w:t>administrative fees</w:t>
      </w:r>
      <w:r w:rsidRPr="00BD6197">
        <w:rPr>
          <w:lang w:val="en-US"/>
        </w:rPr>
        <w:t xml:space="preserve"> (known also as </w:t>
      </w:r>
      <w:r w:rsidRPr="00BD6197">
        <w:rPr>
          <w:i/>
          <w:iCs/>
          <w:lang w:val="en-US"/>
        </w:rPr>
        <w:t>frequency management fees</w:t>
      </w:r>
      <w:r w:rsidRPr="00BD6197">
        <w:rPr>
          <w:lang w:val="en-US"/>
        </w:rPr>
        <w:t xml:space="preserve"> or </w:t>
      </w:r>
      <w:r w:rsidRPr="00BD6197">
        <w:rPr>
          <w:i/>
          <w:iCs/>
          <w:lang w:val="en-US"/>
        </w:rPr>
        <w:t>service fees</w:t>
      </w:r>
      <w:r w:rsidRPr="00BD6197">
        <w:rPr>
          <w:lang w:val="en-US"/>
        </w:rPr>
        <w:t xml:space="preserve">, as well as </w:t>
      </w:r>
      <w:r w:rsidRPr="00BD6197">
        <w:rPr>
          <w:i/>
          <w:iCs/>
          <w:lang w:val="en-US"/>
        </w:rPr>
        <w:t>administrative charges</w:t>
      </w:r>
      <w:r w:rsidRPr="00BD6197">
        <w:rPr>
          <w:lang w:val="en-US"/>
        </w:rPr>
        <w:t xml:space="preserve"> or, where there is no ambiguity, simply as </w:t>
      </w:r>
      <w:r w:rsidRPr="00BD6197">
        <w:rPr>
          <w:i/>
          <w:iCs/>
          <w:lang w:val="en-US"/>
        </w:rPr>
        <w:t>charges</w:t>
      </w:r>
      <w:r w:rsidRPr="00BD6197">
        <w:rPr>
          <w:lang w:val="en-US"/>
        </w:rPr>
        <w:t xml:space="preserve">) to cover all of the costs arising out of spectrum planning, management and monitoring activities. </w:t>
      </w:r>
    </w:p>
    <w:p w:rsidR="00007F8D" w:rsidRPr="00BD6197" w:rsidRDefault="00007F8D" w:rsidP="00007F8D">
      <w:pPr>
        <w:pStyle w:val="enumlev1"/>
        <w:rPr>
          <w:lang w:val="en-US"/>
        </w:rPr>
      </w:pPr>
      <w:r w:rsidRPr="00BD6197">
        <w:rPr>
          <w:lang w:val="en-US"/>
        </w:rPr>
        <w:t>f)</w:t>
      </w:r>
      <w:r w:rsidRPr="00BD6197">
        <w:rPr>
          <w:lang w:val="en-US"/>
        </w:rPr>
        <w:tab/>
        <w:t xml:space="preserve">The establishment of spectrum fees and administrative fees must be carried out with due respect for the rules of transparency, objectivity, proportionality and non-discrimination. Where transparency is concerned, it is particularly important that the rules governing the establishment of fees be simple and readily understandable by all concerned. </w:t>
      </w:r>
    </w:p>
    <w:p w:rsidR="00007F8D" w:rsidRPr="00BD6197" w:rsidRDefault="00007F8D" w:rsidP="00007F8D">
      <w:pPr>
        <w:pStyle w:val="enumlev1"/>
        <w:rPr>
          <w:lang w:val="en-US"/>
        </w:rPr>
      </w:pPr>
      <w:r w:rsidRPr="00BD6197">
        <w:rPr>
          <w:lang w:val="en-US"/>
        </w:rPr>
        <w:t>g)</w:t>
      </w:r>
      <w:r w:rsidRPr="00BD6197">
        <w:rPr>
          <w:lang w:val="en-US"/>
        </w:rPr>
        <w:tab/>
        <w:t xml:space="preserve">The rules governing the establishment of fees must be relatively stable over time in order to provide spectrum occupants with the necessary visibility and legal security. </w:t>
      </w:r>
    </w:p>
    <w:p w:rsidR="00007F8D" w:rsidRPr="00BD6197" w:rsidRDefault="00007F8D" w:rsidP="00007F8D">
      <w:pPr>
        <w:pStyle w:val="enumlev1"/>
        <w:rPr>
          <w:lang w:val="en-US"/>
        </w:rPr>
      </w:pPr>
      <w:r w:rsidRPr="00BD6197">
        <w:rPr>
          <w:lang w:val="en-US"/>
        </w:rPr>
        <w:t>h)</w:t>
      </w:r>
      <w:r w:rsidRPr="00BD6197">
        <w:rPr>
          <w:lang w:val="en-US"/>
        </w:rPr>
        <w:tab/>
        <w:t xml:space="preserve">In return for the fees they pay, users of assigned or allotted frequencies enjoy protection under the relevant provisions of the regulations in force. By contrast, users of freely accessible frequencies (used, for example, for low-range and low-power sets, WiFi, Bluetooth, amateur radio and radio-controlled models) are not protected and should therefore not be required to pay fees. A reality principle unites with this legal principle to dictate that fees should not be applied to freely accessible frequencies. </w:t>
      </w:r>
    </w:p>
    <w:p w:rsidR="00007F8D" w:rsidRPr="00BD6197" w:rsidRDefault="00007F8D" w:rsidP="00007F8D">
      <w:pPr>
        <w:pStyle w:val="Heading3"/>
        <w:rPr>
          <w:lang w:val="en-US"/>
        </w:rPr>
      </w:pPr>
      <w:bookmarkStart w:id="352" w:name="_Toc289868762"/>
      <w:bookmarkStart w:id="353" w:name="_Toc289868922"/>
      <w:bookmarkStart w:id="354" w:name="_Toc289932230"/>
      <w:bookmarkStart w:id="355" w:name="_Toc289933276"/>
      <w:bookmarkStart w:id="356" w:name="_Toc291852839"/>
      <w:bookmarkStart w:id="357" w:name="_Toc392515829"/>
      <w:bookmarkStart w:id="358" w:name="_Toc462233987"/>
      <w:bookmarkStart w:id="359" w:name="_Toc518394151"/>
      <w:r w:rsidRPr="00BD6197">
        <w:rPr>
          <w:lang w:val="en-US"/>
        </w:rPr>
        <w:t>2.2.2</w:t>
      </w:r>
      <w:r w:rsidRPr="00BD6197">
        <w:rPr>
          <w:lang w:val="en-US"/>
        </w:rPr>
        <w:tab/>
        <w:t>Economic principles</w:t>
      </w:r>
      <w:bookmarkEnd w:id="352"/>
      <w:bookmarkEnd w:id="353"/>
      <w:bookmarkEnd w:id="354"/>
      <w:bookmarkEnd w:id="355"/>
      <w:bookmarkEnd w:id="356"/>
      <w:bookmarkEnd w:id="357"/>
      <w:bookmarkEnd w:id="358"/>
      <w:bookmarkEnd w:id="359"/>
    </w:p>
    <w:p w:rsidR="00007F8D" w:rsidRPr="00BD6197" w:rsidRDefault="00007F8D" w:rsidP="00007F8D">
      <w:pPr>
        <w:pStyle w:val="enumlev1"/>
        <w:rPr>
          <w:lang w:val="en-US"/>
        </w:rPr>
      </w:pPr>
      <w:r w:rsidRPr="00BD6197">
        <w:rPr>
          <w:lang w:val="en-US"/>
        </w:rPr>
        <w:t>a)</w:t>
      </w:r>
      <w:r w:rsidRPr="00BD6197">
        <w:rPr>
          <w:lang w:val="en-US"/>
        </w:rPr>
        <w:tab/>
        <w:t xml:space="preserve">The frequency spectrum is a limited and, in some cases, scarce resource. The main objectives of the manager are to secure both optimum spectrum occupancy and effective frequency utilization. </w:t>
      </w:r>
    </w:p>
    <w:p w:rsidR="00007F8D" w:rsidRPr="00BD6197" w:rsidRDefault="00007F8D" w:rsidP="00007F8D">
      <w:pPr>
        <w:pStyle w:val="enumlev1"/>
        <w:rPr>
          <w:lang w:val="en-US"/>
        </w:rPr>
      </w:pPr>
      <w:r w:rsidRPr="00BD6197">
        <w:rPr>
          <w:lang w:val="en-US"/>
        </w:rPr>
        <w:t>b)</w:t>
      </w:r>
      <w:r w:rsidRPr="00BD6197">
        <w:rPr>
          <w:lang w:val="en-US"/>
        </w:rPr>
        <w:tab/>
        <w:t xml:space="preserve">The reasons for spectrum fees and administrative fees, and the ends to which they are put, are different. That difference should thus be reflected in two distinct approaches for establishing each kind of fee. </w:t>
      </w:r>
    </w:p>
    <w:p w:rsidR="00007F8D" w:rsidRPr="00BD6197" w:rsidRDefault="00007F8D" w:rsidP="00007F8D">
      <w:pPr>
        <w:pStyle w:val="enumlev1"/>
        <w:rPr>
          <w:lang w:val="en-US"/>
        </w:rPr>
      </w:pPr>
      <w:r w:rsidRPr="00BD6197">
        <w:rPr>
          <w:lang w:val="en-US"/>
        </w:rPr>
        <w:t>c)</w:t>
      </w:r>
      <w:r w:rsidRPr="00BD6197">
        <w:rPr>
          <w:lang w:val="en-US"/>
        </w:rPr>
        <w:tab/>
        <w:t xml:space="preserve">The sole purpose of administrative fees should be to pay for the service rendered by the authorities. </w:t>
      </w:r>
    </w:p>
    <w:p w:rsidR="00007F8D" w:rsidRPr="00BD6197" w:rsidRDefault="00007F8D" w:rsidP="00007F8D">
      <w:pPr>
        <w:pStyle w:val="enumlev1"/>
        <w:rPr>
          <w:lang w:val="en-US"/>
        </w:rPr>
      </w:pPr>
      <w:r w:rsidRPr="00BD6197">
        <w:rPr>
          <w:lang w:val="en-US"/>
        </w:rPr>
        <w:t>d)</w:t>
      </w:r>
      <w:r w:rsidRPr="00BD6197">
        <w:rPr>
          <w:lang w:val="en-US"/>
        </w:rPr>
        <w:tab/>
        <w:t>By contrast, the purpose of spectrum fees is multifaceted in that they must:</w:t>
      </w:r>
    </w:p>
    <w:p w:rsidR="00007F8D" w:rsidRPr="00BD6197" w:rsidRDefault="00007F8D" w:rsidP="00007F8D">
      <w:pPr>
        <w:pStyle w:val="enumlev2"/>
        <w:rPr>
          <w:lang w:val="en-US"/>
        </w:rPr>
      </w:pPr>
      <w:r w:rsidRPr="00BD6197">
        <w:rPr>
          <w:lang w:val="en-US"/>
        </w:rPr>
        <w:t>–</w:t>
      </w:r>
      <w:r w:rsidRPr="00BD6197">
        <w:rPr>
          <w:lang w:val="en-US"/>
        </w:rPr>
        <w:tab/>
        <w:t>enable achievement of the budgetary objective set by the authorities;</w:t>
      </w:r>
    </w:p>
    <w:p w:rsidR="00007F8D" w:rsidRPr="00BD6197" w:rsidRDefault="00007F8D" w:rsidP="00007F8D">
      <w:pPr>
        <w:pStyle w:val="enumlev2"/>
        <w:rPr>
          <w:lang w:val="en-US"/>
        </w:rPr>
      </w:pPr>
      <w:r w:rsidRPr="00BD6197">
        <w:rPr>
          <w:lang w:val="en-US"/>
        </w:rPr>
        <w:t>–</w:t>
      </w:r>
      <w:r w:rsidRPr="00BD6197">
        <w:rPr>
          <w:lang w:val="en-US"/>
        </w:rPr>
        <w:tab/>
        <w:t>not clash with the economic objectives of the authorities in regard to national development and the development of new services;</w:t>
      </w:r>
    </w:p>
    <w:p w:rsidR="00007F8D" w:rsidRPr="00BD6197" w:rsidRDefault="00007F8D" w:rsidP="00007F8D">
      <w:pPr>
        <w:pStyle w:val="enumlev2"/>
        <w:rPr>
          <w:lang w:val="en-US"/>
        </w:rPr>
      </w:pPr>
      <w:r w:rsidRPr="00BD6197">
        <w:rPr>
          <w:lang w:val="en-US"/>
        </w:rPr>
        <w:t>–</w:t>
      </w:r>
      <w:r w:rsidRPr="00BD6197">
        <w:rPr>
          <w:lang w:val="en-US"/>
        </w:rPr>
        <w:tab/>
        <w:t>take account of all the benefits that occupants derive from the spectrum;</w:t>
      </w:r>
    </w:p>
    <w:p w:rsidR="00007F8D" w:rsidRPr="00BD6197" w:rsidRDefault="00007F8D" w:rsidP="00007F8D">
      <w:pPr>
        <w:pStyle w:val="enumlev2"/>
        <w:rPr>
          <w:lang w:val="en-US"/>
        </w:rPr>
      </w:pPr>
      <w:r w:rsidRPr="00BD6197">
        <w:rPr>
          <w:lang w:val="en-US"/>
        </w:rPr>
        <w:t>–</w:t>
      </w:r>
      <w:r w:rsidRPr="00BD6197">
        <w:rPr>
          <w:lang w:val="en-US"/>
        </w:rPr>
        <w:tab/>
        <w:t>constitute a tool for spectrum management.</w:t>
      </w:r>
    </w:p>
    <w:p w:rsidR="00007F8D" w:rsidRPr="00BD6197" w:rsidRDefault="00007F8D" w:rsidP="00007F8D">
      <w:pPr>
        <w:pStyle w:val="enumlev1"/>
        <w:rPr>
          <w:lang w:val="en-US"/>
        </w:rPr>
      </w:pPr>
      <w:r w:rsidRPr="00BD6197">
        <w:rPr>
          <w:lang w:val="en-US"/>
        </w:rPr>
        <w:t>e)</w:t>
      </w:r>
      <w:r w:rsidRPr="00BD6197">
        <w:rPr>
          <w:lang w:val="en-US"/>
        </w:rPr>
        <w:tab/>
        <w:t>Fees constitute financial resources for the State and for the spectrum manager. The level at which they are set should systematically take account of inflation and the evolving status of the spectrum manager’s budget.</w:t>
      </w:r>
    </w:p>
    <w:p w:rsidR="00007F8D" w:rsidRPr="00BD6197" w:rsidRDefault="00007F8D" w:rsidP="00007F8D">
      <w:pPr>
        <w:pStyle w:val="Heading3"/>
        <w:rPr>
          <w:lang w:val="en-US"/>
        </w:rPr>
      </w:pPr>
      <w:bookmarkStart w:id="360" w:name="_Toc289868763"/>
      <w:bookmarkStart w:id="361" w:name="_Toc289868923"/>
      <w:bookmarkStart w:id="362" w:name="_Toc289932231"/>
      <w:bookmarkStart w:id="363" w:name="_Toc289933277"/>
      <w:bookmarkStart w:id="364" w:name="_Toc291852840"/>
      <w:bookmarkStart w:id="365" w:name="_Toc392515830"/>
      <w:bookmarkStart w:id="366" w:name="_Toc462233988"/>
      <w:bookmarkStart w:id="367" w:name="_Toc518394152"/>
      <w:r w:rsidRPr="00BD6197">
        <w:rPr>
          <w:lang w:val="en-US"/>
        </w:rPr>
        <w:t>2.2.3</w:t>
      </w:r>
      <w:r w:rsidRPr="00BD6197">
        <w:rPr>
          <w:lang w:val="en-US"/>
        </w:rPr>
        <w:tab/>
        <w:t>Reality principles</w:t>
      </w:r>
      <w:bookmarkEnd w:id="360"/>
      <w:bookmarkEnd w:id="361"/>
      <w:bookmarkEnd w:id="362"/>
      <w:bookmarkEnd w:id="363"/>
      <w:bookmarkEnd w:id="364"/>
      <w:bookmarkEnd w:id="365"/>
      <w:bookmarkEnd w:id="366"/>
      <w:bookmarkEnd w:id="367"/>
    </w:p>
    <w:p w:rsidR="00007F8D" w:rsidRPr="00BD6197" w:rsidRDefault="00007F8D" w:rsidP="00007F8D">
      <w:pPr>
        <w:pStyle w:val="enumlev1"/>
        <w:rPr>
          <w:lang w:val="en-US"/>
        </w:rPr>
      </w:pPr>
      <w:r w:rsidRPr="00BD6197">
        <w:rPr>
          <w:lang w:val="en-US"/>
        </w:rPr>
        <w:t>a)</w:t>
      </w:r>
      <w:r w:rsidRPr="00BD6197">
        <w:rPr>
          <w:lang w:val="en-US"/>
        </w:rPr>
        <w:tab/>
        <w:t>Fees should not be introduced in cases where those subject to them would be hard to identify individually (for example users of freely accessible frequencies), since their collection would be uncertain and probably very limited in terms of completeness.</w:t>
      </w:r>
    </w:p>
    <w:p w:rsidR="00007F8D" w:rsidRPr="00BD6197" w:rsidRDefault="00007F8D" w:rsidP="00007F8D">
      <w:pPr>
        <w:pStyle w:val="enumlev1"/>
        <w:keepNext/>
        <w:keepLines/>
        <w:rPr>
          <w:lang w:val="en-US"/>
        </w:rPr>
      </w:pPr>
      <w:r w:rsidRPr="00BD6197">
        <w:rPr>
          <w:lang w:val="en-US"/>
        </w:rPr>
        <w:lastRenderedPageBreak/>
        <w:t>b)</w:t>
      </w:r>
      <w:r w:rsidRPr="00BD6197">
        <w:rPr>
          <w:lang w:val="en-US"/>
        </w:rPr>
        <w:tab/>
        <w:t>When choosing the parameters to be used as the basis for fee calculation, those for which it is difficult or impossible in practice to verify the values declared by the users in question (e.g. height of a station antenna or number of mobile stations in a private network) should be avoided. This would reduce the opportunities for making inaccurate declarations in an attempt to reduce the amount payable.</w:t>
      </w:r>
    </w:p>
    <w:p w:rsidR="00007F8D" w:rsidRPr="00BD6197" w:rsidRDefault="00007F8D" w:rsidP="00007F8D">
      <w:pPr>
        <w:pStyle w:val="enumlev1"/>
        <w:rPr>
          <w:lang w:val="en-US"/>
        </w:rPr>
      </w:pPr>
      <w:r w:rsidRPr="00BD6197">
        <w:rPr>
          <w:lang w:val="en-US"/>
        </w:rPr>
        <w:t>c)</w:t>
      </w:r>
      <w:r w:rsidRPr="00BD6197">
        <w:rPr>
          <w:lang w:val="en-US"/>
        </w:rPr>
        <w:tab/>
        <w:t>The establishment of a fee system should be based on a consensus among all the players, since this would make for a healthy collection rate.</w:t>
      </w:r>
    </w:p>
    <w:p w:rsidR="00007F8D" w:rsidRPr="00BD6197" w:rsidRDefault="00007F8D" w:rsidP="00007F8D">
      <w:pPr>
        <w:pStyle w:val="Heading3"/>
        <w:rPr>
          <w:lang w:val="en-US"/>
        </w:rPr>
      </w:pPr>
      <w:bookmarkStart w:id="368" w:name="_Toc394385975"/>
      <w:bookmarkStart w:id="369" w:name="_Toc394386062"/>
      <w:bookmarkStart w:id="370" w:name="_Toc395503166"/>
      <w:bookmarkStart w:id="371" w:name="_Toc459746639"/>
      <w:bookmarkStart w:id="372" w:name="_Toc459792567"/>
      <w:bookmarkStart w:id="373" w:name="_Toc459793738"/>
      <w:bookmarkStart w:id="374" w:name="_Toc459793880"/>
      <w:bookmarkStart w:id="375" w:name="_Toc459970376"/>
      <w:bookmarkStart w:id="376" w:name="_Toc497033112"/>
      <w:bookmarkStart w:id="377" w:name="_Toc497033910"/>
      <w:bookmarkStart w:id="378" w:name="_Toc289868764"/>
      <w:bookmarkStart w:id="379" w:name="_Toc289868924"/>
      <w:bookmarkStart w:id="380" w:name="_Toc289932232"/>
      <w:bookmarkStart w:id="381" w:name="_Toc289933278"/>
      <w:bookmarkStart w:id="382" w:name="_Toc291852841"/>
      <w:bookmarkStart w:id="383" w:name="_Toc392515831"/>
      <w:bookmarkStart w:id="384" w:name="_Toc462233989"/>
      <w:bookmarkStart w:id="385" w:name="_Toc518394153"/>
      <w:r w:rsidRPr="00BD6197">
        <w:rPr>
          <w:lang w:val="en-US"/>
        </w:rPr>
        <w:t>2.2.4</w:t>
      </w:r>
      <w:r w:rsidRPr="00BD6197">
        <w:rPr>
          <w:lang w:val="en-US"/>
        </w:rPr>
        <w:tab/>
        <w:t>Approaches</w:t>
      </w:r>
      <w:bookmarkEnd w:id="368"/>
      <w:bookmarkEnd w:id="369"/>
      <w:bookmarkEnd w:id="370"/>
      <w:bookmarkEnd w:id="371"/>
      <w:bookmarkEnd w:id="372"/>
      <w:bookmarkEnd w:id="373"/>
      <w:bookmarkEnd w:id="374"/>
      <w:bookmarkEnd w:id="375"/>
      <w:bookmarkEnd w:id="376"/>
      <w:bookmarkEnd w:id="377"/>
      <w:r w:rsidRPr="00BD6197">
        <w:rPr>
          <w:lang w:val="en-US"/>
        </w:rPr>
        <w:t xml:space="preserve"> by different administrations</w:t>
      </w:r>
      <w:bookmarkEnd w:id="378"/>
      <w:bookmarkEnd w:id="379"/>
      <w:bookmarkEnd w:id="380"/>
      <w:bookmarkEnd w:id="381"/>
      <w:bookmarkEnd w:id="382"/>
      <w:bookmarkEnd w:id="383"/>
      <w:bookmarkEnd w:id="384"/>
      <w:bookmarkEnd w:id="385"/>
    </w:p>
    <w:p w:rsidR="00007F8D" w:rsidRPr="00BD6197" w:rsidRDefault="00007F8D" w:rsidP="00007F8D">
      <w:pPr>
        <w:pStyle w:val="Heading4"/>
        <w:rPr>
          <w:lang w:val="en-US"/>
        </w:rPr>
      </w:pPr>
      <w:bookmarkStart w:id="386" w:name="_Toc459746640"/>
      <w:bookmarkStart w:id="387" w:name="_Toc459792568"/>
      <w:bookmarkStart w:id="388" w:name="_Toc459793739"/>
      <w:bookmarkStart w:id="389" w:name="_Toc459793881"/>
      <w:bookmarkStart w:id="390" w:name="_Toc497033113"/>
      <w:bookmarkStart w:id="391" w:name="_Toc497033911"/>
      <w:r w:rsidRPr="00BD6197">
        <w:rPr>
          <w:lang w:val="en-US"/>
        </w:rPr>
        <w:t>2.2.4.1</w:t>
      </w:r>
      <w:r w:rsidRPr="00BD6197">
        <w:rPr>
          <w:lang w:val="en-US"/>
        </w:rPr>
        <w:tab/>
        <w:t>Traditional national budget financing</w:t>
      </w:r>
      <w:bookmarkEnd w:id="386"/>
      <w:bookmarkEnd w:id="387"/>
      <w:bookmarkEnd w:id="388"/>
      <w:bookmarkEnd w:id="389"/>
      <w:bookmarkEnd w:id="390"/>
      <w:bookmarkEnd w:id="391"/>
    </w:p>
    <w:p w:rsidR="00007F8D" w:rsidRPr="00BD6197" w:rsidRDefault="00007F8D" w:rsidP="00007F8D">
      <w:pPr>
        <w:rPr>
          <w:lang w:val="en-US"/>
        </w:rPr>
      </w:pPr>
      <w:r w:rsidRPr="00BD6197">
        <w:rPr>
          <w:lang w:val="en-US"/>
        </w:rPr>
        <w:t>Until recently, virtually all countries have funded their spectrum management programmes through a centralized national budget process. This approach simply involves allocating a portion of the administration’s annual budget to spectrum management. Generally the amount provided depends on the priorities of the national government. In many cases, the national spectrum manager provides estimates of its funding needs. The national government response, however, is limited by its total tax resources.</w:t>
      </w:r>
    </w:p>
    <w:p w:rsidR="00007F8D" w:rsidRPr="00BD6197" w:rsidRDefault="00007F8D" w:rsidP="00007F8D">
      <w:pPr>
        <w:pStyle w:val="Heading4"/>
        <w:rPr>
          <w:lang w:val="en-US"/>
        </w:rPr>
      </w:pPr>
      <w:bookmarkStart w:id="392" w:name="_Toc459746641"/>
      <w:bookmarkStart w:id="393" w:name="_Toc459792569"/>
      <w:bookmarkStart w:id="394" w:name="_Toc459793740"/>
      <w:bookmarkStart w:id="395" w:name="_Toc459793882"/>
      <w:bookmarkStart w:id="396" w:name="_Toc497033114"/>
      <w:bookmarkStart w:id="397" w:name="_Toc497033912"/>
      <w:r w:rsidRPr="00BD6197">
        <w:rPr>
          <w:lang w:val="en-US"/>
        </w:rPr>
        <w:t>2.2.4.2</w:t>
      </w:r>
      <w:r w:rsidRPr="00BD6197">
        <w:rPr>
          <w:lang w:val="en-US"/>
        </w:rPr>
        <w:tab/>
        <w:t>Spectrum use fees</w:t>
      </w:r>
      <w:bookmarkEnd w:id="392"/>
      <w:bookmarkEnd w:id="393"/>
      <w:bookmarkEnd w:id="394"/>
      <w:bookmarkEnd w:id="395"/>
      <w:bookmarkEnd w:id="396"/>
      <w:bookmarkEnd w:id="397"/>
    </w:p>
    <w:p w:rsidR="00007F8D" w:rsidRPr="00BD6197" w:rsidRDefault="00007F8D" w:rsidP="00007F8D">
      <w:pPr>
        <w:rPr>
          <w:lang w:val="en-US"/>
        </w:rPr>
      </w:pPr>
      <w:r w:rsidRPr="00BD6197">
        <w:rPr>
          <w:lang w:val="en-US"/>
        </w:rPr>
        <w:t>This approach involves charging some or all licensees for their use of the spectrum. Some countries are now funding their spectrum management programmes in whole or in part through fees. In some cases this includes financing a phased implementation of a national spectrum management programme. These fees are based either directly on spectrum use or indirectly through general administrative or regulatory charges. Fees can be established on a variety of bases and formulas for fee calculation can range from the simple to the complex.</w:t>
      </w:r>
    </w:p>
    <w:p w:rsidR="00007F8D" w:rsidRPr="00BD6197" w:rsidRDefault="00007F8D" w:rsidP="00007F8D">
      <w:pPr>
        <w:pStyle w:val="Heading4"/>
        <w:rPr>
          <w:lang w:val="en-US"/>
        </w:rPr>
      </w:pPr>
      <w:bookmarkStart w:id="398" w:name="_Toc459746642"/>
      <w:bookmarkStart w:id="399" w:name="_Toc459792570"/>
      <w:bookmarkStart w:id="400" w:name="_Toc459793741"/>
      <w:bookmarkStart w:id="401" w:name="_Toc459793883"/>
      <w:bookmarkStart w:id="402" w:name="_Toc497033115"/>
      <w:bookmarkStart w:id="403" w:name="_Toc497033913"/>
      <w:r w:rsidRPr="00BD6197">
        <w:rPr>
          <w:lang w:val="en-US"/>
        </w:rPr>
        <w:t>2.2.4.3</w:t>
      </w:r>
      <w:r w:rsidRPr="00BD6197">
        <w:rPr>
          <w:lang w:val="en-US"/>
        </w:rPr>
        <w:tab/>
        <w:t>Auctions</w:t>
      </w:r>
      <w:bookmarkEnd w:id="398"/>
      <w:bookmarkEnd w:id="399"/>
      <w:bookmarkEnd w:id="400"/>
      <w:bookmarkEnd w:id="401"/>
      <w:bookmarkEnd w:id="402"/>
      <w:bookmarkEnd w:id="403"/>
    </w:p>
    <w:p w:rsidR="00007F8D" w:rsidRPr="00BD6197" w:rsidRDefault="00007F8D" w:rsidP="00007F8D">
      <w:pPr>
        <w:rPr>
          <w:lang w:val="en-US"/>
        </w:rPr>
      </w:pPr>
      <w:r w:rsidRPr="00BD6197">
        <w:rPr>
          <w:lang w:val="en-US"/>
        </w:rPr>
        <w:t>Another way of funding spectrum management is by using a percentage of the money raised through auctions. While no country has directly funded spectrum management through auction revenues only, such revenues in some countries have vastly exceeded spectrum management costs.</w:t>
      </w:r>
    </w:p>
    <w:p w:rsidR="00007F8D" w:rsidRPr="00BD6197" w:rsidRDefault="00007F8D" w:rsidP="00007F8D">
      <w:pPr>
        <w:pStyle w:val="Heading3"/>
        <w:rPr>
          <w:lang w:val="en-US"/>
        </w:rPr>
      </w:pPr>
      <w:bookmarkStart w:id="404" w:name="_Toc394385976"/>
      <w:bookmarkStart w:id="405" w:name="_Toc394386063"/>
      <w:bookmarkStart w:id="406" w:name="_Toc395503167"/>
      <w:bookmarkStart w:id="407" w:name="_Toc459746643"/>
      <w:bookmarkStart w:id="408" w:name="_Toc459792571"/>
      <w:bookmarkStart w:id="409" w:name="_Toc459793742"/>
      <w:bookmarkStart w:id="410" w:name="_Toc459793884"/>
      <w:bookmarkStart w:id="411" w:name="_Toc459970377"/>
      <w:bookmarkStart w:id="412" w:name="_Toc497033116"/>
      <w:bookmarkStart w:id="413" w:name="_Toc497033914"/>
      <w:bookmarkStart w:id="414" w:name="_Toc289868765"/>
      <w:bookmarkStart w:id="415" w:name="_Toc289868925"/>
      <w:bookmarkStart w:id="416" w:name="_Toc289932233"/>
      <w:bookmarkStart w:id="417" w:name="_Toc289933279"/>
      <w:bookmarkStart w:id="418" w:name="_Toc291852842"/>
      <w:bookmarkStart w:id="419" w:name="_Toc392515832"/>
      <w:bookmarkStart w:id="420" w:name="_Toc462233990"/>
      <w:bookmarkStart w:id="421" w:name="_Toc518394154"/>
      <w:r w:rsidRPr="00BD6197">
        <w:rPr>
          <w:lang w:val="en-US"/>
        </w:rPr>
        <w:t>2.2.5</w:t>
      </w:r>
      <w:r w:rsidRPr="00BD6197">
        <w:rPr>
          <w:lang w:val="en-US"/>
        </w:rPr>
        <w:tab/>
        <w:t>Advantages and disadvantages of these approaches</w:t>
      </w:r>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p>
    <w:p w:rsidR="00007F8D" w:rsidRPr="00BD6197" w:rsidRDefault="00007F8D" w:rsidP="00007F8D">
      <w:pPr>
        <w:rPr>
          <w:lang w:val="en-US"/>
        </w:rPr>
      </w:pPr>
      <w:r w:rsidRPr="00BD6197">
        <w:rPr>
          <w:lang w:val="en-US"/>
        </w:rPr>
        <w:t>The national budget financing approach has been used successfully in some countries for a number of years. However, it depends heavily on the administration’s recognition of the importance of radiocommunications and spectrum management. National governing bodies dealing with a host of national issues are often unfamiliar with spectrum issues or the impact of radio on the national economy. Furthermore, the national budget financing approach does not impose any immediate costs on those who directly benefit from spectrum use, but rather imposes an indirect tax on all citizens. Funding for spectrum management under this approach has often been difficult in developed countries, but may be a particular problem in developing countries, where budgetary resources are limited and where the importance of spectrum-using services to the economy may not be as evident as in developed countries.</w:t>
      </w:r>
    </w:p>
    <w:p w:rsidR="00007F8D" w:rsidRPr="00BD6197" w:rsidRDefault="00007F8D" w:rsidP="00007F8D">
      <w:pPr>
        <w:rPr>
          <w:lang w:val="en-US"/>
        </w:rPr>
      </w:pPr>
      <w:r w:rsidRPr="00BD6197">
        <w:rPr>
          <w:lang w:val="en-US"/>
        </w:rPr>
        <w:t xml:space="preserve">The fee approach has also been used successfully in a number of countries, and it has the advantages of pre-determining revenues to be used for spectrum management and imposing costs on at least some entities that benefit from spectrum use. However, because fee levels can be based on a variety of considerations, such as policy direction or payment of administrative costs, determination of the levels for each type of radio use may represent a complex undertaking. Further, the use of fees to cover the cost of administrative processing may prove insufficient by itself to cover the costs of an adequate spectrum management programme. However, fee approaches that cover additional spectrum regulatory costs can be developed to fully fund spectrum management. It should be noted that in </w:t>
      </w:r>
      <w:r w:rsidRPr="00BD6197">
        <w:rPr>
          <w:lang w:val="en-US"/>
        </w:rPr>
        <w:lastRenderedPageBreak/>
        <w:t>addition to fees charged to spectrum users, application fees could be charged for the right to participate in comparative processes, lotteries, or auctions.</w:t>
      </w:r>
    </w:p>
    <w:p w:rsidR="00007F8D" w:rsidRPr="00BD6197" w:rsidRDefault="00007F8D" w:rsidP="00007F8D">
      <w:pPr>
        <w:rPr>
          <w:lang w:val="en-US"/>
        </w:rPr>
      </w:pPr>
      <w:r w:rsidRPr="00BD6197">
        <w:rPr>
          <w:lang w:val="en-US"/>
        </w:rPr>
        <w:t>Advantages of the auction approach are that it holds potential for an accurate reflection of the value of the spectrum and it imposes costs on those who directly benefit from spectrum use. However, the use of auctions may be viewed as a significant departure from normal practice. Furthermore, a disadvantage of this approach is that revenues are uncertain, and may exceed or fall short of what is needed to adequately fund spectrum management. If revenues exceed what is necessary, a portion of the revenues could be returned to the treasury, which would need to determine how this revenue will be distributed; whereas if revenues fall short, supplementary national budget or licence fee funding would have to be used to maintain all necessary spectrum management functions. Spectrum managers could attempt to ensure that revenues would be sufficient by establishing minimum bid amounts; however, if these amounts were set too high, no bids would be received. Auctions may not be suitable under certain circumstances and may need to be supplemented by other means. Auctions would not be suitable, for example, if there are no competing applicants, if a spectrum right cannot be properly defined, or if the anticipated costs of the auction exceed the anticipated revenues.</w:t>
      </w:r>
    </w:p>
    <w:p w:rsidR="00007F8D" w:rsidRPr="00BD6197" w:rsidRDefault="00007F8D" w:rsidP="00007F8D">
      <w:pPr>
        <w:pStyle w:val="Heading2"/>
        <w:rPr>
          <w:lang w:val="en-US"/>
        </w:rPr>
      </w:pPr>
      <w:bookmarkStart w:id="422" w:name="_Toc394385977"/>
      <w:bookmarkStart w:id="423" w:name="_Toc394386064"/>
      <w:bookmarkStart w:id="424" w:name="_Toc395503168"/>
      <w:bookmarkStart w:id="425" w:name="_Toc459746644"/>
      <w:bookmarkStart w:id="426" w:name="_Toc459792572"/>
      <w:bookmarkStart w:id="427" w:name="_Toc459793743"/>
      <w:bookmarkStart w:id="428" w:name="_Toc459793885"/>
      <w:bookmarkStart w:id="429" w:name="_Toc459970378"/>
      <w:bookmarkStart w:id="430" w:name="_Toc497033117"/>
      <w:bookmarkStart w:id="431" w:name="_Toc497033915"/>
      <w:bookmarkStart w:id="432" w:name="_Toc289868766"/>
      <w:bookmarkStart w:id="433" w:name="_Toc289868926"/>
      <w:bookmarkStart w:id="434" w:name="_Toc289932234"/>
      <w:bookmarkStart w:id="435" w:name="_Toc289933280"/>
      <w:bookmarkStart w:id="436" w:name="_Toc291852843"/>
      <w:bookmarkStart w:id="437" w:name="_Toc392515833"/>
      <w:bookmarkStart w:id="438" w:name="_Toc462233991"/>
      <w:bookmarkStart w:id="439" w:name="_Toc518394155"/>
      <w:r w:rsidRPr="00BD6197">
        <w:rPr>
          <w:lang w:val="en-US"/>
        </w:rPr>
        <w:t>2.3</w:t>
      </w:r>
      <w:r w:rsidRPr="00BD6197">
        <w:rPr>
          <w:lang w:val="en-US"/>
        </w:rPr>
        <w:tab/>
        <w:t>Economic approaches used to promote efficient national spectrum management</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p>
    <w:p w:rsidR="00007F8D" w:rsidRPr="00BD6197" w:rsidRDefault="00007F8D" w:rsidP="00007F8D">
      <w:pPr>
        <w:rPr>
          <w:lang w:val="en-US"/>
        </w:rPr>
      </w:pPr>
      <w:r w:rsidRPr="00BD6197">
        <w:rPr>
          <w:lang w:val="en-US"/>
        </w:rPr>
        <w:t>Economic (market-based) approaches can be used to improve national spectrum management in a variety of ways. As the term implies, these approaches promote economic efficiency; they also promote technical and administrative efficiency.</w:t>
      </w:r>
    </w:p>
    <w:p w:rsidR="00007F8D" w:rsidRPr="00BD6197" w:rsidRDefault="00007F8D" w:rsidP="00007F8D">
      <w:pPr>
        <w:rPr>
          <w:lang w:val="en-US"/>
        </w:rPr>
      </w:pPr>
      <w:r w:rsidRPr="00BD6197">
        <w:rPr>
          <w:lang w:val="en-US"/>
        </w:rPr>
        <w:t>For any resource, including the spectrum, the primary economic objective is to maximize the net benefits to society that can be generated from that resource; this is what economists refer to as an economically efficient distribution of the resource. Resources are said to be efficiently distributed, and the overall benefits to society maximized, when it is impossible to redistribute so as to make at least one individual better off without making another worse off. Such a distribution of resources is referred to as the “Pareto Optimality Criterion”, in honour of its developer, Italian economist Vilfredo Pareto (1848-1923). Strict adherence to this criterion in decision-making, however, greatly restricts the options available to spectrum managers because there will always be at least one person made worse off by any decision, hence, the less restrictive “Potential Pareto Optimality Criterion” is far more feasible. This criterion states that a redistribution of resources leads to an increase in overall social welfare and therefore should take place if those that are made better off by that redistribution could, in principle, fully compensate those that are made worse off and still receive greater benefits than was the case prior to the redistribution.</w:t>
      </w:r>
    </w:p>
    <w:p w:rsidR="00007F8D" w:rsidRPr="00BD6197" w:rsidRDefault="00007F8D" w:rsidP="00007F8D">
      <w:pPr>
        <w:rPr>
          <w:lang w:val="en-US"/>
        </w:rPr>
      </w:pPr>
      <w:r w:rsidRPr="00BD6197">
        <w:rPr>
          <w:lang w:val="en-US"/>
        </w:rPr>
        <w:t>A second economic objective relevant to spectrum management is resource rent capture. Economists categorize the value of a resource, be it spectrum, oil, or timber, as a “rent”. Rights or privileges to extract oil from the ground have value to companies who can sell that oil to consumers or use it to fuel their vehicles, so too does a right or privilege to use radio spectrum have value to a spectrum user who can sell wireless services (a paging company, for example) or use wireless technologies in the provision of other goods or services (a taxi company, for example). The rent accruing to a resource, including a spectrum licence, can be quantified by the price that the resource would bring in an open market. If a spectrum licensee receives for free a licence that has economic value, the licensee has captured the rent accruing to that licence.</w:t>
      </w:r>
    </w:p>
    <w:p w:rsidR="00007F8D" w:rsidRPr="00BD6197" w:rsidRDefault="00007F8D" w:rsidP="00007F8D">
      <w:pPr>
        <w:rPr>
          <w:lang w:val="en-US"/>
        </w:rPr>
      </w:pPr>
      <w:r w:rsidRPr="00BD6197">
        <w:rPr>
          <w:lang w:val="en-US"/>
        </w:rPr>
        <w:t xml:space="preserve">The value of spectrum is reflected in two inherent rents: scarcity rent and differential rent. Scarcity rent exists because demand for spectrum, at least in certain bands and at certain times, exceeds supply at zero price. Differential rent exists because each frequency band possesses specific propagation characteristics that make it suitable for specific services. Having access to the most suitable frequency band could minimize the cost of implementation and optimize the performance of a radio system. Bands that are suitable for many different services using inexpensive equipment are more valuable than bands that are suitable for only one type of service using costly equipment. However, even for </w:t>
      </w:r>
      <w:r w:rsidRPr="00BD6197">
        <w:rPr>
          <w:lang w:val="en-US"/>
        </w:rPr>
        <w:lastRenderedPageBreak/>
        <w:t>the former bands, their non-exclusive use in a particular geographic area may dramatically reduce their value. While some shared use of spectrum may be efficient, where transmitters operate at the same time in the same area and on the same frequency, they may cause mutual harmful interference, thus reducing the band’s value in that area at that time.</w:t>
      </w:r>
    </w:p>
    <w:p w:rsidR="00007F8D" w:rsidRPr="00BD6197" w:rsidRDefault="00007F8D" w:rsidP="00007F8D">
      <w:pPr>
        <w:rPr>
          <w:lang w:val="en-US"/>
        </w:rPr>
      </w:pPr>
      <w:r w:rsidRPr="00BD6197">
        <w:rPr>
          <w:lang w:val="en-US"/>
        </w:rPr>
        <w:t>In theory, both the goals of Pareto Optimality and resource rent capture can be promoted by creating a free market in spectrum. In such a market, all spectrum assignments would consist of well-defined, legal rights of possession that could be transferred, aggregated and sub</w:t>
      </w:r>
      <w:r w:rsidRPr="00BD6197">
        <w:rPr>
          <w:lang w:val="en-US"/>
        </w:rPr>
        <w:noBreakHyphen/>
        <w:t>divided, and used for any purpose the owner saw fit, so long as this use did not interfere with the possession rights of other spectrum users. However, preventing interference among technically different services (for example, broadcast, mobile, fixed, and satellite) in a spectrum market would require extremely complex engineering analysis, and could lead to litigation among spectrum users. Further, most spectrum managers believe that there are other reasons for imposing some limitations on a spectrum market. These include the following:</w:t>
      </w:r>
    </w:p>
    <w:p w:rsidR="00007F8D" w:rsidRPr="00BD6197" w:rsidRDefault="00007F8D" w:rsidP="00007F8D">
      <w:pPr>
        <w:pStyle w:val="enumlev1"/>
        <w:rPr>
          <w:lang w:val="en-US"/>
        </w:rPr>
      </w:pPr>
      <w:r w:rsidRPr="00BD6197">
        <w:rPr>
          <w:lang w:val="en-US"/>
        </w:rPr>
        <w:t>–</w:t>
      </w:r>
      <w:r w:rsidRPr="00BD6197">
        <w:rPr>
          <w:lang w:val="en-US"/>
        </w:rPr>
        <w:tab/>
        <w:t>Critical government, scientific research, and other socially desirable requirements may not be adequately satisfied.</w:t>
      </w:r>
    </w:p>
    <w:p w:rsidR="00007F8D" w:rsidRPr="00BD6197" w:rsidRDefault="00007F8D" w:rsidP="00007F8D">
      <w:pPr>
        <w:pStyle w:val="enumlev1"/>
        <w:rPr>
          <w:lang w:val="en-US"/>
        </w:rPr>
      </w:pPr>
      <w:r w:rsidRPr="00BD6197">
        <w:rPr>
          <w:lang w:val="en-US"/>
        </w:rPr>
        <w:t>–</w:t>
      </w:r>
      <w:r w:rsidRPr="00BD6197">
        <w:rPr>
          <w:lang w:val="en-US"/>
        </w:rPr>
        <w:tab/>
        <w:t>Limits on spectrum aggregation by individual users may be desirable to preclude anti</w:t>
      </w:r>
      <w:r w:rsidRPr="00BD6197">
        <w:rPr>
          <w:lang w:val="en-US"/>
        </w:rPr>
        <w:noBreakHyphen/>
        <w:t>competitive market dominance by rich users.</w:t>
      </w:r>
    </w:p>
    <w:p w:rsidR="00007F8D" w:rsidRPr="00BD6197" w:rsidRDefault="00007F8D" w:rsidP="00007F8D">
      <w:pPr>
        <w:pStyle w:val="enumlev1"/>
        <w:rPr>
          <w:lang w:val="en-US"/>
        </w:rPr>
      </w:pPr>
      <w:r w:rsidRPr="00BD6197">
        <w:rPr>
          <w:lang w:val="en-US"/>
        </w:rPr>
        <w:t>–</w:t>
      </w:r>
      <w:r w:rsidRPr="00BD6197">
        <w:rPr>
          <w:lang w:val="en-US"/>
        </w:rPr>
        <w:tab/>
        <w:t>By allocating certain bands to certain uses, whether on a unilateral, national basis or a multilateral, international basis, economies of scale in equipment production may be facilitated.</w:t>
      </w:r>
    </w:p>
    <w:p w:rsidR="00007F8D" w:rsidRPr="00BD6197" w:rsidRDefault="00007F8D" w:rsidP="00007F8D">
      <w:pPr>
        <w:pStyle w:val="enumlev1"/>
        <w:rPr>
          <w:lang w:val="en-US"/>
        </w:rPr>
      </w:pPr>
      <w:r w:rsidRPr="00BD6197">
        <w:rPr>
          <w:lang w:val="en-US"/>
        </w:rPr>
        <w:t>–</w:t>
      </w:r>
      <w:r w:rsidRPr="00BD6197">
        <w:rPr>
          <w:lang w:val="en-US"/>
        </w:rPr>
        <w:tab/>
        <w:t>Internationally allocated bands for globally mobile spectrum users such as mobile users aboard ships and aircraft help to ensure that multiple transmitters and receivers for the same communications function are not needed on board.</w:t>
      </w:r>
    </w:p>
    <w:p w:rsidR="00007F8D" w:rsidRPr="00BD6197" w:rsidRDefault="00007F8D" w:rsidP="00007F8D">
      <w:pPr>
        <w:rPr>
          <w:lang w:val="en-US"/>
        </w:rPr>
      </w:pPr>
      <w:r w:rsidRPr="00BD6197">
        <w:rPr>
          <w:lang w:val="en-US"/>
        </w:rPr>
        <w:t>Accordingly, national spectrum managers worldwide have usually chosen to forego an unfettered spectrum market and have allocated frequency bands to particular uses, with varying technical restrictions. However, in the absence of a property rights system, spectrum managers may wish to consider spectrum valuations of competing groups of users </w:t>
      </w:r>
      <w:r w:rsidRPr="00BD6197">
        <w:rPr>
          <w:rFonts w:ascii="Symbol" w:hAnsi="Symbol"/>
          <w:lang w:val="en-US"/>
        </w:rPr>
        <w:noBreakHyphen/>
      </w:r>
      <w:r w:rsidRPr="00BD6197">
        <w:rPr>
          <w:rFonts w:ascii="Symbol" w:hAnsi="Symbol"/>
          <w:lang w:val="en-US"/>
        </w:rPr>
        <w:t></w:t>
      </w:r>
      <w:r w:rsidRPr="00BD6197">
        <w:rPr>
          <w:lang w:val="en-US"/>
        </w:rPr>
        <w:t>broadcasters versus mobile telecommunications service providers, for example. Without a spectrum market, such valuations can be done only imperfectly, but using market proxies such as estimation of service revenues and impact of the service on gross domestic product and employment can be helpful in generating data for use in making allocation and other spectrum management decisions.</w:t>
      </w:r>
    </w:p>
    <w:p w:rsidR="00007F8D" w:rsidRPr="00BD6197" w:rsidRDefault="00007F8D" w:rsidP="00007F8D">
      <w:pPr>
        <w:pStyle w:val="Heading3"/>
        <w:rPr>
          <w:lang w:val="en-US"/>
        </w:rPr>
      </w:pPr>
      <w:bookmarkStart w:id="440" w:name="_Toc394385978"/>
      <w:bookmarkStart w:id="441" w:name="_Toc394386065"/>
      <w:bookmarkStart w:id="442" w:name="_Toc395503169"/>
      <w:bookmarkStart w:id="443" w:name="_Toc459746645"/>
      <w:bookmarkStart w:id="444" w:name="_Toc459792573"/>
      <w:bookmarkStart w:id="445" w:name="_Toc459793744"/>
      <w:bookmarkStart w:id="446" w:name="_Toc459793886"/>
      <w:bookmarkStart w:id="447" w:name="_Toc459970379"/>
      <w:bookmarkStart w:id="448" w:name="_Toc497033118"/>
      <w:bookmarkStart w:id="449" w:name="_Toc497033916"/>
      <w:bookmarkStart w:id="450" w:name="_Toc289868767"/>
      <w:bookmarkStart w:id="451" w:name="_Toc289868927"/>
      <w:bookmarkStart w:id="452" w:name="_Toc289932235"/>
      <w:bookmarkStart w:id="453" w:name="_Toc289933281"/>
      <w:bookmarkStart w:id="454" w:name="_Toc291852844"/>
      <w:bookmarkStart w:id="455" w:name="_Toc392515834"/>
      <w:bookmarkStart w:id="456" w:name="_Toc462233992"/>
      <w:bookmarkStart w:id="457" w:name="_Toc518394156"/>
      <w:r w:rsidRPr="00BD6197">
        <w:rPr>
          <w:lang w:val="en-US"/>
        </w:rPr>
        <w:t>2.3.1</w:t>
      </w:r>
      <w:r w:rsidRPr="00BD6197">
        <w:rPr>
          <w:lang w:val="en-US"/>
        </w:rPr>
        <w:tab/>
        <w:t>Spectrum assignment methods</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p>
    <w:p w:rsidR="00007F8D" w:rsidRPr="00BD6197" w:rsidRDefault="00007F8D" w:rsidP="00007F8D">
      <w:pPr>
        <w:rPr>
          <w:lang w:val="en-US"/>
        </w:rPr>
      </w:pPr>
      <w:r w:rsidRPr="00BD6197">
        <w:rPr>
          <w:lang w:val="en-US"/>
        </w:rPr>
        <w:t>After spectrum is allocated to a particular use, it must be assigned to individual users. If demand for a particular frequency band in a particular geographic area is limited, there will be no necessity to resolve mutually exclusive (competing) requests for that band. Accordingly, licences may simply be assigned to applicants upon request, provided that applicants adhere to certain technical standards and regulations. However, if mutually exclusive spectrum requests exist, an assignment method must be used to choose from among competing applicants. Three methods of doing this are comparative processes (such as comparative hearings), lotteries, and auctions.</w:t>
      </w:r>
    </w:p>
    <w:p w:rsidR="00007F8D" w:rsidRPr="00BD6197" w:rsidRDefault="00007F8D" w:rsidP="00007F8D">
      <w:pPr>
        <w:pStyle w:val="Heading4"/>
        <w:rPr>
          <w:lang w:val="en-US"/>
        </w:rPr>
      </w:pPr>
      <w:bookmarkStart w:id="458" w:name="_Toc459746646"/>
      <w:bookmarkStart w:id="459" w:name="_Toc459792574"/>
      <w:bookmarkStart w:id="460" w:name="_Toc459793745"/>
      <w:bookmarkStart w:id="461" w:name="_Toc459793887"/>
      <w:bookmarkStart w:id="462" w:name="_Toc497033119"/>
      <w:bookmarkStart w:id="463" w:name="_Toc497033917"/>
      <w:r w:rsidRPr="00BD6197">
        <w:rPr>
          <w:lang w:val="en-US"/>
        </w:rPr>
        <w:t>2.3.1.1</w:t>
      </w:r>
      <w:r w:rsidRPr="00BD6197">
        <w:rPr>
          <w:lang w:val="en-US"/>
        </w:rPr>
        <w:tab/>
        <w:t>Non-market-based assignment approaches: comparative processes and lotteries</w:t>
      </w:r>
      <w:bookmarkEnd w:id="458"/>
      <w:bookmarkEnd w:id="459"/>
      <w:bookmarkEnd w:id="460"/>
      <w:bookmarkEnd w:id="461"/>
      <w:bookmarkEnd w:id="462"/>
      <w:bookmarkEnd w:id="463"/>
    </w:p>
    <w:p w:rsidR="00007F8D" w:rsidRPr="00BD6197" w:rsidRDefault="00007F8D" w:rsidP="00007F8D">
      <w:pPr>
        <w:rPr>
          <w:lang w:val="en-US"/>
        </w:rPr>
      </w:pPr>
      <w:r w:rsidRPr="00BD6197">
        <w:rPr>
          <w:lang w:val="en-US"/>
        </w:rPr>
        <w:t xml:space="preserve">In a comparative process, the qualifications of each of the competing spectrum applicants are formally compared based on established and published national criteria. (Typically, these criteria might include population to be served, quality of service, and speed of service implementation.) The spectrum management authority determines who is the best qualified applicant to use the spectrum and awards the licence. However, comparative processes can be very time-consuming and resource-intensive, may not assign spectrum to those who value it most highly, and may not generate any revenues unless licence fees and/or application fees are charged. Additionally, comparative processes are often </w:t>
      </w:r>
      <w:r w:rsidRPr="00BD6197">
        <w:rPr>
          <w:lang w:val="en-US"/>
        </w:rPr>
        <w:lastRenderedPageBreak/>
        <w:t>decided on the basis of minor differences among applicants, and may cause the decision to be contested by unsuccessful applicants.</w:t>
      </w:r>
    </w:p>
    <w:p w:rsidR="00007F8D" w:rsidRPr="00BD6197" w:rsidRDefault="00007F8D" w:rsidP="00007F8D">
      <w:pPr>
        <w:rPr>
          <w:lang w:val="en-US"/>
        </w:rPr>
      </w:pPr>
      <w:r w:rsidRPr="00BD6197">
        <w:rPr>
          <w:lang w:val="en-US"/>
        </w:rPr>
        <w:t>In a lottery, licensees are selected at random from among all competing spectrum applicants. Lotteries can decrease some aspects of the administrative burden entailed in comparative hearings, such as legal expenses, but may create a different kind of administrative burden by encouraging more applications to be filed. Additionally, lotteries do not assign spectrum to those who value it most highly, except by chance, lead to significant transaction costs, and again generate no revenues, unless fees are attached to the licence assigned by lottery or an entry fee to participate in the lottery is charged. Rather, lottery winners in many cases transfer their spectrum rights to other parties, thus capturing the resource rents for themselves. Thus lotteries, without significant application fees or other measures that guarantee the applicant’s intent to provide radio services, tend to encourage speculation.</w:t>
      </w:r>
    </w:p>
    <w:p w:rsidR="00007F8D" w:rsidRPr="00BD6197" w:rsidRDefault="00007F8D" w:rsidP="00007F8D">
      <w:pPr>
        <w:rPr>
          <w:lang w:val="en-US"/>
        </w:rPr>
      </w:pPr>
      <w:r w:rsidRPr="00BD6197">
        <w:rPr>
          <w:lang w:val="en-US"/>
        </w:rPr>
        <w:t>While comparative processes and lotteries are not market-based assignment methods, market forces can be brought to bear after the spectrum has been assigned through the establishment of a secondary market (see § 2.3.2).</w:t>
      </w:r>
    </w:p>
    <w:p w:rsidR="00007F8D" w:rsidRPr="00BD6197" w:rsidRDefault="00007F8D" w:rsidP="00007F8D">
      <w:pPr>
        <w:pStyle w:val="Heading4"/>
        <w:rPr>
          <w:lang w:val="en-US"/>
        </w:rPr>
      </w:pPr>
      <w:bookmarkStart w:id="464" w:name="_Toc459746647"/>
      <w:bookmarkStart w:id="465" w:name="_Toc459792575"/>
      <w:bookmarkStart w:id="466" w:name="_Toc459793746"/>
      <w:bookmarkStart w:id="467" w:name="_Toc459793888"/>
      <w:bookmarkStart w:id="468" w:name="_Toc497033120"/>
      <w:bookmarkStart w:id="469" w:name="_Toc497033918"/>
      <w:r w:rsidRPr="00BD6197">
        <w:rPr>
          <w:lang w:val="en-US"/>
        </w:rPr>
        <w:t>2.3.1.2</w:t>
      </w:r>
      <w:r w:rsidRPr="00BD6197">
        <w:rPr>
          <w:lang w:val="en-US"/>
        </w:rPr>
        <w:tab/>
        <w:t>Market-based assignment approach: auctions</w:t>
      </w:r>
      <w:bookmarkEnd w:id="464"/>
      <w:bookmarkEnd w:id="465"/>
      <w:bookmarkEnd w:id="466"/>
      <w:bookmarkEnd w:id="467"/>
      <w:bookmarkEnd w:id="468"/>
      <w:bookmarkEnd w:id="469"/>
    </w:p>
    <w:p w:rsidR="00007F8D" w:rsidRPr="00BD6197" w:rsidRDefault="00007F8D" w:rsidP="00007F8D">
      <w:pPr>
        <w:rPr>
          <w:lang w:val="en-US"/>
        </w:rPr>
      </w:pPr>
      <w:r w:rsidRPr="00BD6197">
        <w:rPr>
          <w:lang w:val="en-US"/>
        </w:rPr>
        <w:t>In an auction, licences are awarded by bidding among competing spectrum applicants. Auctions award licences to those who value them most highly while simultaneously generating revenues for the spectrum authority. However, as is the case with an unrestricted spectrum market, auctions may raise competitive concerns if not combined with an active competition policy and limits on how much spectrum an entity may purchase. Market forces do not ensure economic efficiency or maximize consumer welfare in markets that are not competitive because a dominant service provider or group of providers have market power. Additionally, auctions may fail to adequately provide certain socially desirable services or distribute licences to certain groups, such as small businesses (if that is an objective). However, “bidding credits” (discounts) and installment payments to selected entities may alleviate these problems. In fact, entities that would have little chance to win in a comparative process or a lottery may be successful in an auction if bidding credits are significant and if installment payments permit licence costs to be paid over a number of years.</w:t>
      </w:r>
    </w:p>
    <w:p w:rsidR="00007F8D" w:rsidRPr="00BD6197" w:rsidRDefault="00007F8D" w:rsidP="00007F8D">
      <w:pPr>
        <w:rPr>
          <w:lang w:val="en-US"/>
        </w:rPr>
      </w:pPr>
      <w:r w:rsidRPr="00BD6197">
        <w:rPr>
          <w:lang w:val="en-US"/>
        </w:rPr>
        <w:t>Auctions and lotteries may significantly decrease the administrative costs and time associated with the spectrum assignment process and therefore improve overall administrative efficiency in contrast to comparative processes.</w:t>
      </w:r>
    </w:p>
    <w:p w:rsidR="00007F8D" w:rsidRPr="00BD6197" w:rsidRDefault="00007F8D" w:rsidP="00007F8D">
      <w:pPr>
        <w:pStyle w:val="Heading3"/>
        <w:rPr>
          <w:lang w:val="en-US"/>
        </w:rPr>
      </w:pPr>
      <w:bookmarkStart w:id="470" w:name="_Toc394385979"/>
      <w:bookmarkStart w:id="471" w:name="_Toc394386066"/>
      <w:bookmarkStart w:id="472" w:name="_Toc395503170"/>
      <w:bookmarkStart w:id="473" w:name="_Toc459746648"/>
      <w:bookmarkStart w:id="474" w:name="_Toc459792576"/>
      <w:bookmarkStart w:id="475" w:name="_Toc459793747"/>
      <w:bookmarkStart w:id="476" w:name="_Toc459793889"/>
      <w:bookmarkStart w:id="477" w:name="_Toc459970380"/>
      <w:bookmarkStart w:id="478" w:name="_Toc497033121"/>
      <w:bookmarkStart w:id="479" w:name="_Toc497033919"/>
      <w:bookmarkStart w:id="480" w:name="_Toc289868768"/>
      <w:bookmarkStart w:id="481" w:name="_Toc289868928"/>
      <w:bookmarkStart w:id="482" w:name="_Toc289932236"/>
      <w:bookmarkStart w:id="483" w:name="_Toc289933282"/>
      <w:bookmarkStart w:id="484" w:name="_Toc291852845"/>
      <w:bookmarkStart w:id="485" w:name="_Toc392515835"/>
      <w:bookmarkStart w:id="486" w:name="_Toc462233993"/>
      <w:bookmarkStart w:id="487" w:name="_Toc518394157"/>
      <w:r w:rsidRPr="00BD6197">
        <w:rPr>
          <w:lang w:val="en-US"/>
        </w:rPr>
        <w:t>2.3.2</w:t>
      </w:r>
      <w:r w:rsidRPr="00BD6197">
        <w:rPr>
          <w:lang w:val="en-US"/>
        </w:rPr>
        <w:tab/>
        <w:t>Transferable and flexible spectrum rights</w:t>
      </w:r>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p>
    <w:p w:rsidR="00007F8D" w:rsidRPr="00BD6197" w:rsidRDefault="00007F8D" w:rsidP="00007F8D">
      <w:pPr>
        <w:rPr>
          <w:lang w:val="en-US"/>
        </w:rPr>
      </w:pPr>
      <w:r w:rsidRPr="00BD6197">
        <w:rPr>
          <w:lang w:val="en-US"/>
        </w:rPr>
        <w:t>While auctions are the assignment mechanism best suited to providing an initial economically efficient distribution of the spectrum resource, they will not ensure that spectrum continues to be used in an economically efficient manner in the future. As with other resources, economists recommend that spectrum users be allowed to transfer their spectrum rights (whether assigned by auction or some other assignment mechanism) and that spectrum users have a high degree of flexibility in the choice of the consumer services that they provide with their spectrum.</w:t>
      </w:r>
    </w:p>
    <w:p w:rsidR="00007F8D" w:rsidRPr="00BD6197" w:rsidRDefault="00007F8D" w:rsidP="00007F8D">
      <w:pPr>
        <w:rPr>
          <w:lang w:val="en-US"/>
        </w:rPr>
      </w:pPr>
      <w:r w:rsidRPr="00BD6197">
        <w:rPr>
          <w:lang w:val="en-US"/>
        </w:rPr>
        <w:t>The least restrictive form of transferable property rights permits unlimited technical flexibility without regard to an allocation structure, provided that harmful interference is not caused outside the assigned band. This system, if applied to all frequency bands, would result in an unfettered spectrum market. However, as discussed in § 2.3, a totally free market spectrum approach has not been implemented by any country.</w:t>
      </w:r>
    </w:p>
    <w:p w:rsidR="00007F8D" w:rsidRPr="00BD6197" w:rsidRDefault="00007F8D" w:rsidP="00007F8D">
      <w:pPr>
        <w:rPr>
          <w:lang w:val="en-US"/>
        </w:rPr>
      </w:pPr>
      <w:r w:rsidRPr="00BD6197">
        <w:rPr>
          <w:lang w:val="en-US"/>
        </w:rPr>
        <w:t xml:space="preserve">The most restrictive form of property rights permits transferability only within the confines of a given allocation and only within strictly defined technical parameters. This system has the advantages of ensuring that the entity within the allocated service who values a particular frequency assignment the most will be able to use that assignment, while minimizing the possibility of interference. However, </w:t>
      </w:r>
      <w:r w:rsidRPr="00BD6197">
        <w:rPr>
          <w:lang w:val="en-US"/>
        </w:rPr>
        <w:lastRenderedPageBreak/>
        <w:t>by restricting technical flexibility to ensure interference control, economic efficiency may also be significantly reduced. Further, if property rights are simply vested in incumbent licensees, any resource rent accruing to a particular frequency assignment is captured by the incumbent, rather than the spectrum management authority, unless the rents have been captured initially via an auction or through licence fees.</w:t>
      </w:r>
    </w:p>
    <w:p w:rsidR="00007F8D" w:rsidRPr="00BD6197" w:rsidRDefault="00007F8D" w:rsidP="00007F8D">
      <w:pPr>
        <w:rPr>
          <w:lang w:val="en-US"/>
        </w:rPr>
      </w:pPr>
      <w:r w:rsidRPr="00BD6197">
        <w:rPr>
          <w:lang w:val="en-US"/>
        </w:rPr>
        <w:t>The middle course with respect to property rights, and the approach used in some bands by New Zealand, the United States of America, and Australia, is to specify emission rights within a given allocation, which may be broadly defined, for example, broadcasting or mobile radio. This approach can lead to an increase in economic efficiency both because licensees are allowed to adjust their use of inputs in accordance with cost and demand considerations; e.g. a mobile radio provider may be able to satisfy increased demand by using a different modulation technique, and because licensees may freely transfer their frequency rights in whole or in part to entities that value those rights more highly. Hence a tradable spectrum rights system provides licensees with the full incentive to use their spectrum in a technically efficient manner. However, a disadvantage of this approach is that it may increase the potential for harmful interference among licensees because technical inputs are not specified. Specifying licensees’ emission rights rather than specifying what inputs licensees must use places a heavier interference control burden on licensees. However, licensees can be allowed to negotiate their emission rights; e.g., one licensee may agree to accept additional interference in exchange for monetary compensation. Dependent upon how often disputes requiring resolution by the spectrum management authority or the courts arise, permitting such negotiations may prove advantageous or disadvantageous.</w:t>
      </w:r>
    </w:p>
    <w:p w:rsidR="00007F8D" w:rsidRPr="00BD6197" w:rsidRDefault="00007F8D" w:rsidP="00007F8D">
      <w:pPr>
        <w:pStyle w:val="Heading3"/>
        <w:rPr>
          <w:lang w:val="en-US"/>
        </w:rPr>
      </w:pPr>
      <w:bookmarkStart w:id="488" w:name="_Toc394385980"/>
      <w:bookmarkStart w:id="489" w:name="_Toc394386067"/>
      <w:bookmarkStart w:id="490" w:name="_Toc395503171"/>
      <w:bookmarkStart w:id="491" w:name="_Toc459746649"/>
      <w:bookmarkStart w:id="492" w:name="_Toc459792577"/>
      <w:bookmarkStart w:id="493" w:name="_Toc459793748"/>
      <w:bookmarkStart w:id="494" w:name="_Toc459793890"/>
      <w:bookmarkStart w:id="495" w:name="_Toc459970381"/>
      <w:bookmarkStart w:id="496" w:name="_Toc497033122"/>
      <w:bookmarkStart w:id="497" w:name="_Toc497033920"/>
      <w:bookmarkStart w:id="498" w:name="_Toc289868769"/>
      <w:bookmarkStart w:id="499" w:name="_Toc289868929"/>
      <w:bookmarkStart w:id="500" w:name="_Toc289932237"/>
      <w:bookmarkStart w:id="501" w:name="_Toc289933283"/>
      <w:bookmarkStart w:id="502" w:name="_Toc291852846"/>
      <w:bookmarkStart w:id="503" w:name="_Toc392515836"/>
      <w:bookmarkStart w:id="504" w:name="_Toc462233994"/>
      <w:bookmarkStart w:id="505" w:name="_Toc518394158"/>
      <w:r w:rsidRPr="00BD6197">
        <w:rPr>
          <w:lang w:val="en-US"/>
        </w:rPr>
        <w:t>2.3.3</w:t>
      </w:r>
      <w:r w:rsidRPr="00BD6197">
        <w:rPr>
          <w:lang w:val="en-US"/>
        </w:rPr>
        <w:tab/>
        <w:t>Advantages and disadvantages of auctions and transferable spectrum rights</w:t>
      </w:r>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rsidR="00007F8D" w:rsidRPr="00BD6197" w:rsidRDefault="00007F8D" w:rsidP="00007F8D">
      <w:pPr>
        <w:rPr>
          <w:lang w:val="en-US"/>
        </w:rPr>
      </w:pPr>
      <w:r w:rsidRPr="00BD6197">
        <w:rPr>
          <w:lang w:val="en-US"/>
        </w:rPr>
        <w:t>Auctions have the advantages of awarding licences to those who value them most highly, while simultaneously generating revenues. When auctions are used to assign licences within a given allocation structure, licences are awarded to those who value them the most only within the confines of the allocation structure. For example, if a particular block of spectrum in a particular area is valued most highly by broadcasters but is allocated to mobile radio, revenues and the economic benefits generated from that spectrum will be less than if broadcasters were allowed to participate in the auction. Broadening the range of uses permitted under an auctioned licence also allows spectrum to be used for those services most in demand. However, broadly defining services has the potential disadvantage of increasing the cost of interference coordination between licensees in adjacent spectrum and areas. These arguments regarding allocation structure apply equally to a system of transferable spectrum rights after the initial spectrum assignment.</w:t>
      </w:r>
    </w:p>
    <w:p w:rsidR="00007F8D" w:rsidRPr="00BD6197" w:rsidRDefault="00007F8D" w:rsidP="00007F8D">
      <w:pPr>
        <w:rPr>
          <w:lang w:val="en-US"/>
        </w:rPr>
      </w:pPr>
      <w:r w:rsidRPr="00BD6197">
        <w:rPr>
          <w:lang w:val="en-US"/>
        </w:rPr>
        <w:t>Other expected benefits associated with auctions may be fairness, transparency, objectiveness, and the speed with which licenses can be awarded. Auctions can reduce the opportunities for favouritism and corruption in the competition for spectrum, promote investment, and promote technological advancement.</w:t>
      </w:r>
    </w:p>
    <w:p w:rsidR="00007F8D" w:rsidRPr="00BD6197" w:rsidRDefault="00007F8D" w:rsidP="00007F8D">
      <w:pPr>
        <w:rPr>
          <w:lang w:val="en-US"/>
        </w:rPr>
      </w:pPr>
      <w:r w:rsidRPr="00BD6197">
        <w:rPr>
          <w:lang w:val="en-US"/>
        </w:rPr>
        <w:t>However, in order to promote competition, it may be necessary to impose additional safeguards, for auctioned services. For example, in some situations some or all of the potential bidders may be dominant service providers who are endeavouring to strengthen their monopoly or oligopoly (limited number of competitors) positions. Restrictions on eligibility to participate in an auction or limits on the amount of spectrum that any entity may win can alleviate this problem, although this may limit the number of participants.</w:t>
      </w:r>
    </w:p>
    <w:p w:rsidR="00007F8D" w:rsidRPr="00BD6197" w:rsidRDefault="00007F8D" w:rsidP="00007F8D">
      <w:pPr>
        <w:rPr>
          <w:lang w:val="en-US"/>
        </w:rPr>
      </w:pPr>
      <w:r w:rsidRPr="00BD6197">
        <w:rPr>
          <w:lang w:val="en-US"/>
        </w:rPr>
        <w:t xml:space="preserve">Finally, auctions may be inefficient or impractical for certain services or situations. One case is where there is no competition for spectrum. This could occur, for example, with fixed microwave systems where there are many individual links with narrow beamwidths and very exact locations. A second case is where, providers of socially desirable spectrum-using services such as national defence or scientific research may have difficulties in placing a financial value on spectrum which could lead to </w:t>
      </w:r>
      <w:r w:rsidRPr="00BD6197">
        <w:rPr>
          <w:lang w:val="en-US"/>
        </w:rPr>
        <w:lastRenderedPageBreak/>
        <w:t>those services being under-provided to society if all providers of spectrum-using services faced auctions. While ideally these services could be funded to allow participation in spectrum auctions, the prospect of this happening in any country in the near future appears to be remote. Finally, if auctions to license global or regional satellite systems were held in multiple countries, it is likely that potential service providers would have to expend significant resources simply to participate in each auction, and such a cumbersome process could lead to delays in implementing new and innovative services. In addition, sequential auctions would create significant uncertainty for potential service providers because such providers would be unsure that they would win auctions in all countries in which they wish to provide service. If this uncertainty were sufficiently severe, it could impede the provision and the development of international satellite systems under current ITU Radio Regulations.</w:t>
      </w:r>
    </w:p>
    <w:p w:rsidR="00007F8D" w:rsidRPr="00BD6197" w:rsidRDefault="00007F8D" w:rsidP="00007F8D">
      <w:pPr>
        <w:pStyle w:val="Heading3"/>
        <w:rPr>
          <w:lang w:val="en-US"/>
        </w:rPr>
      </w:pPr>
      <w:bookmarkStart w:id="506" w:name="_Toc394385982"/>
      <w:bookmarkStart w:id="507" w:name="_Toc394386069"/>
      <w:bookmarkStart w:id="508" w:name="_Toc395503173"/>
      <w:bookmarkStart w:id="509" w:name="_Toc459746650"/>
      <w:bookmarkStart w:id="510" w:name="_Toc459792578"/>
      <w:bookmarkStart w:id="511" w:name="_Toc459793749"/>
      <w:bookmarkStart w:id="512" w:name="_Toc459793891"/>
      <w:bookmarkStart w:id="513" w:name="_Toc459970382"/>
      <w:bookmarkStart w:id="514" w:name="_Toc497033123"/>
      <w:bookmarkStart w:id="515" w:name="_Toc497033921"/>
      <w:bookmarkStart w:id="516" w:name="_Toc289868770"/>
      <w:bookmarkStart w:id="517" w:name="_Toc289868930"/>
      <w:bookmarkStart w:id="518" w:name="_Toc289932238"/>
      <w:bookmarkStart w:id="519" w:name="_Toc289933284"/>
      <w:bookmarkStart w:id="520" w:name="_Toc291852847"/>
      <w:bookmarkStart w:id="521" w:name="_Toc392515837"/>
      <w:bookmarkStart w:id="522" w:name="_Toc462233995"/>
      <w:bookmarkStart w:id="523" w:name="_Toc518394159"/>
      <w:r w:rsidRPr="00BD6197">
        <w:rPr>
          <w:lang w:val="en-US"/>
        </w:rPr>
        <w:t>2.3.4</w:t>
      </w:r>
      <w:r w:rsidRPr="00BD6197">
        <w:rPr>
          <w:lang w:val="en-US"/>
        </w:rPr>
        <w:tab/>
        <w:t>Licence fees</w:t>
      </w:r>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rsidR="00007F8D" w:rsidRPr="00BD6197" w:rsidRDefault="00007F8D" w:rsidP="00007F8D">
      <w:pPr>
        <w:rPr>
          <w:b/>
          <w:lang w:val="en-US"/>
        </w:rPr>
      </w:pPr>
      <w:r w:rsidRPr="00BD6197">
        <w:rPr>
          <w:lang w:val="en-US"/>
        </w:rPr>
        <w:t>Licence fees represent another way which can be used to achieve some of the spectrum manager’s goals and objectives.</w:t>
      </w:r>
    </w:p>
    <w:p w:rsidR="00007F8D" w:rsidRPr="00BD6197" w:rsidRDefault="00007F8D" w:rsidP="00007F8D">
      <w:pPr>
        <w:rPr>
          <w:lang w:val="en-US"/>
        </w:rPr>
      </w:pPr>
      <w:r w:rsidRPr="00BD6197">
        <w:rPr>
          <w:lang w:val="en-US"/>
        </w:rPr>
        <w:t>Revenues may be generated and at least some of the resource rent that may exist for use of a particular frequency band in a particular area may be captured by establishing licence fees. (In some administrations fees may cover concessions, authorizations or permissions.) Further, a simple fee structure, such as charging for the direct cost of processing licence applications or charging for the amount of spectrum used, may receive public support because it appears equitable. In addition to auctions, licence fees can also encourage radiocommunications users to make an economically rational choice regarding spectrum use.</w:t>
      </w:r>
    </w:p>
    <w:p w:rsidR="00007F8D" w:rsidRPr="00BD6197" w:rsidRDefault="00007F8D" w:rsidP="00007F8D">
      <w:pPr>
        <w:rPr>
          <w:lang w:val="en-US"/>
        </w:rPr>
      </w:pPr>
      <w:r w:rsidRPr="00BD6197">
        <w:rPr>
          <w:lang w:val="en-US"/>
        </w:rPr>
        <w:t>Licence fees range in complexity from a simple table by service, to a charge per frequency per station for each service, to complex formulas involving a number of variables. Most countries do not charge government entities for spectrum use, and many also do not charge for other public interest uses, such as by non-profit organizations; however, Australia, Canada, and the United Kingdom, among other countries, do charge government entities.</w:t>
      </w:r>
    </w:p>
    <w:p w:rsidR="00007F8D" w:rsidRPr="00BD6197" w:rsidRDefault="00007F8D" w:rsidP="00007F8D">
      <w:pPr>
        <w:rPr>
          <w:lang w:val="en-US"/>
        </w:rPr>
      </w:pPr>
      <w:r w:rsidRPr="00BD6197">
        <w:rPr>
          <w:lang w:val="en-US"/>
        </w:rPr>
        <w:t>Licence fees can be efficiently implemented using the following principles:</w:t>
      </w:r>
    </w:p>
    <w:p w:rsidR="00007F8D" w:rsidRPr="00BD6197" w:rsidRDefault="00007F8D" w:rsidP="00007F8D">
      <w:pPr>
        <w:pStyle w:val="enumlev1"/>
        <w:rPr>
          <w:lang w:val="en-US"/>
        </w:rPr>
      </w:pPr>
      <w:r w:rsidRPr="00BD6197">
        <w:rPr>
          <w:lang w:val="en-US"/>
        </w:rPr>
        <w:t>–</w:t>
      </w:r>
      <w:r w:rsidRPr="00BD6197">
        <w:rPr>
          <w:lang w:val="en-US"/>
        </w:rPr>
        <w:tab/>
        <w:t>Decisions and changes related to fee collection should be undertaken in an open manner through consultation with users and industry.</w:t>
      </w:r>
    </w:p>
    <w:p w:rsidR="00007F8D" w:rsidRPr="00BD6197" w:rsidRDefault="00007F8D" w:rsidP="00007F8D">
      <w:pPr>
        <w:pStyle w:val="enumlev1"/>
        <w:rPr>
          <w:lang w:val="en-US"/>
        </w:rPr>
      </w:pPr>
      <w:r w:rsidRPr="00BD6197">
        <w:rPr>
          <w:lang w:val="en-US"/>
        </w:rPr>
        <w:t>–</w:t>
      </w:r>
      <w:r w:rsidRPr="00BD6197">
        <w:rPr>
          <w:lang w:val="en-US"/>
        </w:rPr>
        <w:tab/>
        <w:t>Fees should take into consideration, to the maximum extent possible, the value of the spectrum.</w:t>
      </w:r>
    </w:p>
    <w:p w:rsidR="00007F8D" w:rsidRPr="00BD6197" w:rsidRDefault="00007F8D" w:rsidP="00007F8D">
      <w:pPr>
        <w:pStyle w:val="enumlev1"/>
        <w:rPr>
          <w:lang w:val="en-US"/>
        </w:rPr>
      </w:pPr>
      <w:r w:rsidRPr="00BD6197">
        <w:rPr>
          <w:lang w:val="en-US"/>
        </w:rPr>
        <w:t>–</w:t>
      </w:r>
      <w:r w:rsidRPr="00BD6197">
        <w:rPr>
          <w:lang w:val="en-US"/>
        </w:rPr>
        <w:tab/>
        <w:t>Fee mechanisms should be easy to understand and implement.</w:t>
      </w:r>
    </w:p>
    <w:p w:rsidR="00007F8D" w:rsidRPr="00BD6197" w:rsidRDefault="00007F8D" w:rsidP="00007F8D">
      <w:pPr>
        <w:pStyle w:val="enumlev1"/>
        <w:rPr>
          <w:lang w:val="en-US"/>
        </w:rPr>
      </w:pPr>
      <w:r w:rsidRPr="00BD6197">
        <w:rPr>
          <w:lang w:val="en-US"/>
        </w:rPr>
        <w:t>–</w:t>
      </w:r>
      <w:r w:rsidRPr="00BD6197">
        <w:rPr>
          <w:lang w:val="en-US"/>
        </w:rPr>
        <w:tab/>
        <w:t>Fees should not be an impediment to innovation and use of new radio technologies, or to competition.</w:t>
      </w:r>
    </w:p>
    <w:p w:rsidR="00007F8D" w:rsidRPr="00BD6197" w:rsidRDefault="00007F8D" w:rsidP="00007F8D">
      <w:pPr>
        <w:pStyle w:val="enumlev1"/>
        <w:rPr>
          <w:lang w:val="en-US"/>
        </w:rPr>
      </w:pPr>
      <w:r w:rsidRPr="00BD6197">
        <w:rPr>
          <w:lang w:val="en-US"/>
        </w:rPr>
        <w:t>–</w:t>
      </w:r>
      <w:r w:rsidRPr="00BD6197">
        <w:rPr>
          <w:lang w:val="en-US"/>
        </w:rPr>
        <w:tab/>
        <w:t>Fees should support the attainment of the spectrum manager’s national goals and objectives.</w:t>
      </w:r>
    </w:p>
    <w:p w:rsidR="00007F8D" w:rsidRPr="00BD6197" w:rsidRDefault="00007F8D" w:rsidP="00007F8D">
      <w:pPr>
        <w:rPr>
          <w:lang w:val="en-US"/>
        </w:rPr>
      </w:pPr>
      <w:r w:rsidRPr="00BD6197">
        <w:rPr>
          <w:lang w:val="en-US"/>
        </w:rPr>
        <w:t xml:space="preserve">The basic types of fees are those based on the spectrum management costs for processing licence applications, revenues derived from licensee’s use of the frequency spectrum, and incentive fee formulas. Spectrum management fees are based on direct costs incurred by spectrum managers in processing applications, and may also reflect indirect spectrum management costs; i.e., overhead costs. In order for national spectrum management to be conducted, resources are needed to cover the full range of spectrum management functions (see Chapter 1). As stated in § 2.2.4.2, fees may be a source of this funding. With this intent, fees can be linked to specific spectrum management activity, the overall annual funding requirement or to other spectrum management objectives. These fees can be charged for the initial application and for application renewals. Fees can also be charged annually in order to maintain the spectrum management activity since spectrum users continue to benefit from the activity of the national spectrum manager through monitoring, database maintenance, ITU representation, etc. even after their applications have been approved. Individual licensees are </w:t>
      </w:r>
      <w:r w:rsidRPr="00BD6197">
        <w:rPr>
          <w:lang w:val="en-US"/>
        </w:rPr>
        <w:lastRenderedPageBreak/>
        <w:t>generally grouped into licence categories for the purpose of setting fees. Revenue-based fees are proportional to the gross income the licensees generate from use of the spectrum. Incentive fee formulas take into account the value of the spectrum.</w:t>
      </w:r>
    </w:p>
    <w:p w:rsidR="00007F8D" w:rsidRPr="00BD6197" w:rsidRDefault="00007F8D" w:rsidP="00007F8D">
      <w:pPr>
        <w:rPr>
          <w:lang w:val="en-US"/>
        </w:rPr>
      </w:pPr>
      <w:r w:rsidRPr="00BD6197">
        <w:rPr>
          <w:lang w:val="en-US"/>
        </w:rPr>
        <w:t>Another option is to charge fees based on the “opportunity cost” of spectrum use. In an auction, the bidder with the highest willingness to pay will win, with a bid that is just above the valuation of the bidder with the second highest willingness to pay. This second highest valuation represents the best alternative use, or opportunity cost, of the auctioned item. Therefore, in a situation in which the spectrum management authority must set spectrum fees administratively, an economically efficient distribution can be ensured if the fee is set equal to this opportunity cost/market value. However, to calculate the opportunity cost accurately, a market must be simulated to determine spectrum users’ willingness to pay. To do this with absolute precision is extremely difficult, nonetheless an approxi</w:t>
      </w:r>
      <w:r w:rsidRPr="00BD6197">
        <w:rPr>
          <w:lang w:val="en-US"/>
        </w:rPr>
        <w:softHyphen/>
        <w:t>mation can be obtained which may make this a practical option.</w:t>
      </w:r>
    </w:p>
    <w:p w:rsidR="00007F8D" w:rsidRPr="00BD6197" w:rsidRDefault="00007F8D" w:rsidP="00007F8D">
      <w:pPr>
        <w:rPr>
          <w:lang w:val="en-US"/>
        </w:rPr>
      </w:pPr>
      <w:r w:rsidRPr="00BD6197">
        <w:rPr>
          <w:lang w:val="en-US"/>
        </w:rPr>
        <w:t>It should also be noted that in some instances administrations may charge fees on the basis of individual equipment or frequencies, while in other cases a single fee for the use of a block of frequencies will be charged. The latter approach may provide improvements in administrative efficiency.</w:t>
      </w:r>
    </w:p>
    <w:p w:rsidR="00007F8D" w:rsidRPr="00BD6197" w:rsidRDefault="00007F8D" w:rsidP="00007F8D">
      <w:pPr>
        <w:pStyle w:val="Heading4"/>
        <w:rPr>
          <w:lang w:val="en-US"/>
        </w:rPr>
      </w:pPr>
      <w:bookmarkStart w:id="524" w:name="_Toc456491667"/>
      <w:bookmarkStart w:id="525" w:name="_Toc456492111"/>
      <w:bookmarkStart w:id="526" w:name="_Toc456492151"/>
      <w:bookmarkStart w:id="527" w:name="_Toc458355735"/>
      <w:bookmarkStart w:id="528" w:name="_Toc459746651"/>
      <w:bookmarkStart w:id="529" w:name="_Toc459792579"/>
      <w:bookmarkStart w:id="530" w:name="_Toc459793750"/>
      <w:bookmarkStart w:id="531" w:name="_Toc459793892"/>
      <w:bookmarkStart w:id="532" w:name="_Toc497033124"/>
      <w:bookmarkStart w:id="533" w:name="_Toc497033922"/>
      <w:r w:rsidRPr="00BD6197">
        <w:rPr>
          <w:lang w:val="en-US"/>
        </w:rPr>
        <w:t>2.3.4.1</w:t>
      </w:r>
      <w:r w:rsidRPr="00BD6197">
        <w:rPr>
          <w:lang w:val="en-US"/>
        </w:rPr>
        <w:tab/>
        <w:t>Fees based on spectrum management costs</w:t>
      </w:r>
      <w:bookmarkEnd w:id="524"/>
      <w:bookmarkEnd w:id="525"/>
      <w:bookmarkEnd w:id="526"/>
      <w:bookmarkEnd w:id="527"/>
      <w:bookmarkEnd w:id="528"/>
      <w:bookmarkEnd w:id="529"/>
      <w:bookmarkEnd w:id="530"/>
      <w:bookmarkEnd w:id="531"/>
      <w:bookmarkEnd w:id="532"/>
      <w:bookmarkEnd w:id="533"/>
    </w:p>
    <w:p w:rsidR="00007F8D" w:rsidRPr="00BD6197" w:rsidRDefault="00007F8D" w:rsidP="00007F8D">
      <w:pPr>
        <w:rPr>
          <w:lang w:val="en-US"/>
        </w:rPr>
      </w:pPr>
      <w:r w:rsidRPr="00BD6197">
        <w:rPr>
          <w:lang w:val="en-US"/>
        </w:rPr>
        <w:t>Fees based on spectrum management costs depend on two separate elements: the range of spectrum management authority’s functions included in the overall costs and the method used to determine the fees for an individual licensee. A spectrum management authority’s costs can be broadly divided into two areas: direct and indirect costs. The specific spectrum management functions associated with each category may vary according to the administration.</w:t>
      </w:r>
    </w:p>
    <w:p w:rsidR="00007F8D" w:rsidRPr="00BD6197" w:rsidRDefault="00007F8D" w:rsidP="00007F8D">
      <w:pPr>
        <w:pStyle w:val="Heading5"/>
        <w:rPr>
          <w:lang w:val="en-US"/>
        </w:rPr>
      </w:pPr>
      <w:r w:rsidRPr="00BD6197">
        <w:rPr>
          <w:lang w:val="en-US"/>
        </w:rPr>
        <w:t>2.3.4.1.1</w:t>
      </w:r>
      <w:r w:rsidRPr="00BD6197">
        <w:rPr>
          <w:lang w:val="en-US"/>
        </w:rPr>
        <w:tab/>
        <w:t>Direct costs</w:t>
      </w:r>
    </w:p>
    <w:p w:rsidR="00007F8D" w:rsidRPr="00BD6197" w:rsidRDefault="00007F8D" w:rsidP="00007F8D">
      <w:pPr>
        <w:rPr>
          <w:lang w:val="en-US"/>
        </w:rPr>
      </w:pPr>
      <w:r w:rsidRPr="00BD6197">
        <w:rPr>
          <w:lang w:val="en-US"/>
        </w:rPr>
        <w:t>The immediate and identifiable cost of issuing licences for specific applications. For example, they include: the cost of staff time in the frequency assignment process, site clearance, interference analysis when it can be directly associated with a particular class of service – keeping the public news and entertainment channels clear, ITU and regional international consultation that is specific to an identifiable group of users. In some frequency bands and for some services, or if the equipment is located near neighbouring countries, the direct costs will include the cost of relevant international consultation.</w:t>
      </w:r>
    </w:p>
    <w:p w:rsidR="00007F8D" w:rsidRPr="00BD6197" w:rsidRDefault="00007F8D" w:rsidP="00007F8D">
      <w:pPr>
        <w:pStyle w:val="Heading5"/>
        <w:rPr>
          <w:lang w:val="en-US"/>
        </w:rPr>
      </w:pPr>
      <w:r w:rsidRPr="00BD6197">
        <w:rPr>
          <w:lang w:val="en-US"/>
        </w:rPr>
        <w:t>2.3.4.1.2</w:t>
      </w:r>
      <w:r w:rsidRPr="00BD6197">
        <w:rPr>
          <w:rFonts w:ascii="Symbol" w:hAnsi="Symbol"/>
          <w:lang w:val="en-US"/>
        </w:rPr>
        <w:tab/>
      </w:r>
      <w:r w:rsidRPr="00BD6197">
        <w:rPr>
          <w:lang w:val="en-US"/>
        </w:rPr>
        <w:t>Indirect costs</w:t>
      </w:r>
    </w:p>
    <w:p w:rsidR="00007F8D" w:rsidRPr="00BD6197" w:rsidRDefault="00007F8D" w:rsidP="00007F8D">
      <w:pPr>
        <w:rPr>
          <w:lang w:val="en-US"/>
        </w:rPr>
      </w:pPr>
      <w:r w:rsidRPr="00BD6197">
        <w:rPr>
          <w:lang w:val="en-US"/>
        </w:rPr>
        <w:t>The cost of the spectrum management functions (see Note 1) used to support the administration’s frequency assignment process and the overhead of operating the administration’s spectrum management procedures. They represent costs that cannot be identified as attributable to specific services or licensees such as general international consultation, for example with the ITU and regional groups, propagation research covering many frequency bands and services, general spectrum monitoring, interference investigations arising from the complaints of rightful users and the cost of support staff and equipment.</w:t>
      </w:r>
    </w:p>
    <w:p w:rsidR="00007F8D" w:rsidRPr="00BD6197" w:rsidRDefault="00007F8D" w:rsidP="00007F8D">
      <w:pPr>
        <w:rPr>
          <w:lang w:val="en-US"/>
        </w:rPr>
      </w:pPr>
      <w:r w:rsidRPr="00BD6197">
        <w:rPr>
          <w:lang w:val="en-US"/>
        </w:rPr>
        <w:t>In some administrations the definition of direct costs is very restrictive and is limited to the costs incurred for each individual licence applicant. Some administrations may not make any charge for indirect costs.</w:t>
      </w:r>
    </w:p>
    <w:p w:rsidR="00007F8D" w:rsidRPr="00BD6197" w:rsidRDefault="00007F8D" w:rsidP="00007F8D">
      <w:pPr>
        <w:rPr>
          <w:lang w:val="en-US"/>
        </w:rPr>
      </w:pPr>
      <w:r w:rsidRPr="00BD6197">
        <w:rPr>
          <w:lang w:val="en-US"/>
        </w:rPr>
        <w:t xml:space="preserve">The methods used to determine fees from spectrum management costs range from the simplistic method of dividing the total costs by the number of licensees to the more complex “cost recovery”. Cost recovery is used to apportion the costs of spectrum management functions to the licensee according to the costs incurred in issuing the licence and the associated frequency assignment process (for example: frequency assignment, site clearance, coordination) including any other necessary </w:t>
      </w:r>
      <w:r w:rsidRPr="00BD6197">
        <w:rPr>
          <w:lang w:val="en-US"/>
        </w:rPr>
        <w:lastRenderedPageBreak/>
        <w:t>spectrum management functions. The licence fees are usually structured on the principle of recovering the costs directly and indirectly attributable to a specific licence category. In some countries the accounts are audited, by a national auditor, to ensure the costs, on which the licence fees are based, are appropriate and justifiable.</w:t>
      </w:r>
    </w:p>
    <w:p w:rsidR="00007F8D" w:rsidRPr="00BD6197" w:rsidRDefault="00007F8D" w:rsidP="00007F8D">
      <w:pPr>
        <w:rPr>
          <w:lang w:val="en-US"/>
        </w:rPr>
      </w:pPr>
      <w:r w:rsidRPr="00BD6197">
        <w:rPr>
          <w:lang w:val="en-US"/>
        </w:rPr>
        <w:t>The exact definition and operation of “cost recovery” varies according to national spectrum management, legislative and constitutional requirements. These requirements may have an impact on the implementation of cost recovery in each country and affect how the costs and fees are justified. There are several reasons for these differences:</w:t>
      </w:r>
    </w:p>
    <w:p w:rsidR="00007F8D" w:rsidRPr="00BD6197" w:rsidRDefault="00007F8D" w:rsidP="00007F8D">
      <w:pPr>
        <w:pStyle w:val="enumlev1"/>
        <w:rPr>
          <w:lang w:val="en-US"/>
        </w:rPr>
      </w:pPr>
      <w:r w:rsidRPr="00BD6197">
        <w:rPr>
          <w:lang w:val="en-US"/>
        </w:rPr>
        <w:t>a)</w:t>
      </w:r>
      <w:r w:rsidRPr="00BD6197">
        <w:rPr>
          <w:lang w:val="en-US"/>
        </w:rPr>
        <w:tab/>
        <w:t>In some countries a distinction is made between the administration’s total income matching or simply approximating its costs. In the former case the administration is not permitted to subsidize or overcharge the licensee, with any excess having to be repaid. In the latter case it is recognized that fees are based on an estimate of the expected costs, and therefore the income may exceed or not reach the administration’s actual costs. It is to be noted that in those countries using the latter system, strict audit control may still be applied.</w:t>
      </w:r>
    </w:p>
    <w:p w:rsidR="00007F8D" w:rsidRPr="00BD6197" w:rsidRDefault="00007F8D" w:rsidP="00007F8D">
      <w:pPr>
        <w:pStyle w:val="enumlev1"/>
        <w:rPr>
          <w:lang w:val="en-US"/>
        </w:rPr>
      </w:pPr>
      <w:r w:rsidRPr="00BD6197">
        <w:rPr>
          <w:lang w:val="en-US"/>
        </w:rPr>
        <w:t>b)</w:t>
      </w:r>
      <w:r w:rsidRPr="00BD6197">
        <w:rPr>
          <w:lang w:val="en-US"/>
        </w:rPr>
        <w:tab/>
        <w:t>The fees set for cost recovery may be based on the work performed on an individual licence or the average for that licence category.</w:t>
      </w:r>
    </w:p>
    <w:p w:rsidR="00007F8D" w:rsidRPr="00BD6197" w:rsidRDefault="00007F8D" w:rsidP="00007F8D">
      <w:pPr>
        <w:pStyle w:val="enumlev1"/>
        <w:rPr>
          <w:lang w:val="en-US"/>
        </w:rPr>
      </w:pPr>
      <w:r w:rsidRPr="00BD6197">
        <w:rPr>
          <w:lang w:val="en-US"/>
        </w:rPr>
        <w:t>c)</w:t>
      </w:r>
      <w:r w:rsidRPr="00BD6197">
        <w:rPr>
          <w:lang w:val="en-US"/>
        </w:rPr>
        <w:tab/>
        <w:t>The complexity of the frequency assignment process and the number of spectrum management functions that need to be performed to issue a licence may vary due to:</w:t>
      </w:r>
    </w:p>
    <w:p w:rsidR="00007F8D" w:rsidRPr="00BD6197" w:rsidRDefault="00007F8D" w:rsidP="00007F8D">
      <w:pPr>
        <w:pStyle w:val="enumlev2"/>
        <w:rPr>
          <w:lang w:val="en-US"/>
        </w:rPr>
      </w:pPr>
      <w:r w:rsidRPr="00BD6197">
        <w:rPr>
          <w:lang w:val="en-US"/>
        </w:rPr>
        <w:t>–</w:t>
      </w:r>
      <w:r w:rsidRPr="00BD6197">
        <w:rPr>
          <w:lang w:val="en-US"/>
        </w:rPr>
        <w:tab/>
        <w:t>national characteristics – for example the number of users, geographic features requiring the use of a detailed topographic database;</w:t>
      </w:r>
    </w:p>
    <w:p w:rsidR="00007F8D" w:rsidRPr="00BD6197" w:rsidRDefault="00007F8D" w:rsidP="00007F8D">
      <w:pPr>
        <w:pStyle w:val="enumlev2"/>
        <w:rPr>
          <w:lang w:val="en-US"/>
        </w:rPr>
      </w:pPr>
      <w:r w:rsidRPr="00BD6197">
        <w:rPr>
          <w:lang w:val="en-US"/>
        </w:rPr>
        <w:t>–</w:t>
      </w:r>
      <w:r w:rsidRPr="00BD6197">
        <w:rPr>
          <w:lang w:val="en-US"/>
        </w:rPr>
        <w:tab/>
        <w:t>international requirements – for example bilateral or multilateral treaties, footnotes in the Radio Regulations.</w:t>
      </w:r>
    </w:p>
    <w:p w:rsidR="00007F8D" w:rsidRPr="00BD6197" w:rsidRDefault="00007F8D" w:rsidP="00007F8D">
      <w:pPr>
        <w:pStyle w:val="enumlev1"/>
        <w:rPr>
          <w:lang w:val="en-US"/>
        </w:rPr>
      </w:pPr>
      <w:r w:rsidRPr="00BD6197">
        <w:rPr>
          <w:lang w:val="en-US"/>
        </w:rPr>
        <w:t>d)</w:t>
      </w:r>
      <w:r w:rsidRPr="00BD6197">
        <w:rPr>
          <w:lang w:val="en-US"/>
        </w:rPr>
        <w:tab/>
        <w:t>How the costs of the individual spectrum management functions are attributed to a particular licence category may be different due to:</w:t>
      </w:r>
    </w:p>
    <w:p w:rsidR="00007F8D" w:rsidRPr="00BD6197" w:rsidRDefault="00007F8D" w:rsidP="00007F8D">
      <w:pPr>
        <w:pStyle w:val="enumlev2"/>
        <w:rPr>
          <w:lang w:val="en-US"/>
        </w:rPr>
      </w:pPr>
      <w:r w:rsidRPr="00BD6197">
        <w:rPr>
          <w:lang w:val="en-US"/>
        </w:rPr>
        <w:t>–</w:t>
      </w:r>
      <w:r w:rsidRPr="00BD6197">
        <w:rPr>
          <w:lang w:val="en-US"/>
        </w:rPr>
        <w:tab/>
        <w:t>the government’s interpretation of whether the cost should be the responsibility of the licensee, should attract a fixed fee or should be the responsibility of the State (paid from the national budget) – for example, some administrations consider monitoring is the responsibility of the state;</w:t>
      </w:r>
    </w:p>
    <w:p w:rsidR="00007F8D" w:rsidRPr="00BD6197" w:rsidRDefault="00007F8D" w:rsidP="00007F8D">
      <w:pPr>
        <w:pStyle w:val="enumlev2"/>
        <w:rPr>
          <w:lang w:val="en-US"/>
        </w:rPr>
      </w:pPr>
      <w:r w:rsidRPr="00BD6197">
        <w:rPr>
          <w:lang w:val="en-US"/>
        </w:rPr>
        <w:t>–</w:t>
      </w:r>
      <w:r w:rsidRPr="00BD6197">
        <w:rPr>
          <w:lang w:val="en-US"/>
        </w:rPr>
        <w:tab/>
        <w:t>their allocation between direct and indirect costs.</w:t>
      </w:r>
    </w:p>
    <w:p w:rsidR="00007F8D" w:rsidRPr="00BD6197" w:rsidRDefault="00007F8D" w:rsidP="00007F8D">
      <w:pPr>
        <w:rPr>
          <w:lang w:val="en-US"/>
        </w:rPr>
      </w:pPr>
      <w:r w:rsidRPr="00BD6197">
        <w:rPr>
          <w:lang w:val="en-US"/>
        </w:rPr>
        <w:t>All of these factors will affect the composition of the licence fee and the mechanisms an administration puts in place to monitor its income and costs.</w:t>
      </w:r>
    </w:p>
    <w:p w:rsidR="00007F8D" w:rsidRPr="00BD6197" w:rsidRDefault="00007F8D" w:rsidP="00007F8D">
      <w:pPr>
        <w:pStyle w:val="Note"/>
        <w:rPr>
          <w:lang w:val="en-US"/>
        </w:rPr>
      </w:pPr>
      <w:r w:rsidRPr="00BD6197">
        <w:rPr>
          <w:lang w:val="en-US"/>
        </w:rPr>
        <w:t>NOTE 1 – There are activities associated with the management of the spectrum that some administrations consider to be separate from their licensing costs. These activities typically relate to approval processes not directly related to frequency assignment. In these cases the administrations tend to make a separate charge and this is usually based on a simple fee that does not recover the cost of the function. These miscellaneous spectrum management fees may include a type approval, test laboratory accreditation, EMC fees and charges, installation inspection, examination certificates (radio amateurs, maritime examinations, etc.).</w:t>
      </w:r>
    </w:p>
    <w:p w:rsidR="00007F8D" w:rsidRPr="00BD6197" w:rsidRDefault="00007F8D" w:rsidP="00007F8D">
      <w:pPr>
        <w:pStyle w:val="Heading4"/>
        <w:rPr>
          <w:lang w:val="en-US"/>
        </w:rPr>
      </w:pPr>
      <w:bookmarkStart w:id="534" w:name="_Toc456491668"/>
      <w:bookmarkStart w:id="535" w:name="_Toc456492112"/>
      <w:bookmarkStart w:id="536" w:name="_Toc456492152"/>
      <w:bookmarkStart w:id="537" w:name="_Toc458355736"/>
      <w:bookmarkStart w:id="538" w:name="_Toc459746652"/>
      <w:bookmarkStart w:id="539" w:name="_Toc459792580"/>
      <w:bookmarkStart w:id="540" w:name="_Toc459793751"/>
      <w:bookmarkStart w:id="541" w:name="_Toc459793893"/>
      <w:bookmarkStart w:id="542" w:name="_Toc497033125"/>
      <w:bookmarkStart w:id="543" w:name="_Toc497033923"/>
      <w:r w:rsidRPr="00BD6197">
        <w:rPr>
          <w:lang w:val="en-US"/>
        </w:rPr>
        <w:t>2.3.4.2</w:t>
      </w:r>
      <w:r w:rsidRPr="00BD6197">
        <w:rPr>
          <w:lang w:val="en-US"/>
        </w:rPr>
        <w:tab/>
        <w:t xml:space="preserve">Fees based on user’s </w:t>
      </w:r>
      <w:bookmarkEnd w:id="534"/>
      <w:bookmarkEnd w:id="535"/>
      <w:bookmarkEnd w:id="536"/>
      <w:bookmarkEnd w:id="537"/>
      <w:r w:rsidRPr="00BD6197">
        <w:rPr>
          <w:lang w:val="en-US"/>
        </w:rPr>
        <w:t>gross income</w:t>
      </w:r>
      <w:bookmarkEnd w:id="538"/>
      <w:bookmarkEnd w:id="539"/>
      <w:bookmarkEnd w:id="540"/>
      <w:bookmarkEnd w:id="541"/>
      <w:bookmarkEnd w:id="542"/>
      <w:bookmarkEnd w:id="543"/>
    </w:p>
    <w:p w:rsidR="00007F8D" w:rsidRPr="00BD6197" w:rsidRDefault="00007F8D" w:rsidP="00007F8D">
      <w:pPr>
        <w:rPr>
          <w:lang w:val="en-US"/>
        </w:rPr>
      </w:pPr>
      <w:r w:rsidRPr="00BD6197">
        <w:rPr>
          <w:lang w:val="en-US"/>
        </w:rPr>
        <w:t>A fee can be charged based on a percentage of the gross income of a company. The value of the gross income used in the fee calculation must be directly related to the company’s use of the spectrum to avoid difficulty in the accounting and auditing processes.</w:t>
      </w:r>
    </w:p>
    <w:p w:rsidR="00007F8D" w:rsidRPr="00BD6197" w:rsidRDefault="00007F8D" w:rsidP="00007F8D">
      <w:pPr>
        <w:pStyle w:val="Heading4"/>
        <w:rPr>
          <w:lang w:val="en-US"/>
        </w:rPr>
      </w:pPr>
      <w:bookmarkStart w:id="544" w:name="_Toc456491669"/>
      <w:bookmarkStart w:id="545" w:name="_Toc456492113"/>
      <w:bookmarkStart w:id="546" w:name="_Toc456492153"/>
      <w:bookmarkStart w:id="547" w:name="_Toc458355737"/>
      <w:bookmarkStart w:id="548" w:name="_Toc459746653"/>
      <w:bookmarkStart w:id="549" w:name="_Toc459792581"/>
      <w:bookmarkStart w:id="550" w:name="_Toc459793752"/>
      <w:bookmarkStart w:id="551" w:name="_Toc459793894"/>
      <w:bookmarkStart w:id="552" w:name="_Toc497033126"/>
      <w:bookmarkStart w:id="553" w:name="_Toc497033924"/>
      <w:r w:rsidRPr="00BD6197">
        <w:rPr>
          <w:lang w:val="en-US"/>
        </w:rPr>
        <w:lastRenderedPageBreak/>
        <w:t>2.3.4.3</w:t>
      </w:r>
      <w:r w:rsidRPr="00BD6197">
        <w:rPr>
          <w:lang w:val="en-US"/>
        </w:rPr>
        <w:tab/>
        <w:t>Incentive fees</w:t>
      </w:r>
      <w:bookmarkEnd w:id="544"/>
      <w:bookmarkEnd w:id="545"/>
      <w:bookmarkEnd w:id="546"/>
      <w:bookmarkEnd w:id="547"/>
      <w:bookmarkEnd w:id="548"/>
      <w:bookmarkEnd w:id="549"/>
      <w:bookmarkEnd w:id="550"/>
      <w:bookmarkEnd w:id="551"/>
      <w:bookmarkEnd w:id="552"/>
      <w:bookmarkEnd w:id="553"/>
    </w:p>
    <w:p w:rsidR="00007F8D" w:rsidRPr="00BD6197" w:rsidRDefault="00007F8D" w:rsidP="00007F8D">
      <w:pPr>
        <w:keepNext/>
        <w:keepLines/>
        <w:rPr>
          <w:lang w:val="en-US"/>
        </w:rPr>
      </w:pPr>
      <w:r w:rsidRPr="00BD6197">
        <w:rPr>
          <w:lang w:val="en-US"/>
        </w:rPr>
        <w:t>An incentive fee attempts to use price to achieve spectrum management objectives and hence to provide some incentive to use the spectrum efficiently. Various elements of spectrum usage may be taken into consideration in the development of an approach or a formula (e.g. population density, bandwidth, frequency band, coverage area, exclusivity, power) and different formulae may be required for different frequency bands and services. Developing an incentive fee formula may not be a simple task if it is to accurately reflect the variation in spectrum usage across a country. Incentive fees may not be suitable for all services.</w:t>
      </w:r>
    </w:p>
    <w:p w:rsidR="00007F8D" w:rsidRPr="00BD6197" w:rsidRDefault="00007F8D" w:rsidP="00007F8D">
      <w:pPr>
        <w:pStyle w:val="Heading4"/>
        <w:rPr>
          <w:lang w:val="en-US"/>
        </w:rPr>
      </w:pPr>
      <w:bookmarkStart w:id="554" w:name="_Toc456491670"/>
      <w:bookmarkStart w:id="555" w:name="_Toc456492114"/>
      <w:bookmarkStart w:id="556" w:name="_Toc456492154"/>
      <w:bookmarkStart w:id="557" w:name="_Toc458355738"/>
      <w:bookmarkStart w:id="558" w:name="_Toc459746654"/>
      <w:bookmarkStart w:id="559" w:name="_Toc459792582"/>
      <w:bookmarkStart w:id="560" w:name="_Toc459793753"/>
      <w:bookmarkStart w:id="561" w:name="_Toc459793895"/>
      <w:bookmarkStart w:id="562" w:name="_Toc497033127"/>
      <w:bookmarkStart w:id="563" w:name="_Toc497033925"/>
      <w:r w:rsidRPr="00BD6197">
        <w:rPr>
          <w:lang w:val="en-US"/>
        </w:rPr>
        <w:t>2.3.4.4</w:t>
      </w:r>
      <w:r w:rsidRPr="00BD6197">
        <w:rPr>
          <w:lang w:val="en-US"/>
        </w:rPr>
        <w:tab/>
        <w:t>Opportunity cost fees</w:t>
      </w:r>
      <w:bookmarkEnd w:id="554"/>
      <w:bookmarkEnd w:id="555"/>
      <w:bookmarkEnd w:id="556"/>
      <w:bookmarkEnd w:id="557"/>
      <w:bookmarkEnd w:id="558"/>
      <w:bookmarkEnd w:id="559"/>
      <w:bookmarkEnd w:id="560"/>
      <w:bookmarkEnd w:id="561"/>
      <w:bookmarkEnd w:id="562"/>
      <w:bookmarkEnd w:id="563"/>
    </w:p>
    <w:p w:rsidR="00007F8D" w:rsidRPr="00BD6197" w:rsidRDefault="00007F8D" w:rsidP="00007F8D">
      <w:pPr>
        <w:rPr>
          <w:lang w:val="en-US"/>
        </w:rPr>
      </w:pPr>
      <w:r w:rsidRPr="00BD6197">
        <w:rPr>
          <w:lang w:val="en-US"/>
        </w:rPr>
        <w:t>Opportunity cost is defined as the value of something in its best alternative use. In the case of spectrum, it means the alternative value that is foregone when a section of frequency spectrum is assigned to a particular user. An opportunity cost fee tries to simulate the market value of the spectrum. This process may require financial analysis, estimations of demand or market studies to achieve a valuation, and considerable expertise.</w:t>
      </w:r>
    </w:p>
    <w:p w:rsidR="00007F8D" w:rsidRPr="00BD6197" w:rsidRDefault="00007F8D" w:rsidP="00007F8D">
      <w:pPr>
        <w:pStyle w:val="Heading4"/>
        <w:rPr>
          <w:lang w:val="en-US"/>
        </w:rPr>
      </w:pPr>
      <w:bookmarkStart w:id="564" w:name="_Toc456491671"/>
      <w:bookmarkStart w:id="565" w:name="_Toc456492115"/>
      <w:bookmarkStart w:id="566" w:name="_Toc456492155"/>
      <w:bookmarkStart w:id="567" w:name="_Toc458355739"/>
      <w:bookmarkStart w:id="568" w:name="_Toc459746655"/>
      <w:bookmarkStart w:id="569" w:name="_Toc459792583"/>
      <w:bookmarkStart w:id="570" w:name="_Toc459793754"/>
      <w:bookmarkStart w:id="571" w:name="_Toc459793896"/>
      <w:bookmarkStart w:id="572" w:name="_Toc497033128"/>
      <w:bookmarkStart w:id="573" w:name="_Toc497033926"/>
      <w:r w:rsidRPr="00BD6197">
        <w:rPr>
          <w:lang w:val="en-US"/>
        </w:rPr>
        <w:t>2.3.4.5</w:t>
      </w:r>
      <w:r w:rsidRPr="00BD6197">
        <w:rPr>
          <w:lang w:val="en-US"/>
        </w:rPr>
        <w:tab/>
        <w:t>Fee calculation example</w:t>
      </w:r>
      <w:bookmarkEnd w:id="564"/>
      <w:bookmarkEnd w:id="565"/>
      <w:bookmarkEnd w:id="566"/>
      <w:bookmarkEnd w:id="567"/>
      <w:bookmarkEnd w:id="568"/>
      <w:bookmarkEnd w:id="569"/>
      <w:bookmarkEnd w:id="570"/>
      <w:bookmarkEnd w:id="571"/>
      <w:r w:rsidRPr="00BD6197">
        <w:rPr>
          <w:lang w:val="en-US"/>
        </w:rPr>
        <w:t>s</w:t>
      </w:r>
      <w:bookmarkEnd w:id="572"/>
      <w:bookmarkEnd w:id="573"/>
    </w:p>
    <w:p w:rsidR="00007F8D" w:rsidRPr="00BD6197" w:rsidRDefault="00007F8D" w:rsidP="00007F8D">
      <w:pPr>
        <w:rPr>
          <w:lang w:val="en-US"/>
        </w:rPr>
      </w:pPr>
      <w:r w:rsidRPr="00BD6197">
        <w:rPr>
          <w:lang w:val="en-US"/>
        </w:rPr>
        <w:t>Fees based on spectrum management costs may be represented by the general functional forms:</w:t>
      </w:r>
    </w:p>
    <w:p w:rsidR="00007F8D" w:rsidRPr="00BD6197" w:rsidRDefault="00007F8D" w:rsidP="00007F8D">
      <w:pPr>
        <w:pStyle w:val="Equation"/>
        <w:rPr>
          <w:lang w:val="en-US"/>
        </w:rPr>
      </w:pPr>
      <w:r w:rsidRPr="00BD6197">
        <w:rPr>
          <w:lang w:val="en-US"/>
        </w:rPr>
        <w:tab/>
      </w:r>
      <w:r w:rsidRPr="00BD6197">
        <w:rPr>
          <w:lang w:val="en-US"/>
        </w:rPr>
        <w:tab/>
      </w:r>
      <w:r w:rsidRPr="00BD6197">
        <w:rPr>
          <w:i/>
          <w:iCs/>
          <w:lang w:val="en-US"/>
        </w:rPr>
        <w:t xml:space="preserve">F </w:t>
      </w:r>
      <w:r w:rsidRPr="00BD6197">
        <w:rPr>
          <w:lang w:val="en-US"/>
        </w:rPr>
        <w:t xml:space="preserve"> </w:t>
      </w:r>
      <w:r w:rsidRPr="00BD6197">
        <w:rPr>
          <w:rFonts w:ascii="Symbol" w:hAnsi="Symbol"/>
          <w:lang w:val="en-US"/>
        </w:rPr>
        <w:t></w:t>
      </w:r>
      <w:r w:rsidRPr="00BD6197">
        <w:rPr>
          <w:lang w:val="en-US"/>
        </w:rPr>
        <w:t xml:space="preserve">  </w:t>
      </w:r>
      <w:r w:rsidRPr="00BD6197">
        <w:rPr>
          <w:i/>
          <w:iCs/>
          <w:lang w:val="en-US"/>
        </w:rPr>
        <w:t>Di</w:t>
      </w:r>
      <w:r w:rsidRPr="00BD6197">
        <w:rPr>
          <w:lang w:val="en-US"/>
        </w:rPr>
        <w:tab/>
        <w:t>(1)</w:t>
      </w:r>
    </w:p>
    <w:p w:rsidR="00007F8D" w:rsidRPr="00BD6197" w:rsidRDefault="00007F8D" w:rsidP="00007F8D">
      <w:pPr>
        <w:pStyle w:val="Equation"/>
        <w:rPr>
          <w:lang w:val="en-US"/>
        </w:rPr>
      </w:pPr>
      <w:r w:rsidRPr="00BD6197">
        <w:rPr>
          <w:lang w:val="en-US"/>
        </w:rPr>
        <w:tab/>
      </w:r>
      <w:r>
        <w:rPr>
          <w:lang w:val="en-US"/>
        </w:rPr>
        <w:tab/>
      </w:r>
      <w:r w:rsidRPr="00BD6197">
        <w:rPr>
          <w:i/>
          <w:iCs/>
          <w:lang w:val="en-US"/>
        </w:rPr>
        <w:t>F</w:t>
      </w:r>
      <w:r w:rsidRPr="00BD6197">
        <w:rPr>
          <w:lang w:val="en-US"/>
        </w:rPr>
        <w:t xml:space="preserve">  </w:t>
      </w:r>
      <w:r w:rsidRPr="00BD6197">
        <w:rPr>
          <w:rFonts w:ascii="Symbol" w:hAnsi="Symbol"/>
          <w:lang w:val="en-US"/>
        </w:rPr>
        <w:t></w:t>
      </w:r>
      <w:r w:rsidRPr="00BD6197">
        <w:rPr>
          <w:lang w:val="en-US"/>
        </w:rPr>
        <w:t xml:space="preserve">  </w:t>
      </w:r>
      <w:r w:rsidRPr="00BD6197">
        <w:rPr>
          <w:i/>
          <w:iCs/>
          <w:lang w:val="en-US"/>
        </w:rPr>
        <w:t>f</w:t>
      </w:r>
      <w:r w:rsidRPr="00BD6197">
        <w:rPr>
          <w:lang w:val="en-US"/>
        </w:rPr>
        <w:t>(</w:t>
      </w:r>
      <w:r w:rsidRPr="00BD6197">
        <w:rPr>
          <w:i/>
          <w:iCs/>
          <w:lang w:val="en-US"/>
        </w:rPr>
        <w:t>Di</w:t>
      </w:r>
      <w:r w:rsidRPr="00BD6197">
        <w:rPr>
          <w:lang w:val="en-US"/>
        </w:rPr>
        <w:t xml:space="preserve">, </w:t>
      </w:r>
      <w:r w:rsidRPr="00BD6197">
        <w:rPr>
          <w:i/>
          <w:iCs/>
          <w:lang w:val="en-US"/>
        </w:rPr>
        <w:t>LiI</w:t>
      </w:r>
      <w:r w:rsidRPr="00BD6197">
        <w:rPr>
          <w:lang w:val="en-US"/>
        </w:rPr>
        <w:t>)</w:t>
      </w:r>
      <w:r w:rsidRPr="00BD6197">
        <w:rPr>
          <w:lang w:val="en-US"/>
        </w:rPr>
        <w:tab/>
        <w:t>(2)</w:t>
      </w:r>
    </w:p>
    <w:p w:rsidR="00007F8D" w:rsidRPr="00BD6197" w:rsidRDefault="00007F8D" w:rsidP="00007F8D">
      <w:pPr>
        <w:rPr>
          <w:lang w:val="en-US"/>
        </w:rPr>
      </w:pPr>
      <w:r w:rsidRPr="00BD6197">
        <w:rPr>
          <w:lang w:val="en-US"/>
        </w:rPr>
        <w:t>where:</w:t>
      </w:r>
    </w:p>
    <w:p w:rsidR="00007F8D" w:rsidRPr="00BD6197" w:rsidRDefault="00007F8D" w:rsidP="00007F8D">
      <w:pPr>
        <w:pStyle w:val="Equationlegend"/>
      </w:pPr>
      <w:r w:rsidRPr="00BD6197">
        <w:tab/>
      </w:r>
      <w:r w:rsidRPr="00BD6197">
        <w:rPr>
          <w:i/>
          <w:iCs/>
        </w:rPr>
        <w:t>F</w:t>
      </w:r>
      <w:r w:rsidRPr="00BD6197">
        <w:t>:</w:t>
      </w:r>
      <w:r w:rsidRPr="00BD6197">
        <w:tab/>
        <w:t>fee charged to licensee</w:t>
      </w:r>
      <w:r>
        <w:t>;</w:t>
      </w:r>
    </w:p>
    <w:p w:rsidR="00007F8D" w:rsidRPr="00BD6197" w:rsidRDefault="00007F8D" w:rsidP="00007F8D">
      <w:pPr>
        <w:pStyle w:val="Equationlegend"/>
      </w:pPr>
      <w:r w:rsidRPr="00BD6197">
        <w:tab/>
      </w:r>
      <w:r w:rsidRPr="00BD6197">
        <w:rPr>
          <w:i/>
          <w:iCs/>
        </w:rPr>
        <w:t>Di</w:t>
      </w:r>
      <w:r w:rsidRPr="00BD6197">
        <w:t>:</w:t>
      </w:r>
      <w:r w:rsidRPr="00BD6197">
        <w:tab/>
        <w:t xml:space="preserve"> direct administrative costs of processing licensee’s application</w:t>
      </w:r>
      <w:r>
        <w:t>;</w:t>
      </w:r>
    </w:p>
    <w:p w:rsidR="00007F8D" w:rsidRPr="00BD6197" w:rsidRDefault="00007F8D" w:rsidP="00007F8D">
      <w:pPr>
        <w:pStyle w:val="Equationlegend"/>
      </w:pPr>
      <w:r w:rsidRPr="00BD6197">
        <w:tab/>
      </w:r>
      <w:r w:rsidRPr="00BD6197">
        <w:rPr>
          <w:i/>
          <w:iCs/>
        </w:rPr>
        <w:t>Li</w:t>
      </w:r>
      <w:r w:rsidRPr="00BD6197">
        <w:t>:</w:t>
      </w:r>
      <w:r w:rsidRPr="00BD6197">
        <w:tab/>
        <w:t>licensee’s proportion of indirect administrative costs</w:t>
      </w:r>
      <w:r>
        <w:t>;</w:t>
      </w:r>
    </w:p>
    <w:p w:rsidR="00007F8D" w:rsidRPr="00BD6197" w:rsidRDefault="00007F8D" w:rsidP="00007F8D">
      <w:pPr>
        <w:pStyle w:val="Equationlegend"/>
        <w:rPr>
          <w:b/>
        </w:rPr>
      </w:pPr>
      <w:r w:rsidRPr="00BD6197">
        <w:tab/>
      </w:r>
      <w:r w:rsidRPr="00BD6197">
        <w:rPr>
          <w:i/>
          <w:iCs/>
        </w:rPr>
        <w:t>I</w:t>
      </w:r>
      <w:r w:rsidRPr="00BD6197">
        <w:t>:</w:t>
      </w:r>
      <w:r w:rsidRPr="00BD6197">
        <w:tab/>
        <w:t>total indirect administrative costs.</w:t>
      </w:r>
    </w:p>
    <w:p w:rsidR="00007F8D" w:rsidRPr="00BD6197" w:rsidRDefault="00007F8D" w:rsidP="00007F8D">
      <w:pPr>
        <w:rPr>
          <w:b/>
          <w:lang w:val="en-US"/>
        </w:rPr>
      </w:pPr>
      <w:r w:rsidRPr="00BD6197">
        <w:rPr>
          <w:lang w:val="en-US"/>
        </w:rPr>
        <w:t>Fees based on user revenues may be represented by the general functional form:</w:t>
      </w:r>
    </w:p>
    <w:p w:rsidR="00007F8D" w:rsidRPr="00BD6197" w:rsidRDefault="00007F8D" w:rsidP="00007F8D">
      <w:pPr>
        <w:pStyle w:val="Equation"/>
        <w:rPr>
          <w:lang w:val="en-US"/>
        </w:rPr>
      </w:pPr>
      <w:r>
        <w:rPr>
          <w:lang w:val="en-US"/>
        </w:rPr>
        <w:tab/>
      </w:r>
      <w:r w:rsidRPr="00BD6197">
        <w:rPr>
          <w:lang w:val="en-US"/>
        </w:rPr>
        <w:tab/>
      </w:r>
      <w:r w:rsidRPr="00BD6197">
        <w:rPr>
          <w:i/>
          <w:iCs/>
          <w:lang w:val="en-US"/>
        </w:rPr>
        <w:t>F</w:t>
      </w:r>
      <w:r w:rsidRPr="00BD6197">
        <w:rPr>
          <w:lang w:val="en-US"/>
        </w:rPr>
        <w:t xml:space="preserve">  </w:t>
      </w:r>
      <w:r w:rsidRPr="00BD6197">
        <w:rPr>
          <w:rFonts w:ascii="Symbol" w:hAnsi="Symbol"/>
          <w:lang w:val="en-US"/>
        </w:rPr>
        <w:t></w:t>
      </w:r>
      <w:r w:rsidRPr="00BD6197">
        <w:rPr>
          <w:lang w:val="en-US"/>
        </w:rPr>
        <w:t xml:space="preserve">  </w:t>
      </w:r>
      <w:r w:rsidRPr="00BD6197">
        <w:rPr>
          <w:i/>
          <w:iCs/>
          <w:lang w:val="en-US"/>
        </w:rPr>
        <w:t>f</w:t>
      </w:r>
      <w:r w:rsidRPr="00BD6197">
        <w:rPr>
          <w:lang w:val="en-US"/>
        </w:rPr>
        <w:t>(</w:t>
      </w:r>
      <w:r w:rsidRPr="00BD6197">
        <w:rPr>
          <w:i/>
          <w:iCs/>
          <w:lang w:val="en-US"/>
        </w:rPr>
        <w:t>a</w:t>
      </w:r>
      <w:r w:rsidRPr="00BD6197">
        <w:rPr>
          <w:lang w:val="en-US"/>
        </w:rPr>
        <w:t xml:space="preserve">, </w:t>
      </w:r>
      <w:r w:rsidRPr="00BD6197">
        <w:rPr>
          <w:i/>
          <w:iCs/>
          <w:lang w:val="en-US"/>
        </w:rPr>
        <w:t>G</w:t>
      </w:r>
      <w:r w:rsidRPr="00BD6197">
        <w:rPr>
          <w:lang w:val="en-US"/>
        </w:rPr>
        <w:t>)</w:t>
      </w:r>
      <w:r w:rsidRPr="00BD6197">
        <w:rPr>
          <w:lang w:val="en-US"/>
        </w:rPr>
        <w:tab/>
        <w:t>(3)</w:t>
      </w:r>
    </w:p>
    <w:p w:rsidR="00007F8D" w:rsidRPr="00BD6197" w:rsidRDefault="00007F8D" w:rsidP="00007F8D">
      <w:pPr>
        <w:rPr>
          <w:lang w:val="en-US"/>
        </w:rPr>
      </w:pPr>
      <w:r w:rsidRPr="00BD6197">
        <w:rPr>
          <w:lang w:val="en-US"/>
        </w:rPr>
        <w:t>where:</w:t>
      </w:r>
    </w:p>
    <w:p w:rsidR="00007F8D" w:rsidRPr="00BD6197" w:rsidRDefault="00007F8D" w:rsidP="00007F8D">
      <w:pPr>
        <w:pStyle w:val="Equationlegend"/>
      </w:pPr>
      <w:r w:rsidRPr="00BD6197">
        <w:tab/>
      </w:r>
      <w:r w:rsidRPr="00BD6197">
        <w:rPr>
          <w:i/>
          <w:iCs/>
        </w:rPr>
        <w:t>F</w:t>
      </w:r>
      <w:r w:rsidRPr="00BD6197">
        <w:t xml:space="preserve">: </w:t>
      </w:r>
      <w:r w:rsidRPr="00BD6197">
        <w:tab/>
        <w:t>fee charged to user</w:t>
      </w:r>
      <w:r>
        <w:t>;</w:t>
      </w:r>
    </w:p>
    <w:p w:rsidR="00007F8D" w:rsidRPr="00BD6197" w:rsidRDefault="00007F8D" w:rsidP="00007F8D">
      <w:pPr>
        <w:pStyle w:val="Equationlegend"/>
      </w:pPr>
      <w:r w:rsidRPr="00BD6197">
        <w:tab/>
      </w:r>
      <w:r w:rsidRPr="00BD6197">
        <w:rPr>
          <w:i/>
          <w:iCs/>
        </w:rPr>
        <w:t>a</w:t>
      </w:r>
      <w:r w:rsidRPr="00BD6197">
        <w:t xml:space="preserve">: </w:t>
      </w:r>
      <w:r w:rsidRPr="00BD6197">
        <w:tab/>
        <w:t>proportionate fee established by regulatory agency</w:t>
      </w:r>
      <w:r>
        <w:t>;</w:t>
      </w:r>
    </w:p>
    <w:p w:rsidR="00007F8D" w:rsidRPr="00BD6197" w:rsidRDefault="00007F8D" w:rsidP="00007F8D">
      <w:pPr>
        <w:pStyle w:val="Equationlegend"/>
      </w:pPr>
      <w:r w:rsidRPr="00BD6197">
        <w:tab/>
      </w:r>
      <w:r w:rsidRPr="00BD6197">
        <w:rPr>
          <w:i/>
          <w:iCs/>
        </w:rPr>
        <w:t>G</w:t>
      </w:r>
      <w:r w:rsidRPr="00BD6197">
        <w:t>:</w:t>
      </w:r>
      <w:r w:rsidRPr="00BD6197">
        <w:tab/>
        <w:t>user gross income</w:t>
      </w:r>
      <w:r>
        <w:t>.</w:t>
      </w:r>
    </w:p>
    <w:p w:rsidR="00007F8D" w:rsidRPr="00BD6197" w:rsidRDefault="00007F8D" w:rsidP="00007F8D">
      <w:pPr>
        <w:rPr>
          <w:lang w:val="en-US"/>
        </w:rPr>
      </w:pPr>
      <w:r w:rsidRPr="00BD6197">
        <w:rPr>
          <w:lang w:val="en-US"/>
        </w:rPr>
        <w:t>Incentive fee formulas may be represented by the general functional form:</w:t>
      </w:r>
    </w:p>
    <w:p w:rsidR="00007F8D" w:rsidRPr="00BD6197" w:rsidRDefault="00007F8D" w:rsidP="00007F8D">
      <w:pPr>
        <w:pStyle w:val="Equation"/>
        <w:rPr>
          <w:lang w:val="en-US"/>
        </w:rPr>
      </w:pPr>
      <w:r w:rsidRPr="00BD6197">
        <w:rPr>
          <w:lang w:val="en-US"/>
        </w:rPr>
        <w:tab/>
      </w:r>
      <w:r>
        <w:rPr>
          <w:lang w:val="en-US"/>
        </w:rPr>
        <w:tab/>
      </w:r>
      <w:r w:rsidRPr="00BD6197">
        <w:rPr>
          <w:i/>
          <w:iCs/>
          <w:lang w:val="en-US"/>
        </w:rPr>
        <w:t>F</w:t>
      </w:r>
      <w:r w:rsidRPr="00BD6197">
        <w:rPr>
          <w:lang w:val="en-US"/>
        </w:rPr>
        <w:t xml:space="preserve">  </w:t>
      </w:r>
      <w:r w:rsidRPr="00BD6197">
        <w:rPr>
          <w:rFonts w:ascii="Symbol" w:hAnsi="Symbol"/>
          <w:lang w:val="en-US"/>
        </w:rPr>
        <w:t></w:t>
      </w:r>
      <w:r w:rsidRPr="00BD6197">
        <w:rPr>
          <w:lang w:val="en-US"/>
        </w:rPr>
        <w:t xml:space="preserve">  </w:t>
      </w:r>
      <w:r w:rsidRPr="00BD6197">
        <w:rPr>
          <w:i/>
          <w:iCs/>
          <w:lang w:val="en-US"/>
        </w:rPr>
        <w:t>f</w:t>
      </w:r>
      <w:r w:rsidRPr="00BD6197">
        <w:rPr>
          <w:lang w:val="en-US"/>
        </w:rPr>
        <w:t>(</w:t>
      </w:r>
      <w:r w:rsidRPr="00BD6197">
        <w:rPr>
          <w:i/>
          <w:iCs/>
          <w:lang w:val="en-US"/>
        </w:rPr>
        <w:t>B, C, S, E,</w:t>
      </w:r>
      <w:r w:rsidRPr="00BD6197">
        <w:rPr>
          <w:lang w:val="en-US"/>
        </w:rPr>
        <w:t xml:space="preserve"> </w:t>
      </w:r>
      <w:r w:rsidRPr="00BD6197">
        <w:rPr>
          <w:i/>
          <w:iCs/>
          <w:lang w:val="en-US"/>
        </w:rPr>
        <w:t>F</w:t>
      </w:r>
      <w:r w:rsidRPr="00BD6197">
        <w:rPr>
          <w:i/>
          <w:iCs/>
          <w:vertAlign w:val="subscript"/>
          <w:lang w:val="en-US"/>
        </w:rPr>
        <w:t>R</w:t>
      </w:r>
      <w:r w:rsidRPr="00BD6197">
        <w:rPr>
          <w:lang w:val="en-US"/>
        </w:rPr>
        <w:t xml:space="preserve">, </w:t>
      </w:r>
      <w:r w:rsidRPr="00BD6197">
        <w:rPr>
          <w:i/>
          <w:iCs/>
          <w:lang w:val="en-US"/>
        </w:rPr>
        <w:t>F</w:t>
      </w:r>
      <w:r w:rsidRPr="00BD6197">
        <w:rPr>
          <w:i/>
          <w:iCs/>
          <w:vertAlign w:val="subscript"/>
          <w:lang w:val="en-US"/>
        </w:rPr>
        <w:t>C</w:t>
      </w:r>
      <w:r w:rsidRPr="00BD6197">
        <w:rPr>
          <w:lang w:val="en-US"/>
        </w:rPr>
        <w:t>)</w:t>
      </w:r>
      <w:r w:rsidRPr="00BD6197">
        <w:rPr>
          <w:lang w:val="en-US"/>
        </w:rPr>
        <w:tab/>
        <w:t>(4)</w:t>
      </w:r>
    </w:p>
    <w:p w:rsidR="00007F8D" w:rsidRPr="00BD6197" w:rsidRDefault="00007F8D" w:rsidP="00007F8D">
      <w:pPr>
        <w:keepNext/>
        <w:keepLines/>
        <w:rPr>
          <w:lang w:val="en-US"/>
        </w:rPr>
      </w:pPr>
      <w:r w:rsidRPr="00BD6197">
        <w:rPr>
          <w:lang w:val="en-US"/>
        </w:rPr>
        <w:t>where:</w:t>
      </w:r>
    </w:p>
    <w:p w:rsidR="00007F8D" w:rsidRPr="00BD6197" w:rsidRDefault="00007F8D" w:rsidP="00007F8D">
      <w:pPr>
        <w:pStyle w:val="Equationlegend"/>
        <w:keepNext/>
        <w:keepLines/>
      </w:pPr>
      <w:r w:rsidRPr="00BD6197">
        <w:tab/>
      </w:r>
      <w:r w:rsidRPr="00BD6197">
        <w:rPr>
          <w:i/>
          <w:iCs/>
        </w:rPr>
        <w:t>F</w:t>
      </w:r>
      <w:r w:rsidRPr="00BD6197">
        <w:t>:</w:t>
      </w:r>
      <w:r w:rsidRPr="00BD6197">
        <w:tab/>
        <w:t>fee charged to licensee</w:t>
      </w:r>
      <w:r>
        <w:t>;</w:t>
      </w:r>
    </w:p>
    <w:p w:rsidR="00007F8D" w:rsidRPr="00BD6197" w:rsidRDefault="00007F8D" w:rsidP="00007F8D">
      <w:pPr>
        <w:pStyle w:val="Equationlegend"/>
        <w:keepNext/>
        <w:keepLines/>
      </w:pPr>
      <w:r w:rsidRPr="00BD6197">
        <w:tab/>
      </w:r>
      <w:r w:rsidRPr="00BD6197">
        <w:rPr>
          <w:i/>
          <w:iCs/>
        </w:rPr>
        <w:t>B:</w:t>
      </w:r>
      <w:r w:rsidRPr="00BD6197">
        <w:tab/>
        <w:t>bandwidth</w:t>
      </w:r>
      <w:r>
        <w:t>;</w:t>
      </w:r>
    </w:p>
    <w:p w:rsidR="00007F8D" w:rsidRPr="00BD6197" w:rsidRDefault="00007F8D" w:rsidP="00007F8D">
      <w:pPr>
        <w:pStyle w:val="Equationlegend"/>
      </w:pPr>
      <w:r w:rsidRPr="00BD6197">
        <w:tab/>
      </w:r>
      <w:r w:rsidRPr="00BD6197">
        <w:rPr>
          <w:i/>
          <w:iCs/>
        </w:rPr>
        <w:t>C</w:t>
      </w:r>
      <w:r w:rsidRPr="00BD6197">
        <w:t>:</w:t>
      </w:r>
      <w:r w:rsidRPr="00BD6197">
        <w:tab/>
        <w:t>coverage area</w:t>
      </w:r>
      <w:r>
        <w:t>;</w:t>
      </w:r>
    </w:p>
    <w:p w:rsidR="00007F8D" w:rsidRPr="00BD6197" w:rsidRDefault="00007F8D" w:rsidP="00007F8D">
      <w:pPr>
        <w:pStyle w:val="Equationlegend"/>
        <w:rPr>
          <w:b/>
        </w:rPr>
      </w:pPr>
      <w:r w:rsidRPr="00BD6197">
        <w:tab/>
      </w:r>
      <w:r w:rsidRPr="00BD6197">
        <w:rPr>
          <w:i/>
          <w:iCs/>
        </w:rPr>
        <w:t>S</w:t>
      </w:r>
      <w:r w:rsidRPr="00BD6197">
        <w:t>:</w:t>
      </w:r>
      <w:r w:rsidRPr="00BD6197">
        <w:tab/>
        <w:t>site location</w:t>
      </w:r>
      <w:r>
        <w:t>;</w:t>
      </w:r>
    </w:p>
    <w:p w:rsidR="00007F8D" w:rsidRPr="00BD6197" w:rsidRDefault="00007F8D" w:rsidP="00007F8D">
      <w:pPr>
        <w:pStyle w:val="Equationlegend"/>
      </w:pPr>
      <w:r w:rsidRPr="00BD6197">
        <w:tab/>
      </w:r>
      <w:r w:rsidRPr="00BD6197">
        <w:rPr>
          <w:i/>
          <w:iCs/>
        </w:rPr>
        <w:t>E</w:t>
      </w:r>
      <w:r w:rsidRPr="00BD6197">
        <w:t>:</w:t>
      </w:r>
      <w:r w:rsidRPr="00BD6197">
        <w:tab/>
        <w:t>exclusivity of use</w:t>
      </w:r>
      <w:r>
        <w:t>;</w:t>
      </w:r>
    </w:p>
    <w:p w:rsidR="00007F8D" w:rsidRPr="00BD6197" w:rsidRDefault="00007F8D" w:rsidP="00007F8D">
      <w:pPr>
        <w:pStyle w:val="Equationlegend"/>
      </w:pPr>
      <w:r w:rsidRPr="00BD6197">
        <w:rPr>
          <w:i/>
          <w:iCs/>
        </w:rPr>
        <w:tab/>
        <w:t>F</w:t>
      </w:r>
      <w:r w:rsidRPr="00BD6197">
        <w:rPr>
          <w:i/>
          <w:iCs/>
          <w:position w:val="-4"/>
          <w:sz w:val="18"/>
        </w:rPr>
        <w:t>R</w:t>
      </w:r>
      <w:r w:rsidRPr="00BD6197">
        <w:t>:</w:t>
      </w:r>
      <w:r w:rsidRPr="00BD6197">
        <w:tab/>
        <w:t>frequency</w:t>
      </w:r>
      <w:r>
        <w:t>;</w:t>
      </w:r>
    </w:p>
    <w:p w:rsidR="00007F8D" w:rsidRPr="00BD6197" w:rsidRDefault="00007F8D" w:rsidP="00007F8D">
      <w:pPr>
        <w:pStyle w:val="Equationlegend"/>
      </w:pPr>
      <w:r w:rsidRPr="00BD6197">
        <w:tab/>
      </w:r>
      <w:r w:rsidRPr="00BD6197">
        <w:rPr>
          <w:i/>
          <w:iCs/>
        </w:rPr>
        <w:t>F</w:t>
      </w:r>
      <w:r w:rsidRPr="00BD6197">
        <w:rPr>
          <w:i/>
          <w:iCs/>
          <w:vertAlign w:val="subscript"/>
        </w:rPr>
        <w:t>C</w:t>
      </w:r>
      <w:r w:rsidRPr="00BD6197">
        <w:t xml:space="preserve"> :</w:t>
      </w:r>
      <w:r w:rsidRPr="00BD6197">
        <w:tab/>
        <w:t>administration’s financial coefficient.</w:t>
      </w:r>
    </w:p>
    <w:p w:rsidR="00007F8D" w:rsidRPr="00BD6197" w:rsidRDefault="00007F8D" w:rsidP="00007F8D">
      <w:pPr>
        <w:rPr>
          <w:lang w:val="en-US"/>
        </w:rPr>
      </w:pPr>
      <w:r w:rsidRPr="00BD6197">
        <w:rPr>
          <w:lang w:val="en-US"/>
        </w:rPr>
        <w:lastRenderedPageBreak/>
        <w:t>Opportunity cost fee formulas may also be used. Such fee formulas will resemble incentive fee formulas. However, in this case the administration’s financial coefficient (</w:t>
      </w:r>
      <w:r w:rsidRPr="00BD6197">
        <w:rPr>
          <w:i/>
          <w:iCs/>
          <w:lang w:val="en-US"/>
        </w:rPr>
        <w:t>F</w:t>
      </w:r>
      <w:r w:rsidRPr="00BD6197">
        <w:rPr>
          <w:i/>
          <w:iCs/>
          <w:position w:val="-4"/>
          <w:sz w:val="16"/>
          <w:lang w:val="en-US"/>
        </w:rPr>
        <w:t>C</w:t>
      </w:r>
      <w:r w:rsidRPr="00BD6197">
        <w:rPr>
          <w:lang w:val="en-US"/>
        </w:rPr>
        <w:t>) will be set so as to make the fee approximate the market value of the spectrum.</w:t>
      </w:r>
    </w:p>
    <w:p w:rsidR="00007F8D" w:rsidRPr="00BD6197" w:rsidRDefault="00007F8D" w:rsidP="00007F8D">
      <w:pPr>
        <w:rPr>
          <w:b/>
          <w:lang w:val="en-US"/>
        </w:rPr>
      </w:pPr>
      <w:r w:rsidRPr="00BD6197">
        <w:rPr>
          <w:lang w:val="en-US"/>
        </w:rPr>
        <w:t>A number of the above formulas and those presented in other ITU documents contain an arbitrary factor which is set by the administration. Use of this arbitrary factor means the resultant fee is itself an arbitrary value. A number of countries have implemented or are considering the implementation of fee models based on the various general functional forms described above. In countries developing incentive fee or opportunity cost fee models, it has been recognized that this is a complex and difficult undertaking and some administrations are holding public consultations prior to implementation.</w:t>
      </w:r>
    </w:p>
    <w:p w:rsidR="00007F8D" w:rsidRPr="00BD6197" w:rsidRDefault="00007F8D" w:rsidP="00007F8D">
      <w:pPr>
        <w:pStyle w:val="Heading3"/>
        <w:rPr>
          <w:lang w:val="en-US"/>
        </w:rPr>
      </w:pPr>
      <w:bookmarkStart w:id="574" w:name="_Toc394385983"/>
      <w:bookmarkStart w:id="575" w:name="_Toc394386070"/>
      <w:bookmarkStart w:id="576" w:name="_Toc395503174"/>
      <w:bookmarkStart w:id="577" w:name="_Toc459746656"/>
      <w:bookmarkStart w:id="578" w:name="_Toc459792584"/>
      <w:bookmarkStart w:id="579" w:name="_Toc459793755"/>
      <w:bookmarkStart w:id="580" w:name="_Toc459793897"/>
      <w:bookmarkStart w:id="581" w:name="_Toc459970383"/>
      <w:bookmarkStart w:id="582" w:name="_Toc497033129"/>
      <w:bookmarkStart w:id="583" w:name="_Toc497033927"/>
      <w:bookmarkStart w:id="584" w:name="_Toc289868771"/>
      <w:bookmarkStart w:id="585" w:name="_Toc289868931"/>
      <w:bookmarkStart w:id="586" w:name="_Toc289932239"/>
      <w:bookmarkStart w:id="587" w:name="_Toc289933285"/>
      <w:bookmarkStart w:id="588" w:name="_Toc291852848"/>
      <w:bookmarkStart w:id="589" w:name="_Toc392515838"/>
      <w:bookmarkStart w:id="590" w:name="_Toc462233996"/>
      <w:bookmarkStart w:id="591" w:name="_Toc518394160"/>
      <w:r w:rsidRPr="00BD6197">
        <w:rPr>
          <w:lang w:val="en-US"/>
        </w:rPr>
        <w:t>2.3.5</w:t>
      </w:r>
      <w:r w:rsidRPr="00BD6197">
        <w:rPr>
          <w:lang w:val="en-US"/>
        </w:rPr>
        <w:tab/>
        <w:t>Advantages and disadvantages of fee approaches</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rsidR="00007F8D" w:rsidRPr="00BD6197" w:rsidRDefault="00007F8D" w:rsidP="00007F8D">
      <w:pPr>
        <w:rPr>
          <w:lang w:val="en-US"/>
        </w:rPr>
      </w:pPr>
      <w:r w:rsidRPr="00BD6197">
        <w:rPr>
          <w:lang w:val="en-US"/>
        </w:rPr>
        <w:t>In terms of their effect on economic efficiency, spectrum fees are an improvement on awarding licences at no charge, provided that fees are not set higher than the market value. If they are set higher, spectrum will not be fully utilized. In fact, if fees are set above the willingness to pay of all potential users, spectrum will go unused and generate no benefits to society. On the other hand, if fees are set lower than the market value, economic efficiency will be improved even though excess demand will remain for the spectrum, and revenues to the spectrum management authority will be below the market valuation. Detrimental consequences of setting fees too low are that spectrum potentially could be used wastefully and that spectrum congestion may increase.</w:t>
      </w:r>
    </w:p>
    <w:p w:rsidR="00007F8D" w:rsidRPr="00BD6197" w:rsidRDefault="00007F8D" w:rsidP="00007F8D">
      <w:pPr>
        <w:rPr>
          <w:lang w:val="en-US"/>
        </w:rPr>
      </w:pPr>
      <w:r w:rsidRPr="00BD6197">
        <w:rPr>
          <w:lang w:val="en-US"/>
        </w:rPr>
        <w:t>For example, assume that there is a service provider who uses two blocks of spectrum and pays a below the market value fee of $100 per block, or $200 in total. Assume also that by purchasing more spectrally efficient equipment for $150, the same service could be provided using only one spectrum block. The rational service provider will see that the second alternative has a higher total cost of $250 ($150 for the new equipment and $100 for the single spectrum block) and thus will not choose it. If, however, the true market value of the spectrum of, say, $175 per block is now charged, then the service provider will choose to buy the new equipment and keep one spectrum block for a total cost of $325, as opposed to a total cost of $350 for keeping the old equipment and both spectrum blocks. Now that this spectrum block has been released, another party can use it, meaning that the public is now receiving the benefits of two services via the same amount of spectrum that used to provide only one service.</w:t>
      </w:r>
    </w:p>
    <w:p w:rsidR="00007F8D" w:rsidRPr="00BD6197" w:rsidRDefault="00007F8D" w:rsidP="00007F8D">
      <w:pPr>
        <w:rPr>
          <w:lang w:val="en-US"/>
        </w:rPr>
      </w:pPr>
      <w:r w:rsidRPr="00BD6197">
        <w:rPr>
          <w:lang w:val="en-US"/>
        </w:rPr>
        <w:t>A similar problem created by fees that are below market value is the potential for services to wastefully use spectrum. For example, some services, such as the delivery of television programming, can be provided by either wired or wireless means. Other services, such as mobile telephony, can be provided only via the radio spectrum. When all resources (spectrum, fibre optic cable, copper wire, etc.) are priced at market rates, service providers will choose the combination of these inputs that is consistent with an economically efficient distribution. However, if spectrum is priced at a level below its market value, then service providers (such as the distributors of television programming) who have the option of using either wired or wireless infrastructure in their activities will be inclined to use more spectrum and less of the various available spectrum alternatives. The greater amount of spectrum used by television results in less being available for other services, such as mobile telephony, meaning that the total number of services available to the public has decreased – obviously, an inefficient outcome.</w:t>
      </w:r>
    </w:p>
    <w:p w:rsidR="00007F8D" w:rsidRPr="00BD6197" w:rsidRDefault="00007F8D" w:rsidP="00007F8D">
      <w:pPr>
        <w:rPr>
          <w:lang w:val="en-US"/>
        </w:rPr>
      </w:pPr>
      <w:r w:rsidRPr="00BD6197">
        <w:rPr>
          <w:lang w:val="en-US"/>
        </w:rPr>
        <w:t xml:space="preserve">Formulae can be useful in setting licence fees, but must be tailored to the individual circumstances of the country. Development of formulae requires considerable effort on the part of the administration and spectrum users. In order to operate correctly, a formula must be designed to achieve a specific purpose within an explicit set of operational conditions. These conditions depend on particular aspects of the country including its geographical structure (e.g. terrain, size, latitude), its radiocommunications infrastructure, the potential demand for services, and the degree of coordination required with neighbours. Hence the applicability of any formulae, other than the most basic, is often </w:t>
      </w:r>
      <w:r w:rsidRPr="00BD6197">
        <w:rPr>
          <w:lang w:val="en-US"/>
        </w:rPr>
        <w:lastRenderedPageBreak/>
        <w:t>limited to a specific administration, a particular service and even a limited number of frequency bands. Existing formula can be reused, but will invariably require modification. This process requires an understanding of the purpose and conditions behind the formula’s original development as well as the details of its proposed implementation.</w:t>
      </w:r>
    </w:p>
    <w:p w:rsidR="00007F8D" w:rsidRPr="00BD6197" w:rsidRDefault="00007F8D" w:rsidP="00007F8D">
      <w:pPr>
        <w:pStyle w:val="Heading4"/>
        <w:rPr>
          <w:u w:val="single"/>
          <w:lang w:val="en-US"/>
        </w:rPr>
      </w:pPr>
      <w:bookmarkStart w:id="592" w:name="_Toc391269590"/>
      <w:bookmarkStart w:id="593" w:name="_Toc459746657"/>
      <w:bookmarkStart w:id="594" w:name="_Toc459792585"/>
      <w:bookmarkStart w:id="595" w:name="_Toc459793756"/>
      <w:bookmarkStart w:id="596" w:name="_Toc459793898"/>
      <w:bookmarkStart w:id="597" w:name="_Toc497033130"/>
      <w:bookmarkStart w:id="598" w:name="_Toc497033928"/>
      <w:r w:rsidRPr="00BD6197">
        <w:rPr>
          <w:lang w:val="en-US"/>
        </w:rPr>
        <w:t>2.3.5.1</w:t>
      </w:r>
      <w:r w:rsidRPr="00BD6197">
        <w:rPr>
          <w:lang w:val="en-US"/>
        </w:rPr>
        <w:tab/>
        <w:t>Fees based on spectrum management costs</w:t>
      </w:r>
      <w:bookmarkEnd w:id="592"/>
      <w:bookmarkEnd w:id="593"/>
      <w:bookmarkEnd w:id="594"/>
      <w:bookmarkEnd w:id="595"/>
      <w:bookmarkEnd w:id="596"/>
      <w:bookmarkEnd w:id="597"/>
      <w:bookmarkEnd w:id="598"/>
    </w:p>
    <w:p w:rsidR="00007F8D" w:rsidRPr="00BD6197" w:rsidRDefault="00007F8D" w:rsidP="00007F8D">
      <w:pPr>
        <w:rPr>
          <w:lang w:val="en-US"/>
        </w:rPr>
      </w:pPr>
      <w:r w:rsidRPr="00BD6197">
        <w:rPr>
          <w:lang w:val="en-US"/>
        </w:rPr>
        <w:t>This approach has the advantages of raising revenues for the spectrum management authority and ensuring that licensees will pay at least some nominal amount for their spectrum use, while eliminating those would-be licensees who place insufficient value on their use to pay even those nominal fees. However, a major disadvantage of this approach is that there is a disconnection between the level of the fee and the value of the spectrum used. For example, one licensee may use a spectrum band in a relatively unpopulated area and pay the same fee as a second user who uses the identical band in a heavily populated area, even though the latter band has far greater value. Because of this disconnection between fees and spectrum value, such fees do little to promote the efficient use of the spectrum. In some areas and frequency bands in which the spectrum has little value, fees can inhibit any use of the spectrum, producing an inefficient outcome. More typically, however, cost based fees are far less than the value of the spectrum, and therefore promote efficient use of the spectrum to only a minimal extent. Low fees can be a particular problem in countries that have a high inflation rate because fees generally are updated only every few years, and therefore may lag well behind the general price level. However, this problem can be alleviated if the political authority conveys to spectrum managers the ability to update fees as often as needed to reflect general price trends in the economy.</w:t>
      </w:r>
    </w:p>
    <w:p w:rsidR="00007F8D" w:rsidRPr="00BD6197" w:rsidRDefault="00007F8D" w:rsidP="00007F8D">
      <w:pPr>
        <w:rPr>
          <w:lang w:val="en-US"/>
        </w:rPr>
      </w:pPr>
      <w:r w:rsidRPr="00BD6197">
        <w:rPr>
          <w:lang w:val="en-US"/>
        </w:rPr>
        <w:t>This approach could be used in the long run if scarcity of spectrum gradually reduces. In such case, fees can be used to cover the costs of administration spectrum management and to secure protection against interference</w:t>
      </w:r>
      <w:r w:rsidRPr="00BD6197">
        <w:rPr>
          <w:rStyle w:val="FootnoteReference"/>
          <w:lang w:val="en-US"/>
        </w:rPr>
        <w:footnoteReference w:id="1"/>
      </w:r>
      <w:r w:rsidRPr="00BD6197">
        <w:rPr>
          <w:lang w:val="en-US"/>
        </w:rPr>
        <w:t>.</w:t>
      </w:r>
    </w:p>
    <w:p w:rsidR="00007F8D" w:rsidRPr="00BD6197" w:rsidRDefault="00007F8D" w:rsidP="00007F8D">
      <w:pPr>
        <w:pStyle w:val="Heading4"/>
        <w:rPr>
          <w:lang w:val="en-US"/>
        </w:rPr>
      </w:pPr>
      <w:bookmarkStart w:id="599" w:name="_Toc497033131"/>
      <w:bookmarkStart w:id="600" w:name="_Toc391269591"/>
      <w:bookmarkStart w:id="601" w:name="_Toc459746658"/>
      <w:bookmarkStart w:id="602" w:name="_Toc459792586"/>
      <w:bookmarkStart w:id="603" w:name="_Toc459793757"/>
      <w:bookmarkStart w:id="604" w:name="_Toc459793899"/>
      <w:bookmarkStart w:id="605" w:name="_Toc497033929"/>
      <w:r w:rsidRPr="00BD6197">
        <w:rPr>
          <w:lang w:val="en-US"/>
        </w:rPr>
        <w:t>2.3.5.2</w:t>
      </w:r>
      <w:r w:rsidRPr="00BD6197">
        <w:rPr>
          <w:lang w:val="en-US"/>
        </w:rPr>
        <w:tab/>
        <w:t>Fees based on user’s gross income</w:t>
      </w:r>
      <w:bookmarkEnd w:id="599"/>
      <w:bookmarkEnd w:id="600"/>
      <w:bookmarkEnd w:id="601"/>
      <w:bookmarkEnd w:id="602"/>
      <w:bookmarkEnd w:id="603"/>
      <w:bookmarkEnd w:id="604"/>
      <w:bookmarkEnd w:id="605"/>
    </w:p>
    <w:p w:rsidR="00007F8D" w:rsidRPr="00BD6197" w:rsidRDefault="00007F8D" w:rsidP="00007F8D">
      <w:pPr>
        <w:rPr>
          <w:lang w:val="en-US"/>
        </w:rPr>
      </w:pPr>
      <w:r w:rsidRPr="00BD6197">
        <w:rPr>
          <w:lang w:val="en-US"/>
        </w:rPr>
        <w:t>Establishing a fee based on a certain percentage of gross income related to spectrum use can generate significant revenues for the spectrum management authority for certain services. For example, a television broadcaster with annual revenues of $500 million would pay an annual fee of $500 000 if the fee were just 0.1% of revenues. Further, this type of fee generates more revenue for the spectrum management authority as the licensee’s gross income increases, which could be viewed as both efficient and equitable. However, there are three major problems with this type of fee.</w:t>
      </w:r>
    </w:p>
    <w:p w:rsidR="00007F8D" w:rsidRPr="00BD6197" w:rsidRDefault="00007F8D" w:rsidP="00007F8D">
      <w:pPr>
        <w:rPr>
          <w:lang w:val="en-US"/>
        </w:rPr>
      </w:pPr>
      <w:r w:rsidRPr="00BD6197">
        <w:rPr>
          <w:lang w:val="en-US"/>
        </w:rPr>
        <w:t>First, it can apply only to users having a gross income directly linked to spectrum use and not to those users whose gross income results only indirectly from spectrum exploitation – as determining gross income may be difficult due to the complexity of company accounting and in addition determining how much of a users gross income is directly linked to spectrum use is virtually impossible, e.g., how much of a public utilities or telephone companies gross income can be attributed to their use of microwave links in portions of their fixed network.</w:t>
      </w:r>
    </w:p>
    <w:p w:rsidR="00007F8D" w:rsidRPr="00BD6197" w:rsidRDefault="00007F8D" w:rsidP="00007F8D">
      <w:pPr>
        <w:rPr>
          <w:lang w:val="en-US"/>
        </w:rPr>
      </w:pPr>
      <w:r w:rsidRPr="00BD6197">
        <w:rPr>
          <w:lang w:val="en-US"/>
        </w:rPr>
        <w:t>Second, such a fee does not necessarily promote efficient spectrum use or equitable treatment of licensees because a user’s gross income is not directly related to the value of the spectrum. For example, two broadcasters may have an identical gross income, but one may be reaping substantial profits, while the second may be reaping no such profits, and indeed may even be operating at a loss.</w:t>
      </w:r>
    </w:p>
    <w:p w:rsidR="00007F8D" w:rsidRPr="00BD6197" w:rsidRDefault="00007F8D" w:rsidP="00007F8D">
      <w:pPr>
        <w:rPr>
          <w:lang w:val="en-US"/>
        </w:rPr>
      </w:pPr>
      <w:r w:rsidRPr="00BD6197">
        <w:rPr>
          <w:lang w:val="en-US"/>
        </w:rPr>
        <w:t>Third, it may suppress spectrum usage, reduce the growth in services, impair innovation and spectrum efficiency, and have an adverse effect on international competitiveness.</w:t>
      </w:r>
    </w:p>
    <w:p w:rsidR="00007F8D" w:rsidRPr="00BD6197" w:rsidRDefault="00007F8D" w:rsidP="00007F8D">
      <w:pPr>
        <w:pStyle w:val="Heading4"/>
        <w:rPr>
          <w:lang w:val="en-US"/>
        </w:rPr>
      </w:pPr>
      <w:bookmarkStart w:id="606" w:name="_Toc391269592"/>
      <w:bookmarkStart w:id="607" w:name="_Toc459746659"/>
      <w:bookmarkStart w:id="608" w:name="_Toc459792587"/>
      <w:bookmarkStart w:id="609" w:name="_Toc459793758"/>
      <w:bookmarkStart w:id="610" w:name="_Toc459793900"/>
      <w:bookmarkStart w:id="611" w:name="_Toc497033132"/>
      <w:bookmarkStart w:id="612" w:name="_Toc497033930"/>
      <w:r w:rsidRPr="00BD6197">
        <w:rPr>
          <w:lang w:val="en-US"/>
        </w:rPr>
        <w:lastRenderedPageBreak/>
        <w:t>2.3.5.3</w:t>
      </w:r>
      <w:r w:rsidRPr="00BD6197">
        <w:rPr>
          <w:lang w:val="en-US"/>
        </w:rPr>
        <w:tab/>
        <w:t>Incentive fee formulas</w:t>
      </w:r>
      <w:bookmarkEnd w:id="606"/>
      <w:bookmarkEnd w:id="607"/>
      <w:bookmarkEnd w:id="608"/>
      <w:bookmarkEnd w:id="609"/>
      <w:bookmarkEnd w:id="610"/>
      <w:bookmarkEnd w:id="611"/>
      <w:bookmarkEnd w:id="612"/>
    </w:p>
    <w:p w:rsidR="00007F8D" w:rsidRPr="00BD6197" w:rsidRDefault="00007F8D" w:rsidP="00007F8D">
      <w:pPr>
        <w:rPr>
          <w:lang w:val="en-US"/>
        </w:rPr>
      </w:pPr>
      <w:r w:rsidRPr="00BD6197">
        <w:rPr>
          <w:lang w:val="en-US"/>
        </w:rPr>
        <w:t>Incentive fee formulas have the advantage of representing to some extent the scarcity and differential rents of the spectrum. By taking into account factors such as population, area, bandwidth used, and the frequency band such formulas may approximate the market value. However, the disadvantage of such fees is that no formula, however complex, can take into account all the variations of the market-place. This requires that considerable care is exercised in setting licence fees in order to avoid a large discrepancy between the fee and the market value. For this reason an incentive fee formula may need to be linked to a market valuation in order to be used effectively.</w:t>
      </w:r>
    </w:p>
    <w:p w:rsidR="00007F8D" w:rsidRPr="00BD6197" w:rsidRDefault="00007F8D" w:rsidP="00007F8D">
      <w:pPr>
        <w:rPr>
          <w:lang w:val="en-US"/>
        </w:rPr>
      </w:pPr>
      <w:r w:rsidRPr="00BD6197">
        <w:rPr>
          <w:lang w:val="en-US"/>
        </w:rPr>
        <w:t>For some services, technical factors preclude a reduction in bandwidth and therefore incentive fees based on bandwidth would be inappropriate; for example, radar services.</w:t>
      </w:r>
    </w:p>
    <w:p w:rsidR="00007F8D" w:rsidRPr="00BD6197" w:rsidRDefault="00007F8D" w:rsidP="00007F8D">
      <w:pPr>
        <w:pStyle w:val="Heading4"/>
        <w:rPr>
          <w:lang w:val="en-US"/>
        </w:rPr>
      </w:pPr>
      <w:bookmarkStart w:id="613" w:name="_Toc391269593"/>
      <w:bookmarkStart w:id="614" w:name="_Toc459746660"/>
      <w:bookmarkStart w:id="615" w:name="_Toc459792588"/>
      <w:bookmarkStart w:id="616" w:name="_Toc459793759"/>
      <w:bookmarkStart w:id="617" w:name="_Toc459793901"/>
      <w:bookmarkStart w:id="618" w:name="_Toc497033133"/>
      <w:bookmarkStart w:id="619" w:name="_Toc497033931"/>
      <w:r w:rsidRPr="00BD6197">
        <w:rPr>
          <w:lang w:val="en-US"/>
        </w:rPr>
        <w:t>2.3.5.4</w:t>
      </w:r>
      <w:r w:rsidRPr="00BD6197">
        <w:rPr>
          <w:lang w:val="en-US"/>
        </w:rPr>
        <w:tab/>
        <w:t>Opportunity cost fee formulas</w:t>
      </w:r>
      <w:bookmarkEnd w:id="613"/>
      <w:bookmarkEnd w:id="614"/>
      <w:bookmarkEnd w:id="615"/>
      <w:bookmarkEnd w:id="616"/>
      <w:bookmarkEnd w:id="617"/>
      <w:bookmarkEnd w:id="618"/>
      <w:bookmarkEnd w:id="619"/>
    </w:p>
    <w:p w:rsidR="00007F8D" w:rsidRPr="00BD6197" w:rsidRDefault="00007F8D" w:rsidP="00007F8D">
      <w:pPr>
        <w:rPr>
          <w:lang w:val="en-US"/>
        </w:rPr>
      </w:pPr>
      <w:r w:rsidRPr="00BD6197">
        <w:rPr>
          <w:lang w:val="en-US"/>
        </w:rPr>
        <w:t>Opportunity cost fee formulas have the advantage of being directly targeted at the desirable goal of simulating the market value, – thus encouraging consideration of alternative means of communication and the return, by existing users, of surplus spectrum. However, just as it is extremely difficult to establish an incentive fee formula that accounts for all relevant variables that influence the price of spectrum in a particular location, so too it is extremely difficult to accurately simulate an auction and the effort required to complete the analysis may exceed the costs of an auction. Such a simulation depends upon evaluating individual consumer decisions and somehow integrating this information into a usable model. Financial studies or extrapolations based on prior secondary market transactions may be useful to some extent, but simulating the market will always remain very much an imperfect exercise, e.g., the three US broadband PCS auctions produced results strikingly different than what had been forecast by almost all analysts. Nonetheless, such methods may have advantages over cost-based alternatives in terms of managing the spectrum to balance supply and demand and maximizing economic welfare where an auction is impracticable or illegal.</w:t>
      </w:r>
    </w:p>
    <w:p w:rsidR="00007F8D" w:rsidRPr="00BD6197" w:rsidRDefault="00007F8D" w:rsidP="00007F8D">
      <w:pPr>
        <w:pStyle w:val="Heading2"/>
        <w:rPr>
          <w:lang w:val="en-US"/>
        </w:rPr>
      </w:pPr>
      <w:bookmarkStart w:id="620" w:name="_Toc497033134"/>
      <w:bookmarkStart w:id="621" w:name="_Toc497033932"/>
      <w:bookmarkStart w:id="622" w:name="_Toc289868772"/>
      <w:bookmarkStart w:id="623" w:name="_Toc289868932"/>
      <w:bookmarkStart w:id="624" w:name="_Toc289932240"/>
      <w:bookmarkStart w:id="625" w:name="_Toc289933286"/>
      <w:bookmarkStart w:id="626" w:name="_Toc291852849"/>
      <w:bookmarkStart w:id="627" w:name="_Toc392515839"/>
      <w:bookmarkStart w:id="628" w:name="_Toc462233997"/>
      <w:bookmarkStart w:id="629" w:name="_Toc518394161"/>
      <w:r w:rsidRPr="00BD6197">
        <w:rPr>
          <w:lang w:val="en-US"/>
        </w:rPr>
        <w:t>2.4</w:t>
      </w:r>
      <w:r w:rsidRPr="00BD6197">
        <w:rPr>
          <w:lang w:val="en-US"/>
        </w:rPr>
        <w:tab/>
        <w:t>Factors that could affect various economic approaches</w:t>
      </w:r>
      <w:bookmarkEnd w:id="620"/>
      <w:bookmarkEnd w:id="621"/>
      <w:bookmarkEnd w:id="622"/>
      <w:bookmarkEnd w:id="623"/>
      <w:bookmarkEnd w:id="624"/>
      <w:bookmarkEnd w:id="625"/>
      <w:bookmarkEnd w:id="626"/>
      <w:bookmarkEnd w:id="627"/>
      <w:bookmarkEnd w:id="628"/>
      <w:bookmarkEnd w:id="629"/>
    </w:p>
    <w:p w:rsidR="00007F8D" w:rsidRPr="00BD6197" w:rsidRDefault="00007F8D" w:rsidP="00007F8D">
      <w:pPr>
        <w:rPr>
          <w:lang w:val="en-US"/>
        </w:rPr>
      </w:pPr>
      <w:r w:rsidRPr="00BD6197">
        <w:rPr>
          <w:lang w:val="en-US"/>
        </w:rPr>
        <w:t>There are a number of factors which could affect both the need and the ability of different administrations to implement the economic approaches to spectrum management discussed above. Various legal, socio</w:t>
      </w:r>
      <w:r w:rsidRPr="00BD6197">
        <w:rPr>
          <w:lang w:val="en-US"/>
        </w:rPr>
        <w:noBreakHyphen/>
        <w:t>economic, and technical infrastructure considerations will all have an impact with respect to spectrum auctions, transferable property rights, and licence fee regimes.</w:t>
      </w:r>
    </w:p>
    <w:p w:rsidR="00007F8D" w:rsidRPr="00BD6197" w:rsidRDefault="00007F8D" w:rsidP="00007F8D">
      <w:pPr>
        <w:pStyle w:val="Heading3"/>
        <w:rPr>
          <w:lang w:val="en-US"/>
        </w:rPr>
      </w:pPr>
      <w:bookmarkStart w:id="630" w:name="_Toc394385986"/>
      <w:bookmarkStart w:id="631" w:name="_Toc394386073"/>
      <w:bookmarkStart w:id="632" w:name="_Toc395503177"/>
      <w:bookmarkStart w:id="633" w:name="_Toc459746662"/>
      <w:bookmarkStart w:id="634" w:name="_Toc459792590"/>
      <w:bookmarkStart w:id="635" w:name="_Toc459793761"/>
      <w:bookmarkStart w:id="636" w:name="_Toc459793903"/>
      <w:bookmarkStart w:id="637" w:name="_Toc459970385"/>
      <w:bookmarkStart w:id="638" w:name="_Toc497033135"/>
      <w:bookmarkStart w:id="639" w:name="_Toc497033933"/>
      <w:bookmarkStart w:id="640" w:name="_Toc289868773"/>
      <w:bookmarkStart w:id="641" w:name="_Toc289868933"/>
      <w:bookmarkStart w:id="642" w:name="_Toc289932241"/>
      <w:bookmarkStart w:id="643" w:name="_Toc289933287"/>
      <w:bookmarkStart w:id="644" w:name="_Toc291852850"/>
      <w:bookmarkStart w:id="645" w:name="_Toc392515840"/>
      <w:bookmarkStart w:id="646" w:name="_Toc462233998"/>
      <w:bookmarkStart w:id="647" w:name="_Toc518394162"/>
      <w:r w:rsidRPr="00BD6197">
        <w:rPr>
          <w:lang w:val="en-US"/>
        </w:rPr>
        <w:t>2.4.1</w:t>
      </w:r>
      <w:r w:rsidRPr="00BD6197">
        <w:rPr>
          <w:lang w:val="en-US"/>
        </w:rPr>
        <w:tab/>
        <w:t>Auctions</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p>
    <w:p w:rsidR="00007F8D" w:rsidRPr="00BD6197" w:rsidRDefault="00007F8D" w:rsidP="00007F8D">
      <w:pPr>
        <w:pStyle w:val="Heading4"/>
        <w:rPr>
          <w:lang w:val="en-US"/>
        </w:rPr>
      </w:pPr>
      <w:bookmarkStart w:id="648" w:name="_Toc459746663"/>
      <w:bookmarkStart w:id="649" w:name="_Toc459792591"/>
      <w:bookmarkStart w:id="650" w:name="_Toc459793762"/>
      <w:bookmarkStart w:id="651" w:name="_Toc459793904"/>
      <w:bookmarkStart w:id="652" w:name="_Toc497033136"/>
      <w:bookmarkStart w:id="653" w:name="_Toc497033934"/>
      <w:r w:rsidRPr="00BD6197">
        <w:rPr>
          <w:lang w:val="en-US"/>
        </w:rPr>
        <w:t>2.4.1.1</w:t>
      </w:r>
      <w:r w:rsidRPr="00BD6197">
        <w:rPr>
          <w:lang w:val="en-US"/>
        </w:rPr>
        <w:tab/>
        <w:t>Applicability of auctions</w:t>
      </w:r>
      <w:bookmarkEnd w:id="648"/>
      <w:bookmarkEnd w:id="649"/>
      <w:bookmarkEnd w:id="650"/>
      <w:bookmarkEnd w:id="651"/>
      <w:bookmarkEnd w:id="652"/>
      <w:bookmarkEnd w:id="653"/>
    </w:p>
    <w:p w:rsidR="00007F8D" w:rsidRPr="00BD6197" w:rsidRDefault="00007F8D" w:rsidP="00007F8D">
      <w:pPr>
        <w:rPr>
          <w:lang w:val="en-US"/>
        </w:rPr>
      </w:pPr>
      <w:r w:rsidRPr="00BD6197">
        <w:rPr>
          <w:lang w:val="en-US"/>
        </w:rPr>
        <w:t>As discussed previously, there are several potential advantages to using auctions as a method of spectrum assignment. However, different countries will likely also have a number of spectrum management objectives which auctions by themselves may not adequately address. Often such objectives can be met through the use of other policy instruments (regulations, licence conditions, standards, etc.) which are fully compatible with spectrum auctioning, but each administration will have to consider its priorities and decide on the overall appropriateness of auctions in light of the various objectives it wishes to achieve. Should an administration decide to utilize auctions, it should be aware that, generally, the greater the number of regulations, conditions, or restrictions put on the use of spectrum to be auctioned, the lower will be the auction revenue, hence, administrations may wish to consider the trade</w:t>
      </w:r>
      <w:r w:rsidRPr="00BD6197">
        <w:rPr>
          <w:lang w:val="en-US"/>
        </w:rPr>
        <w:noBreakHyphen/>
        <w:t>offs involved, depending on their priorities. On a related note, administrations could choose to restrict spectrum supply, which would generally lead to higher auction revenues; however, there is a trade-off here as well in that a restricted supply of spectrum will lead to a narrower range of consumer services, higher consumer prices, and an overall decrease in economic efficiency.</w:t>
      </w:r>
    </w:p>
    <w:p w:rsidR="00007F8D" w:rsidRPr="00BD6197" w:rsidRDefault="00007F8D" w:rsidP="00007F8D">
      <w:pPr>
        <w:rPr>
          <w:lang w:val="en-US"/>
        </w:rPr>
      </w:pPr>
      <w:r w:rsidRPr="00BD6197">
        <w:rPr>
          <w:lang w:val="en-US"/>
        </w:rPr>
        <w:lastRenderedPageBreak/>
        <w:t>While it may seem obvious, it is also worth noting that auctions by definition are applicable only in those circumstances where the demand for spectrum exceeds the available supply. Depending on any particular country’s level of economic development, the level of its communications infrastructure development, its investment climate, and any foreign ownership or trade restrictions it may impose with regard to the provision of spectrum-based services (among other factors), the possibility exists that an administration may receive insufficient interest to make an auction necessary for some spectrum.</w:t>
      </w:r>
    </w:p>
    <w:p w:rsidR="00007F8D" w:rsidRPr="00BD6197" w:rsidRDefault="00007F8D" w:rsidP="00007F8D">
      <w:pPr>
        <w:rPr>
          <w:lang w:val="en-US"/>
        </w:rPr>
      </w:pPr>
      <w:r w:rsidRPr="00BD6197">
        <w:rPr>
          <w:lang w:val="en-US"/>
        </w:rPr>
        <w:t>Generally speaking, the higher the level of economic and communications infrastructure development, the more favourable the investment climate; and the lower the foreign ownership barriers and trade barriers, the greater will be the demand for access to spectrum, leading to more vigorous competition in an auction and presumably higher revenues for the government.</w:t>
      </w:r>
    </w:p>
    <w:p w:rsidR="00007F8D" w:rsidRPr="00BD6197" w:rsidRDefault="00007F8D" w:rsidP="00007F8D">
      <w:pPr>
        <w:rPr>
          <w:lang w:val="en-US"/>
        </w:rPr>
      </w:pPr>
      <w:r w:rsidRPr="00BD6197">
        <w:rPr>
          <w:lang w:val="en-US"/>
        </w:rPr>
        <w:t>Auctions are a market based mechanism and a fundamental requirement for the proper functioning of any market is a solid legal underpinning. This means, first of all, that the political authority must authorize the use of auctions for specified services. Second, for an auction to perform optimally, the nature of the right being auctioned (geographic coverage, available bandwidth, tenure of licence, etc.) as well as the accompanying responsibilities (licence conditions, service restrictions, equipment standards, etc.) should be specified as precisely as possible. As well, there should be certainty that the government is both willing and able to act as necessary to ensure that licensees are able to exercise the rights or privileges granted to them while at the same time meeting the responsibilities required of them. Any uncertainty surrounding such factors as the length of tenure of the licence being auctioned will create confusion and may result in lower bids.</w:t>
      </w:r>
    </w:p>
    <w:p w:rsidR="00007F8D" w:rsidRPr="00BD6197" w:rsidRDefault="00007F8D" w:rsidP="00007F8D">
      <w:pPr>
        <w:rPr>
          <w:lang w:val="en-US"/>
        </w:rPr>
      </w:pPr>
      <w:r w:rsidRPr="00BD6197">
        <w:rPr>
          <w:lang w:val="en-US"/>
        </w:rPr>
        <w:t>Before entering a spectrum auction, for example, bidders will wish to know what degree of protection from harmful interference they can expect with the spectrum to be auctioned, as well as the steps they will be expected to take to avoid causing harmful interference to others. They will also wish to be assured that the government will enforce this interference protection regime.</w:t>
      </w:r>
    </w:p>
    <w:p w:rsidR="00007F8D" w:rsidRPr="00BD6197" w:rsidRDefault="00007F8D" w:rsidP="00007F8D">
      <w:pPr>
        <w:rPr>
          <w:lang w:val="en-US"/>
        </w:rPr>
      </w:pPr>
      <w:r w:rsidRPr="00BD6197">
        <w:rPr>
          <w:lang w:val="en-US"/>
        </w:rPr>
        <w:t>The quality of an administration’s licence/licensee database, its spectrum monitoring capability, and its ability to impose meaningful penalties on those who cause harmful interference to others all impact the government’s ability to protect the rights or privileges of spectrum users and hence have an impact on the ability to conduct successful spectrum auctions.</w:t>
      </w:r>
    </w:p>
    <w:p w:rsidR="00007F8D" w:rsidRPr="00BD6197" w:rsidRDefault="00007F8D" w:rsidP="00007F8D">
      <w:pPr>
        <w:pStyle w:val="Heading4"/>
        <w:rPr>
          <w:lang w:val="en-US"/>
        </w:rPr>
      </w:pPr>
      <w:bookmarkStart w:id="654" w:name="_Toc459746664"/>
      <w:bookmarkStart w:id="655" w:name="_Toc459792592"/>
      <w:bookmarkStart w:id="656" w:name="_Toc459793763"/>
      <w:bookmarkStart w:id="657" w:name="_Toc459793905"/>
      <w:bookmarkStart w:id="658" w:name="_Toc497033137"/>
      <w:bookmarkStart w:id="659" w:name="_Toc497033935"/>
      <w:r w:rsidRPr="00BD6197">
        <w:rPr>
          <w:lang w:val="en-US"/>
        </w:rPr>
        <w:t>2.4.1.2</w:t>
      </w:r>
      <w:r w:rsidRPr="00BD6197">
        <w:rPr>
          <w:lang w:val="en-US"/>
        </w:rPr>
        <w:tab/>
        <w:t>Pre</w:t>
      </w:r>
      <w:r w:rsidRPr="00BD6197">
        <w:rPr>
          <w:lang w:val="en-US"/>
        </w:rPr>
        <w:noBreakHyphen/>
        <w:t>auction requirements</w:t>
      </w:r>
      <w:bookmarkEnd w:id="654"/>
      <w:bookmarkEnd w:id="655"/>
      <w:bookmarkEnd w:id="656"/>
      <w:bookmarkEnd w:id="657"/>
      <w:bookmarkEnd w:id="658"/>
      <w:bookmarkEnd w:id="659"/>
    </w:p>
    <w:p w:rsidR="00007F8D" w:rsidRPr="00BD6197" w:rsidRDefault="00007F8D" w:rsidP="00007F8D">
      <w:pPr>
        <w:rPr>
          <w:lang w:val="en-US"/>
        </w:rPr>
      </w:pPr>
      <w:r w:rsidRPr="00BD6197">
        <w:rPr>
          <w:lang w:val="en-US"/>
        </w:rPr>
        <w:t>It is desirable that all the rights and responsibilities accompanying the spectrum to be auctioned are specified prior to the auction; otherwise, bidders will face high degrees of uncertainty which will significantly compromise their abilities to bid rationally, greatly increasing the chances of an unsuccessful auction. This means, of course, that administrations seeking to use auctions must be able, both legally and politically, to establish licence definitions, terms, conditions, and policies before knowing who the licensees will be.</w:t>
      </w:r>
    </w:p>
    <w:p w:rsidR="00007F8D" w:rsidRPr="00BD6197" w:rsidRDefault="00007F8D" w:rsidP="00007F8D">
      <w:pPr>
        <w:rPr>
          <w:lang w:val="en-US"/>
        </w:rPr>
      </w:pPr>
      <w:r w:rsidRPr="00BD6197">
        <w:rPr>
          <w:lang w:val="en-US"/>
        </w:rPr>
        <w:t>Similarly, the rules and procedures of an auction should be known and clearly understood by all participants prior to the auction’s commencement. Great advances in auction theory, and in its practical application, have been made in recent years. Any administration planning to implement spectrum auctions would be well advised to consult the growing body of literature on this subject and to review the experiences of spectrum auction “pioneers” such as New Zealand, the United States of America, and Australia, to learn both from their successes and from some of the problems that have been encountered with respect to auction design and operation.</w:t>
      </w:r>
    </w:p>
    <w:p w:rsidR="00007F8D" w:rsidRPr="00BD6197" w:rsidRDefault="00007F8D" w:rsidP="00007F8D">
      <w:pPr>
        <w:rPr>
          <w:lang w:val="en-US"/>
        </w:rPr>
      </w:pPr>
      <w:r w:rsidRPr="00BD6197">
        <w:rPr>
          <w:lang w:val="en-US"/>
        </w:rPr>
        <w:t>Depending on the complexity of the auction in question, an automated auction system may be desirable. Thus, certain technical infrastructure may be required to hold an auction. As well, education and training for both spectrum managers and potential bidders may be required to ensure a sufficient level of “auction literacy”.</w:t>
      </w:r>
    </w:p>
    <w:p w:rsidR="00007F8D" w:rsidRPr="00BD6197" w:rsidRDefault="00007F8D" w:rsidP="00007F8D">
      <w:pPr>
        <w:pStyle w:val="Heading4"/>
        <w:rPr>
          <w:lang w:val="en-US"/>
        </w:rPr>
      </w:pPr>
      <w:bookmarkStart w:id="660" w:name="_Toc459746665"/>
      <w:bookmarkStart w:id="661" w:name="_Toc459792593"/>
      <w:bookmarkStart w:id="662" w:name="_Toc459793764"/>
      <w:bookmarkStart w:id="663" w:name="_Toc459793906"/>
      <w:bookmarkStart w:id="664" w:name="_Toc497033138"/>
      <w:bookmarkStart w:id="665" w:name="_Toc497033936"/>
      <w:r w:rsidRPr="00BD6197">
        <w:rPr>
          <w:lang w:val="en-US"/>
        </w:rPr>
        <w:lastRenderedPageBreak/>
        <w:t>2.4.1.3</w:t>
      </w:r>
      <w:r w:rsidRPr="00BD6197">
        <w:rPr>
          <w:lang w:val="en-US"/>
        </w:rPr>
        <w:tab/>
        <w:t>Competition policy</w:t>
      </w:r>
      <w:bookmarkEnd w:id="660"/>
      <w:bookmarkEnd w:id="661"/>
      <w:bookmarkEnd w:id="662"/>
      <w:bookmarkEnd w:id="663"/>
      <w:bookmarkEnd w:id="664"/>
      <w:bookmarkEnd w:id="665"/>
    </w:p>
    <w:p w:rsidR="00007F8D" w:rsidRPr="00BD6197" w:rsidRDefault="00007F8D" w:rsidP="00007F8D">
      <w:pPr>
        <w:rPr>
          <w:lang w:val="en-US"/>
        </w:rPr>
      </w:pPr>
      <w:r w:rsidRPr="00BD6197">
        <w:rPr>
          <w:lang w:val="en-US"/>
        </w:rPr>
        <w:t>Depending on a given administration’s stance towards competition in spectrum-based services, it may be particularly important that the possibility of market dominance is considered. Existing competition policies, as well as proposed licence conditions and auction rules and procedures, should be reviewed to ensure that an unacceptable auction outcome is avoided.</w:t>
      </w:r>
    </w:p>
    <w:p w:rsidR="00007F8D" w:rsidRPr="00BD6197" w:rsidRDefault="00007F8D" w:rsidP="00007F8D">
      <w:pPr>
        <w:pStyle w:val="Heading3"/>
        <w:rPr>
          <w:lang w:val="en-US"/>
        </w:rPr>
      </w:pPr>
      <w:bookmarkStart w:id="666" w:name="_Toc394385987"/>
      <w:bookmarkStart w:id="667" w:name="_Toc394386074"/>
      <w:bookmarkStart w:id="668" w:name="_Toc395503178"/>
      <w:bookmarkStart w:id="669" w:name="_Toc459746666"/>
      <w:bookmarkStart w:id="670" w:name="_Toc459792594"/>
      <w:bookmarkStart w:id="671" w:name="_Toc459793765"/>
      <w:bookmarkStart w:id="672" w:name="_Toc459793907"/>
      <w:bookmarkStart w:id="673" w:name="_Toc459970386"/>
      <w:bookmarkStart w:id="674" w:name="_Toc497033139"/>
      <w:bookmarkStart w:id="675" w:name="_Toc497033937"/>
      <w:bookmarkStart w:id="676" w:name="_Toc289868774"/>
      <w:bookmarkStart w:id="677" w:name="_Toc289868934"/>
      <w:bookmarkStart w:id="678" w:name="_Toc289932242"/>
      <w:bookmarkStart w:id="679" w:name="_Toc289933288"/>
      <w:bookmarkStart w:id="680" w:name="_Toc291852851"/>
      <w:bookmarkStart w:id="681" w:name="_Toc392515841"/>
      <w:bookmarkStart w:id="682" w:name="_Toc462233999"/>
      <w:bookmarkStart w:id="683" w:name="_Toc518394163"/>
      <w:r w:rsidRPr="00BD6197">
        <w:rPr>
          <w:lang w:val="en-US"/>
        </w:rPr>
        <w:t>2.4.2</w:t>
      </w:r>
      <w:r w:rsidRPr="00BD6197">
        <w:rPr>
          <w:lang w:val="en-US"/>
        </w:rPr>
        <w:tab/>
        <w:t>Transferable property rights</w:t>
      </w:r>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p>
    <w:p w:rsidR="00007F8D" w:rsidRPr="00BD6197" w:rsidRDefault="00007F8D" w:rsidP="00007F8D">
      <w:pPr>
        <w:rPr>
          <w:lang w:val="en-US"/>
        </w:rPr>
      </w:pPr>
      <w:r w:rsidRPr="00BD6197">
        <w:rPr>
          <w:lang w:val="en-US"/>
        </w:rPr>
        <w:t>As with spectrum auctioning, the legal framework which underlies the ability of markets to function effectively, the clear specification by spectrum managers of rules and policies, and the legal and policy stance with respect to competition are all critical to how well a transferable spectrum property rights regime will work.</w:t>
      </w:r>
    </w:p>
    <w:p w:rsidR="00007F8D" w:rsidRPr="00BD6197" w:rsidRDefault="00007F8D" w:rsidP="00007F8D">
      <w:pPr>
        <w:rPr>
          <w:lang w:val="en-US"/>
        </w:rPr>
      </w:pPr>
      <w:r w:rsidRPr="00BD6197">
        <w:rPr>
          <w:lang w:val="en-US"/>
        </w:rPr>
        <w:t>An administration considering the implementation of such a regime will wish to ensure that it has the wherewithal to continue to enforce applicable licence conditions, standards, and regulations once spectrum has been transferred from an original licensee to another party. The ability of an administration to maintain an accurate licence/licensee database is important in this regard, so a certain degree of administrative and/or technical infrastructure would appear necessary for a transferable property rights regime to be successfully implemented. This need is amplified if the administration intends to allow licensees to transfer their licences not only in whole, but also in part, that is to say, to allow licence divisibility.</w:t>
      </w:r>
    </w:p>
    <w:p w:rsidR="00007F8D" w:rsidRPr="00BD6197" w:rsidRDefault="00007F8D" w:rsidP="00007F8D">
      <w:pPr>
        <w:pStyle w:val="Heading3"/>
        <w:rPr>
          <w:lang w:val="en-US"/>
        </w:rPr>
      </w:pPr>
      <w:bookmarkStart w:id="684" w:name="_Toc394385988"/>
      <w:bookmarkStart w:id="685" w:name="_Toc394386075"/>
      <w:bookmarkStart w:id="686" w:name="_Toc395503179"/>
      <w:bookmarkStart w:id="687" w:name="_Toc459746667"/>
      <w:bookmarkStart w:id="688" w:name="_Toc459792595"/>
      <w:bookmarkStart w:id="689" w:name="_Toc459793766"/>
      <w:bookmarkStart w:id="690" w:name="_Toc459793908"/>
      <w:bookmarkStart w:id="691" w:name="_Toc459970387"/>
      <w:bookmarkStart w:id="692" w:name="_Toc497033140"/>
      <w:bookmarkStart w:id="693" w:name="_Toc497033938"/>
      <w:bookmarkStart w:id="694" w:name="_Toc289868775"/>
      <w:bookmarkStart w:id="695" w:name="_Toc289868935"/>
      <w:bookmarkStart w:id="696" w:name="_Toc289932243"/>
      <w:bookmarkStart w:id="697" w:name="_Toc289933289"/>
      <w:bookmarkStart w:id="698" w:name="_Toc291852852"/>
      <w:bookmarkStart w:id="699" w:name="_Toc392515842"/>
      <w:bookmarkStart w:id="700" w:name="_Toc462234000"/>
      <w:bookmarkStart w:id="701" w:name="_Toc518394164"/>
      <w:r w:rsidRPr="00BD6197">
        <w:rPr>
          <w:lang w:val="en-US"/>
        </w:rPr>
        <w:t>2.4.3</w:t>
      </w:r>
      <w:r w:rsidRPr="00BD6197">
        <w:rPr>
          <w:lang w:val="en-US"/>
        </w:rPr>
        <w:tab/>
        <w:t>Licence fees</w:t>
      </w:r>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p>
    <w:p w:rsidR="00007F8D" w:rsidRPr="00BD6197" w:rsidRDefault="00007F8D" w:rsidP="00007F8D">
      <w:pPr>
        <w:rPr>
          <w:lang w:val="en-US"/>
        </w:rPr>
      </w:pPr>
      <w:r w:rsidRPr="00BD6197">
        <w:rPr>
          <w:lang w:val="en-US"/>
        </w:rPr>
        <w:t>The applicability of various licence fee regimes may vary among different countries. Countries with more developed economies and communications infrastructures may, for example, be more inclined to pursue such goals as:</w:t>
      </w:r>
    </w:p>
    <w:p w:rsidR="00007F8D" w:rsidRPr="00BD6197" w:rsidRDefault="00007F8D" w:rsidP="00007F8D">
      <w:pPr>
        <w:pStyle w:val="enumlev1"/>
        <w:rPr>
          <w:lang w:val="en-US"/>
        </w:rPr>
      </w:pPr>
      <w:r w:rsidRPr="00BD6197">
        <w:rPr>
          <w:lang w:val="en-US"/>
        </w:rPr>
        <w:t>–</w:t>
      </w:r>
      <w:r w:rsidRPr="00BD6197">
        <w:rPr>
          <w:lang w:val="en-US"/>
        </w:rPr>
        <w:tab/>
        <w:t>ensuring that the total payments made by spectrum users, through fees and/or auction proceeds, are greater than or equal to the total costs of spectrum management so as to avoid the subsidization of spectrum users from the general treasury;</w:t>
      </w:r>
    </w:p>
    <w:p w:rsidR="00007F8D" w:rsidRPr="00BD6197" w:rsidRDefault="00007F8D" w:rsidP="00007F8D">
      <w:pPr>
        <w:pStyle w:val="enumlev1"/>
        <w:rPr>
          <w:lang w:val="en-US"/>
        </w:rPr>
      </w:pPr>
      <w:r w:rsidRPr="00BD6197">
        <w:rPr>
          <w:lang w:val="en-US"/>
        </w:rPr>
        <w:t>–</w:t>
      </w:r>
      <w:r w:rsidRPr="00BD6197">
        <w:rPr>
          <w:lang w:val="en-US"/>
        </w:rPr>
        <w:tab/>
        <w:t>having fees approximate the market value of the spectrum resource to promote efficient use; and/or</w:t>
      </w:r>
    </w:p>
    <w:p w:rsidR="00007F8D" w:rsidRPr="00BD6197" w:rsidRDefault="00007F8D" w:rsidP="00007F8D">
      <w:pPr>
        <w:pStyle w:val="enumlev1"/>
        <w:rPr>
          <w:lang w:val="en-US"/>
        </w:rPr>
      </w:pPr>
      <w:r w:rsidRPr="00BD6197">
        <w:rPr>
          <w:lang w:val="en-US"/>
        </w:rPr>
        <w:t>–</w:t>
      </w:r>
      <w:r w:rsidRPr="00BD6197">
        <w:rPr>
          <w:lang w:val="en-US"/>
        </w:rPr>
        <w:tab/>
        <w:t>capturing any economic rents that the spectrum resource may generate.</w:t>
      </w:r>
    </w:p>
    <w:p w:rsidR="00007F8D" w:rsidRPr="00BD6197" w:rsidRDefault="00007F8D" w:rsidP="00007F8D">
      <w:pPr>
        <w:rPr>
          <w:lang w:val="en-US"/>
        </w:rPr>
      </w:pPr>
      <w:r w:rsidRPr="00BD6197">
        <w:rPr>
          <w:lang w:val="en-US"/>
        </w:rPr>
        <w:t>Countries with less developed economies may choose to pursue these same goals, or alternatively they might see fit to implicitly subsidize spectrum users through low licence fees if they feel that this will further other policy objectives.</w:t>
      </w:r>
    </w:p>
    <w:p w:rsidR="00007F8D" w:rsidRPr="00BD6197" w:rsidRDefault="00007F8D" w:rsidP="00007F8D">
      <w:pPr>
        <w:rPr>
          <w:lang w:val="en-US"/>
        </w:rPr>
      </w:pPr>
      <w:r w:rsidRPr="00BD6197">
        <w:rPr>
          <w:lang w:val="en-US"/>
        </w:rPr>
        <w:t>With reference to the different types of licence fee regimes discussed previously, incentive and/or opportunity cost-based fees have certain requirements for successful implementation. These types of fees are generally based on notions such as “spectrum consumed” or “the economic value of spectrum”, which are not always easy to practically define or estimate. Reliable automated licence/licensee databases and other informatics tools such as geographic information software may be necessary to perform the calculations imbedded in the fee model. Administrations wishing to reflect market values in their licence fees will need to consider to what extent the licences they grant resemble “market properties”. Any attempt to extract fees which in actuality are beyond the value of the associated spectrum may have negative economic consequences such as stifling investment, limiting service penetration, or raising consumer prices.</w:t>
      </w:r>
    </w:p>
    <w:p w:rsidR="00007F8D" w:rsidRPr="00BD6197" w:rsidRDefault="00007F8D" w:rsidP="00007F8D">
      <w:pPr>
        <w:rPr>
          <w:lang w:val="en-US"/>
        </w:rPr>
      </w:pPr>
      <w:r w:rsidRPr="00BD6197">
        <w:rPr>
          <w:lang w:val="en-US"/>
        </w:rPr>
        <w:t>Finally, in countries that have not previously charged fees, it is essential that spectrum managers have the legal authority in their communications law to charge for spectrum use.</w:t>
      </w:r>
    </w:p>
    <w:p w:rsidR="00007F8D" w:rsidRPr="00BD6197" w:rsidRDefault="00007F8D" w:rsidP="00007F8D">
      <w:pPr>
        <w:pStyle w:val="Heading2"/>
        <w:rPr>
          <w:lang w:val="en-US"/>
        </w:rPr>
      </w:pPr>
      <w:bookmarkStart w:id="702" w:name="_Toc400523524"/>
      <w:bookmarkStart w:id="703" w:name="_Toc403126962"/>
      <w:bookmarkStart w:id="704" w:name="_Toc403127174"/>
      <w:bookmarkStart w:id="705" w:name="_Toc403794338"/>
      <w:bookmarkStart w:id="706" w:name="_Toc403794756"/>
      <w:bookmarkStart w:id="707" w:name="_Toc405043911"/>
      <w:bookmarkStart w:id="708" w:name="_Toc405044148"/>
      <w:bookmarkStart w:id="709" w:name="_Toc405175978"/>
      <w:bookmarkStart w:id="710" w:name="_Toc409770190"/>
      <w:bookmarkStart w:id="711" w:name="_Toc423234793"/>
      <w:bookmarkStart w:id="712" w:name="_Toc423240978"/>
      <w:bookmarkStart w:id="713" w:name="_Toc423241806"/>
      <w:bookmarkStart w:id="714" w:name="_Toc423242114"/>
      <w:bookmarkStart w:id="715" w:name="_Toc423242254"/>
      <w:bookmarkStart w:id="716" w:name="_Toc423938026"/>
      <w:bookmarkStart w:id="717" w:name="_Toc425918239"/>
      <w:bookmarkStart w:id="718" w:name="_Toc456491512"/>
      <w:bookmarkStart w:id="719" w:name="_Toc456491685"/>
      <w:bookmarkStart w:id="720" w:name="_Toc456492129"/>
      <w:bookmarkStart w:id="721" w:name="_Toc456492170"/>
      <w:bookmarkStart w:id="722" w:name="_Toc458355754"/>
      <w:bookmarkStart w:id="723" w:name="_Toc459792596"/>
      <w:bookmarkStart w:id="724" w:name="_Toc459793767"/>
      <w:bookmarkStart w:id="725" w:name="_Toc459793909"/>
      <w:bookmarkStart w:id="726" w:name="_Toc459970388"/>
      <w:bookmarkStart w:id="727" w:name="_Toc497033141"/>
      <w:bookmarkStart w:id="728" w:name="_Toc497033939"/>
      <w:bookmarkStart w:id="729" w:name="_Toc289868776"/>
      <w:bookmarkStart w:id="730" w:name="_Toc289868936"/>
      <w:bookmarkStart w:id="731" w:name="_Toc289932244"/>
      <w:bookmarkStart w:id="732" w:name="_Toc289933290"/>
      <w:bookmarkStart w:id="733" w:name="_Toc291852853"/>
      <w:bookmarkStart w:id="734" w:name="_Toc392515843"/>
      <w:bookmarkStart w:id="735" w:name="_Toc462234001"/>
      <w:bookmarkStart w:id="736" w:name="_Toc518394165"/>
      <w:bookmarkStart w:id="737" w:name="_Toc394385989"/>
      <w:bookmarkStart w:id="738" w:name="_Toc394386076"/>
      <w:bookmarkStart w:id="739" w:name="_Toc395503180"/>
      <w:r w:rsidRPr="00BD6197">
        <w:rPr>
          <w:lang w:val="en-US"/>
        </w:rPr>
        <w:lastRenderedPageBreak/>
        <w:t>2.5</w:t>
      </w:r>
      <w:r w:rsidRPr="00BD6197">
        <w:rPr>
          <w:lang w:val="en-US"/>
        </w:rPr>
        <w:tab/>
        <w:t>Managing a change in spectrum management funding</w:t>
      </w:r>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p>
    <w:p w:rsidR="00007F8D" w:rsidRPr="00BD6197" w:rsidRDefault="00007F8D" w:rsidP="00007F8D">
      <w:pPr>
        <w:rPr>
          <w:lang w:val="en-US"/>
        </w:rPr>
      </w:pPr>
      <w:r w:rsidRPr="00BD6197">
        <w:rPr>
          <w:lang w:val="en-US"/>
        </w:rPr>
        <w:t>Use of radio has been identified as providing a number of benefits (see Chapter 3). Whether the level of economic benefits from the use of radio grows or diminishes depends on the spectrum being used efficiently and managed effectively. As implementation of spectrum pricing, or spectrum rights, can have a significant impact on spectrum management processes it is advisable that change should be managed due to the potential implications for the economy, the licensing process, industry and radio users.</w:t>
      </w:r>
    </w:p>
    <w:p w:rsidR="00007F8D" w:rsidRPr="00BD6197" w:rsidRDefault="00007F8D" w:rsidP="00007F8D">
      <w:pPr>
        <w:rPr>
          <w:lang w:val="en-US"/>
        </w:rPr>
      </w:pPr>
      <w:r w:rsidRPr="00BD6197">
        <w:rPr>
          <w:lang w:val="en-US"/>
        </w:rPr>
        <w:t>The issues that a spectrum management authority needs to consider related to these changes are likely to vary from administration to administration and the precise spectrum pricing procedure will differ, but they can be grouped into a small number of categories.</w:t>
      </w:r>
    </w:p>
    <w:p w:rsidR="00007F8D" w:rsidRPr="00BD6197" w:rsidRDefault="00007F8D" w:rsidP="00007F8D">
      <w:pPr>
        <w:pStyle w:val="Heading3"/>
        <w:rPr>
          <w:lang w:val="en-US"/>
        </w:rPr>
      </w:pPr>
      <w:bookmarkStart w:id="740" w:name="_Toc405043914"/>
      <w:bookmarkStart w:id="741" w:name="_Toc405044151"/>
      <w:bookmarkStart w:id="742" w:name="_Toc405175981"/>
      <w:bookmarkStart w:id="743" w:name="_Toc409770193"/>
      <w:bookmarkStart w:id="744" w:name="_Toc423234796"/>
      <w:bookmarkStart w:id="745" w:name="_Toc423240981"/>
      <w:bookmarkStart w:id="746" w:name="_Toc423241809"/>
      <w:bookmarkStart w:id="747" w:name="_Toc423242117"/>
      <w:bookmarkStart w:id="748" w:name="_Toc423242257"/>
      <w:bookmarkStart w:id="749" w:name="_Toc423938029"/>
      <w:bookmarkStart w:id="750" w:name="_Toc425918242"/>
      <w:bookmarkStart w:id="751" w:name="_Toc456491514"/>
      <w:bookmarkStart w:id="752" w:name="_Toc456491687"/>
      <w:bookmarkStart w:id="753" w:name="_Toc456492131"/>
      <w:bookmarkStart w:id="754" w:name="_Toc456492172"/>
      <w:bookmarkStart w:id="755" w:name="_Toc458355756"/>
      <w:bookmarkStart w:id="756" w:name="_Toc459792597"/>
      <w:bookmarkStart w:id="757" w:name="_Toc497033142"/>
      <w:bookmarkStart w:id="758" w:name="_Toc497033940"/>
      <w:bookmarkStart w:id="759" w:name="_Toc289868777"/>
      <w:bookmarkStart w:id="760" w:name="_Toc289868937"/>
      <w:bookmarkStart w:id="761" w:name="_Toc289932245"/>
      <w:bookmarkStart w:id="762" w:name="_Toc289933291"/>
      <w:bookmarkStart w:id="763" w:name="_Toc291852854"/>
      <w:bookmarkStart w:id="764" w:name="_Toc392515844"/>
      <w:bookmarkStart w:id="765" w:name="_Toc462234002"/>
      <w:bookmarkStart w:id="766" w:name="_Toc518394166"/>
      <w:r w:rsidRPr="00BD6197">
        <w:rPr>
          <w:lang w:val="en-US"/>
        </w:rPr>
        <w:t>2.5.1</w:t>
      </w:r>
      <w:r w:rsidRPr="00BD6197">
        <w:rPr>
          <w:lang w:val="en-US"/>
        </w:rPr>
        <w:tab/>
        <w:t>Legal</w:t>
      </w:r>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p>
    <w:p w:rsidR="00007F8D" w:rsidRPr="00BD6197" w:rsidRDefault="00007F8D" w:rsidP="00007F8D">
      <w:pPr>
        <w:rPr>
          <w:b/>
          <w:lang w:val="en-US"/>
        </w:rPr>
      </w:pPr>
      <w:r w:rsidRPr="00BD6197">
        <w:rPr>
          <w:lang w:val="en-US"/>
        </w:rPr>
        <w:t>Whether or not an administration needs to develop new legislation to introduce spectrum pricing, it is essential that the administration ensures that its existing legislation is effective. If the administration plans to introduce auctions, transferable spectrum rights, or a secondary market, it is also essential that the administration has appropriate competition legislation in place. If effective competition legislation and any organizations required to implement it have not been created prior to the launch of spectrum pricing, th</w:t>
      </w:r>
      <w:bookmarkStart w:id="767" w:name="_Toc405175982"/>
      <w:bookmarkStart w:id="768" w:name="_Toc409770194"/>
      <w:bookmarkStart w:id="769" w:name="_Toc423234797"/>
      <w:bookmarkStart w:id="770" w:name="_Toc423240982"/>
      <w:bookmarkStart w:id="771" w:name="_Toc423241810"/>
      <w:bookmarkStart w:id="772" w:name="_Toc423242118"/>
      <w:bookmarkStart w:id="773" w:name="_Toc423242258"/>
      <w:bookmarkStart w:id="774" w:name="_Toc423938030"/>
      <w:bookmarkStart w:id="775" w:name="_Toc425918243"/>
      <w:bookmarkStart w:id="776" w:name="_Toc456491515"/>
      <w:bookmarkStart w:id="777" w:name="_Toc456491688"/>
      <w:bookmarkStart w:id="778" w:name="_Toc456492132"/>
      <w:bookmarkStart w:id="779" w:name="_Toc456492173"/>
      <w:bookmarkStart w:id="780" w:name="_Toc458355757"/>
      <w:bookmarkStart w:id="781" w:name="_Toc459792598"/>
      <w:r w:rsidRPr="00BD6197">
        <w:rPr>
          <w:lang w:val="en-US"/>
        </w:rPr>
        <w:t>is could inhibit its operation.</w:t>
      </w:r>
    </w:p>
    <w:p w:rsidR="00007F8D" w:rsidRPr="00BD6197" w:rsidRDefault="00007F8D" w:rsidP="00007F8D">
      <w:pPr>
        <w:pStyle w:val="Heading3"/>
        <w:rPr>
          <w:lang w:val="en-US"/>
        </w:rPr>
      </w:pPr>
      <w:bookmarkStart w:id="782" w:name="_Toc497033143"/>
      <w:bookmarkStart w:id="783" w:name="_Toc497033941"/>
      <w:bookmarkStart w:id="784" w:name="_Toc289868778"/>
      <w:bookmarkStart w:id="785" w:name="_Toc289868938"/>
      <w:bookmarkStart w:id="786" w:name="_Toc289932246"/>
      <w:bookmarkStart w:id="787" w:name="_Toc289933292"/>
      <w:bookmarkStart w:id="788" w:name="_Toc291852855"/>
      <w:bookmarkStart w:id="789" w:name="_Toc392515845"/>
      <w:bookmarkStart w:id="790" w:name="_Toc462234003"/>
      <w:bookmarkStart w:id="791" w:name="_Toc518394167"/>
      <w:r w:rsidRPr="00BD6197">
        <w:rPr>
          <w:lang w:val="en-US"/>
        </w:rPr>
        <w:t>2.5.2</w:t>
      </w:r>
      <w:r w:rsidRPr="00BD6197">
        <w:rPr>
          <w:lang w:val="en-US"/>
        </w:rPr>
        <w:tab/>
        <w:t>International obligations</w:t>
      </w:r>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p>
    <w:p w:rsidR="00007F8D" w:rsidRPr="00BD6197" w:rsidRDefault="00007F8D" w:rsidP="00007F8D">
      <w:pPr>
        <w:rPr>
          <w:lang w:val="en-US"/>
        </w:rPr>
      </w:pPr>
      <w:r w:rsidRPr="00BD6197">
        <w:rPr>
          <w:lang w:val="en-US"/>
        </w:rPr>
        <w:t xml:space="preserve">Where an administration introduces spectrum pricing and particularly transferable spectrum rights, it is important that it should retain responsibility for the country’s international obligations. However, the administration may need to consider establishing a mechanism for representing the users’ views in the relevant international fora, especially if the user is permitted to take on any of the management responsibilities for their spectrum that normally may be associated with the administration (see Chapter 4). In most countries these mechanisms may already exist, whether they would need modification to reflect different levels of spectrum management responsibility between users may depend on the national spectrum management process structure </w:t>
      </w:r>
      <w:bookmarkStart w:id="792" w:name="_Toc405043915"/>
      <w:bookmarkStart w:id="793" w:name="_Toc405044152"/>
      <w:bookmarkStart w:id="794" w:name="_Toc405175983"/>
      <w:bookmarkStart w:id="795" w:name="_Toc409770195"/>
      <w:bookmarkStart w:id="796" w:name="_Toc423234798"/>
      <w:bookmarkStart w:id="797" w:name="_Toc423240983"/>
      <w:bookmarkStart w:id="798" w:name="_Toc423241811"/>
      <w:bookmarkStart w:id="799" w:name="_Toc423242119"/>
      <w:bookmarkStart w:id="800" w:name="_Toc423242259"/>
      <w:bookmarkStart w:id="801" w:name="_Toc423938031"/>
      <w:bookmarkStart w:id="802" w:name="_Toc425918244"/>
      <w:bookmarkStart w:id="803" w:name="_Toc456491516"/>
      <w:bookmarkStart w:id="804" w:name="_Toc456491689"/>
      <w:bookmarkStart w:id="805" w:name="_Toc456492133"/>
      <w:bookmarkStart w:id="806" w:name="_Toc456492174"/>
      <w:bookmarkStart w:id="807" w:name="_Toc458355758"/>
      <w:bookmarkStart w:id="808" w:name="_Toc459792599"/>
      <w:r w:rsidRPr="00BD6197">
        <w:rPr>
          <w:lang w:val="en-US"/>
        </w:rPr>
        <w:t>and organization.</w:t>
      </w:r>
    </w:p>
    <w:p w:rsidR="00007F8D" w:rsidRPr="00BD6197" w:rsidRDefault="00007F8D" w:rsidP="00007F8D">
      <w:pPr>
        <w:pStyle w:val="Heading3"/>
        <w:rPr>
          <w:lang w:val="en-US"/>
        </w:rPr>
      </w:pPr>
      <w:bookmarkStart w:id="809" w:name="_Toc405043916"/>
      <w:bookmarkStart w:id="810" w:name="_Toc405044153"/>
      <w:bookmarkStart w:id="811" w:name="_Toc405175984"/>
      <w:bookmarkStart w:id="812" w:name="_Toc409770196"/>
      <w:bookmarkStart w:id="813" w:name="_Toc423234799"/>
      <w:bookmarkStart w:id="814" w:name="_Toc423240984"/>
      <w:bookmarkStart w:id="815" w:name="_Toc423241812"/>
      <w:bookmarkStart w:id="816" w:name="_Toc423242120"/>
      <w:bookmarkStart w:id="817" w:name="_Toc423242260"/>
      <w:bookmarkStart w:id="818" w:name="_Toc423938032"/>
      <w:bookmarkStart w:id="819" w:name="_Toc425918245"/>
      <w:bookmarkStart w:id="820" w:name="_Toc456491517"/>
      <w:bookmarkStart w:id="821" w:name="_Toc456491690"/>
      <w:bookmarkStart w:id="822" w:name="_Toc456492134"/>
      <w:bookmarkStart w:id="823" w:name="_Toc456492175"/>
      <w:bookmarkStart w:id="824" w:name="_Toc458355759"/>
      <w:bookmarkStart w:id="825" w:name="_Toc459792600"/>
      <w:bookmarkStart w:id="826" w:name="_Toc497033145"/>
      <w:bookmarkStart w:id="827" w:name="_Toc497033943"/>
      <w:bookmarkStart w:id="828" w:name="_Toc289868779"/>
      <w:bookmarkStart w:id="829" w:name="_Toc289868939"/>
      <w:bookmarkStart w:id="830" w:name="_Toc289932247"/>
      <w:bookmarkStart w:id="831" w:name="_Toc289933293"/>
      <w:bookmarkStart w:id="832" w:name="_Toc291852856"/>
      <w:bookmarkStart w:id="833" w:name="_Toc392515846"/>
      <w:bookmarkStart w:id="834" w:name="_Toc462234004"/>
      <w:bookmarkStart w:id="835" w:name="_Toc518394168"/>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r w:rsidRPr="00BD6197">
        <w:rPr>
          <w:lang w:val="en-US"/>
        </w:rPr>
        <w:t>2.5.3</w:t>
      </w:r>
      <w:r w:rsidRPr="00BD6197">
        <w:rPr>
          <w:lang w:val="en-US"/>
        </w:rPr>
        <w:tab/>
        <w:t>Funding implications</w:t>
      </w:r>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p>
    <w:p w:rsidR="00007F8D" w:rsidRPr="00BD6197" w:rsidRDefault="00007F8D" w:rsidP="00007F8D">
      <w:pPr>
        <w:rPr>
          <w:lang w:val="en-US"/>
        </w:rPr>
      </w:pPr>
      <w:r w:rsidRPr="00BD6197">
        <w:rPr>
          <w:lang w:val="en-US"/>
        </w:rPr>
        <w:t>Administrations that have previously operated a “cost-recovery” system, or been dependent on fees for funding their spectrum management operations, need to consider the implications for their overall income arising from a change in spectrum management funding mechanisms, such as:</w:t>
      </w:r>
    </w:p>
    <w:p w:rsidR="00007F8D" w:rsidRPr="00BD6197" w:rsidRDefault="00007F8D" w:rsidP="00007F8D">
      <w:pPr>
        <w:pStyle w:val="enumlev1"/>
        <w:rPr>
          <w:lang w:val="en-US"/>
        </w:rPr>
      </w:pPr>
      <w:r w:rsidRPr="00BD6197">
        <w:rPr>
          <w:lang w:val="en-US"/>
        </w:rPr>
        <w:t>–</w:t>
      </w:r>
      <w:r w:rsidRPr="00BD6197">
        <w:rPr>
          <w:lang w:val="en-US"/>
        </w:rPr>
        <w:tab/>
        <w:t>auctions may be held only periodically, since at certain times there may not be suitable spectrum to be auctioned;</w:t>
      </w:r>
    </w:p>
    <w:p w:rsidR="00007F8D" w:rsidRPr="00BD6197" w:rsidRDefault="00007F8D" w:rsidP="00007F8D">
      <w:pPr>
        <w:pStyle w:val="enumlev1"/>
        <w:rPr>
          <w:lang w:val="en-US"/>
        </w:rPr>
      </w:pPr>
      <w:r w:rsidRPr="00BD6197">
        <w:rPr>
          <w:lang w:val="en-US"/>
        </w:rPr>
        <w:t>–</w:t>
      </w:r>
      <w:r w:rsidRPr="00BD6197">
        <w:rPr>
          <w:lang w:val="en-US"/>
        </w:rPr>
        <w:tab/>
        <w:t>incentive pricing is intended to relieve congestion, not to increase the levels of the administration’s funding.</w:t>
      </w:r>
    </w:p>
    <w:p w:rsidR="00007F8D" w:rsidRPr="00BD6197" w:rsidRDefault="00007F8D" w:rsidP="00007F8D">
      <w:pPr>
        <w:rPr>
          <w:lang w:val="en-US"/>
        </w:rPr>
      </w:pPr>
      <w:r w:rsidRPr="00BD6197">
        <w:rPr>
          <w:lang w:val="en-US"/>
        </w:rPr>
        <w:t>In the short term funding levels may increase, but as the spectrum pricing mechanisms take effect the levels of funding may fluctuate with time and adjustments to the level of supply and demand.</w:t>
      </w:r>
    </w:p>
    <w:p w:rsidR="00007F8D" w:rsidRPr="00BD6197" w:rsidRDefault="00007F8D" w:rsidP="00007F8D">
      <w:pPr>
        <w:pStyle w:val="Heading2"/>
        <w:rPr>
          <w:lang w:val="en-US"/>
        </w:rPr>
      </w:pPr>
      <w:bookmarkStart w:id="836" w:name="_Toc456491518"/>
      <w:bookmarkStart w:id="837" w:name="_Toc456491691"/>
      <w:bookmarkStart w:id="838" w:name="_Toc456492135"/>
      <w:bookmarkStart w:id="839" w:name="_Toc456492176"/>
      <w:bookmarkStart w:id="840" w:name="_Toc458355760"/>
      <w:bookmarkStart w:id="841" w:name="_Toc459792601"/>
      <w:bookmarkStart w:id="842" w:name="_Toc459793768"/>
      <w:bookmarkStart w:id="843" w:name="_Toc459793910"/>
      <w:bookmarkStart w:id="844" w:name="_Toc459970389"/>
      <w:bookmarkStart w:id="845" w:name="_Toc497033146"/>
      <w:bookmarkStart w:id="846" w:name="_Toc497033944"/>
      <w:bookmarkStart w:id="847" w:name="_Toc289868780"/>
      <w:bookmarkStart w:id="848" w:name="_Toc289868940"/>
      <w:bookmarkStart w:id="849" w:name="_Toc289932248"/>
      <w:bookmarkStart w:id="850" w:name="_Toc289933294"/>
      <w:bookmarkStart w:id="851" w:name="_Toc291852857"/>
      <w:bookmarkStart w:id="852" w:name="_Toc392515847"/>
      <w:bookmarkStart w:id="853" w:name="_Toc462234005"/>
      <w:bookmarkStart w:id="854" w:name="_Toc518394169"/>
      <w:r w:rsidRPr="00BD6197">
        <w:rPr>
          <w:lang w:val="en-US"/>
        </w:rPr>
        <w:t>2.6</w:t>
      </w:r>
      <w:r w:rsidRPr="00BD6197">
        <w:rPr>
          <w:lang w:val="en-US"/>
        </w:rPr>
        <w:tab/>
        <w:t>Summary</w:t>
      </w:r>
      <w:bookmarkEnd w:id="737"/>
      <w:bookmarkEnd w:id="738"/>
      <w:bookmarkEnd w:id="739"/>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p>
    <w:p w:rsidR="00007F8D" w:rsidRPr="00BD6197" w:rsidRDefault="00007F8D" w:rsidP="00007F8D">
      <w:pPr>
        <w:rPr>
          <w:lang w:val="en-US"/>
        </w:rPr>
      </w:pPr>
      <w:r w:rsidRPr="00BD6197">
        <w:rPr>
          <w:lang w:val="en-US"/>
        </w:rPr>
        <w:t xml:space="preserve">In view of increasing worldwide demand for radio services, economic approaches to national spectrum management are becoming essential. These approaches promote economic, technical, and administrative efficiency, and can also help fund national spectrum management programmes that can ensure that radio services are able to operate on a non-interference basis. While a free market in spectrum does not appear feasible due to technical, economic, and social considerations; auctions, transferable and flexible spectrum rights, and well-designed fees can enable a number of the benefits of a market approach to be realized. Auctions appear best-designed to promote efficient use of </w:t>
      </w:r>
      <w:r w:rsidRPr="00BD6197">
        <w:rPr>
          <w:lang w:val="en-US"/>
        </w:rPr>
        <w:lastRenderedPageBreak/>
        <w:t>spectrum when there are competing applicants for the same frequency assignment, and transferable and flexible spectrum rights ensure that an assignment will continue to be used efficiently after the auction has taken place. However, auctions may not be appropriate for services in which there is limited competition for spectrum assignments, for socially desirable services such as national defence, and for international services such as satellite services. For some of these services, fees may be appropriate. Fees can promote efficient use of the spectrum provided that they incorporate the correct economic incentives and are not set so low as to be negligible in the eyes of spectrum users or so high as to exceed what a market would set, in which case spectrum will sit idle and generate no benefits.</w:t>
      </w:r>
    </w:p>
    <w:p w:rsidR="00007F8D" w:rsidRPr="00BD6197" w:rsidRDefault="00007F8D" w:rsidP="00007F8D">
      <w:pPr>
        <w:rPr>
          <w:lang w:val="en-US"/>
        </w:rPr>
      </w:pPr>
      <w:r w:rsidRPr="00BD6197">
        <w:rPr>
          <w:lang w:val="en-US"/>
        </w:rPr>
        <w:t>Through spectrum pricing national spectrum managers can develop a variety of economic tools to promote more efficient spectrum use. If properly applied, these tools can help encourage investment in radio services, leading to growth of the telecommunications sector and benefiting the entire economy.</w:t>
      </w:r>
    </w:p>
    <w:p w:rsidR="00007F8D" w:rsidRDefault="00007F8D" w:rsidP="00007F8D">
      <w:pPr>
        <w:rPr>
          <w:lang w:val="en-US"/>
        </w:rPr>
      </w:pPr>
      <w:bookmarkStart w:id="855" w:name="_Toc459746669"/>
      <w:bookmarkStart w:id="856" w:name="_Toc459792602"/>
      <w:bookmarkStart w:id="857" w:name="_Toc459793769"/>
      <w:bookmarkStart w:id="858" w:name="_Toc459793911"/>
      <w:bookmarkStart w:id="859" w:name="_Toc459970390"/>
    </w:p>
    <w:p w:rsidR="00B9291B" w:rsidRPr="00BD6197" w:rsidRDefault="00B9291B" w:rsidP="00007F8D">
      <w:pPr>
        <w:rPr>
          <w:lang w:val="en-US"/>
        </w:rPr>
      </w:pPr>
    </w:p>
    <w:p w:rsidR="00007F8D" w:rsidRPr="00BD6197" w:rsidRDefault="00007F8D" w:rsidP="00007F8D">
      <w:pPr>
        <w:pStyle w:val="ChapNo"/>
        <w:rPr>
          <w:lang w:val="en-US"/>
        </w:rPr>
      </w:pPr>
      <w:bookmarkStart w:id="860" w:name="_Toc289868781"/>
      <w:bookmarkStart w:id="861" w:name="_Toc289868941"/>
      <w:bookmarkStart w:id="862" w:name="_Toc289932249"/>
      <w:bookmarkStart w:id="863" w:name="_Toc289933295"/>
      <w:bookmarkStart w:id="864" w:name="_Toc291852858"/>
      <w:bookmarkStart w:id="865" w:name="_Toc462234006"/>
      <w:bookmarkStart w:id="866" w:name="_Toc518394170"/>
      <w:r w:rsidRPr="00BD6197">
        <w:rPr>
          <w:lang w:val="en-US"/>
        </w:rPr>
        <w:t>CHAPTER 3</w:t>
      </w:r>
      <w:bookmarkEnd w:id="855"/>
      <w:bookmarkEnd w:id="856"/>
      <w:bookmarkEnd w:id="857"/>
      <w:bookmarkEnd w:id="858"/>
      <w:bookmarkEnd w:id="859"/>
      <w:bookmarkEnd w:id="860"/>
      <w:bookmarkEnd w:id="861"/>
      <w:bookmarkEnd w:id="862"/>
      <w:bookmarkEnd w:id="863"/>
      <w:bookmarkEnd w:id="864"/>
      <w:bookmarkEnd w:id="865"/>
      <w:bookmarkEnd w:id="866"/>
    </w:p>
    <w:p w:rsidR="00007F8D" w:rsidRPr="00BD6197" w:rsidRDefault="00007F8D" w:rsidP="00007F8D">
      <w:pPr>
        <w:pStyle w:val="Chaptitle"/>
        <w:rPr>
          <w:lang w:val="en-US"/>
        </w:rPr>
      </w:pPr>
      <w:bookmarkStart w:id="867" w:name="_Toc459746670"/>
      <w:bookmarkStart w:id="868" w:name="_Toc459792603"/>
      <w:bookmarkStart w:id="869" w:name="_Toc459793770"/>
      <w:bookmarkStart w:id="870" w:name="_Toc459793912"/>
      <w:bookmarkStart w:id="871" w:name="_Toc459970391"/>
      <w:bookmarkStart w:id="872" w:name="_Toc289868782"/>
      <w:bookmarkStart w:id="873" w:name="_Toc289868942"/>
      <w:bookmarkStart w:id="874" w:name="_Toc289932250"/>
      <w:bookmarkStart w:id="875" w:name="_Toc289933296"/>
      <w:bookmarkStart w:id="876" w:name="_Toc291852859"/>
      <w:bookmarkStart w:id="877" w:name="_Toc454284838"/>
      <w:bookmarkStart w:id="878" w:name="_Toc462234007"/>
      <w:bookmarkStart w:id="879" w:name="_Toc518394171"/>
      <w:r w:rsidRPr="00BD6197">
        <w:rPr>
          <w:lang w:val="en-US"/>
        </w:rPr>
        <w:t>Assessment of the benefits of using the radio spectrum</w:t>
      </w:r>
      <w:bookmarkEnd w:id="867"/>
      <w:bookmarkEnd w:id="868"/>
      <w:bookmarkEnd w:id="869"/>
      <w:bookmarkEnd w:id="870"/>
      <w:bookmarkEnd w:id="871"/>
      <w:bookmarkEnd w:id="872"/>
      <w:bookmarkEnd w:id="873"/>
      <w:bookmarkEnd w:id="874"/>
      <w:bookmarkEnd w:id="875"/>
      <w:bookmarkEnd w:id="876"/>
      <w:bookmarkEnd w:id="877"/>
      <w:bookmarkEnd w:id="878"/>
      <w:bookmarkEnd w:id="879"/>
    </w:p>
    <w:p w:rsidR="00007F8D" w:rsidRPr="00BD6197" w:rsidRDefault="00007F8D" w:rsidP="00007F8D">
      <w:pPr>
        <w:pStyle w:val="Heading2"/>
        <w:rPr>
          <w:lang w:val="en-US"/>
        </w:rPr>
      </w:pPr>
      <w:bookmarkStart w:id="880" w:name="_Toc394385990"/>
      <w:bookmarkStart w:id="881" w:name="_Toc394386077"/>
      <w:bookmarkStart w:id="882" w:name="_Toc395503181"/>
      <w:bookmarkStart w:id="883" w:name="_Toc459746671"/>
      <w:bookmarkStart w:id="884" w:name="_Toc459792604"/>
      <w:bookmarkStart w:id="885" w:name="_Toc459793771"/>
      <w:bookmarkStart w:id="886" w:name="_Toc459793913"/>
      <w:bookmarkStart w:id="887" w:name="_Toc459970392"/>
      <w:bookmarkStart w:id="888" w:name="_Toc497033147"/>
      <w:bookmarkStart w:id="889" w:name="_Toc497033945"/>
      <w:bookmarkStart w:id="890" w:name="_Toc289868783"/>
      <w:bookmarkStart w:id="891" w:name="_Toc289868943"/>
      <w:bookmarkStart w:id="892" w:name="_Toc289932251"/>
      <w:bookmarkStart w:id="893" w:name="_Toc289933297"/>
      <w:bookmarkStart w:id="894" w:name="_Toc291852860"/>
      <w:bookmarkStart w:id="895" w:name="_Toc392515848"/>
      <w:bookmarkStart w:id="896" w:name="_Toc462234008"/>
      <w:bookmarkStart w:id="897" w:name="_Toc518394172"/>
      <w:r w:rsidRPr="00BD6197">
        <w:rPr>
          <w:lang w:val="en-US"/>
        </w:rPr>
        <w:t>3.1</w:t>
      </w:r>
      <w:r w:rsidRPr="00BD6197">
        <w:rPr>
          <w:lang w:val="en-US"/>
        </w:rPr>
        <w:tab/>
        <w:t>Background</w:t>
      </w:r>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p>
    <w:p w:rsidR="00007F8D" w:rsidRPr="00BD6197" w:rsidRDefault="00007F8D" w:rsidP="00007F8D">
      <w:pPr>
        <w:rPr>
          <w:lang w:val="en-US"/>
        </w:rPr>
      </w:pPr>
      <w:r w:rsidRPr="00BD6197">
        <w:rPr>
          <w:lang w:val="en-US"/>
        </w:rPr>
        <w:t>Effective management of the radio spectrum is required to ensure spectrum access for new services (see Note 1)</w:t>
      </w:r>
      <w:r w:rsidRPr="00BD6197">
        <w:rPr>
          <w:vertAlign w:val="superscript"/>
          <w:lang w:val="en-US"/>
        </w:rPr>
        <w:t xml:space="preserve"> </w:t>
      </w:r>
      <w:r w:rsidRPr="00BD6197">
        <w:rPr>
          <w:lang w:val="en-US"/>
        </w:rPr>
        <w:t>and technologies, growth in existing services and avoidance of interference between users. Funding for this task will be dependent on the competing claims of all government activities. The extent of radio usage within a country will influence the particular functions performed by the spectrum management authority. As radio usage increases, so does the requirement for spectrum management. Assessment of the economic benefits (see Note 2) arising from the use of the radio spectrum is useful in making spectrum planning decisions. If quantification of these benefits is required for spectrum planning and strategic development then suitable methodologies must be identified. This Chapter, which is based on a report from the UK, provides a comparison of two methods to quantify the economic benefits and examines the factors that may affect this value.</w:t>
      </w:r>
    </w:p>
    <w:p w:rsidR="00007F8D" w:rsidRPr="00BD6197" w:rsidRDefault="00007F8D" w:rsidP="00007F8D">
      <w:pPr>
        <w:pStyle w:val="Note"/>
        <w:rPr>
          <w:lang w:val="en-US"/>
        </w:rPr>
      </w:pPr>
      <w:r w:rsidRPr="00BD6197">
        <w:rPr>
          <w:lang w:val="en-US"/>
        </w:rPr>
        <w:t>NOTE 1 – In this Report the use of the word “service” with a non-capitalized “s” means an end-user service (e.g. cellular radio) and not a Radiocommunication Service.</w:t>
      </w:r>
    </w:p>
    <w:p w:rsidR="00007F8D" w:rsidRPr="00BD6197" w:rsidRDefault="00007F8D" w:rsidP="00007F8D">
      <w:pPr>
        <w:pStyle w:val="Note"/>
        <w:rPr>
          <w:lang w:val="en-US"/>
        </w:rPr>
      </w:pPr>
      <w:r w:rsidRPr="00BD6197">
        <w:rPr>
          <w:lang w:val="en-US"/>
        </w:rPr>
        <w:t>NOTE 2 – Here the term “benefits” is not used in its standard economic sense.</w:t>
      </w:r>
    </w:p>
    <w:p w:rsidR="00007F8D" w:rsidRPr="00BD6197" w:rsidRDefault="00007F8D" w:rsidP="00007F8D">
      <w:pPr>
        <w:pStyle w:val="Heading2"/>
        <w:rPr>
          <w:lang w:val="en-US"/>
        </w:rPr>
      </w:pPr>
      <w:bookmarkStart w:id="898" w:name="_Toc394385991"/>
      <w:bookmarkStart w:id="899" w:name="_Toc394386078"/>
      <w:bookmarkStart w:id="900" w:name="_Toc395503182"/>
      <w:bookmarkStart w:id="901" w:name="_Toc459746672"/>
      <w:bookmarkStart w:id="902" w:name="_Toc459792605"/>
      <w:bookmarkStart w:id="903" w:name="_Toc459793772"/>
      <w:bookmarkStart w:id="904" w:name="_Toc459793914"/>
      <w:bookmarkStart w:id="905" w:name="_Toc459970393"/>
      <w:bookmarkStart w:id="906" w:name="_Toc497033148"/>
      <w:bookmarkStart w:id="907" w:name="_Toc497033946"/>
      <w:bookmarkStart w:id="908" w:name="_Toc289868784"/>
      <w:bookmarkStart w:id="909" w:name="_Toc289868944"/>
      <w:bookmarkStart w:id="910" w:name="_Toc289932252"/>
      <w:bookmarkStart w:id="911" w:name="_Toc289933298"/>
      <w:bookmarkStart w:id="912" w:name="_Toc291852861"/>
      <w:bookmarkStart w:id="913" w:name="_Toc392515849"/>
      <w:bookmarkStart w:id="914" w:name="_Toc462234009"/>
      <w:bookmarkStart w:id="915" w:name="_Toc518394173"/>
      <w:r w:rsidRPr="00BD6197">
        <w:rPr>
          <w:lang w:val="en-US"/>
        </w:rPr>
        <w:t>3.2</w:t>
      </w:r>
      <w:r w:rsidRPr="00BD6197">
        <w:rPr>
          <w:lang w:val="en-US"/>
        </w:rPr>
        <w:tab/>
        <w:t>Methods of assessing the spectrum’s economic benefits</w:t>
      </w:r>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p>
    <w:p w:rsidR="00007F8D" w:rsidRPr="00BD6197" w:rsidRDefault="00007F8D" w:rsidP="00007F8D">
      <w:pPr>
        <w:rPr>
          <w:lang w:val="en-US"/>
        </w:rPr>
      </w:pPr>
      <w:r w:rsidRPr="00BD6197">
        <w:rPr>
          <w:lang w:val="en-US"/>
        </w:rPr>
        <w:t>Economic benefits are generally recognized to accrue from the expansion of manufacturing capability, or the creation of new radio industries and services. They also arise from the impact radio services have on generating improvements in the performance of a business. These improvements may include: increased productivity, increased exports, reduced operating costs and increased employment. Improvements in the performance of a business are not only found where radio forms part of the core business (e.g. a telecommunications service provider, radio equipment manufacturer), but also where it is used as a way to support the core business (e.g. a water supply company using telemetry and telecommand to remote reservoirs, a taxi company using mobile radio to pass passenger details to taxis).</w:t>
      </w:r>
    </w:p>
    <w:p w:rsidR="00007F8D" w:rsidRPr="00BD6197" w:rsidRDefault="00007F8D" w:rsidP="00007F8D">
      <w:pPr>
        <w:rPr>
          <w:lang w:val="en-US"/>
        </w:rPr>
      </w:pPr>
      <w:r w:rsidRPr="00BD6197">
        <w:rPr>
          <w:lang w:val="en-US"/>
        </w:rPr>
        <w:lastRenderedPageBreak/>
        <w:t>Two methods used for quantifying economic benefits have been identified in the Report – The Economic impact of the Use of Radio in the UK</w:t>
      </w:r>
      <w:r w:rsidRPr="00BD6197">
        <w:rPr>
          <w:rStyle w:val="FootnoteReference"/>
          <w:lang w:val="en-US"/>
        </w:rPr>
        <w:footnoteReference w:id="2"/>
      </w:r>
      <w:r w:rsidRPr="00BD6197">
        <w:rPr>
          <w:lang w:val="en-US"/>
        </w:rPr>
        <w:t>, published in 1995 and subsequently updated with last update in March 2006. The methods calculate the contribution of radio use to the economy using:</w:t>
      </w:r>
    </w:p>
    <w:p w:rsidR="00007F8D" w:rsidRPr="00BD6197" w:rsidRDefault="00007F8D" w:rsidP="00007F8D">
      <w:pPr>
        <w:pStyle w:val="enumlev1"/>
        <w:rPr>
          <w:lang w:val="en-US"/>
        </w:rPr>
      </w:pPr>
      <w:r w:rsidRPr="00BD6197">
        <w:rPr>
          <w:lang w:val="en-US"/>
        </w:rPr>
        <w:t>–</w:t>
      </w:r>
      <w:r w:rsidRPr="00BD6197">
        <w:rPr>
          <w:lang w:val="en-US"/>
        </w:rPr>
        <w:tab/>
        <w:t>gross domestic product (GDP) and employment;</w:t>
      </w:r>
    </w:p>
    <w:p w:rsidR="00007F8D" w:rsidRPr="00BD6197" w:rsidRDefault="00007F8D" w:rsidP="00007F8D">
      <w:pPr>
        <w:pStyle w:val="enumlev1"/>
        <w:rPr>
          <w:lang w:val="en-US"/>
        </w:rPr>
      </w:pPr>
      <w:r w:rsidRPr="00BD6197">
        <w:rPr>
          <w:lang w:val="en-US"/>
        </w:rPr>
        <w:t>–</w:t>
      </w:r>
      <w:r w:rsidRPr="00BD6197">
        <w:rPr>
          <w:lang w:val="en-US"/>
        </w:rPr>
        <w:tab/>
        <w:t>consumer and producer surplus.</w:t>
      </w:r>
    </w:p>
    <w:p w:rsidR="00007F8D" w:rsidRPr="00BD6197" w:rsidRDefault="00007F8D" w:rsidP="00007F8D">
      <w:pPr>
        <w:rPr>
          <w:lang w:val="en-US"/>
        </w:rPr>
      </w:pPr>
      <w:r w:rsidRPr="00BD6197">
        <w:rPr>
          <w:lang w:val="en-US"/>
        </w:rPr>
        <w:t>These methods may be used to estimate the economic benefits arising from the provision of a single end-user service, or each service’s economic benefits can be added together to provide the total economic benefits arising from radio in a country. Both methods and their relative merits are presented in the following sections. Although in this Report measurement of employment is linked to the measurement of GDP, it is really a complementary measurement that could be equally applied to the measurement of consumer surplus.</w:t>
      </w:r>
    </w:p>
    <w:p w:rsidR="00007F8D" w:rsidRPr="00BD6197" w:rsidRDefault="00007F8D" w:rsidP="00007F8D">
      <w:pPr>
        <w:pStyle w:val="Heading3"/>
        <w:rPr>
          <w:lang w:val="en-US"/>
        </w:rPr>
      </w:pPr>
      <w:bookmarkStart w:id="916" w:name="_Toc394385992"/>
      <w:bookmarkStart w:id="917" w:name="_Toc394386079"/>
      <w:bookmarkStart w:id="918" w:name="_Toc395503183"/>
      <w:bookmarkStart w:id="919" w:name="_Toc459746673"/>
      <w:bookmarkStart w:id="920" w:name="_Toc459792606"/>
      <w:bookmarkStart w:id="921" w:name="_Toc459793773"/>
      <w:bookmarkStart w:id="922" w:name="_Toc459793915"/>
      <w:bookmarkStart w:id="923" w:name="_Toc459970394"/>
      <w:bookmarkStart w:id="924" w:name="_Toc497033149"/>
      <w:bookmarkStart w:id="925" w:name="_Toc497033947"/>
      <w:bookmarkStart w:id="926" w:name="_Toc289868785"/>
      <w:bookmarkStart w:id="927" w:name="_Toc289868945"/>
      <w:bookmarkStart w:id="928" w:name="_Toc289932253"/>
      <w:bookmarkStart w:id="929" w:name="_Toc289933299"/>
      <w:bookmarkStart w:id="930" w:name="_Toc291852862"/>
      <w:bookmarkStart w:id="931" w:name="_Toc392515850"/>
      <w:bookmarkStart w:id="932" w:name="_Toc462234010"/>
      <w:bookmarkStart w:id="933" w:name="_Toc518394174"/>
      <w:r w:rsidRPr="00BD6197">
        <w:rPr>
          <w:lang w:val="en-US"/>
        </w:rPr>
        <w:t>3.2.1</w:t>
      </w:r>
      <w:r w:rsidRPr="00BD6197">
        <w:rPr>
          <w:lang w:val="en-US"/>
        </w:rPr>
        <w:tab/>
        <w:t>GDP and employment</w:t>
      </w:r>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p>
    <w:p w:rsidR="00007F8D" w:rsidRPr="00BD6197" w:rsidRDefault="00007F8D" w:rsidP="00007F8D">
      <w:pPr>
        <w:rPr>
          <w:lang w:val="en-US"/>
        </w:rPr>
      </w:pPr>
      <w:r w:rsidRPr="00BD6197">
        <w:rPr>
          <w:lang w:val="en-US"/>
        </w:rPr>
        <w:t>The use of the GDP method to estimate the economic benefits is based on the contribution radio makes to all business activity within a country. The contribution to GDP will be equal to the product of the price of a good or service, and the number that are sold. The expenditure of the resulting wages and profits provides a further increase (multiplier effects) in both GDP and employment which can be added to these figures.</w:t>
      </w:r>
    </w:p>
    <w:p w:rsidR="00007F8D" w:rsidRPr="00BD6197" w:rsidRDefault="00007F8D" w:rsidP="00007F8D">
      <w:pPr>
        <w:rPr>
          <w:lang w:val="en-US"/>
        </w:rPr>
      </w:pPr>
      <w:r w:rsidRPr="00BD6197">
        <w:rPr>
          <w:lang w:val="en-US"/>
        </w:rPr>
        <w:t>In practice GDP and employment contributions may enter the economy at a number of different points that are determined by the operation of the particular service. Typically for a service which is sold to an end user (e.g. broadcasting), contributions will occur in:</w:t>
      </w:r>
    </w:p>
    <w:p w:rsidR="00007F8D" w:rsidRPr="00BD6197" w:rsidRDefault="00007F8D" w:rsidP="00007F8D">
      <w:pPr>
        <w:pStyle w:val="enumlev1"/>
        <w:rPr>
          <w:lang w:val="en-US"/>
        </w:rPr>
      </w:pPr>
      <w:r w:rsidRPr="00BD6197">
        <w:rPr>
          <w:lang w:val="en-US"/>
        </w:rPr>
        <w:t>–</w:t>
      </w:r>
      <w:r w:rsidRPr="00BD6197">
        <w:rPr>
          <w:lang w:val="en-US"/>
        </w:rPr>
        <w:tab/>
        <w:t>the business providing the radio service (company A). This contribution to the economy is known as the direct effect of the use of radio. When the whole of the business of “company A” is based on the radio service (e.g. broadcasting), determining the required information is relatively straightforward. When the radio service provides only part of the business (e.g. private mobile radio (PMR)) it can be more difficult;</w:t>
      </w:r>
    </w:p>
    <w:p w:rsidR="00007F8D" w:rsidRPr="00BD6197" w:rsidRDefault="00007F8D" w:rsidP="00007F8D">
      <w:pPr>
        <w:pStyle w:val="enumlev1"/>
        <w:rPr>
          <w:lang w:val="en-US"/>
        </w:rPr>
      </w:pPr>
      <w:r w:rsidRPr="00BD6197">
        <w:rPr>
          <w:lang w:val="en-US"/>
        </w:rPr>
        <w:t>–</w:t>
      </w:r>
      <w:r w:rsidRPr="00BD6197">
        <w:rPr>
          <w:lang w:val="en-US"/>
        </w:rPr>
        <w:tab/>
        <w:t>businesses manufacturing equipment purchased by “company A”, or supplying other services (e.g. cleaning services, recruitment services, information technology support, market research) in support of “company A’s” operations, these indirect contributions to the economy are called backward linkages;</w:t>
      </w:r>
    </w:p>
    <w:p w:rsidR="00007F8D" w:rsidRPr="00BD6197" w:rsidRDefault="00007F8D" w:rsidP="00007F8D">
      <w:pPr>
        <w:pStyle w:val="enumlev1"/>
        <w:rPr>
          <w:lang w:val="en-US"/>
        </w:rPr>
      </w:pPr>
      <w:r w:rsidRPr="00BD6197">
        <w:rPr>
          <w:lang w:val="en-US"/>
        </w:rPr>
        <w:t>–</w:t>
      </w:r>
      <w:r w:rsidRPr="00BD6197">
        <w:rPr>
          <w:lang w:val="en-US"/>
        </w:rPr>
        <w:tab/>
        <w:t>businesses manufacturing equipment for users of “company A’s” service, or distributing and retailing “company A’s” services, these indirect contributions to the economy are called forward linkages. These services need not be related to radio, e.g. airlines use aeronautical mobile but their services that are retailed relate to passenger and freight traffic.</w:t>
      </w:r>
    </w:p>
    <w:p w:rsidR="00007F8D" w:rsidRPr="00BD6197" w:rsidRDefault="00007F8D" w:rsidP="00007F8D">
      <w:pPr>
        <w:rPr>
          <w:lang w:val="en-US"/>
        </w:rPr>
      </w:pPr>
      <w:r w:rsidRPr="00BD6197">
        <w:rPr>
          <w:lang w:val="en-US"/>
        </w:rPr>
        <w:t>In the case of a radio service provided by the end user, as in PMR, the direct effect and backward linkage would be the same. However, there is no forward linkage because the contributing elements are incorporated within the direct effect.</w:t>
      </w:r>
    </w:p>
    <w:p w:rsidR="00007F8D" w:rsidRPr="00BD6197" w:rsidRDefault="00007F8D" w:rsidP="00007F8D">
      <w:pPr>
        <w:rPr>
          <w:lang w:val="en-US"/>
        </w:rPr>
      </w:pPr>
      <w:r w:rsidRPr="00BD6197">
        <w:rPr>
          <w:lang w:val="en-US"/>
        </w:rPr>
        <w:t xml:space="preserve">The contribution to GDP and employment from the service or services will be equal to the sum of the direct effect, the forward and backward linkages. This value will depend on the amount of capital equipment and materials originating within, and the level of profits retained in, a country. In practice all countries will import some of the capital equipment and materials used and this will reduce the GDP contribution. However, even in the worst-case scenario where all capital equipment and materials are imported (unlikely because of the impracticalities of importing all raw materials and the </w:t>
      </w:r>
      <w:r w:rsidRPr="00BD6197">
        <w:rPr>
          <w:lang w:val="en-US"/>
        </w:rPr>
        <w:lastRenderedPageBreak/>
        <w:t>increase in overhead costs) there will still be a positive contribution to GDP and employment through salaries, supplies to users of the equipment, distribution and retailing.</w:t>
      </w:r>
    </w:p>
    <w:p w:rsidR="00007F8D" w:rsidRPr="00BD6197" w:rsidRDefault="00007F8D" w:rsidP="00007F8D">
      <w:pPr>
        <w:pStyle w:val="Heading4"/>
        <w:rPr>
          <w:lang w:val="en-US"/>
        </w:rPr>
      </w:pPr>
      <w:bookmarkStart w:id="934" w:name="_Toc459746674"/>
      <w:bookmarkStart w:id="935" w:name="_Toc459792607"/>
      <w:bookmarkStart w:id="936" w:name="_Toc459793774"/>
      <w:bookmarkStart w:id="937" w:name="_Toc459793916"/>
      <w:bookmarkStart w:id="938" w:name="_Toc497033150"/>
      <w:bookmarkStart w:id="939" w:name="_Toc497033948"/>
      <w:r w:rsidRPr="00BD6197">
        <w:rPr>
          <w:lang w:val="en-US"/>
        </w:rPr>
        <w:t>3.2.1.1</w:t>
      </w:r>
      <w:r w:rsidRPr="00BD6197">
        <w:rPr>
          <w:lang w:val="en-US"/>
        </w:rPr>
        <w:tab/>
        <w:t>Factors modifying the combined GDP and employment values</w:t>
      </w:r>
      <w:bookmarkEnd w:id="934"/>
      <w:bookmarkEnd w:id="935"/>
      <w:bookmarkEnd w:id="936"/>
      <w:bookmarkEnd w:id="937"/>
      <w:bookmarkEnd w:id="938"/>
      <w:bookmarkEnd w:id="939"/>
    </w:p>
    <w:p w:rsidR="00007F8D" w:rsidRPr="00BD6197" w:rsidRDefault="00007F8D" w:rsidP="00007F8D">
      <w:pPr>
        <w:rPr>
          <w:lang w:val="en-US"/>
        </w:rPr>
      </w:pPr>
      <w:r w:rsidRPr="00BD6197">
        <w:rPr>
          <w:lang w:val="en-US"/>
        </w:rPr>
        <w:t>In all cases, the combined GDP and employment figures resulting from radio’s contribution towards the economy has to be revised downwards because of the impact of “displacement effects”. These are based on the principle there will always be an alternative to the existing use, e.g. if aircraft did not exist, then the shipping and railway industries would expand. These effects equate to the following scenarios:</w:t>
      </w:r>
    </w:p>
    <w:p w:rsidR="00007F8D" w:rsidRPr="00BD6197" w:rsidRDefault="00007F8D" w:rsidP="00007F8D">
      <w:pPr>
        <w:pStyle w:val="enumlev1"/>
        <w:rPr>
          <w:lang w:val="en-US"/>
        </w:rPr>
      </w:pPr>
      <w:r w:rsidRPr="00BD6197">
        <w:rPr>
          <w:lang w:val="en-US"/>
        </w:rPr>
        <w:t>–</w:t>
      </w:r>
      <w:r w:rsidRPr="00BD6197">
        <w:rPr>
          <w:lang w:val="en-US"/>
        </w:rPr>
        <w:tab/>
        <w:t>radio may be a substitute for another non-radio service, e.g. cable;</w:t>
      </w:r>
    </w:p>
    <w:p w:rsidR="00007F8D" w:rsidRPr="00BD6197" w:rsidRDefault="00007F8D" w:rsidP="00007F8D">
      <w:pPr>
        <w:pStyle w:val="enumlev1"/>
        <w:rPr>
          <w:lang w:val="en-US"/>
        </w:rPr>
      </w:pPr>
      <w:r w:rsidRPr="00BD6197">
        <w:rPr>
          <w:lang w:val="en-US"/>
        </w:rPr>
        <w:t>–</w:t>
      </w:r>
      <w:r w:rsidRPr="00BD6197">
        <w:rPr>
          <w:lang w:val="en-US"/>
        </w:rPr>
        <w:tab/>
        <w:t>if radio did not exist the resources used in its development would be employed in other parts of the economy.</w:t>
      </w:r>
    </w:p>
    <w:p w:rsidR="00007F8D" w:rsidRPr="00BD6197" w:rsidRDefault="00007F8D" w:rsidP="00007F8D">
      <w:pPr>
        <w:rPr>
          <w:lang w:val="en-US"/>
        </w:rPr>
      </w:pPr>
      <w:r w:rsidRPr="00BD6197">
        <w:rPr>
          <w:lang w:val="en-US"/>
        </w:rPr>
        <w:t>Allowance can be made in the calculations for the impact of relative changes in GDP and employment arising from a substitute service. However, the latter case for the wider economic displacement is more of a problem. Although the theory that all resources are completely mobile has some validity, there are disagreements on the limitations to this theory and validation is hampered by a lack of substantive information.</w:t>
      </w:r>
    </w:p>
    <w:p w:rsidR="00007F8D" w:rsidRPr="00BD6197" w:rsidRDefault="00007F8D" w:rsidP="00007F8D">
      <w:pPr>
        <w:rPr>
          <w:lang w:val="en-US"/>
        </w:rPr>
      </w:pPr>
      <w:r w:rsidRPr="00BD6197">
        <w:rPr>
          <w:lang w:val="en-US"/>
        </w:rPr>
        <w:t>Once the GDP and employment figures have been adjusted to take into account the displacement effects, the impact of “multiplier effects” can be considered. Multiplier effects arise from the impact of wages and profits, generated in all businesses associated with the use of radio, as they spread through the rest of a country’s economy and in the process create further income and employment. They are a function of a country’s economic structure and may be different values for assessment of GDP and employment. In the United Kingdom, the Report – The Economic impact of the Use of Radio in the UK, estimated that the “multiplier effect” allowing for imports was approximately 1.4 times for income and slightly more for employment.</w:t>
      </w:r>
    </w:p>
    <w:p w:rsidR="00007F8D" w:rsidRPr="00BD6197" w:rsidRDefault="00007F8D" w:rsidP="00007F8D">
      <w:pPr>
        <w:keepNext/>
        <w:keepLines/>
        <w:rPr>
          <w:lang w:val="en-US"/>
        </w:rPr>
      </w:pPr>
      <w:r w:rsidRPr="00BD6197">
        <w:rPr>
          <w:lang w:val="en-US"/>
        </w:rPr>
        <w:t>Hence,</w:t>
      </w:r>
    </w:p>
    <w:p w:rsidR="00007F8D" w:rsidRPr="00BD6197" w:rsidRDefault="00007F8D" w:rsidP="00007F8D">
      <w:pPr>
        <w:pStyle w:val="Equation"/>
        <w:keepNext/>
        <w:keepLines/>
        <w:rPr>
          <w:lang w:val="en-US"/>
        </w:rPr>
      </w:pPr>
      <w:r w:rsidRPr="00BD6197">
        <w:rPr>
          <w:lang w:val="en-US"/>
        </w:rPr>
        <w:t xml:space="preserve">The total contribution to GDP and employment for a service </w:t>
      </w:r>
      <w:r w:rsidRPr="00BD6197">
        <w:rPr>
          <w:rFonts w:ascii="Symbol" w:hAnsi="Symbol"/>
          <w:lang w:val="en-US"/>
        </w:rPr>
        <w:t></w:t>
      </w:r>
      <w:r w:rsidRPr="00BD6197">
        <w:rPr>
          <w:lang w:val="en-US"/>
        </w:rPr>
        <w:t xml:space="preserve"> (DE </w:t>
      </w:r>
      <w:r w:rsidRPr="00BD6197">
        <w:rPr>
          <w:rFonts w:ascii="Symbol" w:hAnsi="Symbol"/>
          <w:lang w:val="en-US"/>
        </w:rPr>
        <w:t></w:t>
      </w:r>
      <w:r w:rsidRPr="00BD6197">
        <w:rPr>
          <w:lang w:val="en-US"/>
        </w:rPr>
        <w:t> FL </w:t>
      </w:r>
      <w:r w:rsidRPr="00BD6197">
        <w:rPr>
          <w:rFonts w:ascii="Symbol" w:hAnsi="Symbol"/>
          <w:lang w:val="en-US"/>
        </w:rPr>
        <w:t></w:t>
      </w:r>
      <w:r w:rsidRPr="00BD6197">
        <w:rPr>
          <w:lang w:val="en-US"/>
        </w:rPr>
        <w:t xml:space="preserve"> BL – DPE) </w:t>
      </w:r>
      <w:r w:rsidRPr="00BD6197">
        <w:rPr>
          <w:rFonts w:ascii="Symbol" w:hAnsi="Symbol"/>
          <w:lang w:val="en-US"/>
        </w:rPr>
        <w:t></w:t>
      </w:r>
      <w:r w:rsidRPr="00BD6197">
        <w:rPr>
          <w:lang w:val="en-US"/>
        </w:rPr>
        <w:t> MPE</w:t>
      </w:r>
      <w:r w:rsidRPr="00BD6197">
        <w:rPr>
          <w:lang w:val="en-US"/>
        </w:rPr>
        <w:tab/>
        <w:t>(5)</w:t>
      </w:r>
    </w:p>
    <w:p w:rsidR="00007F8D" w:rsidRPr="00BD6197" w:rsidRDefault="00007F8D" w:rsidP="00007F8D">
      <w:pPr>
        <w:keepNext/>
        <w:keepLines/>
        <w:rPr>
          <w:lang w:val="en-US"/>
        </w:rPr>
      </w:pPr>
      <w:r w:rsidRPr="00BD6197">
        <w:rPr>
          <w:lang w:val="en-US"/>
        </w:rPr>
        <w:t xml:space="preserve">Where: DE </w:t>
      </w:r>
      <w:r w:rsidRPr="00BD6197">
        <w:rPr>
          <w:rFonts w:ascii="Symbol" w:hAnsi="Symbol"/>
          <w:lang w:val="en-US"/>
        </w:rPr>
        <w:t></w:t>
      </w:r>
      <w:r w:rsidRPr="00BD6197">
        <w:rPr>
          <w:lang w:val="en-US"/>
        </w:rPr>
        <w:t xml:space="preserve"> direct effect; FL = forward linkage; BL = backward linkage; DPE = displacement effects; MPE = multiplier effects.</w:t>
      </w:r>
    </w:p>
    <w:p w:rsidR="00007F8D" w:rsidRPr="00BD6197" w:rsidRDefault="00007F8D" w:rsidP="00007F8D">
      <w:pPr>
        <w:rPr>
          <w:lang w:val="en-US"/>
        </w:rPr>
      </w:pPr>
      <w:r w:rsidRPr="00BD6197">
        <w:rPr>
          <w:szCs w:val="24"/>
          <w:lang w:val="en-US" w:eastAsia="zh-CN"/>
        </w:rPr>
        <w:t>The 2006 UK report uses company turnover data to compute direct effects, and then use the Input</w:t>
      </w:r>
      <w:r w:rsidRPr="00BD6197">
        <w:rPr>
          <w:szCs w:val="24"/>
          <w:lang w:val="en-US" w:eastAsia="zh-CN"/>
        </w:rPr>
        <w:noBreakHyphen/>
        <w:t xml:space="preserve">Output tables to calculate multiplier effects. An alternative methodology could have been to calculate the value added by these firms, rather than use their turnover figures. However, preference is given to turnover, as it is better suited to computing multiplier effects and is consistent with the previous (1995) study which estimated the GDP effect of radio spectrum use. To compute direct GDP and employment effects, identify firms for whom radio spectrum contributes substantially to turnover, i.e. firms that are small scale users of spectrum are not included. The reason for this is that it is very difficult to break down, for each firm, how much of the turnover and employment arises due to the use of radio spectrum compared with other inputs. </w:t>
      </w:r>
      <w:r w:rsidRPr="00BD6197">
        <w:rPr>
          <w:lang w:val="en-US"/>
        </w:rPr>
        <w:t>The total economic benefits arising from radio in a country would be equal to the summation of all of the total contributions arising from each service.</w:t>
      </w:r>
    </w:p>
    <w:p w:rsidR="00007F8D" w:rsidRPr="00BD6197" w:rsidRDefault="00007F8D" w:rsidP="00007F8D">
      <w:pPr>
        <w:rPr>
          <w:szCs w:val="24"/>
          <w:lang w:val="en-US"/>
        </w:rPr>
      </w:pPr>
      <w:r w:rsidRPr="00BD6197">
        <w:rPr>
          <w:color w:val="000000"/>
          <w:szCs w:val="24"/>
          <w:lang w:val="en-US" w:eastAsia="zh-CN"/>
        </w:rPr>
        <w:t xml:space="preserve">Two types of GDP and employment effects arise from direct employment and turnover: linkage effects and induced effects. Linkage effects refer to the jobs created in the supply or distribution chain. An example would be jobs in a mobile handset manufacturing firm which provides the physical equipment to cellular phone providers. The jobs of those employed in the manufacturing firm will be directly affected if there is a change in demand from the cellular phone provider. The second effect is the induced employment or the income multiplier effect that arises due to expenditure of the incomes that employees in the radio spectrum using sector earn. This additional expenditure creates further jobs as the money is spent on goods and services – a ripple effect. The method that we consider </w:t>
      </w:r>
      <w:r w:rsidRPr="00BD6197">
        <w:rPr>
          <w:color w:val="000000"/>
          <w:szCs w:val="24"/>
          <w:lang w:val="en-US" w:eastAsia="zh-CN"/>
        </w:rPr>
        <w:lastRenderedPageBreak/>
        <w:t xml:space="preserve">to be the most suitable for assessing sector level change is to use multipliers derived from Input-Output tables. Input-Output tables provide a complete picture of the flows of products and services within an economy for </w:t>
      </w:r>
      <w:r w:rsidRPr="00BD6197">
        <w:rPr>
          <w:i/>
          <w:iCs/>
          <w:color w:val="000000"/>
          <w:szCs w:val="24"/>
          <w:lang w:val="en-US" w:eastAsia="zh-CN"/>
        </w:rPr>
        <w:t xml:space="preserve">all </w:t>
      </w:r>
      <w:r w:rsidRPr="00BD6197">
        <w:rPr>
          <w:color w:val="000000"/>
          <w:szCs w:val="24"/>
          <w:lang w:val="en-US" w:eastAsia="zh-CN"/>
        </w:rPr>
        <w:t xml:space="preserve">sectors in an economy. Specifically, the tables detail the flows between various industries and also between industries and the final demand sector. Such linkages can then be used to estimate the extent to which any given industry contributes to the various final demand sectors. The main concept behind the multiplier is the recognition that the various sectors that make up an economy are interdependent. One can manipulate the Input-Output table to estimate different types of multipliers depending on whether there is an interest in output, employment or income effects. The constituent component of the multipliers is the Leontief Inverse matrix. This is derived from the symmetric industry-by-industry use matrix and shows how much of each industry’s output is required, in terms of direct and indirect requirements, to produce one unit of a given industry’s output. The output </w:t>
      </w:r>
      <w:r w:rsidRPr="00BD6197">
        <w:rPr>
          <w:i/>
          <w:iCs/>
          <w:szCs w:val="24"/>
          <w:lang w:val="en-US" w:eastAsia="zh-CN"/>
        </w:rPr>
        <w:t xml:space="preserve">GDP Effects </w:t>
      </w:r>
      <w:r w:rsidRPr="00BD6197">
        <w:rPr>
          <w:iCs/>
          <w:szCs w:val="24"/>
          <w:lang w:val="en-US" w:eastAsia="zh-CN"/>
        </w:rPr>
        <w:t xml:space="preserve">can be derived </w:t>
      </w:r>
      <w:r w:rsidRPr="00BD6197">
        <w:rPr>
          <w:color w:val="000000"/>
          <w:szCs w:val="24"/>
          <w:lang w:val="en-US" w:eastAsia="zh-CN"/>
        </w:rPr>
        <w:t xml:space="preserve">from the Leontief inverse tables, and then use industry level output-employment ratios to determine employment effects. The estimates of employment and income thus derived are for gross employment rather than net new employment, i.e. the figures are over-estimated as they do not adjust for factors of production which might have been displaced from other productive uses. There is a range of beliefs regarding displacement effects, with a Treasury view that there are no net effects in the economy of the employment and output of a single firm or project. This view stems from the idea that, if a particular firm did not exist, others would have arisen in its place in the long run. Still, other studies have attempted to measure specific short-run displacement effects and these can be used to provide benchmark figures. </w:t>
      </w:r>
    </w:p>
    <w:p w:rsidR="00007F8D" w:rsidRPr="00BD6197" w:rsidRDefault="00007F8D" w:rsidP="00007F8D">
      <w:pPr>
        <w:pStyle w:val="Heading3"/>
        <w:rPr>
          <w:lang w:val="en-US"/>
        </w:rPr>
      </w:pPr>
      <w:bookmarkStart w:id="940" w:name="_Toc394385993"/>
      <w:bookmarkStart w:id="941" w:name="_Toc394386080"/>
      <w:bookmarkStart w:id="942" w:name="_Toc395503184"/>
      <w:bookmarkStart w:id="943" w:name="_Toc459746675"/>
      <w:bookmarkStart w:id="944" w:name="_Toc459792608"/>
      <w:bookmarkStart w:id="945" w:name="_Toc459793775"/>
      <w:bookmarkStart w:id="946" w:name="_Toc459793917"/>
      <w:bookmarkStart w:id="947" w:name="_Toc459970395"/>
      <w:bookmarkStart w:id="948" w:name="_Toc497033151"/>
      <w:bookmarkStart w:id="949" w:name="_Toc497033949"/>
      <w:bookmarkStart w:id="950" w:name="_Toc289868786"/>
      <w:bookmarkStart w:id="951" w:name="_Toc289868946"/>
      <w:bookmarkStart w:id="952" w:name="_Toc289932254"/>
      <w:bookmarkStart w:id="953" w:name="_Toc289933300"/>
      <w:bookmarkStart w:id="954" w:name="_Toc291852863"/>
      <w:bookmarkStart w:id="955" w:name="_Toc392515851"/>
      <w:bookmarkStart w:id="956" w:name="_Toc462234011"/>
      <w:bookmarkStart w:id="957" w:name="_Toc518394175"/>
      <w:r w:rsidRPr="00BD6197">
        <w:rPr>
          <w:lang w:val="en-US"/>
        </w:rPr>
        <w:t>3.2.2</w:t>
      </w:r>
      <w:r w:rsidRPr="00BD6197">
        <w:rPr>
          <w:lang w:val="en-US"/>
        </w:rPr>
        <w:tab/>
        <w:t>Consumer and producer surplus</w:t>
      </w:r>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p>
    <w:p w:rsidR="00007F8D" w:rsidRPr="00BD6197" w:rsidRDefault="00007F8D" w:rsidP="00007F8D">
      <w:pPr>
        <w:keepNext/>
        <w:keepLines/>
        <w:rPr>
          <w:lang w:val="en-US"/>
        </w:rPr>
      </w:pPr>
      <w:r w:rsidRPr="00BD6197">
        <w:rPr>
          <w:lang w:val="en-US"/>
        </w:rPr>
        <w:t xml:space="preserve">Consumer surplus is a measure of the difference between what a customer is willing to pay and the actual price of the product. </w:t>
      </w:r>
      <w:r w:rsidRPr="00BD6197">
        <w:rPr>
          <w:lang w:val="en-US" w:eastAsia="zh-CN"/>
        </w:rPr>
        <w:t>Consumer surplus was formally explained by Alfred Marshall in his Principles of Economics. It can be defined as the excess utility (or surplus) above the price actually paid. In Marshall’s words: “the price which a person pays for a thing can never exceed and seldom comes up to that which he would be willing to pay rather than go without it: so that the satisfaction which he gets from its purchase generally exceeds that which he gives up in paying away its price; and he thus derives from the purchase a surplus satisfaction. The excess of the price which he would be willing to pay rather than go without the thing, over that which he actually does pay, is the economic measure of this surplus satisfaction.”</w:t>
      </w:r>
    </w:p>
    <w:p w:rsidR="00007F8D" w:rsidRPr="00BD6197" w:rsidRDefault="00007F8D" w:rsidP="00007F8D">
      <w:pPr>
        <w:rPr>
          <w:lang w:val="en-US"/>
        </w:rPr>
      </w:pPr>
      <w:r w:rsidRPr="00BD6197">
        <w:rPr>
          <w:lang w:val="en-US"/>
        </w:rPr>
        <w:t>To determine the consumer surplus for a service it is necessary to estimate its demand curve – a plot of the item price (y-axis) against the quantity sold (x-axis). The consumer surplus is then equal to the area between a horizontal line at the item price from zero to the quantity purchased and the demand curve. To estimate the demand curve it is important to have historical information on the service that covers several years. This information is not always available. If the service is new then there will be no historical information. Without sufficient data it is extremely difficult to estimate the demand curve and if the demand curve cannot be estimated then the consumer surplus cannot be calculated.</w:t>
      </w:r>
    </w:p>
    <w:p w:rsidR="00007F8D" w:rsidRPr="00BD6197" w:rsidRDefault="00007F8D" w:rsidP="00007F8D">
      <w:pPr>
        <w:rPr>
          <w:lang w:val="en-US"/>
        </w:rPr>
      </w:pPr>
      <w:r w:rsidRPr="00BD6197">
        <w:rPr>
          <w:lang w:val="en-US"/>
        </w:rPr>
        <w:t xml:space="preserve">Producer surplus is the difference between what a producer actually earns and the amount it needs to earn to continue in business. </w:t>
      </w:r>
      <w:r w:rsidRPr="00BD6197">
        <w:rPr>
          <w:lang w:val="en-US" w:eastAsia="zh-CN"/>
        </w:rPr>
        <w:t xml:space="preserve">Producer surplus is related to the consumer surplus. It can be defined as the revenue received by a supplier of any particular good or service over the minimum amount he would be willing to accept to maintain the same level of supply. </w:t>
      </w:r>
      <w:r w:rsidRPr="00BD6197">
        <w:rPr>
          <w:lang w:val="en-US"/>
        </w:rPr>
        <w:t>To determine the correct value of producer surplus, the performance of the business needs to be monitored over a substantial part of its lifetime. In practice this is difficult to achieve as it requires consistent historical data for established businesses and accurate estimates of future performance for new businesses.</w:t>
      </w:r>
    </w:p>
    <w:p w:rsidR="00007F8D" w:rsidRPr="00BD6197" w:rsidRDefault="00007F8D" w:rsidP="00007F8D">
      <w:pPr>
        <w:rPr>
          <w:lang w:val="en-US"/>
        </w:rPr>
      </w:pPr>
      <w:r w:rsidRPr="00BD6197">
        <w:rPr>
          <w:lang w:val="en-US"/>
        </w:rPr>
        <w:t>The total surplus arising from the use of radio would be equal to the summation of the consumer and producer surplus for each service.</w:t>
      </w:r>
    </w:p>
    <w:p w:rsidR="00007F8D" w:rsidRPr="00BD6197" w:rsidRDefault="00007F8D" w:rsidP="00007F8D">
      <w:pPr>
        <w:rPr>
          <w:lang w:val="en-US"/>
        </w:rPr>
      </w:pPr>
      <w:r w:rsidRPr="00BD6197">
        <w:rPr>
          <w:lang w:val="en-US"/>
        </w:rPr>
        <w:t>Consumer and producer surplus are presented graphically in the Fig. 1. The price of the item (p</w:t>
      </w:r>
      <w:r w:rsidRPr="00BD6197">
        <w:rPr>
          <w:vertAlign w:val="subscript"/>
          <w:lang w:val="en-US"/>
        </w:rPr>
        <w:t>x</w:t>
      </w:r>
      <w:r w:rsidRPr="00BD6197">
        <w:rPr>
          <w:lang w:val="en-US"/>
        </w:rPr>
        <w:t>) and the quantity (q</w:t>
      </w:r>
      <w:r w:rsidRPr="00BD6197">
        <w:rPr>
          <w:vertAlign w:val="subscript"/>
          <w:lang w:val="en-US"/>
        </w:rPr>
        <w:t>x</w:t>
      </w:r>
      <w:r w:rsidRPr="00BD6197">
        <w:rPr>
          <w:lang w:val="en-US"/>
        </w:rPr>
        <w:t>) of the item sold at price p</w:t>
      </w:r>
      <w:r w:rsidRPr="00BD6197">
        <w:rPr>
          <w:vertAlign w:val="subscript"/>
          <w:lang w:val="en-US"/>
        </w:rPr>
        <w:t>x</w:t>
      </w:r>
      <w:r w:rsidRPr="00BD6197">
        <w:rPr>
          <w:lang w:val="en-US"/>
        </w:rPr>
        <w:t xml:space="preserve"> are shown on their respective axes. Consumer surplus </w:t>
      </w:r>
      <w:r w:rsidRPr="00BD6197">
        <w:rPr>
          <w:lang w:val="en-US"/>
        </w:rPr>
        <w:lastRenderedPageBreak/>
        <w:t>(CS) is shown as the area between the demand curve and the price level (triangle p</w:t>
      </w:r>
      <w:r w:rsidRPr="00BD6197">
        <w:rPr>
          <w:vertAlign w:val="subscript"/>
          <w:lang w:val="en-US"/>
        </w:rPr>
        <w:t>x</w:t>
      </w:r>
      <w:r w:rsidRPr="00BD6197">
        <w:rPr>
          <w:lang w:val="en-US"/>
        </w:rPr>
        <w:t>-x-d</w:t>
      </w:r>
      <w:r w:rsidRPr="00BD6197">
        <w:rPr>
          <w:vertAlign w:val="subscript"/>
          <w:lang w:val="en-US"/>
        </w:rPr>
        <w:t>i</w:t>
      </w:r>
      <w:r w:rsidRPr="00BD6197">
        <w:rPr>
          <w:lang w:val="en-US"/>
        </w:rPr>
        <w:t xml:space="preserve">). Producer surplus (PS) is shown as the area between the supply curve and the price level </w:t>
      </w:r>
      <w:r w:rsidRPr="00BD6197">
        <w:rPr>
          <w:lang w:val="en-US"/>
        </w:rPr>
        <w:br/>
        <w:t>(triangle p</w:t>
      </w:r>
      <w:r w:rsidRPr="00BD6197">
        <w:rPr>
          <w:vertAlign w:val="subscript"/>
          <w:lang w:val="en-US"/>
        </w:rPr>
        <w:t>x</w:t>
      </w:r>
      <w:r w:rsidRPr="00BD6197">
        <w:rPr>
          <w:lang w:val="en-US"/>
        </w:rPr>
        <w:t>-x-s</w:t>
      </w:r>
      <w:r w:rsidRPr="00BD6197">
        <w:rPr>
          <w:vertAlign w:val="subscript"/>
          <w:lang w:val="en-US"/>
        </w:rPr>
        <w:t>i</w:t>
      </w:r>
      <w:r w:rsidRPr="00BD6197">
        <w:rPr>
          <w:lang w:val="en-US"/>
        </w:rPr>
        <w:t>).</w:t>
      </w:r>
    </w:p>
    <w:p w:rsidR="00007F8D" w:rsidRPr="00BD6197" w:rsidRDefault="00007F8D" w:rsidP="00007F8D">
      <w:pPr>
        <w:pStyle w:val="FigureNo"/>
        <w:rPr>
          <w:lang w:val="en-US"/>
        </w:rPr>
      </w:pPr>
      <w:r w:rsidRPr="00BD6197">
        <w:rPr>
          <w:lang w:val="en-US"/>
        </w:rPr>
        <w:t>FIGURE 1</w:t>
      </w:r>
    </w:p>
    <w:p w:rsidR="00007F8D" w:rsidRPr="00BD6197" w:rsidRDefault="00007F8D" w:rsidP="00007F8D">
      <w:pPr>
        <w:pStyle w:val="Figuretitle"/>
        <w:rPr>
          <w:lang w:val="en-US"/>
        </w:rPr>
      </w:pPr>
      <w:r w:rsidRPr="00BD6197">
        <w:rPr>
          <w:lang w:val="en-US"/>
        </w:rPr>
        <w:t>Consumer and producer surplus</w:t>
      </w:r>
    </w:p>
    <w:p w:rsidR="00007F8D" w:rsidRPr="00BD6197" w:rsidRDefault="00007F8D" w:rsidP="00007F8D">
      <w:pPr>
        <w:pStyle w:val="Figure"/>
        <w:rPr>
          <w:lang w:val="en-US"/>
        </w:rPr>
      </w:pPr>
      <w:r w:rsidRPr="00BD6197">
        <w:rPr>
          <w:lang w:val="en-US"/>
        </w:rPr>
        <w:object w:dxaOrig="6410" w:dyaOrig="7079">
          <v:shape id="_x0000_i1026" type="#_x0000_t75" style="width:321.75pt;height:353.25pt" o:ole="">
            <v:imagedata r:id="rId14" o:title=""/>
          </v:shape>
          <o:OLEObject Type="Embed" ProgID="CorelDRAW.Graphic.14" ShapeID="_x0000_i1026" DrawAspect="Content" ObjectID="_1604324980" r:id="rId15"/>
        </w:object>
      </w:r>
    </w:p>
    <w:p w:rsidR="00007F8D" w:rsidRPr="00BD6197" w:rsidRDefault="00007F8D" w:rsidP="00007F8D">
      <w:pPr>
        <w:pStyle w:val="Heading3"/>
        <w:rPr>
          <w:lang w:val="en-US"/>
        </w:rPr>
      </w:pPr>
      <w:bookmarkStart w:id="958" w:name="_Toc394385994"/>
      <w:bookmarkStart w:id="959" w:name="_Toc394386081"/>
      <w:bookmarkStart w:id="960" w:name="_Toc395503185"/>
      <w:bookmarkStart w:id="961" w:name="_Toc459746676"/>
      <w:bookmarkStart w:id="962" w:name="_Toc459792609"/>
      <w:bookmarkStart w:id="963" w:name="_Toc459793776"/>
      <w:bookmarkStart w:id="964" w:name="_Toc459793918"/>
      <w:bookmarkStart w:id="965" w:name="_Toc459970396"/>
      <w:bookmarkStart w:id="966" w:name="_Toc497033152"/>
      <w:bookmarkStart w:id="967" w:name="_Toc497033950"/>
      <w:bookmarkStart w:id="968" w:name="_Toc289868787"/>
      <w:bookmarkStart w:id="969" w:name="_Toc289868947"/>
      <w:bookmarkStart w:id="970" w:name="_Toc289932255"/>
      <w:bookmarkStart w:id="971" w:name="_Toc289933301"/>
      <w:bookmarkStart w:id="972" w:name="_Toc291852864"/>
      <w:bookmarkStart w:id="973" w:name="_Toc392515852"/>
      <w:bookmarkStart w:id="974" w:name="_Toc462234012"/>
      <w:bookmarkStart w:id="975" w:name="_Toc518394176"/>
      <w:r w:rsidRPr="00BD6197">
        <w:rPr>
          <w:lang w:val="en-US"/>
        </w:rPr>
        <w:t>3.2.3</w:t>
      </w:r>
      <w:r w:rsidRPr="00BD6197">
        <w:rPr>
          <w:lang w:val="en-US"/>
        </w:rPr>
        <w:tab/>
        <w:t>The link between economic and social benefits</w:t>
      </w:r>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p>
    <w:p w:rsidR="00007F8D" w:rsidRPr="00BD6197" w:rsidRDefault="00007F8D" w:rsidP="00007F8D">
      <w:pPr>
        <w:rPr>
          <w:lang w:val="en-US"/>
        </w:rPr>
      </w:pPr>
      <w:r w:rsidRPr="00BD6197">
        <w:rPr>
          <w:lang w:val="en-US"/>
        </w:rPr>
        <w:t>Some uses of the radio spectrum generate economic benefits but do not directly generate revenues. The economic benefits that the use of spectrum generates in such activities however, are not readily apparent. No clear or easily measurable financial values generally exist to directly quantify the magnitude of these benefits. Hence it may be assumed that economic analysis cannot account for these social benefits and can only account for such factors as the revenues and profits received by firms. This is not the case. A proper economic analysis considers benefits that do not directly generate revenues.</w:t>
      </w:r>
    </w:p>
    <w:p w:rsidR="00007F8D" w:rsidRPr="00BD6197" w:rsidRDefault="00007F8D" w:rsidP="00007F8D">
      <w:pPr>
        <w:keepNext/>
        <w:rPr>
          <w:lang w:val="en-US"/>
        </w:rPr>
      </w:pPr>
      <w:r w:rsidRPr="00BD6197">
        <w:rPr>
          <w:lang w:val="en-US"/>
        </w:rPr>
        <w:t>Examples of services providing social benefits include:</w:t>
      </w:r>
    </w:p>
    <w:p w:rsidR="00007F8D" w:rsidRPr="00BD6197" w:rsidRDefault="00007F8D" w:rsidP="00007F8D">
      <w:pPr>
        <w:pStyle w:val="enumlev1"/>
        <w:keepNext/>
        <w:rPr>
          <w:lang w:val="en-US"/>
        </w:rPr>
      </w:pPr>
      <w:r w:rsidRPr="00BD6197">
        <w:rPr>
          <w:lang w:val="en-US"/>
        </w:rPr>
        <w:t>–</w:t>
      </w:r>
      <w:r w:rsidRPr="00BD6197">
        <w:rPr>
          <w:lang w:val="en-US"/>
        </w:rPr>
        <w:tab/>
        <w:t>broadcasting – providing education, training, news and recreation;</w:t>
      </w:r>
    </w:p>
    <w:p w:rsidR="00007F8D" w:rsidRPr="00BD6197" w:rsidRDefault="00007F8D" w:rsidP="00007F8D">
      <w:pPr>
        <w:pStyle w:val="enumlev1"/>
        <w:rPr>
          <w:lang w:val="en-US"/>
        </w:rPr>
      </w:pPr>
      <w:r w:rsidRPr="00BD6197">
        <w:rPr>
          <w:lang w:val="en-US"/>
        </w:rPr>
        <w:t>–</w:t>
      </w:r>
      <w:r w:rsidRPr="00BD6197">
        <w:rPr>
          <w:lang w:val="en-US"/>
        </w:rPr>
        <w:tab/>
        <w:t>emergency services – providing a link to the police, accident and rescue services including disaster control facilities;</w:t>
      </w:r>
    </w:p>
    <w:p w:rsidR="00007F8D" w:rsidRPr="00BD6197" w:rsidRDefault="00007F8D" w:rsidP="00007F8D">
      <w:pPr>
        <w:pStyle w:val="enumlev1"/>
        <w:rPr>
          <w:lang w:val="en-US"/>
        </w:rPr>
      </w:pPr>
      <w:r w:rsidRPr="00BD6197">
        <w:rPr>
          <w:lang w:val="en-US"/>
        </w:rPr>
        <w:t>–</w:t>
      </w:r>
      <w:r w:rsidRPr="00BD6197">
        <w:rPr>
          <w:lang w:val="en-US"/>
        </w:rPr>
        <w:tab/>
        <w:t>personal services – home health care/nursing, home security for the elderly;</w:t>
      </w:r>
    </w:p>
    <w:p w:rsidR="00007F8D" w:rsidRPr="00BD6197" w:rsidRDefault="00007F8D" w:rsidP="00007F8D">
      <w:pPr>
        <w:pStyle w:val="enumlev1"/>
        <w:rPr>
          <w:lang w:val="en-US"/>
        </w:rPr>
      </w:pPr>
      <w:r w:rsidRPr="00BD6197">
        <w:rPr>
          <w:lang w:val="en-US"/>
        </w:rPr>
        <w:t>–</w:t>
      </w:r>
      <w:r w:rsidRPr="00BD6197">
        <w:rPr>
          <w:lang w:val="en-US"/>
        </w:rPr>
        <w:tab/>
        <w:t>research – meteorology, radio astronomy.</w:t>
      </w:r>
    </w:p>
    <w:p w:rsidR="00007F8D" w:rsidRPr="00BD6197" w:rsidRDefault="00007F8D" w:rsidP="00007F8D">
      <w:pPr>
        <w:pStyle w:val="Heading3"/>
        <w:rPr>
          <w:lang w:val="en-US"/>
        </w:rPr>
      </w:pPr>
      <w:bookmarkStart w:id="976" w:name="_Toc394385995"/>
      <w:bookmarkStart w:id="977" w:name="_Toc394386082"/>
      <w:bookmarkStart w:id="978" w:name="_Toc395503186"/>
      <w:bookmarkStart w:id="979" w:name="_Toc459746677"/>
      <w:bookmarkStart w:id="980" w:name="_Toc459792610"/>
      <w:bookmarkStart w:id="981" w:name="_Toc459793777"/>
      <w:bookmarkStart w:id="982" w:name="_Toc459793919"/>
      <w:bookmarkStart w:id="983" w:name="_Toc459970397"/>
      <w:bookmarkStart w:id="984" w:name="_Toc497033153"/>
      <w:bookmarkStart w:id="985" w:name="_Toc497033951"/>
      <w:bookmarkStart w:id="986" w:name="_Toc289868788"/>
      <w:bookmarkStart w:id="987" w:name="_Toc289868948"/>
      <w:bookmarkStart w:id="988" w:name="_Toc289932256"/>
      <w:bookmarkStart w:id="989" w:name="_Toc289933302"/>
      <w:bookmarkStart w:id="990" w:name="_Toc291852865"/>
      <w:bookmarkStart w:id="991" w:name="_Toc392515853"/>
      <w:bookmarkStart w:id="992" w:name="_Toc462234013"/>
      <w:bookmarkStart w:id="993" w:name="_Toc518394177"/>
      <w:r w:rsidRPr="00BD6197">
        <w:rPr>
          <w:lang w:val="en-US"/>
        </w:rPr>
        <w:lastRenderedPageBreak/>
        <w:t>3.2.4</w:t>
      </w:r>
      <w:r w:rsidRPr="00BD6197">
        <w:rPr>
          <w:lang w:val="en-US"/>
        </w:rPr>
        <w:tab/>
        <w:t>Comparison of the methods for quantifying economic benefits</w:t>
      </w:r>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p>
    <w:p w:rsidR="00007F8D" w:rsidRPr="00BD6197" w:rsidRDefault="00007F8D" w:rsidP="00007F8D">
      <w:pPr>
        <w:rPr>
          <w:lang w:val="en-US"/>
        </w:rPr>
      </w:pPr>
      <w:r w:rsidRPr="00BD6197">
        <w:rPr>
          <w:lang w:val="en-US"/>
        </w:rPr>
        <w:t>Both methods produce an estimate of the contribution of radio to the economy of a country, but are based on different assumptions for treatment of the wider economic displacement. GDP and employment do not take account of the wider economic displacement. Consumer and producer surplus take full account of wider economic displacement. In addition, the two methods measure different aspects of the impact of radio usage on the economy of a country. GDP measures what has been paid and consumer surplus measures what consumers would be willing to pay. Both methods include producer surplus. Accordingly, the results cannot be added together.</w:t>
      </w:r>
    </w:p>
    <w:p w:rsidR="00007F8D" w:rsidRPr="00BD6197" w:rsidRDefault="00007F8D" w:rsidP="00007F8D">
      <w:pPr>
        <w:rPr>
          <w:lang w:val="en-US"/>
        </w:rPr>
      </w:pPr>
      <w:r w:rsidRPr="00BD6197">
        <w:rPr>
          <w:lang w:val="en-US"/>
        </w:rPr>
        <w:t>Although both methods can be used, and are used in the United Kingdom, for showing the spectrum’s overall value to a country, it may be appropriate to select a method based on the application. GDP is better for assessing the value of multiple uses of radio within a country, or for comparison between individual uses/services, whereas consumer surplus provides more detailed information that may be used, for example, in determining licence fees or reserve auction prices. Comparison of the methods usually centres on the theoretical validity of the arguments and assumptions on which the particular methodology is based. However, it may be more realistic to review the methods based on the difficulty in obtaining data for analysis and the ease of comparison of the results with other economic data.</w:t>
      </w:r>
    </w:p>
    <w:p w:rsidR="00007F8D" w:rsidRPr="00BD6197" w:rsidRDefault="00007F8D" w:rsidP="00007F8D">
      <w:pPr>
        <w:pStyle w:val="Heading4"/>
        <w:rPr>
          <w:lang w:val="en-US"/>
        </w:rPr>
      </w:pPr>
      <w:bookmarkStart w:id="994" w:name="_Toc459746678"/>
      <w:bookmarkStart w:id="995" w:name="_Toc459792611"/>
      <w:bookmarkStart w:id="996" w:name="_Toc459793778"/>
      <w:bookmarkStart w:id="997" w:name="_Toc459793920"/>
      <w:bookmarkStart w:id="998" w:name="_Toc497033154"/>
      <w:bookmarkStart w:id="999" w:name="_Toc497033952"/>
      <w:r w:rsidRPr="00BD6197">
        <w:rPr>
          <w:lang w:val="en-US"/>
        </w:rPr>
        <w:t>3.2.4.1</w:t>
      </w:r>
      <w:r w:rsidRPr="00BD6197">
        <w:rPr>
          <w:lang w:val="en-US"/>
        </w:rPr>
        <w:tab/>
        <w:t>Advantages and disadvantages of the GDP method</w:t>
      </w:r>
      <w:bookmarkEnd w:id="994"/>
      <w:bookmarkEnd w:id="995"/>
      <w:bookmarkEnd w:id="996"/>
      <w:bookmarkEnd w:id="997"/>
      <w:bookmarkEnd w:id="998"/>
      <w:bookmarkEnd w:id="999"/>
    </w:p>
    <w:p w:rsidR="00007F8D" w:rsidRPr="00BD6197" w:rsidRDefault="00007F8D" w:rsidP="00007F8D">
      <w:pPr>
        <w:rPr>
          <w:lang w:val="en-US"/>
        </w:rPr>
      </w:pPr>
      <w:r w:rsidRPr="00BD6197">
        <w:rPr>
          <w:lang w:val="en-US"/>
        </w:rPr>
        <w:t>The advantage of the GDP method is that it shows the collective impact of those involved in the radio using sector and provision of intermediate goods to that sector. The information required for the calculations is available in companies’ financial reports and is easy to understand and compare with other areas of the economy which are represented in the same form. This enables funding (or investment) decisions to be compared using the same measures.</w:t>
      </w:r>
    </w:p>
    <w:p w:rsidR="00007F8D" w:rsidRPr="00BD6197" w:rsidRDefault="00007F8D" w:rsidP="00007F8D">
      <w:pPr>
        <w:rPr>
          <w:lang w:val="en-US"/>
        </w:rPr>
      </w:pPr>
      <w:r w:rsidRPr="00BD6197">
        <w:rPr>
          <w:lang w:val="en-US"/>
        </w:rPr>
        <w:t>The disadvantage of the GDP method is that it does not take proper account of the wider displacement effects and these may be considerable in a diverse and flexible economy. In the extreme, if all displacement effects are taken into consideration, the net benefit of the use of radio to the economy would simply equal the improvement in efficiency that radio provides. However, this approach assumes that the resources currently provided for radio can be easily diverted into other areas of the economy. This is not necessarily correct. Furthermore, the estimated contribution in GDP and employment may not include consequential improvements in associated businesses arising from improvements in their efficiency (e.g., cellular telephone user’s improved access to their business and clients) and may therefore lead to a more conservative estimate of GDP. The extent to which this occurs will be dependent on the relationship between the use of radio and the original business (e.g., is it a manufacturer of radio equipment, a service provider, a business using radio) and the type of service (e.g., broadcasting, fixed links, PMR).</w:t>
      </w:r>
    </w:p>
    <w:p w:rsidR="00007F8D" w:rsidRPr="00BD6197" w:rsidRDefault="00007F8D" w:rsidP="00007F8D">
      <w:pPr>
        <w:pStyle w:val="Heading4"/>
        <w:rPr>
          <w:lang w:val="en-US"/>
        </w:rPr>
      </w:pPr>
      <w:bookmarkStart w:id="1000" w:name="_Toc459746679"/>
      <w:bookmarkStart w:id="1001" w:name="_Toc459792612"/>
      <w:bookmarkStart w:id="1002" w:name="_Toc459793779"/>
      <w:bookmarkStart w:id="1003" w:name="_Toc459793921"/>
      <w:bookmarkStart w:id="1004" w:name="_Toc497033155"/>
      <w:bookmarkStart w:id="1005" w:name="_Toc497033953"/>
      <w:r w:rsidRPr="00BD6197">
        <w:rPr>
          <w:lang w:val="en-US"/>
        </w:rPr>
        <w:t>3.2.4.2</w:t>
      </w:r>
      <w:r w:rsidRPr="00BD6197">
        <w:rPr>
          <w:lang w:val="en-US"/>
        </w:rPr>
        <w:tab/>
        <w:t>Advantages and disadvantages of consumer and producer surplus method</w:t>
      </w:r>
      <w:bookmarkEnd w:id="1000"/>
      <w:bookmarkEnd w:id="1001"/>
      <w:bookmarkEnd w:id="1002"/>
      <w:bookmarkEnd w:id="1003"/>
      <w:bookmarkEnd w:id="1004"/>
      <w:bookmarkEnd w:id="1005"/>
    </w:p>
    <w:p w:rsidR="00007F8D" w:rsidRPr="00BD6197" w:rsidRDefault="00007F8D" w:rsidP="00007F8D">
      <w:pPr>
        <w:rPr>
          <w:lang w:val="en-US"/>
        </w:rPr>
      </w:pPr>
      <w:r w:rsidRPr="00BD6197">
        <w:rPr>
          <w:lang w:val="en-US"/>
        </w:rPr>
        <w:t>The advantage of the consumer and producer surplus method is that it accounts for the impact of the wider displacement effects, indicating the benefits of providing a service by radio against the best non-radio alternative to be shown. In addition, the demand and supply curves can be useful for displaying the costs and benefits of a particular use of radio.</w:t>
      </w:r>
    </w:p>
    <w:p w:rsidR="00007F8D" w:rsidRPr="00BD6197" w:rsidRDefault="00007F8D" w:rsidP="00007F8D">
      <w:pPr>
        <w:rPr>
          <w:lang w:val="en-US"/>
        </w:rPr>
      </w:pPr>
      <w:r w:rsidRPr="00BD6197">
        <w:rPr>
          <w:lang w:val="en-US"/>
        </w:rPr>
        <w:t>The disadvantage of the consumer and producer surplus method is that the demand curve can be difficult and time consuming to determine. A separate demand curve has to be produced for each service studied and this can be onerous if the aim is to measure the consumer and producer surplus for all radio services across the entire economy. If the demand curve cannot be produced, then alternative methods based on different assumptions have to be used and these may distort the results. Finally, consumer surplus is not easily comparable with GDP.</w:t>
      </w:r>
    </w:p>
    <w:p w:rsidR="00007F8D" w:rsidRPr="00BD6197" w:rsidRDefault="00007F8D" w:rsidP="00007F8D">
      <w:pPr>
        <w:pStyle w:val="Heading2"/>
        <w:rPr>
          <w:lang w:val="en-US"/>
        </w:rPr>
      </w:pPr>
      <w:bookmarkStart w:id="1006" w:name="_Toc394385996"/>
      <w:bookmarkStart w:id="1007" w:name="_Toc394386083"/>
      <w:bookmarkStart w:id="1008" w:name="_Toc395503187"/>
      <w:bookmarkStart w:id="1009" w:name="_Toc459746680"/>
      <w:bookmarkStart w:id="1010" w:name="_Toc459792613"/>
      <w:bookmarkStart w:id="1011" w:name="_Toc459793780"/>
      <w:bookmarkStart w:id="1012" w:name="_Toc459793922"/>
      <w:bookmarkStart w:id="1013" w:name="_Toc459970398"/>
      <w:bookmarkStart w:id="1014" w:name="_Toc497033156"/>
      <w:bookmarkStart w:id="1015" w:name="_Toc497033954"/>
      <w:bookmarkStart w:id="1016" w:name="_Toc289868789"/>
      <w:bookmarkStart w:id="1017" w:name="_Toc289868949"/>
      <w:bookmarkStart w:id="1018" w:name="_Toc289932257"/>
      <w:bookmarkStart w:id="1019" w:name="_Toc289933303"/>
      <w:bookmarkStart w:id="1020" w:name="_Toc291852866"/>
      <w:bookmarkStart w:id="1021" w:name="_Toc392515854"/>
      <w:bookmarkStart w:id="1022" w:name="_Toc462234014"/>
      <w:bookmarkStart w:id="1023" w:name="_Toc518394178"/>
      <w:r w:rsidRPr="00BD6197">
        <w:rPr>
          <w:lang w:val="en-US"/>
        </w:rPr>
        <w:lastRenderedPageBreak/>
        <w:t>3.3</w:t>
      </w:r>
      <w:r w:rsidRPr="00BD6197">
        <w:rPr>
          <w:lang w:val="en-US"/>
        </w:rPr>
        <w:tab/>
        <w:t>Potential uses for economic assessment</w:t>
      </w:r>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p>
    <w:p w:rsidR="00007F8D" w:rsidRPr="00BD6197" w:rsidRDefault="00007F8D" w:rsidP="00007F8D">
      <w:pPr>
        <w:rPr>
          <w:lang w:val="en-US"/>
        </w:rPr>
      </w:pPr>
      <w:r w:rsidRPr="00BD6197">
        <w:rPr>
          <w:lang w:val="en-US"/>
        </w:rPr>
        <w:t>In recent years changes in radiocommunications technology together with the increasing tendency for shorter development cycles, have increased the pressure on spectrum managers for quicker decisions on who and which technology should have access to the spectrum. In addition to these changes in radiocommunications technology, further pressure has been added by the liberalization of telecommunications which has resulted in a growing demand for radio spectrum access. The increasing demand for spectrum access, combined with spectrum managers’ difficulty in predicting which of several competing technologies and uses, will be successful and should therefore have access to the spectrum, is making the spectrum management process increasingly complex and time consuming. This can discourage investment, which can be especially detrimental when delays in providing spectrum access can make the difference between the success or failure of a new service. In addition, as demand has increased, the recurring spectrum management issues of achieving efficient spectral use and finding spectrum for the new services needed by society are becoming increasingly difficult to resolve for a number of countries. At the same time, governments’ awareness of the overall burden of rising public spending on the economy has tightened control on funding for all government activities.</w:t>
      </w:r>
    </w:p>
    <w:p w:rsidR="00007F8D" w:rsidRPr="00BD6197" w:rsidRDefault="00007F8D" w:rsidP="00007F8D">
      <w:pPr>
        <w:rPr>
          <w:lang w:val="en-US"/>
        </w:rPr>
      </w:pPr>
      <w:r w:rsidRPr="00BD6197">
        <w:rPr>
          <w:lang w:val="en-US"/>
        </w:rPr>
        <w:t>Management of the radio spectrum has traditionally been based on regulation of this finite resource. However, due to the pressures on spectrum management and particularly where difficulty in providing sufficient spectrum is limiting or distorting competition, or where it is inhibiting development of the radio spectrum resource, several administrations have moved away from a strict regulatory approach and are either using, or are considering using, economic factors as part of their approach to spectrum management.</w:t>
      </w:r>
    </w:p>
    <w:p w:rsidR="00007F8D" w:rsidRPr="00BD6197" w:rsidRDefault="00007F8D" w:rsidP="00007F8D">
      <w:pPr>
        <w:pStyle w:val="Heading3"/>
        <w:rPr>
          <w:lang w:val="en-US"/>
        </w:rPr>
      </w:pPr>
      <w:bookmarkStart w:id="1024" w:name="_Toc394385997"/>
      <w:bookmarkStart w:id="1025" w:name="_Toc394386084"/>
      <w:bookmarkStart w:id="1026" w:name="_Toc395503188"/>
      <w:bookmarkStart w:id="1027" w:name="_Toc459746681"/>
      <w:bookmarkStart w:id="1028" w:name="_Toc459792614"/>
      <w:bookmarkStart w:id="1029" w:name="_Toc459793781"/>
      <w:bookmarkStart w:id="1030" w:name="_Toc459793923"/>
      <w:bookmarkStart w:id="1031" w:name="_Toc459970399"/>
      <w:bookmarkStart w:id="1032" w:name="_Toc497033157"/>
      <w:bookmarkStart w:id="1033" w:name="_Toc497033955"/>
      <w:bookmarkStart w:id="1034" w:name="_Toc289868790"/>
      <w:bookmarkStart w:id="1035" w:name="_Toc289868950"/>
      <w:bookmarkStart w:id="1036" w:name="_Toc289932258"/>
      <w:bookmarkStart w:id="1037" w:name="_Toc289933304"/>
      <w:bookmarkStart w:id="1038" w:name="_Toc291852867"/>
      <w:bookmarkStart w:id="1039" w:name="_Toc392515855"/>
      <w:bookmarkStart w:id="1040" w:name="_Toc462234015"/>
      <w:bookmarkStart w:id="1041" w:name="_Toc518394179"/>
      <w:r w:rsidRPr="00BD6197">
        <w:rPr>
          <w:lang w:val="en-US"/>
        </w:rPr>
        <w:t>3.3.1</w:t>
      </w:r>
      <w:r w:rsidRPr="00BD6197">
        <w:rPr>
          <w:lang w:val="en-US"/>
        </w:rPr>
        <w:tab/>
        <w:t>Applications for funding spectrum management activities</w:t>
      </w:r>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p>
    <w:p w:rsidR="00007F8D" w:rsidRPr="00BD6197" w:rsidRDefault="00007F8D" w:rsidP="00007F8D">
      <w:pPr>
        <w:rPr>
          <w:lang w:val="en-US"/>
        </w:rPr>
      </w:pPr>
      <w:r w:rsidRPr="00BD6197">
        <w:rPr>
          <w:lang w:val="en-US"/>
        </w:rPr>
        <w:t>Assessment of the economic benefits arising from the use of radio enables spectrum managers to demonstrate to the government that radiocommunications is not a self-contained industry, but is interwoven with other areas of a country’s economy. Representation in economic form allows radio’s contribution to the economy to be put in context with other areas of the economy. It also helps show the connection between spectrum management and radio’s benefit to the economy.</w:t>
      </w:r>
    </w:p>
    <w:p w:rsidR="00007F8D" w:rsidRPr="00BD6197" w:rsidRDefault="00007F8D" w:rsidP="00007F8D">
      <w:pPr>
        <w:pStyle w:val="Heading3"/>
        <w:rPr>
          <w:lang w:val="en-US"/>
        </w:rPr>
      </w:pPr>
      <w:bookmarkStart w:id="1042" w:name="_Toc394385998"/>
      <w:bookmarkStart w:id="1043" w:name="_Toc394386085"/>
      <w:bookmarkStart w:id="1044" w:name="_Toc395503189"/>
      <w:bookmarkStart w:id="1045" w:name="_Toc459746682"/>
      <w:bookmarkStart w:id="1046" w:name="_Toc459792615"/>
      <w:bookmarkStart w:id="1047" w:name="_Toc459793782"/>
      <w:bookmarkStart w:id="1048" w:name="_Toc459793924"/>
      <w:bookmarkStart w:id="1049" w:name="_Toc459970400"/>
      <w:bookmarkStart w:id="1050" w:name="_Toc497033158"/>
      <w:bookmarkStart w:id="1051" w:name="_Toc497033956"/>
      <w:bookmarkStart w:id="1052" w:name="_Toc289868791"/>
      <w:bookmarkStart w:id="1053" w:name="_Toc289868951"/>
      <w:bookmarkStart w:id="1054" w:name="_Toc289932259"/>
      <w:bookmarkStart w:id="1055" w:name="_Toc289933305"/>
      <w:bookmarkStart w:id="1056" w:name="_Toc291852868"/>
      <w:bookmarkStart w:id="1057" w:name="_Toc392515856"/>
      <w:bookmarkStart w:id="1058" w:name="_Toc462234016"/>
      <w:bookmarkStart w:id="1059" w:name="_Toc518394180"/>
      <w:r w:rsidRPr="00BD6197">
        <w:rPr>
          <w:lang w:val="en-US"/>
        </w:rPr>
        <w:t>3.3.2</w:t>
      </w:r>
      <w:r w:rsidRPr="00BD6197">
        <w:rPr>
          <w:lang w:val="en-US"/>
        </w:rPr>
        <w:tab/>
        <w:t>National frequency assignment decisions</w:t>
      </w:r>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p>
    <w:p w:rsidR="00007F8D" w:rsidRPr="00BD6197" w:rsidRDefault="00007F8D" w:rsidP="00007F8D">
      <w:pPr>
        <w:rPr>
          <w:lang w:val="en-US"/>
        </w:rPr>
      </w:pPr>
      <w:r w:rsidRPr="00BD6197">
        <w:rPr>
          <w:lang w:val="en-US"/>
        </w:rPr>
        <w:t>Knowledge of the economic and social benefits that competing uses and the manner in which they are provided give spectrum managers information, in addition to the standard technical and operational assessments, that could be used to help make assignment decisions and maximize the economic benefits from the utilization of the radio spectrum.</w:t>
      </w:r>
    </w:p>
    <w:p w:rsidR="00007F8D" w:rsidRPr="00BD6197" w:rsidRDefault="00007F8D" w:rsidP="00007F8D">
      <w:pPr>
        <w:rPr>
          <w:lang w:val="en-US"/>
        </w:rPr>
      </w:pPr>
      <w:r w:rsidRPr="00BD6197">
        <w:rPr>
          <w:lang w:val="en-US"/>
        </w:rPr>
        <w:t>Economic benefits analysis can be used in a number of ways. It can show the impact of delays in introducing a new service, the relative benefits of different types of service, the economic benefits of introducing more spectrally efficient technology and the benefits from reassigning a frequency band to a new service or technology.</w:t>
      </w:r>
    </w:p>
    <w:p w:rsidR="00007F8D" w:rsidRPr="00BD6197" w:rsidRDefault="00007F8D" w:rsidP="00007F8D">
      <w:pPr>
        <w:rPr>
          <w:lang w:val="en-US"/>
        </w:rPr>
      </w:pPr>
      <w:r w:rsidRPr="00BD6197">
        <w:rPr>
          <w:lang w:val="en-US"/>
        </w:rPr>
        <w:t xml:space="preserve">Technical and operational factors are obviously essential in any assignment decision, for without efficient use of the spectrum, economic benefits cannot be maximized. For some assignment decisions cultural/social aspects may be another factor. However, economic benefits analysis also has a role to play in determining assignment decisions, as failure to give due weight to economic benefits in spectrum management decisions could impose substantial costs on the economy. </w:t>
      </w:r>
    </w:p>
    <w:p w:rsidR="00007F8D" w:rsidRPr="00BD6197" w:rsidRDefault="00007F8D" w:rsidP="00007F8D">
      <w:pPr>
        <w:rPr>
          <w:lang w:val="en-US"/>
        </w:rPr>
      </w:pPr>
      <w:r w:rsidRPr="00BD6197">
        <w:rPr>
          <w:lang w:val="en-US"/>
        </w:rPr>
        <w:t>The main advantage therefore of applying economic benefits analysis to assignment decisions, whether nationally or possibly internationally, is that it provides an analytical tool for optimizing the economic contribution made by radio. At present, perceptions of methodological difficulties may have meant that less emphasis is placed on benefits analysis than is warranted. As this Report shows, techniques are now available to estimate the economic benefits so that they can be taken into account.</w:t>
      </w:r>
    </w:p>
    <w:p w:rsidR="00007F8D" w:rsidRPr="00BD6197" w:rsidRDefault="00007F8D" w:rsidP="00007F8D">
      <w:pPr>
        <w:pStyle w:val="Heading3"/>
        <w:rPr>
          <w:lang w:val="en-US"/>
        </w:rPr>
      </w:pPr>
      <w:bookmarkStart w:id="1060" w:name="_Toc394385999"/>
      <w:bookmarkStart w:id="1061" w:name="_Toc394386086"/>
      <w:bookmarkStart w:id="1062" w:name="_Toc395503190"/>
      <w:bookmarkStart w:id="1063" w:name="_Toc459746683"/>
      <w:bookmarkStart w:id="1064" w:name="_Toc459792616"/>
      <w:bookmarkStart w:id="1065" w:name="_Toc459793783"/>
      <w:bookmarkStart w:id="1066" w:name="_Toc459793925"/>
      <w:bookmarkStart w:id="1067" w:name="_Toc459970401"/>
      <w:bookmarkStart w:id="1068" w:name="_Toc497033159"/>
      <w:bookmarkStart w:id="1069" w:name="_Toc497033957"/>
      <w:bookmarkStart w:id="1070" w:name="_Toc289868792"/>
      <w:bookmarkStart w:id="1071" w:name="_Toc289868952"/>
      <w:bookmarkStart w:id="1072" w:name="_Toc289932260"/>
      <w:bookmarkStart w:id="1073" w:name="_Toc289933306"/>
      <w:bookmarkStart w:id="1074" w:name="_Toc291852869"/>
      <w:bookmarkStart w:id="1075" w:name="_Toc392515857"/>
      <w:bookmarkStart w:id="1076" w:name="_Toc462234017"/>
      <w:bookmarkStart w:id="1077" w:name="_Toc518394181"/>
      <w:r w:rsidRPr="00BD6197">
        <w:rPr>
          <w:lang w:val="en-US"/>
        </w:rPr>
        <w:lastRenderedPageBreak/>
        <w:t>3.3.3</w:t>
      </w:r>
      <w:r w:rsidRPr="00BD6197">
        <w:rPr>
          <w:lang w:val="en-US"/>
        </w:rPr>
        <w:tab/>
        <w:t>Changes in spectrum management national legislation</w:t>
      </w:r>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p>
    <w:p w:rsidR="00007F8D" w:rsidRPr="00BD6197" w:rsidRDefault="00007F8D" w:rsidP="00007F8D">
      <w:pPr>
        <w:rPr>
          <w:lang w:val="en-US"/>
        </w:rPr>
      </w:pPr>
      <w:r w:rsidRPr="00BD6197">
        <w:rPr>
          <w:lang w:val="en-US"/>
        </w:rPr>
        <w:t>For most administrations the provision of spectrum management is defined by legislation. This may limit changes in the way spectrum management can be provided, the way licences are issued and the type of support the spectrum management authority can receive from non-government organizations. Providing governments with justification for a change to legislation frequently requires assessment of the cost of implementation and the benefits the users and government will receive.</w:t>
      </w:r>
    </w:p>
    <w:p w:rsidR="00007F8D" w:rsidRPr="00BD6197" w:rsidRDefault="00007F8D" w:rsidP="00007F8D">
      <w:pPr>
        <w:rPr>
          <w:lang w:val="en-US"/>
        </w:rPr>
      </w:pPr>
      <w:r w:rsidRPr="00BD6197">
        <w:rPr>
          <w:lang w:val="en-US"/>
        </w:rPr>
        <w:t>Economic analysis enables the economic benefits from using radio to be put in context with other areas of the economy and possibly an estimate of the consequential change in economic benefits arising from the proposed change in legislation to be provided. This information can provide governments with more information on the impact of the proposed legislation and the importance of the legislative changes relative to both spectrum management and the wider economy. Hence it can be used in the determination of timescales for introduction of the proposed changes to the legislature.</w:t>
      </w:r>
    </w:p>
    <w:p w:rsidR="00007F8D" w:rsidRPr="00BD6197" w:rsidRDefault="00007F8D" w:rsidP="00007F8D">
      <w:pPr>
        <w:pStyle w:val="Heading3"/>
        <w:rPr>
          <w:lang w:val="en-US"/>
        </w:rPr>
      </w:pPr>
      <w:bookmarkStart w:id="1078" w:name="_Toc394386000"/>
      <w:bookmarkStart w:id="1079" w:name="_Toc394386087"/>
      <w:bookmarkStart w:id="1080" w:name="_Toc395503191"/>
      <w:bookmarkStart w:id="1081" w:name="_Toc459746684"/>
      <w:bookmarkStart w:id="1082" w:name="_Toc459792617"/>
      <w:bookmarkStart w:id="1083" w:name="_Toc459793784"/>
      <w:bookmarkStart w:id="1084" w:name="_Toc459793926"/>
      <w:bookmarkStart w:id="1085" w:name="_Toc459970402"/>
      <w:bookmarkStart w:id="1086" w:name="_Toc497033160"/>
      <w:bookmarkStart w:id="1087" w:name="_Toc497033958"/>
      <w:bookmarkStart w:id="1088" w:name="_Toc289868793"/>
      <w:bookmarkStart w:id="1089" w:name="_Toc289868953"/>
      <w:bookmarkStart w:id="1090" w:name="_Toc289932261"/>
      <w:bookmarkStart w:id="1091" w:name="_Toc289933307"/>
      <w:bookmarkStart w:id="1092" w:name="_Toc291852870"/>
      <w:bookmarkStart w:id="1093" w:name="_Toc392515858"/>
      <w:bookmarkStart w:id="1094" w:name="_Toc462234018"/>
      <w:bookmarkStart w:id="1095" w:name="_Toc518394182"/>
      <w:r w:rsidRPr="00BD6197">
        <w:rPr>
          <w:lang w:val="en-US"/>
        </w:rPr>
        <w:t>3.3.4</w:t>
      </w:r>
      <w:r w:rsidRPr="00BD6197">
        <w:rPr>
          <w:lang w:val="en-US"/>
        </w:rPr>
        <w:tab/>
        <w:t>Support to the spectrum manager on the operation of auctions</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p>
    <w:p w:rsidR="00007F8D" w:rsidRPr="00BD6197" w:rsidRDefault="00007F8D" w:rsidP="00007F8D">
      <w:pPr>
        <w:rPr>
          <w:lang w:val="en-US"/>
        </w:rPr>
      </w:pPr>
      <w:r w:rsidRPr="00BD6197">
        <w:rPr>
          <w:lang w:val="en-US"/>
        </w:rPr>
        <w:t>Auctions are widely acknowledged to be the best method for determining the value of the spectrum (see Chapter 2 for a full explanation of auctions). However, the success of auctions can be affected by a number of different parameters. These include administrative limitations on auctions, administrative limitations on the operation of the new service or frequency assignment, and technical limitations imposed on the new service or frequency assignment. This last case may include issues of interference from another national or international radio source, coverage area, etc.</w:t>
      </w:r>
    </w:p>
    <w:p w:rsidR="00007F8D" w:rsidRPr="00BD6197" w:rsidRDefault="00007F8D" w:rsidP="00007F8D">
      <w:pPr>
        <w:rPr>
          <w:lang w:val="en-US"/>
        </w:rPr>
      </w:pPr>
      <w:r w:rsidRPr="00BD6197">
        <w:rPr>
          <w:lang w:val="en-US"/>
        </w:rPr>
        <w:t>Economic analysis can be used to provide an initial assessment of the value of the frequency assignment. This may be used to determine if there will be sufficient competition for the spectrum, to support spectrum managers in their evaluation of bidders business plans, or to provide a reserve price for the auction.</w:t>
      </w:r>
    </w:p>
    <w:p w:rsidR="00007F8D" w:rsidRPr="00BD6197" w:rsidRDefault="00007F8D" w:rsidP="00007F8D">
      <w:pPr>
        <w:rPr>
          <w:lang w:val="en-US"/>
        </w:rPr>
      </w:pPr>
      <w:r w:rsidRPr="00BD6197">
        <w:rPr>
          <w:lang w:val="en-US"/>
        </w:rPr>
        <w:t>A reserve price is a threshold value placed on a commodity by the owner that if not exceeded during the bidding process prevents the highest bidder winning the auction without the owner’s further consent. The reserve price is usually based on a percentage of the valuation of the item and is provided by either the auction house, or an expert in the field. Reserve prices are commonly used in many forms of auction, especially antiques and art.</w:t>
      </w:r>
    </w:p>
    <w:p w:rsidR="00007F8D" w:rsidRPr="00BD6197" w:rsidRDefault="00007F8D" w:rsidP="00007F8D">
      <w:pPr>
        <w:pStyle w:val="Heading3"/>
        <w:rPr>
          <w:lang w:val="en-US"/>
        </w:rPr>
      </w:pPr>
      <w:bookmarkStart w:id="1096" w:name="_Toc394386001"/>
      <w:bookmarkStart w:id="1097" w:name="_Toc394386088"/>
      <w:bookmarkStart w:id="1098" w:name="_Toc395503192"/>
      <w:bookmarkStart w:id="1099" w:name="_Toc459746685"/>
      <w:bookmarkStart w:id="1100" w:name="_Toc459792618"/>
      <w:bookmarkStart w:id="1101" w:name="_Toc459793785"/>
      <w:bookmarkStart w:id="1102" w:name="_Toc459793927"/>
      <w:bookmarkStart w:id="1103" w:name="_Toc459970403"/>
      <w:bookmarkStart w:id="1104" w:name="_Toc497033161"/>
      <w:bookmarkStart w:id="1105" w:name="_Toc497033959"/>
      <w:bookmarkStart w:id="1106" w:name="_Toc289868794"/>
      <w:bookmarkStart w:id="1107" w:name="_Toc289868954"/>
      <w:bookmarkStart w:id="1108" w:name="_Toc289932262"/>
      <w:bookmarkStart w:id="1109" w:name="_Toc289933308"/>
      <w:bookmarkStart w:id="1110" w:name="_Toc291852871"/>
      <w:bookmarkStart w:id="1111" w:name="_Toc392515859"/>
      <w:bookmarkStart w:id="1112" w:name="_Toc462234019"/>
      <w:bookmarkStart w:id="1113" w:name="_Toc518394183"/>
      <w:r w:rsidRPr="00BD6197">
        <w:rPr>
          <w:lang w:val="en-US"/>
        </w:rPr>
        <w:t>3.3.5</w:t>
      </w:r>
      <w:r w:rsidRPr="00BD6197">
        <w:rPr>
          <w:lang w:val="en-US"/>
        </w:rPr>
        <w:tab/>
        <w:t>Using economic assessment to monitor economic performance over time</w:t>
      </w:r>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p>
    <w:p w:rsidR="00007F8D" w:rsidRPr="00BD6197" w:rsidRDefault="00007F8D" w:rsidP="00007F8D">
      <w:pPr>
        <w:rPr>
          <w:lang w:val="en-US"/>
        </w:rPr>
      </w:pPr>
      <w:r w:rsidRPr="00BD6197">
        <w:rPr>
          <w:lang w:val="en-US"/>
        </w:rPr>
        <w:t>Assessment at periodic intervals of the economic benefits from the use of radio can be used to provide information on the economic performance of radio usage over of time. Monitoring this performance provides a better picture of the radio spectrum’s condition than a single assessment and can be used with licensing data to show trends and developments in spectrum use. This information may be linked to spectrum management decisions, (e.g., frequency assignments, changes in licensing conditions, introduction of new services) so that the impact of spectrum management decisions may be evaluated and their application modified as necessary. In this way any detrimental impact on users can be rectified, and ineffective decisions reviewed or revoked.</w:t>
      </w:r>
    </w:p>
    <w:p w:rsidR="00007F8D" w:rsidRPr="00BD6197" w:rsidRDefault="00007F8D" w:rsidP="00B9291B">
      <w:pPr>
        <w:rPr>
          <w:lang w:val="en-US"/>
        </w:rPr>
      </w:pPr>
      <w:r w:rsidRPr="00BD6197">
        <w:rPr>
          <w:lang w:val="en-US"/>
        </w:rPr>
        <w:t>For example, in the United Kingdom a follow-up study to the 1993/1994 economic Report has shown that radio’s contribution to GDP has increased by 11% per annum compared to the 3% for the rest of the economy and employment increased over the two-year period by 1</w:t>
      </w:r>
      <w:r w:rsidRPr="00BD6197">
        <w:rPr>
          <w:rFonts w:ascii="Tms Rmn" w:hAnsi="Tms Rmn"/>
          <w:sz w:val="12"/>
          <w:lang w:val="en-US"/>
        </w:rPr>
        <w:t> </w:t>
      </w:r>
      <w:r w:rsidRPr="00BD6197">
        <w:rPr>
          <w:lang w:val="en-US"/>
        </w:rPr>
        <w:t>000 jobs a week. Employment (see Note 1) due to the use of radio has increased by 110</w:t>
      </w:r>
      <w:r w:rsidRPr="00BD6197">
        <w:rPr>
          <w:rFonts w:ascii="Tms Rmn" w:hAnsi="Tms Rmn"/>
          <w:sz w:val="12"/>
          <w:lang w:val="en-US"/>
        </w:rPr>
        <w:t> </w:t>
      </w:r>
      <w:r w:rsidRPr="00BD6197">
        <w:rPr>
          <w:lang w:val="en-US"/>
        </w:rPr>
        <w:t>000 to 410</w:t>
      </w:r>
      <w:r w:rsidRPr="00BD6197">
        <w:rPr>
          <w:rFonts w:ascii="Tms Rmn" w:hAnsi="Tms Rmn"/>
          <w:sz w:val="12"/>
          <w:lang w:val="en-US"/>
        </w:rPr>
        <w:t> </w:t>
      </w:r>
      <w:r w:rsidRPr="00BD6197">
        <w:rPr>
          <w:lang w:val="en-US"/>
        </w:rPr>
        <w:t>000 an approximate increase of 36%. Although this increase is perhaps exaggerated by an underestimation of the employment figures in the previous study, it compares favourably with an increase of 485</w:t>
      </w:r>
      <w:r w:rsidRPr="00BD6197">
        <w:rPr>
          <w:rFonts w:ascii="Tms Rmn" w:hAnsi="Tms Rmn"/>
          <w:sz w:val="12"/>
          <w:lang w:val="en-US"/>
        </w:rPr>
        <w:t> </w:t>
      </w:r>
      <w:r w:rsidRPr="00BD6197">
        <w:rPr>
          <w:lang w:val="en-US"/>
        </w:rPr>
        <w:t>000 for the total economy over the same period. This study of economic performance will in future be repeated bi-annually.</w:t>
      </w:r>
    </w:p>
    <w:p w:rsidR="00007F8D" w:rsidRPr="00BD6197" w:rsidRDefault="00007F8D" w:rsidP="00007F8D">
      <w:pPr>
        <w:pStyle w:val="Note"/>
        <w:rPr>
          <w:lang w:val="en-US"/>
        </w:rPr>
      </w:pPr>
      <w:bookmarkStart w:id="1114" w:name="_Toc394386002"/>
      <w:bookmarkStart w:id="1115" w:name="_Toc394386089"/>
      <w:bookmarkStart w:id="1116" w:name="_Toc395503193"/>
      <w:bookmarkStart w:id="1117" w:name="_Toc459746686"/>
      <w:bookmarkStart w:id="1118" w:name="_Toc459792619"/>
      <w:bookmarkStart w:id="1119" w:name="_Toc459793786"/>
      <w:bookmarkStart w:id="1120" w:name="_Toc459793928"/>
      <w:bookmarkStart w:id="1121" w:name="_Toc459970404"/>
      <w:bookmarkStart w:id="1122" w:name="_Toc497033162"/>
      <w:bookmarkStart w:id="1123" w:name="_Toc497033960"/>
      <w:r w:rsidRPr="00BD6197">
        <w:rPr>
          <w:lang w:val="en-US"/>
        </w:rPr>
        <w:t>NOTE 1 – Employment due to the use of radio includes industries, or services, which use radio, but in which radio is not the primary product, e.g. taxi companies.</w:t>
      </w:r>
    </w:p>
    <w:p w:rsidR="00007F8D" w:rsidRPr="00BD6197" w:rsidRDefault="00007F8D" w:rsidP="00007F8D">
      <w:pPr>
        <w:pStyle w:val="Heading2"/>
        <w:rPr>
          <w:lang w:val="en-US"/>
        </w:rPr>
      </w:pPr>
      <w:bookmarkStart w:id="1124" w:name="_Toc289868795"/>
      <w:bookmarkStart w:id="1125" w:name="_Toc289868955"/>
      <w:bookmarkStart w:id="1126" w:name="_Toc289932263"/>
      <w:bookmarkStart w:id="1127" w:name="_Toc289933309"/>
      <w:bookmarkStart w:id="1128" w:name="_Toc291852872"/>
      <w:bookmarkStart w:id="1129" w:name="_Toc392515860"/>
      <w:bookmarkStart w:id="1130" w:name="_Toc462234020"/>
      <w:bookmarkStart w:id="1131" w:name="_Toc518394184"/>
      <w:r w:rsidRPr="00BD6197">
        <w:rPr>
          <w:lang w:val="en-US"/>
        </w:rPr>
        <w:lastRenderedPageBreak/>
        <w:t>3.4</w:t>
      </w:r>
      <w:r w:rsidRPr="00BD6197">
        <w:rPr>
          <w:lang w:val="en-US"/>
        </w:rPr>
        <w:tab/>
        <w:t>Factors affecting benefits</w:t>
      </w:r>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p>
    <w:p w:rsidR="00007F8D" w:rsidRPr="00BD6197" w:rsidRDefault="00007F8D" w:rsidP="00007F8D">
      <w:pPr>
        <w:rPr>
          <w:lang w:val="en-US"/>
        </w:rPr>
      </w:pPr>
      <w:r w:rsidRPr="00BD6197">
        <w:rPr>
          <w:lang w:val="en-US"/>
        </w:rPr>
        <w:t>This section examines a series of factors affecting the economic benefits that arise from the use of radio. It does not seek to quantify their impact; rather its purpose is to explain how these factors impact the national radiocommunications infrastructure, which in turn affects the value of economic benefits.</w:t>
      </w:r>
    </w:p>
    <w:p w:rsidR="00007F8D" w:rsidRPr="00BD6197" w:rsidRDefault="00007F8D" w:rsidP="00007F8D">
      <w:pPr>
        <w:rPr>
          <w:lang w:val="en-US"/>
        </w:rPr>
      </w:pPr>
      <w:r w:rsidRPr="00BD6197">
        <w:rPr>
          <w:lang w:val="en-US"/>
        </w:rPr>
        <w:t>The radiocommunications infrastructure is the combination of all existing radio systems operating in a country, the frequency allocations, individual frequency assignments, any necessary coordination agreements and the spare capacity in the spectrum that can be used by the existing radio technology.</w:t>
      </w:r>
    </w:p>
    <w:p w:rsidR="00007F8D" w:rsidRPr="00BD6197" w:rsidRDefault="00007F8D" w:rsidP="00007F8D">
      <w:pPr>
        <w:rPr>
          <w:lang w:val="en-US"/>
        </w:rPr>
      </w:pPr>
      <w:r w:rsidRPr="00BD6197">
        <w:rPr>
          <w:lang w:val="en-US"/>
        </w:rPr>
        <w:t>The benefits arising from the use of radio increase with the level of investment, increased usage and the introduction of new services and technologies. However the larger the investments and the more heavily developed the spectrum becomes, the less flexibility exists for introducing new services in the same band. Providing a balance between the contradictory requirements of increasing the use of the spectrum and retaining sufficient spectrum to meet future demand is an increasingly difficult problem, particularly in the lower frequency bands, and becomes more difficult as demand for spectrum access increases. The following sections review some of the information that characterizes the infrastructure. It should be noted that they apply equally to the entire country and its regions.</w:t>
      </w:r>
    </w:p>
    <w:p w:rsidR="00007F8D" w:rsidRPr="00BD6197" w:rsidRDefault="00007F8D" w:rsidP="00007F8D">
      <w:pPr>
        <w:pStyle w:val="Heading3"/>
        <w:rPr>
          <w:lang w:val="en-US"/>
        </w:rPr>
      </w:pPr>
      <w:bookmarkStart w:id="1132" w:name="_Toc394386003"/>
      <w:bookmarkStart w:id="1133" w:name="_Toc394386090"/>
      <w:bookmarkStart w:id="1134" w:name="_Toc395503194"/>
      <w:bookmarkStart w:id="1135" w:name="_Toc459746687"/>
      <w:bookmarkStart w:id="1136" w:name="_Toc459792620"/>
      <w:bookmarkStart w:id="1137" w:name="_Toc459793787"/>
      <w:bookmarkStart w:id="1138" w:name="_Toc459793929"/>
      <w:bookmarkStart w:id="1139" w:name="_Toc459970405"/>
      <w:bookmarkStart w:id="1140" w:name="_Toc497033163"/>
      <w:bookmarkStart w:id="1141" w:name="_Toc497033961"/>
      <w:bookmarkStart w:id="1142" w:name="_Toc289868796"/>
      <w:bookmarkStart w:id="1143" w:name="_Toc289868956"/>
      <w:bookmarkStart w:id="1144" w:name="_Toc289932264"/>
      <w:bookmarkStart w:id="1145" w:name="_Toc289933310"/>
      <w:bookmarkStart w:id="1146" w:name="_Toc291852873"/>
      <w:bookmarkStart w:id="1147" w:name="_Toc392515861"/>
      <w:bookmarkStart w:id="1148" w:name="_Toc462234021"/>
      <w:bookmarkStart w:id="1149" w:name="_Toc518394185"/>
      <w:r w:rsidRPr="00BD6197">
        <w:rPr>
          <w:lang w:val="en-US"/>
        </w:rPr>
        <w:t>3.4.1</w:t>
      </w:r>
      <w:r w:rsidRPr="00BD6197">
        <w:rPr>
          <w:lang w:val="en-US"/>
        </w:rPr>
        <w:tab/>
        <w:t>Frequency availability</w:t>
      </w:r>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p>
    <w:p w:rsidR="00007F8D" w:rsidRPr="00BD6197" w:rsidRDefault="00007F8D" w:rsidP="00007F8D">
      <w:pPr>
        <w:rPr>
          <w:lang w:val="en-US"/>
        </w:rPr>
      </w:pPr>
      <w:r w:rsidRPr="00BD6197">
        <w:rPr>
          <w:lang w:val="en-US"/>
        </w:rPr>
        <w:t>The ability of administrations to make frequencies available for use is a major factor in determining the economic benefits they can achieve. Availability of specific frequencies or frequency bands may affect the cost of implementing new radio systems, radio system viability and the number of users that can be accommodated. The more users that a frequency can accommodate, within agreed performance limits, the greater will be the potential economic benefits.</w:t>
      </w:r>
    </w:p>
    <w:p w:rsidR="00007F8D" w:rsidRPr="00BD6197" w:rsidRDefault="00007F8D" w:rsidP="00007F8D">
      <w:pPr>
        <w:rPr>
          <w:lang w:val="en-US"/>
        </w:rPr>
      </w:pPr>
      <w:r w:rsidRPr="00BD6197">
        <w:rPr>
          <w:lang w:val="en-US"/>
        </w:rPr>
        <w:t>Frequency availability is closely linked with coverage area and required bandwidth. The larger the coverage area the lower the frequency reuse in a given area. The wider the required channel bandwidth, the fewer channels can be fitted into a particular frequency band and the more spectrum denied to other users or uses. Coverage area is determined by many factors, e.g. transmitter power, antenna height, antenna pattern. Reducing the coverage area with improved antenna patterns or site shielding will increase frequency availability. By reducing the coverage area, the area denied to other users by those transmissions is also reduced.</w:t>
      </w:r>
    </w:p>
    <w:p w:rsidR="00007F8D" w:rsidRPr="00BD6197" w:rsidRDefault="00007F8D" w:rsidP="00007F8D">
      <w:pPr>
        <w:pStyle w:val="Note"/>
        <w:rPr>
          <w:lang w:val="en-US"/>
        </w:rPr>
      </w:pPr>
      <w:r w:rsidRPr="00BD6197">
        <w:rPr>
          <w:lang w:val="en-US"/>
        </w:rPr>
        <w:t>NOTE 1 – The area denied to other users is normally larger than the coverage area.</w:t>
      </w:r>
    </w:p>
    <w:p w:rsidR="00007F8D" w:rsidRPr="00BD6197" w:rsidRDefault="00007F8D" w:rsidP="00007F8D">
      <w:pPr>
        <w:pStyle w:val="Heading4"/>
        <w:rPr>
          <w:lang w:val="en-US"/>
        </w:rPr>
      </w:pPr>
      <w:bookmarkStart w:id="1150" w:name="_Toc459746688"/>
      <w:bookmarkStart w:id="1151" w:name="_Toc459792621"/>
      <w:bookmarkStart w:id="1152" w:name="_Toc459793788"/>
      <w:bookmarkStart w:id="1153" w:name="_Toc459793930"/>
      <w:bookmarkStart w:id="1154" w:name="_Toc497033164"/>
      <w:bookmarkStart w:id="1155" w:name="_Toc497033962"/>
      <w:r w:rsidRPr="00BD6197">
        <w:rPr>
          <w:lang w:val="en-US"/>
        </w:rPr>
        <w:t>3.4.1.1</w:t>
      </w:r>
      <w:r w:rsidRPr="00BD6197">
        <w:rPr>
          <w:lang w:val="en-US"/>
        </w:rPr>
        <w:tab/>
        <w:t>Suitability</w:t>
      </w:r>
      <w:bookmarkEnd w:id="1150"/>
      <w:bookmarkEnd w:id="1151"/>
      <w:bookmarkEnd w:id="1152"/>
      <w:bookmarkEnd w:id="1153"/>
      <w:bookmarkEnd w:id="1154"/>
      <w:bookmarkEnd w:id="1155"/>
    </w:p>
    <w:p w:rsidR="00007F8D" w:rsidRPr="00BD6197" w:rsidRDefault="00007F8D" w:rsidP="00007F8D">
      <w:pPr>
        <w:rPr>
          <w:lang w:val="en-US"/>
        </w:rPr>
      </w:pPr>
      <w:r w:rsidRPr="00BD6197">
        <w:rPr>
          <w:lang w:val="en-US"/>
        </w:rPr>
        <w:t>Providing spectrum for a new service is not necessarily a question of finding a vacant block of frequencies. Apart from the variation in cost of equipment between different frequency bands, and the impact of propagation considerations, both of which may determine whether it is economically viable to operate a particular service, there are some services and applications that have a requirement for a particular frequency band. For example: temperature profiling and climatic monitoring have a specific need for the oxygen absorption lines around 60 GHz, whilst international broadcasting needs HF; neither of these services could make use of the other’s frequencies. In addition, the frequency band selected for a service may affect the structure of the system, cost of implementation and operation. Selecting the right frequency band will therefore determine the viability and hence the benefits the new service can provide.</w:t>
      </w:r>
    </w:p>
    <w:p w:rsidR="00007F8D" w:rsidRPr="00BD6197" w:rsidRDefault="00007F8D" w:rsidP="00007F8D">
      <w:pPr>
        <w:pStyle w:val="Heading3"/>
        <w:rPr>
          <w:lang w:val="en-US"/>
        </w:rPr>
      </w:pPr>
      <w:bookmarkStart w:id="1156" w:name="_Toc394386004"/>
      <w:bookmarkStart w:id="1157" w:name="_Toc394386091"/>
      <w:bookmarkStart w:id="1158" w:name="_Toc395503195"/>
      <w:bookmarkStart w:id="1159" w:name="_Toc459746689"/>
      <w:bookmarkStart w:id="1160" w:name="_Toc459792622"/>
      <w:bookmarkStart w:id="1161" w:name="_Toc459793789"/>
      <w:bookmarkStart w:id="1162" w:name="_Toc459793931"/>
      <w:bookmarkStart w:id="1163" w:name="_Toc459970406"/>
      <w:bookmarkStart w:id="1164" w:name="_Toc497033165"/>
      <w:bookmarkStart w:id="1165" w:name="_Toc497033963"/>
      <w:bookmarkStart w:id="1166" w:name="_Toc289868797"/>
      <w:bookmarkStart w:id="1167" w:name="_Toc289868957"/>
      <w:bookmarkStart w:id="1168" w:name="_Toc289932265"/>
      <w:bookmarkStart w:id="1169" w:name="_Toc289933311"/>
      <w:bookmarkStart w:id="1170" w:name="_Toc291852874"/>
      <w:bookmarkStart w:id="1171" w:name="_Toc392515862"/>
      <w:bookmarkStart w:id="1172" w:name="_Toc462234022"/>
      <w:bookmarkStart w:id="1173" w:name="_Toc518394186"/>
      <w:r w:rsidRPr="00BD6197">
        <w:rPr>
          <w:lang w:val="en-US"/>
        </w:rPr>
        <w:t>3.4.2</w:t>
      </w:r>
      <w:r w:rsidRPr="00BD6197">
        <w:rPr>
          <w:lang w:val="en-US"/>
        </w:rPr>
        <w:tab/>
        <w:t>Demand</w:t>
      </w:r>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p>
    <w:p w:rsidR="00007F8D" w:rsidRPr="00BD6197" w:rsidRDefault="00007F8D" w:rsidP="00007F8D">
      <w:pPr>
        <w:rPr>
          <w:lang w:val="en-US"/>
        </w:rPr>
      </w:pPr>
      <w:r w:rsidRPr="00BD6197">
        <w:rPr>
          <w:lang w:val="en-US"/>
        </w:rPr>
        <w:t xml:space="preserve">A country’s population and industry provide the demand for radio services. The viability of introducing services on a commercial basis (i.e. not State funded) throughout a country will depend on the level of that demand, unless there are specific requirements placed on the service provider (e.g. in the United Kingdom, some broadcasters and telephone service providers are obliged to provide </w:t>
      </w:r>
      <w:r w:rsidRPr="00BD6197">
        <w:rPr>
          <w:lang w:val="en-US"/>
        </w:rPr>
        <w:lastRenderedPageBreak/>
        <w:t>universal coverage for certain services). The level of demand in a country is therefore probably the most important element in determining radio usage and together with the country’s geography, determines the shape of the radiocommunications infrastructure.</w:t>
      </w:r>
    </w:p>
    <w:p w:rsidR="00007F8D" w:rsidRPr="00BD6197" w:rsidRDefault="00007F8D" w:rsidP="00007F8D">
      <w:pPr>
        <w:rPr>
          <w:lang w:val="en-US"/>
        </w:rPr>
      </w:pPr>
      <w:r w:rsidRPr="00BD6197">
        <w:rPr>
          <w:lang w:val="en-US"/>
        </w:rPr>
        <w:t>A large population will normally provide the demand for the introduction of a wide variety of radio services, although it may not guarantee their viability. Although most communications are based on population centres, or areas of employment, that demand can also occur in relatively uninhabited areas e.g. major transport routes are not necessarily in major population centres. However it can normally be assumed that the greatest demand will occur in areas with the greatest population density and/or the highest economic activity. Conversely the lower the population density the lower the level of demand and the less competition the market will be able to support. This may lead to less variety and consequently higher costs for a particular service.</w:t>
      </w:r>
    </w:p>
    <w:p w:rsidR="00007F8D" w:rsidRPr="00BD6197" w:rsidRDefault="00007F8D" w:rsidP="00007F8D">
      <w:pPr>
        <w:pStyle w:val="Heading3"/>
        <w:rPr>
          <w:lang w:val="en-US"/>
        </w:rPr>
      </w:pPr>
      <w:bookmarkStart w:id="1174" w:name="_Toc394386005"/>
      <w:bookmarkStart w:id="1175" w:name="_Toc394386092"/>
      <w:bookmarkStart w:id="1176" w:name="_Toc395503196"/>
      <w:bookmarkStart w:id="1177" w:name="_Toc459746690"/>
      <w:bookmarkStart w:id="1178" w:name="_Toc459792623"/>
      <w:bookmarkStart w:id="1179" w:name="_Toc459793790"/>
      <w:bookmarkStart w:id="1180" w:name="_Toc459793932"/>
      <w:bookmarkStart w:id="1181" w:name="_Toc459970407"/>
      <w:bookmarkStart w:id="1182" w:name="_Toc497033166"/>
      <w:bookmarkStart w:id="1183" w:name="_Toc497033964"/>
      <w:bookmarkStart w:id="1184" w:name="_Toc289868798"/>
      <w:bookmarkStart w:id="1185" w:name="_Toc289868958"/>
      <w:bookmarkStart w:id="1186" w:name="_Toc289932266"/>
      <w:bookmarkStart w:id="1187" w:name="_Toc289933312"/>
      <w:bookmarkStart w:id="1188" w:name="_Toc291852875"/>
      <w:bookmarkStart w:id="1189" w:name="_Toc392515863"/>
      <w:bookmarkStart w:id="1190" w:name="_Toc462234023"/>
      <w:bookmarkStart w:id="1191" w:name="_Toc518394187"/>
      <w:r w:rsidRPr="00BD6197">
        <w:rPr>
          <w:lang w:val="en-US"/>
        </w:rPr>
        <w:t>3.4.3</w:t>
      </w:r>
      <w:r w:rsidRPr="00BD6197">
        <w:rPr>
          <w:lang w:val="en-US"/>
        </w:rPr>
        <w:tab/>
        <w:t>The country’s geography</w:t>
      </w:r>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p>
    <w:p w:rsidR="00007F8D" w:rsidRPr="00BD6197" w:rsidRDefault="00007F8D" w:rsidP="00007F8D">
      <w:pPr>
        <w:rPr>
          <w:lang w:val="en-US"/>
        </w:rPr>
      </w:pPr>
      <w:r w:rsidRPr="00BD6197">
        <w:rPr>
          <w:lang w:val="en-US"/>
        </w:rPr>
        <w:t>The geography of the country covers a number of separate items that can affect the benefits arising from the use of radio. These include the country’s size, its geographic shape, terrain structure, the number of countries within coordination distance and their radiocommunications infrastructure.</w:t>
      </w:r>
    </w:p>
    <w:p w:rsidR="00007F8D" w:rsidRPr="00BD6197" w:rsidRDefault="00007F8D" w:rsidP="00007F8D">
      <w:pPr>
        <w:rPr>
          <w:lang w:val="en-US"/>
        </w:rPr>
      </w:pPr>
      <w:r w:rsidRPr="00BD6197">
        <w:rPr>
          <w:lang w:val="en-US"/>
        </w:rPr>
        <w:t>Broadly this translates into: countries with many close neighbours are more likely to have to coordinate the majority of their radio systems and may therefore be more likely to fit their radiocommunications infrastructure around that of their neighbours. The more developed the neighbouring countries’ infrastructure the greater the difficulty there is likely to be in introducing new services. This may not be a big problem as countries with low population densities generally have smaller populations and hence make less demands on the spectrum. At the other end of the scale large countries have greater freedom to plan services above certain frequency bands without the need to resort to coordination. This freedom is increased if they have few neighbours. Those countries with no neighbours within the coordination distance for a specific frequency benefit from the fact that they have unrestricted access to this frequency everywhere within their borders.</w:t>
      </w:r>
    </w:p>
    <w:p w:rsidR="00007F8D" w:rsidRPr="00BD6197" w:rsidRDefault="00007F8D" w:rsidP="00007F8D">
      <w:pPr>
        <w:rPr>
          <w:lang w:val="en-US"/>
        </w:rPr>
      </w:pPr>
      <w:r w:rsidRPr="00BD6197">
        <w:rPr>
          <w:lang w:val="en-US"/>
        </w:rPr>
        <w:t>For the purpose of this Report, terrain structure includes mountain regions, dense woodland and desert. When combined with the other elements of the country’s geography and the population characteristics the terrain structure helps to determine which frequency bands may be the most appropriate for a particular service.</w:t>
      </w:r>
    </w:p>
    <w:p w:rsidR="00007F8D" w:rsidRPr="00BD6197" w:rsidRDefault="00007F8D" w:rsidP="00007F8D">
      <w:pPr>
        <w:pStyle w:val="Heading4"/>
        <w:rPr>
          <w:lang w:val="en-US"/>
        </w:rPr>
      </w:pPr>
      <w:bookmarkStart w:id="1192" w:name="_Toc459746691"/>
      <w:bookmarkStart w:id="1193" w:name="_Toc459792624"/>
      <w:bookmarkStart w:id="1194" w:name="_Toc459793791"/>
      <w:bookmarkStart w:id="1195" w:name="_Toc459793933"/>
      <w:bookmarkStart w:id="1196" w:name="_Toc497033167"/>
      <w:bookmarkStart w:id="1197" w:name="_Toc497033965"/>
      <w:r w:rsidRPr="00BD6197">
        <w:rPr>
          <w:lang w:val="en-US"/>
        </w:rPr>
        <w:t>3.4.3.1</w:t>
      </w:r>
      <w:r w:rsidRPr="00BD6197">
        <w:rPr>
          <w:lang w:val="en-US"/>
        </w:rPr>
        <w:tab/>
        <w:t>Regional variations and spectrum congestion</w:t>
      </w:r>
      <w:bookmarkEnd w:id="1192"/>
      <w:bookmarkEnd w:id="1193"/>
      <w:bookmarkEnd w:id="1194"/>
      <w:bookmarkEnd w:id="1195"/>
      <w:bookmarkEnd w:id="1196"/>
      <w:bookmarkEnd w:id="1197"/>
    </w:p>
    <w:p w:rsidR="00007F8D" w:rsidRPr="00BD6197" w:rsidRDefault="00007F8D" w:rsidP="00007F8D">
      <w:pPr>
        <w:rPr>
          <w:lang w:val="en-US"/>
        </w:rPr>
      </w:pPr>
      <w:r w:rsidRPr="00BD6197">
        <w:rPr>
          <w:lang w:val="en-US"/>
        </w:rPr>
        <w:t>A country’s geography and demand distribution can combine to provide a variation in the level of frequency availability across a country. The distribution of a country’s population equally across a country is extremely unlikely and the population tends to group in a number of population centres of varying sizes. In practice this grouping is beneficial to the provision of radio services; however, there comes a point where the level of demand can be disproportionate to the area in which it arises and this can cause frequency availability problems and eventually spectrum congestion. Spectrum congestion is a major problem for spectrum managers and cited by many administrations as one of the major factors in their consideration of moving to a spectrum pricing structure. The following example shows the impact of regional variations on spectrum demand.</w:t>
      </w:r>
    </w:p>
    <w:p w:rsidR="00007F8D" w:rsidRPr="00BD6197" w:rsidRDefault="00007F8D" w:rsidP="00007F8D">
      <w:pPr>
        <w:rPr>
          <w:lang w:val="en-US"/>
        </w:rPr>
      </w:pPr>
      <w:r w:rsidRPr="00BD6197">
        <w:rPr>
          <w:lang w:val="en-US"/>
        </w:rPr>
        <w:t xml:space="preserve">In the United Kingdom some 25% of the population live in about 7% of the total land area, an area that includes two of the world’s busiest airports and is bounded by the world’s busiest shipping lane. This concentration of the population and industry creates high demand for all types of service (e.g. mobile, fixed, broadcasting, satellite, radionavigation) whilst at the same time placing considerable restraints on frequency reuse because of the short distance separation. In addition, despite being an island, the United Kingdom’s close proximity to neighbouring countries requires coordination in many frequency bands and places further limits on frequency availability. Public mobile telephone services have increased dramatically with increasing competition from new </w:t>
      </w:r>
      <w:r w:rsidRPr="00BD6197">
        <w:rPr>
          <w:lang w:val="en-US"/>
        </w:rPr>
        <w:lastRenderedPageBreak/>
        <w:t>telecommunication operators, but the roll out of services is based on major centres of population and the prime road and rail links that connect them. Consequently there is a shortage of spectrum in some parts of the United Kingdom whilst in other areas this is not a problem. In areas like the South East of England there is congestion in many bands and a general shortage of available spectrum below 25 GHz. In particular below 3 GHz there is a problem with spectrum availability for mobile services. The United Kingdom is therefore putting considerable effort into opening up the frequency bands above 30 GHz.</w:t>
      </w:r>
    </w:p>
    <w:p w:rsidR="00007F8D" w:rsidRPr="00BD6197" w:rsidRDefault="00007F8D" w:rsidP="00007F8D">
      <w:pPr>
        <w:pStyle w:val="Heading3"/>
        <w:rPr>
          <w:lang w:val="en-US"/>
        </w:rPr>
      </w:pPr>
      <w:bookmarkStart w:id="1198" w:name="_Toc394386006"/>
      <w:bookmarkStart w:id="1199" w:name="_Toc394386093"/>
      <w:bookmarkStart w:id="1200" w:name="_Toc395503197"/>
      <w:bookmarkStart w:id="1201" w:name="_Toc459746692"/>
      <w:bookmarkStart w:id="1202" w:name="_Toc459792625"/>
      <w:bookmarkStart w:id="1203" w:name="_Toc459793792"/>
      <w:bookmarkStart w:id="1204" w:name="_Toc459793934"/>
      <w:bookmarkStart w:id="1205" w:name="_Toc459970408"/>
      <w:bookmarkStart w:id="1206" w:name="_Toc497033168"/>
      <w:bookmarkStart w:id="1207" w:name="_Toc497033966"/>
      <w:bookmarkStart w:id="1208" w:name="_Toc289868799"/>
      <w:bookmarkStart w:id="1209" w:name="_Toc289868959"/>
      <w:bookmarkStart w:id="1210" w:name="_Toc289932267"/>
      <w:bookmarkStart w:id="1211" w:name="_Toc289933313"/>
      <w:bookmarkStart w:id="1212" w:name="_Toc291852876"/>
      <w:bookmarkStart w:id="1213" w:name="_Toc392515864"/>
      <w:bookmarkStart w:id="1214" w:name="_Toc462234024"/>
      <w:bookmarkStart w:id="1215" w:name="_Toc518394188"/>
      <w:r w:rsidRPr="00BD6197">
        <w:rPr>
          <w:lang w:val="en-US"/>
        </w:rPr>
        <w:t>3.4.4</w:t>
      </w:r>
      <w:r w:rsidRPr="00BD6197">
        <w:rPr>
          <w:lang w:val="en-US"/>
        </w:rPr>
        <w:tab/>
        <w:t>Variation from country to country</w:t>
      </w:r>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p>
    <w:p w:rsidR="00007F8D" w:rsidRPr="00BD6197" w:rsidRDefault="00007F8D" w:rsidP="00007F8D">
      <w:pPr>
        <w:rPr>
          <w:lang w:val="en-US"/>
        </w:rPr>
      </w:pPr>
      <w:r w:rsidRPr="00BD6197">
        <w:rPr>
          <w:lang w:val="en-US"/>
        </w:rPr>
        <w:t>The variation between countries is similar to the variation within a country except that it is generally on a larger scale but with some modifications and additional factors.</w:t>
      </w:r>
    </w:p>
    <w:p w:rsidR="00007F8D" w:rsidRPr="00BD6197" w:rsidRDefault="00007F8D" w:rsidP="00007F8D">
      <w:pPr>
        <w:pStyle w:val="Heading4"/>
        <w:rPr>
          <w:lang w:val="en-US"/>
        </w:rPr>
      </w:pPr>
      <w:bookmarkStart w:id="1216" w:name="_Toc459746693"/>
      <w:bookmarkStart w:id="1217" w:name="_Toc459792626"/>
      <w:bookmarkStart w:id="1218" w:name="_Toc459793793"/>
      <w:bookmarkStart w:id="1219" w:name="_Toc459793935"/>
      <w:bookmarkStart w:id="1220" w:name="_Toc497033169"/>
      <w:bookmarkStart w:id="1221" w:name="_Toc497033967"/>
      <w:r w:rsidRPr="00BD6197">
        <w:rPr>
          <w:lang w:val="en-US"/>
        </w:rPr>
        <w:t>3.4.4.1</w:t>
      </w:r>
      <w:r w:rsidRPr="00BD6197">
        <w:rPr>
          <w:lang w:val="en-US"/>
        </w:rPr>
        <w:tab/>
        <w:t>Frequency allocation</w:t>
      </w:r>
      <w:bookmarkEnd w:id="1216"/>
      <w:bookmarkEnd w:id="1217"/>
      <w:bookmarkEnd w:id="1218"/>
      <w:bookmarkEnd w:id="1219"/>
      <w:bookmarkEnd w:id="1220"/>
      <w:bookmarkEnd w:id="1221"/>
    </w:p>
    <w:p w:rsidR="00007F8D" w:rsidRPr="00BD6197" w:rsidRDefault="00007F8D" w:rsidP="00007F8D">
      <w:pPr>
        <w:rPr>
          <w:lang w:val="en-US"/>
        </w:rPr>
      </w:pPr>
      <w:r w:rsidRPr="00BD6197">
        <w:rPr>
          <w:lang w:val="en-US"/>
        </w:rPr>
        <w:t>Probably the most fundamental difference between countries will be in the allocation of frequencies to services. This may arise through different allocations to countries between ITU Regions, footnotes in RR Article 5 and individual differences from RR Article 5 that have been coordinated between countries. These differences between countries may affect both Primary and Secondary allocations. These changes will primarily affect frequency availability and be subject to coordination agreements between individual countries.</w:t>
      </w:r>
    </w:p>
    <w:p w:rsidR="00007F8D" w:rsidRPr="00BD6197" w:rsidRDefault="00007F8D" w:rsidP="00007F8D">
      <w:pPr>
        <w:pStyle w:val="Heading4"/>
        <w:rPr>
          <w:lang w:val="en-US"/>
        </w:rPr>
      </w:pPr>
      <w:bookmarkStart w:id="1222" w:name="_Toc459746694"/>
      <w:bookmarkStart w:id="1223" w:name="_Toc459792627"/>
      <w:bookmarkStart w:id="1224" w:name="_Toc459793794"/>
      <w:bookmarkStart w:id="1225" w:name="_Toc459793936"/>
      <w:bookmarkStart w:id="1226" w:name="_Toc497033170"/>
      <w:bookmarkStart w:id="1227" w:name="_Toc497033968"/>
      <w:r w:rsidRPr="00BD6197">
        <w:rPr>
          <w:lang w:val="en-US"/>
        </w:rPr>
        <w:t>3.4.4.2</w:t>
      </w:r>
      <w:r w:rsidRPr="00BD6197">
        <w:rPr>
          <w:lang w:val="en-US"/>
        </w:rPr>
        <w:tab/>
        <w:t>Regulatory approach and planning criteria</w:t>
      </w:r>
      <w:bookmarkEnd w:id="1222"/>
      <w:bookmarkEnd w:id="1223"/>
      <w:bookmarkEnd w:id="1224"/>
      <w:bookmarkEnd w:id="1225"/>
      <w:bookmarkEnd w:id="1226"/>
      <w:bookmarkEnd w:id="1227"/>
    </w:p>
    <w:p w:rsidR="00007F8D" w:rsidRPr="00BD6197" w:rsidRDefault="00007F8D" w:rsidP="00007F8D">
      <w:pPr>
        <w:rPr>
          <w:lang w:val="en-US"/>
        </w:rPr>
      </w:pPr>
      <w:r w:rsidRPr="00BD6197">
        <w:rPr>
          <w:lang w:val="en-US"/>
        </w:rPr>
        <w:t>The spectrum management authorities may be subject to different legislative requirements and as a consequence have a different regulatory approach. In addition there are a number of factors that would normally be expected to vary between countries. These are spectrum management objectives, aims, frequency planning criteria, and operational requirements.</w:t>
      </w:r>
    </w:p>
    <w:p w:rsidR="00007F8D" w:rsidRPr="00BD6197" w:rsidRDefault="00007F8D" w:rsidP="00007F8D">
      <w:pPr>
        <w:pStyle w:val="Heading3"/>
        <w:rPr>
          <w:lang w:val="en-US" w:eastAsia="fr-FR"/>
        </w:rPr>
      </w:pPr>
      <w:bookmarkStart w:id="1228" w:name="_Toc289868800"/>
      <w:bookmarkStart w:id="1229" w:name="_Toc289868960"/>
      <w:bookmarkStart w:id="1230" w:name="_Toc289932268"/>
      <w:bookmarkStart w:id="1231" w:name="_Toc289933314"/>
      <w:bookmarkStart w:id="1232" w:name="_Toc291852877"/>
      <w:bookmarkStart w:id="1233" w:name="_Toc392515865"/>
      <w:bookmarkStart w:id="1234" w:name="_Toc462234025"/>
      <w:bookmarkStart w:id="1235" w:name="_Toc518394189"/>
      <w:bookmarkStart w:id="1236" w:name="_Toc394386007"/>
      <w:bookmarkStart w:id="1237" w:name="_Toc394386094"/>
      <w:bookmarkStart w:id="1238" w:name="_Toc395503198"/>
      <w:bookmarkStart w:id="1239" w:name="_Toc459746695"/>
      <w:bookmarkStart w:id="1240" w:name="_Toc459792628"/>
      <w:bookmarkStart w:id="1241" w:name="_Toc459793795"/>
      <w:bookmarkStart w:id="1242" w:name="_Toc459793937"/>
      <w:bookmarkStart w:id="1243" w:name="_Toc459970409"/>
      <w:bookmarkStart w:id="1244" w:name="_Toc497033171"/>
      <w:bookmarkStart w:id="1245" w:name="_Toc497033969"/>
      <w:r w:rsidRPr="00BD6197">
        <w:rPr>
          <w:lang w:val="en-US"/>
        </w:rPr>
        <w:t>3.4.5</w:t>
      </w:r>
      <w:r w:rsidRPr="00BD6197">
        <w:rPr>
          <w:lang w:val="en-US"/>
        </w:rPr>
        <w:tab/>
      </w:r>
      <w:r w:rsidRPr="00BD6197">
        <w:rPr>
          <w:lang w:val="en-US" w:eastAsia="fr-FR"/>
        </w:rPr>
        <w:t>Factors which may be taken into account in an international comparison of fee levels</w:t>
      </w:r>
      <w:bookmarkEnd w:id="1228"/>
      <w:bookmarkEnd w:id="1229"/>
      <w:bookmarkEnd w:id="1230"/>
      <w:bookmarkEnd w:id="1231"/>
      <w:bookmarkEnd w:id="1232"/>
      <w:bookmarkEnd w:id="1233"/>
      <w:bookmarkEnd w:id="1234"/>
      <w:bookmarkEnd w:id="1235"/>
    </w:p>
    <w:p w:rsidR="00007F8D" w:rsidRPr="00BD6197" w:rsidRDefault="00007F8D" w:rsidP="00007F8D">
      <w:pPr>
        <w:rPr>
          <w:lang w:val="en-US" w:eastAsia="fr-FR"/>
        </w:rPr>
      </w:pPr>
      <w:r w:rsidRPr="00BD6197">
        <w:rPr>
          <w:lang w:val="en-US" w:eastAsia="fr-FR"/>
        </w:rPr>
        <w:t>The Spectrum Fees database contains details of the fees applied in a number of countries. In this connection, the question arises as to which fee levels to select and whether they can be used directly without modification or, “all other things being equal”, with an appropriate transposition prior to application.</w:t>
      </w:r>
    </w:p>
    <w:p w:rsidR="00007F8D" w:rsidRPr="00BD6197" w:rsidRDefault="00007F8D" w:rsidP="00007F8D">
      <w:pPr>
        <w:rPr>
          <w:lang w:val="en-US" w:eastAsia="fr-FR"/>
        </w:rPr>
      </w:pPr>
      <w:r w:rsidRPr="00BD6197">
        <w:rPr>
          <w:lang w:val="en-US" w:eastAsia="fr-FR"/>
        </w:rPr>
        <w:t>In replying to this question, there is a need to conduct an analysis of the economic conditions surrounding licensed operations and, on the basis of that analysis, to draw up a (non-exhaustive) list of factors to be taken into account prior to transposing the fees applied by one of the countries in the database to another country.</w:t>
      </w:r>
    </w:p>
    <w:p w:rsidR="00007F8D" w:rsidRPr="00BD6197" w:rsidRDefault="00007F8D" w:rsidP="00007F8D">
      <w:pPr>
        <w:rPr>
          <w:lang w:val="en-US" w:eastAsia="fr-FR"/>
        </w:rPr>
      </w:pPr>
      <w:r w:rsidRPr="00BD6197">
        <w:rPr>
          <w:lang w:val="en-US" w:eastAsia="fr-FR"/>
        </w:rPr>
        <w:t>We shall confine ourselves to looking at the case of those fees that are set administratively and applied to telecommunication operators having been authorized to use frequencies (i.e. licensed operators).</w:t>
      </w:r>
    </w:p>
    <w:p w:rsidR="00007F8D" w:rsidRPr="00BD6197" w:rsidRDefault="00007F8D" w:rsidP="00007F8D">
      <w:pPr>
        <w:rPr>
          <w:lang w:val="en-US" w:eastAsia="fr-FR"/>
        </w:rPr>
      </w:pPr>
      <w:r w:rsidRPr="00BD6197">
        <w:rPr>
          <w:lang w:val="en-US" w:eastAsia="fr-FR"/>
        </w:rPr>
        <w:t>Some of the aforementioned factors may be taken as criteria for comparing the economic conditions under which licensed operations are conducted in the countries in question. This comparison should enable the administrations concerned to identify how to effect the transposition on an economic basis.</w:t>
      </w:r>
    </w:p>
    <w:p w:rsidR="00007F8D" w:rsidRPr="00BD6197" w:rsidRDefault="00007F8D" w:rsidP="00007F8D">
      <w:pPr>
        <w:pStyle w:val="Heading4"/>
        <w:rPr>
          <w:bCs/>
          <w:lang w:val="en-US" w:eastAsia="fr-FR"/>
        </w:rPr>
      </w:pPr>
      <w:r w:rsidRPr="00BD6197">
        <w:rPr>
          <w:bCs/>
          <w:lang w:val="en-US" w:eastAsia="fr-FR"/>
        </w:rPr>
        <w:t>3.4.5.1</w:t>
      </w:r>
      <w:r w:rsidRPr="00BD6197">
        <w:rPr>
          <w:lang w:val="en-US" w:eastAsia="fr-FR"/>
        </w:rPr>
        <w:tab/>
        <w:t>Grounds for fees and their economic impact</w:t>
      </w:r>
    </w:p>
    <w:p w:rsidR="00007F8D" w:rsidRPr="00BD6197" w:rsidRDefault="00007F8D" w:rsidP="00007F8D">
      <w:pPr>
        <w:rPr>
          <w:lang w:val="en-US" w:eastAsia="fr-FR"/>
        </w:rPr>
      </w:pPr>
      <w:r w:rsidRPr="00BD6197">
        <w:rPr>
          <w:lang w:val="en-US" w:eastAsia="fr-FR"/>
        </w:rPr>
        <w:t>In most countries the radio-frequency spectrum lies in the State's public domain, and its use for commercial purposes constitutes private occupancy within that domain.</w:t>
      </w:r>
    </w:p>
    <w:p w:rsidR="00007F8D" w:rsidRPr="00BD6197" w:rsidRDefault="00007F8D" w:rsidP="00007F8D">
      <w:pPr>
        <w:rPr>
          <w:lang w:val="en-US" w:eastAsia="fr-FR"/>
        </w:rPr>
      </w:pPr>
      <w:r w:rsidRPr="00BD6197">
        <w:rPr>
          <w:lang w:val="en-US" w:eastAsia="fr-FR"/>
        </w:rPr>
        <w:t>Such occupancy is therefore normally subject to the payment:</w:t>
      </w:r>
    </w:p>
    <w:p w:rsidR="00007F8D" w:rsidRPr="00BD6197" w:rsidRDefault="00007F8D" w:rsidP="00007F8D">
      <w:pPr>
        <w:pStyle w:val="enumlev1"/>
        <w:rPr>
          <w:lang w:val="en-US" w:eastAsia="fr-FR"/>
        </w:rPr>
      </w:pPr>
      <w:r w:rsidRPr="00BD6197">
        <w:rPr>
          <w:lang w:val="en-US" w:eastAsia="fr-FR"/>
        </w:rPr>
        <w:t xml:space="preserve">– </w:t>
      </w:r>
      <w:r w:rsidRPr="00BD6197">
        <w:rPr>
          <w:lang w:val="en-US" w:eastAsia="fr-FR"/>
        </w:rPr>
        <w:tab/>
        <w:t>on the one hand, of a management fee calculated to cover the administrative costs of spectrum management (in the broad sense of the term, i.e. planning, domestic management and monitoring);</w:t>
      </w:r>
    </w:p>
    <w:p w:rsidR="00007F8D" w:rsidRPr="00BD6197" w:rsidRDefault="00007F8D" w:rsidP="00007F8D">
      <w:pPr>
        <w:pStyle w:val="enumlev1"/>
        <w:rPr>
          <w:lang w:val="en-US" w:eastAsia="fr-FR"/>
        </w:rPr>
      </w:pPr>
      <w:r w:rsidRPr="00BD6197">
        <w:rPr>
          <w:lang w:val="en-US" w:eastAsia="fr-FR"/>
        </w:rPr>
        <w:lastRenderedPageBreak/>
        <w:t xml:space="preserve">– </w:t>
      </w:r>
      <w:r w:rsidRPr="00BD6197">
        <w:rPr>
          <w:lang w:val="en-US" w:eastAsia="fr-FR"/>
        </w:rPr>
        <w:tab/>
        <w:t>on the other hand, of a fee for provision of the frequencies, which must be in proportion to the benefits derived therefore by the recipient.</w:t>
      </w:r>
    </w:p>
    <w:p w:rsidR="00007F8D" w:rsidRPr="00BD6197" w:rsidRDefault="00007F8D" w:rsidP="00007F8D">
      <w:pPr>
        <w:rPr>
          <w:lang w:val="en-US" w:eastAsia="fr-FR"/>
        </w:rPr>
      </w:pPr>
      <w:r w:rsidRPr="00BD6197">
        <w:rPr>
          <w:lang w:val="en-US" w:eastAsia="fr-FR"/>
        </w:rPr>
        <w:t>The benefits derived by a telecommunication operator from its spectrum occupancy may be evaluated by considering, among other things, its net operating result. From this standpoint, the fees associated with frequency usage and applied to an operator should thus be in relation to its net operating result.</w:t>
      </w:r>
    </w:p>
    <w:p w:rsidR="00007F8D" w:rsidRPr="00BD6197" w:rsidRDefault="00007F8D" w:rsidP="00007F8D">
      <w:pPr>
        <w:rPr>
          <w:lang w:val="en-US" w:eastAsia="fr-FR"/>
        </w:rPr>
      </w:pPr>
      <w:r w:rsidRPr="00BD6197">
        <w:rPr>
          <w:lang w:val="en-US" w:eastAsia="fr-FR"/>
        </w:rPr>
        <w:t>From the economic and accounting standpoint, operators experience frequency usage fees as a tying up of resources and/or an operational cost which thus reduces their net operating result by a corresponding amount.</w:t>
      </w:r>
    </w:p>
    <w:p w:rsidR="00007F8D" w:rsidRPr="00BD6197" w:rsidRDefault="00007F8D" w:rsidP="00007F8D">
      <w:pPr>
        <w:rPr>
          <w:lang w:val="en-US" w:eastAsia="fr-FR"/>
        </w:rPr>
      </w:pPr>
      <w:r w:rsidRPr="00BD6197">
        <w:rPr>
          <w:lang w:val="en-US" w:eastAsia="fr-FR"/>
        </w:rPr>
        <w:t>This is why, although the application of frequency usage fees is a legitimate approach, those fees must not be set too high in order not to discourage initiatives and hamper the development of new services. In any event, the level of the fees cannot exceed operator</w:t>
      </w:r>
      <w:r w:rsidRPr="00BD6197">
        <w:rPr>
          <w:lang w:val="en-US"/>
        </w:rPr>
        <w:t>’</w:t>
      </w:r>
      <w:r w:rsidRPr="00BD6197">
        <w:rPr>
          <w:lang w:val="en-US" w:eastAsia="fr-FR"/>
        </w:rPr>
        <w:t>s propensity to pay.</w:t>
      </w:r>
    </w:p>
    <w:p w:rsidR="00007F8D" w:rsidRPr="00BD6197" w:rsidRDefault="00007F8D" w:rsidP="00007F8D">
      <w:pPr>
        <w:pStyle w:val="Heading4"/>
        <w:rPr>
          <w:bCs/>
          <w:lang w:val="en-US" w:eastAsia="fr-FR"/>
        </w:rPr>
      </w:pPr>
      <w:r w:rsidRPr="00BD6197">
        <w:rPr>
          <w:bCs/>
          <w:lang w:val="en-US" w:eastAsia="fr-FR"/>
        </w:rPr>
        <w:t>3.4.5.2</w:t>
      </w:r>
      <w:r w:rsidRPr="00BD6197">
        <w:rPr>
          <w:bCs/>
          <w:lang w:val="en-US" w:eastAsia="fr-FR"/>
        </w:rPr>
        <w:tab/>
      </w:r>
      <w:r w:rsidRPr="00BD6197">
        <w:rPr>
          <w:lang w:val="en-US" w:eastAsia="fr-FR"/>
        </w:rPr>
        <w:t>Economic conditions surrounding licensed operations</w:t>
      </w:r>
    </w:p>
    <w:p w:rsidR="00007F8D" w:rsidRPr="00BD6197" w:rsidRDefault="00007F8D" w:rsidP="00007F8D">
      <w:pPr>
        <w:rPr>
          <w:lang w:val="en-US" w:eastAsia="fr-FR"/>
        </w:rPr>
      </w:pPr>
      <w:r w:rsidRPr="00BD6197">
        <w:rPr>
          <w:lang w:val="en-US" w:eastAsia="fr-FR"/>
        </w:rPr>
        <w:t>An operator's net operating result comprises the difference between the total sale price of the goods and services marketed (turnover) and the total cost involved in acquiring those goods and services (operating costs).</w:t>
      </w:r>
    </w:p>
    <w:p w:rsidR="00007F8D" w:rsidRPr="00BD6197" w:rsidRDefault="00007F8D" w:rsidP="00007F8D">
      <w:pPr>
        <w:rPr>
          <w:lang w:val="en-US" w:eastAsia="fr-FR"/>
        </w:rPr>
      </w:pPr>
      <w:r w:rsidRPr="00BD6197">
        <w:rPr>
          <w:lang w:val="en-US" w:eastAsia="fr-FR"/>
        </w:rPr>
        <w:t>It goes without saying that the economic conditions under which licensed operations are conducted have an impact on both turnover and operating costs and thus have a bearing on the operator’s net result.</w:t>
      </w:r>
    </w:p>
    <w:p w:rsidR="00007F8D" w:rsidRPr="00BD6197" w:rsidRDefault="00007F8D" w:rsidP="00007F8D">
      <w:pPr>
        <w:rPr>
          <w:lang w:val="en-US" w:eastAsia="fr-FR"/>
        </w:rPr>
      </w:pPr>
      <w:r w:rsidRPr="00BD6197">
        <w:rPr>
          <w:lang w:val="en-US" w:eastAsia="fr-FR"/>
        </w:rPr>
        <w:t>Thus, the more the operating conditions are favourable to operators, the greater their propensity to pay fees, and vice versa.</w:t>
      </w:r>
    </w:p>
    <w:p w:rsidR="00007F8D" w:rsidRPr="00BD6197" w:rsidRDefault="00007F8D" w:rsidP="00007F8D">
      <w:pPr>
        <w:rPr>
          <w:lang w:val="en-US" w:eastAsia="fr-FR"/>
        </w:rPr>
      </w:pPr>
      <w:r w:rsidRPr="00BD6197">
        <w:rPr>
          <w:lang w:val="en-US" w:eastAsia="fr-FR"/>
        </w:rPr>
        <w:t>It is therefore necessary to analyse and compare the economic conditions surrounding licensed operations in the countries under consideration.</w:t>
      </w:r>
    </w:p>
    <w:p w:rsidR="00007F8D" w:rsidRPr="00BD6197" w:rsidRDefault="00007F8D" w:rsidP="00007F8D">
      <w:pPr>
        <w:rPr>
          <w:lang w:val="en-US" w:eastAsia="fr-FR"/>
        </w:rPr>
      </w:pPr>
      <w:r w:rsidRPr="00BD6197">
        <w:rPr>
          <w:lang w:val="en-US" w:eastAsia="fr-FR"/>
        </w:rPr>
        <w:t>Those conditions are determined by, among other things, the following factors.</w:t>
      </w:r>
    </w:p>
    <w:p w:rsidR="00007F8D" w:rsidRPr="00A01420" w:rsidRDefault="00007F8D" w:rsidP="00007F8D">
      <w:pPr>
        <w:pStyle w:val="Headingb"/>
        <w:rPr>
          <w:bCs/>
          <w:lang w:val="en-US"/>
        </w:rPr>
      </w:pPr>
      <w:bookmarkStart w:id="1246" w:name="_Toc454284857"/>
      <w:bookmarkStart w:id="1247" w:name="_Toc462234026"/>
      <w:r w:rsidRPr="00A01420">
        <w:rPr>
          <w:lang w:val="en-US"/>
        </w:rPr>
        <w:t>a)</w:t>
      </w:r>
      <w:r w:rsidRPr="00A01420">
        <w:rPr>
          <w:lang w:val="en-US"/>
        </w:rPr>
        <w:tab/>
        <w:t>Socio-economic factors in the countries under consideration</w:t>
      </w:r>
      <w:bookmarkEnd w:id="1246"/>
      <w:bookmarkEnd w:id="1247"/>
    </w:p>
    <w:p w:rsidR="00007F8D" w:rsidRPr="00BD6197" w:rsidRDefault="00007F8D" w:rsidP="00007F8D">
      <w:pPr>
        <w:rPr>
          <w:lang w:val="en-US" w:eastAsia="fr-FR"/>
        </w:rPr>
      </w:pPr>
      <w:r w:rsidRPr="00BD6197">
        <w:rPr>
          <w:lang w:val="en-US" w:eastAsia="fr-FR"/>
        </w:rPr>
        <w:t>Factors to be covered by the analysis may include:</w:t>
      </w:r>
    </w:p>
    <w:p w:rsidR="00007F8D" w:rsidRPr="00BD6197" w:rsidRDefault="00007F8D" w:rsidP="00007F8D">
      <w:pPr>
        <w:pStyle w:val="enumlev1"/>
        <w:rPr>
          <w:lang w:val="en-US" w:eastAsia="fr-FR"/>
        </w:rPr>
      </w:pPr>
      <w:r w:rsidRPr="00BD6197">
        <w:rPr>
          <w:lang w:val="en-US" w:eastAsia="fr-FR"/>
        </w:rPr>
        <w:t xml:space="preserve">– </w:t>
      </w:r>
      <w:r w:rsidRPr="00BD6197">
        <w:rPr>
          <w:lang w:val="en-US" w:eastAsia="fr-FR"/>
        </w:rPr>
        <w:tab/>
        <w:t>GDP or GDP/inhabitant;</w:t>
      </w:r>
    </w:p>
    <w:p w:rsidR="00007F8D" w:rsidRPr="00BD6197" w:rsidRDefault="00007F8D" w:rsidP="00007F8D">
      <w:pPr>
        <w:pStyle w:val="enumlev1"/>
        <w:rPr>
          <w:lang w:val="en-US" w:eastAsia="fr-FR"/>
        </w:rPr>
      </w:pPr>
      <w:r w:rsidRPr="00BD6197">
        <w:rPr>
          <w:lang w:val="en-US" w:eastAsia="fr-FR"/>
        </w:rPr>
        <w:t xml:space="preserve">– </w:t>
      </w:r>
      <w:r w:rsidRPr="00BD6197">
        <w:rPr>
          <w:lang w:val="en-US" w:eastAsia="fr-FR"/>
        </w:rPr>
        <w:tab/>
        <w:t>total population or population density;</w:t>
      </w:r>
    </w:p>
    <w:p w:rsidR="00007F8D" w:rsidRPr="00BD6197" w:rsidRDefault="00007F8D" w:rsidP="00007F8D">
      <w:pPr>
        <w:pStyle w:val="enumlev1"/>
        <w:rPr>
          <w:lang w:val="en-US" w:eastAsia="fr-FR"/>
        </w:rPr>
      </w:pPr>
      <w:r w:rsidRPr="00BD6197">
        <w:rPr>
          <w:lang w:val="en-US" w:eastAsia="fr-FR"/>
        </w:rPr>
        <w:t xml:space="preserve">– </w:t>
      </w:r>
      <w:r w:rsidRPr="00BD6197">
        <w:rPr>
          <w:lang w:val="en-US" w:eastAsia="fr-FR"/>
        </w:rPr>
        <w:tab/>
        <w:t>geographic distribution of the population (concentrated in a few areas, dispersed, …);</w:t>
      </w:r>
    </w:p>
    <w:p w:rsidR="00007F8D" w:rsidRPr="00BD6197" w:rsidRDefault="00007F8D" w:rsidP="00007F8D">
      <w:pPr>
        <w:pStyle w:val="enumlev1"/>
        <w:rPr>
          <w:lang w:val="en-US" w:eastAsia="fr-FR"/>
        </w:rPr>
      </w:pPr>
      <w:r w:rsidRPr="00BD6197">
        <w:rPr>
          <w:lang w:val="en-US" w:eastAsia="fr-FR"/>
        </w:rPr>
        <w:t xml:space="preserve">– </w:t>
      </w:r>
      <w:r w:rsidRPr="00BD6197">
        <w:rPr>
          <w:lang w:val="en-US" w:eastAsia="fr-FR"/>
        </w:rPr>
        <w:tab/>
        <w:t>the country</w:t>
      </w:r>
      <w:r w:rsidRPr="00BD6197">
        <w:rPr>
          <w:lang w:val="en-US"/>
        </w:rPr>
        <w:t>’</w:t>
      </w:r>
      <w:r w:rsidRPr="00BD6197">
        <w:rPr>
          <w:lang w:val="en-US" w:eastAsia="fr-FR"/>
        </w:rPr>
        <w:t>s size, relief (plains, mountains, …) and degree of insularity.</w:t>
      </w:r>
    </w:p>
    <w:p w:rsidR="00007F8D" w:rsidRPr="00A01420" w:rsidRDefault="00007F8D" w:rsidP="00007F8D">
      <w:pPr>
        <w:pStyle w:val="Headingb"/>
        <w:rPr>
          <w:bCs/>
          <w:lang w:val="en-US"/>
        </w:rPr>
      </w:pPr>
      <w:bookmarkStart w:id="1248" w:name="_Toc454284858"/>
      <w:bookmarkStart w:id="1249" w:name="_Toc462234027"/>
      <w:r w:rsidRPr="00A01420">
        <w:rPr>
          <w:lang w:val="en-US"/>
        </w:rPr>
        <w:t>b)</w:t>
      </w:r>
      <w:r w:rsidRPr="00A01420">
        <w:rPr>
          <w:lang w:val="en-US"/>
        </w:rPr>
        <w:tab/>
        <w:t>Characteristics of authorizations or licences allocated</w:t>
      </w:r>
      <w:bookmarkEnd w:id="1248"/>
      <w:bookmarkEnd w:id="1249"/>
    </w:p>
    <w:p w:rsidR="00007F8D" w:rsidRPr="00BD6197" w:rsidRDefault="00007F8D" w:rsidP="00007F8D">
      <w:pPr>
        <w:rPr>
          <w:lang w:val="en-US" w:eastAsia="fr-FR"/>
        </w:rPr>
      </w:pPr>
      <w:r w:rsidRPr="00BD6197">
        <w:rPr>
          <w:lang w:val="en-US" w:eastAsia="fr-FR"/>
        </w:rPr>
        <w:t>Particular attention may be focused on:</w:t>
      </w:r>
    </w:p>
    <w:p w:rsidR="00007F8D" w:rsidRPr="00BD6197" w:rsidRDefault="00007F8D" w:rsidP="00007F8D">
      <w:pPr>
        <w:pStyle w:val="enumlev1"/>
        <w:rPr>
          <w:lang w:val="en-US" w:eastAsia="fr-FR"/>
        </w:rPr>
      </w:pPr>
      <w:r w:rsidRPr="00BD6197">
        <w:rPr>
          <w:lang w:val="en-US" w:eastAsia="fr-FR"/>
        </w:rPr>
        <w:t xml:space="preserve">– </w:t>
      </w:r>
      <w:r w:rsidRPr="00BD6197">
        <w:rPr>
          <w:lang w:val="en-US" w:eastAsia="fr-FR"/>
        </w:rPr>
        <w:tab/>
        <w:t>the licence period;</w:t>
      </w:r>
    </w:p>
    <w:p w:rsidR="00007F8D" w:rsidRPr="00BD6197" w:rsidRDefault="00007F8D" w:rsidP="00007F8D">
      <w:pPr>
        <w:pStyle w:val="enumlev1"/>
        <w:rPr>
          <w:lang w:val="en-US" w:eastAsia="fr-FR"/>
        </w:rPr>
      </w:pPr>
      <w:r w:rsidRPr="00BD6197">
        <w:rPr>
          <w:lang w:val="en-US" w:eastAsia="fr-FR"/>
        </w:rPr>
        <w:t xml:space="preserve">– </w:t>
      </w:r>
      <w:r w:rsidRPr="00BD6197">
        <w:rPr>
          <w:lang w:val="en-US" w:eastAsia="fr-FR"/>
        </w:rPr>
        <w:tab/>
        <w:t>the stability of operating conditions;</w:t>
      </w:r>
    </w:p>
    <w:p w:rsidR="00007F8D" w:rsidRPr="00BD6197" w:rsidRDefault="00007F8D" w:rsidP="00007F8D">
      <w:pPr>
        <w:pStyle w:val="enumlev1"/>
        <w:rPr>
          <w:lang w:val="en-US" w:eastAsia="fr-FR"/>
        </w:rPr>
      </w:pPr>
      <w:r w:rsidRPr="00BD6197">
        <w:rPr>
          <w:lang w:val="en-US" w:eastAsia="fr-FR"/>
        </w:rPr>
        <w:t xml:space="preserve">– </w:t>
      </w:r>
      <w:r w:rsidRPr="00BD6197">
        <w:rPr>
          <w:lang w:val="en-US" w:eastAsia="fr-FR"/>
        </w:rPr>
        <w:tab/>
        <w:t>whether or not licences are renewable.</w:t>
      </w:r>
    </w:p>
    <w:p w:rsidR="00007F8D" w:rsidRPr="00A01420" w:rsidRDefault="00007F8D" w:rsidP="00007F8D">
      <w:pPr>
        <w:pStyle w:val="Headingb"/>
        <w:rPr>
          <w:bCs/>
          <w:lang w:val="en-US"/>
        </w:rPr>
      </w:pPr>
      <w:bookmarkStart w:id="1250" w:name="_Toc454284859"/>
      <w:bookmarkStart w:id="1251" w:name="_Toc462234028"/>
      <w:r w:rsidRPr="00A01420">
        <w:rPr>
          <w:lang w:val="en-US"/>
        </w:rPr>
        <w:t>c)</w:t>
      </w:r>
      <w:r w:rsidRPr="00A01420">
        <w:rPr>
          <w:lang w:val="en-US"/>
        </w:rPr>
        <w:tab/>
        <w:t>Terms of reference of authorized operators</w:t>
      </w:r>
      <w:bookmarkEnd w:id="1250"/>
      <w:bookmarkEnd w:id="1251"/>
    </w:p>
    <w:p w:rsidR="00007F8D" w:rsidRPr="00BD6197" w:rsidRDefault="00007F8D" w:rsidP="00007F8D">
      <w:pPr>
        <w:rPr>
          <w:lang w:val="en-US" w:eastAsia="fr-FR"/>
        </w:rPr>
      </w:pPr>
      <w:r w:rsidRPr="00BD6197">
        <w:rPr>
          <w:lang w:val="en-US" w:eastAsia="fr-FR"/>
        </w:rPr>
        <w:t>The obligations imposed on operators in their terms of reference and which thus increase their operating costs may relate to:</w:t>
      </w:r>
    </w:p>
    <w:p w:rsidR="00007F8D" w:rsidRPr="00BD6197" w:rsidRDefault="00007F8D" w:rsidP="00007F8D">
      <w:pPr>
        <w:pStyle w:val="enumlev1"/>
        <w:rPr>
          <w:lang w:val="en-US" w:eastAsia="fr-FR"/>
        </w:rPr>
      </w:pPr>
      <w:r w:rsidRPr="00BD6197">
        <w:rPr>
          <w:lang w:val="en-US" w:eastAsia="fr-FR"/>
        </w:rPr>
        <w:t xml:space="preserve">– </w:t>
      </w:r>
      <w:r w:rsidRPr="00BD6197">
        <w:rPr>
          <w:lang w:val="en-US" w:eastAsia="fr-FR"/>
        </w:rPr>
        <w:tab/>
        <w:t>coverage of the territory in question;</w:t>
      </w:r>
    </w:p>
    <w:p w:rsidR="00007F8D" w:rsidRPr="00BD6197" w:rsidRDefault="00007F8D" w:rsidP="00007F8D">
      <w:pPr>
        <w:pStyle w:val="enumlev1"/>
        <w:rPr>
          <w:lang w:val="en-US" w:eastAsia="fr-FR"/>
        </w:rPr>
      </w:pPr>
      <w:r w:rsidRPr="00BD6197">
        <w:rPr>
          <w:lang w:val="en-US" w:eastAsia="fr-FR"/>
        </w:rPr>
        <w:t xml:space="preserve">– </w:t>
      </w:r>
      <w:r w:rsidRPr="00BD6197">
        <w:rPr>
          <w:lang w:val="en-US" w:eastAsia="fr-FR"/>
        </w:rPr>
        <w:tab/>
        <w:t>quality of service;</w:t>
      </w:r>
    </w:p>
    <w:p w:rsidR="00007F8D" w:rsidRPr="00BD6197" w:rsidRDefault="00007F8D" w:rsidP="00007F8D">
      <w:pPr>
        <w:pStyle w:val="enumlev1"/>
        <w:rPr>
          <w:lang w:val="en-US" w:eastAsia="fr-FR"/>
        </w:rPr>
      </w:pPr>
      <w:r w:rsidRPr="00BD6197">
        <w:rPr>
          <w:lang w:val="en-US" w:eastAsia="fr-FR"/>
        </w:rPr>
        <w:t xml:space="preserve">– </w:t>
      </w:r>
      <w:r w:rsidRPr="00BD6197">
        <w:rPr>
          <w:lang w:val="en-US" w:eastAsia="fr-FR"/>
        </w:rPr>
        <w:tab/>
        <w:t xml:space="preserve">participation in universal service; </w:t>
      </w:r>
    </w:p>
    <w:p w:rsidR="00007F8D" w:rsidRPr="00BD6197" w:rsidRDefault="00007F8D" w:rsidP="00007F8D">
      <w:pPr>
        <w:pStyle w:val="enumlev1"/>
        <w:rPr>
          <w:lang w:val="en-US" w:eastAsia="fr-FR"/>
        </w:rPr>
      </w:pPr>
      <w:r w:rsidRPr="00BD6197">
        <w:rPr>
          <w:lang w:val="en-US" w:eastAsia="fr-FR"/>
        </w:rPr>
        <w:t xml:space="preserve">– </w:t>
      </w:r>
      <w:r w:rsidRPr="00BD6197">
        <w:rPr>
          <w:lang w:val="en-US" w:eastAsia="fr-FR"/>
        </w:rPr>
        <w:tab/>
        <w:t>participation in research and development efforts in the telecommunication sphere;</w:t>
      </w:r>
    </w:p>
    <w:p w:rsidR="00007F8D" w:rsidRPr="00BD6197" w:rsidRDefault="00007F8D" w:rsidP="00007F8D">
      <w:pPr>
        <w:pStyle w:val="enumlev1"/>
        <w:rPr>
          <w:lang w:val="en-US" w:eastAsia="fr-FR"/>
        </w:rPr>
      </w:pPr>
      <w:r w:rsidRPr="00BD6197">
        <w:rPr>
          <w:lang w:val="en-US" w:eastAsia="fr-FR"/>
        </w:rPr>
        <w:lastRenderedPageBreak/>
        <w:t xml:space="preserve">– </w:t>
      </w:r>
      <w:r w:rsidRPr="00BD6197">
        <w:rPr>
          <w:lang w:val="en-US" w:eastAsia="fr-FR"/>
        </w:rPr>
        <w:tab/>
        <w:t>additional constraints (free calls to certain numbers, number portability, …).</w:t>
      </w:r>
    </w:p>
    <w:p w:rsidR="00007F8D" w:rsidRPr="00A01420" w:rsidRDefault="00007F8D" w:rsidP="00007F8D">
      <w:pPr>
        <w:pStyle w:val="Headingb"/>
        <w:rPr>
          <w:bCs/>
          <w:lang w:val="en-US"/>
        </w:rPr>
      </w:pPr>
      <w:bookmarkStart w:id="1252" w:name="_Toc454284860"/>
      <w:bookmarkStart w:id="1253" w:name="_Toc462234029"/>
      <w:r w:rsidRPr="00A01420">
        <w:rPr>
          <w:lang w:val="en-US"/>
        </w:rPr>
        <w:t>d)</w:t>
      </w:r>
      <w:r w:rsidRPr="00A01420">
        <w:rPr>
          <w:lang w:val="en-US"/>
        </w:rPr>
        <w:tab/>
        <w:t>Comparison/transposition of fee levels</w:t>
      </w:r>
      <w:bookmarkEnd w:id="1252"/>
      <w:bookmarkEnd w:id="1253"/>
    </w:p>
    <w:p w:rsidR="00007F8D" w:rsidRPr="00BD6197" w:rsidRDefault="00007F8D" w:rsidP="00007F8D">
      <w:pPr>
        <w:rPr>
          <w:lang w:val="en-US" w:eastAsia="fr-FR"/>
        </w:rPr>
      </w:pPr>
      <w:r w:rsidRPr="00BD6197">
        <w:rPr>
          <w:lang w:val="en-US" w:eastAsia="fr-FR"/>
        </w:rPr>
        <w:t>The table below describes the influence that the economic conditions surrounding licensed operations have on operator</w:t>
      </w:r>
      <w:r w:rsidRPr="00BD6197">
        <w:rPr>
          <w:lang w:val="en-US"/>
        </w:rPr>
        <w:t>’</w:t>
      </w:r>
      <w:r w:rsidRPr="00BD6197">
        <w:rPr>
          <w:lang w:val="en-US" w:eastAsia="fr-FR"/>
        </w:rPr>
        <w:t>s propensity to pay fees.</w:t>
      </w:r>
    </w:p>
    <w:p w:rsidR="00007F8D" w:rsidRPr="00BD6197" w:rsidRDefault="00007F8D" w:rsidP="00007F8D">
      <w:pPr>
        <w:rPr>
          <w:lang w:val="en-US" w:eastAsia="fr-FR"/>
        </w:rPr>
      </w:pPr>
      <w:r w:rsidRPr="00BD6197">
        <w:rPr>
          <w:lang w:val="en-US" w:eastAsia="fr-FR"/>
        </w:rPr>
        <w:t>It goes without saying that those factors which help to boost turnover will serve to increase that propensity, while those which add to operating costs will drive that propensity downwards.</w:t>
      </w:r>
    </w:p>
    <w:p w:rsidR="00007F8D" w:rsidRPr="00BD6197" w:rsidRDefault="00007F8D" w:rsidP="00007F8D">
      <w:pPr>
        <w:rPr>
          <w:lang w:val="en-US" w:eastAsia="fr-FR"/>
        </w:rPr>
      </w:pPr>
    </w:p>
    <w:p w:rsidR="00007F8D" w:rsidRPr="00BD6197" w:rsidRDefault="00007F8D" w:rsidP="00007F8D">
      <w:pPr>
        <w:rPr>
          <w:b/>
          <w:szCs w:val="24"/>
          <w:lang w:val="en-US" w:eastAsia="fr-FR"/>
        </w:rPr>
        <w:sectPr w:rsidR="00007F8D" w:rsidRPr="00BD6197" w:rsidSect="00DC27A7">
          <w:headerReference w:type="even" r:id="rId16"/>
          <w:headerReference w:type="default" r:id="rId17"/>
          <w:footerReference w:type="even" r:id="rId18"/>
          <w:footerReference w:type="default" r:id="rId19"/>
          <w:headerReference w:type="first" r:id="rId20"/>
          <w:footerReference w:type="first" r:id="rId21"/>
          <w:pgSz w:w="11907" w:h="16834" w:code="9"/>
          <w:pgMar w:top="1418" w:right="1134" w:bottom="1134" w:left="1134" w:header="720" w:footer="482" w:gutter="0"/>
          <w:paperSrc w:first="15" w:other="15"/>
          <w:pgNumType w:start="1"/>
          <w:cols w:space="720"/>
          <w:titlePg/>
          <w:docGrid w:linePitch="326"/>
        </w:sectPr>
      </w:pPr>
    </w:p>
    <w:p w:rsidR="00007F8D" w:rsidRPr="00875297" w:rsidRDefault="00007F8D" w:rsidP="00007F8D">
      <w:pPr>
        <w:pStyle w:val="Tabletitle"/>
        <w:rPr>
          <w:bCs/>
          <w:lang w:val="en-US" w:eastAsia="fr-FR"/>
        </w:rPr>
      </w:pPr>
      <w:r w:rsidRPr="00875297">
        <w:rPr>
          <w:lang w:val="en-US" w:eastAsia="fr-FR"/>
        </w:rPr>
        <w:lastRenderedPageBreak/>
        <w:t xml:space="preserve">Factors which may be taken into </w:t>
      </w:r>
      <w:r w:rsidRPr="00731EA7">
        <w:rPr>
          <w:lang w:val="en-GB"/>
        </w:rPr>
        <w:t>account</w:t>
      </w:r>
      <w:r w:rsidRPr="00875297">
        <w:rPr>
          <w:lang w:val="en-US" w:eastAsia="fr-FR"/>
        </w:rPr>
        <w:t xml:space="preserve"> when comparing or transposing fee levels</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26"/>
        <w:gridCol w:w="7233"/>
      </w:tblGrid>
      <w:tr w:rsidR="00007F8D" w:rsidRPr="00875297" w:rsidTr="000F2BA7">
        <w:trPr>
          <w:jc w:val="center"/>
        </w:trPr>
        <w:tc>
          <w:tcPr>
            <w:tcW w:w="7226" w:type="dxa"/>
          </w:tcPr>
          <w:p w:rsidR="00007F8D" w:rsidRPr="00875297" w:rsidRDefault="00007F8D" w:rsidP="000F2BA7">
            <w:pPr>
              <w:pStyle w:val="Tablehead"/>
              <w:rPr>
                <w:lang w:val="en-US"/>
              </w:rPr>
            </w:pPr>
            <w:r w:rsidRPr="00875297">
              <w:rPr>
                <w:lang w:val="en-US"/>
              </w:rPr>
              <w:t>Socio-economic factors in the countries under consideration</w:t>
            </w:r>
          </w:p>
        </w:tc>
        <w:tc>
          <w:tcPr>
            <w:tcW w:w="7233" w:type="dxa"/>
          </w:tcPr>
          <w:p w:rsidR="00007F8D" w:rsidRPr="00875297" w:rsidRDefault="00007F8D" w:rsidP="000F2BA7">
            <w:pPr>
              <w:pStyle w:val="Tablehead"/>
              <w:rPr>
                <w:lang w:val="en-US"/>
              </w:rPr>
            </w:pPr>
            <w:r w:rsidRPr="00875297">
              <w:rPr>
                <w:lang w:val="en-US"/>
              </w:rPr>
              <w:t>Remarks</w:t>
            </w:r>
          </w:p>
        </w:tc>
      </w:tr>
      <w:tr w:rsidR="00007F8D" w:rsidRPr="00D17B5B" w:rsidTr="000F2BA7">
        <w:trPr>
          <w:jc w:val="center"/>
        </w:trPr>
        <w:tc>
          <w:tcPr>
            <w:tcW w:w="7226" w:type="dxa"/>
          </w:tcPr>
          <w:p w:rsidR="00007F8D" w:rsidRPr="00875297" w:rsidRDefault="00007F8D" w:rsidP="000F2BA7">
            <w:pPr>
              <w:pStyle w:val="Tabletext"/>
              <w:rPr>
                <w:lang w:val="en-US" w:eastAsia="fr-FR"/>
              </w:rPr>
            </w:pPr>
            <w:r w:rsidRPr="00875297">
              <w:rPr>
                <w:lang w:val="en-US" w:eastAsia="fr-FR"/>
              </w:rPr>
              <w:t>GDP or GDP/inhabitant</w:t>
            </w:r>
          </w:p>
        </w:tc>
        <w:tc>
          <w:tcPr>
            <w:tcW w:w="7233" w:type="dxa"/>
          </w:tcPr>
          <w:p w:rsidR="00007F8D" w:rsidRPr="00875297" w:rsidRDefault="00007F8D" w:rsidP="000F2BA7">
            <w:pPr>
              <w:pStyle w:val="Tabletext"/>
              <w:rPr>
                <w:lang w:val="en-US" w:eastAsia="fr-FR"/>
              </w:rPr>
            </w:pPr>
            <w:r w:rsidRPr="00875297">
              <w:rPr>
                <w:lang w:val="en-US" w:eastAsia="fr-FR"/>
              </w:rPr>
              <w:t>Operator</w:t>
            </w:r>
            <w:r w:rsidRPr="00875297">
              <w:rPr>
                <w:lang w:val="en-US"/>
              </w:rPr>
              <w:t>’</w:t>
            </w:r>
            <w:r w:rsidRPr="00875297">
              <w:rPr>
                <w:lang w:val="en-US" w:eastAsia="fr-FR"/>
              </w:rPr>
              <w:t>s propensity to pay fees increases in line with GDP since the potential turnover increases with GDP.</w:t>
            </w:r>
          </w:p>
          <w:p w:rsidR="00007F8D" w:rsidRPr="00875297" w:rsidRDefault="00007F8D" w:rsidP="000F2BA7">
            <w:pPr>
              <w:pStyle w:val="Tabletext"/>
              <w:rPr>
                <w:b/>
                <w:bCs/>
                <w:lang w:val="en-US"/>
              </w:rPr>
            </w:pPr>
            <w:r w:rsidRPr="00875297">
              <w:rPr>
                <w:bCs/>
                <w:lang w:val="en-US" w:eastAsia="fr-FR"/>
              </w:rPr>
              <w:t>Remark: The existence of a countertrading system may result in a calculated GDP that is lower than actual GDP.</w:t>
            </w:r>
          </w:p>
        </w:tc>
      </w:tr>
      <w:tr w:rsidR="00007F8D" w:rsidRPr="00D17B5B" w:rsidTr="000F2BA7">
        <w:trPr>
          <w:jc w:val="center"/>
        </w:trPr>
        <w:tc>
          <w:tcPr>
            <w:tcW w:w="7226" w:type="dxa"/>
          </w:tcPr>
          <w:p w:rsidR="00007F8D" w:rsidRPr="00875297" w:rsidRDefault="00007F8D" w:rsidP="000F2BA7">
            <w:pPr>
              <w:pStyle w:val="Tabletext"/>
              <w:rPr>
                <w:lang w:val="en-US" w:eastAsia="fr-FR"/>
              </w:rPr>
            </w:pPr>
            <w:r w:rsidRPr="00875297">
              <w:rPr>
                <w:lang w:val="en-US" w:eastAsia="fr-FR"/>
              </w:rPr>
              <w:t>Total population; population density</w:t>
            </w:r>
          </w:p>
        </w:tc>
        <w:tc>
          <w:tcPr>
            <w:tcW w:w="7233" w:type="dxa"/>
          </w:tcPr>
          <w:p w:rsidR="00007F8D" w:rsidRPr="00875297" w:rsidRDefault="00007F8D" w:rsidP="000F2BA7">
            <w:pPr>
              <w:pStyle w:val="Tabletext"/>
              <w:rPr>
                <w:lang w:val="en-US"/>
              </w:rPr>
            </w:pPr>
            <w:r w:rsidRPr="00875297">
              <w:rPr>
                <w:lang w:val="en-US" w:eastAsia="fr-FR"/>
              </w:rPr>
              <w:t>Operator</w:t>
            </w:r>
            <w:r w:rsidRPr="00875297">
              <w:rPr>
                <w:lang w:val="en-US"/>
              </w:rPr>
              <w:t>’</w:t>
            </w:r>
            <w:r w:rsidRPr="00875297">
              <w:rPr>
                <w:lang w:val="en-US" w:eastAsia="fr-FR"/>
              </w:rPr>
              <w:t>s propensity to pay fees increases in line with population size since, generally speaking, the potential turnover increases with population size.</w:t>
            </w:r>
          </w:p>
        </w:tc>
      </w:tr>
      <w:tr w:rsidR="00007F8D" w:rsidRPr="00D17B5B" w:rsidTr="000F2BA7">
        <w:trPr>
          <w:jc w:val="center"/>
        </w:trPr>
        <w:tc>
          <w:tcPr>
            <w:tcW w:w="7226" w:type="dxa"/>
          </w:tcPr>
          <w:p w:rsidR="00007F8D" w:rsidRPr="00875297" w:rsidRDefault="00007F8D" w:rsidP="000F2BA7">
            <w:pPr>
              <w:pStyle w:val="Tabletext"/>
              <w:rPr>
                <w:lang w:val="en-US" w:eastAsia="fr-FR"/>
              </w:rPr>
            </w:pPr>
            <w:r w:rsidRPr="00875297">
              <w:rPr>
                <w:lang w:val="en-US" w:eastAsia="fr-FR"/>
              </w:rPr>
              <w:t>Geographic distribution of the population (concentrated in a few areas, dispersed, ...)</w:t>
            </w:r>
          </w:p>
        </w:tc>
        <w:tc>
          <w:tcPr>
            <w:tcW w:w="7233" w:type="dxa"/>
          </w:tcPr>
          <w:p w:rsidR="00007F8D" w:rsidRPr="00875297" w:rsidRDefault="00007F8D" w:rsidP="000F2BA7">
            <w:pPr>
              <w:pStyle w:val="Tabletext"/>
              <w:rPr>
                <w:lang w:val="en-US"/>
              </w:rPr>
            </w:pPr>
            <w:r w:rsidRPr="00875297">
              <w:rPr>
                <w:lang w:val="en-US" w:eastAsia="fr-FR"/>
              </w:rPr>
              <w:t>Operator</w:t>
            </w:r>
            <w:r w:rsidRPr="00875297">
              <w:rPr>
                <w:lang w:val="en-US"/>
              </w:rPr>
              <w:t>’</w:t>
            </w:r>
            <w:r w:rsidRPr="00875297">
              <w:rPr>
                <w:lang w:val="en-US" w:eastAsia="fr-FR"/>
              </w:rPr>
              <w:t>s propensity to pay fees increases with concentration since, generally speaking, the cost of network deployment decreases with concentration.</w:t>
            </w:r>
          </w:p>
        </w:tc>
      </w:tr>
      <w:tr w:rsidR="00007F8D" w:rsidRPr="00D17B5B" w:rsidTr="000F2BA7">
        <w:trPr>
          <w:jc w:val="center"/>
        </w:trPr>
        <w:tc>
          <w:tcPr>
            <w:tcW w:w="7226" w:type="dxa"/>
          </w:tcPr>
          <w:p w:rsidR="00007F8D" w:rsidRPr="00875297" w:rsidRDefault="00007F8D" w:rsidP="000F2BA7">
            <w:pPr>
              <w:pStyle w:val="Tabletext"/>
              <w:rPr>
                <w:lang w:val="en-US" w:eastAsia="fr-FR"/>
              </w:rPr>
            </w:pPr>
            <w:r w:rsidRPr="00875297">
              <w:rPr>
                <w:lang w:val="en-US" w:eastAsia="fr-FR"/>
              </w:rPr>
              <w:t>Country size, relief and degree of insularity</w:t>
            </w:r>
          </w:p>
        </w:tc>
        <w:tc>
          <w:tcPr>
            <w:tcW w:w="7233" w:type="dxa"/>
          </w:tcPr>
          <w:p w:rsidR="00007F8D" w:rsidRPr="00875297" w:rsidRDefault="00007F8D" w:rsidP="000F2BA7">
            <w:pPr>
              <w:pStyle w:val="Tabletext"/>
              <w:rPr>
                <w:lang w:val="en-US"/>
              </w:rPr>
            </w:pPr>
            <w:r w:rsidRPr="00875297">
              <w:rPr>
                <w:lang w:val="en-US" w:eastAsia="fr-FR"/>
              </w:rPr>
              <w:t>Operator</w:t>
            </w:r>
            <w:r w:rsidRPr="00875297">
              <w:rPr>
                <w:lang w:val="en-US"/>
              </w:rPr>
              <w:t>’</w:t>
            </w:r>
            <w:r w:rsidRPr="00875297">
              <w:rPr>
                <w:lang w:val="en-US" w:eastAsia="fr-FR"/>
              </w:rPr>
              <w:t>s propensity to pay fees decreases in line with the country</w:t>
            </w:r>
            <w:r w:rsidRPr="00875297">
              <w:rPr>
                <w:lang w:val="en-US"/>
              </w:rPr>
              <w:t>’</w:t>
            </w:r>
            <w:r w:rsidRPr="00875297">
              <w:rPr>
                <w:lang w:val="en-US" w:eastAsia="fr-FR"/>
              </w:rPr>
              <w:t>s size and relief since, generally speaking, the cost of network deployment increases in line with those parameters.</w:t>
            </w:r>
          </w:p>
        </w:tc>
      </w:tr>
      <w:tr w:rsidR="00007F8D" w:rsidRPr="00D17B5B" w:rsidTr="000F2BA7">
        <w:trPr>
          <w:jc w:val="center"/>
        </w:trPr>
        <w:tc>
          <w:tcPr>
            <w:tcW w:w="14459" w:type="dxa"/>
            <w:gridSpan w:val="2"/>
          </w:tcPr>
          <w:p w:rsidR="00007F8D" w:rsidRPr="00875297" w:rsidRDefault="00007F8D" w:rsidP="000F2BA7">
            <w:pPr>
              <w:pStyle w:val="Tabletext"/>
              <w:rPr>
                <w:lang w:val="en-US"/>
              </w:rPr>
            </w:pPr>
            <w:r w:rsidRPr="00875297">
              <w:rPr>
                <w:b/>
                <w:lang w:val="en-US" w:eastAsia="fr-FR"/>
              </w:rPr>
              <w:t>Characteristics of authorizations or licences</w:t>
            </w:r>
          </w:p>
        </w:tc>
      </w:tr>
      <w:tr w:rsidR="00007F8D" w:rsidRPr="00D17B5B" w:rsidTr="000F2BA7">
        <w:trPr>
          <w:jc w:val="center"/>
        </w:trPr>
        <w:tc>
          <w:tcPr>
            <w:tcW w:w="7226" w:type="dxa"/>
          </w:tcPr>
          <w:p w:rsidR="00007F8D" w:rsidRPr="00875297" w:rsidRDefault="00007F8D" w:rsidP="000F2BA7">
            <w:pPr>
              <w:pStyle w:val="Tabletext"/>
              <w:rPr>
                <w:lang w:val="en-US" w:eastAsia="fr-FR"/>
              </w:rPr>
            </w:pPr>
            <w:r w:rsidRPr="00875297">
              <w:rPr>
                <w:lang w:val="en-US" w:eastAsia="fr-FR"/>
              </w:rPr>
              <w:t>Period of validity of authorizations</w:t>
            </w:r>
          </w:p>
        </w:tc>
        <w:tc>
          <w:tcPr>
            <w:tcW w:w="7233" w:type="dxa"/>
          </w:tcPr>
          <w:p w:rsidR="00007F8D" w:rsidRPr="00875297" w:rsidRDefault="00007F8D" w:rsidP="000F2BA7">
            <w:pPr>
              <w:pStyle w:val="Tabletext"/>
              <w:rPr>
                <w:lang w:val="en-US"/>
              </w:rPr>
            </w:pPr>
            <w:r w:rsidRPr="00875297">
              <w:rPr>
                <w:lang w:val="en-US" w:eastAsia="fr-FR"/>
              </w:rPr>
              <w:t>Operator</w:t>
            </w:r>
            <w:r w:rsidRPr="00875297">
              <w:rPr>
                <w:lang w:val="en-US"/>
              </w:rPr>
              <w:t>’</w:t>
            </w:r>
            <w:r w:rsidRPr="00875297">
              <w:rPr>
                <w:lang w:val="en-US" w:eastAsia="fr-FR"/>
              </w:rPr>
              <w:t>s propensity to pay fees increases in line with the period of validity since equipment amortization is better assured and the final years of operation are generally far more profitable than the initial years.</w:t>
            </w:r>
          </w:p>
        </w:tc>
      </w:tr>
      <w:tr w:rsidR="00007F8D" w:rsidRPr="00D17B5B" w:rsidTr="000F2BA7">
        <w:trPr>
          <w:jc w:val="center"/>
        </w:trPr>
        <w:tc>
          <w:tcPr>
            <w:tcW w:w="7226" w:type="dxa"/>
          </w:tcPr>
          <w:p w:rsidR="00007F8D" w:rsidRPr="00875297" w:rsidRDefault="00007F8D" w:rsidP="000F2BA7">
            <w:pPr>
              <w:pStyle w:val="Tabletext"/>
              <w:rPr>
                <w:lang w:val="en-US" w:eastAsia="fr-FR"/>
              </w:rPr>
            </w:pPr>
            <w:r w:rsidRPr="00875297">
              <w:rPr>
                <w:lang w:val="en-US" w:eastAsia="fr-FR"/>
              </w:rPr>
              <w:t>Stability of operating conditions</w:t>
            </w:r>
          </w:p>
        </w:tc>
        <w:tc>
          <w:tcPr>
            <w:tcW w:w="7233" w:type="dxa"/>
          </w:tcPr>
          <w:p w:rsidR="00007F8D" w:rsidRPr="00875297" w:rsidRDefault="00007F8D" w:rsidP="000F2BA7">
            <w:pPr>
              <w:pStyle w:val="Tabletext"/>
              <w:rPr>
                <w:lang w:val="en-US"/>
              </w:rPr>
            </w:pPr>
            <w:r w:rsidRPr="00875297">
              <w:rPr>
                <w:lang w:val="en-US" w:eastAsia="fr-FR"/>
              </w:rPr>
              <w:t>Operator</w:t>
            </w:r>
            <w:r w:rsidRPr="00875297">
              <w:rPr>
                <w:lang w:val="en-US"/>
              </w:rPr>
              <w:t>’</w:t>
            </w:r>
            <w:r w:rsidRPr="00875297">
              <w:rPr>
                <w:lang w:val="en-US" w:eastAsia="fr-FR"/>
              </w:rPr>
              <w:t>s propensity to pay fees increases in line with the level of stability since instability leads operators to cover themselves against the inherent risks.</w:t>
            </w:r>
          </w:p>
        </w:tc>
      </w:tr>
      <w:tr w:rsidR="00007F8D" w:rsidRPr="00D17B5B" w:rsidTr="000F2BA7">
        <w:trPr>
          <w:jc w:val="center"/>
        </w:trPr>
        <w:tc>
          <w:tcPr>
            <w:tcW w:w="7226" w:type="dxa"/>
          </w:tcPr>
          <w:p w:rsidR="00007F8D" w:rsidRPr="00875297" w:rsidRDefault="00007F8D" w:rsidP="000F2BA7">
            <w:pPr>
              <w:pStyle w:val="Tabletext"/>
              <w:rPr>
                <w:lang w:val="en-US" w:eastAsia="fr-FR"/>
              </w:rPr>
            </w:pPr>
            <w:r w:rsidRPr="00875297">
              <w:rPr>
                <w:lang w:val="en-US" w:eastAsia="fr-FR"/>
              </w:rPr>
              <w:t>Renewability of authorizations</w:t>
            </w:r>
          </w:p>
        </w:tc>
        <w:tc>
          <w:tcPr>
            <w:tcW w:w="7233" w:type="dxa"/>
          </w:tcPr>
          <w:p w:rsidR="00007F8D" w:rsidRPr="00875297" w:rsidRDefault="00007F8D" w:rsidP="000F2BA7">
            <w:pPr>
              <w:pStyle w:val="Tabletext"/>
              <w:rPr>
                <w:lang w:val="en-US"/>
              </w:rPr>
            </w:pPr>
            <w:r w:rsidRPr="00875297">
              <w:rPr>
                <w:lang w:val="en-US" w:eastAsia="fr-FR"/>
              </w:rPr>
              <w:t>The influence of this factor is similar to that of the period of validity.</w:t>
            </w:r>
          </w:p>
        </w:tc>
      </w:tr>
      <w:tr w:rsidR="00007F8D" w:rsidRPr="00D17B5B" w:rsidTr="000F2BA7">
        <w:trPr>
          <w:jc w:val="center"/>
        </w:trPr>
        <w:tc>
          <w:tcPr>
            <w:tcW w:w="14459" w:type="dxa"/>
            <w:gridSpan w:val="2"/>
          </w:tcPr>
          <w:p w:rsidR="00007F8D" w:rsidRPr="00875297" w:rsidRDefault="00007F8D" w:rsidP="000F2BA7">
            <w:pPr>
              <w:pStyle w:val="Tabletext"/>
              <w:rPr>
                <w:lang w:val="en-US"/>
              </w:rPr>
            </w:pPr>
            <w:r w:rsidRPr="00875297">
              <w:rPr>
                <w:b/>
                <w:bCs/>
                <w:lang w:val="en-US" w:eastAsia="fr-FR"/>
              </w:rPr>
              <w:t>Content of authorized operator terms of reference</w:t>
            </w:r>
          </w:p>
        </w:tc>
      </w:tr>
      <w:tr w:rsidR="00007F8D" w:rsidRPr="00D17B5B" w:rsidTr="000F2BA7">
        <w:trPr>
          <w:jc w:val="center"/>
        </w:trPr>
        <w:tc>
          <w:tcPr>
            <w:tcW w:w="7226" w:type="dxa"/>
          </w:tcPr>
          <w:p w:rsidR="00007F8D" w:rsidRPr="00875297" w:rsidRDefault="00007F8D" w:rsidP="000F2BA7">
            <w:pPr>
              <w:pStyle w:val="Tabletext"/>
              <w:rPr>
                <w:lang w:val="en-US" w:eastAsia="fr-FR"/>
              </w:rPr>
            </w:pPr>
            <w:r w:rsidRPr="00875297">
              <w:rPr>
                <w:lang w:val="en-US" w:eastAsia="fr-FR"/>
              </w:rPr>
              <w:t>Coverage of the territory in question</w:t>
            </w:r>
          </w:p>
        </w:tc>
        <w:tc>
          <w:tcPr>
            <w:tcW w:w="7233" w:type="dxa"/>
            <w:vMerge w:val="restart"/>
          </w:tcPr>
          <w:p w:rsidR="00007F8D" w:rsidRPr="00875297" w:rsidRDefault="00007F8D" w:rsidP="000F2BA7">
            <w:pPr>
              <w:pStyle w:val="Tabletext"/>
              <w:rPr>
                <w:lang w:val="en-US" w:eastAsia="fr-FR"/>
              </w:rPr>
            </w:pPr>
            <w:r w:rsidRPr="00875297">
              <w:rPr>
                <w:lang w:val="en-US" w:eastAsia="fr-FR"/>
              </w:rPr>
              <w:t>The inclusion of such obligations in the terms of reference increases the operating costs in line with the degree to which they are mandatory and has a corresponding negative effect on operator</w:t>
            </w:r>
            <w:r w:rsidRPr="00875297">
              <w:rPr>
                <w:lang w:val="en-US"/>
              </w:rPr>
              <w:t>’</w:t>
            </w:r>
            <w:r w:rsidRPr="00875297">
              <w:rPr>
                <w:lang w:val="en-US" w:eastAsia="fr-FR"/>
              </w:rPr>
              <w:t>s propensity to pay.</w:t>
            </w:r>
          </w:p>
          <w:p w:rsidR="00007F8D" w:rsidRPr="00875297" w:rsidRDefault="00007F8D" w:rsidP="000F2BA7">
            <w:pPr>
              <w:pStyle w:val="Tabletext"/>
              <w:rPr>
                <w:lang w:val="en-US" w:eastAsia="fr-FR"/>
              </w:rPr>
            </w:pPr>
            <w:r w:rsidRPr="00875297">
              <w:rPr>
                <w:lang w:val="en-US" w:eastAsia="fr-FR"/>
              </w:rPr>
              <w:t>In order to make a detailed comparison, it would be necessary to analyse the degree to which each such obligation is mandatory, taking particular account of the following:</w:t>
            </w:r>
          </w:p>
          <w:p w:rsidR="00007F8D" w:rsidRPr="00875297" w:rsidRDefault="00007F8D" w:rsidP="000F2BA7">
            <w:pPr>
              <w:pStyle w:val="Tabletext"/>
              <w:ind w:left="284" w:hanging="284"/>
              <w:rPr>
                <w:lang w:val="en-US" w:eastAsia="fr-FR"/>
              </w:rPr>
            </w:pPr>
            <w:r w:rsidRPr="00875297">
              <w:rPr>
                <w:lang w:val="en-US" w:eastAsia="fr-FR"/>
              </w:rPr>
              <w:t>–</w:t>
            </w:r>
            <w:r w:rsidRPr="00875297">
              <w:rPr>
                <w:lang w:val="en-US" w:eastAsia="fr-FR"/>
              </w:rPr>
              <w:tab/>
              <w:t>conditions governing international access, which may influence quality of service;</w:t>
            </w:r>
          </w:p>
          <w:p w:rsidR="00007F8D" w:rsidRPr="00875297" w:rsidRDefault="00007F8D" w:rsidP="000F2BA7">
            <w:pPr>
              <w:pStyle w:val="Tabletext"/>
              <w:ind w:left="284" w:hanging="284"/>
              <w:rPr>
                <w:lang w:val="en-US"/>
              </w:rPr>
            </w:pPr>
            <w:r w:rsidRPr="00875297">
              <w:rPr>
                <w:lang w:val="en-US" w:eastAsia="fr-FR"/>
              </w:rPr>
              <w:t>–</w:t>
            </w:r>
            <w:r w:rsidRPr="00875297">
              <w:rPr>
                <w:lang w:val="en-US" w:eastAsia="fr-FR"/>
              </w:rPr>
              <w:tab/>
              <w:t>existence of local practices/customs such as cost-free service for certain categories of user, the effect of which is to reduce the operating result.</w:t>
            </w:r>
          </w:p>
        </w:tc>
      </w:tr>
      <w:tr w:rsidR="00007F8D" w:rsidRPr="00875297" w:rsidTr="000F2BA7">
        <w:trPr>
          <w:jc w:val="center"/>
        </w:trPr>
        <w:tc>
          <w:tcPr>
            <w:tcW w:w="7226" w:type="dxa"/>
          </w:tcPr>
          <w:p w:rsidR="00007F8D" w:rsidRPr="00875297" w:rsidRDefault="00007F8D" w:rsidP="000F2BA7">
            <w:pPr>
              <w:pStyle w:val="Tabletext"/>
              <w:rPr>
                <w:bCs/>
                <w:lang w:val="en-US" w:eastAsia="fr-FR"/>
              </w:rPr>
            </w:pPr>
            <w:r w:rsidRPr="00875297">
              <w:rPr>
                <w:bCs/>
                <w:lang w:val="en-US" w:eastAsia="fr-FR"/>
              </w:rPr>
              <w:t>Quality of service</w:t>
            </w:r>
          </w:p>
        </w:tc>
        <w:tc>
          <w:tcPr>
            <w:tcW w:w="7233" w:type="dxa"/>
            <w:vMerge/>
          </w:tcPr>
          <w:p w:rsidR="00007F8D" w:rsidRPr="00875297" w:rsidRDefault="00007F8D" w:rsidP="000F2BA7">
            <w:pPr>
              <w:pStyle w:val="Heading2"/>
              <w:ind w:left="0" w:firstLine="0"/>
              <w:rPr>
                <w:sz w:val="20"/>
                <w:lang w:val="en-US"/>
              </w:rPr>
            </w:pPr>
          </w:p>
        </w:tc>
      </w:tr>
      <w:tr w:rsidR="00007F8D" w:rsidRPr="00875297" w:rsidTr="000F2BA7">
        <w:trPr>
          <w:jc w:val="center"/>
        </w:trPr>
        <w:tc>
          <w:tcPr>
            <w:tcW w:w="7226" w:type="dxa"/>
          </w:tcPr>
          <w:p w:rsidR="00007F8D" w:rsidRPr="00875297" w:rsidRDefault="00007F8D" w:rsidP="000F2BA7">
            <w:pPr>
              <w:pStyle w:val="Tabletext"/>
              <w:rPr>
                <w:bCs/>
                <w:lang w:val="en-US" w:eastAsia="fr-FR"/>
              </w:rPr>
            </w:pPr>
            <w:r w:rsidRPr="00875297">
              <w:rPr>
                <w:bCs/>
                <w:lang w:val="en-US" w:eastAsia="fr-FR"/>
              </w:rPr>
              <w:t>Participation in universal service</w:t>
            </w:r>
          </w:p>
        </w:tc>
        <w:tc>
          <w:tcPr>
            <w:tcW w:w="7233" w:type="dxa"/>
            <w:vMerge/>
          </w:tcPr>
          <w:p w:rsidR="00007F8D" w:rsidRPr="00875297" w:rsidRDefault="00007F8D" w:rsidP="000F2BA7">
            <w:pPr>
              <w:pStyle w:val="Heading2"/>
              <w:ind w:left="0" w:firstLine="0"/>
              <w:rPr>
                <w:sz w:val="20"/>
                <w:lang w:val="en-US"/>
              </w:rPr>
            </w:pPr>
          </w:p>
        </w:tc>
      </w:tr>
      <w:tr w:rsidR="00007F8D" w:rsidRPr="00D17B5B" w:rsidTr="000F2BA7">
        <w:trPr>
          <w:jc w:val="center"/>
        </w:trPr>
        <w:tc>
          <w:tcPr>
            <w:tcW w:w="7226" w:type="dxa"/>
          </w:tcPr>
          <w:p w:rsidR="00007F8D" w:rsidRPr="00875297" w:rsidRDefault="00007F8D" w:rsidP="000F2BA7">
            <w:pPr>
              <w:pStyle w:val="Tabletext"/>
              <w:rPr>
                <w:bCs/>
                <w:lang w:val="en-US" w:eastAsia="fr-FR"/>
              </w:rPr>
            </w:pPr>
            <w:r w:rsidRPr="00875297">
              <w:rPr>
                <w:bCs/>
                <w:lang w:val="en-US" w:eastAsia="fr-FR"/>
              </w:rPr>
              <w:t>Participation in research and development efforts in the telecommunication sphere</w:t>
            </w:r>
          </w:p>
        </w:tc>
        <w:tc>
          <w:tcPr>
            <w:tcW w:w="7233" w:type="dxa"/>
            <w:vMerge/>
          </w:tcPr>
          <w:p w:rsidR="00007F8D" w:rsidRPr="00875297" w:rsidRDefault="00007F8D" w:rsidP="000F2BA7">
            <w:pPr>
              <w:pStyle w:val="Heading2"/>
              <w:ind w:left="0" w:firstLine="0"/>
              <w:rPr>
                <w:sz w:val="20"/>
                <w:lang w:val="en-US"/>
              </w:rPr>
            </w:pPr>
          </w:p>
        </w:tc>
      </w:tr>
      <w:tr w:rsidR="00007F8D" w:rsidRPr="00D17B5B" w:rsidTr="000F2BA7">
        <w:trPr>
          <w:jc w:val="center"/>
        </w:trPr>
        <w:tc>
          <w:tcPr>
            <w:tcW w:w="7226" w:type="dxa"/>
          </w:tcPr>
          <w:p w:rsidR="00007F8D" w:rsidRPr="00875297" w:rsidRDefault="00007F8D" w:rsidP="000F2BA7">
            <w:pPr>
              <w:pStyle w:val="Tabletext"/>
              <w:rPr>
                <w:bCs/>
                <w:lang w:val="en-US" w:eastAsia="fr-FR"/>
              </w:rPr>
            </w:pPr>
            <w:r w:rsidRPr="00875297">
              <w:rPr>
                <w:bCs/>
                <w:lang w:val="en-US" w:eastAsia="fr-FR"/>
              </w:rPr>
              <w:t>Other obligations (free calls to certain numbers, number portability, spectrum monitoring, ...)</w:t>
            </w:r>
          </w:p>
        </w:tc>
        <w:tc>
          <w:tcPr>
            <w:tcW w:w="7233" w:type="dxa"/>
            <w:vMerge/>
          </w:tcPr>
          <w:p w:rsidR="00007F8D" w:rsidRPr="00875297" w:rsidRDefault="00007F8D" w:rsidP="000F2BA7">
            <w:pPr>
              <w:pStyle w:val="Heading2"/>
              <w:ind w:left="0" w:firstLine="0"/>
              <w:rPr>
                <w:sz w:val="20"/>
                <w:lang w:val="en-US"/>
              </w:rPr>
            </w:pPr>
          </w:p>
        </w:tc>
      </w:tr>
    </w:tbl>
    <w:p w:rsidR="00007F8D" w:rsidRPr="00BD6197" w:rsidRDefault="00007F8D" w:rsidP="00007F8D">
      <w:pPr>
        <w:pStyle w:val="Heading2"/>
        <w:rPr>
          <w:lang w:val="en-US"/>
        </w:rPr>
        <w:sectPr w:rsidR="00007F8D" w:rsidRPr="00BD6197" w:rsidSect="00DC27A7">
          <w:headerReference w:type="even" r:id="rId22"/>
          <w:headerReference w:type="default" r:id="rId23"/>
          <w:footerReference w:type="default" r:id="rId24"/>
          <w:pgSz w:w="16834" w:h="11913" w:orient="landscape" w:code="9"/>
          <w:pgMar w:top="1134" w:right="1418" w:bottom="1134" w:left="1134" w:header="720" w:footer="482" w:gutter="0"/>
          <w:paperSrc w:first="15" w:other="15"/>
          <w:cols w:space="720"/>
        </w:sectPr>
      </w:pPr>
    </w:p>
    <w:p w:rsidR="00007F8D" w:rsidRPr="00BD6197" w:rsidRDefault="00007F8D" w:rsidP="00007F8D">
      <w:pPr>
        <w:pStyle w:val="Heading2"/>
        <w:spacing w:before="0"/>
        <w:rPr>
          <w:lang w:val="en-US"/>
        </w:rPr>
      </w:pPr>
      <w:bookmarkStart w:id="1254" w:name="_Toc289868801"/>
      <w:bookmarkStart w:id="1255" w:name="_Toc289868961"/>
      <w:bookmarkStart w:id="1256" w:name="_Toc289932269"/>
      <w:bookmarkStart w:id="1257" w:name="_Toc289933315"/>
      <w:bookmarkStart w:id="1258" w:name="_Toc291852878"/>
      <w:bookmarkStart w:id="1259" w:name="_Toc392515866"/>
      <w:bookmarkStart w:id="1260" w:name="_Toc462234030"/>
      <w:bookmarkStart w:id="1261" w:name="_Toc518394190"/>
      <w:r w:rsidRPr="00BD6197">
        <w:rPr>
          <w:lang w:val="en-US"/>
        </w:rPr>
        <w:lastRenderedPageBreak/>
        <w:t>3.5</w:t>
      </w:r>
      <w:r w:rsidRPr="00BD6197">
        <w:rPr>
          <w:lang w:val="en-US"/>
        </w:rPr>
        <w:tab/>
        <w:t>Summary</w:t>
      </w:r>
      <w:bookmarkEnd w:id="1236"/>
      <w:bookmarkEnd w:id="1237"/>
      <w:bookmarkEnd w:id="1238"/>
      <w:bookmarkEnd w:id="1239"/>
      <w:bookmarkEnd w:id="1240"/>
      <w:bookmarkEnd w:id="1241"/>
      <w:bookmarkEnd w:id="1242"/>
      <w:bookmarkEnd w:id="1243"/>
      <w:bookmarkEnd w:id="1244"/>
      <w:bookmarkEnd w:id="1245"/>
      <w:bookmarkEnd w:id="1254"/>
      <w:bookmarkEnd w:id="1255"/>
      <w:bookmarkEnd w:id="1256"/>
      <w:bookmarkEnd w:id="1257"/>
      <w:bookmarkEnd w:id="1258"/>
      <w:bookmarkEnd w:id="1259"/>
      <w:bookmarkEnd w:id="1260"/>
      <w:bookmarkEnd w:id="1261"/>
    </w:p>
    <w:p w:rsidR="00007F8D" w:rsidRPr="00BD6197" w:rsidRDefault="00007F8D" w:rsidP="00007F8D">
      <w:pPr>
        <w:rPr>
          <w:lang w:val="en-US"/>
        </w:rPr>
      </w:pPr>
      <w:r w:rsidRPr="00BD6197">
        <w:rPr>
          <w:lang w:val="en-US"/>
        </w:rPr>
        <w:t>The value that the use of radiocommunications and the development of new services can provide to a country’s economy is indicated by the economic benefits identified in the studies undertaken by some administrations. In the past, failure to recognize radiocommunication’s economic contribution to a country, perhaps coupled with uncertainty over the methodology, may have meant that benefits analysis was not considered to provide information relevant to spectrum management. This Report shows that techniques are now available to quantify the economic benefits and are capable of providing information, previously unavailable to spectrum managers that can be taken into consideration when making decisions on frequency assignments and for evaluating the effectiveness of spectrum management decisions. In addition, economic benefit analysis may be used to support justification for spectrum management funding. Effective spectrum management is essential for maintaining access to the radio spectrum and hence the benefits radio can provide to a country.</w:t>
      </w:r>
    </w:p>
    <w:p w:rsidR="00007F8D" w:rsidRPr="00BD6197" w:rsidRDefault="00007F8D" w:rsidP="00007F8D">
      <w:pPr>
        <w:rPr>
          <w:lang w:val="en-US"/>
        </w:rPr>
      </w:pPr>
    </w:p>
    <w:p w:rsidR="00831CFB" w:rsidRDefault="00831CFB" w:rsidP="00E97717">
      <w:pPr>
        <w:rPr>
          <w:lang w:val="en-US"/>
        </w:rPr>
      </w:pPr>
    </w:p>
    <w:p w:rsidR="00831CFB" w:rsidRPr="00BD6197" w:rsidRDefault="00831CFB" w:rsidP="00831CFB">
      <w:pPr>
        <w:pStyle w:val="ChapNo"/>
        <w:rPr>
          <w:lang w:val="en-US"/>
        </w:rPr>
      </w:pPr>
      <w:bookmarkStart w:id="1262" w:name="_Toc459746696"/>
      <w:bookmarkStart w:id="1263" w:name="_Toc459792629"/>
      <w:bookmarkStart w:id="1264" w:name="_Toc459793796"/>
      <w:bookmarkStart w:id="1265" w:name="_Toc459793938"/>
      <w:bookmarkStart w:id="1266" w:name="_Toc459970410"/>
      <w:bookmarkStart w:id="1267" w:name="_Toc289868802"/>
      <w:bookmarkStart w:id="1268" w:name="_Toc289868962"/>
      <w:bookmarkStart w:id="1269" w:name="_Toc289932270"/>
      <w:bookmarkStart w:id="1270" w:name="_Toc289933316"/>
      <w:bookmarkStart w:id="1271" w:name="_Toc291852879"/>
      <w:bookmarkStart w:id="1272" w:name="_Toc462234031"/>
      <w:bookmarkStart w:id="1273" w:name="_Toc518394191"/>
      <w:r w:rsidRPr="00BD6197">
        <w:rPr>
          <w:lang w:val="en-US"/>
        </w:rPr>
        <w:t>CHAPTER 4</w:t>
      </w:r>
      <w:bookmarkEnd w:id="1262"/>
      <w:bookmarkEnd w:id="1263"/>
      <w:bookmarkEnd w:id="1264"/>
      <w:bookmarkEnd w:id="1265"/>
      <w:bookmarkEnd w:id="1266"/>
      <w:bookmarkEnd w:id="1267"/>
      <w:bookmarkEnd w:id="1268"/>
      <w:bookmarkEnd w:id="1269"/>
      <w:bookmarkEnd w:id="1270"/>
      <w:bookmarkEnd w:id="1271"/>
      <w:bookmarkEnd w:id="1272"/>
      <w:bookmarkEnd w:id="1273"/>
    </w:p>
    <w:p w:rsidR="00831CFB" w:rsidRPr="00BD6197" w:rsidRDefault="00831CFB" w:rsidP="00831CFB">
      <w:pPr>
        <w:pStyle w:val="Chaptitle"/>
        <w:rPr>
          <w:lang w:val="en-US"/>
        </w:rPr>
      </w:pPr>
      <w:bookmarkStart w:id="1274" w:name="_Toc289868803"/>
      <w:bookmarkStart w:id="1275" w:name="_Toc289868963"/>
      <w:bookmarkStart w:id="1276" w:name="_Toc289932271"/>
      <w:bookmarkStart w:id="1277" w:name="_Toc289933317"/>
      <w:bookmarkStart w:id="1278" w:name="_Toc291852880"/>
      <w:bookmarkStart w:id="1279" w:name="_Toc454284863"/>
      <w:bookmarkStart w:id="1280" w:name="_Toc462234032"/>
      <w:bookmarkStart w:id="1281" w:name="_Toc518394192"/>
      <w:bookmarkStart w:id="1282" w:name="_Toc459746697"/>
      <w:bookmarkStart w:id="1283" w:name="_Toc459792630"/>
      <w:bookmarkStart w:id="1284" w:name="_Toc459793797"/>
      <w:bookmarkStart w:id="1285" w:name="_Toc459793939"/>
      <w:bookmarkStart w:id="1286" w:name="_Toc459970411"/>
      <w:r w:rsidRPr="00BD6197">
        <w:rPr>
          <w:lang w:val="en-US"/>
        </w:rPr>
        <w:t xml:space="preserve">Guidelines on methodologies for the establishment of </w:t>
      </w:r>
      <w:r w:rsidRPr="00BD6197">
        <w:rPr>
          <w:lang w:val="en-US"/>
        </w:rPr>
        <w:br/>
        <w:t>spectrum fees formula and system</w:t>
      </w:r>
      <w:bookmarkEnd w:id="1274"/>
      <w:bookmarkEnd w:id="1275"/>
      <w:bookmarkEnd w:id="1276"/>
      <w:bookmarkEnd w:id="1277"/>
      <w:bookmarkEnd w:id="1278"/>
      <w:bookmarkEnd w:id="1279"/>
      <w:bookmarkEnd w:id="1280"/>
      <w:bookmarkEnd w:id="1281"/>
      <w:r w:rsidRPr="00BD6197">
        <w:rPr>
          <w:lang w:val="en-US"/>
        </w:rPr>
        <w:t xml:space="preserve"> </w:t>
      </w:r>
      <w:bookmarkEnd w:id="1282"/>
      <w:bookmarkEnd w:id="1283"/>
      <w:bookmarkEnd w:id="1284"/>
      <w:bookmarkEnd w:id="1285"/>
      <w:bookmarkEnd w:id="1286"/>
    </w:p>
    <w:p w:rsidR="00831CFB" w:rsidRPr="00BD6197" w:rsidRDefault="00831CFB" w:rsidP="00831CFB">
      <w:pPr>
        <w:pStyle w:val="Heading2"/>
        <w:rPr>
          <w:lang w:val="en-US"/>
        </w:rPr>
      </w:pPr>
      <w:bookmarkStart w:id="1287" w:name="_Toc289868804"/>
      <w:bookmarkStart w:id="1288" w:name="_Toc289868964"/>
      <w:bookmarkStart w:id="1289" w:name="_Toc289932272"/>
      <w:bookmarkStart w:id="1290" w:name="_Toc289933318"/>
      <w:bookmarkStart w:id="1291" w:name="_Toc291852881"/>
      <w:bookmarkStart w:id="1292" w:name="_Toc392515867"/>
      <w:bookmarkStart w:id="1293" w:name="_Toc462234033"/>
      <w:bookmarkStart w:id="1294" w:name="_Toc518394193"/>
      <w:r w:rsidRPr="00BD6197">
        <w:rPr>
          <w:lang w:val="en-US"/>
        </w:rPr>
        <w:t>4.1</w:t>
      </w:r>
      <w:r w:rsidRPr="00BD6197">
        <w:rPr>
          <w:lang w:val="en-US"/>
        </w:rPr>
        <w:tab/>
        <w:t>Formula development</w:t>
      </w:r>
      <w:bookmarkEnd w:id="1287"/>
      <w:bookmarkEnd w:id="1288"/>
      <w:bookmarkEnd w:id="1289"/>
      <w:bookmarkEnd w:id="1290"/>
      <w:bookmarkEnd w:id="1291"/>
      <w:bookmarkEnd w:id="1292"/>
      <w:bookmarkEnd w:id="1293"/>
      <w:bookmarkEnd w:id="1294"/>
    </w:p>
    <w:p w:rsidR="00831CFB" w:rsidRPr="00BD6197" w:rsidRDefault="00831CFB" w:rsidP="00831CFB">
      <w:pPr>
        <w:rPr>
          <w:lang w:val="en-US"/>
        </w:rPr>
      </w:pPr>
      <w:r w:rsidRPr="00BD6197">
        <w:rPr>
          <w:lang w:val="en-US"/>
        </w:rPr>
        <w:t>Pricing requires the development of formulae to operate effectively. In developing these formulae it is advisable that the administration should consult the radio industry on the appropriate technical parameters and definition of the criteria to be used; for example, highly congested geographic areas and frequency bands. The spectrum pricing formulae need to be fair, objective, transparent and simple. Simplicity is important, otherwise there could be difficulty in operating and maintaining the formulae. Consultation can also help to ensure the parameters are appropriate for the service and any disputes on the definition of areas of high usage are resolved. The consultation process is also important for users as it provides transparency to the development of the spectrum pricing procedures.</w:t>
      </w:r>
    </w:p>
    <w:p w:rsidR="00831CFB" w:rsidRPr="00BD6197" w:rsidRDefault="00831CFB" w:rsidP="00831CFB">
      <w:pPr>
        <w:rPr>
          <w:lang w:val="en-US"/>
        </w:rPr>
      </w:pPr>
      <w:r w:rsidRPr="00BD6197">
        <w:rPr>
          <w:lang w:val="en-US"/>
        </w:rPr>
        <w:t>If the introduction of spectrum pricing requires the development of new software, this may need to be tested and staff trained in its use. This is particularly important if the administration has previously never charged for a spectrum licence. The setting of the fee level is critical to the operation of spectrum pricing and it is necessary to have a suitable differentiation, in terms of the fee value, between areas with high and low levels of spectrum usage.</w:t>
      </w:r>
    </w:p>
    <w:p w:rsidR="00831CFB" w:rsidRPr="00BD6197" w:rsidRDefault="00831CFB" w:rsidP="00831CFB">
      <w:pPr>
        <w:pStyle w:val="Heading2"/>
        <w:rPr>
          <w:bCs/>
          <w:lang w:val="en-US"/>
        </w:rPr>
      </w:pPr>
      <w:bookmarkStart w:id="1295" w:name="_Toc289868805"/>
      <w:bookmarkStart w:id="1296" w:name="_Toc289868965"/>
      <w:bookmarkStart w:id="1297" w:name="_Toc289932273"/>
      <w:bookmarkStart w:id="1298" w:name="_Toc289933319"/>
      <w:bookmarkStart w:id="1299" w:name="_Toc291852882"/>
      <w:bookmarkStart w:id="1300" w:name="_Toc392515868"/>
      <w:bookmarkStart w:id="1301" w:name="_Toc462234034"/>
      <w:bookmarkStart w:id="1302" w:name="_Toc518394194"/>
      <w:r w:rsidRPr="00BD6197">
        <w:rPr>
          <w:lang w:val="en-US"/>
        </w:rPr>
        <w:t>4.2</w:t>
      </w:r>
      <w:r w:rsidRPr="00BD6197">
        <w:rPr>
          <w:lang w:val="en-US"/>
        </w:rPr>
        <w:tab/>
        <w:t>Guidelines for the establishment of administrative fees (or administrative charges)</w:t>
      </w:r>
      <w:bookmarkEnd w:id="1295"/>
      <w:bookmarkEnd w:id="1296"/>
      <w:bookmarkEnd w:id="1297"/>
      <w:bookmarkEnd w:id="1298"/>
      <w:bookmarkEnd w:id="1299"/>
      <w:bookmarkEnd w:id="1300"/>
      <w:bookmarkEnd w:id="1301"/>
      <w:bookmarkEnd w:id="1302"/>
    </w:p>
    <w:p w:rsidR="00831CFB" w:rsidRPr="00BD6197" w:rsidRDefault="00831CFB" w:rsidP="00831CFB">
      <w:pPr>
        <w:pStyle w:val="Heading3"/>
        <w:rPr>
          <w:lang w:val="en-US"/>
        </w:rPr>
      </w:pPr>
      <w:bookmarkStart w:id="1303" w:name="_Toc289868806"/>
      <w:bookmarkStart w:id="1304" w:name="_Toc289868966"/>
      <w:bookmarkStart w:id="1305" w:name="_Toc289932274"/>
      <w:bookmarkStart w:id="1306" w:name="_Toc289933320"/>
      <w:bookmarkStart w:id="1307" w:name="_Toc291852883"/>
      <w:bookmarkStart w:id="1308" w:name="_Toc392515869"/>
      <w:bookmarkStart w:id="1309" w:name="_Toc462234035"/>
      <w:bookmarkStart w:id="1310" w:name="_Toc518394195"/>
      <w:r w:rsidRPr="00BD6197">
        <w:rPr>
          <w:lang w:val="en-US"/>
        </w:rPr>
        <w:t>4.2.1</w:t>
      </w:r>
      <w:r w:rsidRPr="00BD6197">
        <w:rPr>
          <w:lang w:val="en-US"/>
        </w:rPr>
        <w:tab/>
        <w:t>Observations and general approaches</w:t>
      </w:r>
      <w:bookmarkEnd w:id="1303"/>
      <w:bookmarkEnd w:id="1304"/>
      <w:bookmarkEnd w:id="1305"/>
      <w:bookmarkEnd w:id="1306"/>
      <w:bookmarkEnd w:id="1307"/>
      <w:bookmarkEnd w:id="1308"/>
      <w:bookmarkEnd w:id="1309"/>
      <w:bookmarkEnd w:id="1310"/>
    </w:p>
    <w:p w:rsidR="00831CFB" w:rsidRPr="00BD6197" w:rsidRDefault="00831CFB" w:rsidP="00831CFB">
      <w:pPr>
        <w:rPr>
          <w:lang w:val="en-US"/>
        </w:rPr>
      </w:pPr>
      <w:r w:rsidRPr="00BD6197">
        <w:rPr>
          <w:lang w:val="en-US"/>
        </w:rPr>
        <w:t>Administrative fees are intended to cover all of the costs:</w:t>
      </w:r>
    </w:p>
    <w:p w:rsidR="00831CFB" w:rsidRPr="00BD6197" w:rsidRDefault="00831CFB" w:rsidP="00831CFB">
      <w:pPr>
        <w:pStyle w:val="enumlev1"/>
        <w:rPr>
          <w:lang w:val="en-US"/>
        </w:rPr>
      </w:pPr>
      <w:r w:rsidRPr="00BD6197">
        <w:rPr>
          <w:lang w:val="en-US"/>
        </w:rPr>
        <w:t>–</w:t>
      </w:r>
      <w:r w:rsidRPr="00BD6197">
        <w:rPr>
          <w:lang w:val="en-US"/>
        </w:rPr>
        <w:tab/>
        <w:t>of activities relating to spectrum planning, management and monitoring;</w:t>
      </w:r>
    </w:p>
    <w:p w:rsidR="00831CFB" w:rsidRPr="00BD6197" w:rsidRDefault="00831CFB" w:rsidP="00831CFB">
      <w:pPr>
        <w:pStyle w:val="enumlev1"/>
        <w:rPr>
          <w:lang w:val="en-US"/>
        </w:rPr>
      </w:pPr>
      <w:r w:rsidRPr="00BD6197">
        <w:rPr>
          <w:lang w:val="en-US"/>
        </w:rPr>
        <w:t>–</w:t>
      </w:r>
      <w:r w:rsidRPr="00BD6197">
        <w:rPr>
          <w:lang w:val="en-US"/>
        </w:rPr>
        <w:tab/>
        <w:t>of activities carried out by the authorities and delegated entities in regard to the spectrum;</w:t>
      </w:r>
    </w:p>
    <w:p w:rsidR="00831CFB" w:rsidRPr="00BD6197" w:rsidRDefault="00831CFB" w:rsidP="00831CFB">
      <w:pPr>
        <w:pStyle w:val="enumlev1"/>
        <w:rPr>
          <w:lang w:val="en-US"/>
        </w:rPr>
      </w:pPr>
      <w:r w:rsidRPr="00BD6197">
        <w:rPr>
          <w:lang w:val="en-US"/>
        </w:rPr>
        <w:t>–</w:t>
      </w:r>
      <w:r w:rsidRPr="00BD6197">
        <w:rPr>
          <w:lang w:val="en-US"/>
        </w:rPr>
        <w:tab/>
        <w:t>arising out of spectrum occupancy solely on the private side.</w:t>
      </w:r>
    </w:p>
    <w:p w:rsidR="00831CFB" w:rsidRPr="00BD6197" w:rsidRDefault="00831CFB" w:rsidP="00831CFB">
      <w:pPr>
        <w:rPr>
          <w:lang w:val="en-US"/>
        </w:rPr>
      </w:pPr>
      <w:r w:rsidRPr="00BD6197">
        <w:rPr>
          <w:lang w:val="en-US"/>
        </w:rPr>
        <w:t xml:space="preserve">Such costs will hereinafter be referred to as “administrative costs”. The management function includes activities relating to the issuance of licences and authorizations for spectrum use and to the establishment and collection of the corresponding fees. Administrative costs are made up of staff costs, operational costs and the costs (amortization) of buildings and equipment corresponding to the </w:t>
      </w:r>
      <w:r w:rsidRPr="00BD6197">
        <w:rPr>
          <w:lang w:val="en-US"/>
        </w:rPr>
        <w:lastRenderedPageBreak/>
        <w:t xml:space="preserve">aforementioned activities. By way of an example, the following entities may devote a more or less significant part of their work to spectrum-related matters and should therefore be taken into account in the determination of administrative costs: spectrum manager(s), telecommunication market regulator, entity responsible for radio and television, ministry(ies) responsible for radio, television and telecommunications, ministry of foreign affairs. The fee levels are normally established for a period of one year. Where the frequency usage period is less than one year, the corresponding amounts are determined </w:t>
      </w:r>
      <w:r w:rsidRPr="00BD6197">
        <w:rPr>
          <w:i/>
          <w:iCs/>
          <w:lang w:val="en-US"/>
        </w:rPr>
        <w:t>pro rata temporis</w:t>
      </w:r>
      <w:r w:rsidRPr="00BD6197">
        <w:rPr>
          <w:lang w:val="en-US"/>
        </w:rPr>
        <w:t>. If they turn out to be less than the minimum collection rate it is the latter which applies (the minimum collection rate is the threshold below which the cost of collecting a fee would be higher than the fee itself). The total annual amount of the chargeable administrative fees should be as close as possible to the total annual amount of the administrative costs. The annual administrative costs should therefore be evaluated with a view to their allocation among all the users of assigned or allotted frequencies. Administrative costs can be relatively accurately determined through the use of a suitable cost accounting mechanism. At the end of each calendar or fiscal year, and in the event of a not insignificant variance between the amount of the fees payable and that of the administrative costs actually recorded, it is recommended that an adjustment be made to absorb that variance. For the purposes of allocating the amount of the administrative costs among those subject to the administrative fee, it is recommended that the allocation rule adopted be both simple and, wherever possible, representative of the administrative work done in respect of each of the fee payer categories.</w:t>
      </w:r>
    </w:p>
    <w:p w:rsidR="00831CFB" w:rsidRPr="00BD6197" w:rsidRDefault="00831CFB" w:rsidP="00831CFB">
      <w:pPr>
        <w:pStyle w:val="Heading3"/>
        <w:rPr>
          <w:lang w:val="en-US"/>
        </w:rPr>
      </w:pPr>
      <w:bookmarkStart w:id="1311" w:name="_Toc289868807"/>
      <w:bookmarkStart w:id="1312" w:name="_Toc289868967"/>
      <w:bookmarkStart w:id="1313" w:name="_Toc289932275"/>
      <w:bookmarkStart w:id="1314" w:name="_Toc289933321"/>
      <w:bookmarkStart w:id="1315" w:name="_Toc291852884"/>
      <w:bookmarkStart w:id="1316" w:name="_Toc392515870"/>
      <w:bookmarkStart w:id="1317" w:name="_Toc462234036"/>
      <w:bookmarkStart w:id="1318" w:name="_Toc518394196"/>
      <w:r w:rsidRPr="00BD6197">
        <w:rPr>
          <w:lang w:val="en-US"/>
        </w:rPr>
        <w:t>4.2.2</w:t>
      </w:r>
      <w:r w:rsidRPr="00BD6197">
        <w:rPr>
          <w:lang w:val="en-US"/>
        </w:rPr>
        <w:tab/>
        <w:t>Rule for the allocation of administrative costs – Example 1</w:t>
      </w:r>
      <w:bookmarkEnd w:id="1311"/>
      <w:bookmarkEnd w:id="1312"/>
      <w:bookmarkEnd w:id="1313"/>
      <w:bookmarkEnd w:id="1314"/>
      <w:bookmarkEnd w:id="1315"/>
      <w:bookmarkEnd w:id="1316"/>
      <w:bookmarkEnd w:id="1317"/>
      <w:bookmarkEnd w:id="1318"/>
    </w:p>
    <w:p w:rsidR="00831CFB" w:rsidRPr="00BD6197" w:rsidRDefault="00831CFB" w:rsidP="00831CFB">
      <w:pPr>
        <w:rPr>
          <w:lang w:val="en-US"/>
        </w:rPr>
      </w:pPr>
      <w:r w:rsidRPr="00BD6197">
        <w:rPr>
          <w:lang w:val="en-US"/>
        </w:rPr>
        <w:t>The annual administrative costs are allocated among all those subject to the management fee, in proportion to their respective turnover.</w:t>
      </w:r>
    </w:p>
    <w:p w:rsidR="00831CFB" w:rsidRPr="00BD6197" w:rsidRDefault="00831CFB" w:rsidP="00831CFB">
      <w:pPr>
        <w:rPr>
          <w:bCs/>
          <w:szCs w:val="24"/>
          <w:lang w:val="en-US"/>
        </w:rPr>
      </w:pPr>
      <w:r w:rsidRPr="00BD6197">
        <w:rPr>
          <w:lang w:val="en-US"/>
        </w:rPr>
        <w:t xml:space="preserve">Thus, for a fee payer whose turnover is equal to </w:t>
      </w:r>
      <w:r w:rsidRPr="00BD6197">
        <w:rPr>
          <w:i/>
          <w:iCs/>
          <w:lang w:val="en-US"/>
        </w:rPr>
        <w:t>CA</w:t>
      </w:r>
      <w:r w:rsidRPr="00BD6197">
        <w:rPr>
          <w:lang w:val="en-US"/>
        </w:rPr>
        <w:t xml:space="preserve">, the annual amount of the administrative fee </w:t>
      </w:r>
      <w:r w:rsidRPr="00BD6197">
        <w:rPr>
          <w:i/>
          <w:iCs/>
          <w:lang w:val="en-US"/>
        </w:rPr>
        <w:t xml:space="preserve">Ra </w:t>
      </w:r>
      <w:r w:rsidRPr="00BD6197">
        <w:rPr>
          <w:lang w:val="en-US"/>
        </w:rPr>
        <w:t xml:space="preserve">for the year in question is equal to the product of </w:t>
      </w:r>
      <w:r w:rsidRPr="00BD6197">
        <w:rPr>
          <w:bCs/>
          <w:iCs/>
          <w:szCs w:val="24"/>
          <w:lang w:val="en-US"/>
        </w:rPr>
        <w:t>administrative costs for the year in question with sum of the turnovers of each of the fee payers for the year in question.</w:t>
      </w:r>
    </w:p>
    <w:p w:rsidR="00831CFB" w:rsidRPr="00BD6197" w:rsidRDefault="00831CFB" w:rsidP="00831CFB">
      <w:pPr>
        <w:rPr>
          <w:lang w:val="en-US"/>
        </w:rPr>
      </w:pPr>
      <w:r w:rsidRPr="00BD6197">
        <w:rPr>
          <w:lang w:val="en-US"/>
        </w:rPr>
        <w:t>While this rule has the advantage of being simple, it may prove particularly harsh for fee payers operating only a private radio network and whose industrial or commercial activities are significant but not associated with the frequency domain, since they could end up having to pay a fee that is much higher than the cost of the service provided.</w:t>
      </w:r>
    </w:p>
    <w:p w:rsidR="00831CFB" w:rsidRPr="00BD6197" w:rsidRDefault="00831CFB" w:rsidP="00831CFB">
      <w:pPr>
        <w:rPr>
          <w:bCs/>
          <w:szCs w:val="24"/>
          <w:lang w:val="en-US"/>
        </w:rPr>
      </w:pPr>
      <w:r w:rsidRPr="00BD6197">
        <w:rPr>
          <w:bCs/>
          <w:szCs w:val="24"/>
          <w:lang w:val="en-US"/>
        </w:rPr>
        <w:t>This rule could be used in cases where it is not possible to implement the rule described in § 4.3.</w:t>
      </w:r>
    </w:p>
    <w:p w:rsidR="00831CFB" w:rsidRPr="00BD6197" w:rsidRDefault="00831CFB" w:rsidP="00831CFB">
      <w:pPr>
        <w:pStyle w:val="Heading3"/>
        <w:rPr>
          <w:lang w:val="en-US"/>
        </w:rPr>
      </w:pPr>
      <w:bookmarkStart w:id="1319" w:name="_Toc289868808"/>
      <w:bookmarkStart w:id="1320" w:name="_Toc289868968"/>
      <w:bookmarkStart w:id="1321" w:name="_Toc289932276"/>
      <w:bookmarkStart w:id="1322" w:name="_Toc289933322"/>
      <w:bookmarkStart w:id="1323" w:name="_Toc291852885"/>
      <w:bookmarkStart w:id="1324" w:name="_Toc392515871"/>
      <w:bookmarkStart w:id="1325" w:name="_Toc462234037"/>
      <w:bookmarkStart w:id="1326" w:name="_Toc518394197"/>
      <w:r w:rsidRPr="00BD6197">
        <w:rPr>
          <w:lang w:val="en-US"/>
        </w:rPr>
        <w:t>4.2.3</w:t>
      </w:r>
      <w:r w:rsidRPr="00BD6197">
        <w:rPr>
          <w:lang w:val="en-US"/>
        </w:rPr>
        <w:tab/>
        <w:t>Rule for the allocation of administrative costs – Example 2</w:t>
      </w:r>
      <w:bookmarkEnd w:id="1319"/>
      <w:bookmarkEnd w:id="1320"/>
      <w:bookmarkEnd w:id="1321"/>
      <w:bookmarkEnd w:id="1322"/>
      <w:bookmarkEnd w:id="1323"/>
      <w:bookmarkEnd w:id="1324"/>
      <w:bookmarkEnd w:id="1325"/>
      <w:bookmarkEnd w:id="1326"/>
    </w:p>
    <w:p w:rsidR="00831CFB" w:rsidRPr="00BD6197" w:rsidRDefault="00831CFB" w:rsidP="00831CFB">
      <w:pPr>
        <w:rPr>
          <w:lang w:val="en-US"/>
        </w:rPr>
      </w:pPr>
      <w:r w:rsidRPr="00BD6197">
        <w:rPr>
          <w:lang w:val="en-US"/>
        </w:rPr>
        <w:t>Administrative costs are allocated in proportion to the number of assignments and number of allotments allocated, respectively, to each of those subject to the management fee. In practice, this rule calls for the determination of two reference monetary values corresponding, respectively, to the amount of the administrative fee for an assigned frequency (G) and to the amount of the administrative fee for an allotted 1 MHz frequency band (G’). The determination of G and G’ is such that it should be possible to get as close as possible to the following equation for a given year:</w:t>
      </w:r>
    </w:p>
    <w:p w:rsidR="00831CFB" w:rsidRPr="00BD6197" w:rsidRDefault="00831CFB" w:rsidP="00831CFB">
      <w:pPr>
        <w:pStyle w:val="Equation"/>
        <w:jc w:val="center"/>
        <w:rPr>
          <w:lang w:val="en-US"/>
        </w:rPr>
      </w:pPr>
      <w:r w:rsidRPr="00BD6197">
        <w:rPr>
          <w:rStyle w:val="enumlev1Char"/>
          <w:lang w:val="en-US"/>
        </w:rPr>
        <w:t>Administrative costs = total number of frequencies assigned throughout the territory * G</w:t>
      </w:r>
      <w:r w:rsidRPr="00BD6197">
        <w:rPr>
          <w:rStyle w:val="enumlev1Char"/>
          <w:lang w:val="en-US"/>
        </w:rPr>
        <w:br/>
      </w:r>
      <w:r w:rsidRPr="00BD6197">
        <w:rPr>
          <w:rStyle w:val="enumlev1Char"/>
          <w:lang w:val="en-US"/>
        </w:rPr>
        <w:tab/>
        <w:t>+ total number of MHz allotted throughout the territory * G’</w:t>
      </w:r>
      <w:r w:rsidRPr="00BD6197">
        <w:rPr>
          <w:lang w:val="en-US"/>
        </w:rPr>
        <w:tab/>
        <w:t>(5</w:t>
      </w:r>
      <w:r w:rsidRPr="00BD6197">
        <w:rPr>
          <w:i/>
          <w:iCs/>
          <w:lang w:val="en-US"/>
        </w:rPr>
        <w:t>bis</w:t>
      </w:r>
      <w:r w:rsidRPr="00BD6197">
        <w:rPr>
          <w:lang w:val="en-US"/>
        </w:rPr>
        <w:t>)</w:t>
      </w:r>
    </w:p>
    <w:p w:rsidR="00831CFB" w:rsidRPr="00BD6197" w:rsidRDefault="00831CFB" w:rsidP="00831CFB">
      <w:pPr>
        <w:rPr>
          <w:lang w:val="en-US"/>
        </w:rPr>
      </w:pPr>
      <w:r w:rsidRPr="00BD6197">
        <w:rPr>
          <w:lang w:val="en-US"/>
        </w:rPr>
        <w:t xml:space="preserve">By way of an example, a fee payer with 50 assigned frequencies and an allotment of 20 MHz will pay an annual administrative fee </w:t>
      </w:r>
      <w:r w:rsidRPr="00BD6197">
        <w:rPr>
          <w:i/>
          <w:iCs/>
          <w:lang w:val="en-US"/>
        </w:rPr>
        <w:t>Ra</w:t>
      </w:r>
      <w:r w:rsidRPr="00BD6197">
        <w:rPr>
          <w:lang w:val="en-US"/>
        </w:rPr>
        <w:t> amounting to:</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i/>
          <w:iCs/>
          <w:lang w:val="en-US"/>
        </w:rPr>
        <w:tab/>
      </w:r>
      <w:r w:rsidRPr="00BD6197">
        <w:rPr>
          <w:i/>
          <w:iCs/>
          <w:lang w:val="en-US"/>
        </w:rPr>
        <w:tab/>
        <w:t xml:space="preserve">Ra </w:t>
      </w:r>
      <w:r w:rsidRPr="00BD6197">
        <w:rPr>
          <w:lang w:val="en-US"/>
        </w:rPr>
        <w:t>= 50 * G + 20 * G’</w:t>
      </w:r>
      <w:r w:rsidRPr="00BD6197">
        <w:rPr>
          <w:lang w:val="en-US"/>
        </w:rPr>
        <w:tab/>
        <w:t>(6)</w:t>
      </w:r>
    </w:p>
    <w:p w:rsidR="00831CFB" w:rsidRPr="00BD6197" w:rsidRDefault="00831CFB" w:rsidP="00831CFB">
      <w:pPr>
        <w:rPr>
          <w:lang w:val="en-US"/>
        </w:rPr>
      </w:pPr>
      <w:r w:rsidRPr="00BD6197">
        <w:rPr>
          <w:lang w:val="en-US"/>
        </w:rPr>
        <w:t>In many cases, the administrative work relating to an allotment is greater than that for an assignment. It is therefore recommended that this be taken into account by giving greater weight to allotments when allocating the administrative costs, i.e. when determining G and G’.</w:t>
      </w:r>
    </w:p>
    <w:p w:rsidR="00831CFB" w:rsidRPr="00BD6197" w:rsidRDefault="00831CFB" w:rsidP="00831CFB">
      <w:pPr>
        <w:rPr>
          <w:bCs/>
          <w:szCs w:val="24"/>
          <w:lang w:val="en-US"/>
        </w:rPr>
      </w:pPr>
      <w:r w:rsidRPr="00BD6197">
        <w:rPr>
          <w:bCs/>
          <w:szCs w:val="24"/>
          <w:lang w:val="en-US"/>
        </w:rPr>
        <w:lastRenderedPageBreak/>
        <w:t>The values of G and G’ can be easily determined through the use of a suitable cost accounting mechanism. This rule for the allocation of administrative costs has the advantage of reflecting quite well the service provided, since the necessary administrative work increases with the number of assigned frequencies and number of allotted MHz allocated to a given fee payer.</w:t>
      </w:r>
    </w:p>
    <w:p w:rsidR="00831CFB" w:rsidRPr="00BD6197" w:rsidRDefault="00831CFB" w:rsidP="00831CFB">
      <w:pPr>
        <w:pStyle w:val="Heading2"/>
        <w:rPr>
          <w:bCs/>
          <w:lang w:val="en-US"/>
        </w:rPr>
      </w:pPr>
      <w:bookmarkStart w:id="1327" w:name="_Toc289868809"/>
      <w:bookmarkStart w:id="1328" w:name="_Toc289868969"/>
      <w:bookmarkStart w:id="1329" w:name="_Toc289932277"/>
      <w:bookmarkStart w:id="1330" w:name="_Toc289933323"/>
      <w:bookmarkStart w:id="1331" w:name="_Toc291852886"/>
      <w:bookmarkStart w:id="1332" w:name="_Toc392515872"/>
      <w:bookmarkStart w:id="1333" w:name="_Toc462234038"/>
      <w:bookmarkStart w:id="1334" w:name="_Toc518394198"/>
      <w:r w:rsidRPr="00BD6197">
        <w:rPr>
          <w:lang w:val="en-US"/>
        </w:rPr>
        <w:t>4.3</w:t>
      </w:r>
      <w:r w:rsidRPr="00BD6197">
        <w:rPr>
          <w:lang w:val="en-US"/>
        </w:rPr>
        <w:tab/>
        <w:t>Guidelines for the establishment of spectrum fees</w:t>
      </w:r>
      <w:bookmarkEnd w:id="1327"/>
      <w:bookmarkEnd w:id="1328"/>
      <w:bookmarkEnd w:id="1329"/>
      <w:bookmarkEnd w:id="1330"/>
      <w:bookmarkEnd w:id="1331"/>
      <w:bookmarkEnd w:id="1332"/>
      <w:bookmarkEnd w:id="1333"/>
      <w:bookmarkEnd w:id="1334"/>
    </w:p>
    <w:p w:rsidR="00831CFB" w:rsidRPr="00BD6197" w:rsidRDefault="00831CFB" w:rsidP="00831CFB">
      <w:pPr>
        <w:rPr>
          <w:lang w:val="en-US"/>
        </w:rPr>
      </w:pPr>
      <w:r w:rsidRPr="00BD6197">
        <w:rPr>
          <w:lang w:val="en-US"/>
        </w:rPr>
        <w:t>There are five general steps to calculate the spectrum fees</w:t>
      </w:r>
      <w:r w:rsidRPr="00BD6197">
        <w:rPr>
          <w:rStyle w:val="FootnoteReference"/>
          <w:lang w:val="en-US"/>
        </w:rPr>
        <w:footnoteReference w:id="3"/>
      </w:r>
      <w:r w:rsidRPr="00BD6197">
        <w:rPr>
          <w:lang w:val="en-US"/>
        </w:rPr>
        <w:t>:</w:t>
      </w:r>
    </w:p>
    <w:p w:rsidR="00831CFB" w:rsidRPr="00BD6197" w:rsidRDefault="00831CFB" w:rsidP="00831CFB">
      <w:pPr>
        <w:pStyle w:val="Heading3"/>
        <w:rPr>
          <w:lang w:val="en-US"/>
        </w:rPr>
      </w:pPr>
      <w:bookmarkStart w:id="1335" w:name="_Toc289868810"/>
      <w:bookmarkStart w:id="1336" w:name="_Toc289868970"/>
      <w:bookmarkStart w:id="1337" w:name="_Toc289932278"/>
      <w:bookmarkStart w:id="1338" w:name="_Toc289933324"/>
      <w:bookmarkStart w:id="1339" w:name="_Toc291852887"/>
      <w:bookmarkStart w:id="1340" w:name="_Toc392515873"/>
      <w:bookmarkStart w:id="1341" w:name="_Toc462234039"/>
      <w:bookmarkStart w:id="1342" w:name="_Toc518394199"/>
      <w:r w:rsidRPr="00BD6197">
        <w:rPr>
          <w:lang w:val="en-US"/>
        </w:rPr>
        <w:t>4.3.1</w:t>
      </w:r>
      <w:r w:rsidRPr="00BD6197">
        <w:rPr>
          <w:lang w:val="en-US"/>
        </w:rPr>
        <w:tab/>
        <w:t>Defining the goals of the spectrum fees</w:t>
      </w:r>
      <w:bookmarkEnd w:id="1335"/>
      <w:bookmarkEnd w:id="1336"/>
      <w:bookmarkEnd w:id="1337"/>
      <w:bookmarkEnd w:id="1338"/>
      <w:bookmarkEnd w:id="1339"/>
      <w:bookmarkEnd w:id="1340"/>
      <w:bookmarkEnd w:id="1341"/>
      <w:bookmarkEnd w:id="1342"/>
    </w:p>
    <w:p w:rsidR="00831CFB" w:rsidRPr="00BD6197" w:rsidRDefault="00831CFB" w:rsidP="00831CFB">
      <w:pPr>
        <w:pStyle w:val="Heading4"/>
        <w:rPr>
          <w:lang w:val="en-US"/>
        </w:rPr>
      </w:pPr>
      <w:r w:rsidRPr="00BD6197">
        <w:rPr>
          <w:lang w:val="en-US"/>
        </w:rPr>
        <w:t>4.3.1.1</w:t>
      </w:r>
      <w:r w:rsidRPr="00BD6197">
        <w:rPr>
          <w:lang w:val="en-US"/>
        </w:rPr>
        <w:tab/>
        <w:t>Observations and general approaches</w:t>
      </w:r>
    </w:p>
    <w:p w:rsidR="00831CFB" w:rsidRPr="00BD6197" w:rsidRDefault="00831CFB" w:rsidP="00831CFB">
      <w:pPr>
        <w:rPr>
          <w:lang w:val="en-US"/>
        </w:rPr>
      </w:pPr>
      <w:r w:rsidRPr="00BD6197">
        <w:rPr>
          <w:lang w:val="en-US"/>
        </w:rPr>
        <w:t>The spectrum fee system must respect, among other things, the economic principles described before. It must, moreover, also take account of the reality principles when identifying the set of parameters to be used as the basis for fee calculation.</w:t>
      </w:r>
    </w:p>
    <w:p w:rsidR="00831CFB" w:rsidRPr="00BD6197" w:rsidRDefault="00831CFB" w:rsidP="00831CFB">
      <w:pPr>
        <w:pStyle w:val="Heading4"/>
        <w:rPr>
          <w:lang w:val="en-US"/>
        </w:rPr>
      </w:pPr>
      <w:r w:rsidRPr="00BD6197">
        <w:rPr>
          <w:lang w:val="en-US"/>
        </w:rPr>
        <w:t>4.3.1.2</w:t>
      </w:r>
      <w:r w:rsidRPr="00BD6197">
        <w:rPr>
          <w:lang w:val="en-US"/>
        </w:rPr>
        <w:tab/>
        <w:t>Budgetary objective of the authorities</w:t>
      </w:r>
    </w:p>
    <w:p w:rsidR="00831CFB" w:rsidRPr="00BD6197" w:rsidRDefault="00831CFB" w:rsidP="00831CFB">
      <w:pPr>
        <w:rPr>
          <w:lang w:val="en-US"/>
        </w:rPr>
      </w:pPr>
      <w:r w:rsidRPr="00BD6197">
        <w:rPr>
          <w:lang w:val="en-US"/>
        </w:rPr>
        <w:t>Generally speaking, the budgetary objective is expressed in terms of the total income amount that the fees must generate for the State. While adhering to the total income amount established by the authorities, it is recommended that the fee levels be adjusted according to the applications in question so as to ensure that the other three purposes of spectrum fees and are taken into account as fully as possible.</w:t>
      </w:r>
    </w:p>
    <w:p w:rsidR="00831CFB" w:rsidRPr="00BD6197" w:rsidRDefault="00831CFB" w:rsidP="00831CFB">
      <w:pPr>
        <w:pStyle w:val="Heading4"/>
        <w:rPr>
          <w:lang w:val="en-US"/>
        </w:rPr>
      </w:pPr>
      <w:r w:rsidRPr="00BD6197">
        <w:rPr>
          <w:lang w:val="en-US"/>
        </w:rPr>
        <w:t>4.3.1.3</w:t>
      </w:r>
      <w:r w:rsidRPr="00BD6197">
        <w:rPr>
          <w:lang w:val="en-US"/>
        </w:rPr>
        <w:tab/>
        <w:t>Spectrum fees for frequencies intended for user’s own requirements</w:t>
      </w:r>
    </w:p>
    <w:p w:rsidR="00831CFB" w:rsidRPr="00A01420" w:rsidRDefault="00831CFB" w:rsidP="00831CFB">
      <w:pPr>
        <w:pStyle w:val="Headingb"/>
        <w:rPr>
          <w:lang w:val="en-US"/>
        </w:rPr>
      </w:pPr>
      <w:bookmarkStart w:id="1343" w:name="_Toc454284871"/>
      <w:bookmarkStart w:id="1344" w:name="_Toc462234040"/>
      <w:r w:rsidRPr="00A01420">
        <w:rPr>
          <w:lang w:val="en-US"/>
        </w:rPr>
        <w:t>Observations and general approaches</w:t>
      </w:r>
      <w:bookmarkEnd w:id="1343"/>
      <w:bookmarkEnd w:id="1344"/>
    </w:p>
    <w:p w:rsidR="00831CFB" w:rsidRPr="00BD6197" w:rsidRDefault="00831CFB" w:rsidP="00831CFB">
      <w:pPr>
        <w:rPr>
          <w:lang w:val="en-US"/>
        </w:rPr>
      </w:pPr>
      <w:r w:rsidRPr="00BD6197">
        <w:rPr>
          <w:lang w:val="en-US"/>
        </w:rPr>
        <w:t>Determination of the modalities for fee-setting should take account, first and foremost, of the factors as given earlier. In putting together the basis for fee calculation, it is recommended that only the minimum number of factors necessary for achieving the objectives of effective spectrum management and effective frequency utilization be used. Use of a simple calculation formula is recommended. Multiplication comes out as a very suitable formula for determining fee levels on the basis of the factors selected when putting together the calculation basis. For the purpose of adjusting fee levels according to applications, it is recommended to determine, respectively for each of the applications under consideration, a reference monetary value “k”, expressed in the prevailing currency. This “k” will then be one of the factors in the aforementioned multiplication.</w:t>
      </w:r>
    </w:p>
    <w:p w:rsidR="00831CFB" w:rsidRPr="00BD6197" w:rsidRDefault="00831CFB" w:rsidP="00831CFB">
      <w:pPr>
        <w:pStyle w:val="Heading3"/>
        <w:rPr>
          <w:lang w:val="en-US"/>
        </w:rPr>
      </w:pPr>
      <w:bookmarkStart w:id="1345" w:name="_Toc289868811"/>
      <w:bookmarkStart w:id="1346" w:name="_Toc289868971"/>
      <w:bookmarkStart w:id="1347" w:name="_Toc289932279"/>
      <w:bookmarkStart w:id="1348" w:name="_Toc289933325"/>
      <w:bookmarkStart w:id="1349" w:name="_Toc291852888"/>
      <w:bookmarkStart w:id="1350" w:name="_Toc392515874"/>
      <w:bookmarkStart w:id="1351" w:name="_Toc462234041"/>
      <w:bookmarkStart w:id="1352" w:name="_Toc518394200"/>
      <w:r w:rsidRPr="00BD6197">
        <w:rPr>
          <w:lang w:val="en-US"/>
        </w:rPr>
        <w:t>4.3.2</w:t>
      </w:r>
      <w:r w:rsidRPr="00BD6197">
        <w:rPr>
          <w:lang w:val="en-US"/>
        </w:rPr>
        <w:tab/>
        <w:t>Demand assessment for the spectrum</w:t>
      </w:r>
      <w:bookmarkEnd w:id="1345"/>
      <w:bookmarkEnd w:id="1346"/>
      <w:bookmarkEnd w:id="1347"/>
      <w:bookmarkEnd w:id="1348"/>
      <w:bookmarkEnd w:id="1349"/>
      <w:bookmarkEnd w:id="1350"/>
      <w:bookmarkEnd w:id="1351"/>
      <w:bookmarkEnd w:id="1352"/>
    </w:p>
    <w:p w:rsidR="00831CFB" w:rsidRPr="00BD6197" w:rsidRDefault="00831CFB" w:rsidP="00831CFB">
      <w:pPr>
        <w:rPr>
          <w:lang w:val="en-US"/>
        </w:rPr>
      </w:pPr>
      <w:r w:rsidRPr="00BD6197">
        <w:rPr>
          <w:lang w:val="en-US"/>
        </w:rPr>
        <w:t>In this step, the demand for each service should be tested in order to find out if there is excess demand of the spectrum by any service.</w:t>
      </w:r>
    </w:p>
    <w:p w:rsidR="00831CFB" w:rsidRPr="00BD6197" w:rsidRDefault="00831CFB" w:rsidP="00831CFB">
      <w:pPr>
        <w:pStyle w:val="Heading3"/>
        <w:rPr>
          <w:szCs w:val="23"/>
          <w:lang w:val="en-US"/>
        </w:rPr>
      </w:pPr>
      <w:bookmarkStart w:id="1353" w:name="_Toc289868812"/>
      <w:bookmarkStart w:id="1354" w:name="_Toc289868972"/>
      <w:bookmarkStart w:id="1355" w:name="_Toc289932280"/>
      <w:bookmarkStart w:id="1356" w:name="_Toc289933326"/>
      <w:bookmarkStart w:id="1357" w:name="_Toc291852889"/>
      <w:bookmarkStart w:id="1358" w:name="_Toc392515875"/>
      <w:bookmarkStart w:id="1359" w:name="_Toc462234042"/>
      <w:bookmarkStart w:id="1360" w:name="_Toc518394201"/>
      <w:r w:rsidRPr="00BD6197">
        <w:rPr>
          <w:lang w:val="en-US"/>
        </w:rPr>
        <w:t>4.3.3</w:t>
      </w:r>
      <w:r w:rsidRPr="00BD6197">
        <w:rPr>
          <w:lang w:val="en-US"/>
        </w:rPr>
        <w:tab/>
        <w:t>Cost assessment for the spectrum</w:t>
      </w:r>
      <w:bookmarkEnd w:id="1353"/>
      <w:bookmarkEnd w:id="1354"/>
      <w:bookmarkEnd w:id="1355"/>
      <w:bookmarkEnd w:id="1356"/>
      <w:bookmarkEnd w:id="1357"/>
      <w:bookmarkEnd w:id="1358"/>
      <w:bookmarkEnd w:id="1359"/>
      <w:bookmarkEnd w:id="1360"/>
    </w:p>
    <w:p w:rsidR="00831CFB" w:rsidRPr="00BD6197" w:rsidRDefault="00831CFB" w:rsidP="00831CFB">
      <w:pPr>
        <w:rPr>
          <w:lang w:val="en-US"/>
        </w:rPr>
      </w:pPr>
      <w:r w:rsidRPr="00BD6197">
        <w:rPr>
          <w:lang w:val="en-US"/>
        </w:rPr>
        <w:t>Cost of the spectrum could be considered as the cost of managing the spectrum which could include frequency assignment, site clearance, coordination and others according to the service type.</w:t>
      </w:r>
    </w:p>
    <w:p w:rsidR="00831CFB" w:rsidRPr="00BD6197" w:rsidRDefault="00831CFB" w:rsidP="00831CFB">
      <w:pPr>
        <w:pStyle w:val="Heading3"/>
        <w:rPr>
          <w:lang w:val="en-US"/>
        </w:rPr>
      </w:pPr>
      <w:bookmarkStart w:id="1361" w:name="_Toc289868813"/>
      <w:bookmarkStart w:id="1362" w:name="_Toc289868973"/>
      <w:bookmarkStart w:id="1363" w:name="_Toc289932281"/>
      <w:bookmarkStart w:id="1364" w:name="_Toc289933327"/>
      <w:bookmarkStart w:id="1365" w:name="_Toc291852890"/>
      <w:bookmarkStart w:id="1366" w:name="_Toc392515876"/>
      <w:bookmarkStart w:id="1367" w:name="_Toc462234043"/>
      <w:bookmarkStart w:id="1368" w:name="_Toc518394202"/>
      <w:r w:rsidRPr="00BD6197">
        <w:rPr>
          <w:lang w:val="en-US"/>
        </w:rPr>
        <w:t>4.3.4</w:t>
      </w:r>
      <w:r w:rsidRPr="00BD6197">
        <w:rPr>
          <w:lang w:val="en-US"/>
        </w:rPr>
        <w:tab/>
        <w:t>Choosing the fees approach</w:t>
      </w:r>
      <w:bookmarkEnd w:id="1361"/>
      <w:bookmarkEnd w:id="1362"/>
      <w:bookmarkEnd w:id="1363"/>
      <w:bookmarkEnd w:id="1364"/>
      <w:bookmarkEnd w:id="1365"/>
      <w:bookmarkEnd w:id="1366"/>
      <w:bookmarkEnd w:id="1367"/>
      <w:bookmarkEnd w:id="1368"/>
    </w:p>
    <w:p w:rsidR="00831CFB" w:rsidRPr="00BD6197" w:rsidRDefault="00831CFB" w:rsidP="00831CFB">
      <w:pPr>
        <w:rPr>
          <w:lang w:val="en-US"/>
        </w:rPr>
      </w:pPr>
      <w:r w:rsidRPr="00BD6197">
        <w:rPr>
          <w:lang w:val="en-US"/>
        </w:rPr>
        <w:t>The approach for calculating the fees can be chosen from § 2.3.4.</w:t>
      </w:r>
    </w:p>
    <w:p w:rsidR="00831CFB" w:rsidRPr="00BD6197" w:rsidRDefault="00831CFB" w:rsidP="00831CFB">
      <w:pPr>
        <w:pStyle w:val="Heading3"/>
        <w:rPr>
          <w:rFonts w:ascii="Times-Roman" w:hAnsi="Times-Roman" w:cs="Times-Roman"/>
          <w:sz w:val="23"/>
          <w:szCs w:val="23"/>
          <w:lang w:val="en-US"/>
        </w:rPr>
      </w:pPr>
      <w:bookmarkStart w:id="1369" w:name="_Toc289868814"/>
      <w:bookmarkStart w:id="1370" w:name="_Toc289868974"/>
      <w:bookmarkStart w:id="1371" w:name="_Toc289932282"/>
      <w:bookmarkStart w:id="1372" w:name="_Toc289933328"/>
      <w:bookmarkStart w:id="1373" w:name="_Toc291852891"/>
      <w:bookmarkStart w:id="1374" w:name="_Toc392515877"/>
      <w:bookmarkStart w:id="1375" w:name="_Toc462234044"/>
      <w:bookmarkStart w:id="1376" w:name="_Toc518394203"/>
      <w:r w:rsidRPr="00BD6197">
        <w:rPr>
          <w:lang w:val="en-US"/>
        </w:rPr>
        <w:lastRenderedPageBreak/>
        <w:t>4.3.5</w:t>
      </w:r>
      <w:r w:rsidRPr="00BD6197">
        <w:rPr>
          <w:lang w:val="en-US"/>
        </w:rPr>
        <w:tab/>
        <w:t>Determining the fees</w:t>
      </w:r>
      <w:bookmarkEnd w:id="1369"/>
      <w:bookmarkEnd w:id="1370"/>
      <w:bookmarkEnd w:id="1371"/>
      <w:bookmarkEnd w:id="1372"/>
      <w:bookmarkEnd w:id="1373"/>
      <w:bookmarkEnd w:id="1374"/>
      <w:bookmarkEnd w:id="1375"/>
      <w:bookmarkEnd w:id="1376"/>
    </w:p>
    <w:p w:rsidR="00831CFB" w:rsidRPr="00BD6197" w:rsidRDefault="00831CFB" w:rsidP="00831CFB">
      <w:pPr>
        <w:rPr>
          <w:lang w:val="en-US"/>
        </w:rPr>
      </w:pPr>
      <w:r w:rsidRPr="00BD6197">
        <w:rPr>
          <w:lang w:val="en-US"/>
        </w:rPr>
        <w:t>This step should be considered case by case by the administrations according to the different economic and political factors.</w:t>
      </w:r>
    </w:p>
    <w:p w:rsidR="00831CFB" w:rsidRPr="00BD6197" w:rsidRDefault="00831CFB" w:rsidP="00831CFB">
      <w:pPr>
        <w:pStyle w:val="Heading2"/>
        <w:rPr>
          <w:lang w:val="en-US"/>
        </w:rPr>
      </w:pPr>
      <w:bookmarkStart w:id="1377" w:name="_Toc289868815"/>
      <w:bookmarkStart w:id="1378" w:name="_Toc289868975"/>
      <w:bookmarkStart w:id="1379" w:name="_Toc289932283"/>
      <w:bookmarkStart w:id="1380" w:name="_Toc289933329"/>
      <w:bookmarkStart w:id="1381" w:name="_Toc291852892"/>
      <w:bookmarkStart w:id="1382" w:name="_Toc392515878"/>
      <w:bookmarkStart w:id="1383" w:name="_Toc462234045"/>
      <w:bookmarkStart w:id="1384" w:name="_Toc518394204"/>
      <w:r w:rsidRPr="00BD6197">
        <w:rPr>
          <w:lang w:val="en-US"/>
        </w:rPr>
        <w:t>4.4</w:t>
      </w:r>
      <w:r w:rsidRPr="00BD6197">
        <w:rPr>
          <w:lang w:val="en-US"/>
        </w:rPr>
        <w:tab/>
        <w:t>Examples of formulas for fee calculation</w:t>
      </w:r>
      <w:bookmarkEnd w:id="1377"/>
      <w:bookmarkEnd w:id="1378"/>
      <w:bookmarkEnd w:id="1379"/>
      <w:bookmarkEnd w:id="1380"/>
      <w:bookmarkEnd w:id="1381"/>
      <w:bookmarkEnd w:id="1382"/>
      <w:bookmarkEnd w:id="1383"/>
      <w:bookmarkEnd w:id="1384"/>
    </w:p>
    <w:p w:rsidR="00831CFB" w:rsidRPr="00BD6197" w:rsidRDefault="00831CFB" w:rsidP="00831CFB">
      <w:pPr>
        <w:pStyle w:val="Heading3"/>
        <w:rPr>
          <w:lang w:val="en-US"/>
        </w:rPr>
      </w:pPr>
      <w:bookmarkStart w:id="1385" w:name="_Toc289868816"/>
      <w:bookmarkStart w:id="1386" w:name="_Toc289868976"/>
      <w:bookmarkStart w:id="1387" w:name="_Toc289932284"/>
      <w:bookmarkStart w:id="1388" w:name="_Toc289933330"/>
      <w:bookmarkStart w:id="1389" w:name="_Toc291852893"/>
      <w:bookmarkStart w:id="1390" w:name="_Toc392515879"/>
      <w:bookmarkStart w:id="1391" w:name="_Toc462234046"/>
      <w:bookmarkStart w:id="1392" w:name="_Toc518394205"/>
      <w:r w:rsidRPr="00BD6197">
        <w:rPr>
          <w:lang w:val="en-US"/>
        </w:rPr>
        <w:t>4.4.1</w:t>
      </w:r>
      <w:r w:rsidRPr="00BD6197">
        <w:rPr>
          <w:lang w:val="en-US"/>
        </w:rPr>
        <w:tab/>
        <w:t>Notations and definitions of coefficients</w:t>
      </w:r>
      <w:bookmarkEnd w:id="1385"/>
      <w:bookmarkEnd w:id="1386"/>
      <w:bookmarkEnd w:id="1387"/>
      <w:bookmarkEnd w:id="1388"/>
      <w:bookmarkEnd w:id="1389"/>
      <w:bookmarkEnd w:id="1390"/>
      <w:bookmarkEnd w:id="1391"/>
      <w:bookmarkEnd w:id="1392"/>
    </w:p>
    <w:p w:rsidR="00831CFB" w:rsidRPr="00BD6197" w:rsidRDefault="00831CFB" w:rsidP="00831CFB">
      <w:pPr>
        <w:rPr>
          <w:lang w:val="en-US"/>
        </w:rPr>
      </w:pPr>
      <w:r w:rsidRPr="00BD6197">
        <w:rPr>
          <w:lang w:val="en-US"/>
        </w:rPr>
        <w:t>The coefficients defined below are used in the examples of formulas for calculating fee amounts:</w:t>
      </w:r>
    </w:p>
    <w:p w:rsidR="00831CFB" w:rsidRPr="00BD6197" w:rsidRDefault="00831CFB" w:rsidP="00831CFB">
      <w:pPr>
        <w:pStyle w:val="enumlev1"/>
        <w:rPr>
          <w:lang w:val="en-US"/>
        </w:rPr>
      </w:pPr>
      <w:r w:rsidRPr="00BD6197">
        <w:rPr>
          <w:lang w:val="en-US"/>
        </w:rPr>
        <w:t>–</w:t>
      </w:r>
      <w:r w:rsidRPr="00BD6197">
        <w:rPr>
          <w:lang w:val="en-US"/>
        </w:rPr>
        <w:tab/>
        <w:t>The coefficient “L” represents the allocated bandwidth.</w:t>
      </w:r>
    </w:p>
    <w:p w:rsidR="00831CFB" w:rsidRPr="00BD6197" w:rsidRDefault="00831CFB" w:rsidP="00831CFB">
      <w:pPr>
        <w:pStyle w:val="enumlev1"/>
        <w:rPr>
          <w:lang w:val="en-US"/>
        </w:rPr>
      </w:pPr>
      <w:r w:rsidRPr="00BD6197">
        <w:rPr>
          <w:lang w:val="en-US"/>
        </w:rPr>
        <w:t>–</w:t>
      </w:r>
      <w:r w:rsidRPr="00BD6197">
        <w:rPr>
          <w:lang w:val="en-US"/>
        </w:rPr>
        <w:tab/>
        <w:t xml:space="preserve">The coefficient “bf” expresses the position within the spectrum of the frequency or allocated frequency band. In practice, a table is established giving, for each block of frequencies under consideration, the value of the corresponding “bf” coefficient. </w:t>
      </w:r>
    </w:p>
    <w:p w:rsidR="00831CFB" w:rsidRPr="00BD6197" w:rsidRDefault="00831CFB" w:rsidP="00831CFB">
      <w:pPr>
        <w:pStyle w:val="enumlev1"/>
        <w:rPr>
          <w:lang w:val="en-US"/>
        </w:rPr>
      </w:pPr>
      <w:r w:rsidRPr="00BD6197">
        <w:rPr>
          <w:lang w:val="en-US"/>
        </w:rPr>
        <w:t>–</w:t>
      </w:r>
      <w:r w:rsidRPr="00BD6197">
        <w:rPr>
          <w:lang w:val="en-US"/>
        </w:rPr>
        <w:tab/>
        <w:t xml:space="preserve">The coefficient “a” expresses the frequency usage authorizations by allotment. </w:t>
      </w:r>
    </w:p>
    <w:p w:rsidR="00831CFB" w:rsidRPr="00BD6197" w:rsidRDefault="00831CFB" w:rsidP="00831CFB">
      <w:pPr>
        <w:pStyle w:val="enumlev1"/>
        <w:rPr>
          <w:lang w:val="en-US"/>
        </w:rPr>
      </w:pPr>
      <w:r w:rsidRPr="00BD6197">
        <w:rPr>
          <w:lang w:val="en-US"/>
        </w:rPr>
        <w:t>–</w:t>
      </w:r>
      <w:r w:rsidRPr="00BD6197">
        <w:rPr>
          <w:lang w:val="en-US"/>
        </w:rPr>
        <w:tab/>
        <w:t xml:space="preserve">The coefficient “c” expresses the surface area covered by the frequency usage authorization. Generally speaking, the surface over which an assignment is allocated constitutes a disk with the station in question at its centre and with a radius equal to the maximum distance over which the assigned frequency may be utilized in cases where the station antenna is omnidirectional, or a segment of that disk corresponding to the angular width of the antenna in cases where it is directional. In practice, a table is established giving the value of coefficient “c” corresponding to the values of the surfaces considered. Such a table has the advantage of correcting the very wide range of fee amounts that would have been obtained by direct consideration of the area of the allocation surface. </w:t>
      </w:r>
    </w:p>
    <w:p w:rsidR="00831CFB" w:rsidRPr="00BD6197" w:rsidRDefault="00831CFB" w:rsidP="00831CFB">
      <w:pPr>
        <w:pStyle w:val="enumlev1"/>
        <w:rPr>
          <w:lang w:val="en-US"/>
        </w:rPr>
      </w:pPr>
      <w:r w:rsidRPr="00BD6197">
        <w:rPr>
          <w:lang w:val="en-US"/>
        </w:rPr>
        <w:t>–</w:t>
      </w:r>
      <w:r w:rsidRPr="00BD6197">
        <w:rPr>
          <w:lang w:val="en-US"/>
        </w:rPr>
        <w:tab/>
        <w:t>The coefficients “k1”, “k2”, “k3” and “k4” are reference monetary values that are specific to the applications in question. When setting these values, priority consideration should be given to enable achievement of the budgetary objective set by the authorities; and not to clash with the economic objectives of the authorities in regard to national development and the development of new services.</w:t>
      </w:r>
    </w:p>
    <w:p w:rsidR="00831CFB" w:rsidRPr="00BD6197" w:rsidRDefault="00831CFB" w:rsidP="00831CFB">
      <w:pPr>
        <w:pStyle w:val="Heading3"/>
        <w:rPr>
          <w:lang w:val="en-US"/>
        </w:rPr>
      </w:pPr>
      <w:bookmarkStart w:id="1393" w:name="_Toc289868817"/>
      <w:bookmarkStart w:id="1394" w:name="_Toc289868977"/>
      <w:bookmarkStart w:id="1395" w:name="_Toc289932285"/>
      <w:bookmarkStart w:id="1396" w:name="_Toc289933331"/>
      <w:bookmarkStart w:id="1397" w:name="_Toc291852894"/>
      <w:bookmarkStart w:id="1398" w:name="_Toc392515880"/>
      <w:bookmarkStart w:id="1399" w:name="_Toc462234047"/>
      <w:bookmarkStart w:id="1400" w:name="_Toc518394206"/>
      <w:r w:rsidRPr="00BD6197">
        <w:rPr>
          <w:lang w:val="en-US"/>
        </w:rPr>
        <w:t xml:space="preserve">4.4.2 </w:t>
      </w:r>
      <w:r w:rsidRPr="00BD6197">
        <w:rPr>
          <w:lang w:val="en-US"/>
        </w:rPr>
        <w:tab/>
        <w:t>Fee applied to a point-to-point fixed-service assignment</w:t>
      </w:r>
      <w:bookmarkEnd w:id="1393"/>
      <w:bookmarkEnd w:id="1394"/>
      <w:bookmarkEnd w:id="1395"/>
      <w:bookmarkEnd w:id="1396"/>
      <w:bookmarkEnd w:id="1397"/>
      <w:bookmarkEnd w:id="1398"/>
      <w:bookmarkEnd w:id="1399"/>
      <w:bookmarkEnd w:id="1400"/>
    </w:p>
    <w:p w:rsidR="00831CFB" w:rsidRPr="00BD6197" w:rsidRDefault="00831CFB" w:rsidP="00831CFB">
      <w:pPr>
        <w:rPr>
          <w:lang w:val="en-US"/>
        </w:rPr>
      </w:pPr>
      <w:r w:rsidRPr="00BD6197">
        <w:rPr>
          <w:lang w:val="en-US"/>
        </w:rPr>
        <w:t xml:space="preserve">The following equation could be used for determining the annual amount </w:t>
      </w:r>
      <w:r w:rsidRPr="00BD6197">
        <w:rPr>
          <w:i/>
          <w:iCs/>
          <w:lang w:val="en-US"/>
        </w:rPr>
        <w:t>Rs</w:t>
      </w:r>
      <w:r w:rsidRPr="00BD6197">
        <w:rPr>
          <w:lang w:val="en-US"/>
        </w:rPr>
        <w:t xml:space="preserve"> of the spectrum fee:</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t>Rs = L * bf * k1</w:t>
      </w:r>
      <w:r w:rsidRPr="00BD6197">
        <w:rPr>
          <w:lang w:val="en-US"/>
        </w:rPr>
        <w:tab/>
        <w:t>(7)</w:t>
      </w:r>
    </w:p>
    <w:p w:rsidR="00831CFB" w:rsidRPr="00BD6197" w:rsidRDefault="00831CFB" w:rsidP="00831CFB">
      <w:pPr>
        <w:pStyle w:val="Blanc"/>
        <w:rPr>
          <w:lang w:val="en-US"/>
        </w:rPr>
      </w:pPr>
    </w:p>
    <w:p w:rsidR="00831CFB" w:rsidRPr="00BD6197" w:rsidRDefault="00831CFB" w:rsidP="00831CFB">
      <w:pPr>
        <w:pStyle w:val="Heading3"/>
        <w:rPr>
          <w:lang w:val="en-US"/>
        </w:rPr>
      </w:pPr>
      <w:bookmarkStart w:id="1401" w:name="_Toc289868818"/>
      <w:bookmarkStart w:id="1402" w:name="_Toc289868978"/>
      <w:bookmarkStart w:id="1403" w:name="_Toc289932286"/>
      <w:bookmarkStart w:id="1404" w:name="_Toc289933332"/>
      <w:bookmarkStart w:id="1405" w:name="_Toc291852895"/>
      <w:bookmarkStart w:id="1406" w:name="_Toc392515881"/>
      <w:bookmarkStart w:id="1407" w:name="_Toc462234048"/>
      <w:bookmarkStart w:id="1408" w:name="_Toc518394207"/>
      <w:r w:rsidRPr="00BD6197">
        <w:rPr>
          <w:lang w:val="en-US"/>
        </w:rPr>
        <w:t xml:space="preserve">4.4.3 </w:t>
      </w:r>
      <w:r w:rsidRPr="00BD6197">
        <w:rPr>
          <w:lang w:val="en-US"/>
        </w:rPr>
        <w:tab/>
        <w:t>Fee applied to a point-to-point fixed-service allotment</w:t>
      </w:r>
      <w:bookmarkEnd w:id="1401"/>
      <w:bookmarkEnd w:id="1402"/>
      <w:bookmarkEnd w:id="1403"/>
      <w:bookmarkEnd w:id="1404"/>
      <w:bookmarkEnd w:id="1405"/>
      <w:bookmarkEnd w:id="1406"/>
      <w:bookmarkEnd w:id="1407"/>
      <w:bookmarkEnd w:id="1408"/>
    </w:p>
    <w:p w:rsidR="00831CFB" w:rsidRPr="00BD6197" w:rsidRDefault="00831CFB" w:rsidP="00831CFB">
      <w:pPr>
        <w:rPr>
          <w:lang w:val="en-US"/>
        </w:rPr>
      </w:pPr>
      <w:r w:rsidRPr="00BD6197">
        <w:rPr>
          <w:lang w:val="en-US"/>
        </w:rPr>
        <w:t xml:space="preserve">The following equation could be used for determining the annual amount </w:t>
      </w:r>
      <w:r w:rsidRPr="00BD6197">
        <w:rPr>
          <w:i/>
          <w:iCs/>
          <w:lang w:val="en-US"/>
        </w:rPr>
        <w:t>Rs</w:t>
      </w:r>
      <w:r w:rsidRPr="00BD6197">
        <w:rPr>
          <w:lang w:val="en-US"/>
        </w:rPr>
        <w:t xml:space="preserve"> of the spectrum fee:</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t>Rs = L * bf * a * c * k1</w:t>
      </w:r>
      <w:r w:rsidRPr="00BD6197">
        <w:rPr>
          <w:lang w:val="en-US"/>
        </w:rPr>
        <w:tab/>
        <w:t>(8)</w:t>
      </w:r>
    </w:p>
    <w:p w:rsidR="00831CFB" w:rsidRPr="00BD6197" w:rsidRDefault="00831CFB" w:rsidP="00831CFB">
      <w:pPr>
        <w:pStyle w:val="Blanc"/>
        <w:rPr>
          <w:lang w:val="en-US"/>
        </w:rPr>
      </w:pPr>
    </w:p>
    <w:p w:rsidR="00831CFB" w:rsidRPr="00BD6197" w:rsidRDefault="00831CFB" w:rsidP="00831CFB">
      <w:pPr>
        <w:rPr>
          <w:lang w:val="en-US"/>
        </w:rPr>
      </w:pPr>
      <w:r w:rsidRPr="00BD6197">
        <w:rPr>
          <w:lang w:val="en-US"/>
        </w:rPr>
        <w:t>where “c” is the ratio between the surface area covered by the allotment and the total surface area of the national territory.</w:t>
      </w:r>
    </w:p>
    <w:p w:rsidR="00831CFB" w:rsidRPr="00BD6197" w:rsidRDefault="00831CFB" w:rsidP="00831CFB">
      <w:pPr>
        <w:pStyle w:val="Heading3"/>
        <w:rPr>
          <w:lang w:val="en-US"/>
        </w:rPr>
      </w:pPr>
      <w:bookmarkStart w:id="1409" w:name="_Toc289868819"/>
      <w:bookmarkStart w:id="1410" w:name="_Toc289868979"/>
      <w:bookmarkStart w:id="1411" w:name="_Toc289932287"/>
      <w:bookmarkStart w:id="1412" w:name="_Toc289933333"/>
      <w:bookmarkStart w:id="1413" w:name="_Toc291852896"/>
      <w:bookmarkStart w:id="1414" w:name="_Toc392515882"/>
      <w:bookmarkStart w:id="1415" w:name="_Toc462234049"/>
      <w:bookmarkStart w:id="1416" w:name="_Toc518394208"/>
      <w:r w:rsidRPr="00BD6197">
        <w:rPr>
          <w:lang w:val="en-US"/>
        </w:rPr>
        <w:t>4.4.4</w:t>
      </w:r>
      <w:r w:rsidRPr="00BD6197">
        <w:rPr>
          <w:lang w:val="en-US"/>
        </w:rPr>
        <w:tab/>
        <w:t>Fee applied to a wireless local loop allotment in the fixed service</w:t>
      </w:r>
      <w:bookmarkEnd w:id="1409"/>
      <w:bookmarkEnd w:id="1410"/>
      <w:bookmarkEnd w:id="1411"/>
      <w:bookmarkEnd w:id="1412"/>
      <w:bookmarkEnd w:id="1413"/>
      <w:bookmarkEnd w:id="1414"/>
      <w:bookmarkEnd w:id="1415"/>
      <w:bookmarkEnd w:id="1416"/>
    </w:p>
    <w:p w:rsidR="00831CFB" w:rsidRPr="00BD6197" w:rsidRDefault="00831CFB" w:rsidP="00831CFB">
      <w:pPr>
        <w:keepNext/>
        <w:keepLines/>
        <w:rPr>
          <w:lang w:val="en-US"/>
        </w:rPr>
      </w:pPr>
      <w:r w:rsidRPr="00BD6197">
        <w:rPr>
          <w:lang w:val="en-US"/>
        </w:rPr>
        <w:t xml:space="preserve">The following equation could be used for determining the annual amount </w:t>
      </w:r>
      <w:r w:rsidRPr="00BD6197">
        <w:rPr>
          <w:i/>
          <w:iCs/>
          <w:lang w:val="en-US"/>
        </w:rPr>
        <w:t>Rs</w:t>
      </w:r>
      <w:r w:rsidRPr="00BD6197">
        <w:rPr>
          <w:lang w:val="en-US"/>
        </w:rPr>
        <w:t xml:space="preserve"> of the spectrum fee:</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t>Rs = L * bf * a * c * k2</w:t>
      </w:r>
      <w:r w:rsidRPr="00BD6197">
        <w:rPr>
          <w:lang w:val="en-US"/>
        </w:rPr>
        <w:tab/>
        <w:t>(9)</w:t>
      </w:r>
    </w:p>
    <w:p w:rsidR="00831CFB" w:rsidRPr="00BD6197" w:rsidRDefault="00831CFB" w:rsidP="00831CFB">
      <w:pPr>
        <w:rPr>
          <w:lang w:val="en-US"/>
        </w:rPr>
      </w:pPr>
      <w:r w:rsidRPr="00BD6197">
        <w:rPr>
          <w:lang w:val="en-US"/>
        </w:rPr>
        <w:t>where “c” is the ratio between the surface area covered by the allotment and the total surface area of the national territory.</w:t>
      </w:r>
    </w:p>
    <w:p w:rsidR="00831CFB" w:rsidRPr="00BD6197" w:rsidRDefault="00831CFB" w:rsidP="00831CFB">
      <w:pPr>
        <w:pStyle w:val="Heading3"/>
        <w:rPr>
          <w:lang w:val="en-US"/>
        </w:rPr>
      </w:pPr>
      <w:bookmarkStart w:id="1417" w:name="_Toc289868820"/>
      <w:bookmarkStart w:id="1418" w:name="_Toc289868980"/>
      <w:bookmarkStart w:id="1419" w:name="_Toc289932288"/>
      <w:bookmarkStart w:id="1420" w:name="_Toc289933334"/>
      <w:bookmarkStart w:id="1421" w:name="_Toc291852897"/>
      <w:bookmarkStart w:id="1422" w:name="_Toc392515883"/>
      <w:bookmarkStart w:id="1423" w:name="_Toc462234050"/>
      <w:bookmarkStart w:id="1424" w:name="_Toc518394209"/>
      <w:r w:rsidRPr="00BD6197">
        <w:rPr>
          <w:lang w:val="en-US"/>
        </w:rPr>
        <w:lastRenderedPageBreak/>
        <w:t>4.4.5</w:t>
      </w:r>
      <w:r w:rsidRPr="00BD6197">
        <w:rPr>
          <w:lang w:val="en-US"/>
        </w:rPr>
        <w:tab/>
        <w:t>Fee applied to an assignment to an earth station in the fixed or mobile-satellite service</w:t>
      </w:r>
      <w:bookmarkEnd w:id="1417"/>
      <w:bookmarkEnd w:id="1418"/>
      <w:bookmarkEnd w:id="1419"/>
      <w:bookmarkEnd w:id="1420"/>
      <w:bookmarkEnd w:id="1421"/>
      <w:bookmarkEnd w:id="1422"/>
      <w:bookmarkEnd w:id="1423"/>
      <w:bookmarkEnd w:id="1424"/>
    </w:p>
    <w:p w:rsidR="00831CFB" w:rsidRPr="00BD6197" w:rsidRDefault="00831CFB" w:rsidP="00831CFB">
      <w:pPr>
        <w:rPr>
          <w:lang w:val="en-US"/>
        </w:rPr>
      </w:pPr>
      <w:r w:rsidRPr="00BD6197">
        <w:rPr>
          <w:lang w:val="en-US"/>
        </w:rPr>
        <w:t xml:space="preserve">The following equation could be used for determining the annual amount </w:t>
      </w:r>
      <w:r w:rsidRPr="00BD6197">
        <w:rPr>
          <w:i/>
          <w:iCs/>
          <w:lang w:val="en-US"/>
        </w:rPr>
        <w:t>Rs</w:t>
      </w:r>
      <w:r w:rsidRPr="00BD6197">
        <w:rPr>
          <w:lang w:val="en-US"/>
        </w:rPr>
        <w:t xml:space="preserve"> of the spectrum fee:</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t>Rs = L * bf * k3</w:t>
      </w:r>
      <w:r w:rsidRPr="00BD6197">
        <w:rPr>
          <w:lang w:val="en-US"/>
        </w:rPr>
        <w:tab/>
        <w:t>(10)</w:t>
      </w:r>
    </w:p>
    <w:p w:rsidR="00831CFB" w:rsidRPr="00BD6197" w:rsidRDefault="00831CFB" w:rsidP="00831CFB">
      <w:pPr>
        <w:pStyle w:val="Blanc"/>
        <w:rPr>
          <w:lang w:val="en-US"/>
        </w:rPr>
      </w:pPr>
    </w:p>
    <w:p w:rsidR="00831CFB" w:rsidRPr="00BD6197" w:rsidRDefault="00831CFB" w:rsidP="00831CFB">
      <w:pPr>
        <w:pStyle w:val="Heading3"/>
        <w:rPr>
          <w:lang w:val="en-US"/>
        </w:rPr>
      </w:pPr>
      <w:bookmarkStart w:id="1425" w:name="_Toc289868821"/>
      <w:bookmarkStart w:id="1426" w:name="_Toc289868981"/>
      <w:bookmarkStart w:id="1427" w:name="_Toc289932289"/>
      <w:bookmarkStart w:id="1428" w:name="_Toc289933335"/>
      <w:bookmarkStart w:id="1429" w:name="_Toc291852898"/>
      <w:bookmarkStart w:id="1430" w:name="_Toc392515884"/>
      <w:bookmarkStart w:id="1431" w:name="_Toc462234051"/>
      <w:bookmarkStart w:id="1432" w:name="_Toc518394210"/>
      <w:r w:rsidRPr="00BD6197">
        <w:rPr>
          <w:lang w:val="en-US"/>
        </w:rPr>
        <w:t>4.4.6</w:t>
      </w:r>
      <w:r w:rsidRPr="00BD6197">
        <w:rPr>
          <w:lang w:val="en-US"/>
        </w:rPr>
        <w:tab/>
        <w:t>Fee applied to an allotment in the fixed or mobile-satellite service</w:t>
      </w:r>
      <w:bookmarkEnd w:id="1425"/>
      <w:bookmarkEnd w:id="1426"/>
      <w:bookmarkEnd w:id="1427"/>
      <w:bookmarkEnd w:id="1428"/>
      <w:bookmarkEnd w:id="1429"/>
      <w:bookmarkEnd w:id="1430"/>
      <w:bookmarkEnd w:id="1431"/>
      <w:bookmarkEnd w:id="1432"/>
    </w:p>
    <w:p w:rsidR="00831CFB" w:rsidRPr="00BD6197" w:rsidRDefault="00831CFB" w:rsidP="00831CFB">
      <w:pPr>
        <w:rPr>
          <w:lang w:val="en-US"/>
        </w:rPr>
      </w:pPr>
      <w:r w:rsidRPr="00BD6197">
        <w:rPr>
          <w:lang w:val="en-US"/>
        </w:rPr>
        <w:t xml:space="preserve">The following equation could be used for determining the annual amount </w:t>
      </w:r>
      <w:r w:rsidRPr="00BD6197">
        <w:rPr>
          <w:i/>
          <w:iCs/>
          <w:lang w:val="en-US"/>
        </w:rPr>
        <w:t>Rs</w:t>
      </w:r>
      <w:r w:rsidRPr="00BD6197">
        <w:rPr>
          <w:lang w:val="en-US"/>
        </w:rPr>
        <w:t xml:space="preserve"> of the spectrum fee:</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t>Rs = L * bf * k3 * a</w:t>
      </w:r>
      <w:r w:rsidRPr="00BD6197">
        <w:rPr>
          <w:lang w:val="en-US"/>
        </w:rPr>
        <w:tab/>
        <w:t>(11)</w:t>
      </w:r>
    </w:p>
    <w:p w:rsidR="00831CFB" w:rsidRPr="00BD6197" w:rsidRDefault="00831CFB" w:rsidP="00831CFB">
      <w:pPr>
        <w:pStyle w:val="Blanc"/>
        <w:rPr>
          <w:lang w:val="en-US"/>
        </w:rPr>
      </w:pPr>
    </w:p>
    <w:p w:rsidR="00831CFB" w:rsidRPr="00BD6197" w:rsidRDefault="00831CFB" w:rsidP="00831CFB">
      <w:pPr>
        <w:pStyle w:val="Heading3"/>
        <w:rPr>
          <w:lang w:val="en-US"/>
        </w:rPr>
      </w:pPr>
      <w:bookmarkStart w:id="1433" w:name="_Toc289868822"/>
      <w:bookmarkStart w:id="1434" w:name="_Toc289868982"/>
      <w:bookmarkStart w:id="1435" w:name="_Toc289932290"/>
      <w:bookmarkStart w:id="1436" w:name="_Toc289933336"/>
      <w:bookmarkStart w:id="1437" w:name="_Toc291852899"/>
      <w:bookmarkStart w:id="1438" w:name="_Toc392515885"/>
      <w:bookmarkStart w:id="1439" w:name="_Toc462234052"/>
      <w:bookmarkStart w:id="1440" w:name="_Toc518394211"/>
      <w:r w:rsidRPr="00BD6197">
        <w:rPr>
          <w:lang w:val="en-US"/>
        </w:rPr>
        <w:t>4.4.7</w:t>
      </w:r>
      <w:r w:rsidRPr="00BD6197">
        <w:rPr>
          <w:lang w:val="en-US"/>
        </w:rPr>
        <w:tab/>
        <w:t>Fee applied to an assignment for private networks in the mobile service</w:t>
      </w:r>
      <w:bookmarkEnd w:id="1433"/>
      <w:bookmarkEnd w:id="1434"/>
      <w:bookmarkEnd w:id="1435"/>
      <w:bookmarkEnd w:id="1436"/>
      <w:bookmarkEnd w:id="1437"/>
      <w:bookmarkEnd w:id="1438"/>
      <w:bookmarkEnd w:id="1439"/>
      <w:bookmarkEnd w:id="1440"/>
    </w:p>
    <w:p w:rsidR="00831CFB" w:rsidRPr="00BD6197" w:rsidRDefault="00831CFB" w:rsidP="00831CFB">
      <w:pPr>
        <w:rPr>
          <w:lang w:val="en-US"/>
        </w:rPr>
      </w:pPr>
      <w:r w:rsidRPr="00BD6197">
        <w:rPr>
          <w:lang w:val="en-US"/>
        </w:rPr>
        <w:t xml:space="preserve">The following equation could be used for determining the annual amount </w:t>
      </w:r>
      <w:r w:rsidRPr="00BD6197">
        <w:rPr>
          <w:i/>
          <w:iCs/>
          <w:lang w:val="en-US"/>
        </w:rPr>
        <w:t>Rs</w:t>
      </w:r>
      <w:r w:rsidRPr="00BD6197">
        <w:rPr>
          <w:lang w:val="en-US"/>
        </w:rPr>
        <w:t xml:space="preserve"> of the spectrum fee:</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t>Rs = L * bf * c * k4</w:t>
      </w:r>
      <w:r w:rsidRPr="00BD6197">
        <w:rPr>
          <w:lang w:val="en-US"/>
        </w:rPr>
        <w:tab/>
        <w:t>(12)</w:t>
      </w:r>
    </w:p>
    <w:p w:rsidR="00831CFB" w:rsidRPr="00BD6197" w:rsidRDefault="00831CFB" w:rsidP="00831CFB">
      <w:pPr>
        <w:pStyle w:val="Blanc"/>
        <w:rPr>
          <w:lang w:val="en-US"/>
        </w:rPr>
      </w:pPr>
    </w:p>
    <w:p w:rsidR="00831CFB" w:rsidRPr="00BD6197" w:rsidRDefault="00831CFB" w:rsidP="00831CFB">
      <w:pPr>
        <w:pStyle w:val="Heading3"/>
        <w:rPr>
          <w:lang w:val="en-US"/>
        </w:rPr>
      </w:pPr>
      <w:bookmarkStart w:id="1441" w:name="_Toc462234053"/>
      <w:bookmarkStart w:id="1442" w:name="_Toc518394212"/>
      <w:r w:rsidRPr="00BD6197">
        <w:rPr>
          <w:lang w:val="en-US"/>
        </w:rPr>
        <w:t>4.4.8</w:t>
      </w:r>
      <w:r w:rsidRPr="00BD6197">
        <w:rPr>
          <w:lang w:val="en-US"/>
        </w:rPr>
        <w:tab/>
        <w:t>Practical example of fee calculation formula from the Republic of Colombia</w:t>
      </w:r>
      <w:bookmarkEnd w:id="1441"/>
      <w:bookmarkEnd w:id="1442"/>
    </w:p>
    <w:p w:rsidR="00831CFB" w:rsidRPr="00BD6197" w:rsidRDefault="00831CFB" w:rsidP="00B9291B">
      <w:pPr>
        <w:rPr>
          <w:lang w:val="en-US"/>
        </w:rPr>
      </w:pPr>
      <w:r w:rsidRPr="00BD6197">
        <w:rPr>
          <w:lang w:val="en-US"/>
        </w:rPr>
        <w:t xml:space="preserve">See </w:t>
      </w:r>
      <w:r w:rsidR="00B9291B">
        <w:rPr>
          <w:lang w:val="en-US"/>
        </w:rPr>
        <w:t>§</w:t>
      </w:r>
      <w:r w:rsidRPr="00BD6197">
        <w:rPr>
          <w:lang w:val="en-US"/>
        </w:rPr>
        <w:t xml:space="preserve"> 5.2.13</w:t>
      </w:r>
      <w:r>
        <w:rPr>
          <w:lang w:val="en-US"/>
        </w:rPr>
        <w:t>.</w:t>
      </w:r>
    </w:p>
    <w:p w:rsidR="00831CFB" w:rsidRPr="00BD6197" w:rsidRDefault="00831CFB" w:rsidP="00831CFB">
      <w:pPr>
        <w:pStyle w:val="Heading2"/>
        <w:rPr>
          <w:bCs/>
          <w:lang w:val="en-US"/>
        </w:rPr>
      </w:pPr>
      <w:bookmarkStart w:id="1443" w:name="_Toc289868823"/>
      <w:bookmarkStart w:id="1444" w:name="_Toc289868983"/>
      <w:bookmarkStart w:id="1445" w:name="_Toc289932291"/>
      <w:bookmarkStart w:id="1446" w:name="_Toc289933337"/>
      <w:bookmarkStart w:id="1447" w:name="_Toc291852900"/>
      <w:bookmarkStart w:id="1448" w:name="_Toc392515886"/>
      <w:bookmarkStart w:id="1449" w:name="_Toc462234054"/>
      <w:bookmarkStart w:id="1450" w:name="_Toc518394213"/>
      <w:r w:rsidRPr="00BD6197">
        <w:rPr>
          <w:lang w:val="en-US"/>
        </w:rPr>
        <w:t>4.5</w:t>
      </w:r>
      <w:r w:rsidRPr="00BD6197">
        <w:rPr>
          <w:lang w:val="en-US"/>
        </w:rPr>
        <w:tab/>
        <w:t>Spectrum fees for frequencies used in the provision or marketing of services intended for a</w:t>
      </w:r>
      <w:r w:rsidRPr="00BD6197">
        <w:rPr>
          <w:bCs/>
          <w:lang w:val="en-US"/>
        </w:rPr>
        <w:t xml:space="preserve"> </w:t>
      </w:r>
      <w:r w:rsidRPr="00BD6197">
        <w:rPr>
          <w:lang w:val="en-US"/>
        </w:rPr>
        <w:t>consumer market</w:t>
      </w:r>
      <w:bookmarkEnd w:id="1443"/>
      <w:bookmarkEnd w:id="1444"/>
      <w:bookmarkEnd w:id="1445"/>
      <w:bookmarkEnd w:id="1446"/>
      <w:bookmarkEnd w:id="1447"/>
      <w:bookmarkEnd w:id="1448"/>
      <w:bookmarkEnd w:id="1449"/>
      <w:bookmarkEnd w:id="1450"/>
    </w:p>
    <w:p w:rsidR="00831CFB" w:rsidRPr="00BD6197" w:rsidRDefault="00831CFB" w:rsidP="00831CFB">
      <w:pPr>
        <w:pStyle w:val="Heading3"/>
        <w:rPr>
          <w:lang w:val="en-US"/>
        </w:rPr>
      </w:pPr>
      <w:bookmarkStart w:id="1451" w:name="_Toc289868824"/>
      <w:bookmarkStart w:id="1452" w:name="_Toc289868984"/>
      <w:bookmarkStart w:id="1453" w:name="_Toc289932292"/>
      <w:bookmarkStart w:id="1454" w:name="_Toc289933338"/>
      <w:bookmarkStart w:id="1455" w:name="_Toc291852901"/>
      <w:bookmarkStart w:id="1456" w:name="_Toc392515887"/>
      <w:bookmarkStart w:id="1457" w:name="_Toc462234055"/>
      <w:bookmarkStart w:id="1458" w:name="_Toc518394214"/>
      <w:r w:rsidRPr="00BD6197">
        <w:rPr>
          <w:lang w:val="en-US"/>
        </w:rPr>
        <w:t>4.5.1</w:t>
      </w:r>
      <w:r w:rsidRPr="00BD6197">
        <w:rPr>
          <w:lang w:val="en-US"/>
        </w:rPr>
        <w:tab/>
        <w:t>Observations and general approaches</w:t>
      </w:r>
      <w:bookmarkEnd w:id="1451"/>
      <w:bookmarkEnd w:id="1452"/>
      <w:bookmarkEnd w:id="1453"/>
      <w:bookmarkEnd w:id="1454"/>
      <w:bookmarkEnd w:id="1455"/>
      <w:bookmarkEnd w:id="1456"/>
      <w:bookmarkEnd w:id="1457"/>
      <w:bookmarkEnd w:id="1458"/>
    </w:p>
    <w:p w:rsidR="00831CFB" w:rsidRPr="00BD6197" w:rsidRDefault="00831CFB" w:rsidP="00831CFB">
      <w:pPr>
        <w:rPr>
          <w:lang w:val="en-US"/>
        </w:rPr>
      </w:pPr>
      <w:r w:rsidRPr="00BD6197">
        <w:rPr>
          <w:lang w:val="en-US"/>
        </w:rPr>
        <w:t>Generally speaking, the fees applied in respect of the above frequencies constitute the major part of the budgetary revenue that the State receives by way of spectrum-related fees. To reflect the income derived from the situation rent, various factors may be envisaged, such as the population covered by the licence, the portion of territory concerned by the licence, or turnover resulting from the provision or marketing of the services. It is very often the turnover that proves to be the most representative factor in terms of the situation rent. If the turnover is to be used as the basis for fee calculation, it is recommended that its perimeter and content be clearly defined.</w:t>
      </w:r>
    </w:p>
    <w:p w:rsidR="00831CFB" w:rsidRPr="00BD6197" w:rsidRDefault="00831CFB" w:rsidP="00831CFB">
      <w:pPr>
        <w:pStyle w:val="Heading3"/>
        <w:rPr>
          <w:lang w:val="en-US"/>
        </w:rPr>
      </w:pPr>
      <w:bookmarkStart w:id="1459" w:name="_Toc289868825"/>
      <w:bookmarkStart w:id="1460" w:name="_Toc289868985"/>
      <w:bookmarkStart w:id="1461" w:name="_Toc289932293"/>
      <w:bookmarkStart w:id="1462" w:name="_Toc289933339"/>
      <w:bookmarkStart w:id="1463" w:name="_Toc291852902"/>
      <w:bookmarkStart w:id="1464" w:name="_Toc392515888"/>
      <w:bookmarkStart w:id="1465" w:name="_Toc462234056"/>
      <w:bookmarkStart w:id="1466" w:name="_Toc518394215"/>
      <w:r w:rsidRPr="00BD6197">
        <w:rPr>
          <w:lang w:val="en-US"/>
        </w:rPr>
        <w:t>4.5.2</w:t>
      </w:r>
      <w:r w:rsidRPr="00BD6197">
        <w:rPr>
          <w:lang w:val="en-US"/>
        </w:rPr>
        <w:tab/>
        <w:t>Example of fees applied to the 2G mobile service</w:t>
      </w:r>
      <w:bookmarkEnd w:id="1459"/>
      <w:bookmarkEnd w:id="1460"/>
      <w:bookmarkEnd w:id="1461"/>
      <w:bookmarkEnd w:id="1462"/>
      <w:bookmarkEnd w:id="1463"/>
      <w:bookmarkEnd w:id="1464"/>
      <w:bookmarkEnd w:id="1465"/>
      <w:bookmarkEnd w:id="1466"/>
    </w:p>
    <w:p w:rsidR="00831CFB" w:rsidRPr="00BD6197" w:rsidRDefault="00831CFB" w:rsidP="00831CFB">
      <w:pPr>
        <w:rPr>
          <w:lang w:val="en-US"/>
        </w:rPr>
      </w:pPr>
      <w:r w:rsidRPr="00BD6197">
        <w:rPr>
          <w:lang w:val="en-US"/>
        </w:rPr>
        <w:t xml:space="preserve">The following equation could be used for determining the annual amount </w:t>
      </w:r>
      <w:r w:rsidRPr="00BD6197">
        <w:rPr>
          <w:i/>
          <w:iCs/>
          <w:lang w:val="en-US"/>
        </w:rPr>
        <w:t>Rs</w:t>
      </w:r>
      <w:r w:rsidRPr="00BD6197">
        <w:rPr>
          <w:lang w:val="en-US"/>
        </w:rPr>
        <w:t xml:space="preserve"> of the spectrum fee:</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t>Rs = F + t% * CA</w:t>
      </w:r>
      <w:r w:rsidRPr="00BD6197">
        <w:rPr>
          <w:lang w:val="en-US"/>
        </w:rPr>
        <w:tab/>
        <w:t>(13)</w:t>
      </w:r>
    </w:p>
    <w:p w:rsidR="00831CFB" w:rsidRPr="00BD6197" w:rsidRDefault="00831CFB" w:rsidP="00831CFB">
      <w:pPr>
        <w:rPr>
          <w:lang w:val="en-US"/>
        </w:rPr>
      </w:pPr>
      <w:r w:rsidRPr="00BD6197">
        <w:rPr>
          <w:lang w:val="en-US"/>
        </w:rPr>
        <w:t>where:</w:t>
      </w:r>
    </w:p>
    <w:p w:rsidR="00831CFB" w:rsidRPr="00BD6197" w:rsidRDefault="00831CFB" w:rsidP="00831CFB">
      <w:pPr>
        <w:pStyle w:val="Equationlegend"/>
      </w:pPr>
      <w:r w:rsidRPr="00BD6197">
        <w:tab/>
        <w:t xml:space="preserve">F: </w:t>
      </w:r>
      <w:r w:rsidRPr="00BD6197">
        <w:tab/>
        <w:t>represents a fixed amount to be paid each year. This amount may be proportional to the total bandwidth allocated to the operator in question for the 2G service</w:t>
      </w:r>
    </w:p>
    <w:p w:rsidR="00831CFB" w:rsidRPr="00BD6197" w:rsidRDefault="00831CFB" w:rsidP="00831CFB">
      <w:pPr>
        <w:pStyle w:val="Equationlegend"/>
      </w:pPr>
      <w:r w:rsidRPr="00BD6197">
        <w:tab/>
        <w:t xml:space="preserve">CA: </w:t>
      </w:r>
      <w:r w:rsidRPr="00BD6197">
        <w:tab/>
        <w:t>represents the turnover of the operator for the corresponding year in respect of the 2G mobile service frequencies</w:t>
      </w:r>
    </w:p>
    <w:p w:rsidR="00831CFB" w:rsidRPr="00BD6197" w:rsidRDefault="00831CFB" w:rsidP="00831CFB">
      <w:pPr>
        <w:pStyle w:val="Equationlegend"/>
      </w:pPr>
      <w:r w:rsidRPr="00BD6197">
        <w:tab/>
        <w:t xml:space="preserve">t%: </w:t>
      </w:r>
      <w:r w:rsidRPr="00BD6197">
        <w:tab/>
        <w:t>represents the percentage to be levied on the operator’s turnover. Generally speaking, the t% applied by administrations is 1% or close to 1%.</w:t>
      </w:r>
    </w:p>
    <w:p w:rsidR="00831CFB" w:rsidRPr="00BD6197" w:rsidRDefault="00831CFB" w:rsidP="00831CFB">
      <w:pPr>
        <w:pStyle w:val="Heading3"/>
        <w:rPr>
          <w:lang w:val="en-US"/>
        </w:rPr>
      </w:pPr>
      <w:bookmarkStart w:id="1467" w:name="_Toc289868826"/>
      <w:bookmarkStart w:id="1468" w:name="_Toc289868986"/>
      <w:bookmarkStart w:id="1469" w:name="_Toc289932294"/>
      <w:bookmarkStart w:id="1470" w:name="_Toc289933340"/>
      <w:bookmarkStart w:id="1471" w:name="_Toc291852903"/>
      <w:bookmarkStart w:id="1472" w:name="_Toc392515889"/>
      <w:bookmarkStart w:id="1473" w:name="_Toc462234057"/>
      <w:bookmarkStart w:id="1474" w:name="_Toc518394216"/>
      <w:r w:rsidRPr="00BD6197">
        <w:rPr>
          <w:lang w:val="en-US"/>
        </w:rPr>
        <w:t>4.5.3</w:t>
      </w:r>
      <w:r w:rsidRPr="00BD6197">
        <w:rPr>
          <w:lang w:val="en-US"/>
        </w:rPr>
        <w:tab/>
        <w:t>Example of fees applied to the 3G mobile service</w:t>
      </w:r>
      <w:bookmarkEnd w:id="1467"/>
      <w:bookmarkEnd w:id="1468"/>
      <w:bookmarkEnd w:id="1469"/>
      <w:bookmarkEnd w:id="1470"/>
      <w:bookmarkEnd w:id="1471"/>
      <w:bookmarkEnd w:id="1472"/>
      <w:bookmarkEnd w:id="1473"/>
      <w:bookmarkEnd w:id="1474"/>
    </w:p>
    <w:p w:rsidR="00831CFB" w:rsidRPr="00BD6197" w:rsidRDefault="00831CFB" w:rsidP="00831CFB">
      <w:pPr>
        <w:keepNext/>
        <w:rPr>
          <w:lang w:val="en-US"/>
        </w:rPr>
      </w:pPr>
      <w:r w:rsidRPr="00BD6197">
        <w:rPr>
          <w:lang w:val="en-US"/>
        </w:rPr>
        <w:t xml:space="preserve">The following equation could be used for determining the annual amount </w:t>
      </w:r>
      <w:r w:rsidRPr="00BD6197">
        <w:rPr>
          <w:i/>
          <w:iCs/>
          <w:lang w:val="en-US"/>
        </w:rPr>
        <w:t>Rs</w:t>
      </w:r>
      <w:r w:rsidRPr="00BD6197">
        <w:rPr>
          <w:lang w:val="en-US"/>
        </w:rPr>
        <w:t xml:space="preserve"> of the spectrum fee:</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t>Rs = t% * CA</w:t>
      </w:r>
      <w:r w:rsidRPr="00BD6197">
        <w:rPr>
          <w:lang w:val="en-US"/>
        </w:rPr>
        <w:tab/>
        <w:t>(14)</w:t>
      </w:r>
    </w:p>
    <w:p w:rsidR="00831CFB" w:rsidRPr="00BD6197" w:rsidRDefault="00831CFB" w:rsidP="00831CFB">
      <w:pPr>
        <w:rPr>
          <w:lang w:val="en-US"/>
        </w:rPr>
      </w:pPr>
      <w:r w:rsidRPr="00BD6197">
        <w:rPr>
          <w:lang w:val="en-US"/>
        </w:rPr>
        <w:lastRenderedPageBreak/>
        <w:t>where:</w:t>
      </w:r>
    </w:p>
    <w:p w:rsidR="00831CFB" w:rsidRPr="00BD6197" w:rsidRDefault="00831CFB" w:rsidP="00831CFB">
      <w:pPr>
        <w:pStyle w:val="Equationlegend"/>
      </w:pPr>
      <w:r w:rsidRPr="00BD6197">
        <w:tab/>
        <w:t xml:space="preserve">CA: </w:t>
      </w:r>
      <w:r w:rsidRPr="00BD6197">
        <w:tab/>
        <w:t>represents the operator’s turnover for the corresponding year in respect of the 3G mobile service frequencies</w:t>
      </w:r>
    </w:p>
    <w:p w:rsidR="00831CFB" w:rsidRPr="00BD6197" w:rsidRDefault="00831CFB" w:rsidP="00831CFB">
      <w:pPr>
        <w:pStyle w:val="Equationlegend"/>
      </w:pPr>
      <w:r w:rsidRPr="00BD6197">
        <w:tab/>
        <w:t>t%:</w:t>
      </w:r>
      <w:r w:rsidRPr="00BD6197">
        <w:tab/>
        <w:t>represents the percentage to be levied on the operator’s turnover.</w:t>
      </w:r>
    </w:p>
    <w:p w:rsidR="00831CFB" w:rsidRPr="00BD6197" w:rsidRDefault="00831CFB" w:rsidP="00831CFB">
      <w:pPr>
        <w:rPr>
          <w:lang w:val="en-US"/>
        </w:rPr>
      </w:pPr>
      <w:r w:rsidRPr="00BD6197">
        <w:rPr>
          <w:lang w:val="en-US"/>
        </w:rPr>
        <w:t>To this annual fee is added an “entry ticket”, payable upon allocation of the licence. The amount of the entry ticket, which may be proportional to the allocated bandwidth, should be set with particular reference to § [23] in order, as the case may be, not to hamper the deployment of new entrant’s networks.</w:t>
      </w:r>
    </w:p>
    <w:p w:rsidR="00831CFB" w:rsidRPr="00BD6197" w:rsidRDefault="00831CFB" w:rsidP="00831CFB">
      <w:pPr>
        <w:pStyle w:val="Heading3"/>
        <w:rPr>
          <w:lang w:val="en-US"/>
        </w:rPr>
      </w:pPr>
      <w:bookmarkStart w:id="1475" w:name="_Toc289868827"/>
      <w:bookmarkStart w:id="1476" w:name="_Toc289868987"/>
      <w:bookmarkStart w:id="1477" w:name="_Toc289932295"/>
      <w:bookmarkStart w:id="1478" w:name="_Toc289933341"/>
      <w:bookmarkStart w:id="1479" w:name="_Toc291852904"/>
      <w:bookmarkStart w:id="1480" w:name="_Toc392515890"/>
      <w:bookmarkStart w:id="1481" w:name="_Toc462234058"/>
      <w:bookmarkStart w:id="1482" w:name="_Toc518394217"/>
      <w:r w:rsidRPr="00BD6197">
        <w:rPr>
          <w:lang w:val="en-US"/>
        </w:rPr>
        <w:t>4.5.4</w:t>
      </w:r>
      <w:r w:rsidRPr="00BD6197">
        <w:rPr>
          <w:lang w:val="en-US"/>
        </w:rPr>
        <w:tab/>
        <w:t>Another example of fees applied to the fixed wireless local loop service</w:t>
      </w:r>
      <w:bookmarkEnd w:id="1475"/>
      <w:bookmarkEnd w:id="1476"/>
      <w:bookmarkEnd w:id="1477"/>
      <w:bookmarkEnd w:id="1478"/>
      <w:bookmarkEnd w:id="1479"/>
      <w:bookmarkEnd w:id="1480"/>
      <w:bookmarkEnd w:id="1481"/>
      <w:bookmarkEnd w:id="1482"/>
    </w:p>
    <w:p w:rsidR="00831CFB" w:rsidRPr="00BD6197" w:rsidRDefault="00831CFB" w:rsidP="00831CFB">
      <w:pPr>
        <w:rPr>
          <w:lang w:val="en-US"/>
        </w:rPr>
      </w:pPr>
      <w:r w:rsidRPr="00BD6197">
        <w:rPr>
          <w:lang w:val="en-US"/>
        </w:rPr>
        <w:t xml:space="preserve">The following equation could be used for determining the annual amount </w:t>
      </w:r>
      <w:r w:rsidRPr="00BD6197">
        <w:rPr>
          <w:i/>
          <w:iCs/>
          <w:lang w:val="en-US"/>
        </w:rPr>
        <w:t>Rs</w:t>
      </w:r>
      <w:r w:rsidRPr="00BD6197">
        <w:rPr>
          <w:lang w:val="en-US"/>
        </w:rPr>
        <w:t xml:space="preserve"> of the spectrum fee:</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t>Rs = t% * CA</w:t>
      </w:r>
      <w:r w:rsidRPr="00BD6197">
        <w:rPr>
          <w:lang w:val="en-US"/>
        </w:rPr>
        <w:tab/>
        <w:t>(15)</w:t>
      </w:r>
    </w:p>
    <w:p w:rsidR="00831CFB" w:rsidRPr="00BD6197" w:rsidRDefault="00831CFB" w:rsidP="00831CFB">
      <w:pPr>
        <w:rPr>
          <w:lang w:val="en-US"/>
        </w:rPr>
      </w:pPr>
      <w:r w:rsidRPr="00BD6197">
        <w:rPr>
          <w:lang w:val="en-US"/>
        </w:rPr>
        <w:t>where:</w:t>
      </w:r>
    </w:p>
    <w:p w:rsidR="00831CFB" w:rsidRPr="00BD6197" w:rsidRDefault="00831CFB" w:rsidP="00831CFB">
      <w:pPr>
        <w:pStyle w:val="Equationlegend"/>
      </w:pPr>
      <w:r w:rsidRPr="00BD6197">
        <w:tab/>
        <w:t xml:space="preserve">CA: </w:t>
      </w:r>
      <w:r w:rsidRPr="00BD6197">
        <w:tab/>
        <w:t>represents the operator’s turnover for the corresponding year in respect of the frequencies for the fixed wireless local loop service</w:t>
      </w:r>
    </w:p>
    <w:p w:rsidR="00831CFB" w:rsidRPr="00BD6197" w:rsidRDefault="00831CFB" w:rsidP="00831CFB">
      <w:pPr>
        <w:pStyle w:val="Equationlegend"/>
      </w:pPr>
      <w:r w:rsidRPr="00BD6197">
        <w:tab/>
        <w:t xml:space="preserve">t%: </w:t>
      </w:r>
      <w:r w:rsidRPr="00BD6197">
        <w:tab/>
        <w:t>represents the percentage to be levied on the operator’s turnover.</w:t>
      </w:r>
    </w:p>
    <w:p w:rsidR="00831CFB" w:rsidRPr="00BD6197" w:rsidRDefault="00831CFB" w:rsidP="00831CFB">
      <w:pPr>
        <w:rPr>
          <w:lang w:val="en-US"/>
        </w:rPr>
      </w:pPr>
      <w:r w:rsidRPr="00BD6197">
        <w:rPr>
          <w:lang w:val="en-US"/>
        </w:rPr>
        <w:t>To this annual fee is added an “entry ticket”, payable upon allocation of the licence. The amount of the entry ticket, which may be proportional to the allocated bandwidth, should be set with particular reference to “entry ticket” in order, as the case may be, not to hamper the deployment of new entrant’s networks.</w:t>
      </w:r>
    </w:p>
    <w:p w:rsidR="00831CFB" w:rsidRPr="00BD6197" w:rsidRDefault="00831CFB" w:rsidP="00831CFB">
      <w:pPr>
        <w:pStyle w:val="Heading3"/>
        <w:rPr>
          <w:lang w:val="en-US"/>
        </w:rPr>
      </w:pPr>
      <w:bookmarkStart w:id="1483" w:name="_Toc289868828"/>
      <w:bookmarkStart w:id="1484" w:name="_Toc289868988"/>
      <w:bookmarkStart w:id="1485" w:name="_Toc289932296"/>
      <w:bookmarkStart w:id="1486" w:name="_Toc289933342"/>
      <w:bookmarkStart w:id="1487" w:name="_Toc291852905"/>
      <w:bookmarkStart w:id="1488" w:name="_Toc392515891"/>
      <w:bookmarkStart w:id="1489" w:name="_Toc462234059"/>
      <w:bookmarkStart w:id="1490" w:name="_Toc518394218"/>
      <w:r w:rsidRPr="00BD6197">
        <w:rPr>
          <w:lang w:val="en-US"/>
        </w:rPr>
        <w:t xml:space="preserve">4.5.5 </w:t>
      </w:r>
      <w:r w:rsidRPr="00BD6197">
        <w:rPr>
          <w:lang w:val="en-US"/>
        </w:rPr>
        <w:tab/>
        <w:t>Example of fees applied to a television programme producer</w:t>
      </w:r>
      <w:bookmarkEnd w:id="1483"/>
      <w:bookmarkEnd w:id="1484"/>
      <w:bookmarkEnd w:id="1485"/>
      <w:bookmarkEnd w:id="1486"/>
      <w:bookmarkEnd w:id="1487"/>
      <w:bookmarkEnd w:id="1488"/>
      <w:bookmarkEnd w:id="1489"/>
      <w:bookmarkEnd w:id="1490"/>
    </w:p>
    <w:p w:rsidR="00831CFB" w:rsidRPr="00BD6197" w:rsidRDefault="00831CFB" w:rsidP="00831CFB">
      <w:pPr>
        <w:rPr>
          <w:lang w:val="en-US"/>
        </w:rPr>
      </w:pPr>
      <w:r w:rsidRPr="00BD6197">
        <w:rPr>
          <w:lang w:val="en-US"/>
        </w:rPr>
        <w:t xml:space="preserve">The following equation could be used for determining the annual amount </w:t>
      </w:r>
      <w:r w:rsidRPr="00BD6197">
        <w:rPr>
          <w:i/>
          <w:iCs/>
          <w:lang w:val="en-US"/>
        </w:rPr>
        <w:t>Rs</w:t>
      </w:r>
      <w:r w:rsidRPr="00BD6197">
        <w:rPr>
          <w:lang w:val="en-US"/>
        </w:rPr>
        <w:t xml:space="preserve"> of the spectrum fee:</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t>Rs = F + t% * CA</w:t>
      </w:r>
      <w:r w:rsidRPr="00BD6197">
        <w:rPr>
          <w:lang w:val="en-US"/>
        </w:rPr>
        <w:tab/>
        <w:t>(16)</w:t>
      </w:r>
    </w:p>
    <w:p w:rsidR="00831CFB" w:rsidRPr="00BD6197" w:rsidRDefault="00831CFB" w:rsidP="00831CFB">
      <w:pPr>
        <w:rPr>
          <w:lang w:val="en-US"/>
        </w:rPr>
      </w:pPr>
      <w:r w:rsidRPr="00BD6197">
        <w:rPr>
          <w:lang w:val="en-US"/>
        </w:rPr>
        <w:t>where:</w:t>
      </w:r>
    </w:p>
    <w:p w:rsidR="00831CFB" w:rsidRPr="00BD6197" w:rsidRDefault="00831CFB" w:rsidP="00831CFB">
      <w:pPr>
        <w:pStyle w:val="Equationlegend"/>
      </w:pPr>
      <w:r w:rsidRPr="00BD6197">
        <w:tab/>
        <w:t xml:space="preserve">F: </w:t>
      </w:r>
      <w:r w:rsidRPr="00BD6197">
        <w:tab/>
        <w:t>represents a fixed amount to be paid each year. This amount may be proportional to the total bandwidth allocated to the operator in question for broadcasting purposes</w:t>
      </w:r>
    </w:p>
    <w:p w:rsidR="00831CFB" w:rsidRPr="00BD6197" w:rsidRDefault="00831CFB" w:rsidP="00831CFB">
      <w:pPr>
        <w:pStyle w:val="Equationlegend"/>
      </w:pPr>
      <w:r w:rsidRPr="00BD6197">
        <w:tab/>
        <w:t xml:space="preserve">CA: </w:t>
      </w:r>
      <w:r w:rsidRPr="00BD6197">
        <w:tab/>
        <w:t>represents the operator’s turnover for the corresponding year derived from advertising income, supplemented, as the case may be, by income derived from subscriptions and per-view payments</w:t>
      </w:r>
    </w:p>
    <w:p w:rsidR="00831CFB" w:rsidRPr="00BD6197" w:rsidRDefault="00831CFB" w:rsidP="00831CFB">
      <w:pPr>
        <w:pStyle w:val="Equationlegend"/>
      </w:pPr>
      <w:r w:rsidRPr="00BD6197">
        <w:tab/>
        <w:t xml:space="preserve">t%: </w:t>
      </w:r>
      <w:r w:rsidRPr="00BD6197">
        <w:tab/>
        <w:t>represents the percentage to be levied on the operator’s turnover.</w:t>
      </w:r>
    </w:p>
    <w:p w:rsidR="00831CFB" w:rsidRPr="00BD6197" w:rsidRDefault="00831CFB" w:rsidP="00831CFB">
      <w:pPr>
        <w:pStyle w:val="Heading2"/>
        <w:rPr>
          <w:lang w:val="en-US"/>
        </w:rPr>
      </w:pPr>
      <w:bookmarkStart w:id="1491" w:name="_Toc289868829"/>
      <w:bookmarkStart w:id="1492" w:name="_Toc289868989"/>
      <w:bookmarkStart w:id="1493" w:name="_Toc289932297"/>
      <w:bookmarkStart w:id="1494" w:name="_Toc289933343"/>
      <w:bookmarkStart w:id="1495" w:name="_Toc291852906"/>
      <w:bookmarkStart w:id="1496" w:name="_Toc392515892"/>
      <w:bookmarkStart w:id="1497" w:name="_Toc462234060"/>
      <w:bookmarkStart w:id="1498" w:name="_Toc518394219"/>
      <w:r w:rsidRPr="00BD6197">
        <w:rPr>
          <w:lang w:val="en-US"/>
        </w:rPr>
        <w:t>4.6</w:t>
      </w:r>
      <w:r w:rsidRPr="00BD6197">
        <w:rPr>
          <w:lang w:val="en-US"/>
        </w:rPr>
        <w:tab/>
        <w:t>An analytical model for calculating license fees on the basis of specified incentives that are designed to promote efficient spectrum use</w:t>
      </w:r>
      <w:bookmarkEnd w:id="1491"/>
      <w:bookmarkEnd w:id="1492"/>
      <w:bookmarkEnd w:id="1493"/>
      <w:bookmarkEnd w:id="1494"/>
      <w:bookmarkEnd w:id="1495"/>
      <w:bookmarkEnd w:id="1496"/>
      <w:bookmarkEnd w:id="1497"/>
      <w:bookmarkEnd w:id="1498"/>
    </w:p>
    <w:p w:rsidR="00831CFB" w:rsidRPr="00BD6197" w:rsidRDefault="00831CFB" w:rsidP="00831CFB">
      <w:pPr>
        <w:rPr>
          <w:lang w:val="en-US"/>
        </w:rPr>
      </w:pPr>
      <w:r w:rsidRPr="00BD6197">
        <w:rPr>
          <w:lang w:val="en-US"/>
        </w:rPr>
        <w:t>This model was developed in the framework of the BDT Asia and Pacific Project on Spectrum Validation and Licensing, Bangkok, 2000. The study focuses on a specific method of spectrum fee calculation. The model is derived from the conceptual base that there is a distinct need to price spectrum and that the pricing of spectrum resources should reflect more than administrative convenience. This has been reinforced by the views of administrations participating in the data collection and policy review of SE Asian countries under the above Project. Further detailed information is available from the ITU website:</w:t>
      </w:r>
    </w:p>
    <w:p w:rsidR="00831CFB" w:rsidRDefault="003C5F80" w:rsidP="00831CFB">
      <w:pPr>
        <w:pStyle w:val="PlainText"/>
      </w:pPr>
      <w:hyperlink r:id="rId25" w:history="1">
        <w:r w:rsidR="00831CFB" w:rsidRPr="00B13BDB">
          <w:rPr>
            <w:rStyle w:val="Hyperlink"/>
            <w:rFonts w:ascii="Times New Roman" w:hAnsi="Times New Roman"/>
            <w:sz w:val="24"/>
            <w:szCs w:val="20"/>
          </w:rPr>
          <w:t>http://www.itu.int/ITU-D/tech/spectrum_management/docs/MODEL_FULL.pdf</w:t>
        </w:r>
      </w:hyperlink>
    </w:p>
    <w:p w:rsidR="00831CFB" w:rsidRPr="00BD6197" w:rsidRDefault="00831CFB" w:rsidP="00831CFB">
      <w:pPr>
        <w:rPr>
          <w:rFonts w:eastAsia="SimSun"/>
          <w:lang w:val="en-US" w:eastAsia="zh-CN"/>
        </w:rPr>
      </w:pPr>
      <w:r w:rsidRPr="00BD6197">
        <w:rPr>
          <w:rFonts w:eastAsia="SimSun"/>
          <w:lang w:val="en-US" w:eastAsia="zh-CN"/>
        </w:rPr>
        <w:lastRenderedPageBreak/>
        <w:t>The importance of the model rests on it providing to administrations a functional tool which can be used to calculate spectrum fees on the basis of tangible criteria. In fact it falls within the category of administrative incentive pricing approaches. In the manner of most prevalent administrative incentive approaches it allows variations in not only the criteria used as inputs to the pricing but supports weighting those criteria to reflect the importance of certain spectrum utilization variables. This can also be used to vary the pricing between different spectrum uses whereby the underlying scarcity of spectrum can be considered.</w:t>
      </w:r>
    </w:p>
    <w:p w:rsidR="00831CFB" w:rsidRPr="00BD6197" w:rsidRDefault="00831CFB" w:rsidP="00831CFB">
      <w:pPr>
        <w:rPr>
          <w:lang w:val="en-US"/>
        </w:rPr>
      </w:pPr>
      <w:r w:rsidRPr="00BD6197">
        <w:rPr>
          <w:lang w:val="en-US"/>
        </w:rPr>
        <w:t>The model, while rather complicated for manual calculations, is most effective for application to automated national spectrum management systems. Relevant software can be customized in accordance with the Model and all the rest calculations will be fulfilled automatically without any involvement of the system operators. Similar experience is described by the Administration of the Kyrgyz Republic in § 5.2.6.</w:t>
      </w:r>
    </w:p>
    <w:p w:rsidR="00831CFB" w:rsidRPr="00BD6197" w:rsidRDefault="00831CFB" w:rsidP="00831CFB">
      <w:pPr>
        <w:pStyle w:val="Heading3"/>
        <w:rPr>
          <w:lang w:val="en-US"/>
        </w:rPr>
      </w:pPr>
      <w:bookmarkStart w:id="1499" w:name="_Toc289868830"/>
      <w:bookmarkStart w:id="1500" w:name="_Toc289868990"/>
      <w:bookmarkStart w:id="1501" w:name="_Toc289932298"/>
      <w:bookmarkStart w:id="1502" w:name="_Toc289933344"/>
      <w:bookmarkStart w:id="1503" w:name="_Toc291852907"/>
      <w:bookmarkStart w:id="1504" w:name="_Toc392515893"/>
      <w:bookmarkStart w:id="1505" w:name="_Toc462234061"/>
      <w:bookmarkStart w:id="1506" w:name="_Toc518394220"/>
      <w:r w:rsidRPr="00BD6197">
        <w:rPr>
          <w:lang w:val="en-US"/>
        </w:rPr>
        <w:t>4.6.1</w:t>
      </w:r>
      <w:r w:rsidRPr="00BD6197">
        <w:rPr>
          <w:lang w:val="en-US"/>
        </w:rPr>
        <w:tab/>
        <w:t>General purpose of the model</w:t>
      </w:r>
      <w:bookmarkEnd w:id="1499"/>
      <w:bookmarkEnd w:id="1500"/>
      <w:bookmarkEnd w:id="1501"/>
      <w:bookmarkEnd w:id="1502"/>
      <w:bookmarkEnd w:id="1503"/>
      <w:bookmarkEnd w:id="1504"/>
      <w:bookmarkEnd w:id="1505"/>
      <w:bookmarkEnd w:id="1506"/>
    </w:p>
    <w:p w:rsidR="00831CFB" w:rsidRPr="00BD6197" w:rsidRDefault="00831CFB" w:rsidP="00831CFB">
      <w:pPr>
        <w:rPr>
          <w:lang w:val="en-US"/>
        </w:rPr>
      </w:pPr>
      <w:r w:rsidRPr="00BD6197">
        <w:rPr>
          <w:lang w:val="en-US"/>
        </w:rPr>
        <w:t>The purpose of this model is to increase spectrum utilization efficiency. It is designed to introduce non-discriminatory access to the spectrum for various categories of users, stimulate the use of less congested (particularly – higher) frequency bands, stimulate harmonized development of radio communication services throughout the country, and cover the cost of spectrum management. It includes the consideration of the phased development and/or maintenance of spectrum management and monitoring facilities and reimbursement of expenditures of a national telecommunication administration including its international activities within ITU.</w:t>
      </w:r>
    </w:p>
    <w:p w:rsidR="00831CFB" w:rsidRPr="00BD6197" w:rsidRDefault="00831CFB" w:rsidP="00831CFB">
      <w:pPr>
        <w:rPr>
          <w:lang w:val="en-US"/>
        </w:rPr>
      </w:pPr>
      <w:r w:rsidRPr="00BD6197">
        <w:rPr>
          <w:lang w:val="en-US"/>
        </w:rPr>
        <w:t>The model determines the value of annual payments to be made for the spectrum use of each transmitting radio station using a pricing formula based on the following basic elements:</w:t>
      </w:r>
    </w:p>
    <w:p w:rsidR="00831CFB" w:rsidRPr="00BD6197" w:rsidRDefault="00831CFB" w:rsidP="00831CFB">
      <w:pPr>
        <w:pStyle w:val="enumlev1"/>
        <w:rPr>
          <w:lang w:val="en-US"/>
        </w:rPr>
      </w:pPr>
      <w:r w:rsidRPr="00BD6197">
        <w:rPr>
          <w:lang w:val="en-US"/>
        </w:rPr>
        <w:t>–</w:t>
      </w:r>
      <w:r w:rsidRPr="00BD6197">
        <w:rPr>
          <w:lang w:val="en-US"/>
        </w:rPr>
        <w:tab/>
        <w:t xml:space="preserve">Three-dimensional radio frequency-spatial-time resource (see Note 1), referred to as the </w:t>
      </w:r>
      <w:r w:rsidRPr="00BD6197">
        <w:rPr>
          <w:bCs/>
          <w:i/>
          <w:lang w:val="en-US"/>
        </w:rPr>
        <w:t>spectral resource</w:t>
      </w:r>
      <w:r w:rsidRPr="00BD6197">
        <w:rPr>
          <w:lang w:val="en-US"/>
        </w:rPr>
        <w:t>, used in the country and representing the common spectral value applicable to all frequency assignments, stored in the national spectrum management database and which is calculated on an annual basis.</w:t>
      </w:r>
    </w:p>
    <w:p w:rsidR="00831CFB" w:rsidRPr="00BD6197" w:rsidRDefault="00831CFB" w:rsidP="00831CFB">
      <w:pPr>
        <w:pStyle w:val="enumlev1"/>
        <w:rPr>
          <w:lang w:val="en-US"/>
        </w:rPr>
      </w:pPr>
      <w:r w:rsidRPr="00BD6197">
        <w:rPr>
          <w:lang w:val="en-US"/>
        </w:rPr>
        <w:t>–</w:t>
      </w:r>
      <w:r w:rsidRPr="00BD6197">
        <w:rPr>
          <w:lang w:val="en-US"/>
        </w:rPr>
        <w:tab/>
        <w:t>For each frequency assignment the spectral value is determined by the frequency band occupied by the emission, multiplied by an area, occupied by the emission (which is determined by the power of transmitter, height and direction of the antenna etc.), and multiplied by the fraction of time throughout which the transmitter operates with that emission in accordance with terms of relevant license. Relevant assumptions and criteria are presented below in § 4.6.5.</w:t>
      </w:r>
    </w:p>
    <w:p w:rsidR="00831CFB" w:rsidRPr="00BD6197" w:rsidRDefault="00831CFB" w:rsidP="00831CFB">
      <w:pPr>
        <w:pStyle w:val="enumlev1"/>
        <w:rPr>
          <w:lang w:val="en-US"/>
        </w:rPr>
      </w:pPr>
      <w:r w:rsidRPr="00BD6197">
        <w:rPr>
          <w:lang w:val="en-US"/>
        </w:rPr>
        <w:t>–</w:t>
      </w:r>
      <w:r w:rsidRPr="00BD6197">
        <w:rPr>
          <w:lang w:val="en-US"/>
        </w:rPr>
        <w:tab/>
        <w:t>The annual administration cost of spectrum management including the phased development and/or maintenance of spectrum management and monitoring facilities and the reimbursement of expenditures of a national telecommunication administration.</w:t>
      </w:r>
    </w:p>
    <w:p w:rsidR="00831CFB" w:rsidRPr="00BD6197" w:rsidRDefault="00831CFB" w:rsidP="00831CFB">
      <w:pPr>
        <w:pStyle w:val="enumlev1"/>
        <w:rPr>
          <w:lang w:val="en-US"/>
        </w:rPr>
      </w:pPr>
      <w:r w:rsidRPr="00BD6197">
        <w:rPr>
          <w:lang w:val="en-US"/>
        </w:rPr>
        <w:t>–</w:t>
      </w:r>
      <w:r w:rsidRPr="00BD6197">
        <w:rPr>
          <w:lang w:val="en-US"/>
        </w:rPr>
        <w:tab/>
        <w:t>The average price for the spectral resource unit determined from the above values.</w:t>
      </w:r>
    </w:p>
    <w:p w:rsidR="00831CFB" w:rsidRPr="00BD6197" w:rsidRDefault="00831CFB" w:rsidP="00831CFB">
      <w:pPr>
        <w:pStyle w:val="enumlev1"/>
        <w:rPr>
          <w:lang w:val="en-US"/>
        </w:rPr>
      </w:pPr>
      <w:r w:rsidRPr="00BD6197">
        <w:rPr>
          <w:lang w:val="en-US"/>
        </w:rPr>
        <w:t>–</w:t>
      </w:r>
      <w:r w:rsidRPr="00BD6197">
        <w:rPr>
          <w:lang w:val="en-US"/>
        </w:rPr>
        <w:tab/>
        <w:t>The annual payment by a specific user determined from the actual value of used spectral resource.</w:t>
      </w:r>
    </w:p>
    <w:p w:rsidR="00831CFB" w:rsidRPr="00BD6197" w:rsidRDefault="00831CFB" w:rsidP="00831CFB">
      <w:pPr>
        <w:pStyle w:val="Note"/>
        <w:rPr>
          <w:lang w:val="en-US"/>
        </w:rPr>
      </w:pPr>
      <w:r w:rsidRPr="00BD6197">
        <w:rPr>
          <w:lang w:val="en-US"/>
        </w:rPr>
        <w:t>NOTE 1 – For reasons of simplicity and taking into account that spectrum sharing conditions are usually provided only by territory separation of stations, for purposes of the given Model a spatial (three</w:t>
      </w:r>
      <w:r w:rsidRPr="00BD6197">
        <w:rPr>
          <w:lang w:val="en-US"/>
        </w:rPr>
        <w:noBreakHyphen/>
        <w:t>dimensional) resource is represented by a territorial (two-dimensional) one.</w:t>
      </w:r>
    </w:p>
    <w:p w:rsidR="00831CFB" w:rsidRPr="00BD6197" w:rsidRDefault="00831CFB" w:rsidP="00831CFB">
      <w:pPr>
        <w:rPr>
          <w:lang w:val="en-US"/>
        </w:rPr>
      </w:pPr>
      <w:r w:rsidRPr="00BD6197">
        <w:rPr>
          <w:lang w:val="en-US"/>
        </w:rPr>
        <w:t>A number of incentive weighting factors are entered in the formula. Thus the spectrum price or fee will depend not only on the relevant occupied bandwidth and coverage area values, but also on time-sharing conditions, geographical location of the station, economic development level or population density in the coverage area, social factors, exclusivity, type of radio service, spectrum employment, as well as some operational factors such as complexity of radio monitoring and imposing sanctions, etc.</w:t>
      </w:r>
    </w:p>
    <w:p w:rsidR="00831CFB" w:rsidRPr="00BD6197" w:rsidRDefault="00831CFB" w:rsidP="00831CFB">
      <w:pPr>
        <w:rPr>
          <w:lang w:val="en-US"/>
        </w:rPr>
      </w:pPr>
      <w:r w:rsidRPr="00BD6197">
        <w:rPr>
          <w:lang w:val="en-US"/>
        </w:rPr>
        <w:lastRenderedPageBreak/>
        <w:t>The proposed Model allows the user at any moment to determine the value of his annual payment for the spectrum and also renders it to be transparent and accessible to all users. Thus, if the user employs greater bandwidth and service area, operates in more populated geographical area or the area is more economically developed and operates full time in more congested frequency bands, the larger will be the payment.</w:t>
      </w:r>
    </w:p>
    <w:p w:rsidR="00831CFB" w:rsidRPr="00BD6197" w:rsidRDefault="00831CFB" w:rsidP="00831CFB">
      <w:pPr>
        <w:rPr>
          <w:lang w:val="en-US"/>
        </w:rPr>
      </w:pPr>
      <w:r w:rsidRPr="00BD6197">
        <w:rPr>
          <w:lang w:val="en-US"/>
        </w:rPr>
        <w:t>The approach thus encourages more efficient spectrum use and is an incentive for the user to implement more modern equipment and operate in new higher frequency bands. It should also encourage the use if possible of time-sharing regimes with other users, avoid using redundant margins for the power of a transmitter and height of antenna etc. and support expansion of its coverage to rural and remote areas.</w:t>
      </w:r>
    </w:p>
    <w:p w:rsidR="00831CFB" w:rsidRPr="00BD6197" w:rsidRDefault="00831CFB" w:rsidP="00831CFB">
      <w:pPr>
        <w:pStyle w:val="Heading3"/>
        <w:rPr>
          <w:lang w:val="en-US"/>
        </w:rPr>
      </w:pPr>
      <w:bookmarkStart w:id="1507" w:name="_Toc289868831"/>
      <w:bookmarkStart w:id="1508" w:name="_Toc289868991"/>
      <w:bookmarkStart w:id="1509" w:name="_Toc289932299"/>
      <w:bookmarkStart w:id="1510" w:name="_Toc289933345"/>
      <w:bookmarkStart w:id="1511" w:name="_Toc291852908"/>
      <w:bookmarkStart w:id="1512" w:name="_Toc392515894"/>
      <w:bookmarkStart w:id="1513" w:name="_Toc462234062"/>
      <w:bookmarkStart w:id="1514" w:name="_Toc518394221"/>
      <w:r w:rsidRPr="00BD6197">
        <w:rPr>
          <w:lang w:val="en-US"/>
        </w:rPr>
        <w:t>4.6.2</w:t>
      </w:r>
      <w:r w:rsidRPr="00BD6197">
        <w:rPr>
          <w:lang w:val="en-US"/>
        </w:rPr>
        <w:tab/>
        <w:t>Steps in the model formulation</w:t>
      </w:r>
      <w:bookmarkEnd w:id="1507"/>
      <w:bookmarkEnd w:id="1508"/>
      <w:bookmarkEnd w:id="1509"/>
      <w:bookmarkEnd w:id="1510"/>
      <w:bookmarkEnd w:id="1511"/>
      <w:bookmarkEnd w:id="1512"/>
      <w:bookmarkEnd w:id="1513"/>
      <w:bookmarkEnd w:id="1514"/>
    </w:p>
    <w:p w:rsidR="00831CFB" w:rsidRPr="00BD6197" w:rsidRDefault="00831CFB" w:rsidP="00831CFB">
      <w:pPr>
        <w:rPr>
          <w:lang w:val="en-US"/>
        </w:rPr>
      </w:pPr>
      <w:r w:rsidRPr="00BD6197">
        <w:rPr>
          <w:lang w:val="en-US"/>
        </w:rPr>
        <w:t>The proposed spectrum payment algorithm includes the following steps:</w:t>
      </w:r>
    </w:p>
    <w:p w:rsidR="00831CFB" w:rsidRPr="00BD6197" w:rsidRDefault="00831CFB" w:rsidP="00831CFB">
      <w:pPr>
        <w:pStyle w:val="enumlev1"/>
        <w:rPr>
          <w:lang w:val="en-US"/>
        </w:rPr>
      </w:pPr>
      <w:r w:rsidRPr="00BD6197">
        <w:rPr>
          <w:lang w:val="en-US"/>
        </w:rPr>
        <w:t>–</w:t>
      </w:r>
      <w:r w:rsidRPr="00BD6197">
        <w:rPr>
          <w:lang w:val="en-US"/>
        </w:rPr>
        <w:tab/>
        <w:t>Determination of annual expenditures of the State on management of actually used spectral resource and determination of the common value of the annual payments for all spectral resources.</w:t>
      </w:r>
    </w:p>
    <w:p w:rsidR="00831CFB" w:rsidRPr="00BD6197" w:rsidRDefault="00831CFB" w:rsidP="00831CFB">
      <w:pPr>
        <w:pStyle w:val="enumlev1"/>
        <w:rPr>
          <w:lang w:val="en-US"/>
        </w:rPr>
      </w:pPr>
      <w:r w:rsidRPr="00BD6197">
        <w:rPr>
          <w:lang w:val="en-US"/>
        </w:rPr>
        <w:t>–</w:t>
      </w:r>
      <w:r w:rsidRPr="00BD6197">
        <w:rPr>
          <w:lang w:val="en-US"/>
        </w:rPr>
        <w:tab/>
        <w:t>Determination of the value of the spectral resource used by each radio station and, through their summation, by all stations registered in a national Spectrum Management Database.</w:t>
      </w:r>
    </w:p>
    <w:p w:rsidR="00831CFB" w:rsidRPr="00BD6197" w:rsidRDefault="00831CFB" w:rsidP="00831CFB">
      <w:pPr>
        <w:pStyle w:val="enumlev1"/>
        <w:rPr>
          <w:lang w:val="en-US"/>
        </w:rPr>
      </w:pPr>
      <w:r w:rsidRPr="00BD6197">
        <w:rPr>
          <w:lang w:val="en-US"/>
        </w:rPr>
        <w:t>–</w:t>
      </w:r>
      <w:r w:rsidRPr="00BD6197">
        <w:rPr>
          <w:lang w:val="en-US"/>
        </w:rPr>
        <w:tab/>
        <w:t>Determination of the price for a unit of the spectral resource.</w:t>
      </w:r>
    </w:p>
    <w:p w:rsidR="00831CFB" w:rsidRPr="00BD6197" w:rsidRDefault="00831CFB" w:rsidP="00831CFB">
      <w:pPr>
        <w:pStyle w:val="enumlev1"/>
        <w:rPr>
          <w:lang w:val="en-US"/>
        </w:rPr>
      </w:pPr>
      <w:r w:rsidRPr="00BD6197">
        <w:rPr>
          <w:lang w:val="en-US"/>
        </w:rPr>
        <w:t>–</w:t>
      </w:r>
      <w:r w:rsidRPr="00BD6197">
        <w:rPr>
          <w:lang w:val="en-US"/>
        </w:rPr>
        <w:tab/>
        <w:t>Determination of the annual payment for a specific user on a differential and non-discriminatory basis, determined from the actual value of used spectral resource.</w:t>
      </w:r>
    </w:p>
    <w:p w:rsidR="00831CFB" w:rsidRPr="00BD6197" w:rsidRDefault="00831CFB" w:rsidP="00831CFB">
      <w:pPr>
        <w:rPr>
          <w:lang w:val="en-US"/>
        </w:rPr>
      </w:pPr>
      <w:r w:rsidRPr="00BD6197">
        <w:rPr>
          <w:lang w:val="en-US"/>
        </w:rPr>
        <w:t>Each of these steps is described in detail below.</w:t>
      </w:r>
    </w:p>
    <w:p w:rsidR="00831CFB" w:rsidRPr="00BD6197" w:rsidRDefault="00831CFB" w:rsidP="00831CFB">
      <w:pPr>
        <w:pStyle w:val="Heading3"/>
        <w:rPr>
          <w:lang w:val="en-US"/>
        </w:rPr>
      </w:pPr>
      <w:bookmarkStart w:id="1515" w:name="_Toc289868832"/>
      <w:bookmarkStart w:id="1516" w:name="_Toc289868992"/>
      <w:bookmarkStart w:id="1517" w:name="_Toc289932300"/>
      <w:bookmarkStart w:id="1518" w:name="_Toc289933346"/>
      <w:bookmarkStart w:id="1519" w:name="_Toc291852909"/>
      <w:bookmarkStart w:id="1520" w:name="_Toc392515895"/>
      <w:bookmarkStart w:id="1521" w:name="_Toc462234063"/>
      <w:bookmarkStart w:id="1522" w:name="_Toc518394222"/>
      <w:r w:rsidRPr="00BD6197">
        <w:rPr>
          <w:lang w:val="en-US"/>
        </w:rPr>
        <w:t>4.6.3</w:t>
      </w:r>
      <w:r w:rsidRPr="00BD6197">
        <w:rPr>
          <w:lang w:val="en-US"/>
        </w:rPr>
        <w:tab/>
        <w:t>General principles for the model development</w:t>
      </w:r>
      <w:bookmarkEnd w:id="1515"/>
      <w:bookmarkEnd w:id="1516"/>
      <w:bookmarkEnd w:id="1517"/>
      <w:bookmarkEnd w:id="1518"/>
      <w:bookmarkEnd w:id="1519"/>
      <w:bookmarkEnd w:id="1520"/>
      <w:bookmarkEnd w:id="1521"/>
      <w:bookmarkEnd w:id="1522"/>
    </w:p>
    <w:p w:rsidR="00831CFB" w:rsidRPr="00BD6197" w:rsidRDefault="00831CFB" w:rsidP="00831CFB">
      <w:pPr>
        <w:rPr>
          <w:lang w:val="en-US"/>
        </w:rPr>
      </w:pPr>
      <w:r w:rsidRPr="00BD6197">
        <w:rPr>
          <w:lang w:val="en-US"/>
        </w:rPr>
        <w:t>It is necessary to underline that the number and values of all particular coefficients below are given only as illustrative examples. They are based on available data and the experts’ estimations in application to South-East Asia countries. Each national telecommunication administration can chose other values and add other coefficients reflecting its particular needs and experiences. All coefficient values, unless indicated specifically, can be integer or fractional numbers.</w:t>
      </w:r>
    </w:p>
    <w:p w:rsidR="00831CFB" w:rsidRPr="00BD6197" w:rsidRDefault="00831CFB" w:rsidP="00831CFB">
      <w:pPr>
        <w:rPr>
          <w:lang w:val="en-US"/>
        </w:rPr>
      </w:pPr>
      <w:r w:rsidRPr="00BD6197">
        <w:rPr>
          <w:lang w:val="en-US"/>
        </w:rPr>
        <w:t>The model is intended to cover those cases (and they are the great majority of frequency assignments) for which simplified calculation methods of some important parameters (mainly – service or occupied areas) can be used.</w:t>
      </w:r>
    </w:p>
    <w:p w:rsidR="00831CFB" w:rsidRPr="00BD6197" w:rsidRDefault="00831CFB" w:rsidP="00831CFB">
      <w:pPr>
        <w:rPr>
          <w:lang w:val="en-US"/>
        </w:rPr>
      </w:pPr>
      <w:r w:rsidRPr="00BD6197">
        <w:rPr>
          <w:lang w:val="en-US"/>
        </w:rPr>
        <w:t xml:space="preserve">This approach has been chosen also from the understanding that for purposes of fees calculation it is much more important to provide universal procedures to guarantee equal conditions for all users belonging to one group (by radio service or its particular application) rather than to obtain a high accuracy of technical parameter calculations. </w:t>
      </w:r>
    </w:p>
    <w:p w:rsidR="00831CFB" w:rsidRPr="00BD6197" w:rsidRDefault="00831CFB" w:rsidP="00831CFB">
      <w:pPr>
        <w:rPr>
          <w:lang w:val="en-US"/>
        </w:rPr>
      </w:pPr>
      <w:r w:rsidRPr="00BD6197">
        <w:rPr>
          <w:lang w:val="en-US"/>
        </w:rPr>
        <w:t>Based on a general principle that not only a transmitter but also a receiver occupies a particular spectral resource by denying operation of other transmitters (other than a communicating one) in a particular frequency band within the limits of a particular territory (Recommendation ITU</w:t>
      </w:r>
      <w:r w:rsidRPr="00BD6197">
        <w:rPr>
          <w:lang w:val="en-US"/>
        </w:rPr>
        <w:noBreakHyphen/>
        <w:t xml:space="preserve">R SM.1046-2), the Model can be used for calculating fees for receivers as well in a case when a user requires protection of a receiver from interference and it is registered in a National Frequency Assignment Database. </w:t>
      </w:r>
    </w:p>
    <w:p w:rsidR="00831CFB" w:rsidRPr="00BD6197" w:rsidRDefault="00831CFB" w:rsidP="00831CFB">
      <w:pPr>
        <w:rPr>
          <w:lang w:val="en-US"/>
        </w:rPr>
      </w:pPr>
      <w:r w:rsidRPr="00BD6197">
        <w:rPr>
          <w:lang w:val="en-US"/>
        </w:rPr>
        <w:t>Annex 1 of Recommendation ITU</w:t>
      </w:r>
      <w:r w:rsidRPr="00BD6197">
        <w:rPr>
          <w:lang w:val="en-US"/>
        </w:rPr>
        <w:noBreakHyphen/>
        <w:t>R SM.1046-2 also presents some options to administrations on simplification of calculation procedures implying the decrease in calculation accuracy, or on their somewhat complication for increasing calculation accuracy.</w:t>
      </w:r>
    </w:p>
    <w:p w:rsidR="00831CFB" w:rsidRPr="00BD6197" w:rsidRDefault="00831CFB" w:rsidP="00831CFB">
      <w:pPr>
        <w:rPr>
          <w:lang w:val="en-US"/>
        </w:rPr>
      </w:pPr>
      <w:r w:rsidRPr="00BD6197">
        <w:rPr>
          <w:lang w:val="en-US"/>
        </w:rPr>
        <w:t xml:space="preserve">For certain new radio systems for which the service area or occupied frequency band calculations are very complicated and when they have not been definitively fixed (spread-spectrum systems, satellite </w:t>
      </w:r>
      <w:r w:rsidRPr="00BD6197">
        <w:rPr>
          <w:lang w:val="en-US"/>
        </w:rPr>
        <w:lastRenderedPageBreak/>
        <w:t>mobile communications using LEO, MEO, etc.), calculations can be postponed and fixed license fee regimes may continue to be used.</w:t>
      </w:r>
    </w:p>
    <w:p w:rsidR="00831CFB" w:rsidRPr="00BD6197" w:rsidRDefault="00831CFB" w:rsidP="00831CFB">
      <w:pPr>
        <w:pStyle w:val="Heading3"/>
        <w:rPr>
          <w:lang w:val="en-US"/>
        </w:rPr>
      </w:pPr>
      <w:bookmarkStart w:id="1523" w:name="_Toc289868833"/>
      <w:bookmarkStart w:id="1524" w:name="_Toc289868993"/>
      <w:bookmarkStart w:id="1525" w:name="_Toc289932301"/>
      <w:bookmarkStart w:id="1526" w:name="_Toc289933347"/>
      <w:bookmarkStart w:id="1527" w:name="_Toc291852910"/>
      <w:bookmarkStart w:id="1528" w:name="_Toc392515896"/>
      <w:bookmarkStart w:id="1529" w:name="_Toc462234064"/>
      <w:bookmarkStart w:id="1530" w:name="_Toc518394223"/>
      <w:r w:rsidRPr="00BD6197">
        <w:rPr>
          <w:lang w:val="en-US"/>
        </w:rPr>
        <w:t>4.6.4</w:t>
      </w:r>
      <w:r w:rsidRPr="00BD6197">
        <w:rPr>
          <w:lang w:val="en-US"/>
        </w:rPr>
        <w:tab/>
        <w:t>Expenditures and income of a state concerning spectrum management</w:t>
      </w:r>
      <w:bookmarkEnd w:id="1523"/>
      <w:bookmarkEnd w:id="1524"/>
      <w:bookmarkEnd w:id="1525"/>
      <w:bookmarkEnd w:id="1526"/>
      <w:bookmarkEnd w:id="1527"/>
      <w:bookmarkEnd w:id="1528"/>
      <w:bookmarkEnd w:id="1529"/>
      <w:bookmarkEnd w:id="1530"/>
    </w:p>
    <w:p w:rsidR="00831CFB" w:rsidRPr="00BD6197" w:rsidRDefault="00831CFB" w:rsidP="00831CFB">
      <w:pPr>
        <w:rPr>
          <w:lang w:val="en-US"/>
        </w:rPr>
      </w:pPr>
      <w:r w:rsidRPr="00BD6197">
        <w:rPr>
          <w:lang w:val="en-US"/>
        </w:rPr>
        <w:t>This section offers the framework on which the State or administration’s costs for spectrum management may be considered.</w:t>
      </w:r>
    </w:p>
    <w:p w:rsidR="00831CFB" w:rsidRPr="00BD6197" w:rsidRDefault="00831CFB" w:rsidP="00831CFB">
      <w:pPr>
        <w:rPr>
          <w:lang w:val="en-US"/>
        </w:rPr>
      </w:pPr>
      <w:r w:rsidRPr="00BD6197">
        <w:rPr>
          <w:lang w:val="en-US"/>
        </w:rPr>
        <w:t xml:space="preserve">The total amount of the annual payments for spectral resource </w:t>
      </w:r>
      <w:r w:rsidRPr="00BD6197">
        <w:rPr>
          <w:i/>
          <w:lang w:val="en-US"/>
        </w:rPr>
        <w:t>C</w:t>
      </w:r>
      <w:r w:rsidRPr="00BD6197">
        <w:rPr>
          <w:i/>
          <w:vertAlign w:val="subscript"/>
          <w:lang w:val="en-US"/>
        </w:rPr>
        <w:t>an</w:t>
      </w:r>
      <w:r w:rsidRPr="00BD6197">
        <w:rPr>
          <w:lang w:val="en-US"/>
        </w:rPr>
        <w:t>, to be collected from all users, can be presented as:</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r>
      <w:r w:rsidRPr="00BD6197">
        <w:rPr>
          <w:i/>
          <w:iCs/>
          <w:lang w:val="en-US"/>
        </w:rPr>
        <w:t>C</w:t>
      </w:r>
      <w:r w:rsidRPr="00BD6197">
        <w:rPr>
          <w:i/>
          <w:iCs/>
          <w:vertAlign w:val="subscript"/>
          <w:lang w:val="en-US"/>
        </w:rPr>
        <w:t>an</w:t>
      </w:r>
      <w:r w:rsidRPr="00BD6197">
        <w:rPr>
          <w:lang w:val="en-US"/>
        </w:rPr>
        <w:t xml:space="preserve"> </w:t>
      </w:r>
      <w:r w:rsidRPr="00BD6197">
        <w:rPr>
          <w:rFonts w:ascii="Symbol" w:hAnsi="Symbol"/>
          <w:lang w:val="en-US"/>
        </w:rPr>
        <w:t></w:t>
      </w:r>
      <w:r w:rsidRPr="00BD6197">
        <w:rPr>
          <w:lang w:val="en-US"/>
        </w:rPr>
        <w:t xml:space="preserve"> </w:t>
      </w:r>
      <w:r w:rsidRPr="00BD6197">
        <w:rPr>
          <w:i/>
          <w:iCs/>
          <w:lang w:val="en-US"/>
        </w:rPr>
        <w:t>C</w:t>
      </w:r>
      <w:r w:rsidRPr="00BD6197">
        <w:rPr>
          <w:vertAlign w:val="subscript"/>
          <w:lang w:val="en-US"/>
        </w:rPr>
        <w:t>1</w:t>
      </w:r>
      <w:r w:rsidRPr="00BD6197">
        <w:rPr>
          <w:lang w:val="en-US"/>
        </w:rPr>
        <w:t xml:space="preserve"> </w:t>
      </w:r>
      <w:r w:rsidRPr="00BD6197">
        <w:rPr>
          <w:rFonts w:ascii="Symbol" w:hAnsi="Symbol"/>
          <w:lang w:val="en-US"/>
        </w:rPr>
        <w:t></w:t>
      </w:r>
      <w:r w:rsidRPr="00BD6197">
        <w:rPr>
          <w:lang w:val="en-US"/>
        </w:rPr>
        <w:t xml:space="preserve"> </w:t>
      </w:r>
      <w:r w:rsidRPr="00BD6197">
        <w:rPr>
          <w:i/>
          <w:iCs/>
          <w:lang w:val="en-US"/>
        </w:rPr>
        <w:t>C</w:t>
      </w:r>
      <w:r w:rsidRPr="00BD6197">
        <w:rPr>
          <w:vertAlign w:val="subscript"/>
          <w:lang w:val="en-US"/>
        </w:rPr>
        <w:t>2</w:t>
      </w:r>
      <w:r w:rsidRPr="00BD6197">
        <w:rPr>
          <w:lang w:val="en-US"/>
        </w:rPr>
        <w:t xml:space="preserve"> – </w:t>
      </w:r>
      <w:r w:rsidRPr="00BD6197">
        <w:rPr>
          <w:i/>
          <w:iCs/>
          <w:lang w:val="en-US"/>
        </w:rPr>
        <w:t>I</w:t>
      </w:r>
      <w:r w:rsidRPr="00BD6197">
        <w:rPr>
          <w:i/>
          <w:iCs/>
          <w:vertAlign w:val="subscript"/>
          <w:lang w:val="en-US"/>
        </w:rPr>
        <w:t>an</w:t>
      </w:r>
      <w:r w:rsidRPr="00BD6197">
        <w:rPr>
          <w:lang w:val="en-US"/>
        </w:rPr>
        <w:t>     (units of a national currency)</w:t>
      </w:r>
      <w:r w:rsidRPr="00BD6197">
        <w:rPr>
          <w:lang w:val="en-US"/>
        </w:rPr>
        <w:tab/>
        <w:t>(17)</w:t>
      </w:r>
    </w:p>
    <w:p w:rsidR="00831CFB" w:rsidRPr="00BD6197" w:rsidRDefault="00831CFB" w:rsidP="00831CFB">
      <w:pPr>
        <w:rPr>
          <w:lang w:val="en-US"/>
        </w:rPr>
      </w:pPr>
      <w:r w:rsidRPr="00BD6197">
        <w:rPr>
          <w:lang w:val="en-US"/>
        </w:rPr>
        <w:t>where:</w:t>
      </w:r>
    </w:p>
    <w:p w:rsidR="00831CFB" w:rsidRPr="00BD6197" w:rsidRDefault="00831CFB" w:rsidP="00831CFB">
      <w:pPr>
        <w:pStyle w:val="Equationlegend"/>
        <w:rPr>
          <w:iCs/>
        </w:rPr>
      </w:pPr>
      <w:r w:rsidRPr="00BD6197">
        <w:rPr>
          <w:iCs/>
        </w:rPr>
        <w:tab/>
      </w:r>
      <w:r w:rsidRPr="00BD6197">
        <w:rPr>
          <w:i/>
        </w:rPr>
        <w:t>C</w:t>
      </w:r>
      <w:r w:rsidRPr="00BD6197">
        <w:rPr>
          <w:vertAlign w:val="subscript"/>
        </w:rPr>
        <w:t>1</w:t>
      </w:r>
      <w:r w:rsidRPr="00BD6197">
        <w:rPr>
          <w:rFonts w:ascii="Tms Rmn" w:hAnsi="Tms Rmn"/>
          <w:iCs/>
          <w:sz w:val="12"/>
          <w:vertAlign w:val="subscript"/>
        </w:rPr>
        <w:t> </w:t>
      </w:r>
      <w:r w:rsidRPr="00BD6197">
        <w:rPr>
          <w:iCs/>
        </w:rPr>
        <w:t>:</w:t>
      </w:r>
      <w:r w:rsidRPr="00BD6197">
        <w:rPr>
          <w:iCs/>
        </w:rPr>
        <w:tab/>
        <w:t>share of the sum that is necessary for covering expenditures of the State on all national and international spectrum management activities</w:t>
      </w:r>
    </w:p>
    <w:p w:rsidR="00831CFB" w:rsidRPr="00BD6197" w:rsidRDefault="00831CFB" w:rsidP="00831CFB">
      <w:pPr>
        <w:pStyle w:val="Equationlegend"/>
        <w:rPr>
          <w:iCs/>
        </w:rPr>
      </w:pPr>
      <w:r w:rsidRPr="00BD6197">
        <w:rPr>
          <w:iCs/>
        </w:rPr>
        <w:tab/>
      </w:r>
      <w:r w:rsidRPr="00BD6197">
        <w:rPr>
          <w:i/>
        </w:rPr>
        <w:t>C</w:t>
      </w:r>
      <w:r w:rsidRPr="00BD6197">
        <w:rPr>
          <w:vertAlign w:val="subscript"/>
        </w:rPr>
        <w:t>2</w:t>
      </w:r>
      <w:r w:rsidRPr="00BD6197">
        <w:rPr>
          <w:rFonts w:ascii="Tms Rmn" w:hAnsi="Tms Rmn"/>
          <w:iCs/>
          <w:sz w:val="12"/>
          <w:vertAlign w:val="subscript"/>
        </w:rPr>
        <w:t> </w:t>
      </w:r>
      <w:r w:rsidRPr="00BD6197">
        <w:rPr>
          <w:iCs/>
        </w:rPr>
        <w:t>:</w:t>
      </w:r>
      <w:r w:rsidRPr="00BD6197">
        <w:rPr>
          <w:iCs/>
        </w:rPr>
        <w:tab/>
        <w:t>net income of the State, if applied</w:t>
      </w:r>
    </w:p>
    <w:p w:rsidR="00831CFB" w:rsidRPr="00BD6197" w:rsidRDefault="00831CFB" w:rsidP="00831CFB">
      <w:pPr>
        <w:pStyle w:val="Equationlegend"/>
      </w:pPr>
      <w:r w:rsidRPr="00BD6197">
        <w:rPr>
          <w:iCs/>
        </w:rPr>
        <w:tab/>
      </w:r>
      <w:r w:rsidRPr="00BD6197">
        <w:rPr>
          <w:i/>
        </w:rPr>
        <w:t>I</w:t>
      </w:r>
      <w:r w:rsidRPr="00BD6197">
        <w:rPr>
          <w:i/>
          <w:iCs/>
          <w:vertAlign w:val="subscript"/>
        </w:rPr>
        <w:t>an</w:t>
      </w:r>
      <w:r w:rsidRPr="00BD6197">
        <w:rPr>
          <w:rFonts w:ascii="Tms Rmn" w:hAnsi="Tms Rmn"/>
          <w:iCs/>
          <w:sz w:val="12"/>
          <w:vertAlign w:val="subscript"/>
        </w:rPr>
        <w:t> </w:t>
      </w:r>
      <w:r w:rsidRPr="00BD6197">
        <w:rPr>
          <w:iCs/>
        </w:rPr>
        <w:t>:</w:t>
      </w:r>
      <w:r w:rsidRPr="00BD6197">
        <w:rPr>
          <w:iCs/>
        </w:rPr>
        <w:tab/>
        <w:t>total</w:t>
      </w:r>
      <w:r w:rsidRPr="00BD6197">
        <w:t xml:space="preserve"> amount of annual radio communication inspection charges, if applied.</w:t>
      </w:r>
    </w:p>
    <w:p w:rsidR="00831CFB" w:rsidRPr="00BD6197" w:rsidRDefault="00831CFB" w:rsidP="00831CFB">
      <w:pPr>
        <w:rPr>
          <w:lang w:val="en-US"/>
        </w:rPr>
      </w:pPr>
      <w:r w:rsidRPr="00BD6197">
        <w:rPr>
          <w:lang w:val="en-US"/>
        </w:rPr>
        <w:t>The last term is applied if an administration uses separate additional tariffs for inspection and examination activities (examination of frequency assignment application forms, inspection of radio stations after installations before entering to operation, systematic inspection of radio installations on conformity to license terms, etc.). This value can be assumed for each current year based on previous year data.</w:t>
      </w:r>
    </w:p>
    <w:p w:rsidR="00831CFB" w:rsidRPr="00BD6197" w:rsidRDefault="00831CFB" w:rsidP="00831CFB">
      <w:pPr>
        <w:rPr>
          <w:lang w:val="en-US"/>
        </w:rPr>
      </w:pPr>
      <w:r w:rsidRPr="00BD6197">
        <w:rPr>
          <w:lang w:val="en-US"/>
        </w:rPr>
        <w:t xml:space="preserve">It is possible to subdivide the terms </w:t>
      </w:r>
      <w:r w:rsidRPr="00BD6197">
        <w:rPr>
          <w:i/>
          <w:lang w:val="en-US"/>
        </w:rPr>
        <w:t>C</w:t>
      </w:r>
      <w:r w:rsidRPr="00BD6197">
        <w:rPr>
          <w:vertAlign w:val="subscript"/>
          <w:lang w:val="en-US"/>
        </w:rPr>
        <w:t>1</w:t>
      </w:r>
      <w:r w:rsidRPr="00BD6197">
        <w:rPr>
          <w:lang w:val="en-US"/>
        </w:rPr>
        <w:t xml:space="preserve"> and </w:t>
      </w:r>
      <w:r w:rsidRPr="00BD6197">
        <w:rPr>
          <w:i/>
          <w:lang w:val="en-US"/>
        </w:rPr>
        <w:t>C</w:t>
      </w:r>
      <w:r w:rsidRPr="00BD6197">
        <w:rPr>
          <w:vertAlign w:val="subscript"/>
          <w:lang w:val="en-US"/>
        </w:rPr>
        <w:t>2</w:t>
      </w:r>
      <w:r w:rsidRPr="00BD6197">
        <w:rPr>
          <w:lang w:val="en-US"/>
        </w:rPr>
        <w:t xml:space="preserve"> into additional components:</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r>
      <w:r w:rsidRPr="00BD6197">
        <w:rPr>
          <w:i/>
          <w:iCs/>
          <w:lang w:val="en-US"/>
        </w:rPr>
        <w:t>C</w:t>
      </w:r>
      <w:r w:rsidRPr="00BD6197">
        <w:rPr>
          <w:vertAlign w:val="subscript"/>
          <w:lang w:val="en-US"/>
        </w:rPr>
        <w:t>1</w:t>
      </w:r>
      <w:r w:rsidRPr="00BD6197">
        <w:rPr>
          <w:lang w:val="en-US"/>
        </w:rPr>
        <w:t xml:space="preserve"> </w:t>
      </w:r>
      <w:r w:rsidRPr="00BD6197">
        <w:rPr>
          <w:rFonts w:ascii="Symbol" w:hAnsi="Symbol"/>
          <w:lang w:val="en-US"/>
        </w:rPr>
        <w:t></w:t>
      </w:r>
      <w:r w:rsidRPr="00BD6197">
        <w:rPr>
          <w:lang w:val="en-US"/>
        </w:rPr>
        <w:t xml:space="preserve"> </w:t>
      </w:r>
      <w:r w:rsidRPr="00BD6197">
        <w:rPr>
          <w:i/>
          <w:iCs/>
          <w:lang w:val="en-US"/>
        </w:rPr>
        <w:t>C</w:t>
      </w:r>
      <w:r w:rsidRPr="00BD6197">
        <w:rPr>
          <w:vertAlign w:val="subscript"/>
          <w:lang w:val="en-US"/>
        </w:rPr>
        <w:t>11</w:t>
      </w:r>
      <w:r w:rsidRPr="00BD6197">
        <w:rPr>
          <w:lang w:val="en-US"/>
        </w:rPr>
        <w:t xml:space="preserve"> </w:t>
      </w:r>
      <w:r w:rsidRPr="00BD6197">
        <w:rPr>
          <w:rFonts w:ascii="Symbol" w:hAnsi="Symbol"/>
          <w:lang w:val="en-US"/>
        </w:rPr>
        <w:t></w:t>
      </w:r>
      <w:r w:rsidRPr="00BD6197">
        <w:rPr>
          <w:lang w:val="en-US"/>
        </w:rPr>
        <w:t xml:space="preserve"> </w:t>
      </w:r>
      <w:r w:rsidRPr="00BD6197">
        <w:rPr>
          <w:i/>
          <w:iCs/>
          <w:lang w:val="en-US"/>
        </w:rPr>
        <w:t>C</w:t>
      </w:r>
      <w:r w:rsidRPr="00BD6197">
        <w:rPr>
          <w:vertAlign w:val="subscript"/>
          <w:lang w:val="en-US"/>
        </w:rPr>
        <w:t>12</w:t>
      </w:r>
      <w:r w:rsidRPr="00BD6197">
        <w:rPr>
          <w:lang w:val="en-US"/>
        </w:rPr>
        <w:t xml:space="preserve"> </w:t>
      </w:r>
      <w:r w:rsidRPr="00BD6197">
        <w:rPr>
          <w:rFonts w:ascii="Symbol" w:hAnsi="Symbol"/>
          <w:lang w:val="en-US"/>
        </w:rPr>
        <w:t></w:t>
      </w:r>
      <w:r w:rsidRPr="00BD6197">
        <w:rPr>
          <w:lang w:val="en-US"/>
        </w:rPr>
        <w:t xml:space="preserve"> </w:t>
      </w:r>
      <w:r w:rsidRPr="00BD6197">
        <w:rPr>
          <w:i/>
          <w:iCs/>
          <w:lang w:val="en-US"/>
        </w:rPr>
        <w:t>C</w:t>
      </w:r>
      <w:r w:rsidRPr="00BD6197">
        <w:rPr>
          <w:vertAlign w:val="subscript"/>
          <w:lang w:val="en-US"/>
        </w:rPr>
        <w:t>13</w:t>
      </w:r>
      <w:r w:rsidRPr="00BD6197">
        <w:rPr>
          <w:lang w:val="en-US"/>
        </w:rPr>
        <w:t xml:space="preserve"> </w:t>
      </w:r>
      <w:r w:rsidRPr="00BD6197">
        <w:rPr>
          <w:rFonts w:ascii="Symbol" w:hAnsi="Symbol"/>
          <w:lang w:val="en-US"/>
        </w:rPr>
        <w:t></w:t>
      </w:r>
      <w:r w:rsidRPr="00BD6197">
        <w:rPr>
          <w:lang w:val="en-US"/>
        </w:rPr>
        <w:t xml:space="preserve"> </w:t>
      </w:r>
      <w:r w:rsidRPr="00BD6197">
        <w:rPr>
          <w:i/>
          <w:iCs/>
          <w:lang w:val="en-US"/>
        </w:rPr>
        <w:t>C</w:t>
      </w:r>
      <w:r w:rsidRPr="00BD6197">
        <w:rPr>
          <w:vertAlign w:val="subscript"/>
          <w:lang w:val="en-US"/>
        </w:rPr>
        <w:t>14</w:t>
      </w:r>
      <w:r w:rsidRPr="00BD6197">
        <w:rPr>
          <w:lang w:val="en-US"/>
        </w:rPr>
        <w:tab/>
        <w:t>(18)</w:t>
      </w:r>
    </w:p>
    <w:p w:rsidR="00831CFB" w:rsidRPr="00BD6197" w:rsidRDefault="00831CFB" w:rsidP="00831CFB">
      <w:pPr>
        <w:rPr>
          <w:lang w:val="en-US"/>
        </w:rPr>
      </w:pPr>
      <w:r w:rsidRPr="00BD6197">
        <w:rPr>
          <w:lang w:val="en-US"/>
        </w:rPr>
        <w:t>where:</w:t>
      </w:r>
    </w:p>
    <w:p w:rsidR="00831CFB" w:rsidRPr="00BD6197" w:rsidRDefault="00831CFB" w:rsidP="00831CFB">
      <w:pPr>
        <w:pStyle w:val="Equationlegend"/>
      </w:pPr>
      <w:r w:rsidRPr="00BD6197">
        <w:rPr>
          <w:i/>
        </w:rPr>
        <w:tab/>
        <w:t>C</w:t>
      </w:r>
      <w:r w:rsidRPr="00BD6197">
        <w:rPr>
          <w:vertAlign w:val="subscript"/>
        </w:rPr>
        <w:t>11</w:t>
      </w:r>
      <w:r w:rsidRPr="00BD6197">
        <w:t>:</w:t>
      </w:r>
      <w:r w:rsidRPr="00BD6197">
        <w:tab/>
        <w:t>funds necessary for the purchase and efficient operations using spectrum management system facilities and equipment, including radio monitoring station equipment, direction finders, computers and software for monitoring stations and for a national Spectrum Management Database, equipment for inspection purposes, materials, amortization of buildings, constructions, transport vehicles, etc.</w:t>
      </w:r>
    </w:p>
    <w:p w:rsidR="00831CFB" w:rsidRPr="00BD6197" w:rsidRDefault="00831CFB" w:rsidP="00831CFB">
      <w:pPr>
        <w:pStyle w:val="Equationlegend"/>
      </w:pPr>
      <w:r w:rsidRPr="00BD6197">
        <w:rPr>
          <w:i/>
        </w:rPr>
        <w:tab/>
        <w:t>C</w:t>
      </w:r>
      <w:r w:rsidRPr="00BD6197">
        <w:rPr>
          <w:vertAlign w:val="subscript"/>
        </w:rPr>
        <w:t>12</w:t>
      </w:r>
      <w:r w:rsidRPr="00BD6197">
        <w:t>:</w:t>
      </w:r>
      <w:r w:rsidRPr="00BD6197">
        <w:tab/>
        <w:t>funds necessary for carrying out supporting scientific research purchase of the scientific and operational literature, international standards and recommendations, carrying out electromagnetic compatibility analysis for supporting frequency assignment process, etc.</w:t>
      </w:r>
    </w:p>
    <w:p w:rsidR="00831CFB" w:rsidRPr="00BD6197" w:rsidRDefault="00831CFB" w:rsidP="00831CFB">
      <w:pPr>
        <w:pStyle w:val="Equationlegend"/>
      </w:pPr>
      <w:r w:rsidRPr="00BD6197">
        <w:rPr>
          <w:i/>
        </w:rPr>
        <w:tab/>
        <w:t>C</w:t>
      </w:r>
      <w:r w:rsidRPr="00BD6197">
        <w:rPr>
          <w:vertAlign w:val="subscript"/>
        </w:rPr>
        <w:t>13</w:t>
      </w:r>
      <w:r w:rsidRPr="00BD6197">
        <w:t>:</w:t>
      </w:r>
      <w:r w:rsidRPr="00BD6197">
        <w:tab/>
        <w:t>funds necessary to provide efficient activities of a national telecommunication administration within ITU-R and to fulfil bilateral and multilateral frequency coordination obligations relating to terrestrial and satellite radio services etc.</w:t>
      </w:r>
    </w:p>
    <w:p w:rsidR="00831CFB" w:rsidRPr="00BD6197" w:rsidRDefault="00831CFB" w:rsidP="00831CFB">
      <w:pPr>
        <w:pStyle w:val="Equationlegend"/>
      </w:pPr>
      <w:r w:rsidRPr="00BD6197">
        <w:rPr>
          <w:i/>
        </w:rPr>
        <w:tab/>
        <w:t>C</w:t>
      </w:r>
      <w:r w:rsidRPr="00BD6197">
        <w:rPr>
          <w:vertAlign w:val="subscript"/>
        </w:rPr>
        <w:t>14</w:t>
      </w:r>
      <w:r w:rsidRPr="00BD6197">
        <w:t>:</w:t>
      </w:r>
      <w:r w:rsidRPr="00BD6197">
        <w:tab/>
        <w:t>spectrum management staff salaries.</w:t>
      </w:r>
    </w:p>
    <w:p w:rsidR="00831CFB" w:rsidRPr="00BD6197" w:rsidRDefault="00831CFB" w:rsidP="00831CFB">
      <w:pPr>
        <w:rPr>
          <w:lang w:val="en-US"/>
        </w:rPr>
      </w:pPr>
      <w:r w:rsidRPr="00BD6197">
        <w:rPr>
          <w:lang w:val="en-US"/>
        </w:rPr>
        <w:t xml:space="preserve">Taxes are not included in the amounts </w:t>
      </w:r>
      <w:r w:rsidRPr="00BD6197">
        <w:rPr>
          <w:i/>
          <w:lang w:val="en-US"/>
        </w:rPr>
        <w:t>C</w:t>
      </w:r>
      <w:r w:rsidRPr="00BD6197">
        <w:rPr>
          <w:vertAlign w:val="subscript"/>
          <w:lang w:val="en-US"/>
        </w:rPr>
        <w:t>11</w:t>
      </w:r>
      <w:r w:rsidRPr="00BD6197">
        <w:rPr>
          <w:i/>
          <w:lang w:val="en-US"/>
        </w:rPr>
        <w:t xml:space="preserve"> – C</w:t>
      </w:r>
      <w:r w:rsidRPr="00BD6197">
        <w:rPr>
          <w:vertAlign w:val="subscript"/>
          <w:lang w:val="en-US"/>
        </w:rPr>
        <w:t>14</w:t>
      </w:r>
      <w:r w:rsidRPr="00BD6197">
        <w:rPr>
          <w:lang w:val="en-US"/>
        </w:rPr>
        <w:t>.</w:t>
      </w:r>
    </w:p>
    <w:p w:rsidR="00831CFB" w:rsidRPr="00BD6197" w:rsidRDefault="00831CFB" w:rsidP="00831CFB">
      <w:pPr>
        <w:rPr>
          <w:lang w:val="en-US"/>
        </w:rPr>
      </w:pPr>
      <w:r w:rsidRPr="00BD6197">
        <w:rPr>
          <w:lang w:val="en-US"/>
        </w:rPr>
        <w:t xml:space="preserve">Coefficient </w:t>
      </w:r>
      <w:r w:rsidRPr="00BD6197">
        <w:rPr>
          <w:i/>
          <w:lang w:val="en-US"/>
        </w:rPr>
        <w:t>C</w:t>
      </w:r>
      <w:r w:rsidRPr="00BD6197">
        <w:rPr>
          <w:vertAlign w:val="subscript"/>
          <w:lang w:val="en-US"/>
        </w:rPr>
        <w:t>2</w:t>
      </w:r>
      <w:r w:rsidRPr="00BD6197">
        <w:rPr>
          <w:lang w:val="en-US"/>
        </w:rPr>
        <w:t xml:space="preserve"> can be presented as the following components:</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r>
      <w:r w:rsidRPr="00BD6197">
        <w:rPr>
          <w:i/>
          <w:iCs/>
          <w:lang w:val="en-US"/>
        </w:rPr>
        <w:t>C</w:t>
      </w:r>
      <w:r w:rsidRPr="00BD6197">
        <w:rPr>
          <w:vertAlign w:val="subscript"/>
          <w:lang w:val="en-US"/>
        </w:rPr>
        <w:t>2</w:t>
      </w:r>
      <w:r w:rsidRPr="00BD6197">
        <w:rPr>
          <w:lang w:val="en-US"/>
        </w:rPr>
        <w:t xml:space="preserve"> </w:t>
      </w:r>
      <w:r w:rsidRPr="00BD6197">
        <w:rPr>
          <w:rFonts w:ascii="Symbol" w:hAnsi="Symbol"/>
          <w:lang w:val="en-US"/>
        </w:rPr>
        <w:t></w:t>
      </w:r>
      <w:r w:rsidRPr="00BD6197">
        <w:rPr>
          <w:lang w:val="en-US"/>
        </w:rPr>
        <w:t xml:space="preserve"> </w:t>
      </w:r>
      <w:r w:rsidRPr="00BD6197">
        <w:rPr>
          <w:i/>
          <w:iCs/>
          <w:lang w:val="en-US"/>
        </w:rPr>
        <w:t>C</w:t>
      </w:r>
      <w:r w:rsidRPr="00BD6197">
        <w:rPr>
          <w:vertAlign w:val="subscript"/>
          <w:lang w:val="en-US"/>
        </w:rPr>
        <w:t>21</w:t>
      </w:r>
      <w:r w:rsidRPr="00BD6197">
        <w:rPr>
          <w:lang w:val="en-US"/>
        </w:rPr>
        <w:t xml:space="preserve"> </w:t>
      </w:r>
      <w:r w:rsidRPr="00BD6197">
        <w:rPr>
          <w:rFonts w:ascii="Symbol" w:hAnsi="Symbol"/>
          <w:lang w:val="en-US"/>
        </w:rPr>
        <w:t></w:t>
      </w:r>
      <w:r w:rsidRPr="00BD6197">
        <w:rPr>
          <w:lang w:val="en-US"/>
        </w:rPr>
        <w:t xml:space="preserve"> </w:t>
      </w:r>
      <w:r w:rsidRPr="00BD6197">
        <w:rPr>
          <w:i/>
          <w:iCs/>
          <w:lang w:val="en-US"/>
        </w:rPr>
        <w:t>C</w:t>
      </w:r>
      <w:r w:rsidRPr="00BD6197">
        <w:rPr>
          <w:vertAlign w:val="subscript"/>
          <w:lang w:val="en-US"/>
        </w:rPr>
        <w:t>22</w:t>
      </w:r>
      <w:r w:rsidRPr="00BD6197">
        <w:rPr>
          <w:lang w:val="en-US"/>
        </w:rPr>
        <w:tab/>
        <w:t>(19)</w:t>
      </w:r>
    </w:p>
    <w:p w:rsidR="00831CFB" w:rsidRPr="00BD6197" w:rsidRDefault="00831CFB" w:rsidP="00831CFB">
      <w:pPr>
        <w:rPr>
          <w:rFonts w:eastAsia="SimSun"/>
          <w:lang w:val="en-US" w:eastAsia="zh-CN"/>
        </w:rPr>
      </w:pPr>
      <w:r w:rsidRPr="00BD6197">
        <w:rPr>
          <w:rFonts w:eastAsia="SimSun"/>
          <w:lang w:val="en-US" w:eastAsia="zh-CN"/>
        </w:rPr>
        <w:t>where:</w:t>
      </w:r>
    </w:p>
    <w:p w:rsidR="00831CFB" w:rsidRPr="00BD6197" w:rsidRDefault="00831CFB" w:rsidP="00831CFB">
      <w:pPr>
        <w:pStyle w:val="Equationlegend"/>
      </w:pPr>
      <w:r w:rsidRPr="00BD6197">
        <w:rPr>
          <w:i/>
        </w:rPr>
        <w:lastRenderedPageBreak/>
        <w:tab/>
        <w:t>C</w:t>
      </w:r>
      <w:r w:rsidRPr="00BD6197">
        <w:rPr>
          <w:vertAlign w:val="subscript"/>
        </w:rPr>
        <w:t>21</w:t>
      </w:r>
      <w:r w:rsidRPr="00BD6197">
        <w:t>:</w:t>
      </w:r>
      <w:r w:rsidRPr="00BD6197">
        <w:tab/>
        <w:t>taxes on the incomes of a national spectrum management body and taxes included in the cost of the equipment, software, materials etc., which are bought by this body from the market</w:t>
      </w:r>
    </w:p>
    <w:p w:rsidR="00831CFB" w:rsidRPr="00BD6197" w:rsidRDefault="00831CFB" w:rsidP="00831CFB">
      <w:pPr>
        <w:pStyle w:val="Equationlegend"/>
      </w:pPr>
      <w:r w:rsidRPr="00BD6197">
        <w:rPr>
          <w:i/>
        </w:rPr>
        <w:tab/>
        <w:t>C</w:t>
      </w:r>
      <w:r w:rsidRPr="00BD6197">
        <w:rPr>
          <w:vertAlign w:val="subscript"/>
        </w:rPr>
        <w:t>22</w:t>
      </w:r>
      <w:r w:rsidRPr="00BD6197">
        <w:t>:</w:t>
      </w:r>
      <w:r w:rsidRPr="00BD6197">
        <w:tab/>
        <w:t>additional payment for spectrum use coming directly to a State budget.</w:t>
      </w:r>
    </w:p>
    <w:p w:rsidR="00831CFB" w:rsidRPr="00BD6197" w:rsidRDefault="00831CFB" w:rsidP="00831CFB">
      <w:pPr>
        <w:rPr>
          <w:lang w:val="en-US"/>
        </w:rPr>
      </w:pPr>
      <w:r w:rsidRPr="00BD6197">
        <w:rPr>
          <w:lang w:val="en-US"/>
        </w:rPr>
        <w:t xml:space="preserve">To encourage faster development of radio communication services to support economic development of a country some countries do not apply such additional charges. Equations (17) and (19) do not take into account any indirect income of the State from the used spectral resource in the form of taxes from the incomes of the telecommunication operators whose activity is connected with spectral resource use (for example, taxes from the incomes of the cellular communication operators). This component of the income of the State usually is collected and repeatedly exceeds reasonable values of </w:t>
      </w:r>
      <w:r w:rsidRPr="00BD6197">
        <w:rPr>
          <w:i/>
          <w:lang w:val="en-US"/>
        </w:rPr>
        <w:t>C</w:t>
      </w:r>
      <w:r w:rsidRPr="00BD6197">
        <w:rPr>
          <w:vertAlign w:val="subscript"/>
          <w:lang w:val="en-US"/>
        </w:rPr>
        <w:t>22</w:t>
      </w:r>
      <w:r w:rsidRPr="00BD6197">
        <w:rPr>
          <w:lang w:val="en-US"/>
        </w:rPr>
        <w:t>, if those would be collected. At the same time these taxes are also</w:t>
      </w:r>
      <w:r w:rsidRPr="00BD6197">
        <w:rPr>
          <w:b/>
          <w:lang w:val="en-US"/>
        </w:rPr>
        <w:t xml:space="preserve"> </w:t>
      </w:r>
      <w:r w:rsidRPr="00BD6197">
        <w:rPr>
          <w:lang w:val="en-US"/>
        </w:rPr>
        <w:t>the State income from used spectral resource although an indirect one.</w:t>
      </w:r>
    </w:p>
    <w:p w:rsidR="00831CFB" w:rsidRPr="00BD6197" w:rsidRDefault="00831CFB" w:rsidP="00831CFB">
      <w:pPr>
        <w:rPr>
          <w:lang w:val="en-US"/>
        </w:rPr>
      </w:pPr>
      <w:r w:rsidRPr="00BD6197">
        <w:rPr>
          <w:lang w:val="en-US"/>
        </w:rPr>
        <w:t xml:space="preserve">In essence </w:t>
      </w:r>
      <w:r w:rsidRPr="00BD6197">
        <w:rPr>
          <w:i/>
          <w:lang w:val="en-US"/>
        </w:rPr>
        <w:t>C</w:t>
      </w:r>
      <w:r w:rsidRPr="00BD6197">
        <w:rPr>
          <w:vertAlign w:val="subscript"/>
          <w:lang w:val="en-US"/>
        </w:rPr>
        <w:t>22</w:t>
      </w:r>
      <w:r w:rsidRPr="00BD6197">
        <w:rPr>
          <w:lang w:val="en-US"/>
        </w:rPr>
        <w:t xml:space="preserve"> is some kind of advanced payment to the State for a spectrum and many telecommunication operators, especially in the developing countries, will not be immediately be able to make such large payments and furthermore this could be an obstacle to development.</w:t>
      </w:r>
    </w:p>
    <w:p w:rsidR="00831CFB" w:rsidRPr="00BD6197" w:rsidRDefault="00831CFB" w:rsidP="00831CFB">
      <w:pPr>
        <w:rPr>
          <w:lang w:val="en-US"/>
        </w:rPr>
      </w:pPr>
      <w:r w:rsidRPr="00BD6197">
        <w:rPr>
          <w:lang w:val="en-US"/>
        </w:rPr>
        <w:t xml:space="preserve">A good measure of the provision of an economic incentive is to reduce to a minimum the </w:t>
      </w:r>
      <w:r w:rsidRPr="00BD6197">
        <w:rPr>
          <w:i/>
          <w:lang w:val="en-US"/>
        </w:rPr>
        <w:t>C</w:t>
      </w:r>
      <w:r w:rsidRPr="00BD6197">
        <w:rPr>
          <w:vertAlign w:val="subscript"/>
          <w:lang w:val="en-US"/>
        </w:rPr>
        <w:t>22</w:t>
      </w:r>
      <w:r w:rsidRPr="00BD6197">
        <w:rPr>
          <w:position w:val="-4"/>
          <w:lang w:val="en-US"/>
        </w:rPr>
        <w:t xml:space="preserve"> </w:t>
      </w:r>
      <w:r w:rsidRPr="00BD6197">
        <w:rPr>
          <w:lang w:val="en-US"/>
        </w:rPr>
        <w:t xml:space="preserve">component, so that a telecommunication operator begins to provide service as quickly as possible. The loss of this </w:t>
      </w:r>
      <w:r w:rsidRPr="00BD6197">
        <w:rPr>
          <w:i/>
          <w:lang w:val="en-US"/>
        </w:rPr>
        <w:t>C</w:t>
      </w:r>
      <w:r w:rsidRPr="00BD6197">
        <w:rPr>
          <w:vertAlign w:val="subscript"/>
          <w:lang w:val="en-US"/>
        </w:rPr>
        <w:t>22</w:t>
      </w:r>
      <w:r w:rsidRPr="00BD6197">
        <w:rPr>
          <w:lang w:val="en-US"/>
        </w:rPr>
        <w:t xml:space="preserve"> component can be easily compensated by a State from taxes from the telecommunication operator’s activity.</w:t>
      </w:r>
    </w:p>
    <w:p w:rsidR="00831CFB" w:rsidRPr="00BD6197" w:rsidRDefault="00831CFB" w:rsidP="00831CFB">
      <w:pPr>
        <w:rPr>
          <w:lang w:val="en-US"/>
        </w:rPr>
      </w:pPr>
      <w:r w:rsidRPr="00BD6197">
        <w:rPr>
          <w:lang w:val="en-US"/>
        </w:rPr>
        <w:t>Thus, for the purposes of rapid development of telecommunications and information services in a country and the creation of economic incentives to the telecommunication operators, it is essential to hold spectrum payments</w:t>
      </w:r>
      <w:r w:rsidRPr="00BD6197">
        <w:rPr>
          <w:b/>
          <w:lang w:val="en-US"/>
        </w:rPr>
        <w:t xml:space="preserve"> </w:t>
      </w:r>
      <w:r w:rsidRPr="00BD6197">
        <w:rPr>
          <w:lang w:val="en-US"/>
        </w:rPr>
        <w:t>to the minimum</w:t>
      </w:r>
      <w:r w:rsidRPr="00BD6197">
        <w:rPr>
          <w:b/>
          <w:lang w:val="en-US"/>
        </w:rPr>
        <w:t xml:space="preserve"> </w:t>
      </w:r>
      <w:r w:rsidRPr="00BD6197">
        <w:rPr>
          <w:lang w:val="en-US"/>
        </w:rPr>
        <w:t>necessary values to cover the costs of a national spectrum management. Administrations can gain further fees from the license for applications to which the spectrum is used and furthermore the taxes on operator revenues will compensate for the revenue foregone. This will be the case particularly where spectrum fees and licensing are treated separately.</w:t>
      </w:r>
    </w:p>
    <w:p w:rsidR="00831CFB" w:rsidRPr="00BD6197" w:rsidRDefault="00831CFB" w:rsidP="00831CFB">
      <w:pPr>
        <w:pStyle w:val="Heading3"/>
        <w:rPr>
          <w:lang w:val="en-US"/>
        </w:rPr>
      </w:pPr>
      <w:bookmarkStart w:id="1531" w:name="_Toc289868834"/>
      <w:bookmarkStart w:id="1532" w:name="_Toc289868994"/>
      <w:bookmarkStart w:id="1533" w:name="_Toc289932302"/>
      <w:bookmarkStart w:id="1534" w:name="_Toc289933348"/>
      <w:bookmarkStart w:id="1535" w:name="_Toc291852911"/>
      <w:bookmarkStart w:id="1536" w:name="_Toc392515897"/>
      <w:bookmarkStart w:id="1537" w:name="_Toc462234065"/>
      <w:bookmarkStart w:id="1538" w:name="_Toc518394224"/>
      <w:r w:rsidRPr="00BD6197">
        <w:rPr>
          <w:lang w:val="en-US"/>
        </w:rPr>
        <w:t>4.6.5</w:t>
      </w:r>
      <w:r w:rsidRPr="00BD6197">
        <w:rPr>
          <w:lang w:val="en-US"/>
        </w:rPr>
        <w:tab/>
        <w:t>Determination of the used spectral resource value</w:t>
      </w:r>
      <w:bookmarkEnd w:id="1531"/>
      <w:bookmarkEnd w:id="1532"/>
      <w:bookmarkEnd w:id="1533"/>
      <w:bookmarkEnd w:id="1534"/>
      <w:bookmarkEnd w:id="1535"/>
      <w:bookmarkEnd w:id="1536"/>
      <w:bookmarkEnd w:id="1537"/>
      <w:bookmarkEnd w:id="1538"/>
    </w:p>
    <w:p w:rsidR="00831CFB" w:rsidRPr="00BD6197" w:rsidRDefault="00831CFB" w:rsidP="00831CFB">
      <w:pPr>
        <w:rPr>
          <w:lang w:val="en-US"/>
        </w:rPr>
      </w:pPr>
      <w:r w:rsidRPr="00BD6197">
        <w:rPr>
          <w:lang w:val="en-US"/>
        </w:rPr>
        <w:t xml:space="preserve">Proceeding from equations (17)-(19) it is possible to determine </w:t>
      </w:r>
      <w:r w:rsidRPr="00BD6197">
        <w:rPr>
          <w:i/>
          <w:lang w:val="en-US"/>
        </w:rPr>
        <w:t>C</w:t>
      </w:r>
      <w:r w:rsidRPr="00BD6197">
        <w:rPr>
          <w:i/>
          <w:vertAlign w:val="subscript"/>
          <w:lang w:val="en-US"/>
        </w:rPr>
        <w:t>an</w:t>
      </w:r>
      <w:r w:rsidRPr="00BD6197">
        <w:rPr>
          <w:lang w:val="en-US"/>
        </w:rPr>
        <w:t xml:space="preserve"> representing the cumulative annual expenditures and income payment for all spectral resources, used in the country. The second step is to determine the spectral resource value used by each user and then by all users. These are calculated on the basis of data regarding each frequency assignment contained in a national Spectrum Management Database.</w:t>
      </w:r>
    </w:p>
    <w:p w:rsidR="00831CFB" w:rsidRPr="00BD6197" w:rsidRDefault="00831CFB" w:rsidP="00831CFB">
      <w:pPr>
        <w:rPr>
          <w:lang w:val="en-US"/>
        </w:rPr>
      </w:pPr>
      <w:r w:rsidRPr="00BD6197">
        <w:rPr>
          <w:lang w:val="en-US"/>
        </w:rPr>
        <w:t>The method proposed is as follows.</w:t>
      </w:r>
    </w:p>
    <w:p w:rsidR="00831CFB" w:rsidRPr="00BD6197" w:rsidRDefault="00831CFB" w:rsidP="00831CFB">
      <w:pPr>
        <w:rPr>
          <w:lang w:val="en-US"/>
        </w:rPr>
      </w:pPr>
      <w:r w:rsidRPr="00BD6197">
        <w:rPr>
          <w:lang w:val="en-US"/>
        </w:rPr>
        <w:t xml:space="preserve">For any </w:t>
      </w:r>
      <w:r w:rsidRPr="00BD6197">
        <w:rPr>
          <w:i/>
          <w:lang w:val="en-US"/>
        </w:rPr>
        <w:t>i</w:t>
      </w:r>
      <w:r w:rsidRPr="00BD6197">
        <w:rPr>
          <w:lang w:val="en-US"/>
        </w:rPr>
        <w:t xml:space="preserve">-th frequency assignment (from their total amount </w:t>
      </w:r>
      <w:r w:rsidRPr="00BD6197">
        <w:rPr>
          <w:i/>
          <w:lang w:val="en-US"/>
        </w:rPr>
        <w:t>n</w:t>
      </w:r>
      <w:r w:rsidRPr="00BD6197">
        <w:rPr>
          <w:lang w:val="en-US"/>
        </w:rPr>
        <w:t xml:space="preserve"> incorporated in the national database) the three-dimensional value of the spectral resource, denoted as </w:t>
      </w:r>
      <w:r w:rsidRPr="00BD6197">
        <w:rPr>
          <w:i/>
          <w:lang w:val="en-US"/>
        </w:rPr>
        <w:t>W</w:t>
      </w:r>
      <w:r w:rsidRPr="00BD6197">
        <w:rPr>
          <w:i/>
          <w:vertAlign w:val="subscript"/>
          <w:lang w:val="en-US"/>
        </w:rPr>
        <w:t>i</w:t>
      </w:r>
      <w:r w:rsidRPr="00BD6197">
        <w:rPr>
          <w:lang w:val="en-US"/>
        </w:rPr>
        <w:t>, is to be determined as follows:</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r>
      <w:r w:rsidRPr="00BD6197">
        <w:rPr>
          <w:i/>
          <w:iCs/>
          <w:lang w:val="en-US"/>
        </w:rPr>
        <w:t>W</w:t>
      </w:r>
      <w:r w:rsidRPr="00BD6197">
        <w:rPr>
          <w:i/>
          <w:iCs/>
          <w:vertAlign w:val="subscript"/>
          <w:lang w:val="en-US"/>
        </w:rPr>
        <w:t>i</w:t>
      </w:r>
      <w:r w:rsidRPr="00BD6197">
        <w:rPr>
          <w:lang w:val="en-US"/>
        </w:rPr>
        <w:t xml:space="preserve"> </w:t>
      </w:r>
      <w:r w:rsidRPr="00BD6197">
        <w:rPr>
          <w:rFonts w:ascii="Symbol" w:hAnsi="Symbol"/>
          <w:lang w:val="en-US"/>
        </w:rPr>
        <w:t></w:t>
      </w:r>
      <w:r w:rsidRPr="00BD6197">
        <w:rPr>
          <w:lang w:val="en-US"/>
        </w:rPr>
        <w:t xml:space="preserve"> </w:t>
      </w:r>
      <w:r w:rsidRPr="00BD6197">
        <w:rPr>
          <w:lang w:val="en-US"/>
        </w:rPr>
        <w:sym w:font="Symbol" w:char="F061"/>
      </w:r>
      <w:r w:rsidRPr="00BD6197">
        <w:rPr>
          <w:i/>
          <w:iCs/>
          <w:vertAlign w:val="subscript"/>
          <w:lang w:val="en-US"/>
        </w:rPr>
        <w:t>i</w:t>
      </w:r>
      <w:r w:rsidRPr="00BD6197">
        <w:rPr>
          <w:lang w:val="en-US"/>
        </w:rPr>
        <w:t xml:space="preserve"> </w:t>
      </w:r>
      <w:r w:rsidRPr="00BD6197">
        <w:rPr>
          <w:rFonts w:ascii="Symbol" w:hAnsi="Symbol"/>
          <w:lang w:val="en-US"/>
        </w:rPr>
        <w:fldChar w:fldCharType="begin"/>
      </w:r>
      <w:r w:rsidRPr="00BD6197">
        <w:rPr>
          <w:rFonts w:ascii="Symbol" w:hAnsi="Symbol"/>
          <w:lang w:val="en-US"/>
        </w:rPr>
        <w:instrText>SYMBOL 215 \f "Symbol" \s 14</w:instrText>
      </w:r>
      <w:r w:rsidRPr="00BD6197">
        <w:rPr>
          <w:rFonts w:ascii="Symbol" w:hAnsi="Symbol"/>
          <w:lang w:val="en-US"/>
        </w:rPr>
        <w:fldChar w:fldCharType="separate"/>
      </w:r>
      <w:r w:rsidRPr="00BD6197">
        <w:rPr>
          <w:rFonts w:ascii="Symbol" w:hAnsi="Symbol"/>
          <w:lang w:val="en-US"/>
        </w:rPr>
        <w:t>×</w:t>
      </w:r>
      <w:r w:rsidRPr="00BD6197">
        <w:rPr>
          <w:rFonts w:ascii="Symbol" w:hAnsi="Symbol"/>
          <w:lang w:val="en-US"/>
        </w:rPr>
        <w:fldChar w:fldCharType="end"/>
      </w:r>
      <w:r w:rsidRPr="00BD6197">
        <w:rPr>
          <w:lang w:val="en-US"/>
        </w:rPr>
        <w:t xml:space="preserve"> </w:t>
      </w:r>
      <w:r w:rsidRPr="00BD6197">
        <w:rPr>
          <w:lang w:val="en-US"/>
        </w:rPr>
        <w:sym w:font="Symbol" w:char="F062"/>
      </w:r>
      <w:r w:rsidRPr="00BD6197">
        <w:rPr>
          <w:i/>
          <w:iCs/>
          <w:vertAlign w:val="subscript"/>
          <w:lang w:val="en-US"/>
        </w:rPr>
        <w:t>i</w:t>
      </w:r>
      <w:r w:rsidRPr="00BD6197">
        <w:rPr>
          <w:lang w:val="en-US"/>
        </w:rPr>
        <w:t xml:space="preserve"> </w:t>
      </w:r>
      <w:r w:rsidRPr="00BD6197">
        <w:rPr>
          <w:lang w:val="en-US"/>
        </w:rPr>
        <w:fldChar w:fldCharType="begin"/>
      </w:r>
      <w:r w:rsidRPr="00BD6197">
        <w:rPr>
          <w:lang w:val="en-US"/>
        </w:rPr>
        <w:instrText>SYMBOL 215 \f "Symbol" \s 14</w:instrText>
      </w:r>
      <w:r w:rsidRPr="00BD6197">
        <w:rPr>
          <w:lang w:val="en-US"/>
        </w:rPr>
        <w:fldChar w:fldCharType="separate"/>
      </w:r>
      <w:r w:rsidRPr="00BD6197">
        <w:rPr>
          <w:lang w:val="en-US"/>
        </w:rPr>
        <w:t>×</w:t>
      </w:r>
      <w:r w:rsidRPr="00BD6197">
        <w:rPr>
          <w:lang w:val="en-US"/>
        </w:rPr>
        <w:fldChar w:fldCharType="end"/>
      </w:r>
      <w:r w:rsidRPr="00BD6197">
        <w:rPr>
          <w:lang w:val="en-US"/>
        </w:rPr>
        <w:t xml:space="preserve"> (</w:t>
      </w:r>
      <w:r w:rsidRPr="00BD6197">
        <w:rPr>
          <w:i/>
          <w:iCs/>
          <w:lang w:val="en-US"/>
        </w:rPr>
        <w:t>F</w:t>
      </w:r>
      <w:r w:rsidRPr="00BD6197">
        <w:rPr>
          <w:i/>
          <w:iCs/>
          <w:vertAlign w:val="subscript"/>
          <w:lang w:val="en-US"/>
        </w:rPr>
        <w:t>i</w:t>
      </w:r>
      <w:r w:rsidRPr="00BD6197">
        <w:rPr>
          <w:lang w:val="en-US"/>
        </w:rPr>
        <w:t xml:space="preserve"> </w:t>
      </w:r>
      <w:r w:rsidRPr="00BD6197">
        <w:rPr>
          <w:rFonts w:ascii="Symbol" w:hAnsi="Symbol"/>
          <w:lang w:val="en-US"/>
        </w:rPr>
        <w:fldChar w:fldCharType="begin"/>
      </w:r>
      <w:r w:rsidRPr="00BD6197">
        <w:rPr>
          <w:rFonts w:ascii="Symbol" w:hAnsi="Symbol"/>
          <w:lang w:val="en-US"/>
        </w:rPr>
        <w:instrText>SYMBOL 215 \f "Symbol" \s 14</w:instrText>
      </w:r>
      <w:r w:rsidRPr="00BD6197">
        <w:rPr>
          <w:rFonts w:ascii="Symbol" w:hAnsi="Symbol"/>
          <w:lang w:val="en-US"/>
        </w:rPr>
        <w:fldChar w:fldCharType="separate"/>
      </w:r>
      <w:r w:rsidRPr="00BD6197">
        <w:rPr>
          <w:rFonts w:ascii="Symbol" w:hAnsi="Symbol"/>
          <w:lang w:val="en-US"/>
        </w:rPr>
        <w:t>×</w:t>
      </w:r>
      <w:r w:rsidRPr="00BD6197">
        <w:rPr>
          <w:rFonts w:ascii="Symbol" w:hAnsi="Symbol"/>
          <w:lang w:val="en-US"/>
        </w:rPr>
        <w:fldChar w:fldCharType="end"/>
      </w:r>
      <w:r w:rsidRPr="00BD6197">
        <w:rPr>
          <w:lang w:val="en-US"/>
        </w:rPr>
        <w:t xml:space="preserve"> </w:t>
      </w:r>
      <w:r w:rsidRPr="00BD6197">
        <w:rPr>
          <w:i/>
          <w:iCs/>
          <w:lang w:val="en-US"/>
        </w:rPr>
        <w:t>S</w:t>
      </w:r>
      <w:r w:rsidRPr="00BD6197">
        <w:rPr>
          <w:i/>
          <w:iCs/>
          <w:vertAlign w:val="subscript"/>
          <w:lang w:val="en-US"/>
        </w:rPr>
        <w:t>i</w:t>
      </w:r>
      <w:r w:rsidRPr="00BD6197">
        <w:rPr>
          <w:lang w:val="en-US"/>
        </w:rPr>
        <w:t xml:space="preserve"> </w:t>
      </w:r>
      <w:r w:rsidRPr="00BD6197">
        <w:rPr>
          <w:rFonts w:ascii="Symbol" w:hAnsi="Symbol"/>
          <w:lang w:val="en-US"/>
        </w:rPr>
        <w:fldChar w:fldCharType="begin"/>
      </w:r>
      <w:r w:rsidRPr="00BD6197">
        <w:rPr>
          <w:rFonts w:ascii="Symbol" w:hAnsi="Symbol"/>
          <w:lang w:val="en-US"/>
        </w:rPr>
        <w:instrText>SYMBOL 215 \f "Symbol" \s 14</w:instrText>
      </w:r>
      <w:r w:rsidRPr="00BD6197">
        <w:rPr>
          <w:rFonts w:ascii="Symbol" w:hAnsi="Symbol"/>
          <w:lang w:val="en-US"/>
        </w:rPr>
        <w:fldChar w:fldCharType="separate"/>
      </w:r>
      <w:r w:rsidRPr="00BD6197">
        <w:rPr>
          <w:rFonts w:ascii="Symbol" w:hAnsi="Symbol"/>
          <w:lang w:val="en-US"/>
        </w:rPr>
        <w:t>×</w:t>
      </w:r>
      <w:r w:rsidRPr="00BD6197">
        <w:rPr>
          <w:rFonts w:ascii="Symbol" w:hAnsi="Symbol"/>
          <w:lang w:val="en-US"/>
        </w:rPr>
        <w:fldChar w:fldCharType="end"/>
      </w:r>
      <w:r w:rsidRPr="00BD6197">
        <w:rPr>
          <w:lang w:val="en-US"/>
        </w:rPr>
        <w:t xml:space="preserve"> </w:t>
      </w:r>
      <w:r w:rsidRPr="00BD6197">
        <w:rPr>
          <w:i/>
          <w:iCs/>
          <w:lang w:val="en-US"/>
        </w:rPr>
        <w:t>T</w:t>
      </w:r>
      <w:r w:rsidRPr="00BD6197">
        <w:rPr>
          <w:i/>
          <w:iCs/>
          <w:vertAlign w:val="subscript"/>
          <w:lang w:val="en-US"/>
        </w:rPr>
        <w:t>i</w:t>
      </w:r>
      <w:r w:rsidRPr="00BD6197">
        <w:rPr>
          <w:lang w:val="en-US"/>
        </w:rPr>
        <w:t>)</w:t>
      </w:r>
      <w:r w:rsidRPr="00BD6197">
        <w:rPr>
          <w:lang w:val="en-US"/>
        </w:rPr>
        <w:tab/>
        <w:t>(20)</w:t>
      </w:r>
    </w:p>
    <w:p w:rsidR="00831CFB" w:rsidRPr="00BD6197" w:rsidRDefault="00831CFB" w:rsidP="00831CFB">
      <w:pPr>
        <w:keepNext/>
        <w:keepLines/>
        <w:rPr>
          <w:lang w:val="en-US"/>
        </w:rPr>
      </w:pPr>
      <w:r w:rsidRPr="00BD6197">
        <w:rPr>
          <w:lang w:val="en-US"/>
        </w:rPr>
        <w:t xml:space="preserve">where for </w:t>
      </w:r>
      <w:r w:rsidRPr="00BD6197">
        <w:rPr>
          <w:i/>
          <w:lang w:val="en-US"/>
        </w:rPr>
        <w:t>i</w:t>
      </w:r>
      <w:r w:rsidRPr="00BD6197">
        <w:rPr>
          <w:lang w:val="en-US"/>
        </w:rPr>
        <w:t>-th frequency assignment:</w:t>
      </w:r>
    </w:p>
    <w:p w:rsidR="00831CFB" w:rsidRPr="00BD6197" w:rsidRDefault="00831CFB" w:rsidP="00831CFB">
      <w:pPr>
        <w:pStyle w:val="Equationlegend"/>
        <w:keepNext/>
        <w:keepLines/>
      </w:pPr>
      <w:r w:rsidRPr="00BD6197">
        <w:rPr>
          <w:i/>
        </w:rPr>
        <w:tab/>
      </w:r>
      <w:r w:rsidRPr="00BD6197">
        <w:rPr>
          <w:i/>
          <w:iCs/>
        </w:rPr>
        <w:t>F</w:t>
      </w:r>
      <w:r w:rsidRPr="00BD6197">
        <w:rPr>
          <w:i/>
          <w:iCs/>
          <w:vertAlign w:val="subscript"/>
        </w:rPr>
        <w:t>i</w:t>
      </w:r>
      <w:r w:rsidRPr="00BD6197">
        <w:rPr>
          <w:rFonts w:ascii="Tms Rmn" w:hAnsi="Tms Rmn"/>
          <w:sz w:val="12"/>
        </w:rPr>
        <w:t> </w:t>
      </w:r>
      <w:r w:rsidRPr="00BD6197">
        <w:t>:</w:t>
      </w:r>
      <w:r w:rsidRPr="00BD6197">
        <w:tab/>
        <w:t>frequency resource</w:t>
      </w:r>
    </w:p>
    <w:p w:rsidR="00831CFB" w:rsidRPr="00BD6197" w:rsidRDefault="00831CFB" w:rsidP="00831CFB">
      <w:pPr>
        <w:pStyle w:val="Equationlegend"/>
        <w:keepNext/>
        <w:keepLines/>
      </w:pPr>
      <w:r w:rsidRPr="00BD6197">
        <w:rPr>
          <w:i/>
        </w:rPr>
        <w:tab/>
      </w:r>
      <w:r w:rsidRPr="00BD6197">
        <w:rPr>
          <w:i/>
          <w:iCs/>
        </w:rPr>
        <w:t>S</w:t>
      </w:r>
      <w:r w:rsidRPr="00BD6197">
        <w:rPr>
          <w:i/>
          <w:iCs/>
          <w:vertAlign w:val="subscript"/>
        </w:rPr>
        <w:t>i</w:t>
      </w:r>
      <w:r w:rsidRPr="00BD6197">
        <w:rPr>
          <w:rFonts w:ascii="Tms Rmn" w:hAnsi="Tms Rmn"/>
          <w:sz w:val="12"/>
        </w:rPr>
        <w:t> </w:t>
      </w:r>
      <w:r w:rsidRPr="00BD6197">
        <w:t>:</w:t>
      </w:r>
      <w:r w:rsidRPr="00BD6197">
        <w:tab/>
        <w:t>territorial resource</w:t>
      </w:r>
    </w:p>
    <w:p w:rsidR="00831CFB" w:rsidRPr="00BD6197" w:rsidRDefault="00831CFB" w:rsidP="00831CFB">
      <w:pPr>
        <w:pStyle w:val="Equationlegend"/>
      </w:pPr>
      <w:r w:rsidRPr="00BD6197">
        <w:rPr>
          <w:i/>
        </w:rPr>
        <w:tab/>
      </w:r>
      <w:r w:rsidRPr="00BD6197">
        <w:rPr>
          <w:i/>
          <w:iCs/>
        </w:rPr>
        <w:t>T</w:t>
      </w:r>
      <w:r w:rsidRPr="00BD6197">
        <w:rPr>
          <w:i/>
          <w:iCs/>
          <w:vertAlign w:val="subscript"/>
        </w:rPr>
        <w:t>i</w:t>
      </w:r>
      <w:r w:rsidRPr="00BD6197">
        <w:rPr>
          <w:rFonts w:ascii="Tms Rmn" w:hAnsi="Tms Rmn"/>
          <w:sz w:val="12"/>
        </w:rPr>
        <w:t> </w:t>
      </w:r>
      <w:r w:rsidRPr="00BD6197">
        <w:t>:</w:t>
      </w:r>
      <w:r w:rsidRPr="00BD6197">
        <w:tab/>
        <w:t>time resource</w:t>
      </w:r>
    </w:p>
    <w:p w:rsidR="00831CFB" w:rsidRPr="00BD6197" w:rsidRDefault="00831CFB" w:rsidP="00831CFB">
      <w:pPr>
        <w:pStyle w:val="Equationlegend"/>
      </w:pPr>
      <w:r w:rsidRPr="00BD6197">
        <w:rPr>
          <w:i/>
        </w:rPr>
        <w:tab/>
      </w:r>
      <w:r w:rsidRPr="00BD6197">
        <w:rPr>
          <w:iCs/>
        </w:rPr>
        <w:sym w:font="Symbol" w:char="F061"/>
      </w:r>
      <w:r w:rsidRPr="00BD6197">
        <w:rPr>
          <w:i/>
          <w:iCs/>
          <w:vertAlign w:val="subscript"/>
        </w:rPr>
        <w:t>i</w:t>
      </w:r>
      <w:r w:rsidRPr="00BD6197">
        <w:rPr>
          <w:rFonts w:ascii="Tms Rmn" w:hAnsi="Tms Rmn"/>
          <w:sz w:val="12"/>
        </w:rPr>
        <w:t> </w:t>
      </w:r>
      <w:r w:rsidRPr="00BD6197">
        <w:t>:</w:t>
      </w:r>
      <w:r w:rsidRPr="00BD6197">
        <w:tab/>
        <w:t>aggregate coefficient which takes into account a number of weighting factors, such as commercial, social and operational ones as it is given below</w:t>
      </w:r>
    </w:p>
    <w:p w:rsidR="00831CFB" w:rsidRPr="00BD6197" w:rsidRDefault="00831CFB" w:rsidP="00831CFB">
      <w:pPr>
        <w:pStyle w:val="Equationlegend"/>
      </w:pPr>
      <w:r w:rsidRPr="00BD6197">
        <w:rPr>
          <w:i/>
        </w:rPr>
        <w:tab/>
      </w:r>
      <w:r w:rsidRPr="00BD6197">
        <w:rPr>
          <w:iCs/>
        </w:rPr>
        <w:sym w:font="Symbol" w:char="F062"/>
      </w:r>
      <w:r w:rsidRPr="00BD6197">
        <w:rPr>
          <w:i/>
          <w:iCs/>
          <w:vertAlign w:val="subscript"/>
        </w:rPr>
        <w:t>i</w:t>
      </w:r>
      <w:r w:rsidRPr="00BD6197">
        <w:rPr>
          <w:rFonts w:ascii="Tms Rmn" w:hAnsi="Tms Rmn"/>
          <w:sz w:val="12"/>
        </w:rPr>
        <w:t> </w:t>
      </w:r>
      <w:r w:rsidRPr="00BD6197">
        <w:t>:</w:t>
      </w:r>
      <w:r w:rsidRPr="00BD6197">
        <w:tab/>
        <w:t>weighting coefficient which determines exclusiveness of the frequency assignment as it is given below.</w:t>
      </w:r>
    </w:p>
    <w:p w:rsidR="00831CFB" w:rsidRPr="00BD6197" w:rsidRDefault="00831CFB" w:rsidP="00831CFB">
      <w:pPr>
        <w:rPr>
          <w:rFonts w:eastAsia="SimSun"/>
          <w:lang w:val="en-US" w:eastAsia="zh-CN"/>
        </w:rPr>
      </w:pPr>
      <w:r w:rsidRPr="00BD6197">
        <w:rPr>
          <w:rFonts w:eastAsia="SimSun"/>
          <w:lang w:val="en-US" w:eastAsia="zh-CN"/>
        </w:rPr>
        <w:lastRenderedPageBreak/>
        <w:t>Let us consider items of equation (20) in their reverse order.</w:t>
      </w:r>
    </w:p>
    <w:p w:rsidR="00831CFB" w:rsidRPr="00BD6197" w:rsidRDefault="00831CFB" w:rsidP="00831CFB">
      <w:pPr>
        <w:pStyle w:val="Heading3"/>
        <w:rPr>
          <w:lang w:val="en-US"/>
        </w:rPr>
      </w:pPr>
      <w:bookmarkStart w:id="1539" w:name="_Toc289868835"/>
      <w:bookmarkStart w:id="1540" w:name="_Toc289868995"/>
      <w:bookmarkStart w:id="1541" w:name="_Toc289932303"/>
      <w:bookmarkStart w:id="1542" w:name="_Toc289933349"/>
      <w:bookmarkStart w:id="1543" w:name="_Toc291852912"/>
      <w:bookmarkStart w:id="1544" w:name="_Toc392515898"/>
      <w:bookmarkStart w:id="1545" w:name="_Toc462234066"/>
      <w:bookmarkStart w:id="1546" w:name="_Toc518394225"/>
      <w:r w:rsidRPr="00BD6197">
        <w:rPr>
          <w:lang w:val="en-US"/>
        </w:rPr>
        <w:t>4.6.6</w:t>
      </w:r>
      <w:r w:rsidRPr="00BD6197">
        <w:rPr>
          <w:lang w:val="en-US"/>
        </w:rPr>
        <w:tab/>
        <w:t>Determination of a time resource used by an emission</w:t>
      </w:r>
      <w:bookmarkEnd w:id="1539"/>
      <w:bookmarkEnd w:id="1540"/>
      <w:bookmarkEnd w:id="1541"/>
      <w:bookmarkEnd w:id="1542"/>
      <w:bookmarkEnd w:id="1543"/>
      <w:bookmarkEnd w:id="1544"/>
      <w:bookmarkEnd w:id="1545"/>
      <w:bookmarkEnd w:id="1546"/>
    </w:p>
    <w:p w:rsidR="00831CFB" w:rsidRPr="00BD6197" w:rsidRDefault="00831CFB" w:rsidP="00831CFB">
      <w:pPr>
        <w:keepNext/>
        <w:keepLines/>
        <w:rPr>
          <w:lang w:val="en-US"/>
        </w:rPr>
      </w:pPr>
      <w:r w:rsidRPr="00BD6197">
        <w:rPr>
          <w:lang w:val="en-US"/>
        </w:rPr>
        <w:t xml:space="preserve">A time resource </w:t>
      </w:r>
      <w:r w:rsidRPr="00BD6197">
        <w:rPr>
          <w:i/>
          <w:lang w:val="en-US"/>
        </w:rPr>
        <w:t>T</w:t>
      </w:r>
      <w:r w:rsidRPr="00BD6197">
        <w:rPr>
          <w:i/>
          <w:szCs w:val="24"/>
          <w:vertAlign w:val="subscript"/>
          <w:lang w:val="en-US"/>
        </w:rPr>
        <w:t>i</w:t>
      </w:r>
      <w:r w:rsidRPr="00BD6197">
        <w:rPr>
          <w:lang w:val="en-US"/>
        </w:rPr>
        <w:t xml:space="preserve"> used by </w:t>
      </w:r>
      <w:r w:rsidRPr="00BD6197">
        <w:rPr>
          <w:i/>
          <w:lang w:val="en-US"/>
        </w:rPr>
        <w:t>i</w:t>
      </w:r>
      <w:r w:rsidRPr="00BD6197">
        <w:rPr>
          <w:lang w:val="en-US"/>
        </w:rPr>
        <w:t>-th emission is determined as:</w:t>
      </w:r>
    </w:p>
    <w:p w:rsidR="00831CFB" w:rsidRPr="00BD6197" w:rsidRDefault="00831CFB" w:rsidP="00831CFB">
      <w:pPr>
        <w:pStyle w:val="Blanc"/>
        <w:rPr>
          <w:lang w:val="en-US"/>
        </w:rPr>
      </w:pPr>
    </w:p>
    <w:p w:rsidR="00831CFB" w:rsidRPr="00BD6197" w:rsidRDefault="00831CFB" w:rsidP="00831CFB">
      <w:pPr>
        <w:pStyle w:val="Equation"/>
        <w:keepNext/>
        <w:keepLines/>
        <w:rPr>
          <w:lang w:val="en-US"/>
        </w:rPr>
      </w:pPr>
      <w:r w:rsidRPr="00BD6197">
        <w:rPr>
          <w:lang w:val="en-US"/>
        </w:rPr>
        <w:tab/>
      </w:r>
      <w:r w:rsidRPr="00BD6197">
        <w:rPr>
          <w:lang w:val="en-US"/>
        </w:rPr>
        <w:tab/>
      </w:r>
      <w:r w:rsidRPr="00BD6197">
        <w:rPr>
          <w:i/>
          <w:iCs/>
          <w:lang w:val="en-US"/>
        </w:rPr>
        <w:t>T</w:t>
      </w:r>
      <w:r w:rsidRPr="00BD6197">
        <w:rPr>
          <w:i/>
          <w:iCs/>
          <w:vertAlign w:val="subscript"/>
          <w:lang w:val="en-US"/>
        </w:rPr>
        <w:t>i</w:t>
      </w:r>
      <w:r w:rsidRPr="00BD6197">
        <w:rPr>
          <w:position w:val="-5"/>
          <w:vertAlign w:val="subscript"/>
          <w:lang w:val="en-US"/>
        </w:rPr>
        <w:t> </w:t>
      </w:r>
      <w:r w:rsidRPr="00BD6197">
        <w:rPr>
          <w:position w:val="-5"/>
          <w:lang w:val="en-US"/>
        </w:rPr>
        <w:t xml:space="preserve"> </w:t>
      </w:r>
      <w:r w:rsidRPr="00BD6197">
        <w:rPr>
          <w:rFonts w:ascii="Symbol" w:hAnsi="Symbol"/>
          <w:lang w:val="en-US"/>
        </w:rPr>
        <w:t></w:t>
      </w:r>
      <w:r w:rsidRPr="00BD6197">
        <w:rPr>
          <w:lang w:val="en-US"/>
        </w:rPr>
        <w:t xml:space="preserve"> 1 (year)</w:t>
      </w:r>
      <w:r w:rsidRPr="00BD6197">
        <w:rPr>
          <w:lang w:val="en-US"/>
        </w:rPr>
        <w:tab/>
        <w:t>(21)</w:t>
      </w:r>
    </w:p>
    <w:p w:rsidR="00831CFB" w:rsidRPr="00BD6197" w:rsidRDefault="00831CFB" w:rsidP="00831CFB">
      <w:pPr>
        <w:pStyle w:val="Blanc"/>
        <w:rPr>
          <w:lang w:val="en-US"/>
        </w:rPr>
      </w:pPr>
    </w:p>
    <w:p w:rsidR="00831CFB" w:rsidRPr="00BD6197" w:rsidRDefault="00831CFB" w:rsidP="00831CFB">
      <w:pPr>
        <w:rPr>
          <w:lang w:val="en-US"/>
        </w:rPr>
      </w:pPr>
      <w:r w:rsidRPr="00BD6197">
        <w:rPr>
          <w:lang w:val="en-US"/>
        </w:rPr>
        <w:t>and for each frequency assignment represents a fraction of time related to one year, determined in that or another way, during which the radio transmitter operates in accordance with terms set out in the relevant license. It can be a fraction of a day, which may be the case with broadcasting or PMR service, or a fraction of a year for seasonal operations such as expeditions, agricultural activities, etc.</w:t>
      </w:r>
    </w:p>
    <w:p w:rsidR="00831CFB" w:rsidRPr="00BD6197" w:rsidRDefault="00831CFB" w:rsidP="00831CFB">
      <w:pPr>
        <w:rPr>
          <w:lang w:val="en-US"/>
        </w:rPr>
      </w:pPr>
      <w:r w:rsidRPr="00BD6197">
        <w:rPr>
          <w:lang w:val="en-US"/>
        </w:rPr>
        <w:t xml:space="preserve">For example, if particular TV transmitter in accordance with terms of its license is operating only 16 h per a day throughout the whole year, than: </w:t>
      </w:r>
      <w:r w:rsidRPr="00BD6197">
        <w:rPr>
          <w:i/>
          <w:lang w:val="en-US"/>
        </w:rPr>
        <w:t>T</w:t>
      </w:r>
      <w:r w:rsidRPr="00BD6197">
        <w:rPr>
          <w:i/>
          <w:vertAlign w:val="subscript"/>
          <w:lang w:val="en-US"/>
        </w:rPr>
        <w:t>i</w:t>
      </w:r>
      <w:r w:rsidRPr="00BD6197">
        <w:rPr>
          <w:i/>
          <w:position w:val="-5"/>
          <w:vertAlign w:val="subscript"/>
          <w:lang w:val="en-US"/>
        </w:rPr>
        <w:t xml:space="preserve"> </w:t>
      </w:r>
      <w:r w:rsidRPr="00BD6197">
        <w:rPr>
          <w:rFonts w:ascii="Symbol" w:hAnsi="Symbol"/>
          <w:lang w:val="en-US"/>
        </w:rPr>
        <w:t></w:t>
      </w:r>
      <w:r w:rsidRPr="00BD6197">
        <w:rPr>
          <w:lang w:val="en-US"/>
        </w:rPr>
        <w:t xml:space="preserve"> 16/24 </w:t>
      </w:r>
      <w:r w:rsidRPr="00BD6197">
        <w:rPr>
          <w:rFonts w:ascii="Symbol" w:hAnsi="Symbol"/>
          <w:lang w:val="en-US"/>
        </w:rPr>
        <w:t></w:t>
      </w:r>
      <w:r w:rsidRPr="00BD6197">
        <w:rPr>
          <w:lang w:val="en-US"/>
        </w:rPr>
        <w:t xml:space="preserve"> 0.67 year. If another transmitter (for example an HF one used for geological expedition), in accordance with terms of its license can operate totally only 3 months per year, then: </w:t>
      </w:r>
      <w:r w:rsidRPr="00BD6197">
        <w:rPr>
          <w:i/>
          <w:lang w:val="en-US"/>
        </w:rPr>
        <w:t>T</w:t>
      </w:r>
      <w:r w:rsidRPr="00BD6197">
        <w:rPr>
          <w:i/>
          <w:iCs/>
          <w:vertAlign w:val="subscript"/>
          <w:lang w:val="en-US"/>
        </w:rPr>
        <w:t>i</w:t>
      </w:r>
      <w:r w:rsidRPr="00BD6197">
        <w:rPr>
          <w:i/>
          <w:position w:val="-5"/>
          <w:vertAlign w:val="subscript"/>
          <w:lang w:val="en-US"/>
        </w:rPr>
        <w:t xml:space="preserve"> </w:t>
      </w:r>
      <w:r w:rsidRPr="00BD6197">
        <w:rPr>
          <w:rFonts w:ascii="Symbol" w:hAnsi="Symbol"/>
          <w:lang w:val="en-US"/>
        </w:rPr>
        <w:t></w:t>
      </w:r>
      <w:r w:rsidRPr="00BD6197">
        <w:rPr>
          <w:lang w:val="en-US"/>
        </w:rPr>
        <w:t xml:space="preserve"> 3/12 </w:t>
      </w:r>
      <w:r w:rsidRPr="00BD6197">
        <w:rPr>
          <w:rFonts w:ascii="Symbol" w:hAnsi="Symbol"/>
          <w:lang w:val="en-US"/>
        </w:rPr>
        <w:t></w:t>
      </w:r>
      <w:r w:rsidRPr="00BD6197">
        <w:rPr>
          <w:lang w:val="en-US"/>
        </w:rPr>
        <w:t xml:space="preserve"> 0.35 year.</w:t>
      </w:r>
    </w:p>
    <w:p w:rsidR="00831CFB" w:rsidRPr="00BD6197" w:rsidRDefault="00831CFB" w:rsidP="00831CFB">
      <w:pPr>
        <w:rPr>
          <w:lang w:val="en-US"/>
        </w:rPr>
      </w:pPr>
      <w:r w:rsidRPr="00BD6197">
        <w:rPr>
          <w:lang w:val="en-US"/>
        </w:rPr>
        <w:t xml:space="preserve">It is obvious that for a transmitter which operates permanently, for example a microwave (RRL) one (short intervals of maintenance breaks usually do not taken into account if it is not especially stated in the license), </w:t>
      </w:r>
      <w:r w:rsidRPr="00BD6197">
        <w:rPr>
          <w:i/>
          <w:lang w:val="en-US"/>
        </w:rPr>
        <w:t>T</w:t>
      </w:r>
      <w:r w:rsidRPr="00BD6197">
        <w:rPr>
          <w:i/>
          <w:iCs/>
          <w:vertAlign w:val="subscript"/>
          <w:lang w:val="en-US"/>
        </w:rPr>
        <w:t>i</w:t>
      </w:r>
      <w:r w:rsidRPr="00BD6197">
        <w:rPr>
          <w:lang w:val="en-US"/>
        </w:rPr>
        <w:t xml:space="preserve"> </w:t>
      </w:r>
      <w:r w:rsidRPr="00BD6197">
        <w:rPr>
          <w:rFonts w:ascii="Symbol" w:hAnsi="Symbol"/>
          <w:lang w:val="en-US"/>
        </w:rPr>
        <w:t></w:t>
      </w:r>
      <w:r w:rsidRPr="00BD6197">
        <w:rPr>
          <w:sz w:val="16"/>
          <w:szCs w:val="16"/>
          <w:lang w:val="en-US"/>
        </w:rPr>
        <w:t> </w:t>
      </w:r>
      <w:r w:rsidRPr="00BD6197">
        <w:rPr>
          <w:lang w:val="en-US"/>
        </w:rPr>
        <w:t>1 year. The last situation is usually typical for the majority of frequency assignments presented in any national Spectrum Management Database. Such a regime is the most commonly requested and licensed.</w:t>
      </w:r>
    </w:p>
    <w:p w:rsidR="00831CFB" w:rsidRPr="00BD6197" w:rsidRDefault="00831CFB" w:rsidP="00831CFB">
      <w:pPr>
        <w:pStyle w:val="Heading3"/>
        <w:rPr>
          <w:lang w:val="en-US"/>
        </w:rPr>
      </w:pPr>
      <w:bookmarkStart w:id="1547" w:name="_Toc289868836"/>
      <w:bookmarkStart w:id="1548" w:name="_Toc289868996"/>
      <w:bookmarkStart w:id="1549" w:name="_Toc289932304"/>
      <w:bookmarkStart w:id="1550" w:name="_Toc289933350"/>
      <w:bookmarkStart w:id="1551" w:name="_Toc291852913"/>
      <w:bookmarkStart w:id="1552" w:name="_Toc392515899"/>
      <w:bookmarkStart w:id="1553" w:name="_Toc462234067"/>
      <w:bookmarkStart w:id="1554" w:name="_Toc518394226"/>
      <w:r w:rsidRPr="00BD6197">
        <w:rPr>
          <w:lang w:val="en-US"/>
        </w:rPr>
        <w:t>4.6.7</w:t>
      </w:r>
      <w:r w:rsidRPr="00BD6197">
        <w:rPr>
          <w:lang w:val="en-US"/>
        </w:rPr>
        <w:tab/>
        <w:t>Determination of a territorial resource used by an emission</w:t>
      </w:r>
      <w:bookmarkEnd w:id="1547"/>
      <w:bookmarkEnd w:id="1548"/>
      <w:bookmarkEnd w:id="1549"/>
      <w:bookmarkEnd w:id="1550"/>
      <w:bookmarkEnd w:id="1551"/>
      <w:bookmarkEnd w:id="1552"/>
      <w:bookmarkEnd w:id="1553"/>
      <w:bookmarkEnd w:id="1554"/>
    </w:p>
    <w:p w:rsidR="00831CFB" w:rsidRPr="00BD6197" w:rsidRDefault="00831CFB" w:rsidP="00831CFB">
      <w:pPr>
        <w:rPr>
          <w:lang w:val="en-US"/>
        </w:rPr>
      </w:pPr>
      <w:r w:rsidRPr="00BD6197">
        <w:rPr>
          <w:lang w:val="en-US"/>
        </w:rPr>
        <w:t xml:space="preserve">A territorial resource </w:t>
      </w:r>
      <w:r w:rsidRPr="00BD6197">
        <w:rPr>
          <w:i/>
          <w:lang w:val="en-US"/>
        </w:rPr>
        <w:t>S</w:t>
      </w:r>
      <w:r w:rsidRPr="00BD6197">
        <w:rPr>
          <w:i/>
          <w:szCs w:val="24"/>
          <w:vertAlign w:val="subscript"/>
          <w:lang w:val="en-US"/>
        </w:rPr>
        <w:t>i</w:t>
      </w:r>
      <w:r w:rsidRPr="00BD6197">
        <w:rPr>
          <w:lang w:val="en-US"/>
        </w:rPr>
        <w:t xml:space="preserve"> used by </w:t>
      </w:r>
      <w:r w:rsidRPr="00BD6197">
        <w:rPr>
          <w:i/>
          <w:lang w:val="en-US"/>
        </w:rPr>
        <w:t>i</w:t>
      </w:r>
      <w:r w:rsidRPr="00BD6197">
        <w:rPr>
          <w:lang w:val="en-US"/>
        </w:rPr>
        <w:t xml:space="preserve"> -th emission is determined as:</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r>
      <w:r w:rsidRPr="00BD6197">
        <w:rPr>
          <w:i/>
          <w:iCs/>
          <w:lang w:val="en-US"/>
        </w:rPr>
        <w:t>S</w:t>
      </w:r>
      <w:r w:rsidRPr="00BD6197">
        <w:rPr>
          <w:i/>
          <w:iCs/>
          <w:vertAlign w:val="subscript"/>
          <w:lang w:val="en-US"/>
        </w:rPr>
        <w:t>i</w:t>
      </w:r>
      <w:r w:rsidRPr="00BD6197">
        <w:rPr>
          <w:position w:val="-5"/>
          <w:lang w:val="en-US"/>
        </w:rPr>
        <w:t xml:space="preserve"> </w:t>
      </w:r>
      <w:r w:rsidRPr="00BD6197">
        <w:rPr>
          <w:rFonts w:ascii="Symbol" w:hAnsi="Symbol"/>
          <w:lang w:val="en-US"/>
        </w:rPr>
        <w:t></w:t>
      </w:r>
      <w:r w:rsidRPr="00BD6197">
        <w:rPr>
          <w:lang w:val="en-US"/>
        </w:rPr>
        <w:t xml:space="preserve"> </w:t>
      </w:r>
      <w:r w:rsidRPr="00BD6197">
        <w:rPr>
          <w:i/>
          <w:iCs/>
          <w:lang w:val="en-US"/>
        </w:rPr>
        <w:t>b</w:t>
      </w:r>
      <w:r w:rsidRPr="00BD6197">
        <w:rPr>
          <w:i/>
          <w:iCs/>
          <w:vertAlign w:val="subscript"/>
          <w:lang w:val="en-US"/>
        </w:rPr>
        <w:t>ij</w:t>
      </w:r>
      <w:r w:rsidRPr="00BD6197">
        <w:rPr>
          <w:lang w:val="en-US"/>
        </w:rPr>
        <w:t xml:space="preserve"> </w:t>
      </w:r>
      <w:r w:rsidRPr="00BD6197">
        <w:rPr>
          <w:lang w:val="en-US"/>
        </w:rPr>
        <w:fldChar w:fldCharType="begin"/>
      </w:r>
      <w:r w:rsidRPr="00BD6197">
        <w:rPr>
          <w:lang w:val="en-US"/>
        </w:rPr>
        <w:instrText>SYMBOL 215 \f "Symbol" \s 14</w:instrText>
      </w:r>
      <w:r w:rsidRPr="00BD6197">
        <w:rPr>
          <w:lang w:val="en-US"/>
        </w:rPr>
        <w:fldChar w:fldCharType="separate"/>
      </w:r>
      <w:r w:rsidRPr="00BD6197">
        <w:rPr>
          <w:lang w:val="en-US"/>
        </w:rPr>
        <w:t>×</w:t>
      </w:r>
      <w:r w:rsidRPr="00BD6197">
        <w:rPr>
          <w:lang w:val="en-US"/>
        </w:rPr>
        <w:fldChar w:fldCharType="end"/>
      </w:r>
      <w:r w:rsidRPr="00BD6197">
        <w:rPr>
          <w:lang w:val="en-US"/>
        </w:rPr>
        <w:t xml:space="preserve"> </w:t>
      </w:r>
      <w:r w:rsidRPr="00BD6197">
        <w:rPr>
          <w:i/>
          <w:iCs/>
          <w:lang w:val="en-US"/>
        </w:rPr>
        <w:t>s</w:t>
      </w:r>
      <w:r w:rsidRPr="00BD6197">
        <w:rPr>
          <w:i/>
          <w:iCs/>
          <w:vertAlign w:val="subscript"/>
          <w:lang w:val="en-US"/>
        </w:rPr>
        <w:t>i</w:t>
      </w:r>
      <w:r w:rsidRPr="00BD6197">
        <w:rPr>
          <w:lang w:val="en-US"/>
        </w:rPr>
        <w:t xml:space="preserve">    (km</w:t>
      </w:r>
      <w:r w:rsidRPr="00BD6197">
        <w:rPr>
          <w:vertAlign w:val="superscript"/>
          <w:lang w:val="en-US"/>
        </w:rPr>
        <w:t>2</w:t>
      </w:r>
      <w:r w:rsidRPr="00BD6197">
        <w:rPr>
          <w:lang w:val="en-US"/>
        </w:rPr>
        <w:t xml:space="preserve">)           1 </w:t>
      </w:r>
      <w:r w:rsidRPr="00BD6197">
        <w:rPr>
          <w:rFonts w:ascii="Symbol" w:hAnsi="Symbol"/>
          <w:lang w:val="en-US"/>
        </w:rPr>
        <w:t></w:t>
      </w:r>
      <w:r w:rsidRPr="00BD6197">
        <w:rPr>
          <w:lang w:val="en-US"/>
        </w:rPr>
        <w:t xml:space="preserve"> </w:t>
      </w:r>
      <w:r w:rsidRPr="00BD6197">
        <w:rPr>
          <w:i/>
          <w:iCs/>
          <w:lang w:val="en-US"/>
        </w:rPr>
        <w:t>j</w:t>
      </w:r>
      <w:r w:rsidRPr="00BD6197">
        <w:rPr>
          <w:lang w:val="en-US"/>
        </w:rPr>
        <w:t xml:space="preserve"> </w:t>
      </w:r>
      <w:r w:rsidRPr="00BD6197">
        <w:rPr>
          <w:rFonts w:ascii="Symbol" w:hAnsi="Symbol"/>
          <w:lang w:val="en-US"/>
        </w:rPr>
        <w:t></w:t>
      </w:r>
      <w:r w:rsidRPr="00BD6197">
        <w:rPr>
          <w:lang w:val="en-US"/>
        </w:rPr>
        <w:t xml:space="preserve"> </w:t>
      </w:r>
      <w:r w:rsidRPr="00BD6197">
        <w:rPr>
          <w:i/>
          <w:iCs/>
          <w:lang w:val="en-US"/>
        </w:rPr>
        <w:t>m</w:t>
      </w:r>
      <w:r w:rsidRPr="00BD6197">
        <w:rPr>
          <w:lang w:val="en-US"/>
        </w:rPr>
        <w:tab/>
        <w:t>(22)</w:t>
      </w:r>
    </w:p>
    <w:p w:rsidR="00831CFB" w:rsidRPr="00BD6197" w:rsidRDefault="00831CFB" w:rsidP="00831CFB">
      <w:pPr>
        <w:rPr>
          <w:lang w:val="en-US"/>
        </w:rPr>
      </w:pPr>
      <w:r w:rsidRPr="00BD6197">
        <w:rPr>
          <w:lang w:val="en-US"/>
        </w:rPr>
        <w:t>where:</w:t>
      </w:r>
    </w:p>
    <w:p w:rsidR="00831CFB" w:rsidRPr="00BD6197" w:rsidRDefault="00831CFB" w:rsidP="00831CFB">
      <w:pPr>
        <w:pStyle w:val="Equationlegend"/>
      </w:pPr>
      <w:r w:rsidRPr="00BD6197">
        <w:rPr>
          <w:i/>
        </w:rPr>
        <w:tab/>
        <w:t>S</w:t>
      </w:r>
      <w:r w:rsidRPr="00BD6197">
        <w:rPr>
          <w:i/>
          <w:iCs/>
          <w:vertAlign w:val="subscript"/>
        </w:rPr>
        <w:t>i</w:t>
      </w:r>
      <w:r w:rsidRPr="00BD6197">
        <w:rPr>
          <w:rFonts w:ascii="Tms Rmn" w:hAnsi="Tms Rmn"/>
          <w:iCs/>
          <w:sz w:val="12"/>
        </w:rPr>
        <w:t> </w:t>
      </w:r>
      <w:r w:rsidRPr="00BD6197">
        <w:rPr>
          <w:iCs/>
        </w:rPr>
        <w:t>:</w:t>
      </w:r>
      <w:r w:rsidRPr="00BD6197">
        <w:rPr>
          <w:iCs/>
        </w:rPr>
        <w:tab/>
      </w:r>
      <w:r w:rsidRPr="00BD6197">
        <w:t>the territory actually occupied (covered) by the emission in accordance with certain criteria (km</w:t>
      </w:r>
      <w:r w:rsidRPr="00BD6197">
        <w:rPr>
          <w:vertAlign w:val="superscript"/>
        </w:rPr>
        <w:t>2</w:t>
      </w:r>
      <w:r w:rsidRPr="00BD6197">
        <w:t>)</w:t>
      </w:r>
    </w:p>
    <w:p w:rsidR="00831CFB" w:rsidRPr="00BD6197" w:rsidRDefault="00831CFB" w:rsidP="00831CFB">
      <w:pPr>
        <w:pStyle w:val="Equationlegend"/>
      </w:pPr>
      <w:r w:rsidRPr="00BD6197">
        <w:rPr>
          <w:i/>
        </w:rPr>
        <w:tab/>
        <w:t>b</w:t>
      </w:r>
      <w:r w:rsidRPr="00BD6197">
        <w:rPr>
          <w:i/>
          <w:iCs/>
          <w:vertAlign w:val="subscript"/>
        </w:rPr>
        <w:t>ij</w:t>
      </w:r>
      <w:r w:rsidRPr="00BD6197">
        <w:rPr>
          <w:rFonts w:ascii="Tms Rmn" w:hAnsi="Tms Rmn"/>
          <w:iCs/>
          <w:sz w:val="12"/>
        </w:rPr>
        <w:t> </w:t>
      </w:r>
      <w:r w:rsidRPr="00BD6197">
        <w:rPr>
          <w:iCs/>
        </w:rPr>
        <w:t>:</w:t>
      </w:r>
      <w:r w:rsidRPr="00BD6197">
        <w:tab/>
        <w:t xml:space="preserve">weighting coefficient which depends on the </w:t>
      </w:r>
      <w:r w:rsidRPr="00BD6197">
        <w:rPr>
          <w:i/>
        </w:rPr>
        <w:t>j</w:t>
      </w:r>
      <w:r w:rsidRPr="00BD6197">
        <w:t>-th category of the territory actually occupied by the emission</w:t>
      </w:r>
    </w:p>
    <w:p w:rsidR="00831CFB" w:rsidRPr="00BD6197" w:rsidRDefault="00831CFB" w:rsidP="00831CFB">
      <w:pPr>
        <w:pStyle w:val="Equationlegend"/>
      </w:pPr>
      <w:r w:rsidRPr="00BD6197">
        <w:rPr>
          <w:iCs/>
        </w:rPr>
        <w:tab/>
      </w:r>
      <w:r w:rsidRPr="00BD6197">
        <w:rPr>
          <w:i/>
        </w:rPr>
        <w:t>m</w:t>
      </w:r>
      <w:r w:rsidRPr="00BD6197">
        <w:rPr>
          <w:rFonts w:ascii="Tms Rmn" w:hAnsi="Tms Rmn"/>
          <w:iCs/>
          <w:sz w:val="12"/>
        </w:rPr>
        <w:t> </w:t>
      </w:r>
      <w:r w:rsidRPr="00BD6197">
        <w:rPr>
          <w:iCs/>
        </w:rPr>
        <w:t>:</w:t>
      </w:r>
      <w:r w:rsidRPr="00BD6197">
        <w:rPr>
          <w:iCs/>
        </w:rPr>
        <w:tab/>
        <w:t>number</w:t>
      </w:r>
      <w:r w:rsidRPr="00BD6197">
        <w:t xml:space="preserve"> of categories.</w:t>
      </w:r>
    </w:p>
    <w:p w:rsidR="00831CFB" w:rsidRPr="00BD6197" w:rsidRDefault="00831CFB" w:rsidP="00831CFB">
      <w:pPr>
        <w:rPr>
          <w:lang w:val="en-US"/>
        </w:rPr>
      </w:pPr>
      <w:r w:rsidRPr="00BD6197">
        <w:rPr>
          <w:lang w:val="en-US"/>
        </w:rPr>
        <w:t xml:space="preserve">The number of categories </w:t>
      </w:r>
      <w:r w:rsidRPr="00BD6197">
        <w:rPr>
          <w:i/>
          <w:lang w:val="en-US"/>
        </w:rPr>
        <w:t>m</w:t>
      </w:r>
      <w:r w:rsidRPr="00BD6197">
        <w:rPr>
          <w:lang w:val="en-US"/>
        </w:rPr>
        <w:t xml:space="preserve"> and the relevant values of the weighting coefficients </w:t>
      </w:r>
      <w:r w:rsidRPr="00BD6197">
        <w:rPr>
          <w:i/>
          <w:lang w:val="en-US"/>
        </w:rPr>
        <w:t>b</w:t>
      </w:r>
      <w:r w:rsidRPr="00BD6197">
        <w:rPr>
          <w:i/>
          <w:position w:val="-5"/>
          <w:vertAlign w:val="subscript"/>
          <w:lang w:val="en-US"/>
        </w:rPr>
        <w:t>j</w:t>
      </w:r>
      <w:r w:rsidRPr="00BD6197">
        <w:rPr>
          <w:lang w:val="en-US"/>
        </w:rPr>
        <w:t xml:space="preserve"> should be set out by a national telecommunications administration. These categories can take into account density of population and/or level of economic (industrial and/or agricultural) development of various regions of a country. It represents a measure of attractiveness for radio communication and broadcasting operators. Categories may also distinguish urban and rural areas, inland and coastal areas, mainland and island areas. Additionally settlement type and number of permanent or transitory inhabitants could also be included.</w:t>
      </w:r>
    </w:p>
    <w:p w:rsidR="00831CFB" w:rsidRPr="00BD6197" w:rsidRDefault="00831CFB" w:rsidP="00831CFB">
      <w:pPr>
        <w:rPr>
          <w:lang w:val="en-US"/>
        </w:rPr>
      </w:pPr>
      <w:r w:rsidRPr="00BD6197">
        <w:rPr>
          <w:lang w:val="en-US"/>
        </w:rPr>
        <w:t>Illustrative examples are presented in Table 1.</w:t>
      </w:r>
    </w:p>
    <w:p w:rsidR="00831CFB" w:rsidRPr="00BD6197" w:rsidRDefault="00831CFB" w:rsidP="00831CFB">
      <w:pPr>
        <w:rPr>
          <w:caps/>
          <w:sz w:val="20"/>
          <w:lang w:val="en-US"/>
        </w:rPr>
      </w:pPr>
    </w:p>
    <w:p w:rsidR="00831CFB" w:rsidRPr="00BD6197" w:rsidRDefault="00831CFB" w:rsidP="00831CFB">
      <w:pPr>
        <w:pStyle w:val="TableNo"/>
        <w:rPr>
          <w:lang w:val="en-US"/>
        </w:rPr>
      </w:pPr>
      <w:r w:rsidRPr="00BD6197">
        <w:rPr>
          <w:lang w:val="en-US"/>
        </w:rPr>
        <w:lastRenderedPageBreak/>
        <w:t>TABLE 1</w:t>
      </w:r>
    </w:p>
    <w:p w:rsidR="00831CFB" w:rsidRPr="00BD6197" w:rsidRDefault="00831CFB" w:rsidP="00831CFB">
      <w:pPr>
        <w:pStyle w:val="Tabletitle"/>
        <w:rPr>
          <w:lang w:val="en-US"/>
        </w:rPr>
      </w:pPr>
      <w:r w:rsidRPr="00BD6197">
        <w:rPr>
          <w:lang w:val="en-US"/>
        </w:rPr>
        <w:t>Example of weighting coefficients taking into account a density of population</w:t>
      </w:r>
      <w:r w:rsidRPr="00BD6197">
        <w:rPr>
          <w:lang w:val="en-US"/>
        </w:rPr>
        <w:br/>
        <w:t>(a level of economical development) in various regions of a country</w:t>
      </w:r>
    </w:p>
    <w:tbl>
      <w:tblPr>
        <w:tblW w:w="0" w:type="auto"/>
        <w:jc w:val="center"/>
        <w:tblBorders>
          <w:top w:val="single" w:sz="2" w:space="0" w:color="auto"/>
          <w:left w:val="single" w:sz="2" w:space="0" w:color="auto"/>
          <w:bottom w:val="single" w:sz="6" w:space="0" w:color="auto"/>
          <w:right w:val="single" w:sz="6" w:space="0" w:color="auto"/>
          <w:insideH w:val="single" w:sz="2" w:space="0" w:color="auto"/>
          <w:insideV w:val="single" w:sz="2" w:space="0" w:color="auto"/>
        </w:tblBorders>
        <w:tblLayout w:type="fixed"/>
        <w:tblLook w:val="0000" w:firstRow="0" w:lastRow="0" w:firstColumn="0" w:lastColumn="0" w:noHBand="0" w:noVBand="0"/>
      </w:tblPr>
      <w:tblGrid>
        <w:gridCol w:w="1134"/>
        <w:gridCol w:w="6804"/>
        <w:gridCol w:w="1134"/>
      </w:tblGrid>
      <w:tr w:rsidR="00831CFB" w:rsidRPr="00BD6197" w:rsidTr="000F2BA7">
        <w:trPr>
          <w:cantSplit/>
          <w:jc w:val="center"/>
        </w:trPr>
        <w:tc>
          <w:tcPr>
            <w:tcW w:w="1134" w:type="dxa"/>
          </w:tcPr>
          <w:p w:rsidR="00831CFB" w:rsidRPr="00BD6197" w:rsidRDefault="00831CFB" w:rsidP="000F2BA7">
            <w:pPr>
              <w:pStyle w:val="Tablehead"/>
              <w:rPr>
                <w:szCs w:val="22"/>
                <w:lang w:val="en-US"/>
              </w:rPr>
            </w:pPr>
          </w:p>
        </w:tc>
        <w:tc>
          <w:tcPr>
            <w:tcW w:w="6804" w:type="dxa"/>
          </w:tcPr>
          <w:p w:rsidR="00831CFB" w:rsidRPr="00BD6197" w:rsidRDefault="00831CFB" w:rsidP="000F2BA7">
            <w:pPr>
              <w:pStyle w:val="Tablehead"/>
              <w:rPr>
                <w:szCs w:val="22"/>
                <w:lang w:val="en-US"/>
              </w:rPr>
            </w:pPr>
            <w:r w:rsidRPr="00BD6197">
              <w:rPr>
                <w:szCs w:val="22"/>
                <w:lang w:val="en-US"/>
              </w:rPr>
              <w:t>Designation</w:t>
            </w:r>
          </w:p>
        </w:tc>
        <w:tc>
          <w:tcPr>
            <w:tcW w:w="1134" w:type="dxa"/>
          </w:tcPr>
          <w:p w:rsidR="00831CFB" w:rsidRPr="00BD6197" w:rsidRDefault="00831CFB" w:rsidP="000F2BA7">
            <w:pPr>
              <w:pStyle w:val="Tablehead"/>
              <w:rPr>
                <w:i/>
                <w:iCs/>
                <w:szCs w:val="22"/>
                <w:lang w:val="en-US"/>
              </w:rPr>
            </w:pPr>
            <w:r w:rsidRPr="00BD6197">
              <w:rPr>
                <w:i/>
                <w:iCs/>
                <w:szCs w:val="22"/>
                <w:lang w:val="en-US"/>
              </w:rPr>
              <w:t>b</w:t>
            </w:r>
            <w:r w:rsidRPr="00BD6197">
              <w:rPr>
                <w:i/>
                <w:iCs/>
                <w:szCs w:val="22"/>
                <w:vertAlign w:val="subscript"/>
                <w:lang w:val="en-US"/>
              </w:rPr>
              <w:t>j</w:t>
            </w:r>
          </w:p>
        </w:tc>
      </w:tr>
      <w:tr w:rsidR="00831CFB" w:rsidRPr="00BD6197" w:rsidTr="000F2BA7">
        <w:trPr>
          <w:cantSplit/>
          <w:jc w:val="center"/>
        </w:trPr>
        <w:tc>
          <w:tcPr>
            <w:tcW w:w="1134" w:type="dxa"/>
            <w:vAlign w:val="center"/>
          </w:tcPr>
          <w:p w:rsidR="00831CFB" w:rsidRPr="00BD6197" w:rsidRDefault="00831CFB" w:rsidP="000F2BA7">
            <w:pPr>
              <w:pStyle w:val="Tabletext"/>
              <w:jc w:val="center"/>
              <w:rPr>
                <w:szCs w:val="22"/>
                <w:lang w:val="en-US"/>
              </w:rPr>
            </w:pPr>
            <w:r w:rsidRPr="00BD6197">
              <w:rPr>
                <w:szCs w:val="22"/>
                <w:lang w:val="en-US"/>
              </w:rPr>
              <w:t>1</w:t>
            </w:r>
          </w:p>
        </w:tc>
        <w:tc>
          <w:tcPr>
            <w:tcW w:w="6804" w:type="dxa"/>
          </w:tcPr>
          <w:p w:rsidR="00831CFB" w:rsidRPr="00BD6197" w:rsidRDefault="00831CFB" w:rsidP="000F6A8D">
            <w:pPr>
              <w:pStyle w:val="Tabletext"/>
              <w:rPr>
                <w:szCs w:val="22"/>
                <w:lang w:val="en-US"/>
              </w:rPr>
            </w:pPr>
            <w:r w:rsidRPr="00BD6197">
              <w:rPr>
                <w:szCs w:val="22"/>
                <w:lang w:val="en-US"/>
              </w:rPr>
              <w:t>The less populated and/or the less economically developed regions (deserts, high mountains, deep jungles etc.) which are usually the less attractive for radiocommunication and broadcasting operators</w:t>
            </w:r>
          </w:p>
        </w:tc>
        <w:tc>
          <w:tcPr>
            <w:tcW w:w="1134" w:type="dxa"/>
            <w:vAlign w:val="center"/>
          </w:tcPr>
          <w:p w:rsidR="00831CFB" w:rsidRPr="00BD6197" w:rsidRDefault="00831CFB" w:rsidP="000F2BA7">
            <w:pPr>
              <w:pStyle w:val="Tabletext"/>
              <w:jc w:val="center"/>
              <w:rPr>
                <w:szCs w:val="22"/>
                <w:lang w:val="en-US"/>
              </w:rPr>
            </w:pPr>
            <w:r w:rsidRPr="00BD6197">
              <w:rPr>
                <w:szCs w:val="22"/>
                <w:lang w:val="en-US"/>
              </w:rPr>
              <w:t>0.1</w:t>
            </w:r>
          </w:p>
        </w:tc>
      </w:tr>
      <w:tr w:rsidR="00831CFB" w:rsidRPr="00BD6197" w:rsidTr="000F2BA7">
        <w:trPr>
          <w:cantSplit/>
          <w:jc w:val="center"/>
        </w:trPr>
        <w:tc>
          <w:tcPr>
            <w:tcW w:w="1134" w:type="dxa"/>
            <w:vAlign w:val="center"/>
          </w:tcPr>
          <w:p w:rsidR="00831CFB" w:rsidRPr="00BD6197" w:rsidRDefault="00831CFB" w:rsidP="000F2BA7">
            <w:pPr>
              <w:pStyle w:val="Tabletext"/>
              <w:jc w:val="center"/>
              <w:rPr>
                <w:szCs w:val="22"/>
                <w:lang w:val="en-US"/>
              </w:rPr>
            </w:pPr>
            <w:r w:rsidRPr="00BD6197">
              <w:rPr>
                <w:szCs w:val="22"/>
                <w:lang w:val="en-US"/>
              </w:rPr>
              <w:t xml:space="preserve">2 – </w:t>
            </w:r>
            <w:r w:rsidRPr="00BD6197">
              <w:rPr>
                <w:i/>
                <w:szCs w:val="22"/>
                <w:lang w:val="en-US"/>
              </w:rPr>
              <w:t>j </w:t>
            </w:r>
            <w:r w:rsidRPr="00BD6197">
              <w:rPr>
                <w:szCs w:val="22"/>
                <w:lang w:val="en-US"/>
              </w:rPr>
              <w:t>– ...</w:t>
            </w:r>
          </w:p>
        </w:tc>
        <w:tc>
          <w:tcPr>
            <w:tcW w:w="6804" w:type="dxa"/>
          </w:tcPr>
          <w:p w:rsidR="00831CFB" w:rsidRPr="00BD6197" w:rsidRDefault="00831CFB" w:rsidP="000F2BA7">
            <w:pPr>
              <w:pStyle w:val="Tabletext"/>
              <w:rPr>
                <w:szCs w:val="22"/>
                <w:lang w:val="en-US"/>
              </w:rPr>
            </w:pPr>
            <w:r w:rsidRPr="00BD6197">
              <w:rPr>
                <w:szCs w:val="22"/>
                <w:lang w:val="en-US"/>
              </w:rPr>
              <w:t>Regions with several intermediate and increasing gradations of density of population and/or indicators of economical development</w:t>
            </w:r>
          </w:p>
        </w:tc>
        <w:tc>
          <w:tcPr>
            <w:tcW w:w="1134" w:type="dxa"/>
            <w:vAlign w:val="center"/>
          </w:tcPr>
          <w:p w:rsidR="00831CFB" w:rsidRPr="00BD6197" w:rsidRDefault="00831CFB" w:rsidP="000F2BA7">
            <w:pPr>
              <w:pStyle w:val="Tabletext"/>
              <w:jc w:val="center"/>
              <w:rPr>
                <w:szCs w:val="22"/>
                <w:lang w:val="en-US"/>
              </w:rPr>
            </w:pPr>
            <w:r w:rsidRPr="00BD6197">
              <w:rPr>
                <w:szCs w:val="22"/>
                <w:lang w:val="en-US"/>
              </w:rPr>
              <w:t>0.2-0.9</w:t>
            </w:r>
          </w:p>
        </w:tc>
      </w:tr>
      <w:tr w:rsidR="00831CFB" w:rsidRPr="00BD6197" w:rsidTr="000F2BA7">
        <w:trPr>
          <w:cantSplit/>
          <w:jc w:val="center"/>
        </w:trPr>
        <w:tc>
          <w:tcPr>
            <w:tcW w:w="1134" w:type="dxa"/>
            <w:vAlign w:val="center"/>
          </w:tcPr>
          <w:p w:rsidR="00831CFB" w:rsidRPr="00BD6197" w:rsidRDefault="00831CFB" w:rsidP="000F2BA7">
            <w:pPr>
              <w:pStyle w:val="Tabletext"/>
              <w:jc w:val="center"/>
              <w:rPr>
                <w:i/>
                <w:szCs w:val="22"/>
                <w:lang w:val="en-US"/>
              </w:rPr>
            </w:pPr>
            <w:r w:rsidRPr="00BD6197">
              <w:rPr>
                <w:i/>
                <w:szCs w:val="22"/>
                <w:lang w:val="en-US"/>
              </w:rPr>
              <w:t>...</w:t>
            </w:r>
          </w:p>
        </w:tc>
        <w:tc>
          <w:tcPr>
            <w:tcW w:w="6804" w:type="dxa"/>
          </w:tcPr>
          <w:p w:rsidR="00831CFB" w:rsidRPr="00BD6197" w:rsidRDefault="00831CFB" w:rsidP="000F2BA7">
            <w:pPr>
              <w:pStyle w:val="Tabletext"/>
              <w:rPr>
                <w:szCs w:val="22"/>
                <w:lang w:val="en-US"/>
              </w:rPr>
            </w:pPr>
            <w:r w:rsidRPr="00BD6197">
              <w:rPr>
                <w:szCs w:val="22"/>
                <w:lang w:val="en-US"/>
              </w:rPr>
              <w:t>The most populated and/or the most economically developed regions (capital region, main industry and/or agricultural areas etc.) which are the most attractive for radiocommunication and broadcasting operators</w:t>
            </w:r>
          </w:p>
        </w:tc>
        <w:tc>
          <w:tcPr>
            <w:tcW w:w="1134" w:type="dxa"/>
            <w:vAlign w:val="center"/>
          </w:tcPr>
          <w:p w:rsidR="00831CFB" w:rsidRPr="00BD6197" w:rsidRDefault="00831CFB" w:rsidP="000F2BA7">
            <w:pPr>
              <w:pStyle w:val="Tabletext"/>
              <w:jc w:val="center"/>
              <w:rPr>
                <w:szCs w:val="22"/>
                <w:lang w:val="en-US"/>
              </w:rPr>
            </w:pPr>
            <w:r w:rsidRPr="00BD6197">
              <w:rPr>
                <w:szCs w:val="22"/>
                <w:lang w:val="en-US"/>
              </w:rPr>
              <w:t>1</w:t>
            </w:r>
          </w:p>
        </w:tc>
      </w:tr>
    </w:tbl>
    <w:p w:rsidR="00831CFB" w:rsidRPr="00BD6197" w:rsidRDefault="00831CFB" w:rsidP="00831CFB">
      <w:pPr>
        <w:pStyle w:val="Tablefin"/>
        <w:rPr>
          <w:lang w:val="en-US"/>
        </w:rPr>
      </w:pPr>
    </w:p>
    <w:tbl>
      <w:tblPr>
        <w:tblW w:w="0" w:type="auto"/>
        <w:jc w:val="center"/>
        <w:tblBorders>
          <w:top w:val="single" w:sz="2" w:space="0" w:color="auto"/>
          <w:left w:val="single" w:sz="6" w:space="0" w:color="auto"/>
          <w:bottom w:val="single" w:sz="6" w:space="0" w:color="auto"/>
          <w:right w:val="single" w:sz="6" w:space="0" w:color="auto"/>
          <w:insideH w:val="single" w:sz="6" w:space="0" w:color="auto"/>
          <w:insideV w:val="double" w:sz="4" w:space="0" w:color="auto"/>
        </w:tblBorders>
        <w:tblLayout w:type="fixed"/>
        <w:tblCellMar>
          <w:left w:w="56" w:type="dxa"/>
          <w:right w:w="56" w:type="dxa"/>
        </w:tblCellMar>
        <w:tblLook w:val="0000" w:firstRow="0" w:lastRow="0" w:firstColumn="0" w:lastColumn="0" w:noHBand="0" w:noVBand="0"/>
      </w:tblPr>
      <w:tblGrid>
        <w:gridCol w:w="1134"/>
        <w:gridCol w:w="6804"/>
        <w:gridCol w:w="1134"/>
      </w:tblGrid>
      <w:tr w:rsidR="00831CFB" w:rsidRPr="00D17B5B" w:rsidTr="000F2BA7">
        <w:trPr>
          <w:cantSplit/>
          <w:jc w:val="center"/>
        </w:trPr>
        <w:tc>
          <w:tcPr>
            <w:tcW w:w="9072" w:type="dxa"/>
            <w:gridSpan w:val="3"/>
            <w:tcBorders>
              <w:bottom w:val="single" w:sz="6" w:space="0" w:color="auto"/>
            </w:tcBorders>
          </w:tcPr>
          <w:p w:rsidR="00831CFB" w:rsidRPr="00BD6197" w:rsidRDefault="00831CFB" w:rsidP="000F2BA7">
            <w:pPr>
              <w:pStyle w:val="Tablehead"/>
              <w:rPr>
                <w:szCs w:val="22"/>
                <w:lang w:val="en-US"/>
              </w:rPr>
            </w:pPr>
            <w:r w:rsidRPr="00BD6197">
              <w:rPr>
                <w:szCs w:val="22"/>
                <w:lang w:val="en-US"/>
              </w:rPr>
              <w:t>Cities and settlements of an urban type</w:t>
            </w:r>
          </w:p>
        </w:tc>
      </w:tr>
      <w:tr w:rsidR="00831CFB" w:rsidRPr="00BD6197" w:rsidTr="000F2BA7">
        <w:trPr>
          <w:cantSplit/>
          <w:jc w:val="center"/>
        </w:trPr>
        <w:tc>
          <w:tcPr>
            <w:tcW w:w="1134" w:type="dxa"/>
            <w:tcBorders>
              <w:top w:val="single" w:sz="6" w:space="0" w:color="auto"/>
              <w:right w:val="single" w:sz="6" w:space="0" w:color="auto"/>
            </w:tcBorders>
            <w:vAlign w:val="center"/>
          </w:tcPr>
          <w:p w:rsidR="00831CFB" w:rsidRPr="00BD6197" w:rsidRDefault="00831CFB" w:rsidP="000F2BA7">
            <w:pPr>
              <w:pStyle w:val="Tabletext"/>
              <w:jc w:val="center"/>
              <w:rPr>
                <w:szCs w:val="22"/>
                <w:lang w:val="en-US"/>
              </w:rPr>
            </w:pPr>
            <w:r w:rsidRPr="00BD6197">
              <w:rPr>
                <w:szCs w:val="22"/>
                <w:lang w:val="en-US"/>
              </w:rPr>
              <w:t>…</w:t>
            </w:r>
          </w:p>
        </w:tc>
        <w:tc>
          <w:tcPr>
            <w:tcW w:w="6804" w:type="dxa"/>
            <w:tcBorders>
              <w:top w:val="single" w:sz="6" w:space="0" w:color="auto"/>
              <w:left w:val="single" w:sz="6" w:space="0" w:color="auto"/>
              <w:right w:val="single" w:sz="6" w:space="0" w:color="auto"/>
            </w:tcBorders>
          </w:tcPr>
          <w:p w:rsidR="00831CFB" w:rsidRPr="00BD6197" w:rsidRDefault="00831CFB" w:rsidP="000F2BA7">
            <w:pPr>
              <w:pStyle w:val="Tabletext"/>
              <w:rPr>
                <w:szCs w:val="22"/>
                <w:lang w:val="en-US"/>
              </w:rPr>
            </w:pPr>
            <w:r w:rsidRPr="00BD6197">
              <w:rPr>
                <w:szCs w:val="22"/>
                <w:lang w:val="en-US"/>
              </w:rPr>
              <w:t>With a population of 10</w:t>
            </w:r>
            <w:r w:rsidRPr="00BD6197">
              <w:rPr>
                <w:rFonts w:ascii="Tms Rmn" w:hAnsi="Tms Rmn"/>
                <w:szCs w:val="22"/>
                <w:lang w:val="en-US"/>
              </w:rPr>
              <w:t> </w:t>
            </w:r>
            <w:r w:rsidRPr="00BD6197">
              <w:rPr>
                <w:szCs w:val="22"/>
                <w:lang w:val="en-US"/>
              </w:rPr>
              <w:t>000 to 50</w:t>
            </w:r>
            <w:r w:rsidRPr="00BD6197">
              <w:rPr>
                <w:rFonts w:ascii="Tms Rmn" w:hAnsi="Tms Rmn"/>
                <w:szCs w:val="22"/>
                <w:lang w:val="en-US"/>
              </w:rPr>
              <w:t> </w:t>
            </w:r>
            <w:r w:rsidRPr="00BD6197">
              <w:rPr>
                <w:szCs w:val="22"/>
                <w:lang w:val="en-US"/>
              </w:rPr>
              <w:t>000 inhabitants</w:t>
            </w:r>
          </w:p>
        </w:tc>
        <w:tc>
          <w:tcPr>
            <w:tcW w:w="1134" w:type="dxa"/>
            <w:tcBorders>
              <w:top w:val="single" w:sz="6" w:space="0" w:color="auto"/>
              <w:left w:val="single" w:sz="6" w:space="0" w:color="auto"/>
            </w:tcBorders>
            <w:vAlign w:val="center"/>
          </w:tcPr>
          <w:p w:rsidR="00831CFB" w:rsidRPr="00BD6197" w:rsidRDefault="00831CFB" w:rsidP="000F2BA7">
            <w:pPr>
              <w:pStyle w:val="Tabletext"/>
              <w:jc w:val="center"/>
              <w:rPr>
                <w:caps/>
                <w:szCs w:val="22"/>
                <w:lang w:val="en-US"/>
              </w:rPr>
            </w:pPr>
            <w:r w:rsidRPr="00BD6197">
              <w:rPr>
                <w:caps/>
                <w:szCs w:val="22"/>
                <w:lang w:val="en-US"/>
              </w:rPr>
              <w:t>1.2</w:t>
            </w:r>
          </w:p>
        </w:tc>
      </w:tr>
      <w:tr w:rsidR="00831CFB" w:rsidRPr="00BD6197" w:rsidTr="000F2BA7">
        <w:trPr>
          <w:cantSplit/>
          <w:jc w:val="center"/>
        </w:trPr>
        <w:tc>
          <w:tcPr>
            <w:tcW w:w="1134" w:type="dxa"/>
            <w:tcBorders>
              <w:top w:val="single" w:sz="6" w:space="0" w:color="auto"/>
              <w:right w:val="single" w:sz="6" w:space="0" w:color="auto"/>
            </w:tcBorders>
            <w:vAlign w:val="center"/>
          </w:tcPr>
          <w:p w:rsidR="00831CFB" w:rsidRPr="00BD6197" w:rsidRDefault="00831CFB" w:rsidP="000F2BA7">
            <w:pPr>
              <w:pStyle w:val="Tabletext"/>
              <w:jc w:val="center"/>
              <w:rPr>
                <w:szCs w:val="22"/>
                <w:lang w:val="en-US"/>
              </w:rPr>
            </w:pPr>
            <w:r w:rsidRPr="00BD6197">
              <w:rPr>
                <w:szCs w:val="22"/>
                <w:lang w:val="en-US"/>
              </w:rPr>
              <w:t>…</w:t>
            </w:r>
          </w:p>
        </w:tc>
        <w:tc>
          <w:tcPr>
            <w:tcW w:w="6804" w:type="dxa"/>
            <w:tcBorders>
              <w:top w:val="single" w:sz="6" w:space="0" w:color="auto"/>
              <w:left w:val="single" w:sz="6" w:space="0" w:color="auto"/>
              <w:right w:val="single" w:sz="6" w:space="0" w:color="auto"/>
            </w:tcBorders>
          </w:tcPr>
          <w:p w:rsidR="00831CFB" w:rsidRPr="00BD6197" w:rsidRDefault="00831CFB" w:rsidP="000F2BA7">
            <w:pPr>
              <w:pStyle w:val="Tabletext"/>
              <w:rPr>
                <w:szCs w:val="22"/>
                <w:lang w:val="en-US"/>
              </w:rPr>
            </w:pPr>
            <w:r w:rsidRPr="00BD6197">
              <w:rPr>
                <w:szCs w:val="22"/>
                <w:lang w:val="en-US"/>
              </w:rPr>
              <w:t>With a population of 50</w:t>
            </w:r>
            <w:r w:rsidRPr="00BD6197">
              <w:rPr>
                <w:rFonts w:ascii="Tms Rmn" w:hAnsi="Tms Rmn"/>
                <w:szCs w:val="22"/>
                <w:lang w:val="en-US"/>
              </w:rPr>
              <w:t> </w:t>
            </w:r>
            <w:r w:rsidRPr="00BD6197">
              <w:rPr>
                <w:szCs w:val="22"/>
                <w:lang w:val="en-US"/>
              </w:rPr>
              <w:t>000 to 100</w:t>
            </w:r>
            <w:r w:rsidRPr="00BD6197">
              <w:rPr>
                <w:rFonts w:ascii="Tms Rmn" w:hAnsi="Tms Rmn"/>
                <w:szCs w:val="22"/>
                <w:lang w:val="en-US"/>
              </w:rPr>
              <w:t> </w:t>
            </w:r>
            <w:r w:rsidRPr="00BD6197">
              <w:rPr>
                <w:szCs w:val="22"/>
                <w:lang w:val="en-US"/>
              </w:rPr>
              <w:t>000 inhabitants</w:t>
            </w:r>
          </w:p>
        </w:tc>
        <w:tc>
          <w:tcPr>
            <w:tcW w:w="1134" w:type="dxa"/>
            <w:tcBorders>
              <w:top w:val="single" w:sz="6" w:space="0" w:color="auto"/>
              <w:left w:val="single" w:sz="6" w:space="0" w:color="auto"/>
            </w:tcBorders>
            <w:vAlign w:val="center"/>
          </w:tcPr>
          <w:p w:rsidR="00831CFB" w:rsidRPr="00BD6197" w:rsidRDefault="00831CFB" w:rsidP="000F2BA7">
            <w:pPr>
              <w:pStyle w:val="Tabletext"/>
              <w:jc w:val="center"/>
              <w:rPr>
                <w:szCs w:val="22"/>
                <w:lang w:val="en-US"/>
              </w:rPr>
            </w:pPr>
            <w:r w:rsidRPr="00BD6197">
              <w:rPr>
                <w:szCs w:val="22"/>
                <w:lang w:val="en-US"/>
              </w:rPr>
              <w:t>1</w:t>
            </w:r>
            <w:r w:rsidRPr="00BD6197">
              <w:rPr>
                <w:caps/>
                <w:szCs w:val="22"/>
                <w:lang w:val="en-US"/>
              </w:rPr>
              <w:t>.</w:t>
            </w:r>
            <w:r w:rsidRPr="00BD6197">
              <w:rPr>
                <w:szCs w:val="22"/>
                <w:lang w:val="en-US"/>
              </w:rPr>
              <w:t>5</w:t>
            </w:r>
          </w:p>
        </w:tc>
      </w:tr>
      <w:tr w:rsidR="00831CFB" w:rsidRPr="00BD6197" w:rsidTr="000F2BA7">
        <w:trPr>
          <w:cantSplit/>
          <w:jc w:val="center"/>
        </w:trPr>
        <w:tc>
          <w:tcPr>
            <w:tcW w:w="1134" w:type="dxa"/>
            <w:tcBorders>
              <w:top w:val="single" w:sz="6" w:space="0" w:color="auto"/>
              <w:right w:val="single" w:sz="6" w:space="0" w:color="auto"/>
            </w:tcBorders>
            <w:vAlign w:val="center"/>
          </w:tcPr>
          <w:p w:rsidR="00831CFB" w:rsidRPr="00BD6197" w:rsidRDefault="00831CFB" w:rsidP="000F2BA7">
            <w:pPr>
              <w:pStyle w:val="Tabletext"/>
              <w:jc w:val="center"/>
              <w:rPr>
                <w:szCs w:val="22"/>
                <w:lang w:val="en-US"/>
              </w:rPr>
            </w:pPr>
            <w:r w:rsidRPr="00BD6197">
              <w:rPr>
                <w:i/>
                <w:szCs w:val="22"/>
                <w:lang w:val="en-US"/>
              </w:rPr>
              <w:t>m </w:t>
            </w:r>
            <w:r w:rsidRPr="00BD6197">
              <w:rPr>
                <w:szCs w:val="22"/>
                <w:lang w:val="en-US"/>
              </w:rPr>
              <w:t>– 2</w:t>
            </w:r>
          </w:p>
        </w:tc>
        <w:tc>
          <w:tcPr>
            <w:tcW w:w="6804" w:type="dxa"/>
            <w:tcBorders>
              <w:top w:val="single" w:sz="6" w:space="0" w:color="auto"/>
              <w:left w:val="single" w:sz="6" w:space="0" w:color="auto"/>
              <w:right w:val="single" w:sz="6" w:space="0" w:color="auto"/>
            </w:tcBorders>
          </w:tcPr>
          <w:p w:rsidR="00831CFB" w:rsidRPr="00BD6197" w:rsidRDefault="00831CFB" w:rsidP="000F2BA7">
            <w:pPr>
              <w:pStyle w:val="Tabletext"/>
              <w:rPr>
                <w:szCs w:val="22"/>
                <w:lang w:val="en-US"/>
              </w:rPr>
            </w:pPr>
            <w:r w:rsidRPr="00BD6197">
              <w:rPr>
                <w:szCs w:val="22"/>
                <w:lang w:val="en-US"/>
              </w:rPr>
              <w:t>With a population of 100</w:t>
            </w:r>
            <w:r w:rsidRPr="00BD6197">
              <w:rPr>
                <w:rFonts w:ascii="Tms Rmn" w:hAnsi="Tms Rmn"/>
                <w:szCs w:val="22"/>
                <w:lang w:val="en-US"/>
              </w:rPr>
              <w:t> </w:t>
            </w:r>
            <w:r w:rsidRPr="00BD6197">
              <w:rPr>
                <w:szCs w:val="22"/>
                <w:lang w:val="en-US"/>
              </w:rPr>
              <w:t>000 to 500</w:t>
            </w:r>
            <w:r w:rsidRPr="00BD6197">
              <w:rPr>
                <w:rFonts w:ascii="Tms Rmn" w:hAnsi="Tms Rmn"/>
                <w:szCs w:val="22"/>
                <w:lang w:val="en-US"/>
              </w:rPr>
              <w:t> </w:t>
            </w:r>
            <w:r w:rsidRPr="00BD6197">
              <w:rPr>
                <w:szCs w:val="22"/>
                <w:lang w:val="en-US"/>
              </w:rPr>
              <w:t>000 inhabitants</w:t>
            </w:r>
          </w:p>
        </w:tc>
        <w:tc>
          <w:tcPr>
            <w:tcW w:w="1134" w:type="dxa"/>
            <w:tcBorders>
              <w:top w:val="single" w:sz="6" w:space="0" w:color="auto"/>
              <w:left w:val="single" w:sz="6" w:space="0" w:color="auto"/>
            </w:tcBorders>
            <w:vAlign w:val="center"/>
          </w:tcPr>
          <w:p w:rsidR="00831CFB" w:rsidRPr="00BD6197" w:rsidRDefault="00831CFB" w:rsidP="000F2BA7">
            <w:pPr>
              <w:pStyle w:val="Tabletext"/>
              <w:jc w:val="center"/>
              <w:rPr>
                <w:szCs w:val="22"/>
                <w:lang w:val="en-US"/>
              </w:rPr>
            </w:pPr>
            <w:r w:rsidRPr="00BD6197">
              <w:rPr>
                <w:szCs w:val="22"/>
                <w:lang w:val="en-US"/>
              </w:rPr>
              <w:t>2</w:t>
            </w:r>
            <w:r w:rsidRPr="00BD6197">
              <w:rPr>
                <w:caps/>
                <w:szCs w:val="22"/>
                <w:lang w:val="en-US"/>
              </w:rPr>
              <w:t>.</w:t>
            </w:r>
            <w:r w:rsidRPr="00BD6197">
              <w:rPr>
                <w:szCs w:val="22"/>
                <w:lang w:val="en-US"/>
              </w:rPr>
              <w:t>0</w:t>
            </w:r>
          </w:p>
        </w:tc>
      </w:tr>
      <w:tr w:rsidR="00831CFB" w:rsidRPr="00BD6197" w:rsidTr="000F2BA7">
        <w:trPr>
          <w:cantSplit/>
          <w:jc w:val="center"/>
        </w:trPr>
        <w:tc>
          <w:tcPr>
            <w:tcW w:w="1134" w:type="dxa"/>
            <w:tcBorders>
              <w:top w:val="single" w:sz="6" w:space="0" w:color="auto"/>
              <w:right w:val="single" w:sz="6" w:space="0" w:color="auto"/>
            </w:tcBorders>
            <w:vAlign w:val="center"/>
          </w:tcPr>
          <w:p w:rsidR="00831CFB" w:rsidRPr="00BD6197" w:rsidRDefault="00831CFB" w:rsidP="000F2BA7">
            <w:pPr>
              <w:pStyle w:val="Tabletext"/>
              <w:jc w:val="center"/>
              <w:rPr>
                <w:szCs w:val="22"/>
                <w:lang w:val="en-US"/>
              </w:rPr>
            </w:pPr>
            <w:r w:rsidRPr="00BD6197">
              <w:rPr>
                <w:i/>
                <w:szCs w:val="22"/>
                <w:lang w:val="en-US"/>
              </w:rPr>
              <w:t>m </w:t>
            </w:r>
            <w:r w:rsidRPr="00BD6197">
              <w:rPr>
                <w:szCs w:val="22"/>
                <w:lang w:val="en-US"/>
              </w:rPr>
              <w:t>– 1</w:t>
            </w:r>
          </w:p>
        </w:tc>
        <w:tc>
          <w:tcPr>
            <w:tcW w:w="6804" w:type="dxa"/>
            <w:tcBorders>
              <w:top w:val="single" w:sz="6" w:space="0" w:color="auto"/>
              <w:left w:val="single" w:sz="6" w:space="0" w:color="auto"/>
              <w:right w:val="single" w:sz="6" w:space="0" w:color="auto"/>
            </w:tcBorders>
          </w:tcPr>
          <w:p w:rsidR="00831CFB" w:rsidRPr="00BD6197" w:rsidRDefault="00831CFB" w:rsidP="000F2BA7">
            <w:pPr>
              <w:pStyle w:val="Tabletext"/>
              <w:rPr>
                <w:szCs w:val="22"/>
                <w:lang w:val="en-US"/>
              </w:rPr>
            </w:pPr>
            <w:r w:rsidRPr="00BD6197">
              <w:rPr>
                <w:szCs w:val="22"/>
                <w:lang w:val="en-US"/>
              </w:rPr>
              <w:t>With a population of  500</w:t>
            </w:r>
            <w:r w:rsidRPr="00BD6197">
              <w:rPr>
                <w:rFonts w:ascii="Tms Rmn" w:hAnsi="Tms Rmn"/>
                <w:szCs w:val="22"/>
                <w:lang w:val="en-US"/>
              </w:rPr>
              <w:t> </w:t>
            </w:r>
            <w:r w:rsidRPr="00BD6197">
              <w:rPr>
                <w:szCs w:val="22"/>
                <w:lang w:val="en-US"/>
              </w:rPr>
              <w:t>000  to 1</w:t>
            </w:r>
            <w:r w:rsidRPr="00BD6197">
              <w:rPr>
                <w:rFonts w:ascii="Tms Rmn" w:hAnsi="Tms Rmn"/>
                <w:szCs w:val="22"/>
                <w:lang w:val="en-US"/>
              </w:rPr>
              <w:t> </w:t>
            </w:r>
            <w:r w:rsidRPr="00BD6197">
              <w:rPr>
                <w:szCs w:val="22"/>
                <w:lang w:val="en-US"/>
              </w:rPr>
              <w:t>000</w:t>
            </w:r>
            <w:r w:rsidRPr="00BD6197">
              <w:rPr>
                <w:rFonts w:ascii="Tms Rmn" w:hAnsi="Tms Rmn"/>
                <w:szCs w:val="22"/>
                <w:lang w:val="en-US"/>
              </w:rPr>
              <w:t> </w:t>
            </w:r>
            <w:r w:rsidRPr="00BD6197">
              <w:rPr>
                <w:szCs w:val="22"/>
                <w:lang w:val="en-US"/>
              </w:rPr>
              <w:t>000 inhabitants</w:t>
            </w:r>
          </w:p>
        </w:tc>
        <w:tc>
          <w:tcPr>
            <w:tcW w:w="1134" w:type="dxa"/>
            <w:tcBorders>
              <w:top w:val="single" w:sz="6" w:space="0" w:color="auto"/>
              <w:left w:val="single" w:sz="6" w:space="0" w:color="auto"/>
            </w:tcBorders>
            <w:vAlign w:val="center"/>
          </w:tcPr>
          <w:p w:rsidR="00831CFB" w:rsidRPr="00BD6197" w:rsidRDefault="00831CFB" w:rsidP="000F2BA7">
            <w:pPr>
              <w:pStyle w:val="Tabletext"/>
              <w:jc w:val="center"/>
              <w:rPr>
                <w:szCs w:val="22"/>
                <w:lang w:val="en-US"/>
              </w:rPr>
            </w:pPr>
            <w:r w:rsidRPr="00BD6197">
              <w:rPr>
                <w:szCs w:val="22"/>
                <w:lang w:val="en-US"/>
              </w:rPr>
              <w:t>3</w:t>
            </w:r>
            <w:r w:rsidRPr="00BD6197">
              <w:rPr>
                <w:caps/>
                <w:szCs w:val="22"/>
                <w:lang w:val="en-US"/>
              </w:rPr>
              <w:t>.</w:t>
            </w:r>
            <w:r w:rsidRPr="00BD6197">
              <w:rPr>
                <w:szCs w:val="22"/>
                <w:lang w:val="en-US"/>
              </w:rPr>
              <w:t>0</w:t>
            </w:r>
          </w:p>
        </w:tc>
      </w:tr>
      <w:tr w:rsidR="00831CFB" w:rsidRPr="00BD6197" w:rsidTr="000F2BA7">
        <w:trPr>
          <w:cantSplit/>
          <w:jc w:val="center"/>
        </w:trPr>
        <w:tc>
          <w:tcPr>
            <w:tcW w:w="1134" w:type="dxa"/>
            <w:tcBorders>
              <w:top w:val="single" w:sz="6" w:space="0" w:color="auto"/>
              <w:right w:val="single" w:sz="6" w:space="0" w:color="auto"/>
            </w:tcBorders>
            <w:vAlign w:val="center"/>
          </w:tcPr>
          <w:p w:rsidR="00831CFB" w:rsidRPr="00BD6197" w:rsidRDefault="00831CFB" w:rsidP="000F2BA7">
            <w:pPr>
              <w:pStyle w:val="Tabletext"/>
              <w:jc w:val="center"/>
              <w:rPr>
                <w:szCs w:val="22"/>
                <w:lang w:val="en-US"/>
              </w:rPr>
            </w:pPr>
            <w:r w:rsidRPr="00BD6197">
              <w:rPr>
                <w:i/>
                <w:szCs w:val="22"/>
                <w:lang w:val="en-US"/>
              </w:rPr>
              <w:t>m</w:t>
            </w:r>
          </w:p>
        </w:tc>
        <w:tc>
          <w:tcPr>
            <w:tcW w:w="6804" w:type="dxa"/>
            <w:tcBorders>
              <w:top w:val="single" w:sz="6" w:space="0" w:color="auto"/>
              <w:left w:val="single" w:sz="6" w:space="0" w:color="auto"/>
              <w:right w:val="single" w:sz="6" w:space="0" w:color="auto"/>
            </w:tcBorders>
          </w:tcPr>
          <w:p w:rsidR="00831CFB" w:rsidRPr="00BD6197" w:rsidRDefault="00831CFB" w:rsidP="000F2BA7">
            <w:pPr>
              <w:pStyle w:val="Tabletext"/>
              <w:rPr>
                <w:szCs w:val="22"/>
                <w:lang w:val="en-US"/>
              </w:rPr>
            </w:pPr>
            <w:r w:rsidRPr="00BD6197">
              <w:rPr>
                <w:szCs w:val="22"/>
                <w:lang w:val="en-US"/>
              </w:rPr>
              <w:t>With a population over 1</w:t>
            </w:r>
            <w:r w:rsidRPr="00BD6197">
              <w:rPr>
                <w:rFonts w:ascii="Tms Rmn" w:hAnsi="Tms Rmn"/>
                <w:szCs w:val="22"/>
                <w:lang w:val="en-US"/>
              </w:rPr>
              <w:t> </w:t>
            </w:r>
            <w:r w:rsidRPr="00BD6197">
              <w:rPr>
                <w:szCs w:val="22"/>
                <w:lang w:val="en-US"/>
              </w:rPr>
              <w:t>000</w:t>
            </w:r>
            <w:r w:rsidRPr="00BD6197">
              <w:rPr>
                <w:rFonts w:ascii="Tms Rmn" w:hAnsi="Tms Rmn"/>
                <w:szCs w:val="22"/>
                <w:lang w:val="en-US"/>
              </w:rPr>
              <w:t> </w:t>
            </w:r>
            <w:r w:rsidRPr="00BD6197">
              <w:rPr>
                <w:szCs w:val="22"/>
                <w:lang w:val="en-US"/>
              </w:rPr>
              <w:t>000 inhabitants</w:t>
            </w:r>
          </w:p>
        </w:tc>
        <w:tc>
          <w:tcPr>
            <w:tcW w:w="1134" w:type="dxa"/>
            <w:tcBorders>
              <w:top w:val="single" w:sz="6" w:space="0" w:color="auto"/>
              <w:left w:val="single" w:sz="6" w:space="0" w:color="auto"/>
            </w:tcBorders>
            <w:vAlign w:val="center"/>
          </w:tcPr>
          <w:p w:rsidR="00831CFB" w:rsidRPr="00BD6197" w:rsidRDefault="00831CFB" w:rsidP="000F2BA7">
            <w:pPr>
              <w:pStyle w:val="Tabletext"/>
              <w:jc w:val="center"/>
              <w:rPr>
                <w:szCs w:val="22"/>
                <w:lang w:val="en-US"/>
              </w:rPr>
            </w:pPr>
            <w:r w:rsidRPr="00BD6197">
              <w:rPr>
                <w:szCs w:val="22"/>
                <w:lang w:val="en-US"/>
              </w:rPr>
              <w:t>4</w:t>
            </w:r>
            <w:r w:rsidRPr="00BD6197">
              <w:rPr>
                <w:caps/>
                <w:szCs w:val="22"/>
                <w:lang w:val="en-US"/>
              </w:rPr>
              <w:t>.</w:t>
            </w:r>
            <w:r w:rsidRPr="00BD6197">
              <w:rPr>
                <w:szCs w:val="22"/>
                <w:lang w:val="en-US"/>
              </w:rPr>
              <w:t>0</w:t>
            </w:r>
          </w:p>
        </w:tc>
      </w:tr>
    </w:tbl>
    <w:p w:rsidR="00831CFB" w:rsidRPr="00BD6197" w:rsidRDefault="00831CFB" w:rsidP="00831CFB">
      <w:pPr>
        <w:pStyle w:val="Tablefin"/>
        <w:rPr>
          <w:lang w:val="en-US"/>
        </w:rPr>
      </w:pPr>
    </w:p>
    <w:p w:rsidR="00831CFB" w:rsidRPr="00BD6197" w:rsidRDefault="00831CFB" w:rsidP="00831CFB">
      <w:pPr>
        <w:rPr>
          <w:lang w:val="en-US"/>
        </w:rPr>
      </w:pPr>
      <w:r w:rsidRPr="00BD6197">
        <w:rPr>
          <w:lang w:val="en-US"/>
        </w:rPr>
        <w:t xml:space="preserve">The territory actually occupied by the emission </w:t>
      </w:r>
      <w:r w:rsidRPr="00BD6197">
        <w:rPr>
          <w:i/>
          <w:lang w:val="en-US"/>
        </w:rPr>
        <w:t>s</w:t>
      </w:r>
      <w:r w:rsidRPr="00BD6197">
        <w:rPr>
          <w:i/>
          <w:vertAlign w:val="subscript"/>
          <w:lang w:val="en-US"/>
        </w:rPr>
        <w:t>i</w:t>
      </w:r>
      <w:r w:rsidRPr="00BD6197">
        <w:rPr>
          <w:i/>
          <w:lang w:val="en-US"/>
        </w:rPr>
        <w:t xml:space="preserve"> </w:t>
      </w:r>
      <w:r w:rsidRPr="00BD6197">
        <w:rPr>
          <w:lang w:val="en-US"/>
        </w:rPr>
        <w:t xml:space="preserve">is calculated individually for each </w:t>
      </w:r>
      <w:r w:rsidRPr="00BD6197">
        <w:rPr>
          <w:i/>
          <w:lang w:val="en-US"/>
        </w:rPr>
        <w:t>i</w:t>
      </w:r>
      <w:r w:rsidRPr="00BD6197">
        <w:rPr>
          <w:lang w:val="en-US"/>
        </w:rPr>
        <w:t xml:space="preserve">-th emission based on the relevant service area concept (and its equivalent for point-to-point communications) by criterion of nominal usable field strength </w:t>
      </w:r>
      <w:r w:rsidRPr="00BD6197">
        <w:rPr>
          <w:i/>
          <w:lang w:val="en-US"/>
        </w:rPr>
        <w:t>E</w:t>
      </w:r>
      <w:r w:rsidRPr="00BD6197">
        <w:rPr>
          <w:i/>
          <w:iCs/>
          <w:vertAlign w:val="subscript"/>
          <w:lang w:val="en-US"/>
        </w:rPr>
        <w:t>n</w:t>
      </w:r>
      <w:r w:rsidRPr="00BD6197">
        <w:rPr>
          <w:lang w:val="en-US"/>
        </w:rPr>
        <w:t xml:space="preserve"> at its border. If the territory actually occupied by the </w:t>
      </w:r>
      <w:r w:rsidRPr="00BD6197">
        <w:rPr>
          <w:i/>
          <w:lang w:val="en-US"/>
        </w:rPr>
        <w:t>i</w:t>
      </w:r>
      <w:r w:rsidRPr="00BD6197">
        <w:rPr>
          <w:lang w:val="en-US"/>
        </w:rPr>
        <w:noBreakHyphen/>
        <w:t xml:space="preserve">th emission includes </w:t>
      </w:r>
      <w:r w:rsidRPr="00BD6197">
        <w:rPr>
          <w:i/>
          <w:lang w:val="en-US"/>
        </w:rPr>
        <w:t xml:space="preserve">K </w:t>
      </w:r>
      <w:r w:rsidRPr="00BD6197">
        <w:rPr>
          <w:lang w:val="en-US"/>
        </w:rPr>
        <w:t xml:space="preserve">regions belonging to different categories above, related territorial resource </w:t>
      </w:r>
      <w:r w:rsidRPr="00BD6197">
        <w:rPr>
          <w:lang w:val="en-US"/>
        </w:rPr>
        <w:sym w:font="Symbol" w:char="F053"/>
      </w:r>
      <w:r w:rsidRPr="00BD6197">
        <w:rPr>
          <w:i/>
          <w:lang w:val="en-US"/>
        </w:rPr>
        <w:t>S</w:t>
      </w:r>
      <w:r w:rsidRPr="00BD6197">
        <w:rPr>
          <w:i/>
          <w:iCs/>
          <w:vertAlign w:val="subscript"/>
          <w:lang w:val="en-US"/>
        </w:rPr>
        <w:t>i</w:t>
      </w:r>
      <w:r w:rsidRPr="00BD6197">
        <w:rPr>
          <w:position w:val="-5"/>
          <w:lang w:val="en-US"/>
        </w:rPr>
        <w:t xml:space="preserve"> </w:t>
      </w:r>
      <w:r w:rsidRPr="00BD6197">
        <w:rPr>
          <w:lang w:val="en-US"/>
        </w:rPr>
        <w:t>can be determined as:</w:t>
      </w:r>
    </w:p>
    <w:p w:rsidR="00831CFB" w:rsidRPr="00BD6197" w:rsidRDefault="00831CFB" w:rsidP="00831CFB">
      <w:pPr>
        <w:pStyle w:val="Equation"/>
        <w:rPr>
          <w:lang w:val="en-US"/>
        </w:rPr>
      </w:pPr>
      <w:r w:rsidRPr="00BD6197">
        <w:rPr>
          <w:lang w:val="en-US"/>
        </w:rPr>
        <w:tab/>
      </w:r>
      <w:r w:rsidRPr="00BD6197">
        <w:rPr>
          <w:lang w:val="en-US"/>
        </w:rPr>
        <w:tab/>
      </w:r>
      <w:r w:rsidRPr="00BD6197">
        <w:rPr>
          <w:position w:val="-32"/>
          <w:lang w:val="en-US"/>
        </w:rPr>
        <w:object w:dxaOrig="1760" w:dyaOrig="760">
          <v:shape id="_x0000_i1027" type="#_x0000_t75" style="width:90pt;height:38.25pt" o:ole="" fillcolor="window">
            <v:imagedata r:id="rId26" o:title=""/>
          </v:shape>
          <o:OLEObject Type="Embed" ProgID="Equation.3" ShapeID="_x0000_i1027" DrawAspect="Content" ObjectID="_1604324981" r:id="rId27"/>
        </w:object>
      </w:r>
      <w:r w:rsidRPr="00BD6197">
        <w:rPr>
          <w:lang w:val="en-US"/>
        </w:rPr>
        <w:tab/>
        <w:t>(23)</w:t>
      </w:r>
    </w:p>
    <w:p w:rsidR="00831CFB" w:rsidRPr="00BD6197" w:rsidRDefault="00831CFB" w:rsidP="00831CFB">
      <w:pPr>
        <w:rPr>
          <w:lang w:val="en-US"/>
        </w:rPr>
      </w:pPr>
      <w:r w:rsidRPr="00BD6197">
        <w:rPr>
          <w:lang w:val="en-US"/>
        </w:rPr>
        <w:t>where:</w:t>
      </w:r>
    </w:p>
    <w:p w:rsidR="00831CFB" w:rsidRPr="00BD6197" w:rsidRDefault="00831CFB" w:rsidP="00831CFB">
      <w:pPr>
        <w:pStyle w:val="Equationlegend"/>
      </w:pPr>
      <w:r w:rsidRPr="00BD6197">
        <w:rPr>
          <w:i/>
        </w:rPr>
        <w:tab/>
        <w:t>b</w:t>
      </w:r>
      <w:r w:rsidRPr="00BD6197">
        <w:rPr>
          <w:i/>
          <w:iCs/>
          <w:vertAlign w:val="subscript"/>
        </w:rPr>
        <w:t>ik</w:t>
      </w:r>
      <w:r w:rsidRPr="00BD6197">
        <w:rPr>
          <w:rFonts w:ascii="Tms Rmn" w:hAnsi="Tms Rmn"/>
          <w:sz w:val="12"/>
        </w:rPr>
        <w:t> </w:t>
      </w:r>
      <w:r w:rsidRPr="00BD6197">
        <w:rPr>
          <w:iCs/>
        </w:rPr>
        <w:t>:</w:t>
      </w:r>
      <w:r w:rsidRPr="00BD6197">
        <w:rPr>
          <w:iCs/>
        </w:rPr>
        <w:tab/>
        <w:t>relevant</w:t>
      </w:r>
      <w:r w:rsidRPr="00BD6197">
        <w:t xml:space="preserve"> weighting coefficient for </w:t>
      </w:r>
      <w:r w:rsidRPr="00BD6197">
        <w:rPr>
          <w:i/>
        </w:rPr>
        <w:t>q</w:t>
      </w:r>
      <w:r w:rsidRPr="00BD6197">
        <w:t>-th area category</w:t>
      </w:r>
    </w:p>
    <w:p w:rsidR="00831CFB" w:rsidRPr="00BD6197" w:rsidRDefault="00831CFB" w:rsidP="00831CFB">
      <w:pPr>
        <w:pStyle w:val="Equationlegend"/>
      </w:pPr>
      <w:r w:rsidRPr="00BD6197">
        <w:rPr>
          <w:i/>
        </w:rPr>
        <w:tab/>
        <w:t>s</w:t>
      </w:r>
      <w:r w:rsidRPr="00BD6197">
        <w:rPr>
          <w:i/>
          <w:iCs/>
          <w:vertAlign w:val="subscript"/>
        </w:rPr>
        <w:t>ik</w:t>
      </w:r>
      <w:r w:rsidRPr="00BD6197">
        <w:rPr>
          <w:rFonts w:ascii="Tms Rmn" w:hAnsi="Tms Rmn"/>
          <w:sz w:val="12"/>
        </w:rPr>
        <w:t> </w:t>
      </w:r>
      <w:r w:rsidRPr="00BD6197">
        <w:t>:</w:t>
      </w:r>
      <w:r w:rsidRPr="00BD6197">
        <w:tab/>
        <w:t xml:space="preserve">relevant proportion of the whole occupied region </w:t>
      </w:r>
      <w:r w:rsidRPr="00BD6197">
        <w:rPr>
          <w:i/>
        </w:rPr>
        <w:t>s</w:t>
      </w:r>
      <w:r w:rsidRPr="00BD6197">
        <w:rPr>
          <w:i/>
          <w:vertAlign w:val="subscript"/>
        </w:rPr>
        <w:t>i</w:t>
      </w:r>
      <w:r>
        <w:t>.</w:t>
      </w:r>
    </w:p>
    <w:p w:rsidR="00831CFB" w:rsidRPr="00BD6197" w:rsidRDefault="00831CFB" w:rsidP="00831CFB">
      <w:pPr>
        <w:rPr>
          <w:lang w:val="en-US"/>
        </w:rPr>
      </w:pPr>
      <w:r w:rsidRPr="00BD6197">
        <w:rPr>
          <w:lang w:val="en-US"/>
        </w:rPr>
        <w:t>i.e.:</w:t>
      </w:r>
    </w:p>
    <w:p w:rsidR="00831CFB" w:rsidRPr="00BD6197" w:rsidRDefault="00831CFB" w:rsidP="00831CFB">
      <w:pPr>
        <w:pStyle w:val="Equation"/>
        <w:tabs>
          <w:tab w:val="left" w:pos="6237"/>
        </w:tabs>
        <w:rPr>
          <w:lang w:val="en-US"/>
        </w:rPr>
      </w:pPr>
      <w:r w:rsidRPr="00BD6197">
        <w:rPr>
          <w:lang w:val="en-US"/>
        </w:rPr>
        <w:tab/>
      </w:r>
      <w:r w:rsidRPr="00BD6197">
        <w:rPr>
          <w:lang w:val="en-US"/>
        </w:rPr>
        <w:tab/>
      </w:r>
      <w:r w:rsidRPr="00BD6197">
        <w:rPr>
          <w:position w:val="-32"/>
          <w:lang w:val="en-US"/>
        </w:rPr>
        <w:object w:dxaOrig="1340" w:dyaOrig="760">
          <v:shape id="_x0000_i1028" type="#_x0000_t75" style="width:66pt;height:38.25pt" o:ole="">
            <v:imagedata r:id="rId28" o:title=""/>
          </v:shape>
          <o:OLEObject Type="Embed" ProgID="Equation.3" ShapeID="_x0000_i1028" DrawAspect="Content" ObjectID="_1604324982" r:id="rId29"/>
        </w:object>
      </w:r>
      <w:r w:rsidRPr="00BD6197">
        <w:rPr>
          <w:lang w:val="en-US"/>
        </w:rPr>
        <w:t xml:space="preserve">     1 </w:t>
      </w:r>
      <w:r w:rsidRPr="00BD6197">
        <w:rPr>
          <w:rFonts w:ascii="Symbol" w:hAnsi="Symbol"/>
          <w:lang w:val="en-US"/>
        </w:rPr>
        <w:sym w:font="Symbol" w:char="F0A3"/>
      </w:r>
      <w:r w:rsidRPr="00BD6197">
        <w:rPr>
          <w:lang w:val="en-US"/>
        </w:rPr>
        <w:t xml:space="preserve"> </w:t>
      </w:r>
      <w:r w:rsidRPr="00BD6197">
        <w:rPr>
          <w:i/>
          <w:lang w:val="en-US"/>
        </w:rPr>
        <w:t>k</w:t>
      </w:r>
      <w:r w:rsidRPr="00BD6197">
        <w:rPr>
          <w:lang w:val="en-US"/>
        </w:rPr>
        <w:t xml:space="preserve"> </w:t>
      </w:r>
      <w:r w:rsidRPr="00BD6197">
        <w:rPr>
          <w:rFonts w:ascii="Symbol" w:hAnsi="Symbol"/>
          <w:lang w:val="en-US"/>
        </w:rPr>
        <w:t></w:t>
      </w:r>
      <w:r w:rsidRPr="00BD6197">
        <w:rPr>
          <w:lang w:val="en-US"/>
        </w:rPr>
        <w:t xml:space="preserve"> 3 (usually)</w:t>
      </w:r>
    </w:p>
    <w:p w:rsidR="00831CFB" w:rsidRPr="00BD6197" w:rsidRDefault="00831CFB" w:rsidP="00831CFB">
      <w:pPr>
        <w:pStyle w:val="Normalaftertitle"/>
        <w:rPr>
          <w:lang w:val="en-US"/>
        </w:rPr>
      </w:pPr>
      <w:r w:rsidRPr="00BD6197">
        <w:rPr>
          <w:lang w:val="en-US"/>
        </w:rPr>
        <w:t xml:space="preserve">Examples for the calculation of proportional values </w:t>
      </w:r>
      <w:r w:rsidRPr="00BD6197">
        <w:rPr>
          <w:i/>
          <w:lang w:val="en-US"/>
        </w:rPr>
        <w:t>s</w:t>
      </w:r>
      <w:r w:rsidRPr="00BD6197">
        <w:rPr>
          <w:i/>
          <w:iCs/>
          <w:vertAlign w:val="subscript"/>
          <w:lang w:val="en-US"/>
        </w:rPr>
        <w:t>ik</w:t>
      </w:r>
      <w:r w:rsidRPr="00BD6197">
        <w:rPr>
          <w:lang w:val="en-US"/>
        </w:rPr>
        <w:t xml:space="preserve"> for different cases are also presented. If an administration has a digital administrative terrain database interrelated with relevant frequency assignment software, calculations of </w:t>
      </w:r>
      <w:r w:rsidRPr="00BD6197">
        <w:rPr>
          <w:lang w:val="en-US"/>
        </w:rPr>
        <w:sym w:font="Symbol" w:char="F053"/>
      </w:r>
      <w:r w:rsidRPr="00BD6197">
        <w:rPr>
          <w:i/>
          <w:lang w:val="en-US"/>
        </w:rPr>
        <w:t>S</w:t>
      </w:r>
      <w:r w:rsidRPr="00BD6197">
        <w:rPr>
          <w:i/>
          <w:iCs/>
          <w:vertAlign w:val="subscript"/>
          <w:lang w:val="en-US"/>
        </w:rPr>
        <w:t>i</w:t>
      </w:r>
      <w:r w:rsidRPr="00BD6197">
        <w:rPr>
          <w:lang w:val="en-US"/>
        </w:rPr>
        <w:t xml:space="preserve"> can be made automatically using software.</w:t>
      </w:r>
    </w:p>
    <w:p w:rsidR="00831CFB" w:rsidRPr="00BD6197" w:rsidRDefault="00831CFB" w:rsidP="00831CFB">
      <w:pPr>
        <w:pStyle w:val="Heading3"/>
        <w:rPr>
          <w:lang w:val="en-US"/>
        </w:rPr>
      </w:pPr>
      <w:bookmarkStart w:id="1555" w:name="_Toc289868837"/>
      <w:bookmarkStart w:id="1556" w:name="_Toc289868997"/>
      <w:bookmarkStart w:id="1557" w:name="_Toc289932305"/>
      <w:bookmarkStart w:id="1558" w:name="_Toc289933351"/>
      <w:bookmarkStart w:id="1559" w:name="_Toc291852914"/>
      <w:bookmarkStart w:id="1560" w:name="_Toc392515900"/>
      <w:bookmarkStart w:id="1561" w:name="_Toc462234068"/>
      <w:bookmarkStart w:id="1562" w:name="_Toc518394227"/>
      <w:r w:rsidRPr="00BD6197">
        <w:rPr>
          <w:lang w:val="en-US"/>
        </w:rPr>
        <w:t>4.6.8</w:t>
      </w:r>
      <w:r w:rsidRPr="00BD6197">
        <w:rPr>
          <w:lang w:val="en-US"/>
        </w:rPr>
        <w:tab/>
        <w:t>Determination of a frequency resource used by an emission</w:t>
      </w:r>
      <w:bookmarkEnd w:id="1555"/>
      <w:bookmarkEnd w:id="1556"/>
      <w:bookmarkEnd w:id="1557"/>
      <w:bookmarkEnd w:id="1558"/>
      <w:bookmarkEnd w:id="1559"/>
      <w:bookmarkEnd w:id="1560"/>
      <w:bookmarkEnd w:id="1561"/>
      <w:bookmarkEnd w:id="1562"/>
    </w:p>
    <w:p w:rsidR="00831CFB" w:rsidRPr="00BD6197" w:rsidRDefault="00831CFB" w:rsidP="00831CFB">
      <w:pPr>
        <w:rPr>
          <w:lang w:val="en-US"/>
        </w:rPr>
      </w:pPr>
      <w:r w:rsidRPr="00BD6197">
        <w:rPr>
          <w:lang w:val="en-US"/>
        </w:rPr>
        <w:t xml:space="preserve">A frequency resource </w:t>
      </w:r>
      <w:r w:rsidRPr="00BD6197">
        <w:rPr>
          <w:i/>
          <w:lang w:val="en-US"/>
        </w:rPr>
        <w:t>F</w:t>
      </w:r>
      <w:r w:rsidRPr="00BD6197">
        <w:rPr>
          <w:i/>
          <w:iCs/>
          <w:vertAlign w:val="subscript"/>
          <w:lang w:val="en-US"/>
        </w:rPr>
        <w:t>i</w:t>
      </w:r>
      <w:r w:rsidRPr="00BD6197">
        <w:rPr>
          <w:lang w:val="en-US"/>
        </w:rPr>
        <w:t xml:space="preserve"> used by </w:t>
      </w:r>
      <w:r w:rsidRPr="00BD6197">
        <w:rPr>
          <w:i/>
          <w:lang w:val="en-US"/>
        </w:rPr>
        <w:t>i</w:t>
      </w:r>
      <w:r w:rsidRPr="00BD6197">
        <w:rPr>
          <w:lang w:val="en-US"/>
        </w:rPr>
        <w:t>-th emission is determined as:</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r>
      <w:r w:rsidRPr="00BD6197">
        <w:rPr>
          <w:position w:val="-12"/>
          <w:lang w:val="en-US"/>
        </w:rPr>
        <w:object w:dxaOrig="2220" w:dyaOrig="360">
          <v:shape id="_x0000_i1029" type="#_x0000_t75" style="width:110.25pt;height:19.5pt" o:ole="">
            <v:imagedata r:id="rId30" o:title=""/>
          </v:shape>
          <o:OLEObject Type="Embed" ProgID="Equation.3" ShapeID="_x0000_i1029" DrawAspect="Content" ObjectID="_1604324983" r:id="rId31"/>
        </w:object>
      </w:r>
      <w:r w:rsidRPr="00BD6197">
        <w:rPr>
          <w:lang w:val="en-US"/>
        </w:rPr>
        <w:tab/>
        <w:t>(24)</w:t>
      </w:r>
    </w:p>
    <w:p w:rsidR="00831CFB" w:rsidRPr="00BD6197" w:rsidRDefault="00831CFB" w:rsidP="00831CFB">
      <w:pPr>
        <w:rPr>
          <w:lang w:val="en-US"/>
        </w:rPr>
      </w:pPr>
      <w:r w:rsidRPr="00BD6197">
        <w:rPr>
          <w:lang w:val="en-US"/>
        </w:rPr>
        <w:lastRenderedPageBreak/>
        <w:t>where:</w:t>
      </w:r>
    </w:p>
    <w:p w:rsidR="00831CFB" w:rsidRPr="00BD6197" w:rsidRDefault="00831CFB" w:rsidP="00831CFB">
      <w:pPr>
        <w:pStyle w:val="Equationlegend"/>
      </w:pPr>
      <w:r w:rsidRPr="00BD6197">
        <w:rPr>
          <w:i/>
        </w:rPr>
        <w:tab/>
        <w:t>B</w:t>
      </w:r>
      <w:r w:rsidRPr="00BD6197">
        <w:rPr>
          <w:i/>
          <w:iCs/>
          <w:vertAlign w:val="subscript"/>
        </w:rPr>
        <w:t>ni</w:t>
      </w:r>
      <w:r w:rsidRPr="00BD6197">
        <w:t xml:space="preserve"> :</w:t>
      </w:r>
      <w:r w:rsidRPr="00BD6197">
        <w:rPr>
          <w:iCs/>
        </w:rPr>
        <w:tab/>
      </w:r>
      <w:r w:rsidRPr="00BD6197">
        <w:t>necessary bandwidth of the emission (MHz), calculated in accordance with Recommendation ITU-R SM.1138-2, taking into account that an occupied bandwidth of an emission should be equal to its necessary bandwidth (Recommendation ITU</w:t>
      </w:r>
      <w:r w:rsidRPr="00BD6197">
        <w:noBreakHyphen/>
        <w:t>R SM.328</w:t>
      </w:r>
      <w:r w:rsidRPr="00BD6197">
        <w:noBreakHyphen/>
        <w:t>11)</w:t>
      </w:r>
    </w:p>
    <w:p w:rsidR="00831CFB" w:rsidRPr="00BD6197" w:rsidRDefault="00831CFB" w:rsidP="00831CFB">
      <w:pPr>
        <w:pStyle w:val="Equationlegend"/>
      </w:pPr>
      <w:r w:rsidRPr="00BD6197">
        <w:rPr>
          <w:i/>
        </w:rPr>
        <w:tab/>
      </w:r>
      <w:r w:rsidRPr="00BD6197">
        <w:rPr>
          <w:iCs/>
        </w:rPr>
        <w:sym w:font="Symbol" w:char="F063"/>
      </w:r>
      <w:r w:rsidRPr="00BD6197">
        <w:rPr>
          <w:iCs/>
        </w:rPr>
        <w:t xml:space="preserve"> :</w:t>
      </w:r>
      <w:r w:rsidRPr="00BD6197">
        <w:rPr>
          <w:iCs/>
        </w:rPr>
        <w:tab/>
      </w:r>
      <w:r w:rsidRPr="00BD6197">
        <w:t xml:space="preserve">adjustment </w:t>
      </w:r>
      <w:r w:rsidRPr="00BD6197">
        <w:rPr>
          <w:position w:val="-10"/>
        </w:rPr>
        <w:object w:dxaOrig="1040" w:dyaOrig="320">
          <v:shape id="_x0000_i1030" type="#_x0000_t75" style="width:51pt;height:16.5pt" o:ole="" fillcolor="window">
            <v:imagedata r:id="rId32" o:title=""/>
          </v:shape>
          <o:OLEObject Type="Embed" ProgID="Equation.3" ShapeID="_x0000_i1030" DrawAspect="Content" ObjectID="_1604324984" r:id="rId33"/>
        </w:object>
      </w:r>
      <w:r w:rsidRPr="00BD6197">
        <w:t>can be used in some cases, for example, to decrease somewhat a very great difference in fees between sound and TV broadcasting, under the same powers of transmitters, due to significant difference in the necessary bandwidths. It also can be used in cases of radar applications (see example of calculations below), etc.</w:t>
      </w:r>
    </w:p>
    <w:p w:rsidR="00831CFB" w:rsidRPr="00BD6197" w:rsidRDefault="00831CFB" w:rsidP="00831CFB">
      <w:pPr>
        <w:pStyle w:val="Heading3"/>
        <w:rPr>
          <w:lang w:val="en-US"/>
        </w:rPr>
      </w:pPr>
      <w:bookmarkStart w:id="1563" w:name="_Toc289868838"/>
      <w:bookmarkStart w:id="1564" w:name="_Toc289868998"/>
      <w:bookmarkStart w:id="1565" w:name="_Toc289932306"/>
      <w:bookmarkStart w:id="1566" w:name="_Toc289933352"/>
      <w:bookmarkStart w:id="1567" w:name="_Toc291852915"/>
      <w:bookmarkStart w:id="1568" w:name="_Toc392515901"/>
      <w:bookmarkStart w:id="1569" w:name="_Toc462234069"/>
      <w:bookmarkStart w:id="1570" w:name="_Toc518394228"/>
      <w:r w:rsidRPr="00BD6197">
        <w:rPr>
          <w:lang w:val="en-US"/>
        </w:rPr>
        <w:t>4.6.9</w:t>
      </w:r>
      <w:r w:rsidRPr="00BD6197">
        <w:rPr>
          <w:lang w:val="en-US"/>
        </w:rPr>
        <w:tab/>
        <w:t>Determination of weighting coefficients</w:t>
      </w:r>
      <w:bookmarkEnd w:id="1563"/>
      <w:bookmarkEnd w:id="1564"/>
      <w:bookmarkEnd w:id="1565"/>
      <w:bookmarkEnd w:id="1566"/>
      <w:bookmarkEnd w:id="1567"/>
      <w:bookmarkEnd w:id="1568"/>
      <w:bookmarkEnd w:id="1569"/>
      <w:bookmarkEnd w:id="1570"/>
    </w:p>
    <w:p w:rsidR="00831CFB" w:rsidRPr="00BD6197" w:rsidRDefault="00831CFB" w:rsidP="00831CFB">
      <w:pPr>
        <w:rPr>
          <w:lang w:val="en-US"/>
        </w:rPr>
      </w:pPr>
      <w:r w:rsidRPr="00BD6197">
        <w:rPr>
          <w:lang w:val="en-US"/>
        </w:rPr>
        <w:t xml:space="preserve">General weighing coefficient </w:t>
      </w:r>
      <w:r w:rsidRPr="00BD6197">
        <w:rPr>
          <w:lang w:val="en-US"/>
        </w:rPr>
        <w:sym w:font="Symbol" w:char="F061"/>
      </w:r>
      <w:r w:rsidRPr="00BD6197">
        <w:rPr>
          <w:i/>
          <w:iCs/>
          <w:vertAlign w:val="subscript"/>
          <w:lang w:val="en-US"/>
        </w:rPr>
        <w:t>i</w:t>
      </w:r>
      <w:r w:rsidRPr="00BD6197">
        <w:rPr>
          <w:position w:val="-4"/>
          <w:lang w:val="en-US"/>
        </w:rPr>
        <w:t xml:space="preserve"> </w:t>
      </w:r>
      <w:r w:rsidRPr="00BD6197">
        <w:rPr>
          <w:lang w:val="en-US"/>
        </w:rPr>
        <w:t>in equation (20) can be presented as a product of the following fractional coefficients:</w:t>
      </w:r>
    </w:p>
    <w:p w:rsidR="00831CFB" w:rsidRPr="00BD6197" w:rsidRDefault="00831CFB" w:rsidP="00831CFB">
      <w:pPr>
        <w:pStyle w:val="Equation"/>
        <w:rPr>
          <w:lang w:val="en-US"/>
        </w:rPr>
      </w:pPr>
      <w:r w:rsidRPr="00BD6197">
        <w:rPr>
          <w:rFonts w:ascii="Symbol" w:hAnsi="Symbol"/>
          <w:lang w:val="en-US"/>
        </w:rPr>
        <w:tab/>
      </w:r>
      <w:r w:rsidRPr="00BD6197">
        <w:rPr>
          <w:rFonts w:ascii="Symbol" w:hAnsi="Symbol"/>
          <w:lang w:val="en-US"/>
        </w:rPr>
        <w:tab/>
      </w:r>
      <w:r w:rsidRPr="00BD6197">
        <w:rPr>
          <w:lang w:val="en-US"/>
        </w:rPr>
        <w:sym w:font="Symbol" w:char="F061"/>
      </w:r>
      <w:r w:rsidRPr="00BD6197">
        <w:rPr>
          <w:i/>
          <w:iCs/>
          <w:vertAlign w:val="subscript"/>
          <w:lang w:val="en-US"/>
        </w:rPr>
        <w:t>i</w:t>
      </w:r>
      <w:r w:rsidRPr="00BD6197">
        <w:rPr>
          <w:lang w:val="en-US"/>
        </w:rPr>
        <w:t xml:space="preserve"> </w:t>
      </w:r>
      <w:r w:rsidRPr="00BD6197">
        <w:rPr>
          <w:rFonts w:ascii="Symbol" w:hAnsi="Symbol"/>
          <w:lang w:val="en-US"/>
        </w:rPr>
        <w:t></w:t>
      </w:r>
      <w:r w:rsidRPr="00BD6197">
        <w:rPr>
          <w:lang w:val="en-US"/>
        </w:rPr>
        <w:t xml:space="preserve"> </w:t>
      </w:r>
      <w:r w:rsidRPr="00BD6197">
        <w:rPr>
          <w:lang w:val="en-US"/>
        </w:rPr>
        <w:sym w:font="Symbol" w:char="F061"/>
      </w:r>
      <w:r w:rsidRPr="00BD6197">
        <w:rPr>
          <w:rFonts w:ascii="Symbol" w:hAnsi="Symbol"/>
          <w:vertAlign w:val="subscript"/>
          <w:lang w:val="en-US"/>
        </w:rPr>
        <w:t></w:t>
      </w:r>
      <w:r w:rsidRPr="00BD6197">
        <w:rPr>
          <w:lang w:val="en-US"/>
        </w:rPr>
        <w:t xml:space="preserve"> </w:t>
      </w:r>
      <w:r w:rsidRPr="00BD6197">
        <w:rPr>
          <w:lang w:val="en-US"/>
        </w:rPr>
        <w:fldChar w:fldCharType="begin"/>
      </w:r>
      <w:r w:rsidRPr="00BD6197">
        <w:rPr>
          <w:lang w:val="en-US"/>
        </w:rPr>
        <w:instrText>SYMBOL 215 \f "Symbol" \s 14</w:instrText>
      </w:r>
      <w:r w:rsidRPr="00BD6197">
        <w:rPr>
          <w:lang w:val="en-US"/>
        </w:rPr>
        <w:fldChar w:fldCharType="separate"/>
      </w:r>
      <w:r w:rsidRPr="00BD6197">
        <w:rPr>
          <w:lang w:val="en-US"/>
        </w:rPr>
        <w:t>×</w:t>
      </w:r>
      <w:r w:rsidRPr="00BD6197">
        <w:rPr>
          <w:lang w:val="en-US"/>
        </w:rPr>
        <w:fldChar w:fldCharType="end"/>
      </w:r>
      <w:r w:rsidRPr="00BD6197">
        <w:rPr>
          <w:lang w:val="en-US"/>
        </w:rPr>
        <w:t xml:space="preserve"> </w:t>
      </w:r>
      <w:r w:rsidRPr="00BD6197">
        <w:rPr>
          <w:lang w:val="en-US"/>
        </w:rPr>
        <w:sym w:font="Symbol" w:char="F061"/>
      </w:r>
      <w:r w:rsidRPr="00BD6197">
        <w:rPr>
          <w:vertAlign w:val="subscript"/>
          <w:lang w:val="en-US"/>
        </w:rPr>
        <w:t>2</w:t>
      </w:r>
      <w:r w:rsidRPr="00BD6197">
        <w:rPr>
          <w:lang w:val="en-US"/>
        </w:rPr>
        <w:t xml:space="preserve"> </w:t>
      </w:r>
      <w:r w:rsidRPr="00BD6197">
        <w:rPr>
          <w:lang w:val="en-US"/>
        </w:rPr>
        <w:fldChar w:fldCharType="begin"/>
      </w:r>
      <w:r w:rsidRPr="00BD6197">
        <w:rPr>
          <w:lang w:val="en-US"/>
        </w:rPr>
        <w:instrText>SYMBOL 215 \f "Symbol" \s 14</w:instrText>
      </w:r>
      <w:r w:rsidRPr="00BD6197">
        <w:rPr>
          <w:lang w:val="en-US"/>
        </w:rPr>
        <w:fldChar w:fldCharType="separate"/>
      </w:r>
      <w:r w:rsidRPr="00BD6197">
        <w:rPr>
          <w:lang w:val="en-US"/>
        </w:rPr>
        <w:t>×</w:t>
      </w:r>
      <w:r w:rsidRPr="00BD6197">
        <w:rPr>
          <w:lang w:val="en-US"/>
        </w:rPr>
        <w:fldChar w:fldCharType="end"/>
      </w:r>
      <w:r w:rsidRPr="00BD6197">
        <w:rPr>
          <w:lang w:val="en-US"/>
        </w:rPr>
        <w:t xml:space="preserve"> </w:t>
      </w:r>
      <w:r w:rsidRPr="00BD6197">
        <w:rPr>
          <w:lang w:val="en-US"/>
        </w:rPr>
        <w:sym w:font="Symbol" w:char="F061"/>
      </w:r>
      <w:r w:rsidRPr="00BD6197">
        <w:rPr>
          <w:vertAlign w:val="subscript"/>
          <w:lang w:val="en-US"/>
        </w:rPr>
        <w:t>3</w:t>
      </w:r>
      <w:r w:rsidRPr="00BD6197">
        <w:rPr>
          <w:lang w:val="en-US"/>
        </w:rPr>
        <w:t xml:space="preserve"> </w:t>
      </w:r>
      <w:r w:rsidRPr="00BD6197">
        <w:rPr>
          <w:lang w:val="en-US"/>
        </w:rPr>
        <w:fldChar w:fldCharType="begin"/>
      </w:r>
      <w:r w:rsidRPr="00BD6197">
        <w:rPr>
          <w:lang w:val="en-US"/>
        </w:rPr>
        <w:instrText>SYMBOL 215 \f "Symbol" \s 14</w:instrText>
      </w:r>
      <w:r w:rsidRPr="00BD6197">
        <w:rPr>
          <w:lang w:val="en-US"/>
        </w:rPr>
        <w:fldChar w:fldCharType="separate"/>
      </w:r>
      <w:r w:rsidRPr="00BD6197">
        <w:rPr>
          <w:lang w:val="en-US"/>
        </w:rPr>
        <w:t>×</w:t>
      </w:r>
      <w:r w:rsidRPr="00BD6197">
        <w:rPr>
          <w:lang w:val="en-US"/>
        </w:rPr>
        <w:fldChar w:fldCharType="end"/>
      </w:r>
      <w:r w:rsidRPr="00BD6197">
        <w:rPr>
          <w:lang w:val="en-US"/>
        </w:rPr>
        <w:t xml:space="preserve"> </w:t>
      </w:r>
      <w:r w:rsidRPr="00BD6197">
        <w:rPr>
          <w:lang w:val="en-US"/>
        </w:rPr>
        <w:sym w:font="Symbol" w:char="F061"/>
      </w:r>
      <w:r w:rsidRPr="00BD6197">
        <w:rPr>
          <w:vertAlign w:val="subscript"/>
          <w:lang w:val="en-US"/>
        </w:rPr>
        <w:t>4</w:t>
      </w:r>
      <w:r w:rsidRPr="00BD6197">
        <w:rPr>
          <w:lang w:val="en-US"/>
        </w:rPr>
        <w:t xml:space="preserve"> </w:t>
      </w:r>
      <w:r w:rsidRPr="00BD6197">
        <w:rPr>
          <w:lang w:val="en-US"/>
        </w:rPr>
        <w:fldChar w:fldCharType="begin"/>
      </w:r>
      <w:r w:rsidRPr="00BD6197">
        <w:rPr>
          <w:lang w:val="en-US"/>
        </w:rPr>
        <w:instrText>SYMBOL 215 \f "Symbol" \s 14</w:instrText>
      </w:r>
      <w:r w:rsidRPr="00BD6197">
        <w:rPr>
          <w:lang w:val="en-US"/>
        </w:rPr>
        <w:fldChar w:fldCharType="separate"/>
      </w:r>
      <w:r w:rsidRPr="00BD6197">
        <w:rPr>
          <w:lang w:val="en-US"/>
        </w:rPr>
        <w:t>×</w:t>
      </w:r>
      <w:r w:rsidRPr="00BD6197">
        <w:rPr>
          <w:lang w:val="en-US"/>
        </w:rPr>
        <w:fldChar w:fldCharType="end"/>
      </w:r>
      <w:r w:rsidRPr="00BD6197">
        <w:rPr>
          <w:lang w:val="en-US"/>
        </w:rPr>
        <w:t xml:space="preserve"> </w:t>
      </w:r>
      <w:r w:rsidRPr="00BD6197">
        <w:rPr>
          <w:lang w:val="en-US"/>
        </w:rPr>
        <w:sym w:font="Symbol" w:char="F061"/>
      </w:r>
      <w:r w:rsidRPr="00BD6197">
        <w:rPr>
          <w:vertAlign w:val="subscript"/>
          <w:lang w:val="en-US"/>
        </w:rPr>
        <w:t>5</w:t>
      </w:r>
      <w:r w:rsidRPr="00BD6197">
        <w:rPr>
          <w:lang w:val="en-US"/>
        </w:rPr>
        <w:tab/>
        <w:t>(25)</w:t>
      </w:r>
    </w:p>
    <w:p w:rsidR="00831CFB" w:rsidRPr="00BD6197" w:rsidRDefault="00831CFB" w:rsidP="00831CFB">
      <w:pPr>
        <w:rPr>
          <w:lang w:val="en-US"/>
        </w:rPr>
      </w:pPr>
      <w:r w:rsidRPr="00BD6197">
        <w:rPr>
          <w:lang w:val="en-US"/>
        </w:rPr>
        <w:t>where:</w:t>
      </w:r>
    </w:p>
    <w:p w:rsidR="00831CFB" w:rsidRPr="00BD6197" w:rsidRDefault="00831CFB" w:rsidP="00831CFB">
      <w:pPr>
        <w:pStyle w:val="Equationlegend"/>
      </w:pPr>
      <w:r w:rsidRPr="00BD6197">
        <w:tab/>
      </w:r>
      <w:r w:rsidRPr="00BD6197">
        <w:sym w:font="Symbol" w:char="F061"/>
      </w:r>
      <w:r w:rsidRPr="00BD6197">
        <w:rPr>
          <w:vertAlign w:val="subscript"/>
        </w:rPr>
        <w:t>1</w:t>
      </w:r>
      <w:r w:rsidRPr="00BD6197">
        <w:t>:</w:t>
      </w:r>
      <w:r w:rsidRPr="00BD6197">
        <w:tab/>
        <w:t>takes into account commercial value of the spectrum range used</w:t>
      </w:r>
    </w:p>
    <w:p w:rsidR="00831CFB" w:rsidRPr="00BD6197" w:rsidRDefault="00831CFB" w:rsidP="00831CFB">
      <w:pPr>
        <w:pStyle w:val="Equationlegend"/>
      </w:pPr>
      <w:r w:rsidRPr="00BD6197">
        <w:tab/>
      </w:r>
      <w:r w:rsidRPr="00BD6197">
        <w:sym w:font="Symbol" w:char="F061"/>
      </w:r>
      <w:r w:rsidRPr="00BD6197">
        <w:rPr>
          <w:vertAlign w:val="subscript"/>
        </w:rPr>
        <w:t>2</w:t>
      </w:r>
      <w:r w:rsidRPr="00BD6197">
        <w:t>:</w:t>
      </w:r>
      <w:r w:rsidRPr="00BD6197">
        <w:tab/>
        <w:t>taking into account social factor</w:t>
      </w:r>
    </w:p>
    <w:p w:rsidR="00831CFB" w:rsidRPr="00BD6197" w:rsidRDefault="00831CFB" w:rsidP="00831CFB">
      <w:pPr>
        <w:pStyle w:val="Equationlegend"/>
      </w:pPr>
      <w:r w:rsidRPr="00BD6197">
        <w:tab/>
      </w:r>
      <w:r w:rsidRPr="00BD6197">
        <w:sym w:font="Symbol" w:char="F061"/>
      </w:r>
      <w:r w:rsidRPr="00BD6197">
        <w:rPr>
          <w:vertAlign w:val="subscript"/>
        </w:rPr>
        <w:t>3</w:t>
      </w:r>
      <w:r w:rsidRPr="00BD6197">
        <w:t>:</w:t>
      </w:r>
      <w:r w:rsidRPr="00BD6197">
        <w:tab/>
        <w:t>takes into account features of transmitter location</w:t>
      </w:r>
    </w:p>
    <w:p w:rsidR="00831CFB" w:rsidRPr="00BD6197" w:rsidRDefault="00831CFB" w:rsidP="00831CFB">
      <w:pPr>
        <w:pStyle w:val="Equationlegend"/>
      </w:pPr>
      <w:r w:rsidRPr="00BD6197">
        <w:tab/>
      </w:r>
      <w:r w:rsidRPr="00BD6197">
        <w:sym w:font="Symbol" w:char="F061"/>
      </w:r>
      <w:r w:rsidRPr="00BD6197">
        <w:rPr>
          <w:vertAlign w:val="subscript"/>
        </w:rPr>
        <w:t>4</w:t>
      </w:r>
      <w:r w:rsidRPr="00BD6197">
        <w:t>:</w:t>
      </w:r>
      <w:r w:rsidRPr="00BD6197">
        <w:tab/>
        <w:t>takes into account the complexity of spectrum management functions</w:t>
      </w:r>
    </w:p>
    <w:p w:rsidR="00831CFB" w:rsidRPr="00BD6197" w:rsidRDefault="00831CFB" w:rsidP="00831CFB">
      <w:pPr>
        <w:pStyle w:val="Equationlegend"/>
      </w:pPr>
      <w:r w:rsidRPr="00BD6197">
        <w:tab/>
      </w:r>
      <w:r w:rsidRPr="00BD6197">
        <w:sym w:font="Symbol" w:char="F061"/>
      </w:r>
      <w:r w:rsidRPr="00BD6197">
        <w:rPr>
          <w:vertAlign w:val="subscript"/>
        </w:rPr>
        <w:t>5</w:t>
      </w:r>
      <w:r w:rsidRPr="00BD6197">
        <w:t>:</w:t>
      </w:r>
      <w:r w:rsidRPr="00BD6197">
        <w:tab/>
        <w:t>other coefficient (coefficients) which can be introduced by an administration reflecting its specific needs.</w:t>
      </w:r>
    </w:p>
    <w:p w:rsidR="00831CFB" w:rsidRPr="00BD6197" w:rsidRDefault="00831CFB" w:rsidP="00831CFB">
      <w:pPr>
        <w:rPr>
          <w:lang w:val="en-US"/>
        </w:rPr>
      </w:pPr>
      <w:r w:rsidRPr="00BD6197">
        <w:rPr>
          <w:lang w:val="en-US"/>
        </w:rPr>
        <w:t>Illustrative examples of these coefficient values are presented in Table 2.</w:t>
      </w:r>
    </w:p>
    <w:p w:rsidR="00831CFB" w:rsidRPr="00BD6197" w:rsidRDefault="00831CFB" w:rsidP="00831CFB">
      <w:pPr>
        <w:pStyle w:val="TableNo"/>
        <w:rPr>
          <w:szCs w:val="24"/>
          <w:lang w:val="en-US"/>
        </w:rPr>
      </w:pPr>
      <w:r w:rsidRPr="00BD6197">
        <w:rPr>
          <w:szCs w:val="24"/>
          <w:lang w:val="en-US"/>
        </w:rPr>
        <w:t>TABLE 2</w:t>
      </w:r>
    </w:p>
    <w:p w:rsidR="00831CFB" w:rsidRPr="00BD6197" w:rsidRDefault="00831CFB" w:rsidP="00831CFB">
      <w:pPr>
        <w:pStyle w:val="Tabletitle"/>
        <w:rPr>
          <w:szCs w:val="24"/>
          <w:lang w:val="en-US"/>
        </w:rPr>
      </w:pPr>
      <w:r w:rsidRPr="00BD6197">
        <w:rPr>
          <w:szCs w:val="24"/>
          <w:lang w:val="en-US"/>
        </w:rPr>
        <w:t>Table of service depended coefficients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7"/>
        <w:gridCol w:w="847"/>
        <w:gridCol w:w="847"/>
        <w:gridCol w:w="847"/>
        <w:gridCol w:w="1184"/>
        <w:gridCol w:w="847"/>
      </w:tblGrid>
      <w:tr w:rsidR="00831CFB" w:rsidRPr="00BD6197" w:rsidTr="000F2BA7">
        <w:trPr>
          <w:cantSplit/>
          <w:tblHeader/>
          <w:jc w:val="center"/>
        </w:trPr>
        <w:tc>
          <w:tcPr>
            <w:tcW w:w="5067" w:type="dxa"/>
            <w:vMerge w:val="restart"/>
            <w:vAlign w:val="center"/>
          </w:tcPr>
          <w:p w:rsidR="00831CFB" w:rsidRPr="00BD6197" w:rsidRDefault="00831CFB" w:rsidP="000F2BA7">
            <w:pPr>
              <w:pStyle w:val="Tablehead"/>
              <w:rPr>
                <w:szCs w:val="22"/>
                <w:lang w:val="en-US"/>
              </w:rPr>
            </w:pPr>
            <w:r w:rsidRPr="00BD6197">
              <w:rPr>
                <w:szCs w:val="22"/>
                <w:lang w:val="en-US"/>
              </w:rPr>
              <w:t>Service\</w:t>
            </w:r>
            <w:r w:rsidRPr="00BD6197">
              <w:rPr>
                <w:szCs w:val="22"/>
                <w:lang w:val="en-US"/>
              </w:rPr>
              <w:sym w:font="Symbol" w:char="F061"/>
            </w:r>
            <w:r w:rsidRPr="00BD6197">
              <w:rPr>
                <w:szCs w:val="22"/>
                <w:vertAlign w:val="subscript"/>
                <w:lang w:val="en-US"/>
              </w:rPr>
              <w:t>I</w:t>
            </w:r>
          </w:p>
        </w:tc>
        <w:tc>
          <w:tcPr>
            <w:tcW w:w="847" w:type="dxa"/>
            <w:vMerge w:val="restart"/>
            <w:vAlign w:val="center"/>
          </w:tcPr>
          <w:p w:rsidR="00831CFB" w:rsidRPr="00BD6197" w:rsidRDefault="00831CFB" w:rsidP="000F2BA7">
            <w:pPr>
              <w:pStyle w:val="Tablehead"/>
              <w:rPr>
                <w:szCs w:val="22"/>
                <w:lang w:val="en-US"/>
              </w:rPr>
            </w:pPr>
            <w:r w:rsidRPr="00BD6197">
              <w:rPr>
                <w:szCs w:val="22"/>
                <w:lang w:val="en-US"/>
              </w:rPr>
              <w:sym w:font="Symbol" w:char="F061"/>
            </w:r>
            <w:r w:rsidRPr="00BD6197">
              <w:rPr>
                <w:szCs w:val="22"/>
                <w:vertAlign w:val="subscript"/>
                <w:lang w:val="en-US"/>
              </w:rPr>
              <w:t>1</w:t>
            </w:r>
          </w:p>
        </w:tc>
        <w:tc>
          <w:tcPr>
            <w:tcW w:w="847" w:type="dxa"/>
            <w:vMerge w:val="restart"/>
            <w:vAlign w:val="center"/>
          </w:tcPr>
          <w:p w:rsidR="00831CFB" w:rsidRPr="00BD6197" w:rsidRDefault="00831CFB" w:rsidP="000F2BA7">
            <w:pPr>
              <w:pStyle w:val="Tablehead"/>
              <w:rPr>
                <w:szCs w:val="22"/>
                <w:lang w:val="en-US"/>
              </w:rPr>
            </w:pPr>
            <w:r w:rsidRPr="00BD6197">
              <w:rPr>
                <w:szCs w:val="22"/>
                <w:lang w:val="en-US"/>
              </w:rPr>
              <w:sym w:font="Symbol" w:char="F061"/>
            </w:r>
            <w:r w:rsidRPr="00BD6197">
              <w:rPr>
                <w:szCs w:val="22"/>
                <w:vertAlign w:val="subscript"/>
                <w:lang w:val="en-US"/>
              </w:rPr>
              <w:t>2</w:t>
            </w:r>
          </w:p>
        </w:tc>
        <w:tc>
          <w:tcPr>
            <w:tcW w:w="2031" w:type="dxa"/>
            <w:gridSpan w:val="2"/>
            <w:vAlign w:val="center"/>
          </w:tcPr>
          <w:p w:rsidR="00831CFB" w:rsidRPr="00BD6197" w:rsidRDefault="00831CFB" w:rsidP="000F2BA7">
            <w:pPr>
              <w:pStyle w:val="Tablehead"/>
              <w:rPr>
                <w:szCs w:val="22"/>
                <w:lang w:val="en-US"/>
              </w:rPr>
            </w:pPr>
            <w:r w:rsidRPr="00BD6197">
              <w:rPr>
                <w:szCs w:val="22"/>
                <w:lang w:val="en-US"/>
              </w:rPr>
              <w:sym w:font="Symbol" w:char="F061"/>
            </w:r>
            <w:r w:rsidRPr="00BD6197">
              <w:rPr>
                <w:szCs w:val="22"/>
                <w:vertAlign w:val="subscript"/>
                <w:lang w:val="en-US"/>
              </w:rPr>
              <w:t>3</w:t>
            </w:r>
          </w:p>
        </w:tc>
        <w:tc>
          <w:tcPr>
            <w:tcW w:w="847" w:type="dxa"/>
            <w:vMerge w:val="restart"/>
            <w:vAlign w:val="center"/>
          </w:tcPr>
          <w:p w:rsidR="00831CFB" w:rsidRPr="00BD6197" w:rsidRDefault="00831CFB" w:rsidP="000F2BA7">
            <w:pPr>
              <w:pStyle w:val="Tablehead"/>
              <w:rPr>
                <w:szCs w:val="22"/>
                <w:lang w:val="en-US"/>
              </w:rPr>
            </w:pPr>
            <w:r w:rsidRPr="00BD6197">
              <w:rPr>
                <w:szCs w:val="22"/>
                <w:lang w:val="en-US"/>
              </w:rPr>
              <w:sym w:font="Symbol" w:char="F061"/>
            </w:r>
            <w:r w:rsidRPr="00BD6197">
              <w:rPr>
                <w:szCs w:val="22"/>
                <w:vertAlign w:val="subscript"/>
                <w:lang w:val="en-US"/>
              </w:rPr>
              <w:t>4</w:t>
            </w:r>
          </w:p>
        </w:tc>
      </w:tr>
      <w:tr w:rsidR="00831CFB" w:rsidRPr="00BD6197" w:rsidTr="000F2BA7">
        <w:trPr>
          <w:cantSplit/>
          <w:tblHeader/>
          <w:jc w:val="center"/>
        </w:trPr>
        <w:tc>
          <w:tcPr>
            <w:tcW w:w="5067" w:type="dxa"/>
            <w:vMerge/>
            <w:vAlign w:val="center"/>
          </w:tcPr>
          <w:p w:rsidR="00831CFB" w:rsidRPr="00BD6197" w:rsidRDefault="00831CFB" w:rsidP="000F2BA7">
            <w:pPr>
              <w:pStyle w:val="Tablehead"/>
              <w:rPr>
                <w:szCs w:val="22"/>
                <w:lang w:val="en-US"/>
              </w:rPr>
            </w:pPr>
          </w:p>
        </w:tc>
        <w:tc>
          <w:tcPr>
            <w:tcW w:w="847" w:type="dxa"/>
            <w:vMerge/>
            <w:vAlign w:val="center"/>
          </w:tcPr>
          <w:p w:rsidR="00831CFB" w:rsidRPr="00BD6197" w:rsidRDefault="00831CFB" w:rsidP="000F2BA7">
            <w:pPr>
              <w:pStyle w:val="Tablehead"/>
              <w:rPr>
                <w:szCs w:val="22"/>
                <w:lang w:val="en-US"/>
              </w:rPr>
            </w:pPr>
          </w:p>
        </w:tc>
        <w:tc>
          <w:tcPr>
            <w:tcW w:w="847" w:type="dxa"/>
            <w:vMerge/>
            <w:vAlign w:val="center"/>
          </w:tcPr>
          <w:p w:rsidR="00831CFB" w:rsidRPr="00BD6197" w:rsidRDefault="00831CFB" w:rsidP="000F2BA7">
            <w:pPr>
              <w:pStyle w:val="Tablehead"/>
              <w:rPr>
                <w:szCs w:val="22"/>
                <w:lang w:val="en-US"/>
              </w:rPr>
            </w:pPr>
          </w:p>
        </w:tc>
        <w:tc>
          <w:tcPr>
            <w:tcW w:w="847" w:type="dxa"/>
          </w:tcPr>
          <w:p w:rsidR="00831CFB" w:rsidRPr="00BD6197" w:rsidRDefault="00831CFB" w:rsidP="000F2BA7">
            <w:pPr>
              <w:pStyle w:val="Tablehead"/>
              <w:rPr>
                <w:szCs w:val="22"/>
                <w:lang w:val="en-US"/>
              </w:rPr>
            </w:pPr>
            <w:r w:rsidRPr="00BD6197">
              <w:rPr>
                <w:szCs w:val="22"/>
                <w:lang w:val="en-US"/>
              </w:rPr>
              <w:t>City</w:t>
            </w:r>
          </w:p>
        </w:tc>
        <w:tc>
          <w:tcPr>
            <w:tcW w:w="1184" w:type="dxa"/>
          </w:tcPr>
          <w:p w:rsidR="00831CFB" w:rsidRPr="00BD6197" w:rsidRDefault="00831CFB" w:rsidP="000F2BA7">
            <w:pPr>
              <w:pStyle w:val="Tablehead"/>
              <w:rPr>
                <w:szCs w:val="22"/>
                <w:lang w:val="en-US"/>
              </w:rPr>
            </w:pPr>
            <w:r w:rsidRPr="00BD6197">
              <w:rPr>
                <w:szCs w:val="22"/>
                <w:lang w:val="en-US"/>
              </w:rPr>
              <w:t>Village</w:t>
            </w:r>
          </w:p>
        </w:tc>
        <w:tc>
          <w:tcPr>
            <w:tcW w:w="847" w:type="dxa"/>
            <w:vMerge/>
            <w:vAlign w:val="center"/>
          </w:tcPr>
          <w:p w:rsidR="00831CFB" w:rsidRPr="00BD6197" w:rsidRDefault="00831CFB" w:rsidP="000F2BA7">
            <w:pPr>
              <w:pStyle w:val="Tablehead"/>
              <w:rPr>
                <w:szCs w:val="22"/>
                <w:lang w:val="en-US"/>
              </w:rPr>
            </w:pPr>
          </w:p>
        </w:tc>
      </w:tr>
      <w:tr w:rsidR="00831CFB" w:rsidRPr="00BD6197" w:rsidTr="000F2BA7">
        <w:trPr>
          <w:cantSplit/>
          <w:jc w:val="center"/>
        </w:trPr>
        <w:tc>
          <w:tcPr>
            <w:tcW w:w="5067" w:type="dxa"/>
          </w:tcPr>
          <w:p w:rsidR="00831CFB" w:rsidRPr="00BD6197" w:rsidRDefault="00831CFB" w:rsidP="000F2BA7">
            <w:pPr>
              <w:pStyle w:val="Tabletext"/>
              <w:rPr>
                <w:szCs w:val="22"/>
                <w:lang w:val="en-US"/>
              </w:rPr>
            </w:pPr>
            <w:r w:rsidRPr="00BD6197">
              <w:rPr>
                <w:szCs w:val="22"/>
                <w:lang w:val="en-US"/>
              </w:rPr>
              <w:t>Radio relay line in a range above 1 GHz</w:t>
            </w:r>
          </w:p>
        </w:tc>
        <w:tc>
          <w:tcPr>
            <w:tcW w:w="847"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1184"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0.2</w:t>
            </w:r>
          </w:p>
        </w:tc>
      </w:tr>
      <w:tr w:rsidR="00831CFB" w:rsidRPr="00BD6197" w:rsidTr="000F2BA7">
        <w:trPr>
          <w:cantSplit/>
          <w:jc w:val="center"/>
        </w:trPr>
        <w:tc>
          <w:tcPr>
            <w:tcW w:w="5067" w:type="dxa"/>
          </w:tcPr>
          <w:p w:rsidR="00831CFB" w:rsidRPr="00BD6197" w:rsidRDefault="00831CFB" w:rsidP="000F2BA7">
            <w:pPr>
              <w:pStyle w:val="Tabletext"/>
              <w:rPr>
                <w:szCs w:val="22"/>
                <w:lang w:val="en-US"/>
              </w:rPr>
            </w:pPr>
            <w:r w:rsidRPr="00BD6197">
              <w:rPr>
                <w:szCs w:val="22"/>
                <w:lang w:val="en-US"/>
              </w:rPr>
              <w:t>Radio relay line in a range below 1 GHz</w:t>
            </w:r>
          </w:p>
        </w:tc>
        <w:tc>
          <w:tcPr>
            <w:tcW w:w="847" w:type="dxa"/>
          </w:tcPr>
          <w:p w:rsidR="00831CFB" w:rsidRPr="00BD6197" w:rsidRDefault="00831CFB" w:rsidP="000F2BA7">
            <w:pPr>
              <w:pStyle w:val="Tabletext"/>
              <w:jc w:val="center"/>
              <w:rPr>
                <w:szCs w:val="22"/>
                <w:lang w:val="en-US"/>
              </w:rPr>
            </w:pPr>
            <w:r w:rsidRPr="00BD6197">
              <w:rPr>
                <w:szCs w:val="22"/>
                <w:lang w:val="en-US"/>
              </w:rPr>
              <w:t>0.4</w:t>
            </w:r>
          </w:p>
        </w:tc>
        <w:tc>
          <w:tcPr>
            <w:tcW w:w="847" w:type="dxa"/>
          </w:tcPr>
          <w:p w:rsidR="00831CFB" w:rsidRPr="00BD6197" w:rsidRDefault="00831CFB" w:rsidP="000F2BA7">
            <w:pPr>
              <w:pStyle w:val="Tabletext"/>
              <w:jc w:val="center"/>
              <w:rPr>
                <w:szCs w:val="22"/>
                <w:lang w:val="en-US"/>
              </w:rPr>
            </w:pPr>
            <w:r w:rsidRPr="00BD6197">
              <w:rPr>
                <w:szCs w:val="22"/>
                <w:lang w:val="en-US"/>
              </w:rPr>
              <w:t>0.2</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1184"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0.2</w:t>
            </w:r>
          </w:p>
        </w:tc>
      </w:tr>
      <w:tr w:rsidR="00831CFB" w:rsidRPr="00BD6197" w:rsidTr="000F2BA7">
        <w:trPr>
          <w:cantSplit/>
          <w:jc w:val="center"/>
        </w:trPr>
        <w:tc>
          <w:tcPr>
            <w:tcW w:w="5067" w:type="dxa"/>
          </w:tcPr>
          <w:p w:rsidR="00831CFB" w:rsidRPr="00BD6197" w:rsidRDefault="00831CFB" w:rsidP="000F2BA7">
            <w:pPr>
              <w:pStyle w:val="Tabletext"/>
              <w:rPr>
                <w:szCs w:val="22"/>
                <w:lang w:val="en-US"/>
              </w:rPr>
            </w:pPr>
            <w:r w:rsidRPr="00BD6197">
              <w:rPr>
                <w:szCs w:val="22"/>
                <w:lang w:val="en-US"/>
              </w:rPr>
              <w:t>Television in metre range (MW TV)</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847"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1184"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r>
      <w:tr w:rsidR="00831CFB" w:rsidRPr="00BD6197" w:rsidTr="000F2BA7">
        <w:trPr>
          <w:cantSplit/>
          <w:jc w:val="center"/>
        </w:trPr>
        <w:tc>
          <w:tcPr>
            <w:tcW w:w="5067" w:type="dxa"/>
          </w:tcPr>
          <w:p w:rsidR="00831CFB" w:rsidRPr="00BD6197" w:rsidRDefault="00831CFB" w:rsidP="000F2BA7">
            <w:pPr>
              <w:pStyle w:val="Tabletext"/>
              <w:rPr>
                <w:szCs w:val="22"/>
                <w:lang w:val="en-US"/>
              </w:rPr>
            </w:pPr>
            <w:r w:rsidRPr="00BD6197">
              <w:rPr>
                <w:szCs w:val="22"/>
                <w:lang w:val="en-US"/>
              </w:rPr>
              <w:t>Television in decimetre range (DMW TV)</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847" w:type="dxa"/>
          </w:tcPr>
          <w:p w:rsidR="00831CFB" w:rsidRPr="00BD6197" w:rsidRDefault="00831CFB" w:rsidP="000F2BA7">
            <w:pPr>
              <w:pStyle w:val="Tabletext"/>
              <w:jc w:val="center"/>
              <w:rPr>
                <w:szCs w:val="22"/>
                <w:lang w:val="en-US"/>
              </w:rPr>
            </w:pPr>
            <w:r w:rsidRPr="00BD6197">
              <w:rPr>
                <w:szCs w:val="22"/>
                <w:lang w:val="en-US"/>
              </w:rPr>
              <w:t>0.2</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1184"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r>
      <w:tr w:rsidR="00831CFB" w:rsidRPr="00BD6197" w:rsidTr="000F2BA7">
        <w:trPr>
          <w:cantSplit/>
          <w:jc w:val="center"/>
        </w:trPr>
        <w:tc>
          <w:tcPr>
            <w:tcW w:w="5067" w:type="dxa"/>
          </w:tcPr>
          <w:p w:rsidR="00831CFB" w:rsidRPr="00BD6197" w:rsidRDefault="00831CFB" w:rsidP="000F2BA7">
            <w:pPr>
              <w:pStyle w:val="Tabletext"/>
              <w:rPr>
                <w:szCs w:val="22"/>
                <w:lang w:val="en-US"/>
              </w:rPr>
            </w:pPr>
            <w:r w:rsidRPr="00BD6197">
              <w:rPr>
                <w:szCs w:val="22"/>
                <w:lang w:val="en-US"/>
              </w:rPr>
              <w:t>VHF sound broadcasting</w:t>
            </w:r>
          </w:p>
        </w:tc>
        <w:tc>
          <w:tcPr>
            <w:tcW w:w="847" w:type="dxa"/>
          </w:tcPr>
          <w:p w:rsidR="00831CFB" w:rsidRPr="00BD6197" w:rsidRDefault="00831CFB" w:rsidP="000F2BA7">
            <w:pPr>
              <w:pStyle w:val="Tabletext"/>
              <w:jc w:val="center"/>
              <w:rPr>
                <w:szCs w:val="22"/>
                <w:lang w:val="en-US"/>
              </w:rPr>
            </w:pPr>
            <w:r w:rsidRPr="00BD6197">
              <w:rPr>
                <w:szCs w:val="22"/>
                <w:lang w:val="en-US"/>
              </w:rPr>
              <w:t>2.4</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1184"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r>
      <w:tr w:rsidR="00831CFB" w:rsidRPr="00BD6197" w:rsidTr="000F2BA7">
        <w:trPr>
          <w:cantSplit/>
          <w:jc w:val="center"/>
        </w:trPr>
        <w:tc>
          <w:tcPr>
            <w:tcW w:w="5067" w:type="dxa"/>
          </w:tcPr>
          <w:p w:rsidR="00831CFB" w:rsidRPr="00BD6197" w:rsidRDefault="00831CFB" w:rsidP="000F2BA7">
            <w:pPr>
              <w:pStyle w:val="Tabletext"/>
              <w:rPr>
                <w:szCs w:val="22"/>
                <w:lang w:val="en-US"/>
              </w:rPr>
            </w:pPr>
            <w:r w:rsidRPr="00BD6197">
              <w:rPr>
                <w:szCs w:val="22"/>
                <w:lang w:val="en-US"/>
              </w:rPr>
              <w:t>LF – HF broadcasting</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1184"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0.8</w:t>
            </w:r>
          </w:p>
        </w:tc>
      </w:tr>
    </w:tbl>
    <w:p w:rsidR="000F6A8D" w:rsidRDefault="000F6A8D"/>
    <w:p w:rsidR="007C2F37" w:rsidRDefault="007C2F37" w:rsidP="000F6A8D">
      <w:pPr>
        <w:pStyle w:val="TableNo"/>
      </w:pPr>
      <w:r>
        <w:br w:type="page"/>
      </w:r>
    </w:p>
    <w:p w:rsidR="000F6A8D" w:rsidRPr="00BD6197" w:rsidRDefault="000F6A8D" w:rsidP="000F6A8D">
      <w:pPr>
        <w:pStyle w:val="TableNo"/>
        <w:rPr>
          <w:lang w:val="en-US"/>
        </w:rPr>
      </w:pPr>
      <w:r w:rsidRPr="00991E68">
        <w:lastRenderedPageBreak/>
        <w:t>TABLE</w:t>
      </w:r>
      <w:r w:rsidRPr="00BD6197">
        <w:rPr>
          <w:lang w:val="en-US"/>
        </w:rPr>
        <w:t xml:space="preserve"> 2 (</w:t>
      </w:r>
      <w:r w:rsidRPr="00BD6197">
        <w:rPr>
          <w:i/>
          <w:iCs/>
          <w:lang w:val="en-US"/>
        </w:rPr>
        <w:t>end</w:t>
      </w:r>
      <w:r w:rsidRPr="00BD6197">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7"/>
        <w:gridCol w:w="847"/>
        <w:gridCol w:w="847"/>
        <w:gridCol w:w="847"/>
        <w:gridCol w:w="1184"/>
        <w:gridCol w:w="847"/>
      </w:tblGrid>
      <w:tr w:rsidR="000F6A8D" w:rsidRPr="00BD6197" w:rsidTr="000F6A8D">
        <w:trPr>
          <w:cantSplit/>
          <w:jc w:val="center"/>
        </w:trPr>
        <w:tc>
          <w:tcPr>
            <w:tcW w:w="5067" w:type="dxa"/>
            <w:vAlign w:val="center"/>
          </w:tcPr>
          <w:p w:rsidR="000F6A8D" w:rsidRPr="00BD6197" w:rsidRDefault="000F6A8D" w:rsidP="0091356A">
            <w:pPr>
              <w:pStyle w:val="Tablehead"/>
              <w:rPr>
                <w:szCs w:val="22"/>
                <w:lang w:val="en-US"/>
              </w:rPr>
            </w:pPr>
            <w:r w:rsidRPr="00BD6197">
              <w:rPr>
                <w:szCs w:val="22"/>
                <w:lang w:val="en-US"/>
              </w:rPr>
              <w:t>Service\</w:t>
            </w:r>
            <w:r w:rsidRPr="00BD6197">
              <w:rPr>
                <w:szCs w:val="22"/>
                <w:lang w:val="en-US"/>
              </w:rPr>
              <w:sym w:font="Symbol" w:char="F061"/>
            </w:r>
            <w:r w:rsidRPr="00BD6197">
              <w:rPr>
                <w:szCs w:val="22"/>
                <w:vertAlign w:val="subscript"/>
                <w:lang w:val="en-US"/>
              </w:rPr>
              <w:t>I</w:t>
            </w:r>
          </w:p>
        </w:tc>
        <w:tc>
          <w:tcPr>
            <w:tcW w:w="847" w:type="dxa"/>
            <w:tcBorders>
              <w:bottom w:val="nil"/>
            </w:tcBorders>
            <w:vAlign w:val="center"/>
          </w:tcPr>
          <w:p w:rsidR="000F6A8D" w:rsidRPr="00BD6197" w:rsidRDefault="000F6A8D" w:rsidP="0091356A">
            <w:pPr>
              <w:pStyle w:val="Tablehead"/>
              <w:rPr>
                <w:szCs w:val="22"/>
                <w:lang w:val="en-US"/>
              </w:rPr>
            </w:pPr>
            <w:r w:rsidRPr="00BD6197">
              <w:rPr>
                <w:szCs w:val="22"/>
                <w:lang w:val="en-US"/>
              </w:rPr>
              <w:sym w:font="Symbol" w:char="F061"/>
            </w:r>
            <w:r w:rsidRPr="00BD6197">
              <w:rPr>
                <w:szCs w:val="22"/>
                <w:vertAlign w:val="subscript"/>
                <w:lang w:val="en-US"/>
              </w:rPr>
              <w:t>1</w:t>
            </w:r>
          </w:p>
        </w:tc>
        <w:tc>
          <w:tcPr>
            <w:tcW w:w="847" w:type="dxa"/>
            <w:tcBorders>
              <w:bottom w:val="nil"/>
            </w:tcBorders>
            <w:vAlign w:val="center"/>
          </w:tcPr>
          <w:p w:rsidR="000F6A8D" w:rsidRPr="00BD6197" w:rsidRDefault="000F6A8D" w:rsidP="0091356A">
            <w:pPr>
              <w:pStyle w:val="Tablehead"/>
              <w:rPr>
                <w:szCs w:val="22"/>
                <w:lang w:val="en-US"/>
              </w:rPr>
            </w:pPr>
            <w:r w:rsidRPr="00BD6197">
              <w:rPr>
                <w:szCs w:val="22"/>
                <w:lang w:val="en-US"/>
              </w:rPr>
              <w:sym w:font="Symbol" w:char="F061"/>
            </w:r>
            <w:r w:rsidRPr="00BD6197">
              <w:rPr>
                <w:szCs w:val="22"/>
                <w:vertAlign w:val="subscript"/>
                <w:lang w:val="en-US"/>
              </w:rPr>
              <w:t>2</w:t>
            </w:r>
          </w:p>
        </w:tc>
        <w:tc>
          <w:tcPr>
            <w:tcW w:w="2031" w:type="dxa"/>
            <w:gridSpan w:val="2"/>
            <w:vAlign w:val="center"/>
          </w:tcPr>
          <w:p w:rsidR="000F6A8D" w:rsidRPr="00BD6197" w:rsidRDefault="000F6A8D" w:rsidP="0091356A">
            <w:pPr>
              <w:pStyle w:val="Tablehead"/>
              <w:rPr>
                <w:szCs w:val="22"/>
                <w:lang w:val="en-US"/>
              </w:rPr>
            </w:pPr>
            <w:r w:rsidRPr="00BD6197">
              <w:rPr>
                <w:szCs w:val="22"/>
                <w:lang w:val="en-US"/>
              </w:rPr>
              <w:sym w:font="Symbol" w:char="F061"/>
            </w:r>
            <w:r w:rsidRPr="00BD6197">
              <w:rPr>
                <w:szCs w:val="22"/>
                <w:vertAlign w:val="subscript"/>
                <w:lang w:val="en-US"/>
              </w:rPr>
              <w:t>3</w:t>
            </w:r>
          </w:p>
        </w:tc>
        <w:tc>
          <w:tcPr>
            <w:tcW w:w="847" w:type="dxa"/>
            <w:tcBorders>
              <w:bottom w:val="nil"/>
            </w:tcBorders>
            <w:vAlign w:val="center"/>
          </w:tcPr>
          <w:p w:rsidR="000F6A8D" w:rsidRPr="00BD6197" w:rsidRDefault="000F6A8D" w:rsidP="0091356A">
            <w:pPr>
              <w:pStyle w:val="Tablehead"/>
              <w:rPr>
                <w:szCs w:val="22"/>
                <w:lang w:val="en-US"/>
              </w:rPr>
            </w:pPr>
            <w:r w:rsidRPr="00BD6197">
              <w:rPr>
                <w:szCs w:val="22"/>
                <w:lang w:val="en-US"/>
              </w:rPr>
              <w:sym w:font="Symbol" w:char="F061"/>
            </w:r>
            <w:r w:rsidRPr="00BD6197">
              <w:rPr>
                <w:szCs w:val="22"/>
                <w:vertAlign w:val="subscript"/>
                <w:lang w:val="en-US"/>
              </w:rPr>
              <w:t>4</w:t>
            </w:r>
          </w:p>
        </w:tc>
      </w:tr>
      <w:tr w:rsidR="000F6A8D" w:rsidRPr="00BD6197" w:rsidTr="000F6A8D">
        <w:trPr>
          <w:cantSplit/>
          <w:jc w:val="center"/>
        </w:trPr>
        <w:tc>
          <w:tcPr>
            <w:tcW w:w="5067" w:type="dxa"/>
            <w:vAlign w:val="center"/>
          </w:tcPr>
          <w:p w:rsidR="000F6A8D" w:rsidRPr="00BD6197" w:rsidRDefault="000F6A8D" w:rsidP="0091356A">
            <w:pPr>
              <w:tabs>
                <w:tab w:val="clear" w:pos="794"/>
                <w:tab w:val="clear" w:pos="1191"/>
                <w:tab w:val="clear" w:pos="1588"/>
                <w:tab w:val="clear" w:pos="1985"/>
              </w:tabs>
              <w:overflowPunct/>
              <w:autoSpaceDE/>
              <w:autoSpaceDN/>
              <w:adjustRightInd/>
              <w:spacing w:before="0"/>
              <w:jc w:val="left"/>
              <w:textAlignment w:val="auto"/>
              <w:rPr>
                <w:szCs w:val="22"/>
                <w:lang w:val="en-US"/>
              </w:rPr>
            </w:pPr>
          </w:p>
        </w:tc>
        <w:tc>
          <w:tcPr>
            <w:tcW w:w="847" w:type="dxa"/>
            <w:tcBorders>
              <w:top w:val="nil"/>
            </w:tcBorders>
            <w:vAlign w:val="center"/>
          </w:tcPr>
          <w:p w:rsidR="000F6A8D" w:rsidRPr="00BD6197" w:rsidRDefault="000F6A8D" w:rsidP="0091356A">
            <w:pPr>
              <w:pStyle w:val="Tablehead"/>
              <w:rPr>
                <w:szCs w:val="22"/>
                <w:lang w:val="en-US"/>
              </w:rPr>
            </w:pPr>
          </w:p>
        </w:tc>
        <w:tc>
          <w:tcPr>
            <w:tcW w:w="847" w:type="dxa"/>
            <w:tcBorders>
              <w:top w:val="nil"/>
            </w:tcBorders>
            <w:vAlign w:val="center"/>
          </w:tcPr>
          <w:p w:rsidR="000F6A8D" w:rsidRPr="00BD6197" w:rsidRDefault="000F6A8D" w:rsidP="0091356A">
            <w:pPr>
              <w:pStyle w:val="Tablehead"/>
              <w:rPr>
                <w:szCs w:val="22"/>
                <w:lang w:val="en-US"/>
              </w:rPr>
            </w:pPr>
          </w:p>
        </w:tc>
        <w:tc>
          <w:tcPr>
            <w:tcW w:w="847" w:type="dxa"/>
          </w:tcPr>
          <w:p w:rsidR="000F6A8D" w:rsidRPr="00BD6197" w:rsidRDefault="000F6A8D" w:rsidP="0091356A">
            <w:pPr>
              <w:pStyle w:val="Tablehead"/>
              <w:rPr>
                <w:szCs w:val="22"/>
                <w:lang w:val="en-US"/>
              </w:rPr>
            </w:pPr>
            <w:r w:rsidRPr="00BD6197">
              <w:rPr>
                <w:szCs w:val="22"/>
                <w:lang w:val="en-US"/>
              </w:rPr>
              <w:t>City</w:t>
            </w:r>
          </w:p>
        </w:tc>
        <w:tc>
          <w:tcPr>
            <w:tcW w:w="1184" w:type="dxa"/>
          </w:tcPr>
          <w:p w:rsidR="000F6A8D" w:rsidRPr="00BD6197" w:rsidRDefault="000F6A8D" w:rsidP="0091356A">
            <w:pPr>
              <w:pStyle w:val="Tablehead"/>
              <w:rPr>
                <w:szCs w:val="22"/>
                <w:lang w:val="en-US"/>
              </w:rPr>
            </w:pPr>
            <w:r w:rsidRPr="00BD6197">
              <w:rPr>
                <w:szCs w:val="22"/>
                <w:lang w:val="en-US"/>
              </w:rPr>
              <w:t>Village</w:t>
            </w:r>
          </w:p>
        </w:tc>
        <w:tc>
          <w:tcPr>
            <w:tcW w:w="847" w:type="dxa"/>
            <w:tcBorders>
              <w:top w:val="nil"/>
            </w:tcBorders>
            <w:vAlign w:val="center"/>
          </w:tcPr>
          <w:p w:rsidR="000F6A8D" w:rsidRPr="00BD6197" w:rsidRDefault="000F6A8D" w:rsidP="0091356A">
            <w:pPr>
              <w:pStyle w:val="Tablehead"/>
              <w:rPr>
                <w:szCs w:val="22"/>
                <w:lang w:val="en-US"/>
              </w:rPr>
            </w:pPr>
          </w:p>
        </w:tc>
      </w:tr>
      <w:tr w:rsidR="00831CFB" w:rsidRPr="00BD6197" w:rsidTr="000F2BA7">
        <w:trPr>
          <w:cantSplit/>
          <w:jc w:val="center"/>
        </w:trPr>
        <w:tc>
          <w:tcPr>
            <w:tcW w:w="5067" w:type="dxa"/>
          </w:tcPr>
          <w:p w:rsidR="00831CFB" w:rsidRPr="00BD6197" w:rsidRDefault="00831CFB" w:rsidP="000F2BA7">
            <w:pPr>
              <w:pStyle w:val="Tabletext"/>
              <w:rPr>
                <w:szCs w:val="22"/>
                <w:lang w:val="en-US"/>
              </w:rPr>
            </w:pPr>
            <w:r w:rsidRPr="00BD6197">
              <w:rPr>
                <w:szCs w:val="22"/>
                <w:lang w:val="en-US"/>
              </w:rPr>
              <w:t>HF radiocommunications</w:t>
            </w:r>
          </w:p>
        </w:tc>
        <w:tc>
          <w:tcPr>
            <w:tcW w:w="847" w:type="dxa"/>
          </w:tcPr>
          <w:p w:rsidR="00831CFB" w:rsidRPr="00BD6197" w:rsidRDefault="00831CFB" w:rsidP="000F2BA7">
            <w:pPr>
              <w:pStyle w:val="Tabletext"/>
              <w:jc w:val="center"/>
              <w:rPr>
                <w:szCs w:val="22"/>
                <w:lang w:val="en-US"/>
              </w:rPr>
            </w:pPr>
            <w:r w:rsidRPr="00BD6197">
              <w:rPr>
                <w:szCs w:val="22"/>
                <w:lang w:val="en-US"/>
              </w:rPr>
              <w:t>2.6</w:t>
            </w:r>
          </w:p>
        </w:tc>
        <w:tc>
          <w:tcPr>
            <w:tcW w:w="847" w:type="dxa"/>
          </w:tcPr>
          <w:p w:rsidR="00831CFB" w:rsidRPr="00BD6197" w:rsidRDefault="00831CFB" w:rsidP="000F2BA7">
            <w:pPr>
              <w:pStyle w:val="Tabletext"/>
              <w:jc w:val="center"/>
              <w:rPr>
                <w:szCs w:val="22"/>
                <w:lang w:val="en-US"/>
              </w:rPr>
            </w:pPr>
            <w:r w:rsidRPr="00BD6197">
              <w:rPr>
                <w:szCs w:val="22"/>
                <w:lang w:val="en-US"/>
              </w:rPr>
              <w:t>1.2</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1184"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0.8</w:t>
            </w:r>
          </w:p>
        </w:tc>
      </w:tr>
      <w:tr w:rsidR="00831CFB" w:rsidRPr="00BD6197" w:rsidTr="000F2BA7">
        <w:trPr>
          <w:cantSplit/>
          <w:jc w:val="center"/>
        </w:trPr>
        <w:tc>
          <w:tcPr>
            <w:tcW w:w="5067" w:type="dxa"/>
          </w:tcPr>
          <w:p w:rsidR="00831CFB" w:rsidRPr="00BD6197" w:rsidRDefault="00831CFB" w:rsidP="000F2BA7">
            <w:pPr>
              <w:pStyle w:val="Tabletext"/>
              <w:rPr>
                <w:szCs w:val="22"/>
                <w:lang w:val="en-US"/>
              </w:rPr>
            </w:pPr>
            <w:r w:rsidRPr="00BD6197">
              <w:rPr>
                <w:szCs w:val="22"/>
                <w:lang w:val="en-US"/>
              </w:rPr>
              <w:t>Trunking</w:t>
            </w:r>
          </w:p>
        </w:tc>
        <w:tc>
          <w:tcPr>
            <w:tcW w:w="847" w:type="dxa"/>
          </w:tcPr>
          <w:p w:rsidR="00831CFB" w:rsidRPr="00BD6197" w:rsidRDefault="00831CFB" w:rsidP="000F2BA7">
            <w:pPr>
              <w:pStyle w:val="Tabletext"/>
              <w:jc w:val="center"/>
              <w:rPr>
                <w:szCs w:val="22"/>
                <w:lang w:val="en-US"/>
              </w:rPr>
            </w:pPr>
            <w:r w:rsidRPr="00BD6197">
              <w:rPr>
                <w:szCs w:val="22"/>
                <w:lang w:val="en-US"/>
              </w:rPr>
              <w:t>2.4</w:t>
            </w:r>
          </w:p>
        </w:tc>
        <w:tc>
          <w:tcPr>
            <w:tcW w:w="847" w:type="dxa"/>
          </w:tcPr>
          <w:p w:rsidR="00831CFB" w:rsidRPr="00BD6197" w:rsidRDefault="00831CFB" w:rsidP="000F2BA7">
            <w:pPr>
              <w:pStyle w:val="Tabletext"/>
              <w:jc w:val="center"/>
              <w:rPr>
                <w:szCs w:val="22"/>
                <w:lang w:val="en-US"/>
              </w:rPr>
            </w:pPr>
            <w:r w:rsidRPr="00BD6197">
              <w:rPr>
                <w:szCs w:val="22"/>
                <w:lang w:val="en-US"/>
              </w:rPr>
              <w:t>1.2</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1184"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r>
      <w:tr w:rsidR="00831CFB" w:rsidRPr="00BD6197" w:rsidTr="000F2BA7">
        <w:trPr>
          <w:cantSplit/>
          <w:jc w:val="center"/>
        </w:trPr>
        <w:tc>
          <w:tcPr>
            <w:tcW w:w="5067" w:type="dxa"/>
          </w:tcPr>
          <w:p w:rsidR="00831CFB" w:rsidRPr="00BD6197" w:rsidRDefault="00831CFB" w:rsidP="000F2BA7">
            <w:pPr>
              <w:pStyle w:val="Tabletext"/>
              <w:rPr>
                <w:szCs w:val="22"/>
                <w:lang w:val="en-US"/>
              </w:rPr>
            </w:pPr>
            <w:r w:rsidRPr="00BD6197">
              <w:rPr>
                <w:szCs w:val="22"/>
                <w:lang w:val="en-US"/>
              </w:rPr>
              <w:t xml:space="preserve">Cellular </w:t>
            </w:r>
          </w:p>
        </w:tc>
        <w:tc>
          <w:tcPr>
            <w:tcW w:w="847" w:type="dxa"/>
          </w:tcPr>
          <w:p w:rsidR="00831CFB" w:rsidRPr="00BD6197" w:rsidRDefault="00831CFB" w:rsidP="000F2BA7">
            <w:pPr>
              <w:pStyle w:val="Tabletext"/>
              <w:jc w:val="center"/>
              <w:rPr>
                <w:szCs w:val="22"/>
                <w:lang w:val="en-US"/>
              </w:rPr>
            </w:pPr>
            <w:r w:rsidRPr="00BD6197">
              <w:rPr>
                <w:szCs w:val="22"/>
                <w:lang w:val="en-US"/>
              </w:rPr>
              <w:t>3</w:t>
            </w:r>
          </w:p>
        </w:tc>
        <w:tc>
          <w:tcPr>
            <w:tcW w:w="847" w:type="dxa"/>
          </w:tcPr>
          <w:p w:rsidR="00831CFB" w:rsidRPr="00BD6197" w:rsidRDefault="00831CFB" w:rsidP="000F2BA7">
            <w:pPr>
              <w:pStyle w:val="Tabletext"/>
              <w:jc w:val="center"/>
              <w:rPr>
                <w:szCs w:val="22"/>
                <w:lang w:val="en-US"/>
              </w:rPr>
            </w:pPr>
            <w:r w:rsidRPr="00BD6197">
              <w:rPr>
                <w:szCs w:val="22"/>
                <w:lang w:val="en-US"/>
              </w:rPr>
              <w:t>1.2</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1184"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r>
      <w:tr w:rsidR="00831CFB" w:rsidRPr="00BD6197" w:rsidTr="000F2BA7">
        <w:trPr>
          <w:cantSplit/>
          <w:jc w:val="center"/>
        </w:trPr>
        <w:tc>
          <w:tcPr>
            <w:tcW w:w="5067" w:type="dxa"/>
          </w:tcPr>
          <w:p w:rsidR="00831CFB" w:rsidRPr="00BD6197" w:rsidRDefault="00831CFB" w:rsidP="000F2BA7">
            <w:pPr>
              <w:pStyle w:val="Tabletext"/>
              <w:rPr>
                <w:szCs w:val="22"/>
                <w:lang w:val="en-US"/>
              </w:rPr>
            </w:pPr>
            <w:r w:rsidRPr="00BD6197">
              <w:rPr>
                <w:szCs w:val="22"/>
                <w:lang w:val="en-US"/>
              </w:rPr>
              <w:t>Paging</w:t>
            </w:r>
          </w:p>
        </w:tc>
        <w:tc>
          <w:tcPr>
            <w:tcW w:w="847" w:type="dxa"/>
          </w:tcPr>
          <w:p w:rsidR="00831CFB" w:rsidRPr="00BD6197" w:rsidRDefault="00831CFB" w:rsidP="000F2BA7">
            <w:pPr>
              <w:pStyle w:val="Tabletext"/>
              <w:jc w:val="center"/>
              <w:rPr>
                <w:szCs w:val="22"/>
                <w:lang w:val="en-US"/>
              </w:rPr>
            </w:pPr>
            <w:r w:rsidRPr="00BD6197">
              <w:rPr>
                <w:szCs w:val="22"/>
                <w:lang w:val="en-US"/>
              </w:rPr>
              <w:t>3.5</w:t>
            </w:r>
          </w:p>
        </w:tc>
        <w:tc>
          <w:tcPr>
            <w:tcW w:w="847" w:type="dxa"/>
          </w:tcPr>
          <w:p w:rsidR="00831CFB" w:rsidRPr="00BD6197" w:rsidRDefault="00831CFB" w:rsidP="000F2BA7">
            <w:pPr>
              <w:pStyle w:val="Tabletext"/>
              <w:jc w:val="center"/>
              <w:rPr>
                <w:szCs w:val="22"/>
                <w:lang w:val="en-US"/>
              </w:rPr>
            </w:pPr>
            <w:r w:rsidRPr="00BD6197">
              <w:rPr>
                <w:szCs w:val="22"/>
                <w:lang w:val="en-US"/>
              </w:rPr>
              <w:t>1.2</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1184"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r>
      <w:tr w:rsidR="00831CFB" w:rsidRPr="00BD6197" w:rsidTr="000F2BA7">
        <w:trPr>
          <w:cantSplit/>
          <w:jc w:val="center"/>
        </w:trPr>
        <w:tc>
          <w:tcPr>
            <w:tcW w:w="5067" w:type="dxa"/>
          </w:tcPr>
          <w:p w:rsidR="00831CFB" w:rsidRPr="00BD6197" w:rsidRDefault="00831CFB" w:rsidP="000F2BA7">
            <w:pPr>
              <w:pStyle w:val="Tabletext"/>
              <w:rPr>
                <w:szCs w:val="22"/>
                <w:lang w:val="en-US"/>
              </w:rPr>
            </w:pPr>
            <w:r w:rsidRPr="00BD6197">
              <w:rPr>
                <w:szCs w:val="22"/>
                <w:lang w:val="en-US"/>
              </w:rPr>
              <w:t>PMR communications</w:t>
            </w:r>
          </w:p>
        </w:tc>
        <w:tc>
          <w:tcPr>
            <w:tcW w:w="847" w:type="dxa"/>
          </w:tcPr>
          <w:p w:rsidR="00831CFB" w:rsidRPr="00BD6197" w:rsidRDefault="00831CFB" w:rsidP="000F2BA7">
            <w:pPr>
              <w:pStyle w:val="Tabletext"/>
              <w:jc w:val="center"/>
              <w:rPr>
                <w:szCs w:val="22"/>
                <w:lang w:val="en-US"/>
              </w:rPr>
            </w:pPr>
            <w:r w:rsidRPr="00BD6197">
              <w:rPr>
                <w:szCs w:val="22"/>
                <w:lang w:val="en-US"/>
              </w:rPr>
              <w:t>2</w:t>
            </w:r>
          </w:p>
        </w:tc>
        <w:tc>
          <w:tcPr>
            <w:tcW w:w="847" w:type="dxa"/>
          </w:tcPr>
          <w:p w:rsidR="00831CFB" w:rsidRPr="00BD6197" w:rsidRDefault="00831CFB" w:rsidP="000F2BA7">
            <w:pPr>
              <w:pStyle w:val="Tabletext"/>
              <w:jc w:val="center"/>
              <w:rPr>
                <w:szCs w:val="22"/>
                <w:lang w:val="en-US"/>
              </w:rPr>
            </w:pPr>
            <w:r w:rsidRPr="00BD6197">
              <w:rPr>
                <w:szCs w:val="22"/>
                <w:lang w:val="en-US"/>
              </w:rPr>
              <w:t>1.2</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1184"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r>
      <w:tr w:rsidR="00831CFB" w:rsidRPr="00BD6197" w:rsidTr="000F2BA7">
        <w:trPr>
          <w:cantSplit/>
          <w:jc w:val="center"/>
        </w:trPr>
        <w:tc>
          <w:tcPr>
            <w:tcW w:w="5067" w:type="dxa"/>
          </w:tcPr>
          <w:p w:rsidR="00831CFB" w:rsidRPr="00BD6197" w:rsidRDefault="00831CFB" w:rsidP="000F2BA7">
            <w:pPr>
              <w:pStyle w:val="Tabletext"/>
              <w:rPr>
                <w:szCs w:val="22"/>
                <w:lang w:val="en-US"/>
              </w:rPr>
            </w:pPr>
            <w:r w:rsidRPr="00BD6197">
              <w:rPr>
                <w:szCs w:val="22"/>
                <w:lang w:val="en-US"/>
              </w:rPr>
              <w:t>Radiocommunications in CB range</w:t>
            </w:r>
          </w:p>
        </w:tc>
        <w:tc>
          <w:tcPr>
            <w:tcW w:w="847"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0.2</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1184"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0.2</w:t>
            </w:r>
          </w:p>
        </w:tc>
      </w:tr>
      <w:tr w:rsidR="00831CFB" w:rsidRPr="00BD6197" w:rsidTr="000F2BA7">
        <w:trPr>
          <w:cantSplit/>
          <w:jc w:val="center"/>
        </w:trPr>
        <w:tc>
          <w:tcPr>
            <w:tcW w:w="5067" w:type="dxa"/>
          </w:tcPr>
          <w:p w:rsidR="00831CFB" w:rsidRPr="00BD6197" w:rsidRDefault="00831CFB" w:rsidP="000F2BA7">
            <w:pPr>
              <w:pStyle w:val="Tabletext"/>
              <w:rPr>
                <w:szCs w:val="22"/>
                <w:lang w:val="en-US"/>
              </w:rPr>
            </w:pPr>
            <w:r w:rsidRPr="00BD6197">
              <w:rPr>
                <w:szCs w:val="22"/>
                <w:lang w:val="en-US"/>
              </w:rPr>
              <w:t>Radiolocation</w:t>
            </w:r>
          </w:p>
        </w:tc>
        <w:tc>
          <w:tcPr>
            <w:tcW w:w="847"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0.02</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1184"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0.2</w:t>
            </w:r>
          </w:p>
        </w:tc>
      </w:tr>
      <w:tr w:rsidR="00831CFB" w:rsidRPr="00BD6197" w:rsidTr="000F2BA7">
        <w:trPr>
          <w:cantSplit/>
          <w:jc w:val="center"/>
        </w:trPr>
        <w:tc>
          <w:tcPr>
            <w:tcW w:w="5067" w:type="dxa"/>
          </w:tcPr>
          <w:p w:rsidR="00831CFB" w:rsidRPr="00BD6197" w:rsidRDefault="00831CFB" w:rsidP="000F2BA7">
            <w:pPr>
              <w:pStyle w:val="Tabletext"/>
              <w:rPr>
                <w:szCs w:val="22"/>
                <w:lang w:val="en-US"/>
              </w:rPr>
            </w:pPr>
            <w:r w:rsidRPr="00BD6197">
              <w:rPr>
                <w:szCs w:val="22"/>
                <w:lang w:val="en-US"/>
              </w:rPr>
              <w:t>Aeronautical radiocommunication and navigation</w:t>
            </w:r>
          </w:p>
        </w:tc>
        <w:tc>
          <w:tcPr>
            <w:tcW w:w="847"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0.2</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1184"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0.8</w:t>
            </w:r>
          </w:p>
        </w:tc>
      </w:tr>
      <w:tr w:rsidR="00831CFB" w:rsidRPr="00BD6197" w:rsidTr="000F2BA7">
        <w:trPr>
          <w:cantSplit/>
          <w:jc w:val="center"/>
        </w:trPr>
        <w:tc>
          <w:tcPr>
            <w:tcW w:w="5067" w:type="dxa"/>
          </w:tcPr>
          <w:p w:rsidR="00831CFB" w:rsidRPr="00BD6197" w:rsidRDefault="00831CFB" w:rsidP="000F2BA7">
            <w:pPr>
              <w:pStyle w:val="Tabletext"/>
              <w:rPr>
                <w:szCs w:val="22"/>
                <w:lang w:val="en-US"/>
              </w:rPr>
            </w:pPr>
            <w:r w:rsidRPr="00BD6197">
              <w:rPr>
                <w:szCs w:val="22"/>
                <w:lang w:val="en-US"/>
              </w:rPr>
              <w:t xml:space="preserve">Maritime radiocommunication </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847" w:type="dxa"/>
          </w:tcPr>
          <w:p w:rsidR="00831CFB" w:rsidRPr="00BD6197" w:rsidRDefault="00831CFB" w:rsidP="000F2BA7">
            <w:pPr>
              <w:pStyle w:val="Tabletext"/>
              <w:jc w:val="center"/>
              <w:rPr>
                <w:szCs w:val="22"/>
                <w:lang w:val="en-US"/>
              </w:rPr>
            </w:pPr>
            <w:r w:rsidRPr="00BD6197">
              <w:rPr>
                <w:szCs w:val="22"/>
                <w:lang w:val="en-US"/>
              </w:rPr>
              <w:t>0.2</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1184"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r>
      <w:tr w:rsidR="00831CFB" w:rsidRPr="00BD6197" w:rsidTr="000F2BA7">
        <w:trPr>
          <w:cantSplit/>
          <w:jc w:val="center"/>
        </w:trPr>
        <w:tc>
          <w:tcPr>
            <w:tcW w:w="5067" w:type="dxa"/>
          </w:tcPr>
          <w:p w:rsidR="00831CFB" w:rsidRPr="00BD6197" w:rsidRDefault="00831CFB" w:rsidP="000F2BA7">
            <w:pPr>
              <w:pStyle w:val="Tabletext"/>
              <w:rPr>
                <w:szCs w:val="22"/>
                <w:lang w:val="en-US"/>
              </w:rPr>
            </w:pPr>
            <w:r w:rsidRPr="00BD6197">
              <w:rPr>
                <w:szCs w:val="22"/>
                <w:lang w:val="en-US"/>
              </w:rPr>
              <w:t>Earth station for FSS</w:t>
            </w:r>
          </w:p>
        </w:tc>
        <w:tc>
          <w:tcPr>
            <w:tcW w:w="847" w:type="dxa"/>
          </w:tcPr>
          <w:p w:rsidR="00831CFB" w:rsidRPr="00BD6197" w:rsidRDefault="00831CFB" w:rsidP="000F2BA7">
            <w:pPr>
              <w:pStyle w:val="Tabletext"/>
              <w:jc w:val="center"/>
              <w:rPr>
                <w:szCs w:val="22"/>
                <w:lang w:val="en-US"/>
              </w:rPr>
            </w:pPr>
            <w:r w:rsidRPr="00BD6197">
              <w:rPr>
                <w:szCs w:val="22"/>
                <w:lang w:val="en-US"/>
              </w:rPr>
              <w:t>4</w:t>
            </w:r>
          </w:p>
        </w:tc>
        <w:tc>
          <w:tcPr>
            <w:tcW w:w="847" w:type="dxa"/>
          </w:tcPr>
          <w:p w:rsidR="00831CFB" w:rsidRPr="00BD6197" w:rsidRDefault="00831CFB" w:rsidP="000F2BA7">
            <w:pPr>
              <w:pStyle w:val="Tabletext"/>
              <w:jc w:val="center"/>
              <w:rPr>
                <w:szCs w:val="22"/>
                <w:lang w:val="en-US"/>
              </w:rPr>
            </w:pPr>
            <w:r w:rsidRPr="00BD6197">
              <w:rPr>
                <w:szCs w:val="22"/>
                <w:lang w:val="en-US"/>
              </w:rPr>
              <w:t>0.2</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1184"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0.2</w:t>
            </w:r>
          </w:p>
        </w:tc>
      </w:tr>
      <w:tr w:rsidR="00831CFB" w:rsidRPr="00BD6197" w:rsidTr="000F2BA7">
        <w:trPr>
          <w:cantSplit/>
          <w:jc w:val="center"/>
        </w:trPr>
        <w:tc>
          <w:tcPr>
            <w:tcW w:w="5067" w:type="dxa"/>
          </w:tcPr>
          <w:p w:rsidR="00831CFB" w:rsidRPr="00BD6197" w:rsidRDefault="00831CFB" w:rsidP="000F2BA7">
            <w:pPr>
              <w:pStyle w:val="Tabletext"/>
              <w:rPr>
                <w:szCs w:val="22"/>
                <w:lang w:val="en-US"/>
              </w:rPr>
            </w:pPr>
            <w:r w:rsidRPr="00BD6197">
              <w:rPr>
                <w:szCs w:val="22"/>
                <w:lang w:val="en-US"/>
              </w:rPr>
              <w:t>Earth stations for other satellite services including feeder links</w:t>
            </w:r>
          </w:p>
        </w:tc>
        <w:tc>
          <w:tcPr>
            <w:tcW w:w="847" w:type="dxa"/>
          </w:tcPr>
          <w:p w:rsidR="00831CFB" w:rsidRPr="00BD6197" w:rsidRDefault="00831CFB" w:rsidP="000F2BA7">
            <w:pPr>
              <w:pStyle w:val="Tabletext"/>
              <w:jc w:val="center"/>
              <w:rPr>
                <w:szCs w:val="22"/>
                <w:lang w:val="en-US"/>
              </w:rPr>
            </w:pPr>
            <w:r w:rsidRPr="00BD6197">
              <w:rPr>
                <w:szCs w:val="22"/>
                <w:lang w:val="en-US"/>
              </w:rPr>
              <w:t>1.4</w:t>
            </w:r>
          </w:p>
        </w:tc>
        <w:tc>
          <w:tcPr>
            <w:tcW w:w="847"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1</w:t>
            </w:r>
          </w:p>
        </w:tc>
        <w:tc>
          <w:tcPr>
            <w:tcW w:w="1184" w:type="dxa"/>
          </w:tcPr>
          <w:p w:rsidR="00831CFB" w:rsidRPr="00BD6197" w:rsidRDefault="00831CFB" w:rsidP="000F2BA7">
            <w:pPr>
              <w:pStyle w:val="Tabletext"/>
              <w:jc w:val="center"/>
              <w:rPr>
                <w:szCs w:val="22"/>
                <w:lang w:val="en-US"/>
              </w:rPr>
            </w:pPr>
            <w:r w:rsidRPr="00BD6197">
              <w:rPr>
                <w:szCs w:val="22"/>
                <w:lang w:val="en-US"/>
              </w:rPr>
              <w:t>0.1</w:t>
            </w:r>
          </w:p>
        </w:tc>
        <w:tc>
          <w:tcPr>
            <w:tcW w:w="847" w:type="dxa"/>
          </w:tcPr>
          <w:p w:rsidR="00831CFB" w:rsidRPr="00BD6197" w:rsidRDefault="00831CFB" w:rsidP="000F2BA7">
            <w:pPr>
              <w:pStyle w:val="Tabletext"/>
              <w:jc w:val="center"/>
              <w:rPr>
                <w:szCs w:val="22"/>
                <w:lang w:val="en-US"/>
              </w:rPr>
            </w:pPr>
            <w:r w:rsidRPr="00BD6197">
              <w:rPr>
                <w:szCs w:val="22"/>
                <w:lang w:val="en-US"/>
              </w:rPr>
              <w:t>0.2</w:t>
            </w:r>
          </w:p>
        </w:tc>
      </w:tr>
    </w:tbl>
    <w:p w:rsidR="00831CFB" w:rsidRPr="00BD6197" w:rsidRDefault="00831CFB" w:rsidP="00831CFB">
      <w:pPr>
        <w:pStyle w:val="Tablefin"/>
        <w:rPr>
          <w:lang w:val="en-US"/>
        </w:rPr>
      </w:pPr>
    </w:p>
    <w:p w:rsidR="00831CFB" w:rsidRPr="00BD6197" w:rsidRDefault="00831CFB" w:rsidP="00831CFB">
      <w:pPr>
        <w:rPr>
          <w:lang w:val="en-US"/>
        </w:rPr>
      </w:pPr>
      <w:r w:rsidRPr="00BD6197">
        <w:rPr>
          <w:lang w:val="en-US"/>
        </w:rPr>
        <w:t xml:space="preserve">Coefficient </w:t>
      </w:r>
      <w:r w:rsidRPr="00BD6197">
        <w:rPr>
          <w:lang w:val="en-US"/>
        </w:rPr>
        <w:sym w:font="Symbol" w:char="F061"/>
      </w:r>
      <w:r w:rsidRPr="00BD6197">
        <w:rPr>
          <w:vertAlign w:val="subscript"/>
          <w:lang w:val="en-US"/>
        </w:rPr>
        <w:t>1</w:t>
      </w:r>
      <w:r w:rsidRPr="00BD6197">
        <w:rPr>
          <w:lang w:val="en-US"/>
        </w:rPr>
        <w:t xml:space="preserve"> is basically determined by two factors:</w:t>
      </w:r>
    </w:p>
    <w:p w:rsidR="00831CFB" w:rsidRPr="00BD6197" w:rsidRDefault="00831CFB" w:rsidP="00831CFB">
      <w:pPr>
        <w:pStyle w:val="enumlev1"/>
        <w:rPr>
          <w:lang w:val="en-US"/>
        </w:rPr>
      </w:pPr>
      <w:r w:rsidRPr="00BD6197">
        <w:rPr>
          <w:lang w:val="en-US"/>
        </w:rPr>
        <w:t>–</w:t>
      </w:r>
      <w:r w:rsidRPr="00BD6197">
        <w:rPr>
          <w:lang w:val="en-US"/>
        </w:rPr>
        <w:tab/>
        <w:t>The commercial value of radio services. This factor is linked to the willingness of users and operators to pay for the right to provide services or use the services operated over a specific frequency.</w:t>
      </w:r>
    </w:p>
    <w:p w:rsidR="00831CFB" w:rsidRPr="00BD6197" w:rsidRDefault="00831CFB" w:rsidP="00831CFB">
      <w:pPr>
        <w:pStyle w:val="enumlev1"/>
        <w:rPr>
          <w:lang w:val="en-US"/>
        </w:rPr>
      </w:pPr>
      <w:r w:rsidRPr="00BD6197">
        <w:rPr>
          <w:lang w:val="en-US"/>
        </w:rPr>
        <w:t>–</w:t>
      </w:r>
      <w:r w:rsidRPr="00BD6197">
        <w:rPr>
          <w:lang w:val="en-US"/>
        </w:rPr>
        <w:tab/>
        <w:t>The necessity of using less congested (usually – higher) frequency bands. Some radio services may be moved to higher frequencies as experience is gained or technology changes, thereby decreasing the loading of lower frequency bands. This is the economic lever which should encourage the usage of higher bands.</w:t>
      </w:r>
    </w:p>
    <w:p w:rsidR="00831CFB" w:rsidRPr="00BD6197" w:rsidRDefault="00831CFB" w:rsidP="00831CFB">
      <w:pPr>
        <w:rPr>
          <w:lang w:val="en-US"/>
        </w:rPr>
      </w:pPr>
      <w:r w:rsidRPr="00BD6197">
        <w:rPr>
          <w:lang w:val="en-US"/>
        </w:rPr>
        <w:t xml:space="preserve">Coefficient </w:t>
      </w:r>
      <w:r w:rsidRPr="00BD6197">
        <w:rPr>
          <w:lang w:val="en-US"/>
        </w:rPr>
        <w:sym w:font="Symbol" w:char="F061"/>
      </w:r>
      <w:r w:rsidRPr="00BD6197">
        <w:rPr>
          <w:vertAlign w:val="subscript"/>
          <w:lang w:val="en-US"/>
        </w:rPr>
        <w:t>2</w:t>
      </w:r>
      <w:r w:rsidRPr="00BD6197">
        <w:rPr>
          <w:lang w:val="en-US"/>
        </w:rPr>
        <w:t xml:space="preserve"> takes into account a social factor. For those radio services, whose existence is vital for all groups of the population, including the most needy, this coefficient has a low value reflecting a truly social value or obligation on behalf of the administration.</w:t>
      </w:r>
    </w:p>
    <w:p w:rsidR="00831CFB" w:rsidRPr="00BD6197" w:rsidRDefault="00831CFB" w:rsidP="00831CFB">
      <w:pPr>
        <w:rPr>
          <w:lang w:val="en-US"/>
        </w:rPr>
      </w:pPr>
      <w:r w:rsidRPr="00BD6197">
        <w:rPr>
          <w:lang w:val="en-US"/>
        </w:rPr>
        <w:t xml:space="preserve">For example, for stations above 1 GHz, through which long-distance communications are provided, as well as for television broadcasting, the coefficient </w:t>
      </w:r>
      <w:r w:rsidRPr="00BD6197">
        <w:rPr>
          <w:lang w:val="en-US"/>
        </w:rPr>
        <w:sym w:font="Symbol" w:char="F061"/>
      </w:r>
      <w:r w:rsidRPr="00BD6197">
        <w:rPr>
          <w:vertAlign w:val="subscript"/>
          <w:lang w:val="en-US"/>
        </w:rPr>
        <w:t>2</w:t>
      </w:r>
      <w:r w:rsidRPr="00BD6197">
        <w:rPr>
          <w:position w:val="-4"/>
          <w:lang w:val="en-US"/>
        </w:rPr>
        <w:t xml:space="preserve"> </w:t>
      </w:r>
      <w:r w:rsidRPr="00BD6197">
        <w:rPr>
          <w:lang w:val="en-US"/>
        </w:rPr>
        <w:t xml:space="preserve">has a low value and for cellular communication, coefficient </w:t>
      </w:r>
      <w:r w:rsidRPr="00BD6197">
        <w:rPr>
          <w:lang w:val="en-US"/>
        </w:rPr>
        <w:sym w:font="Symbol" w:char="F061"/>
      </w:r>
      <w:r w:rsidRPr="00BD6197">
        <w:rPr>
          <w:vertAlign w:val="subscript"/>
          <w:lang w:val="en-US"/>
        </w:rPr>
        <w:t>2</w:t>
      </w:r>
      <w:r w:rsidRPr="00BD6197">
        <w:rPr>
          <w:lang w:val="en-US"/>
        </w:rPr>
        <w:t xml:space="preserve"> has a higher value.</w:t>
      </w:r>
    </w:p>
    <w:p w:rsidR="00831CFB" w:rsidRPr="00BD6197" w:rsidRDefault="00831CFB" w:rsidP="00831CFB">
      <w:pPr>
        <w:rPr>
          <w:lang w:val="en-US"/>
        </w:rPr>
      </w:pPr>
      <w:r w:rsidRPr="00BD6197">
        <w:rPr>
          <w:lang w:val="en-US"/>
        </w:rPr>
        <w:t xml:space="preserve">Coefficient </w:t>
      </w:r>
      <w:r w:rsidRPr="00BD6197">
        <w:rPr>
          <w:lang w:val="en-US"/>
        </w:rPr>
        <w:sym w:font="Symbol" w:char="F061"/>
      </w:r>
      <w:r w:rsidRPr="00BD6197">
        <w:rPr>
          <w:vertAlign w:val="subscript"/>
          <w:lang w:val="en-US"/>
        </w:rPr>
        <w:t>3</w:t>
      </w:r>
      <w:r w:rsidRPr="00BD6197">
        <w:rPr>
          <w:lang w:val="en-US"/>
        </w:rPr>
        <w:t xml:space="preserve"> takes into account features of site location in urban and village conditions. In village conditions, where the density of the population is low and the level of the incomes is also low, the commercial value of communication services will also be low, at the same time technological costs for providing these services will also be high. Therefore with the purpose of support of the telecommunication operators and services as well as for encouraging development of radio communication services this can be a lower coefficient </w:t>
      </w:r>
      <w:r w:rsidRPr="00BD6197">
        <w:rPr>
          <w:lang w:val="en-US"/>
        </w:rPr>
        <w:sym w:font="Symbol" w:char="F061"/>
      </w:r>
      <w:r w:rsidRPr="00BD6197">
        <w:rPr>
          <w:vertAlign w:val="subscript"/>
          <w:lang w:val="en-US"/>
        </w:rPr>
        <w:t>3</w:t>
      </w:r>
      <w:r w:rsidRPr="00BD6197">
        <w:rPr>
          <w:lang w:val="en-US"/>
        </w:rPr>
        <w:t>, while in urban districts it may be considerably higher.</w:t>
      </w:r>
    </w:p>
    <w:p w:rsidR="00831CFB" w:rsidRPr="00BD6197" w:rsidRDefault="00831CFB" w:rsidP="00831CFB">
      <w:pPr>
        <w:rPr>
          <w:lang w:val="en-US"/>
        </w:rPr>
      </w:pPr>
      <w:r w:rsidRPr="00BD6197">
        <w:rPr>
          <w:lang w:val="en-US"/>
        </w:rPr>
        <w:t xml:space="preserve">Coefficient </w:t>
      </w:r>
      <w:r w:rsidRPr="00BD6197">
        <w:rPr>
          <w:lang w:val="en-US"/>
        </w:rPr>
        <w:sym w:font="Symbol" w:char="F061"/>
      </w:r>
      <w:r w:rsidRPr="00BD6197">
        <w:rPr>
          <w:vertAlign w:val="subscript"/>
          <w:lang w:val="en-US"/>
        </w:rPr>
        <w:t>4</w:t>
      </w:r>
      <w:r w:rsidRPr="00BD6197">
        <w:rPr>
          <w:lang w:val="en-US"/>
        </w:rPr>
        <w:t xml:space="preserve"> is determined by the complexity of spectrum management functions performed. This coefficient is usually the highest for mobile services. It is here that it is required to carry out the function of radio determination of mobile objects. Likewise for television broadcasting, it is required to determine with a high degree of accuracy a number of relevant parameters.</w:t>
      </w:r>
    </w:p>
    <w:p w:rsidR="00831CFB" w:rsidRPr="00BD6197" w:rsidRDefault="00831CFB" w:rsidP="00831CFB">
      <w:pPr>
        <w:rPr>
          <w:lang w:val="en-US"/>
        </w:rPr>
      </w:pPr>
      <w:r w:rsidRPr="00BD6197">
        <w:rPr>
          <w:lang w:val="en-US"/>
        </w:rPr>
        <w:t xml:space="preserve">Another weighting coefficient in equation (20) is </w:t>
      </w:r>
      <w:r w:rsidRPr="00BD6197">
        <w:rPr>
          <w:lang w:val="en-US"/>
        </w:rPr>
        <w:sym w:font="Symbol" w:char="F062"/>
      </w:r>
      <w:r w:rsidRPr="00BD6197">
        <w:rPr>
          <w:i/>
          <w:iCs/>
          <w:vertAlign w:val="subscript"/>
          <w:lang w:val="en-US"/>
        </w:rPr>
        <w:t>i</w:t>
      </w:r>
      <w:r w:rsidRPr="00BD6197">
        <w:rPr>
          <w:lang w:val="en-US"/>
        </w:rPr>
        <w:t xml:space="preserve">. This coefficient determines exclusiveness of the frequency assignment. If the given site of the spectrum is used on an exclusive basis, then </w:t>
      </w:r>
      <w:r w:rsidRPr="00BD6197">
        <w:rPr>
          <w:lang w:val="en-US"/>
        </w:rPr>
        <w:sym w:font="Symbol" w:char="F062"/>
      </w:r>
      <w:r w:rsidRPr="00BD6197">
        <w:rPr>
          <w:i/>
          <w:iCs/>
          <w:vertAlign w:val="subscript"/>
          <w:lang w:val="en-US"/>
        </w:rPr>
        <w:t>i</w:t>
      </w:r>
      <w:r w:rsidRPr="00BD6197">
        <w:rPr>
          <w:lang w:val="en-US"/>
        </w:rPr>
        <w:t> </w:t>
      </w:r>
      <w:r w:rsidRPr="00BD6197">
        <w:rPr>
          <w:rFonts w:ascii="Symbol" w:hAnsi="Symbol"/>
          <w:lang w:val="en-US"/>
        </w:rPr>
        <w:t></w:t>
      </w:r>
      <w:r w:rsidRPr="00BD6197">
        <w:rPr>
          <w:lang w:val="en-US"/>
        </w:rPr>
        <w:t xml:space="preserve"> 1. With </w:t>
      </w:r>
      <w:r w:rsidRPr="00BD6197">
        <w:rPr>
          <w:lang w:val="en-US"/>
        </w:rPr>
        <w:lastRenderedPageBreak/>
        <w:t xml:space="preserve">sharing </w:t>
      </w:r>
      <w:r w:rsidRPr="00BD6197">
        <w:rPr>
          <w:lang w:val="en-US"/>
        </w:rPr>
        <w:sym w:font="Symbol" w:char="F062"/>
      </w:r>
      <w:r w:rsidRPr="00BD6197">
        <w:rPr>
          <w:i/>
          <w:iCs/>
          <w:vertAlign w:val="subscript"/>
          <w:lang w:val="en-US"/>
        </w:rPr>
        <w:t>i</w:t>
      </w:r>
      <w:r w:rsidRPr="00BD6197">
        <w:rPr>
          <w:lang w:val="en-US"/>
        </w:rPr>
        <w:t xml:space="preserve"> varies within the limits from 0 up to 1 depending on conditions of sharing. Sharing may be on the basis of territorial separation that can result in reducing actual service area etc.</w:t>
      </w:r>
    </w:p>
    <w:p w:rsidR="00831CFB" w:rsidRPr="00BD6197" w:rsidRDefault="00831CFB" w:rsidP="00831CFB">
      <w:pPr>
        <w:pStyle w:val="Heading3"/>
        <w:rPr>
          <w:rFonts w:eastAsia="SimSun"/>
          <w:lang w:val="en-US" w:eastAsia="zh-CN"/>
        </w:rPr>
      </w:pPr>
      <w:bookmarkStart w:id="1571" w:name="_Toc289868839"/>
      <w:bookmarkStart w:id="1572" w:name="_Toc289868999"/>
      <w:bookmarkStart w:id="1573" w:name="_Toc289932307"/>
      <w:bookmarkStart w:id="1574" w:name="_Toc289933353"/>
      <w:bookmarkStart w:id="1575" w:name="_Toc291852916"/>
      <w:bookmarkStart w:id="1576" w:name="_Toc392515902"/>
      <w:bookmarkStart w:id="1577" w:name="_Toc462234070"/>
      <w:bookmarkStart w:id="1578" w:name="_Toc518394229"/>
      <w:r w:rsidRPr="00BD6197">
        <w:rPr>
          <w:rFonts w:eastAsia="SimSun"/>
          <w:lang w:val="en-US" w:eastAsia="zh-CN"/>
        </w:rPr>
        <w:t>4.6.10</w:t>
      </w:r>
      <w:r w:rsidRPr="00BD6197">
        <w:rPr>
          <w:rFonts w:eastAsia="SimSun"/>
          <w:lang w:val="en-US" w:eastAsia="zh-CN"/>
        </w:rPr>
        <w:tab/>
        <w:t>Determination of the whole value of the used spectral resource</w:t>
      </w:r>
      <w:bookmarkEnd w:id="1571"/>
      <w:bookmarkEnd w:id="1572"/>
      <w:bookmarkEnd w:id="1573"/>
      <w:bookmarkEnd w:id="1574"/>
      <w:bookmarkEnd w:id="1575"/>
      <w:bookmarkEnd w:id="1576"/>
      <w:bookmarkEnd w:id="1577"/>
      <w:bookmarkEnd w:id="1578"/>
    </w:p>
    <w:p w:rsidR="00831CFB" w:rsidRPr="00BD6197" w:rsidRDefault="00831CFB" w:rsidP="00831CFB">
      <w:pPr>
        <w:rPr>
          <w:lang w:val="en-US"/>
        </w:rPr>
      </w:pPr>
      <w:r w:rsidRPr="00BD6197">
        <w:rPr>
          <w:lang w:val="en-US"/>
        </w:rPr>
        <w:t xml:space="preserve">Thus, with the help of weighting coefficients </w:t>
      </w:r>
      <w:r w:rsidRPr="00BD6197">
        <w:rPr>
          <w:i/>
          <w:iCs/>
          <w:lang w:val="en-US"/>
        </w:rPr>
        <w:t>b</w:t>
      </w:r>
      <w:r w:rsidRPr="00BD6197">
        <w:rPr>
          <w:i/>
          <w:iCs/>
          <w:vertAlign w:val="subscript"/>
          <w:lang w:val="en-US"/>
        </w:rPr>
        <w:t>j</w:t>
      </w:r>
      <w:r w:rsidRPr="00BD6197">
        <w:rPr>
          <w:lang w:val="en-US"/>
        </w:rPr>
        <w:t xml:space="preserve">, </w:t>
      </w:r>
      <w:r w:rsidRPr="00BD6197">
        <w:rPr>
          <w:lang w:val="en-US"/>
        </w:rPr>
        <w:sym w:font="Symbol" w:char="F061"/>
      </w:r>
      <w:r w:rsidRPr="00BD6197">
        <w:rPr>
          <w:i/>
          <w:iCs/>
          <w:vertAlign w:val="subscript"/>
          <w:lang w:val="en-US"/>
        </w:rPr>
        <w:t>i</w:t>
      </w:r>
      <w:r w:rsidRPr="00BD6197">
        <w:rPr>
          <w:lang w:val="en-US"/>
        </w:rPr>
        <w:t xml:space="preserve"> and </w:t>
      </w:r>
      <w:r w:rsidRPr="00BD6197">
        <w:rPr>
          <w:lang w:val="en-US"/>
        </w:rPr>
        <w:sym w:font="Symbol" w:char="F062"/>
      </w:r>
      <w:r w:rsidRPr="00BD6197">
        <w:rPr>
          <w:i/>
          <w:iCs/>
          <w:vertAlign w:val="subscript"/>
          <w:lang w:val="en-US"/>
        </w:rPr>
        <w:t>i</w:t>
      </w:r>
      <w:r w:rsidRPr="00BD6197">
        <w:rPr>
          <w:lang w:val="en-US"/>
        </w:rPr>
        <w:t xml:space="preserve">, in accordance with equation (20), it is possible to determine (in view of the various factors) spectral resource </w:t>
      </w:r>
      <w:r w:rsidRPr="00BD6197">
        <w:rPr>
          <w:i/>
          <w:lang w:val="en-US"/>
        </w:rPr>
        <w:t>W</w:t>
      </w:r>
      <w:r w:rsidRPr="00BD6197">
        <w:rPr>
          <w:i/>
          <w:vertAlign w:val="subscript"/>
          <w:lang w:val="en-US"/>
        </w:rPr>
        <w:t>i</w:t>
      </w:r>
      <w:r w:rsidRPr="00BD6197">
        <w:rPr>
          <w:lang w:val="en-US"/>
        </w:rPr>
        <w:t xml:space="preserve"> actually used for each frequency assignment. Then it is possible to determine the whole value of spectral resource </w:t>
      </w:r>
      <w:r w:rsidRPr="00BD6197">
        <w:rPr>
          <w:i/>
          <w:lang w:val="en-US"/>
        </w:rPr>
        <w:t>W</w:t>
      </w:r>
      <w:r w:rsidRPr="00BD6197">
        <w:rPr>
          <w:lang w:val="en-US"/>
        </w:rPr>
        <w:t xml:space="preserve"> used in the country, according to the equation:</w:t>
      </w:r>
    </w:p>
    <w:p w:rsidR="00831CFB" w:rsidRPr="00BD6197" w:rsidRDefault="00831CFB" w:rsidP="00831CFB">
      <w:pPr>
        <w:pStyle w:val="Equation"/>
        <w:rPr>
          <w:lang w:val="en-US"/>
        </w:rPr>
      </w:pPr>
      <w:r w:rsidRPr="00BD6197">
        <w:rPr>
          <w:i/>
          <w:lang w:val="en-US"/>
        </w:rPr>
        <w:tab/>
      </w:r>
      <w:r w:rsidRPr="00BD6197">
        <w:rPr>
          <w:i/>
          <w:lang w:val="en-US"/>
        </w:rPr>
        <w:tab/>
      </w:r>
      <w:r w:rsidRPr="00BD6197">
        <w:rPr>
          <w:i/>
          <w:position w:val="-36"/>
          <w:lang w:val="en-US"/>
        </w:rPr>
        <w:object w:dxaOrig="1100" w:dyaOrig="800">
          <v:shape id="_x0000_i1031" type="#_x0000_t75" style="width:54.75pt;height:39pt" o:ole="" fillcolor="window">
            <v:imagedata r:id="rId34" o:title=""/>
          </v:shape>
          <o:OLEObject Type="Embed" ProgID="Equation.3" ShapeID="_x0000_i1031" DrawAspect="Content" ObjectID="_1604324985" r:id="rId35"/>
        </w:object>
      </w:r>
      <w:r w:rsidRPr="00BD6197">
        <w:rPr>
          <w:i/>
          <w:position w:val="-30"/>
          <w:lang w:val="en-US"/>
        </w:rPr>
        <w:t> </w:t>
      </w:r>
      <w:r w:rsidRPr="00BD6197">
        <w:rPr>
          <w:lang w:val="en-US"/>
        </w:rPr>
        <w:t xml:space="preserve">                 (MHz </w:t>
      </w:r>
      <w:r w:rsidRPr="00BD6197">
        <w:rPr>
          <w:szCs w:val="24"/>
          <w:lang w:val="en-US"/>
        </w:rPr>
        <w:sym w:font="Symbol" w:char="F0D7"/>
      </w:r>
      <w:r w:rsidRPr="00BD6197">
        <w:rPr>
          <w:lang w:val="en-US"/>
        </w:rPr>
        <w:t xml:space="preserve"> km</w:t>
      </w:r>
      <w:r w:rsidRPr="00BD6197">
        <w:rPr>
          <w:vertAlign w:val="superscript"/>
          <w:lang w:val="en-US"/>
        </w:rPr>
        <w:t>2</w:t>
      </w:r>
      <w:r w:rsidRPr="00BD6197">
        <w:rPr>
          <w:lang w:val="en-US"/>
        </w:rPr>
        <w:t xml:space="preserve"> </w:t>
      </w:r>
      <w:r w:rsidRPr="00BD6197">
        <w:rPr>
          <w:szCs w:val="24"/>
          <w:lang w:val="en-US"/>
        </w:rPr>
        <w:sym w:font="Symbol" w:char="F0D7"/>
      </w:r>
      <w:r w:rsidRPr="00BD6197">
        <w:rPr>
          <w:lang w:val="en-US"/>
        </w:rPr>
        <w:t xml:space="preserve"> 1 year)</w:t>
      </w:r>
      <w:r w:rsidRPr="00BD6197">
        <w:rPr>
          <w:lang w:val="en-US"/>
        </w:rPr>
        <w:tab/>
        <w:t>(26)</w:t>
      </w:r>
    </w:p>
    <w:p w:rsidR="00831CFB" w:rsidRPr="00BD6197" w:rsidRDefault="00831CFB" w:rsidP="00831CFB">
      <w:pPr>
        <w:rPr>
          <w:rFonts w:eastAsia="SimSun"/>
          <w:lang w:val="en-US" w:eastAsia="zh-CN"/>
        </w:rPr>
      </w:pPr>
      <w:r w:rsidRPr="00BD6197">
        <w:rPr>
          <w:rFonts w:eastAsia="SimSun"/>
          <w:lang w:val="en-US" w:eastAsia="zh-CN"/>
        </w:rPr>
        <w:t>where:</w:t>
      </w:r>
    </w:p>
    <w:p w:rsidR="00831CFB" w:rsidRPr="00BD6197" w:rsidRDefault="00831CFB" w:rsidP="00831CFB">
      <w:pPr>
        <w:pStyle w:val="Equationlegend"/>
      </w:pPr>
      <w:r w:rsidRPr="00BD6197">
        <w:rPr>
          <w:i/>
        </w:rPr>
        <w:tab/>
        <w:t>W</w:t>
      </w:r>
      <w:r w:rsidRPr="00BD6197">
        <w:rPr>
          <w:i/>
          <w:vertAlign w:val="subscript"/>
        </w:rPr>
        <w:t xml:space="preserve">i </w:t>
      </w:r>
      <w:r w:rsidRPr="00BD6197">
        <w:t>:</w:t>
      </w:r>
      <w:r w:rsidRPr="00BD6197">
        <w:tab/>
        <w:t xml:space="preserve">spectral resource used by </w:t>
      </w:r>
      <w:r w:rsidRPr="00BD6197">
        <w:rPr>
          <w:i/>
        </w:rPr>
        <w:t>i</w:t>
      </w:r>
      <w:r w:rsidRPr="00BD6197">
        <w:t>-th frequency assignment</w:t>
      </w:r>
    </w:p>
    <w:p w:rsidR="00831CFB" w:rsidRPr="00BD6197" w:rsidRDefault="00831CFB" w:rsidP="00831CFB">
      <w:pPr>
        <w:pStyle w:val="Equationlegend"/>
      </w:pPr>
      <w:r w:rsidRPr="00BD6197">
        <w:rPr>
          <w:i/>
          <w:iCs/>
        </w:rPr>
        <w:tab/>
        <w:t xml:space="preserve">n </w:t>
      </w:r>
      <w:r w:rsidRPr="00BD6197">
        <w:t>:</w:t>
      </w:r>
      <w:r w:rsidRPr="00BD6197">
        <w:tab/>
        <w:t>overall number of frequency assignments registered in the national Spectrum Management Database.</w:t>
      </w:r>
    </w:p>
    <w:p w:rsidR="00831CFB" w:rsidRPr="00BD6197" w:rsidRDefault="00831CFB" w:rsidP="00831CFB">
      <w:pPr>
        <w:pStyle w:val="Heading3"/>
        <w:rPr>
          <w:rFonts w:eastAsia="SimSun"/>
          <w:lang w:val="en-US" w:eastAsia="zh-CN"/>
        </w:rPr>
      </w:pPr>
      <w:bookmarkStart w:id="1579" w:name="_Toc289868840"/>
      <w:bookmarkStart w:id="1580" w:name="_Toc289869000"/>
      <w:bookmarkStart w:id="1581" w:name="_Toc289932308"/>
      <w:bookmarkStart w:id="1582" w:name="_Toc289933354"/>
      <w:bookmarkStart w:id="1583" w:name="_Toc291852917"/>
      <w:bookmarkStart w:id="1584" w:name="_Toc392515903"/>
      <w:bookmarkStart w:id="1585" w:name="_Toc462234071"/>
      <w:bookmarkStart w:id="1586" w:name="_Toc518394230"/>
      <w:r w:rsidRPr="00BD6197">
        <w:rPr>
          <w:rFonts w:eastAsia="SimSun"/>
          <w:lang w:val="en-US" w:eastAsia="zh-CN"/>
        </w:rPr>
        <w:t>4.6.11</w:t>
      </w:r>
      <w:r w:rsidRPr="00BD6197">
        <w:rPr>
          <w:rFonts w:eastAsia="SimSun"/>
          <w:lang w:val="en-US" w:eastAsia="zh-CN"/>
        </w:rPr>
        <w:tab/>
        <w:t>Price for the qualified unit of the used spectral resource</w:t>
      </w:r>
      <w:bookmarkEnd w:id="1579"/>
      <w:bookmarkEnd w:id="1580"/>
      <w:bookmarkEnd w:id="1581"/>
      <w:bookmarkEnd w:id="1582"/>
      <w:bookmarkEnd w:id="1583"/>
      <w:bookmarkEnd w:id="1584"/>
      <w:bookmarkEnd w:id="1585"/>
      <w:bookmarkEnd w:id="1586"/>
    </w:p>
    <w:p w:rsidR="00831CFB" w:rsidRPr="00BD6197" w:rsidRDefault="00831CFB" w:rsidP="00831CFB">
      <w:pPr>
        <w:rPr>
          <w:lang w:val="en-US"/>
        </w:rPr>
      </w:pPr>
      <w:r w:rsidRPr="00BD6197">
        <w:rPr>
          <w:lang w:val="en-US"/>
        </w:rPr>
        <w:t>On the basis of the equations (17)-(19) the total amount of annual payment can be determined which should be received from all users of all or part of the spectral resource. This could be done for all users combined or for individual services such as mobile cellular or broadcasting. On the basis of the equations (20)-(26) the whole value of the annually used spectral resource in the country can be determined.</w:t>
      </w:r>
    </w:p>
    <w:p w:rsidR="00831CFB" w:rsidRPr="00BD6197" w:rsidRDefault="00831CFB" w:rsidP="00831CFB">
      <w:pPr>
        <w:rPr>
          <w:lang w:val="en-US"/>
        </w:rPr>
      </w:pPr>
      <w:r w:rsidRPr="00BD6197">
        <w:rPr>
          <w:lang w:val="en-US"/>
        </w:rPr>
        <w:t xml:space="preserve">Then it is possible to determine the price of </w:t>
      </w:r>
      <w:r w:rsidRPr="00BD6197">
        <w:rPr>
          <w:lang w:val="en-US"/>
        </w:rPr>
        <w:sym w:font="Symbol" w:char="F044"/>
      </w:r>
      <w:r w:rsidRPr="00BD6197">
        <w:rPr>
          <w:rFonts w:ascii="Tms Rmn" w:hAnsi="Tms Rmn"/>
          <w:sz w:val="6"/>
          <w:lang w:val="en-US"/>
        </w:rPr>
        <w:t> </w:t>
      </w:r>
      <w:r w:rsidRPr="00BD6197">
        <w:rPr>
          <w:i/>
          <w:iCs/>
          <w:lang w:val="en-US"/>
        </w:rPr>
        <w:t>C</w:t>
      </w:r>
      <w:r w:rsidRPr="00BD6197">
        <w:rPr>
          <w:i/>
          <w:iCs/>
          <w:vertAlign w:val="subscript"/>
          <w:lang w:val="en-US"/>
        </w:rPr>
        <w:t>an</w:t>
      </w:r>
      <w:r w:rsidRPr="00BD6197">
        <w:rPr>
          <w:lang w:val="en-US"/>
        </w:rPr>
        <w:t xml:space="preserve"> for a qualified unit of the spectral resource:</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rFonts w:ascii="Symbol" w:hAnsi="Symbol"/>
          <w:lang w:val="en-US"/>
        </w:rPr>
        <w:tab/>
      </w:r>
      <w:r w:rsidRPr="00BD6197">
        <w:rPr>
          <w:position w:val="-12"/>
          <w:lang w:val="en-US"/>
        </w:rPr>
        <w:object w:dxaOrig="1840" w:dyaOrig="360">
          <v:shape id="_x0000_i1032" type="#_x0000_t75" style="width:89.25pt;height:19.5pt" o:ole="">
            <v:imagedata r:id="rId36" o:title=""/>
          </v:shape>
          <o:OLEObject Type="Embed" ProgID="Equation.3" ShapeID="_x0000_i1032" DrawAspect="Content" ObjectID="_1604324986" r:id="rId37"/>
        </w:object>
      </w:r>
      <w:r w:rsidRPr="00BD6197">
        <w:rPr>
          <w:lang w:val="en-US"/>
        </w:rPr>
        <w:t xml:space="preserve">        units of a national currency/(MHz </w:t>
      </w:r>
      <w:r w:rsidRPr="00BD6197">
        <w:rPr>
          <w:szCs w:val="24"/>
          <w:lang w:val="en-US"/>
        </w:rPr>
        <w:sym w:font="Symbol" w:char="F0D7"/>
      </w:r>
      <w:r w:rsidRPr="00BD6197">
        <w:rPr>
          <w:lang w:val="en-US"/>
        </w:rPr>
        <w:t xml:space="preserve"> km</w:t>
      </w:r>
      <w:r w:rsidRPr="00BD6197">
        <w:rPr>
          <w:vertAlign w:val="superscript"/>
          <w:lang w:val="en-US"/>
        </w:rPr>
        <w:t>2</w:t>
      </w:r>
      <w:r w:rsidRPr="00BD6197">
        <w:rPr>
          <w:lang w:val="en-US"/>
        </w:rPr>
        <w:t xml:space="preserve"> </w:t>
      </w:r>
      <w:r w:rsidRPr="00BD6197">
        <w:rPr>
          <w:szCs w:val="24"/>
          <w:lang w:val="en-US"/>
        </w:rPr>
        <w:sym w:font="Symbol" w:char="F0D7"/>
      </w:r>
      <w:r w:rsidRPr="00BD6197">
        <w:rPr>
          <w:lang w:val="en-US"/>
        </w:rPr>
        <w:t xml:space="preserve"> 1 year)</w:t>
      </w:r>
      <w:r w:rsidRPr="00BD6197">
        <w:rPr>
          <w:lang w:val="en-US"/>
        </w:rPr>
        <w:tab/>
        <w:t>(27)</w:t>
      </w:r>
    </w:p>
    <w:p w:rsidR="00831CFB" w:rsidRPr="00BD6197" w:rsidRDefault="00831CFB" w:rsidP="00831CFB">
      <w:pPr>
        <w:rPr>
          <w:lang w:val="en-US"/>
        </w:rPr>
      </w:pPr>
      <w:r w:rsidRPr="00BD6197">
        <w:rPr>
          <w:lang w:val="en-US"/>
        </w:rPr>
        <w:t>where:</w:t>
      </w:r>
    </w:p>
    <w:p w:rsidR="00831CFB" w:rsidRPr="00BD6197" w:rsidRDefault="00831CFB" w:rsidP="00831CFB">
      <w:pPr>
        <w:pStyle w:val="Equationlegend"/>
      </w:pPr>
      <w:r w:rsidRPr="00BD6197">
        <w:rPr>
          <w:i/>
        </w:rPr>
        <w:tab/>
        <w:t>L</w:t>
      </w:r>
      <w:r w:rsidRPr="00BD6197">
        <w:t>:</w:t>
      </w:r>
      <w:r w:rsidRPr="00BD6197">
        <w:tab/>
        <w:t>adjustment factor which takes into account possible changes in prices/costs in the country for the next fiscal year.</w:t>
      </w:r>
    </w:p>
    <w:p w:rsidR="00831CFB" w:rsidRPr="00BD6197" w:rsidRDefault="00831CFB" w:rsidP="00831CFB">
      <w:pPr>
        <w:pStyle w:val="Heading3"/>
        <w:rPr>
          <w:rFonts w:eastAsia="SimSun"/>
          <w:lang w:val="en-US" w:eastAsia="zh-CN"/>
        </w:rPr>
      </w:pPr>
      <w:bookmarkStart w:id="1587" w:name="_Toc289868841"/>
      <w:bookmarkStart w:id="1588" w:name="_Toc289869001"/>
      <w:bookmarkStart w:id="1589" w:name="_Toc289932309"/>
      <w:bookmarkStart w:id="1590" w:name="_Toc289933355"/>
      <w:bookmarkStart w:id="1591" w:name="_Toc291852918"/>
      <w:bookmarkStart w:id="1592" w:name="_Toc392515904"/>
      <w:bookmarkStart w:id="1593" w:name="_Toc462234072"/>
      <w:bookmarkStart w:id="1594" w:name="_Toc518394231"/>
      <w:r w:rsidRPr="00BD6197">
        <w:rPr>
          <w:rFonts w:eastAsia="SimSun"/>
          <w:lang w:val="en-US" w:eastAsia="zh-CN"/>
        </w:rPr>
        <w:t>4.6.12</w:t>
      </w:r>
      <w:r w:rsidRPr="00BD6197">
        <w:rPr>
          <w:rFonts w:eastAsia="SimSun"/>
          <w:lang w:val="en-US" w:eastAsia="zh-CN"/>
        </w:rPr>
        <w:tab/>
        <w:t>Annual fees for particular frequency assignment</w:t>
      </w:r>
      <w:bookmarkEnd w:id="1587"/>
      <w:bookmarkEnd w:id="1588"/>
      <w:bookmarkEnd w:id="1589"/>
      <w:bookmarkEnd w:id="1590"/>
      <w:bookmarkEnd w:id="1591"/>
      <w:bookmarkEnd w:id="1592"/>
      <w:bookmarkEnd w:id="1593"/>
      <w:bookmarkEnd w:id="1594"/>
    </w:p>
    <w:p w:rsidR="00831CFB" w:rsidRPr="00BD6197" w:rsidRDefault="00831CFB" w:rsidP="00831CFB">
      <w:pPr>
        <w:rPr>
          <w:lang w:val="en-US"/>
        </w:rPr>
      </w:pPr>
      <w:r w:rsidRPr="00BD6197">
        <w:rPr>
          <w:lang w:val="en-US"/>
        </w:rPr>
        <w:t xml:space="preserve">According to equation (27) the price </w:t>
      </w:r>
      <w:r w:rsidRPr="00BD6197">
        <w:rPr>
          <w:lang w:val="en-US"/>
        </w:rPr>
        <w:sym w:font="Symbol" w:char="F044"/>
      </w:r>
      <w:r w:rsidRPr="00BD6197">
        <w:rPr>
          <w:rFonts w:ascii="Tms Rmn" w:hAnsi="Tms Rmn"/>
          <w:sz w:val="6"/>
          <w:lang w:val="en-US"/>
        </w:rPr>
        <w:t> </w:t>
      </w:r>
      <w:r w:rsidRPr="00BD6197">
        <w:rPr>
          <w:i/>
          <w:iCs/>
          <w:lang w:val="en-US"/>
        </w:rPr>
        <w:t>C</w:t>
      </w:r>
      <w:r w:rsidRPr="00BD6197">
        <w:rPr>
          <w:i/>
          <w:iCs/>
          <w:vertAlign w:val="subscript"/>
          <w:lang w:val="en-US"/>
        </w:rPr>
        <w:t>an</w:t>
      </w:r>
      <w:r w:rsidRPr="00BD6197">
        <w:rPr>
          <w:lang w:val="en-US"/>
        </w:rPr>
        <w:t xml:space="preserve"> for the qualified unit of the spectral resource is determined. Equation (20) gives the value of the spectral resource </w:t>
      </w:r>
      <w:r w:rsidRPr="00BD6197">
        <w:rPr>
          <w:i/>
          <w:lang w:val="en-US"/>
        </w:rPr>
        <w:t>W</w:t>
      </w:r>
      <w:r w:rsidRPr="00BD6197">
        <w:rPr>
          <w:i/>
          <w:vertAlign w:val="subscript"/>
          <w:lang w:val="en-US"/>
        </w:rPr>
        <w:t>i</w:t>
      </w:r>
      <w:r w:rsidRPr="00BD6197">
        <w:rPr>
          <w:lang w:val="en-US"/>
        </w:rPr>
        <w:t xml:space="preserve"> used for a particular </w:t>
      </w:r>
      <w:r w:rsidRPr="00BD6197">
        <w:rPr>
          <w:i/>
          <w:lang w:val="en-US"/>
        </w:rPr>
        <w:t>i</w:t>
      </w:r>
      <w:r w:rsidRPr="00BD6197">
        <w:rPr>
          <w:lang w:val="en-US"/>
        </w:rPr>
        <w:t xml:space="preserve">-th frequency assignment. Based on this, the amount of the annual payment </w:t>
      </w:r>
      <w:r w:rsidRPr="00BD6197">
        <w:rPr>
          <w:i/>
          <w:lang w:val="en-US"/>
        </w:rPr>
        <w:t>C</w:t>
      </w:r>
      <w:r w:rsidRPr="00BD6197">
        <w:rPr>
          <w:i/>
          <w:vertAlign w:val="subscript"/>
          <w:lang w:val="en-US"/>
        </w:rPr>
        <w:t>i</w:t>
      </w:r>
      <w:r w:rsidRPr="00BD6197">
        <w:rPr>
          <w:lang w:val="en-US"/>
        </w:rPr>
        <w:t xml:space="preserve"> from the specific user of the spectrum for this frequency assignment will be determined as:</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r>
      <w:r w:rsidRPr="00BD6197">
        <w:rPr>
          <w:i/>
          <w:iCs/>
          <w:lang w:val="en-US"/>
        </w:rPr>
        <w:t>C</w:t>
      </w:r>
      <w:r w:rsidRPr="00BD6197">
        <w:rPr>
          <w:i/>
          <w:iCs/>
          <w:vertAlign w:val="subscript"/>
          <w:lang w:val="en-US"/>
        </w:rPr>
        <w:t>i</w:t>
      </w:r>
      <w:r w:rsidRPr="00BD6197">
        <w:rPr>
          <w:lang w:val="en-US"/>
        </w:rPr>
        <w:t xml:space="preserve"> </w:t>
      </w:r>
      <w:r w:rsidRPr="00BD6197">
        <w:rPr>
          <w:rFonts w:ascii="Symbol" w:hAnsi="Symbol"/>
          <w:lang w:val="en-US"/>
        </w:rPr>
        <w:t></w:t>
      </w:r>
      <w:r w:rsidRPr="00BD6197">
        <w:rPr>
          <w:lang w:val="en-US"/>
        </w:rPr>
        <w:t xml:space="preserve"> </w:t>
      </w:r>
      <w:r w:rsidRPr="00BD6197">
        <w:rPr>
          <w:lang w:val="en-US"/>
        </w:rPr>
        <w:sym w:font="Symbol" w:char="F044"/>
      </w:r>
      <w:r w:rsidRPr="00BD6197">
        <w:rPr>
          <w:rFonts w:ascii="Tms Rmn" w:hAnsi="Tms Rmn"/>
          <w:sz w:val="6"/>
          <w:lang w:val="en-US"/>
        </w:rPr>
        <w:t> </w:t>
      </w:r>
      <w:r w:rsidRPr="00BD6197">
        <w:rPr>
          <w:i/>
          <w:iCs/>
          <w:lang w:val="en-US"/>
        </w:rPr>
        <w:t>C</w:t>
      </w:r>
      <w:r w:rsidRPr="00BD6197">
        <w:rPr>
          <w:i/>
          <w:iCs/>
          <w:vertAlign w:val="subscript"/>
          <w:lang w:val="en-US"/>
        </w:rPr>
        <w:t>an</w:t>
      </w:r>
      <w:r w:rsidRPr="00BD6197">
        <w:rPr>
          <w:lang w:val="en-US"/>
        </w:rPr>
        <w:t xml:space="preserve"> </w:t>
      </w:r>
      <w:r w:rsidRPr="00BD6197">
        <w:rPr>
          <w:lang w:val="en-US"/>
        </w:rPr>
        <w:fldChar w:fldCharType="begin"/>
      </w:r>
      <w:r w:rsidRPr="00BD6197">
        <w:rPr>
          <w:lang w:val="en-US"/>
        </w:rPr>
        <w:instrText>SYMBOL 215 \f "Symbol" \s 14</w:instrText>
      </w:r>
      <w:r w:rsidRPr="00BD6197">
        <w:rPr>
          <w:lang w:val="en-US"/>
        </w:rPr>
        <w:fldChar w:fldCharType="separate"/>
      </w:r>
      <w:r w:rsidRPr="00BD6197">
        <w:rPr>
          <w:lang w:val="en-US"/>
        </w:rPr>
        <w:t>×</w:t>
      </w:r>
      <w:r w:rsidRPr="00BD6197">
        <w:rPr>
          <w:lang w:val="en-US"/>
        </w:rPr>
        <w:fldChar w:fldCharType="end"/>
      </w:r>
      <w:r w:rsidRPr="00BD6197">
        <w:rPr>
          <w:lang w:val="en-US"/>
        </w:rPr>
        <w:t xml:space="preserve"> </w:t>
      </w:r>
      <w:r w:rsidRPr="00BD6197">
        <w:rPr>
          <w:i/>
          <w:iCs/>
          <w:lang w:val="en-US"/>
        </w:rPr>
        <w:t>W</w:t>
      </w:r>
      <w:r w:rsidRPr="00BD6197">
        <w:rPr>
          <w:i/>
          <w:iCs/>
          <w:vertAlign w:val="subscript"/>
          <w:lang w:val="en-US"/>
        </w:rPr>
        <w:t>i</w:t>
      </w:r>
      <w:r w:rsidRPr="00BD6197">
        <w:rPr>
          <w:lang w:val="en-US"/>
        </w:rPr>
        <w:tab/>
        <w:t>(28)</w:t>
      </w:r>
    </w:p>
    <w:p w:rsidR="00831CFB" w:rsidRPr="00BD6197" w:rsidRDefault="00831CFB" w:rsidP="00831CFB">
      <w:pPr>
        <w:rPr>
          <w:lang w:val="en-US"/>
        </w:rPr>
      </w:pPr>
      <w:r w:rsidRPr="00BD6197">
        <w:rPr>
          <w:lang w:val="en-US"/>
        </w:rPr>
        <w:t>If the particular radiocommunication operator has several frequency assignments, the payment for each assignment is determined as above and then they are summated in relation to all operator’s frequency assignments.</w:t>
      </w:r>
    </w:p>
    <w:p w:rsidR="00831CFB" w:rsidRPr="00BD6197" w:rsidRDefault="00831CFB" w:rsidP="00831CFB">
      <w:pPr>
        <w:pStyle w:val="Heading2"/>
        <w:rPr>
          <w:lang w:val="en-US"/>
        </w:rPr>
      </w:pPr>
      <w:bookmarkStart w:id="1595" w:name="_Toc289868842"/>
      <w:bookmarkStart w:id="1596" w:name="_Toc289869002"/>
      <w:bookmarkStart w:id="1597" w:name="_Toc289932310"/>
      <w:bookmarkStart w:id="1598" w:name="_Toc289933356"/>
      <w:bookmarkStart w:id="1599" w:name="_Toc291852919"/>
      <w:bookmarkStart w:id="1600" w:name="_Toc392515905"/>
      <w:bookmarkStart w:id="1601" w:name="_Toc462234073"/>
      <w:bookmarkStart w:id="1602" w:name="_Toc518394232"/>
      <w:r w:rsidRPr="00BD6197">
        <w:rPr>
          <w:lang w:val="en-US"/>
        </w:rPr>
        <w:t>4.7</w:t>
      </w:r>
      <w:r w:rsidRPr="00BD6197">
        <w:rPr>
          <w:lang w:val="en-US"/>
        </w:rPr>
        <w:tab/>
        <w:t>Procedures and examples of used spectral resource calculations in application to different radio services</w:t>
      </w:r>
      <w:bookmarkEnd w:id="1595"/>
      <w:bookmarkEnd w:id="1596"/>
      <w:bookmarkEnd w:id="1597"/>
      <w:bookmarkEnd w:id="1598"/>
      <w:bookmarkEnd w:id="1599"/>
      <w:bookmarkEnd w:id="1600"/>
      <w:bookmarkEnd w:id="1601"/>
      <w:bookmarkEnd w:id="1602"/>
    </w:p>
    <w:p w:rsidR="00831CFB" w:rsidRPr="00BD6197" w:rsidRDefault="00831CFB" w:rsidP="00831CFB">
      <w:pPr>
        <w:rPr>
          <w:lang w:val="en-US"/>
        </w:rPr>
      </w:pPr>
      <w:r w:rsidRPr="00BD6197">
        <w:rPr>
          <w:lang w:val="en-US"/>
        </w:rPr>
        <w:t xml:space="preserve">The formulas used to calculate the spectrum fees usually reflect certain characteristics which are directly related to the service. For instance, there are some basic parameters like the type of service, bandwidth and frequency band. In addition, it would be suitable to include other parameters, for example a distance factor would be useful to promote an appropriate use of the bands according to </w:t>
      </w:r>
      <w:r w:rsidRPr="00BD6197">
        <w:rPr>
          <w:lang w:val="en-US"/>
        </w:rPr>
        <w:lastRenderedPageBreak/>
        <w:t xml:space="preserve">propagation considerations. Another convenient parameter to include would be a congestion factor which reflects the opportunity cost of the resource. </w:t>
      </w:r>
    </w:p>
    <w:p w:rsidR="00831CFB" w:rsidRPr="00BD6197" w:rsidRDefault="00831CFB" w:rsidP="00831CFB">
      <w:pPr>
        <w:rPr>
          <w:lang w:val="en-US"/>
        </w:rPr>
      </w:pPr>
      <w:r w:rsidRPr="00BD6197">
        <w:rPr>
          <w:lang w:val="en-US"/>
        </w:rPr>
        <w:t>Moreover, for the purposes of fee calculations it is much more important to provide universal procedures to guarantee equal conditions for all users belonging to one group (by radio service or its particular application) rather than to have a high accuracy of technical parameter calculations.</w:t>
      </w:r>
    </w:p>
    <w:p w:rsidR="00831CFB" w:rsidRPr="00BD6197" w:rsidRDefault="00831CFB" w:rsidP="00831CFB">
      <w:pPr>
        <w:rPr>
          <w:lang w:val="en-US"/>
        </w:rPr>
      </w:pPr>
      <w:r w:rsidRPr="00BD6197">
        <w:rPr>
          <w:lang w:val="en-US"/>
        </w:rPr>
        <w:t>However, depending on the availability of automated spectrum management systems (see Recommendation ITU-R SM.1370), the administrations, in their objective of promoting the efficient use of spectrum, may include factors within the formulas for calculating spectrum fees that drive to such efficiency and reflect the</w:t>
      </w:r>
      <w:r w:rsidR="000F6A8D">
        <w:rPr>
          <w:lang w:val="en-US"/>
        </w:rPr>
        <w:t xml:space="preserve">ir opportunity cost. </w:t>
      </w:r>
      <w:r w:rsidRPr="00BD6197">
        <w:rPr>
          <w:lang w:val="en-US"/>
        </w:rPr>
        <w:t>For instance, with the objective to reduce congestion of some services or frequency bands, the administrations might include a factor in the spectrum fees formulas to reduce the users’ demand. This can promote a better use of other locations of frequency b</w:t>
      </w:r>
      <w:r w:rsidR="000F6A8D">
        <w:rPr>
          <w:lang w:val="en-US"/>
        </w:rPr>
        <w:t xml:space="preserve">ands which are less congested. </w:t>
      </w:r>
      <w:r w:rsidRPr="00BD6197">
        <w:rPr>
          <w:lang w:val="en-US"/>
        </w:rPr>
        <w:t>Another option could be to take into account the distance of the links. Similarly, this type of parameter in the formulas is aims through the price to promote the proper use of a particular band.</w:t>
      </w:r>
    </w:p>
    <w:p w:rsidR="00831CFB" w:rsidRPr="00BD6197" w:rsidRDefault="00831CFB" w:rsidP="00831CFB">
      <w:pPr>
        <w:rPr>
          <w:lang w:val="en-US"/>
        </w:rPr>
      </w:pPr>
      <w:r w:rsidRPr="00BD6197">
        <w:rPr>
          <w:lang w:val="en-US"/>
        </w:rPr>
        <w:t>Despite these potential inclusions in the spectrum fees formulas for purposes of the given license fees calculation model, considerably simplified calculation methods are proposed. The main orientation is given on using pre-calculated graphs and tables rather than complicated formulas. For the most difficult cases (HF broadcasting, satellite communications etc.) particular calculations of service areas, fixed radio link lengths etc. can be replaced by values taken directly from relevant license application forms or received from operators by special requests.</w:t>
      </w:r>
    </w:p>
    <w:p w:rsidR="00831CFB" w:rsidRPr="00BD6197" w:rsidRDefault="00831CFB" w:rsidP="00831CFB">
      <w:pPr>
        <w:rPr>
          <w:lang w:val="en-US"/>
        </w:rPr>
      </w:pPr>
      <w:r w:rsidRPr="00BD6197">
        <w:rPr>
          <w:lang w:val="en-US"/>
        </w:rPr>
        <w:t>Another common approach is to make estimation of service or occupied areas only within the national borders of a country. For maritime services national maritime economical border concept may be used (usually 200 miles, i.e. 360 km).</w:t>
      </w:r>
    </w:p>
    <w:p w:rsidR="00831CFB" w:rsidRPr="00BD6197" w:rsidRDefault="00831CFB" w:rsidP="00831CFB">
      <w:pPr>
        <w:rPr>
          <w:lang w:val="en-US"/>
        </w:rPr>
      </w:pPr>
      <w:r w:rsidRPr="00BD6197">
        <w:rPr>
          <w:lang w:val="en-US"/>
        </w:rPr>
        <w:t>For cellular mobile radiocommunications systems. which may contain numerous base stations including micro- and pico-cell ones for nearby and indoor operations, it may be too time consuming to make calculations based on the determination of service areas of individual base stations. Therefore for this case the overall service area of the relevant cellular network and overall frequency bands assigned for base-mobile and mobile-</w:t>
      </w:r>
      <w:r w:rsidR="0091356A" w:rsidRPr="00BD6197">
        <w:rPr>
          <w:lang w:val="en-US"/>
        </w:rPr>
        <w:t>based</w:t>
      </w:r>
      <w:r w:rsidRPr="00BD6197">
        <w:rPr>
          <w:lang w:val="en-US"/>
        </w:rPr>
        <w:t xml:space="preserve"> communications can be used for calculation of a spectral resource, used by the whole network.</w:t>
      </w:r>
    </w:p>
    <w:p w:rsidR="00831CFB" w:rsidRPr="00BD6197" w:rsidRDefault="00831CFB" w:rsidP="00831CFB">
      <w:pPr>
        <w:rPr>
          <w:lang w:val="en-US"/>
        </w:rPr>
      </w:pPr>
      <w:r w:rsidRPr="00BD6197">
        <w:rPr>
          <w:lang w:val="en-US"/>
        </w:rPr>
        <w:t>Occupied areas of earth stations of satellite communication systems are proposed to be determined on the basis of coordination distances agreed during the process of coordination and notification of frequency and orbital assignments in the ITU-R. If they are not available, a universal coordination distance of 350 km for VSATs and 750 km for other stations is proposed to be used. In some cases the values as agreed between the administration and operator can also be used.</w:t>
      </w:r>
    </w:p>
    <w:p w:rsidR="00831CFB" w:rsidRPr="00BD6197" w:rsidRDefault="00831CFB" w:rsidP="00831CFB">
      <w:pPr>
        <w:rPr>
          <w:lang w:val="en-US"/>
        </w:rPr>
      </w:pPr>
      <w:r w:rsidRPr="00BD6197">
        <w:rPr>
          <w:lang w:val="en-US"/>
        </w:rPr>
        <w:t>It is indicated above that the model is also applicable to receivers for which users especially demand protection from interference. To calculate the relevant fees, in accordance with the principle of reciprocity of a receiver and transmitter, the receiver is substituted by a transmitter of typical power (or a power agreed with user) and antenna, which effective height, gain and direction correspond to the receiving one. For this set of parameters the relevant spectral resource and then radio license fees are calculated in accordance with procedures presented below for related radio services and their applications.</w:t>
      </w:r>
    </w:p>
    <w:p w:rsidR="00831CFB" w:rsidRPr="00BD6197" w:rsidRDefault="00831CFB" w:rsidP="00831CFB">
      <w:pPr>
        <w:rPr>
          <w:lang w:val="en-US"/>
        </w:rPr>
      </w:pPr>
      <w:r w:rsidRPr="00BD6197">
        <w:rPr>
          <w:lang w:val="en-US"/>
        </w:rPr>
        <w:t>It is necessary to mention that an administration, depending on particular conditions and abilities, may decide on simplification of some of the proposed calculation procedures. Particularly it concerns eliminating of service/occupied area subdivisions to different zones belonging to different license fees categories and the only one category, corresponding to the largest service/occupied area, can be used. It also concerns eliminating of the effective antenna height determinations, etc.</w:t>
      </w:r>
    </w:p>
    <w:p w:rsidR="00831CFB" w:rsidRPr="00BD6197" w:rsidRDefault="00831CFB" w:rsidP="00831CFB">
      <w:pPr>
        <w:pStyle w:val="Heading3"/>
        <w:rPr>
          <w:lang w:val="en-US"/>
        </w:rPr>
      </w:pPr>
      <w:bookmarkStart w:id="1603" w:name="_Toc289868843"/>
      <w:bookmarkStart w:id="1604" w:name="_Toc289869003"/>
      <w:bookmarkStart w:id="1605" w:name="_Toc289932311"/>
      <w:bookmarkStart w:id="1606" w:name="_Toc289933357"/>
      <w:bookmarkStart w:id="1607" w:name="_Toc291852920"/>
      <w:bookmarkStart w:id="1608" w:name="_Toc392515906"/>
      <w:bookmarkStart w:id="1609" w:name="_Toc462234074"/>
      <w:bookmarkStart w:id="1610" w:name="_Toc518394233"/>
      <w:r w:rsidRPr="00BD6197">
        <w:rPr>
          <w:lang w:val="en-US"/>
        </w:rPr>
        <w:lastRenderedPageBreak/>
        <w:t>4.7.1</w:t>
      </w:r>
      <w:r w:rsidRPr="00BD6197">
        <w:rPr>
          <w:lang w:val="en-US"/>
        </w:rPr>
        <w:tab/>
        <w:t>VHF/UHF sound and TV radio broadcasting calculation procedures</w:t>
      </w:r>
      <w:bookmarkEnd w:id="1603"/>
      <w:bookmarkEnd w:id="1604"/>
      <w:bookmarkEnd w:id="1605"/>
      <w:bookmarkEnd w:id="1606"/>
      <w:bookmarkEnd w:id="1607"/>
      <w:bookmarkEnd w:id="1608"/>
      <w:bookmarkEnd w:id="1609"/>
      <w:bookmarkEnd w:id="1610"/>
    </w:p>
    <w:p w:rsidR="00831CFB" w:rsidRPr="00A01420" w:rsidRDefault="00831CFB" w:rsidP="00831CFB">
      <w:pPr>
        <w:pStyle w:val="Headingb"/>
        <w:rPr>
          <w:lang w:val="en-US"/>
        </w:rPr>
      </w:pPr>
      <w:bookmarkStart w:id="1611" w:name="_Toc454284906"/>
      <w:bookmarkStart w:id="1612" w:name="_Toc462234075"/>
      <w:r w:rsidRPr="00A01420">
        <w:rPr>
          <w:lang w:val="en-US"/>
        </w:rPr>
        <w:t>a)</w:t>
      </w:r>
      <w:r w:rsidRPr="00A01420">
        <w:rPr>
          <w:lang w:val="en-US"/>
        </w:rPr>
        <w:tab/>
        <w:t>Service area radius calculation</w:t>
      </w:r>
      <w:bookmarkEnd w:id="1611"/>
      <w:bookmarkEnd w:id="1612"/>
    </w:p>
    <w:p w:rsidR="00831CFB" w:rsidRPr="00BD6197" w:rsidRDefault="00831CFB" w:rsidP="00831CFB">
      <w:pPr>
        <w:rPr>
          <w:lang w:val="en-US"/>
        </w:rPr>
      </w:pPr>
      <w:r w:rsidRPr="00BD6197">
        <w:rPr>
          <w:lang w:val="en-US"/>
        </w:rPr>
        <w:t>In the absence of digital terrain map facilities and computerized propagation and frequency planning models, which can provide exact automatic calculations, it is proposed to use the following simplified method of service area determination. The procedure is mainly based on provisions of Recommendation ITU-R P.1546-4, which presents propagation curves and procedures of their use for determining distances at which field strengths take specific values adopted as minimal usable by Recommendation ITU-R BT.417-5.</w:t>
      </w:r>
    </w:p>
    <w:p w:rsidR="00831CFB" w:rsidRPr="00BD6197" w:rsidRDefault="00831CFB" w:rsidP="00831CFB">
      <w:pPr>
        <w:rPr>
          <w:lang w:val="en-US"/>
        </w:rPr>
      </w:pPr>
      <w:r w:rsidRPr="00BD6197">
        <w:rPr>
          <w:lang w:val="en-US"/>
        </w:rPr>
        <w:t>The propagation curves presented in Recommendation ITU-R P.1546-4 represent field-strength values in VHF and UHF bands in dB(</w:t>
      </w:r>
      <w:r w:rsidRPr="00BD6197">
        <w:rPr>
          <w:lang w:val="en-US"/>
        </w:rPr>
        <w:sym w:font="Symbol" w:char="F06D"/>
      </w:r>
      <w:r w:rsidRPr="00BD6197">
        <w:rPr>
          <w:lang w:val="en-US"/>
        </w:rPr>
        <w:t>V/m) as a function of various parameters and refer to land paths. The propagation curves relate to transmitter power of 1 kW radiated from a half-wave dipole and represent the field-strength values exceeded at 50% of the locations for 50% of time. These field-strength values are usually used for service areas determination. They also correspond to different transmitting antenna heights and a receiving antenna height of 10 m. For different values of effective height, a linear interpolation between the two curves corresponding to effective heights immediately above and below the true value can be used.</w:t>
      </w:r>
    </w:p>
    <w:p w:rsidR="00831CFB" w:rsidRPr="00BD6197" w:rsidRDefault="00831CFB" w:rsidP="00831CFB">
      <w:pPr>
        <w:rPr>
          <w:lang w:val="en-US"/>
        </w:rPr>
      </w:pPr>
      <w:r w:rsidRPr="00BD6197">
        <w:rPr>
          <w:lang w:val="en-US"/>
        </w:rPr>
        <w:t xml:space="preserve">The effective height of the transmitting antenna, </w:t>
      </w:r>
      <w:r w:rsidRPr="00BD6197">
        <w:rPr>
          <w:i/>
          <w:iCs/>
          <w:lang w:val="en-US"/>
        </w:rPr>
        <w:t>h</w:t>
      </w:r>
      <w:r w:rsidRPr="00BD6197">
        <w:rPr>
          <w:i/>
          <w:iCs/>
          <w:vertAlign w:val="subscript"/>
          <w:lang w:val="en-US"/>
        </w:rPr>
        <w:t>ef</w:t>
      </w:r>
      <w:r w:rsidRPr="00BD6197">
        <w:rPr>
          <w:lang w:val="en-US"/>
        </w:rPr>
        <w:t xml:space="preserve">, is determined as its height over the average level of the ground between distances of 3 km and 15 km from the transmitter in the direction of the receiver. Procedures of </w:t>
      </w:r>
      <w:r w:rsidRPr="00BD6197">
        <w:rPr>
          <w:i/>
          <w:iCs/>
          <w:lang w:val="en-US"/>
        </w:rPr>
        <w:t>h</w:t>
      </w:r>
      <w:r w:rsidRPr="00BD6197">
        <w:rPr>
          <w:i/>
          <w:iCs/>
          <w:vertAlign w:val="subscript"/>
          <w:lang w:val="en-US"/>
        </w:rPr>
        <w:t>ef</w:t>
      </w:r>
      <w:r w:rsidRPr="00BD6197">
        <w:rPr>
          <w:lang w:val="en-US"/>
        </w:rPr>
        <w:t xml:space="preserve"> calculations, to be used under service area radius calculations, are presented in (b).</w:t>
      </w:r>
    </w:p>
    <w:p w:rsidR="00831CFB" w:rsidRPr="00BD6197" w:rsidRDefault="00831CFB" w:rsidP="00831CFB">
      <w:pPr>
        <w:rPr>
          <w:lang w:val="en-US"/>
        </w:rPr>
      </w:pPr>
      <w:r w:rsidRPr="00BD6197">
        <w:rPr>
          <w:lang w:val="en-US"/>
        </w:rPr>
        <w:t xml:space="preserve">Service areas are determined by values of minimal usable field strengths, </w:t>
      </w:r>
      <w:r w:rsidRPr="00BD6197">
        <w:rPr>
          <w:i/>
          <w:iCs/>
          <w:lang w:val="en-US"/>
        </w:rPr>
        <w:t>E</w:t>
      </w:r>
      <w:r w:rsidRPr="00BD6197">
        <w:rPr>
          <w:i/>
          <w:iCs/>
          <w:vertAlign w:val="subscript"/>
          <w:lang w:val="en-US"/>
        </w:rPr>
        <w:t>mu</w:t>
      </w:r>
      <w:r w:rsidRPr="00BD6197">
        <w:rPr>
          <w:lang w:val="en-US"/>
        </w:rPr>
        <w:t>, at their borders, which are usually utilized for frequency planning purposes. These are presented in Table 3.</w:t>
      </w:r>
    </w:p>
    <w:p w:rsidR="00831CFB" w:rsidRPr="00BD6197" w:rsidRDefault="00831CFB" w:rsidP="00831CFB">
      <w:pPr>
        <w:rPr>
          <w:lang w:val="en-US"/>
        </w:rPr>
      </w:pPr>
      <w:r w:rsidRPr="00BD6197">
        <w:rPr>
          <w:lang w:val="en-US"/>
        </w:rPr>
        <w:t xml:space="preserve">Values of service area radius </w:t>
      </w:r>
      <w:r w:rsidRPr="00BD6197">
        <w:rPr>
          <w:i/>
          <w:iCs/>
          <w:lang w:val="en-US"/>
        </w:rPr>
        <w:t>R</w:t>
      </w:r>
      <w:r w:rsidRPr="00BD6197">
        <w:rPr>
          <w:lang w:val="en-US"/>
        </w:rPr>
        <w:t xml:space="preserve"> taken from curves at Figs 2 and 3 under different values of effective radiated power (e.r.p.) </w:t>
      </w:r>
      <w:r w:rsidRPr="00BD6197">
        <w:rPr>
          <w:i/>
          <w:iCs/>
          <w:lang w:val="en-US"/>
        </w:rPr>
        <w:t>P</w:t>
      </w:r>
      <w:r w:rsidRPr="00BD6197">
        <w:rPr>
          <w:i/>
          <w:iCs/>
          <w:vertAlign w:val="subscript"/>
          <w:lang w:val="en-US"/>
        </w:rPr>
        <w:t>ef</w:t>
      </w:r>
      <w:r w:rsidRPr="00BD6197">
        <w:rPr>
          <w:lang w:val="en-US"/>
        </w:rPr>
        <w:t xml:space="preserve">, and effective height of the transmitting antenna </w:t>
      </w:r>
      <w:r w:rsidRPr="00BD6197">
        <w:rPr>
          <w:i/>
          <w:iCs/>
          <w:lang w:val="en-US"/>
        </w:rPr>
        <w:t>h</w:t>
      </w:r>
      <w:r w:rsidRPr="00BD6197">
        <w:rPr>
          <w:i/>
          <w:iCs/>
          <w:vertAlign w:val="subscript"/>
          <w:lang w:val="en-US"/>
        </w:rPr>
        <w:t>ef</w:t>
      </w:r>
      <w:r w:rsidRPr="00BD6197">
        <w:rPr>
          <w:lang w:val="en-US"/>
        </w:rPr>
        <w:t xml:space="preserve">, for minimal usable field strength values, </w:t>
      </w:r>
      <w:r w:rsidRPr="00BD6197">
        <w:rPr>
          <w:i/>
          <w:iCs/>
          <w:lang w:val="en-US"/>
        </w:rPr>
        <w:t>E</w:t>
      </w:r>
      <w:r w:rsidRPr="00BD6197">
        <w:rPr>
          <w:i/>
          <w:iCs/>
          <w:vertAlign w:val="subscript"/>
          <w:lang w:val="en-US"/>
        </w:rPr>
        <w:t>mu</w:t>
      </w:r>
      <w:r w:rsidRPr="00BD6197">
        <w:rPr>
          <w:lang w:val="en-US"/>
        </w:rPr>
        <w:t>, indicated in Table 3, are presented in Tables 4 to 9. Interpolation and extrapolation of field strength as a function of frequency is made in accordance with Annex 5 to Recommendation ITU-R P.1546. Particular frequencies,</w:t>
      </w:r>
      <w:r w:rsidRPr="00BD6197">
        <w:rPr>
          <w:i/>
          <w:iCs/>
          <w:lang w:val="en-US"/>
        </w:rPr>
        <w:t xml:space="preserve"> f</w:t>
      </w:r>
      <w:r w:rsidRPr="00BD6197">
        <w:rPr>
          <w:i/>
          <w:iCs/>
          <w:vertAlign w:val="subscript"/>
          <w:lang w:val="en-US"/>
        </w:rPr>
        <w:t>c</w:t>
      </w:r>
      <w:r w:rsidRPr="00BD6197">
        <w:rPr>
          <w:lang w:val="en-US"/>
        </w:rPr>
        <w:t>, for re-calculation are shown in table headings. Calculations are made for effective antenna heights typical for broadcasting.</w:t>
      </w:r>
    </w:p>
    <w:p w:rsidR="00831CFB" w:rsidRPr="00BD6197" w:rsidRDefault="00831CFB" w:rsidP="00831CFB">
      <w:pPr>
        <w:pStyle w:val="TableNo"/>
        <w:rPr>
          <w:lang w:val="en-US"/>
        </w:rPr>
      </w:pPr>
      <w:r w:rsidRPr="00BD6197">
        <w:rPr>
          <w:lang w:val="en-US"/>
        </w:rPr>
        <w:t>TABLE 3</w:t>
      </w:r>
    </w:p>
    <w:p w:rsidR="00831CFB" w:rsidRPr="00BD6197" w:rsidRDefault="00831CFB" w:rsidP="00831CFB">
      <w:pPr>
        <w:pStyle w:val="Tabletitle"/>
        <w:rPr>
          <w:lang w:val="en-US"/>
        </w:rPr>
      </w:pPr>
      <w:r w:rsidRPr="00BD6197">
        <w:rPr>
          <w:lang w:val="en-US"/>
        </w:rPr>
        <w:t xml:space="preserve">Minimal usable field strengths </w:t>
      </w:r>
      <w:r w:rsidRPr="00BD6197">
        <w:rPr>
          <w:bCs/>
          <w:i/>
          <w:iCs/>
          <w:lang w:val="en-US"/>
        </w:rPr>
        <w:t>E</w:t>
      </w:r>
      <w:r w:rsidRPr="00BD6197">
        <w:rPr>
          <w:bCs/>
          <w:i/>
          <w:iCs/>
          <w:vertAlign w:val="subscript"/>
          <w:lang w:val="en-US"/>
        </w:rPr>
        <w:t>mu</w:t>
      </w:r>
      <w:r w:rsidRPr="00BD6197">
        <w:rPr>
          <w:lang w:val="en-US"/>
        </w:rPr>
        <w:t xml:space="preserve"> values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0"/>
        <w:gridCol w:w="1311"/>
        <w:gridCol w:w="1417"/>
        <w:gridCol w:w="1529"/>
        <w:gridCol w:w="1486"/>
        <w:gridCol w:w="1078"/>
        <w:gridCol w:w="1118"/>
      </w:tblGrid>
      <w:tr w:rsidR="00831CFB" w:rsidRPr="00BD6197" w:rsidTr="000F2BA7">
        <w:trPr>
          <w:jc w:val="center"/>
        </w:trPr>
        <w:tc>
          <w:tcPr>
            <w:tcW w:w="882" w:type="pct"/>
            <w:vAlign w:val="center"/>
          </w:tcPr>
          <w:p w:rsidR="00831CFB" w:rsidRPr="00BD6197" w:rsidRDefault="00831CFB" w:rsidP="000F2BA7">
            <w:pPr>
              <w:pStyle w:val="Tablehead"/>
              <w:rPr>
                <w:lang w:val="en-US"/>
              </w:rPr>
            </w:pPr>
            <w:r w:rsidRPr="00BD6197">
              <w:rPr>
                <w:lang w:val="en-US"/>
              </w:rPr>
              <w:t>Frequency band</w:t>
            </w:r>
          </w:p>
        </w:tc>
        <w:tc>
          <w:tcPr>
            <w:tcW w:w="680" w:type="pct"/>
            <w:vAlign w:val="center"/>
          </w:tcPr>
          <w:p w:rsidR="00831CFB" w:rsidRPr="00BD6197" w:rsidRDefault="00831CFB" w:rsidP="000F2BA7">
            <w:pPr>
              <w:pStyle w:val="Tablehead"/>
              <w:rPr>
                <w:lang w:val="en-US"/>
              </w:rPr>
            </w:pPr>
            <w:r w:rsidRPr="00BD6197">
              <w:rPr>
                <w:lang w:val="en-US"/>
              </w:rPr>
              <w:t>Below 76 MHz (TV)</w:t>
            </w:r>
          </w:p>
        </w:tc>
        <w:tc>
          <w:tcPr>
            <w:tcW w:w="735" w:type="pct"/>
            <w:vAlign w:val="center"/>
          </w:tcPr>
          <w:p w:rsidR="00831CFB" w:rsidRPr="00BD6197" w:rsidRDefault="00831CFB" w:rsidP="000F2BA7">
            <w:pPr>
              <w:pStyle w:val="Tablehead"/>
              <w:rPr>
                <w:lang w:val="en-US"/>
              </w:rPr>
            </w:pPr>
            <w:r w:rsidRPr="00BD6197">
              <w:rPr>
                <w:lang w:val="en-US"/>
              </w:rPr>
              <w:t>76-108 MHz (TV)</w:t>
            </w:r>
          </w:p>
        </w:tc>
        <w:tc>
          <w:tcPr>
            <w:tcW w:w="793" w:type="pct"/>
            <w:vAlign w:val="center"/>
          </w:tcPr>
          <w:p w:rsidR="00831CFB" w:rsidRPr="00BD6197" w:rsidRDefault="00831CFB" w:rsidP="000F2BA7">
            <w:pPr>
              <w:pStyle w:val="Tablehead"/>
              <w:rPr>
                <w:lang w:val="en-US"/>
              </w:rPr>
            </w:pPr>
            <w:r w:rsidRPr="00BD6197">
              <w:rPr>
                <w:lang w:val="en-US"/>
              </w:rPr>
              <w:t>108-230 MHz (TV)</w:t>
            </w:r>
          </w:p>
        </w:tc>
        <w:tc>
          <w:tcPr>
            <w:tcW w:w="771" w:type="pct"/>
            <w:vAlign w:val="center"/>
          </w:tcPr>
          <w:p w:rsidR="00831CFB" w:rsidRPr="00BD6197" w:rsidRDefault="00831CFB" w:rsidP="000F2BA7">
            <w:pPr>
              <w:pStyle w:val="Tablehead"/>
              <w:rPr>
                <w:lang w:val="en-US"/>
              </w:rPr>
            </w:pPr>
            <w:r w:rsidRPr="00BD6197">
              <w:rPr>
                <w:lang w:val="en-US"/>
              </w:rPr>
              <w:t>230-582 MHz (TV)</w:t>
            </w:r>
          </w:p>
        </w:tc>
        <w:tc>
          <w:tcPr>
            <w:tcW w:w="559" w:type="pct"/>
            <w:vAlign w:val="center"/>
          </w:tcPr>
          <w:p w:rsidR="00831CFB" w:rsidRPr="00BD6197" w:rsidRDefault="00831CFB" w:rsidP="000F2BA7">
            <w:pPr>
              <w:pStyle w:val="Tablehead"/>
              <w:rPr>
                <w:lang w:val="en-US"/>
              </w:rPr>
            </w:pPr>
            <w:r w:rsidRPr="00BD6197">
              <w:rPr>
                <w:lang w:val="en-US"/>
              </w:rPr>
              <w:t>Above 528 MHz (TV)</w:t>
            </w:r>
          </w:p>
        </w:tc>
        <w:tc>
          <w:tcPr>
            <w:tcW w:w="580" w:type="pct"/>
            <w:vAlign w:val="center"/>
          </w:tcPr>
          <w:p w:rsidR="00831CFB" w:rsidRPr="00BD6197" w:rsidRDefault="00831CFB" w:rsidP="000F2BA7">
            <w:pPr>
              <w:pStyle w:val="Tablehead"/>
              <w:rPr>
                <w:lang w:val="en-US"/>
              </w:rPr>
            </w:pPr>
            <w:r w:rsidRPr="00BD6197">
              <w:rPr>
                <w:lang w:val="en-US"/>
              </w:rPr>
              <w:t>Below 108 MHz (Sound)</w:t>
            </w:r>
          </w:p>
        </w:tc>
      </w:tr>
      <w:tr w:rsidR="00831CFB" w:rsidRPr="00BD6197" w:rsidTr="000F2BA7">
        <w:trPr>
          <w:jc w:val="center"/>
        </w:trPr>
        <w:tc>
          <w:tcPr>
            <w:tcW w:w="882" w:type="pct"/>
          </w:tcPr>
          <w:p w:rsidR="00831CFB" w:rsidRPr="00BD6197" w:rsidRDefault="00831CFB" w:rsidP="000F2BA7">
            <w:pPr>
              <w:pStyle w:val="Tabletext"/>
              <w:jc w:val="center"/>
              <w:rPr>
                <w:szCs w:val="22"/>
                <w:lang w:val="en-US"/>
              </w:rPr>
            </w:pPr>
            <w:r w:rsidRPr="00BD6197">
              <w:rPr>
                <w:i/>
                <w:iCs/>
                <w:szCs w:val="22"/>
                <w:lang w:val="en-US"/>
              </w:rPr>
              <w:t>E</w:t>
            </w:r>
            <w:r w:rsidRPr="00BD6197">
              <w:rPr>
                <w:i/>
                <w:iCs/>
                <w:szCs w:val="22"/>
                <w:vertAlign w:val="subscript"/>
                <w:lang w:val="en-US"/>
              </w:rPr>
              <w:t>mu</w:t>
            </w:r>
            <w:r w:rsidRPr="00BD6197">
              <w:rPr>
                <w:szCs w:val="22"/>
                <w:vertAlign w:val="subscript"/>
                <w:lang w:val="en-US"/>
              </w:rPr>
              <w:t xml:space="preserve"> </w:t>
            </w:r>
            <w:r w:rsidRPr="00BD6197">
              <w:rPr>
                <w:szCs w:val="22"/>
                <w:lang w:val="en-US"/>
              </w:rPr>
              <w:t>(dB(</w:t>
            </w:r>
            <w:r w:rsidRPr="00BD6197">
              <w:rPr>
                <w:szCs w:val="22"/>
                <w:lang w:val="en-US"/>
              </w:rPr>
              <w:sym w:font="Symbol" w:char="F06D"/>
            </w:r>
            <w:r w:rsidRPr="00BD6197">
              <w:rPr>
                <w:szCs w:val="22"/>
                <w:lang w:val="en-US"/>
              </w:rPr>
              <w:t>V/m))</w:t>
            </w:r>
          </w:p>
        </w:tc>
        <w:tc>
          <w:tcPr>
            <w:tcW w:w="680" w:type="pct"/>
          </w:tcPr>
          <w:p w:rsidR="00831CFB" w:rsidRPr="00BD6197" w:rsidRDefault="00831CFB" w:rsidP="000F2BA7">
            <w:pPr>
              <w:pStyle w:val="Tabletext"/>
              <w:jc w:val="center"/>
              <w:rPr>
                <w:szCs w:val="22"/>
                <w:lang w:val="en-US"/>
              </w:rPr>
            </w:pPr>
            <w:r w:rsidRPr="00BD6197">
              <w:rPr>
                <w:szCs w:val="22"/>
                <w:lang w:val="en-US"/>
              </w:rPr>
              <w:t>48</w:t>
            </w:r>
          </w:p>
        </w:tc>
        <w:tc>
          <w:tcPr>
            <w:tcW w:w="735" w:type="pct"/>
          </w:tcPr>
          <w:p w:rsidR="00831CFB" w:rsidRPr="00BD6197" w:rsidRDefault="00831CFB" w:rsidP="000F2BA7">
            <w:pPr>
              <w:pStyle w:val="Tabletext"/>
              <w:jc w:val="center"/>
              <w:rPr>
                <w:szCs w:val="22"/>
                <w:lang w:val="en-US"/>
              </w:rPr>
            </w:pPr>
            <w:r w:rsidRPr="00BD6197">
              <w:rPr>
                <w:szCs w:val="22"/>
                <w:lang w:val="en-US"/>
              </w:rPr>
              <w:t>52</w:t>
            </w:r>
          </w:p>
        </w:tc>
        <w:tc>
          <w:tcPr>
            <w:tcW w:w="793" w:type="pct"/>
          </w:tcPr>
          <w:p w:rsidR="00831CFB" w:rsidRPr="00BD6197" w:rsidRDefault="00831CFB" w:rsidP="000F2BA7">
            <w:pPr>
              <w:pStyle w:val="Tabletext"/>
              <w:jc w:val="center"/>
              <w:rPr>
                <w:szCs w:val="22"/>
                <w:lang w:val="en-US"/>
              </w:rPr>
            </w:pPr>
            <w:r w:rsidRPr="00BD6197">
              <w:rPr>
                <w:szCs w:val="22"/>
                <w:lang w:val="en-US"/>
              </w:rPr>
              <w:t>55</w:t>
            </w:r>
          </w:p>
        </w:tc>
        <w:tc>
          <w:tcPr>
            <w:tcW w:w="771" w:type="pct"/>
          </w:tcPr>
          <w:p w:rsidR="00831CFB" w:rsidRPr="00BD6197" w:rsidRDefault="00831CFB" w:rsidP="000F2BA7">
            <w:pPr>
              <w:pStyle w:val="Tabletext"/>
              <w:jc w:val="center"/>
              <w:rPr>
                <w:szCs w:val="22"/>
                <w:lang w:val="en-US"/>
              </w:rPr>
            </w:pPr>
            <w:r w:rsidRPr="00BD6197">
              <w:rPr>
                <w:szCs w:val="22"/>
                <w:lang w:val="en-US"/>
              </w:rPr>
              <w:t>65</w:t>
            </w:r>
          </w:p>
        </w:tc>
        <w:tc>
          <w:tcPr>
            <w:tcW w:w="559" w:type="pct"/>
          </w:tcPr>
          <w:p w:rsidR="00831CFB" w:rsidRPr="00BD6197" w:rsidRDefault="00831CFB" w:rsidP="000F2BA7">
            <w:pPr>
              <w:pStyle w:val="Tabletext"/>
              <w:jc w:val="center"/>
              <w:rPr>
                <w:szCs w:val="22"/>
                <w:lang w:val="en-US"/>
              </w:rPr>
            </w:pPr>
            <w:r w:rsidRPr="00BD6197">
              <w:rPr>
                <w:szCs w:val="22"/>
                <w:lang w:val="en-US"/>
              </w:rPr>
              <w:t>70</w:t>
            </w:r>
          </w:p>
        </w:tc>
        <w:tc>
          <w:tcPr>
            <w:tcW w:w="580" w:type="pct"/>
          </w:tcPr>
          <w:p w:rsidR="00831CFB" w:rsidRPr="00BD6197" w:rsidRDefault="00831CFB" w:rsidP="000F2BA7">
            <w:pPr>
              <w:pStyle w:val="Tabletext"/>
              <w:jc w:val="center"/>
              <w:rPr>
                <w:szCs w:val="22"/>
                <w:lang w:val="en-US"/>
              </w:rPr>
            </w:pPr>
            <w:r w:rsidRPr="00BD6197">
              <w:rPr>
                <w:szCs w:val="22"/>
                <w:lang w:val="en-US"/>
              </w:rPr>
              <w:t>54</w:t>
            </w:r>
          </w:p>
        </w:tc>
      </w:tr>
    </w:tbl>
    <w:p w:rsidR="00831CFB" w:rsidRPr="00BD6197" w:rsidRDefault="00831CFB" w:rsidP="00831CFB">
      <w:pPr>
        <w:pStyle w:val="Tablefin"/>
        <w:rPr>
          <w:lang w:val="en-US"/>
        </w:rPr>
      </w:pPr>
    </w:p>
    <w:p w:rsidR="00831CFB" w:rsidRPr="00BD6197" w:rsidRDefault="00831CFB" w:rsidP="00831CFB">
      <w:pPr>
        <w:rPr>
          <w:lang w:val="en-US"/>
        </w:rPr>
      </w:pPr>
      <w:r w:rsidRPr="00BD6197">
        <w:rPr>
          <w:lang w:val="en-US"/>
        </w:rPr>
        <w:t>e.r.p. is given as:</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r>
      <w:r w:rsidRPr="00BD6197">
        <w:rPr>
          <w:i/>
          <w:iCs/>
          <w:lang w:val="en-US"/>
        </w:rPr>
        <w:t>P</w:t>
      </w:r>
      <w:r w:rsidRPr="00BD6197">
        <w:rPr>
          <w:i/>
          <w:iCs/>
          <w:vertAlign w:val="subscript"/>
          <w:lang w:val="en-US"/>
        </w:rPr>
        <w:t>ef</w:t>
      </w:r>
      <w:r w:rsidRPr="00BD6197">
        <w:rPr>
          <w:lang w:val="en-US"/>
        </w:rPr>
        <w:t xml:space="preserve"> </w:t>
      </w:r>
      <w:r w:rsidRPr="00BD6197">
        <w:rPr>
          <w:rFonts w:ascii="Symbol" w:hAnsi="Symbol"/>
          <w:lang w:val="en-US"/>
        </w:rPr>
        <w:t></w:t>
      </w:r>
      <w:r w:rsidRPr="00BD6197">
        <w:rPr>
          <w:lang w:val="en-US"/>
        </w:rPr>
        <w:t xml:space="preserve"> </w:t>
      </w:r>
      <w:r w:rsidRPr="00BD6197">
        <w:rPr>
          <w:i/>
          <w:iCs/>
          <w:lang w:val="en-US"/>
        </w:rPr>
        <w:t>P</w:t>
      </w:r>
      <w:r w:rsidRPr="00BD6197">
        <w:rPr>
          <w:lang w:val="en-US"/>
        </w:rPr>
        <w:t xml:space="preserve"> </w:t>
      </w:r>
      <w:r w:rsidRPr="00BD6197">
        <w:rPr>
          <w:rFonts w:ascii="Symbol" w:hAnsi="Symbol"/>
          <w:lang w:val="en-US"/>
        </w:rPr>
        <w:t></w:t>
      </w:r>
      <w:r w:rsidRPr="00BD6197">
        <w:rPr>
          <w:lang w:val="en-US"/>
        </w:rPr>
        <w:t xml:space="preserve"> </w:t>
      </w:r>
      <w:r w:rsidRPr="00BD6197">
        <w:rPr>
          <w:i/>
          <w:iCs/>
          <w:lang w:val="en-US"/>
        </w:rPr>
        <w:t>G</w:t>
      </w:r>
      <w:r w:rsidRPr="00BD6197">
        <w:rPr>
          <w:i/>
          <w:iCs/>
          <w:vertAlign w:val="subscript"/>
          <w:lang w:val="en-US"/>
        </w:rPr>
        <w:t>t</w:t>
      </w:r>
      <w:r w:rsidRPr="00BD6197">
        <w:rPr>
          <w:lang w:val="en-US"/>
        </w:rPr>
        <w:t xml:space="preserve"> </w:t>
      </w:r>
      <w:r w:rsidRPr="00BD6197">
        <w:rPr>
          <w:rFonts w:ascii="Symbol" w:hAnsi="Symbol"/>
          <w:lang w:val="en-US"/>
        </w:rPr>
        <w:t></w:t>
      </w:r>
      <w:r w:rsidRPr="00BD6197">
        <w:rPr>
          <w:lang w:val="en-US"/>
        </w:rPr>
        <w:t xml:space="preserve"> </w:t>
      </w:r>
      <w:r w:rsidRPr="00BD6197">
        <w:rPr>
          <w:lang w:val="en-US"/>
        </w:rPr>
        <w:sym w:font="Symbol" w:char="F068"/>
      </w:r>
      <w:r w:rsidRPr="00BD6197">
        <w:rPr>
          <w:lang w:val="en-US"/>
        </w:rPr>
        <w:t>                dBW</w:t>
      </w:r>
      <w:r w:rsidRPr="00BD6197">
        <w:rPr>
          <w:lang w:val="en-US"/>
        </w:rPr>
        <w:tab/>
        <w:t>(29)</w:t>
      </w:r>
    </w:p>
    <w:p w:rsidR="00831CFB" w:rsidRPr="00BD6197" w:rsidRDefault="00831CFB" w:rsidP="00831CFB">
      <w:pPr>
        <w:keepNext/>
        <w:rPr>
          <w:lang w:val="en-US"/>
        </w:rPr>
      </w:pPr>
      <w:r w:rsidRPr="00BD6197">
        <w:rPr>
          <w:lang w:val="en-US"/>
        </w:rPr>
        <w:t>where:</w:t>
      </w:r>
    </w:p>
    <w:p w:rsidR="00831CFB" w:rsidRPr="00BD6197" w:rsidRDefault="00831CFB" w:rsidP="00831CFB">
      <w:pPr>
        <w:pStyle w:val="Equationlegend"/>
      </w:pPr>
      <w:r w:rsidRPr="00BD6197">
        <w:rPr>
          <w:i/>
          <w:iCs/>
        </w:rPr>
        <w:tab/>
        <w:t>P</w:t>
      </w:r>
      <w:r w:rsidRPr="00BD6197">
        <w:rPr>
          <w:rFonts w:ascii="Tms Rmn" w:hAnsi="Tms Rmn"/>
          <w:sz w:val="12"/>
        </w:rPr>
        <w:t> </w:t>
      </w:r>
      <w:r w:rsidRPr="00BD6197">
        <w:rPr>
          <w:i/>
          <w:iCs/>
        </w:rPr>
        <w:t>:</w:t>
      </w:r>
      <w:r w:rsidRPr="00BD6197">
        <w:rPr>
          <w:i/>
          <w:iCs/>
        </w:rPr>
        <w:tab/>
      </w:r>
      <w:r w:rsidRPr="00BD6197">
        <w:t>transmitter</w:t>
      </w:r>
      <w:r w:rsidRPr="00BD6197">
        <w:rPr>
          <w:i/>
          <w:iCs/>
        </w:rPr>
        <w:t xml:space="preserve"> </w:t>
      </w:r>
      <w:r w:rsidRPr="00BD6197">
        <w:t>power (dBW)</w:t>
      </w:r>
    </w:p>
    <w:p w:rsidR="00831CFB" w:rsidRPr="00BD6197" w:rsidRDefault="00831CFB" w:rsidP="00831CFB">
      <w:pPr>
        <w:pStyle w:val="Equationlegend"/>
      </w:pPr>
      <w:r w:rsidRPr="00BD6197">
        <w:rPr>
          <w:i/>
          <w:iCs/>
        </w:rPr>
        <w:tab/>
        <w:t>G</w:t>
      </w:r>
      <w:r w:rsidRPr="00BD6197">
        <w:rPr>
          <w:i/>
          <w:iCs/>
          <w:vertAlign w:val="subscript"/>
        </w:rPr>
        <w:t>t</w:t>
      </w:r>
      <w:r w:rsidRPr="00BD6197">
        <w:rPr>
          <w:rFonts w:ascii="Tms Rmn" w:hAnsi="Tms Rmn"/>
          <w:sz w:val="12"/>
        </w:rPr>
        <w:t> </w:t>
      </w:r>
      <w:r w:rsidRPr="00BD6197">
        <w:t>:</w:t>
      </w:r>
      <w:r w:rsidRPr="00BD6197">
        <w:tab/>
        <w:t xml:space="preserve">antenna gain </w:t>
      </w:r>
      <w:r>
        <w:t xml:space="preserve">relative to </w:t>
      </w:r>
      <w:r w:rsidRPr="00BD6197">
        <w:t>a half-wave dipole (dB)</w:t>
      </w:r>
    </w:p>
    <w:p w:rsidR="00831CFB" w:rsidRPr="00BD6197" w:rsidRDefault="00831CFB" w:rsidP="00831CFB">
      <w:pPr>
        <w:pStyle w:val="Equationlegend"/>
      </w:pPr>
      <w:r w:rsidRPr="00BD6197">
        <w:rPr>
          <w:i/>
          <w:iCs/>
        </w:rPr>
        <w:tab/>
      </w:r>
      <w:r w:rsidRPr="00BD6197">
        <w:sym w:font="Symbol" w:char="F068"/>
      </w:r>
      <w:r w:rsidRPr="00BD6197">
        <w:t xml:space="preserve"> </w:t>
      </w:r>
      <w:r w:rsidRPr="00BD6197">
        <w:rPr>
          <w:rFonts w:ascii="Symbol" w:hAnsi="Symbol"/>
        </w:rPr>
        <w:t></w:t>
      </w:r>
      <w:r w:rsidRPr="00BD6197">
        <w:rPr>
          <w:i/>
          <w:iCs/>
        </w:rPr>
        <w:tab/>
      </w:r>
      <w:r w:rsidRPr="00BD6197">
        <w:t>feeder losses (dB).</w:t>
      </w:r>
    </w:p>
    <w:p w:rsidR="00831CFB" w:rsidRPr="00BD6197" w:rsidRDefault="00831CFB" w:rsidP="00831CFB">
      <w:pPr>
        <w:rPr>
          <w:i/>
          <w:iCs/>
          <w:lang w:val="en-US"/>
        </w:rPr>
      </w:pPr>
      <w:r w:rsidRPr="00BD6197">
        <w:rPr>
          <w:lang w:val="en-US"/>
        </w:rPr>
        <w:t xml:space="preserve">For purposes of the given licence fees calculation model it is proposed to accept </w:t>
      </w:r>
      <w:r w:rsidRPr="00BD6197">
        <w:rPr>
          <w:lang w:val="en-US"/>
        </w:rPr>
        <w:sym w:font="Symbol" w:char="F068"/>
      </w:r>
      <w:r w:rsidRPr="00BD6197">
        <w:rPr>
          <w:lang w:val="en-US"/>
        </w:rPr>
        <w:t> </w:t>
      </w:r>
      <w:r w:rsidRPr="00BD6197">
        <w:rPr>
          <w:rFonts w:ascii="Symbol" w:hAnsi="Symbol"/>
          <w:lang w:val="en-US"/>
        </w:rPr>
        <w:t></w:t>
      </w:r>
      <w:r w:rsidRPr="00BD6197">
        <w:rPr>
          <w:lang w:val="en-US"/>
        </w:rPr>
        <w:t> 0</w:t>
      </w:r>
      <w:r w:rsidRPr="00BD6197">
        <w:rPr>
          <w:i/>
          <w:iCs/>
          <w:lang w:val="en-US"/>
        </w:rPr>
        <w:t xml:space="preserve"> </w:t>
      </w:r>
      <w:r w:rsidRPr="00BD6197">
        <w:rPr>
          <w:lang w:val="en-US"/>
        </w:rPr>
        <w:t>for all cases</w:t>
      </w:r>
      <w:r w:rsidRPr="00BD6197">
        <w:rPr>
          <w:i/>
          <w:iCs/>
          <w:lang w:val="en-US"/>
        </w:rPr>
        <w:t>.</w:t>
      </w:r>
    </w:p>
    <w:p w:rsidR="00831CFB" w:rsidRPr="00BD6197" w:rsidRDefault="00831CFB" w:rsidP="00831CFB">
      <w:pPr>
        <w:rPr>
          <w:lang w:val="en-US"/>
        </w:rPr>
      </w:pPr>
      <w:r w:rsidRPr="00BD6197">
        <w:rPr>
          <w:lang w:val="en-US"/>
        </w:rPr>
        <w:lastRenderedPageBreak/>
        <w:t>It is necessary to note, that under high power and low height antenna conditions and especially for lower frequencies, calculated service area radius exceeds the distance to radio horizon. As far as the quality of the service beyond the radio horizon is significantly decreases it means that excessive transmitter powers are used non-effectively. Relevant distances to radio horizon, when they are less than radiuses of service areas, are indicated by second figures in cells of Tables 4 to 6.</w:t>
      </w:r>
    </w:p>
    <w:p w:rsidR="00831CFB" w:rsidRPr="00BD6197" w:rsidRDefault="00831CFB" w:rsidP="00831CFB">
      <w:pPr>
        <w:rPr>
          <w:lang w:val="en-US"/>
        </w:rPr>
      </w:pPr>
      <w:r w:rsidRPr="00BD6197">
        <w:rPr>
          <w:lang w:val="en-US"/>
        </w:rPr>
        <w:t>It can be mentioned that data of Figs 2 and 3 without any re-scaling correspond to data of Tables 5 and 8 for rows belong to 30 dBW (as far as 1 kW equals 30 dBW). For example, distances which correspond to points indicated at curves of these figures and can be read along the abscise axis, are highlighted in related rows of Tables 5 to 8.</w:t>
      </w:r>
    </w:p>
    <w:p w:rsidR="00831CFB" w:rsidRPr="00BD6197" w:rsidRDefault="00831CFB" w:rsidP="00831CFB">
      <w:pPr>
        <w:pStyle w:val="FigureNo"/>
        <w:rPr>
          <w:lang w:val="en-US"/>
        </w:rPr>
      </w:pPr>
      <w:r w:rsidRPr="00BD6197">
        <w:rPr>
          <w:lang w:val="en-US"/>
        </w:rPr>
        <w:lastRenderedPageBreak/>
        <w:t>FIGURE 2</w:t>
      </w:r>
    </w:p>
    <w:p w:rsidR="00831CFB" w:rsidRPr="00BD6197" w:rsidRDefault="00831CFB" w:rsidP="00831CFB">
      <w:pPr>
        <w:pStyle w:val="Figuretitle"/>
        <w:rPr>
          <w:lang w:val="en-US"/>
        </w:rPr>
      </w:pPr>
      <w:r w:rsidRPr="00BD6197">
        <w:rPr>
          <w:lang w:val="en-US"/>
        </w:rPr>
        <w:t>Propagation curves for 30-300 MHz frequency band</w:t>
      </w:r>
    </w:p>
    <w:p w:rsidR="00831CFB" w:rsidRPr="00BD6197" w:rsidRDefault="00831CFB" w:rsidP="00831CFB">
      <w:pPr>
        <w:pStyle w:val="Figure"/>
        <w:rPr>
          <w:lang w:val="en-US"/>
        </w:rPr>
      </w:pPr>
      <w:r w:rsidRPr="00BD6197">
        <w:rPr>
          <w:lang w:val="en-US"/>
        </w:rPr>
        <w:object w:dxaOrig="8321" w:dyaOrig="11733">
          <v:shape id="_x0000_i1033" type="#_x0000_t75" style="width:457.5pt;height:642.75pt" o:ole="">
            <v:imagedata r:id="rId38" o:title=""/>
          </v:shape>
          <o:OLEObject Type="Embed" ProgID="CorelDRAW.Graphic.14" ShapeID="_x0000_i1033" DrawAspect="Content" ObjectID="_1604324987" r:id="rId39"/>
        </w:object>
      </w:r>
    </w:p>
    <w:p w:rsidR="00831CFB" w:rsidRPr="00BD6197" w:rsidRDefault="00831CFB" w:rsidP="00831CFB">
      <w:pPr>
        <w:pStyle w:val="FigureNo"/>
        <w:rPr>
          <w:lang w:val="en-US"/>
        </w:rPr>
      </w:pPr>
      <w:r w:rsidRPr="00BD6197">
        <w:rPr>
          <w:lang w:val="en-US"/>
        </w:rPr>
        <w:lastRenderedPageBreak/>
        <w:t>Figure 3</w:t>
      </w:r>
    </w:p>
    <w:p w:rsidR="00831CFB" w:rsidRPr="00BD6197" w:rsidRDefault="00831CFB" w:rsidP="00831CFB">
      <w:pPr>
        <w:pStyle w:val="Figuretitle"/>
        <w:rPr>
          <w:lang w:val="en-US"/>
        </w:rPr>
      </w:pPr>
      <w:r w:rsidRPr="00BD6197">
        <w:rPr>
          <w:lang w:val="en-US"/>
        </w:rPr>
        <w:t>Propagation curves for 300-1 000 MHz frequency band</w:t>
      </w:r>
    </w:p>
    <w:p w:rsidR="00831CFB" w:rsidRPr="00BD6197" w:rsidRDefault="00831CFB" w:rsidP="00831CFB">
      <w:pPr>
        <w:pStyle w:val="Figure"/>
        <w:rPr>
          <w:lang w:val="en-US"/>
        </w:rPr>
      </w:pPr>
      <w:r w:rsidRPr="00BD6197">
        <w:rPr>
          <w:lang w:val="en-US"/>
        </w:rPr>
        <w:object w:dxaOrig="8275" w:dyaOrig="11721">
          <v:shape id="_x0000_i1034" type="#_x0000_t75" style="width:457.5pt;height:645pt" o:ole="">
            <v:imagedata r:id="rId40" o:title=""/>
          </v:shape>
          <o:OLEObject Type="Embed" ProgID="CorelDRAW.Graphic.14" ShapeID="_x0000_i1034" DrawAspect="Content" ObjectID="_1604324988" r:id="rId41"/>
        </w:object>
      </w:r>
    </w:p>
    <w:p w:rsidR="00831CFB" w:rsidRPr="00BD6197" w:rsidRDefault="00831CFB" w:rsidP="00831CFB">
      <w:pPr>
        <w:pStyle w:val="TableNo"/>
        <w:rPr>
          <w:lang w:val="en-US"/>
        </w:rPr>
      </w:pPr>
      <w:r w:rsidRPr="00BD6197">
        <w:rPr>
          <w:lang w:val="en-US"/>
        </w:rPr>
        <w:lastRenderedPageBreak/>
        <w:t>TABLE 4</w:t>
      </w:r>
    </w:p>
    <w:p w:rsidR="00831CFB" w:rsidRPr="00BD6197" w:rsidRDefault="00831CFB" w:rsidP="00831CFB">
      <w:pPr>
        <w:pStyle w:val="Tabletitle"/>
        <w:rPr>
          <w:lang w:val="en-US"/>
        </w:rPr>
      </w:pPr>
      <w:r w:rsidRPr="00BD6197">
        <w:rPr>
          <w:lang w:val="en-US"/>
        </w:rPr>
        <w:t>Radius of service area (km) for TV below 76 MHz,</w:t>
      </w:r>
      <w:r w:rsidRPr="00BD6197">
        <w:rPr>
          <w:lang w:val="en-US"/>
        </w:rPr>
        <w:br/>
      </w:r>
      <w:r w:rsidRPr="00BD6197">
        <w:rPr>
          <w:i/>
          <w:iCs/>
          <w:lang w:val="en-US"/>
        </w:rPr>
        <w:t>E</w:t>
      </w:r>
      <w:r w:rsidRPr="00BD6197">
        <w:rPr>
          <w:i/>
          <w:iCs/>
          <w:vertAlign w:val="subscript"/>
          <w:lang w:val="en-US"/>
        </w:rPr>
        <w:t>mu</w:t>
      </w:r>
      <w:r w:rsidRPr="00BD6197">
        <w:rPr>
          <w:lang w:val="en-US"/>
        </w:rPr>
        <w:t xml:space="preserve"> = 48 dB(</w:t>
      </w:r>
      <w:r w:rsidRPr="00BD6197">
        <w:rPr>
          <w:lang w:val="en-US"/>
        </w:rPr>
        <w:sym w:font="Symbol" w:char="F06D"/>
      </w:r>
      <w:r w:rsidRPr="00BD6197">
        <w:rPr>
          <w:lang w:val="en-US"/>
        </w:rPr>
        <w:t xml:space="preserve">V/m), </w:t>
      </w:r>
      <w:r w:rsidRPr="00BD6197">
        <w:rPr>
          <w:i/>
          <w:iCs/>
          <w:lang w:val="en-US"/>
        </w:rPr>
        <w:t>f</w:t>
      </w:r>
      <w:r w:rsidRPr="00BD6197">
        <w:rPr>
          <w:i/>
          <w:iCs/>
          <w:vertAlign w:val="subscript"/>
          <w:lang w:val="en-US"/>
        </w:rPr>
        <w:t>c</w:t>
      </w:r>
      <w:r w:rsidRPr="00BD6197">
        <w:rPr>
          <w:lang w:val="en-US"/>
        </w:rPr>
        <w:t xml:space="preserve"> = 70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l2br w:val="single" w:sz="4" w:space="0" w:color="auto"/>
            </w:tcBorders>
            <w:vAlign w:val="center"/>
          </w:tcPr>
          <w:p w:rsidR="00831CFB" w:rsidRPr="00BD6197" w:rsidRDefault="00831CFB" w:rsidP="000F2BA7">
            <w:pPr>
              <w:pStyle w:val="Tablehead"/>
              <w:ind w:right="-397"/>
              <w:rPr>
                <w:sz w:val="18"/>
                <w:szCs w:val="18"/>
                <w:lang w:val="en-US"/>
              </w:rPr>
            </w:pPr>
            <w:r w:rsidRPr="00BD6197">
              <w:rPr>
                <w:i/>
                <w:iCs/>
                <w:sz w:val="18"/>
                <w:szCs w:val="18"/>
                <w:lang w:val="en-US"/>
              </w:rPr>
              <w:t>h</w:t>
            </w:r>
            <w:r w:rsidRPr="00BD6197">
              <w:rPr>
                <w:i/>
                <w:iCs/>
                <w:sz w:val="18"/>
                <w:szCs w:val="18"/>
                <w:vertAlign w:val="subscript"/>
                <w:lang w:val="en-US"/>
              </w:rPr>
              <w:t xml:space="preserve">ef </w:t>
            </w:r>
            <w:r w:rsidRPr="00BD6197">
              <w:rPr>
                <w:sz w:val="18"/>
                <w:szCs w:val="18"/>
                <w:lang w:val="en-US"/>
              </w:rPr>
              <w:t>(m)</w:t>
            </w:r>
          </w:p>
          <w:p w:rsidR="00831CFB" w:rsidRPr="00BD6197" w:rsidRDefault="00831CFB" w:rsidP="000F2BA7">
            <w:pPr>
              <w:pStyle w:val="Tablehead"/>
              <w:ind w:left="-113"/>
              <w:jc w:val="left"/>
              <w:rPr>
                <w:sz w:val="18"/>
                <w:szCs w:val="18"/>
                <w:lang w:val="en-US"/>
              </w:rPr>
            </w:pPr>
            <w:r w:rsidRPr="00BD6197">
              <w:rPr>
                <w:i/>
                <w:iCs/>
                <w:sz w:val="18"/>
                <w:szCs w:val="18"/>
                <w:lang w:val="en-US"/>
              </w:rPr>
              <w:t>P</w:t>
            </w:r>
            <w:r w:rsidRPr="00BD6197">
              <w:rPr>
                <w:i/>
                <w:iCs/>
                <w:sz w:val="18"/>
                <w:szCs w:val="18"/>
                <w:vertAlign w:val="subscript"/>
                <w:lang w:val="en-US"/>
              </w:rPr>
              <w:t>ef</w:t>
            </w:r>
            <w:r w:rsidRPr="00BD6197">
              <w:rPr>
                <w:rFonts w:ascii="Tms Rmn" w:hAnsi="Tms Rmn"/>
                <w:sz w:val="18"/>
                <w:szCs w:val="18"/>
                <w:vertAlign w:val="subscript"/>
                <w:lang w:val="en-US"/>
              </w:rPr>
              <w:t> </w:t>
            </w:r>
            <w:r w:rsidRPr="00BD6197">
              <w:rPr>
                <w:sz w:val="18"/>
                <w:szCs w:val="18"/>
                <w:lang w:val="en-US"/>
              </w:rPr>
              <w:t>(dBW)</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75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100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150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200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250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300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350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400</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500</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33</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37</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42</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47</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53</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58</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64</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70</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76</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82</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88</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95</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43.0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38/36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47/42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55/49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61/54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70/63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77/71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83/78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87/84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92/90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96/95</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103</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46.0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44/36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54/42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63/49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69/54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78/63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85/71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91/78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95/84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100/90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104/95</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caps/>
                <w:sz w:val="18"/>
                <w:szCs w:val="18"/>
                <w:lang w:val="en-US"/>
              </w:rPr>
            </w:pPr>
            <w:r w:rsidRPr="00BD6197">
              <w:rPr>
                <w:sz w:val="18"/>
                <w:szCs w:val="18"/>
                <w:lang w:val="en-US"/>
              </w:rPr>
              <w:t>112/</w:t>
            </w:r>
            <w:r w:rsidRPr="00BD6197">
              <w:rPr>
                <w:caps/>
                <w:sz w:val="18"/>
                <w:szCs w:val="18"/>
                <w:lang w:val="en-US"/>
              </w:rPr>
              <w:t>105</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54/36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65/42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73/49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80/54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89/63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97/71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102/78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107/84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112/90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117/95</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caps/>
                <w:sz w:val="18"/>
                <w:szCs w:val="18"/>
                <w:lang w:val="en-US"/>
              </w:rPr>
            </w:pPr>
            <w:r w:rsidRPr="00BD6197">
              <w:rPr>
                <w:sz w:val="18"/>
                <w:szCs w:val="18"/>
                <w:lang w:val="en-US"/>
              </w:rPr>
              <w:t>124/</w:t>
            </w:r>
            <w:r w:rsidRPr="00BD6197">
              <w:rPr>
                <w:caps/>
                <w:sz w:val="18"/>
                <w:szCs w:val="18"/>
                <w:lang w:val="en-US"/>
              </w:rPr>
              <w:t>105</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69/36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80/42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89/49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96/54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105/63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113/71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119/78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124/84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130/90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135/95</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caps/>
                <w:sz w:val="18"/>
                <w:szCs w:val="18"/>
                <w:lang w:val="en-US"/>
              </w:rPr>
            </w:pPr>
            <w:r w:rsidRPr="00BD6197">
              <w:rPr>
                <w:sz w:val="18"/>
                <w:szCs w:val="18"/>
                <w:lang w:val="en-US"/>
              </w:rPr>
              <w:t>143/</w:t>
            </w:r>
            <w:r w:rsidRPr="00BD6197">
              <w:rPr>
                <w:caps/>
                <w:sz w:val="18"/>
                <w:szCs w:val="18"/>
                <w:lang w:val="en-US"/>
              </w:rPr>
              <w:t>105</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88/36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100/42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108/49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115/54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125/63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134/71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140/78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145/84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152/90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157/95</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caps/>
                <w:sz w:val="18"/>
                <w:szCs w:val="18"/>
                <w:lang w:val="en-US"/>
              </w:rPr>
            </w:pPr>
            <w:r w:rsidRPr="00BD6197">
              <w:rPr>
                <w:sz w:val="18"/>
                <w:szCs w:val="18"/>
                <w:lang w:val="en-US"/>
              </w:rPr>
              <w:t>166/</w:t>
            </w:r>
            <w:r w:rsidRPr="00BD6197">
              <w:rPr>
                <w:caps/>
                <w:sz w:val="18"/>
                <w:szCs w:val="18"/>
                <w:lang w:val="en-US"/>
              </w:rPr>
              <w:t>105</w:t>
            </w:r>
          </w:p>
        </w:tc>
      </w:tr>
    </w:tbl>
    <w:p w:rsidR="00831CFB" w:rsidRPr="00BD6197" w:rsidRDefault="00831CFB" w:rsidP="00831CFB">
      <w:pPr>
        <w:pStyle w:val="Tablefin"/>
        <w:rPr>
          <w:lang w:val="en-US"/>
        </w:rPr>
      </w:pPr>
    </w:p>
    <w:p w:rsidR="00831CFB" w:rsidRPr="00BD6197" w:rsidRDefault="00831CFB" w:rsidP="00831CFB">
      <w:pPr>
        <w:pStyle w:val="TableNo"/>
        <w:rPr>
          <w:lang w:val="en-US"/>
        </w:rPr>
      </w:pPr>
      <w:r w:rsidRPr="00BD6197">
        <w:rPr>
          <w:lang w:val="en-US"/>
        </w:rPr>
        <w:t>TABLE 5</w:t>
      </w:r>
    </w:p>
    <w:p w:rsidR="00831CFB" w:rsidRPr="00BD6197" w:rsidRDefault="00831CFB" w:rsidP="00831CFB">
      <w:pPr>
        <w:pStyle w:val="Tabletitle"/>
        <w:rPr>
          <w:lang w:val="en-US"/>
        </w:rPr>
      </w:pPr>
      <w:r w:rsidRPr="00BD6197">
        <w:rPr>
          <w:lang w:val="en-US"/>
        </w:rPr>
        <w:t>Radius of service area (km) for TV in 76-108 MHz,</w:t>
      </w:r>
      <w:r w:rsidRPr="00BD6197">
        <w:rPr>
          <w:lang w:val="en-US"/>
        </w:rPr>
        <w:br/>
      </w:r>
      <w:r w:rsidRPr="00BD6197">
        <w:rPr>
          <w:i/>
          <w:iCs/>
          <w:lang w:val="en-US"/>
        </w:rPr>
        <w:t>E</w:t>
      </w:r>
      <w:r w:rsidRPr="00BD6197">
        <w:rPr>
          <w:i/>
          <w:iCs/>
          <w:vertAlign w:val="subscript"/>
          <w:lang w:val="en-US"/>
        </w:rPr>
        <w:t>mu</w:t>
      </w:r>
      <w:r w:rsidRPr="00BD6197">
        <w:rPr>
          <w:lang w:val="en-US"/>
        </w:rPr>
        <w:t xml:space="preserve"> </w:t>
      </w:r>
      <w:r w:rsidRPr="00BD6197">
        <w:rPr>
          <w:rFonts w:ascii="Symbol" w:hAnsi="Symbol"/>
          <w:lang w:val="en-US"/>
        </w:rPr>
        <w:t></w:t>
      </w:r>
      <w:r w:rsidRPr="00BD6197">
        <w:rPr>
          <w:lang w:val="en-US"/>
        </w:rPr>
        <w:t xml:space="preserve"> 52 dB(</w:t>
      </w:r>
      <w:r w:rsidRPr="00BD6197">
        <w:rPr>
          <w:rFonts w:ascii="Symbol" w:hAnsi="Symbol"/>
          <w:lang w:val="en-US"/>
        </w:rPr>
        <w:t></w:t>
      </w:r>
      <w:r w:rsidRPr="00BD6197">
        <w:rPr>
          <w:lang w:val="en-US"/>
        </w:rPr>
        <w:t xml:space="preserve">V/m), </w:t>
      </w:r>
      <w:r w:rsidRPr="00BD6197">
        <w:rPr>
          <w:i/>
          <w:iCs/>
          <w:lang w:val="en-US"/>
        </w:rPr>
        <w:t>f</w:t>
      </w:r>
      <w:r w:rsidRPr="00BD6197">
        <w:rPr>
          <w:i/>
          <w:iCs/>
          <w:vertAlign w:val="subscript"/>
          <w:lang w:val="en-US"/>
        </w:rPr>
        <w:t>c</w:t>
      </w:r>
      <w:r w:rsidRPr="00BD6197">
        <w:rPr>
          <w:lang w:val="en-US"/>
        </w:rPr>
        <w:t xml:space="preserve"> </w:t>
      </w:r>
      <w:r w:rsidRPr="00BD6197">
        <w:rPr>
          <w:rFonts w:ascii="Symbol" w:hAnsi="Symbol"/>
          <w:lang w:val="en-US"/>
        </w:rPr>
        <w:t></w:t>
      </w:r>
      <w:r w:rsidRPr="00BD6197">
        <w:rPr>
          <w:lang w:val="en-US"/>
        </w:rPr>
        <w:t xml:space="preserve"> 100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l2br w:val="single" w:sz="4" w:space="0" w:color="auto"/>
            </w:tcBorders>
            <w:vAlign w:val="center"/>
          </w:tcPr>
          <w:p w:rsidR="00831CFB" w:rsidRPr="00BD6197" w:rsidRDefault="00831CFB" w:rsidP="000F2BA7">
            <w:pPr>
              <w:pStyle w:val="Tablehead"/>
              <w:ind w:right="-397"/>
              <w:rPr>
                <w:sz w:val="18"/>
                <w:szCs w:val="18"/>
                <w:lang w:val="en-US"/>
              </w:rPr>
            </w:pPr>
            <w:r w:rsidRPr="00BD6197">
              <w:rPr>
                <w:i/>
                <w:iCs/>
                <w:sz w:val="18"/>
                <w:szCs w:val="18"/>
                <w:lang w:val="en-US"/>
              </w:rPr>
              <w:t>h</w:t>
            </w:r>
            <w:r w:rsidRPr="00BD6197">
              <w:rPr>
                <w:i/>
                <w:iCs/>
                <w:sz w:val="18"/>
                <w:szCs w:val="18"/>
                <w:vertAlign w:val="subscript"/>
                <w:lang w:val="en-US"/>
              </w:rPr>
              <w:t>ef</w:t>
            </w:r>
            <w:r w:rsidRPr="00BD6197">
              <w:rPr>
                <w:sz w:val="18"/>
                <w:szCs w:val="18"/>
                <w:lang w:val="en-US"/>
              </w:rPr>
              <w:t xml:space="preserve"> (m)</w:t>
            </w:r>
          </w:p>
          <w:p w:rsidR="00831CFB" w:rsidRPr="00BD6197" w:rsidRDefault="00831CFB" w:rsidP="000F2BA7">
            <w:pPr>
              <w:pStyle w:val="Tablehead"/>
              <w:ind w:left="-113" w:right="-340"/>
              <w:jc w:val="left"/>
              <w:rPr>
                <w:sz w:val="18"/>
                <w:szCs w:val="18"/>
                <w:lang w:val="en-US"/>
              </w:rPr>
            </w:pPr>
            <w:r w:rsidRPr="00BD6197">
              <w:rPr>
                <w:i/>
                <w:iCs/>
                <w:sz w:val="18"/>
                <w:szCs w:val="18"/>
                <w:lang w:val="en-US"/>
              </w:rPr>
              <w:t>P</w:t>
            </w:r>
            <w:r w:rsidRPr="00BD6197">
              <w:rPr>
                <w:i/>
                <w:iCs/>
                <w:sz w:val="18"/>
                <w:szCs w:val="18"/>
                <w:vertAlign w:val="subscript"/>
                <w:lang w:val="en-US"/>
              </w:rPr>
              <w:t>ef</w:t>
            </w:r>
            <w:r w:rsidRPr="00BD6197">
              <w:rPr>
                <w:rFonts w:ascii="Tms Rmn" w:hAnsi="Tms Rmn"/>
                <w:sz w:val="18"/>
                <w:szCs w:val="18"/>
                <w:vertAlign w:val="subscript"/>
                <w:lang w:val="en-US"/>
              </w:rPr>
              <w:t> </w:t>
            </w:r>
            <w:r w:rsidRPr="00BD6197">
              <w:rPr>
                <w:sz w:val="18"/>
                <w:szCs w:val="18"/>
                <w:lang w:val="en-US"/>
              </w:rPr>
              <w:t>(dBW)</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75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100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150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200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250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300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350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400</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500</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26</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30</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34</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39</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43</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48</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b/>
                <w:bCs/>
                <w:sz w:val="18"/>
                <w:szCs w:val="18"/>
                <w:lang w:val="en-US"/>
              </w:rPr>
            </w:pPr>
            <w:r w:rsidRPr="00BD6197">
              <w:rPr>
                <w:b/>
                <w:bCs/>
                <w:sz w:val="18"/>
                <w:szCs w:val="18"/>
                <w:lang w:val="en-US"/>
              </w:rPr>
              <w:t>30.0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b/>
                <w:bCs/>
                <w:sz w:val="18"/>
                <w:szCs w:val="18"/>
                <w:lang w:val="en-US"/>
              </w:rPr>
            </w:pPr>
            <w:r w:rsidRPr="00BD6197">
              <w:rPr>
                <w:b/>
                <w:bCs/>
                <w:sz w:val="18"/>
                <w:szCs w:val="18"/>
                <w:lang w:val="en-US"/>
              </w:rPr>
              <w:t>24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b/>
                <w:bCs/>
                <w:sz w:val="18"/>
                <w:szCs w:val="18"/>
                <w:lang w:val="en-US"/>
              </w:rPr>
            </w:pPr>
            <w:r w:rsidRPr="00BD6197">
              <w:rPr>
                <w:b/>
                <w:bCs/>
                <w:sz w:val="18"/>
                <w:szCs w:val="18"/>
                <w:lang w:val="en-US"/>
              </w:rPr>
              <w:t>33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b/>
                <w:bCs/>
                <w:sz w:val="18"/>
                <w:szCs w:val="18"/>
                <w:lang w:val="en-US"/>
              </w:rPr>
            </w:pPr>
            <w:r w:rsidRPr="00BD6197">
              <w:rPr>
                <w:b/>
                <w:bCs/>
                <w:sz w:val="18"/>
                <w:szCs w:val="18"/>
                <w:lang w:val="en-US"/>
              </w:rPr>
              <w:t>46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53</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59</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64</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70</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26.3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32.8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38.7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43.8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51.4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57.8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62.9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67.0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71.4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75.2</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81.7</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43.0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82</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89</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46.0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37/36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43/42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51/49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56/54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65/63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72/71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90</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97</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43/36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52/42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60/49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66/54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75/63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82/71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87/78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91/84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96/90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101/95</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108/105</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54/36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65/42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73/49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80/54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88/63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96/71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101/78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106/84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111/90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116/95</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123/105</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69/36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80/42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89/49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95/54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104/63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112/71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118/78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123/84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129/90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133/95</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141/105</w:t>
            </w:r>
          </w:p>
        </w:tc>
      </w:tr>
    </w:tbl>
    <w:p w:rsidR="00831CFB" w:rsidRPr="00BD6197" w:rsidRDefault="00831CFB" w:rsidP="00831CFB">
      <w:pPr>
        <w:pStyle w:val="Tablefin"/>
        <w:rPr>
          <w:lang w:val="en-US"/>
        </w:rPr>
      </w:pPr>
    </w:p>
    <w:p w:rsidR="00831CFB" w:rsidRPr="00BD6197" w:rsidRDefault="00831CFB" w:rsidP="00831CFB">
      <w:pPr>
        <w:tabs>
          <w:tab w:val="clear" w:pos="794"/>
          <w:tab w:val="clear" w:pos="1191"/>
          <w:tab w:val="clear" w:pos="1588"/>
          <w:tab w:val="clear" w:pos="1985"/>
        </w:tabs>
        <w:overflowPunct/>
        <w:autoSpaceDE/>
        <w:autoSpaceDN/>
        <w:adjustRightInd/>
        <w:spacing w:before="0"/>
        <w:textAlignment w:val="auto"/>
        <w:rPr>
          <w:caps/>
          <w:sz w:val="20"/>
          <w:lang w:val="en-US"/>
        </w:rPr>
      </w:pPr>
      <w:r w:rsidRPr="00BD6197">
        <w:rPr>
          <w:caps/>
          <w:sz w:val="20"/>
          <w:lang w:val="en-US"/>
        </w:rPr>
        <w:br w:type="page"/>
      </w:r>
    </w:p>
    <w:p w:rsidR="00831CFB" w:rsidRPr="00BD6197" w:rsidRDefault="00831CFB" w:rsidP="00831CFB">
      <w:pPr>
        <w:pStyle w:val="TableNo"/>
        <w:rPr>
          <w:lang w:val="en-US"/>
        </w:rPr>
      </w:pPr>
      <w:r w:rsidRPr="00BD6197">
        <w:rPr>
          <w:lang w:val="en-US"/>
        </w:rPr>
        <w:lastRenderedPageBreak/>
        <w:t>TABLE 6</w:t>
      </w:r>
    </w:p>
    <w:p w:rsidR="00831CFB" w:rsidRPr="00BD6197" w:rsidRDefault="00831CFB" w:rsidP="00831CFB">
      <w:pPr>
        <w:pStyle w:val="Tabletitle"/>
        <w:rPr>
          <w:lang w:val="en-US"/>
        </w:rPr>
      </w:pPr>
      <w:r w:rsidRPr="00BD6197">
        <w:rPr>
          <w:lang w:val="en-US"/>
        </w:rPr>
        <w:t>Radius of service area (km) for TV in 108-230 MHz,</w:t>
      </w:r>
      <w:r w:rsidRPr="00BD6197">
        <w:rPr>
          <w:lang w:val="en-US"/>
        </w:rPr>
        <w:br/>
      </w:r>
      <w:r w:rsidRPr="00BD6197">
        <w:rPr>
          <w:i/>
          <w:iCs/>
          <w:lang w:val="en-US"/>
        </w:rPr>
        <w:t>E</w:t>
      </w:r>
      <w:r w:rsidRPr="00BD6197">
        <w:rPr>
          <w:i/>
          <w:iCs/>
          <w:vertAlign w:val="subscript"/>
          <w:lang w:val="en-US"/>
        </w:rPr>
        <w:t>mu</w:t>
      </w:r>
      <w:r w:rsidRPr="00BD6197">
        <w:rPr>
          <w:lang w:val="en-US"/>
        </w:rPr>
        <w:t xml:space="preserve"> </w:t>
      </w:r>
      <w:r w:rsidRPr="00BD6197">
        <w:rPr>
          <w:rFonts w:ascii="Symbol" w:hAnsi="Symbol"/>
          <w:lang w:val="en-US"/>
        </w:rPr>
        <w:t></w:t>
      </w:r>
      <w:r w:rsidRPr="00BD6197">
        <w:rPr>
          <w:lang w:val="en-US"/>
        </w:rPr>
        <w:t xml:space="preserve"> 55 dB(</w:t>
      </w:r>
      <w:r w:rsidRPr="00BD6197">
        <w:rPr>
          <w:rFonts w:ascii="Symbol" w:hAnsi="Symbol"/>
          <w:lang w:val="en-US"/>
        </w:rPr>
        <w:t></w:t>
      </w:r>
      <w:r w:rsidRPr="00BD6197">
        <w:rPr>
          <w:lang w:val="en-US"/>
        </w:rPr>
        <w:t xml:space="preserve">V/m), </w:t>
      </w:r>
      <w:r w:rsidRPr="00BD6197">
        <w:rPr>
          <w:i/>
          <w:iCs/>
          <w:lang w:val="en-US"/>
        </w:rPr>
        <w:t>f</w:t>
      </w:r>
      <w:r w:rsidRPr="00BD6197">
        <w:rPr>
          <w:i/>
          <w:iCs/>
          <w:vertAlign w:val="subscript"/>
          <w:lang w:val="en-US"/>
        </w:rPr>
        <w:t>c</w:t>
      </w:r>
      <w:r w:rsidRPr="00BD6197">
        <w:rPr>
          <w:lang w:val="en-US"/>
        </w:rPr>
        <w:t xml:space="preserve"> </w:t>
      </w:r>
      <w:r w:rsidRPr="00BD6197">
        <w:rPr>
          <w:rFonts w:ascii="Symbol" w:hAnsi="Symbol"/>
          <w:lang w:val="en-US"/>
        </w:rPr>
        <w:t></w:t>
      </w:r>
      <w:r w:rsidRPr="00BD6197">
        <w:rPr>
          <w:lang w:val="en-US"/>
        </w:rPr>
        <w:t xml:space="preserve"> 150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l2br w:val="single" w:sz="4" w:space="0" w:color="auto"/>
            </w:tcBorders>
            <w:vAlign w:val="center"/>
          </w:tcPr>
          <w:p w:rsidR="00831CFB" w:rsidRPr="00BD6197" w:rsidRDefault="00831CFB" w:rsidP="000F2BA7">
            <w:pPr>
              <w:pStyle w:val="Tablehead"/>
              <w:ind w:right="-284"/>
              <w:rPr>
                <w:sz w:val="18"/>
                <w:szCs w:val="18"/>
                <w:lang w:val="en-US"/>
              </w:rPr>
            </w:pPr>
            <w:r w:rsidRPr="00BD6197">
              <w:rPr>
                <w:i/>
                <w:iCs/>
                <w:sz w:val="18"/>
                <w:szCs w:val="18"/>
                <w:lang w:val="en-US"/>
              </w:rPr>
              <w:t>h</w:t>
            </w:r>
            <w:r w:rsidRPr="00BD6197">
              <w:rPr>
                <w:i/>
                <w:iCs/>
                <w:sz w:val="18"/>
                <w:szCs w:val="18"/>
                <w:vertAlign w:val="subscript"/>
                <w:lang w:val="en-US"/>
              </w:rPr>
              <w:t>ef</w:t>
            </w:r>
            <w:r w:rsidRPr="00BD6197">
              <w:rPr>
                <w:sz w:val="18"/>
                <w:szCs w:val="18"/>
                <w:lang w:val="en-US"/>
              </w:rPr>
              <w:t xml:space="preserve"> (m)</w:t>
            </w:r>
          </w:p>
          <w:p w:rsidR="00831CFB" w:rsidRPr="00BD6197" w:rsidRDefault="00831CFB" w:rsidP="000F2BA7">
            <w:pPr>
              <w:pStyle w:val="Tablehead"/>
              <w:ind w:left="-113" w:right="-113"/>
              <w:jc w:val="left"/>
              <w:rPr>
                <w:sz w:val="18"/>
                <w:szCs w:val="18"/>
                <w:lang w:val="en-US"/>
              </w:rPr>
            </w:pPr>
            <w:r w:rsidRPr="00BD6197">
              <w:rPr>
                <w:i/>
                <w:iCs/>
                <w:sz w:val="18"/>
                <w:szCs w:val="18"/>
                <w:lang w:val="en-US"/>
              </w:rPr>
              <w:t>P</w:t>
            </w:r>
            <w:r w:rsidRPr="00BD6197">
              <w:rPr>
                <w:i/>
                <w:iCs/>
                <w:sz w:val="18"/>
                <w:szCs w:val="18"/>
                <w:vertAlign w:val="subscript"/>
                <w:lang w:val="en-US"/>
              </w:rPr>
              <w:t>ef</w:t>
            </w:r>
            <w:r w:rsidRPr="00BD6197">
              <w:rPr>
                <w:rFonts w:ascii="Tms Rmn" w:hAnsi="Tms Rmn"/>
                <w:sz w:val="18"/>
                <w:szCs w:val="18"/>
                <w:vertAlign w:val="subscript"/>
                <w:lang w:val="en-US"/>
              </w:rPr>
              <w:t> </w:t>
            </w:r>
            <w:r w:rsidRPr="00BD6197">
              <w:rPr>
                <w:sz w:val="18"/>
                <w:szCs w:val="18"/>
                <w:lang w:val="en-US"/>
              </w:rPr>
              <w:t>(dBW)</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75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100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150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200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250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300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350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400</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500</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22</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25</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29</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33</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37</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41</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45</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51</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55</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61</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65</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72</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43.0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72</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78</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46.0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79</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85</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36/36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43/42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50/49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56/54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64/63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89</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95</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50/36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54/42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62/49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68/54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76/63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83/71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88/78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93/84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97/90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102/95</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109/105</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57/36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67/42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75/49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81/54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90/63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97/71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103/78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107/84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113/90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117/95</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125/105</w:t>
            </w:r>
          </w:p>
        </w:tc>
      </w:tr>
    </w:tbl>
    <w:p w:rsidR="00831CFB" w:rsidRPr="00BD6197" w:rsidRDefault="00831CFB" w:rsidP="00831CFB">
      <w:pPr>
        <w:pStyle w:val="Tablefin"/>
        <w:rPr>
          <w:lang w:val="en-US"/>
        </w:rPr>
      </w:pPr>
    </w:p>
    <w:p w:rsidR="00831CFB" w:rsidRPr="00BD6197" w:rsidRDefault="00831CFB" w:rsidP="00831CFB">
      <w:pPr>
        <w:pStyle w:val="TableNo"/>
        <w:rPr>
          <w:lang w:val="en-US"/>
        </w:rPr>
      </w:pPr>
      <w:r w:rsidRPr="00BD6197">
        <w:rPr>
          <w:lang w:val="en-US"/>
        </w:rPr>
        <w:t>TABLE 7</w:t>
      </w:r>
    </w:p>
    <w:p w:rsidR="00831CFB" w:rsidRPr="00BD6197" w:rsidRDefault="00831CFB" w:rsidP="00831CFB">
      <w:pPr>
        <w:pStyle w:val="Tabletitle"/>
        <w:rPr>
          <w:lang w:val="en-US"/>
        </w:rPr>
      </w:pPr>
      <w:r w:rsidRPr="00BD6197">
        <w:rPr>
          <w:lang w:val="en-US"/>
        </w:rPr>
        <w:t>Radius of service area (km) for TV in 230-528 MHz,</w:t>
      </w:r>
      <w:r w:rsidRPr="00BD6197">
        <w:rPr>
          <w:lang w:val="en-US"/>
        </w:rPr>
        <w:br/>
      </w:r>
      <w:r w:rsidRPr="00BD6197">
        <w:rPr>
          <w:i/>
          <w:iCs/>
          <w:lang w:val="en-US"/>
        </w:rPr>
        <w:t>E</w:t>
      </w:r>
      <w:r w:rsidRPr="00BD6197">
        <w:rPr>
          <w:i/>
          <w:iCs/>
          <w:vertAlign w:val="subscript"/>
          <w:lang w:val="en-US"/>
        </w:rPr>
        <w:t>mu</w:t>
      </w:r>
      <w:r w:rsidRPr="00BD6197">
        <w:rPr>
          <w:lang w:val="en-US"/>
        </w:rPr>
        <w:t xml:space="preserve"> </w:t>
      </w:r>
      <w:r w:rsidRPr="00BD6197">
        <w:rPr>
          <w:rFonts w:ascii="Symbol" w:hAnsi="Symbol"/>
          <w:lang w:val="en-US"/>
        </w:rPr>
        <w:t></w:t>
      </w:r>
      <w:r w:rsidRPr="00BD6197">
        <w:rPr>
          <w:lang w:val="en-US"/>
        </w:rPr>
        <w:t xml:space="preserve"> 65 dB(</w:t>
      </w:r>
      <w:r w:rsidRPr="00BD6197">
        <w:rPr>
          <w:rFonts w:ascii="Symbol" w:hAnsi="Symbol"/>
          <w:lang w:val="en-US"/>
        </w:rPr>
        <w:t></w:t>
      </w:r>
      <w:r w:rsidRPr="00BD6197">
        <w:rPr>
          <w:lang w:val="en-US"/>
        </w:rPr>
        <w:t xml:space="preserve">V/m), </w:t>
      </w:r>
      <w:r w:rsidRPr="00BD6197">
        <w:rPr>
          <w:i/>
          <w:iCs/>
          <w:lang w:val="en-US"/>
        </w:rPr>
        <w:t>f</w:t>
      </w:r>
      <w:r w:rsidRPr="00BD6197">
        <w:rPr>
          <w:i/>
          <w:iCs/>
          <w:vertAlign w:val="subscript"/>
          <w:lang w:val="en-US"/>
        </w:rPr>
        <w:t>c</w:t>
      </w:r>
      <w:r w:rsidRPr="00BD6197">
        <w:rPr>
          <w:i/>
          <w:iCs/>
          <w:lang w:val="en-US"/>
        </w:rPr>
        <w:t xml:space="preserve"> </w:t>
      </w:r>
      <w:r w:rsidRPr="00BD6197">
        <w:rPr>
          <w:rFonts w:ascii="Symbol" w:hAnsi="Symbol"/>
          <w:iCs/>
          <w:lang w:val="en-US"/>
        </w:rPr>
        <w:t></w:t>
      </w:r>
      <w:r w:rsidRPr="00BD6197">
        <w:rPr>
          <w:i/>
          <w:iCs/>
          <w:lang w:val="en-US"/>
        </w:rPr>
        <w:t xml:space="preserve"> </w:t>
      </w:r>
      <w:r w:rsidRPr="00BD6197">
        <w:rPr>
          <w:lang w:val="en-US"/>
        </w:rPr>
        <w:t>250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l2br w:val="single" w:sz="4" w:space="0" w:color="auto"/>
            </w:tcBorders>
            <w:vAlign w:val="center"/>
          </w:tcPr>
          <w:p w:rsidR="00831CFB" w:rsidRPr="00BD6197" w:rsidRDefault="00831CFB" w:rsidP="000F2BA7">
            <w:pPr>
              <w:pStyle w:val="Tablehead"/>
              <w:ind w:right="-227"/>
              <w:rPr>
                <w:sz w:val="18"/>
                <w:szCs w:val="18"/>
                <w:lang w:val="en-US"/>
              </w:rPr>
            </w:pPr>
            <w:r w:rsidRPr="00BD6197">
              <w:rPr>
                <w:i/>
                <w:iCs/>
                <w:sz w:val="18"/>
                <w:szCs w:val="18"/>
                <w:lang w:val="en-US"/>
              </w:rPr>
              <w:t>h</w:t>
            </w:r>
            <w:r w:rsidRPr="00BD6197">
              <w:rPr>
                <w:i/>
                <w:iCs/>
                <w:sz w:val="18"/>
                <w:szCs w:val="18"/>
                <w:vertAlign w:val="subscript"/>
                <w:lang w:val="en-US"/>
              </w:rPr>
              <w:t>ef</w:t>
            </w:r>
            <w:r w:rsidRPr="00BD6197">
              <w:rPr>
                <w:sz w:val="18"/>
                <w:szCs w:val="18"/>
                <w:lang w:val="en-US"/>
              </w:rPr>
              <w:t xml:space="preserve"> (m)</w:t>
            </w:r>
          </w:p>
          <w:p w:rsidR="00831CFB" w:rsidRPr="00BD6197" w:rsidRDefault="00831CFB" w:rsidP="000F2BA7">
            <w:pPr>
              <w:pStyle w:val="Tablehead"/>
              <w:ind w:left="-113" w:right="-113"/>
              <w:jc w:val="left"/>
              <w:rPr>
                <w:sz w:val="18"/>
                <w:szCs w:val="18"/>
                <w:lang w:val="en-US"/>
              </w:rPr>
            </w:pPr>
            <w:r w:rsidRPr="00BD6197">
              <w:rPr>
                <w:i/>
                <w:iCs/>
                <w:sz w:val="18"/>
                <w:szCs w:val="18"/>
                <w:lang w:val="en-US"/>
              </w:rPr>
              <w:t>P</w:t>
            </w:r>
            <w:r w:rsidRPr="00BD6197">
              <w:rPr>
                <w:i/>
                <w:iCs/>
                <w:sz w:val="18"/>
                <w:szCs w:val="18"/>
                <w:vertAlign w:val="subscript"/>
                <w:lang w:val="en-US"/>
              </w:rPr>
              <w:t>ef</w:t>
            </w:r>
            <w:r w:rsidRPr="00BD6197">
              <w:rPr>
                <w:rFonts w:ascii="Tms Rmn" w:hAnsi="Tms Rmn"/>
                <w:sz w:val="18"/>
                <w:szCs w:val="18"/>
                <w:vertAlign w:val="subscript"/>
                <w:lang w:val="en-US"/>
              </w:rPr>
              <w:t> </w:t>
            </w:r>
            <w:r w:rsidRPr="00BD6197">
              <w:rPr>
                <w:sz w:val="18"/>
                <w:szCs w:val="18"/>
                <w:lang w:val="en-US"/>
              </w:rPr>
              <w:t>(dBW)</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75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100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150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200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250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300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350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400</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500</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11</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12</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15</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18</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21</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25</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28</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32</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36</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41</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44</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49</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43.0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49</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55</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46.0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55</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60</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62</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68</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73</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79</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84</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90</w:t>
            </w:r>
          </w:p>
        </w:tc>
      </w:tr>
    </w:tbl>
    <w:p w:rsidR="00831CFB" w:rsidRPr="00BD6197" w:rsidRDefault="00831CFB" w:rsidP="00831CFB">
      <w:pPr>
        <w:pStyle w:val="Tablefin"/>
        <w:rPr>
          <w:lang w:val="en-US"/>
        </w:rPr>
      </w:pPr>
    </w:p>
    <w:p w:rsidR="00831CFB" w:rsidRPr="00BD6197" w:rsidRDefault="00831CFB" w:rsidP="00831CFB">
      <w:pPr>
        <w:tabs>
          <w:tab w:val="clear" w:pos="794"/>
          <w:tab w:val="clear" w:pos="1191"/>
          <w:tab w:val="clear" w:pos="1588"/>
          <w:tab w:val="clear" w:pos="1985"/>
        </w:tabs>
        <w:overflowPunct/>
        <w:autoSpaceDE/>
        <w:autoSpaceDN/>
        <w:adjustRightInd/>
        <w:spacing w:before="0"/>
        <w:textAlignment w:val="auto"/>
        <w:rPr>
          <w:lang w:val="en-US"/>
        </w:rPr>
      </w:pPr>
      <w:r w:rsidRPr="00BD6197">
        <w:rPr>
          <w:lang w:val="en-US"/>
        </w:rPr>
        <w:br w:type="page"/>
      </w:r>
    </w:p>
    <w:p w:rsidR="00831CFB" w:rsidRPr="00BD6197" w:rsidRDefault="00831CFB" w:rsidP="00831CFB">
      <w:pPr>
        <w:pStyle w:val="TableNo"/>
        <w:rPr>
          <w:lang w:val="en-US"/>
        </w:rPr>
      </w:pPr>
      <w:r w:rsidRPr="00BD6197">
        <w:rPr>
          <w:lang w:val="en-US"/>
        </w:rPr>
        <w:lastRenderedPageBreak/>
        <w:t>TABLE 8</w:t>
      </w:r>
    </w:p>
    <w:p w:rsidR="00831CFB" w:rsidRPr="00BD6197" w:rsidRDefault="00831CFB" w:rsidP="00831CFB">
      <w:pPr>
        <w:pStyle w:val="Tabletitle"/>
        <w:rPr>
          <w:lang w:val="en-US"/>
        </w:rPr>
      </w:pPr>
      <w:r w:rsidRPr="00BD6197">
        <w:rPr>
          <w:lang w:val="en-US"/>
        </w:rPr>
        <w:t>Radius of service area (km) for TV above 528 MHz,</w:t>
      </w:r>
      <w:r w:rsidRPr="00BD6197">
        <w:rPr>
          <w:lang w:val="en-US"/>
        </w:rPr>
        <w:br/>
      </w:r>
      <w:r w:rsidRPr="00BD6197">
        <w:rPr>
          <w:i/>
          <w:iCs/>
          <w:lang w:val="en-US"/>
        </w:rPr>
        <w:t>E</w:t>
      </w:r>
      <w:r w:rsidRPr="00BD6197">
        <w:rPr>
          <w:i/>
          <w:iCs/>
          <w:vertAlign w:val="subscript"/>
          <w:lang w:val="en-US"/>
        </w:rPr>
        <w:t>mu</w:t>
      </w:r>
      <w:r w:rsidRPr="00BD6197">
        <w:rPr>
          <w:lang w:val="en-US"/>
        </w:rPr>
        <w:t xml:space="preserve"> </w:t>
      </w:r>
      <w:r w:rsidRPr="00BD6197">
        <w:rPr>
          <w:rFonts w:ascii="Symbol" w:hAnsi="Symbol"/>
          <w:lang w:val="en-US"/>
        </w:rPr>
        <w:t></w:t>
      </w:r>
      <w:r w:rsidRPr="00BD6197">
        <w:rPr>
          <w:lang w:val="en-US"/>
        </w:rPr>
        <w:t xml:space="preserve"> 70 dB(</w:t>
      </w:r>
      <w:r w:rsidRPr="00BD6197">
        <w:rPr>
          <w:rFonts w:ascii="Symbol" w:hAnsi="Symbol"/>
          <w:lang w:val="en-US"/>
        </w:rPr>
        <w:t></w:t>
      </w:r>
      <w:r w:rsidRPr="00BD6197">
        <w:rPr>
          <w:lang w:val="en-US"/>
        </w:rPr>
        <w:t xml:space="preserve">V/m), </w:t>
      </w:r>
      <w:r w:rsidRPr="00BD6197">
        <w:rPr>
          <w:i/>
          <w:iCs/>
          <w:lang w:val="en-US"/>
        </w:rPr>
        <w:t>f</w:t>
      </w:r>
      <w:r w:rsidRPr="00BD6197">
        <w:rPr>
          <w:i/>
          <w:iCs/>
          <w:vertAlign w:val="subscript"/>
          <w:lang w:val="en-US"/>
        </w:rPr>
        <w:t>c</w:t>
      </w:r>
      <w:r w:rsidRPr="00BD6197">
        <w:rPr>
          <w:lang w:val="en-US"/>
        </w:rPr>
        <w:t xml:space="preserve"> </w:t>
      </w:r>
      <w:r w:rsidRPr="00BD6197">
        <w:rPr>
          <w:rFonts w:ascii="Symbol" w:hAnsi="Symbol"/>
          <w:lang w:val="en-US"/>
        </w:rPr>
        <w:t></w:t>
      </w:r>
      <w:r w:rsidRPr="00BD6197">
        <w:rPr>
          <w:lang w:val="en-US"/>
        </w:rPr>
        <w:t xml:space="preserve"> 550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l2br w:val="single" w:sz="4" w:space="0" w:color="auto"/>
            </w:tcBorders>
            <w:vAlign w:val="center"/>
          </w:tcPr>
          <w:p w:rsidR="00831CFB" w:rsidRPr="00BD6197" w:rsidRDefault="00831CFB" w:rsidP="000F2BA7">
            <w:pPr>
              <w:pStyle w:val="Tablehead"/>
              <w:ind w:right="-340"/>
              <w:rPr>
                <w:sz w:val="18"/>
                <w:szCs w:val="18"/>
                <w:lang w:val="en-US"/>
              </w:rPr>
            </w:pPr>
            <w:r w:rsidRPr="00BD6197">
              <w:rPr>
                <w:i/>
                <w:iCs/>
                <w:sz w:val="18"/>
                <w:szCs w:val="18"/>
                <w:lang w:val="en-US"/>
              </w:rPr>
              <w:t>h</w:t>
            </w:r>
            <w:r w:rsidRPr="00BD6197">
              <w:rPr>
                <w:i/>
                <w:iCs/>
                <w:sz w:val="18"/>
                <w:szCs w:val="18"/>
                <w:vertAlign w:val="subscript"/>
                <w:lang w:val="en-US"/>
              </w:rPr>
              <w:t>ef</w:t>
            </w:r>
            <w:r w:rsidRPr="00BD6197">
              <w:rPr>
                <w:sz w:val="18"/>
                <w:szCs w:val="18"/>
                <w:lang w:val="en-US"/>
              </w:rPr>
              <w:t xml:space="preserve"> (m)</w:t>
            </w:r>
          </w:p>
          <w:p w:rsidR="00831CFB" w:rsidRPr="00BD6197" w:rsidRDefault="00831CFB" w:rsidP="000F2BA7">
            <w:pPr>
              <w:pStyle w:val="Tablehead"/>
              <w:ind w:left="-113"/>
              <w:jc w:val="left"/>
              <w:rPr>
                <w:sz w:val="18"/>
                <w:szCs w:val="18"/>
                <w:lang w:val="en-US"/>
              </w:rPr>
            </w:pPr>
            <w:r w:rsidRPr="00BD6197">
              <w:rPr>
                <w:i/>
                <w:iCs/>
                <w:sz w:val="18"/>
                <w:szCs w:val="18"/>
                <w:lang w:val="en-US"/>
              </w:rPr>
              <w:t>P</w:t>
            </w:r>
            <w:r w:rsidRPr="00BD6197">
              <w:rPr>
                <w:i/>
                <w:iCs/>
                <w:sz w:val="18"/>
                <w:szCs w:val="18"/>
                <w:vertAlign w:val="subscript"/>
                <w:lang w:val="en-US"/>
              </w:rPr>
              <w:t>ef</w:t>
            </w:r>
            <w:r w:rsidRPr="00BD6197">
              <w:rPr>
                <w:rFonts w:ascii="Tms Rmn" w:hAnsi="Tms Rmn"/>
                <w:sz w:val="18"/>
                <w:szCs w:val="18"/>
                <w:vertAlign w:val="subscript"/>
                <w:lang w:val="en-US"/>
              </w:rPr>
              <w:t> </w:t>
            </w:r>
            <w:r w:rsidRPr="00BD6197">
              <w:rPr>
                <w:sz w:val="18"/>
                <w:szCs w:val="18"/>
                <w:lang w:val="en-US"/>
              </w:rPr>
              <w:t>(dBW)</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75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100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150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200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250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300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350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400</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500</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11</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15</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17</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b/>
                <w:bCs/>
                <w:sz w:val="18"/>
                <w:szCs w:val="18"/>
                <w:lang w:val="en-US"/>
              </w:rPr>
            </w:pPr>
            <w:r w:rsidRPr="00BD6197">
              <w:rPr>
                <w:b/>
                <w:bCs/>
                <w:sz w:val="18"/>
                <w:szCs w:val="18"/>
                <w:lang w:val="en-US"/>
              </w:rPr>
              <w:t>30.0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b/>
                <w:bCs/>
                <w:sz w:val="18"/>
                <w:szCs w:val="18"/>
                <w:lang w:val="en-US"/>
              </w:rPr>
            </w:pPr>
            <w:r w:rsidRPr="00BD6197">
              <w:rPr>
                <w:b/>
                <w:bCs/>
                <w:sz w:val="18"/>
                <w:szCs w:val="18"/>
                <w:lang w:val="en-US"/>
              </w:rPr>
              <w:t>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b/>
                <w:bCs/>
                <w:sz w:val="18"/>
                <w:szCs w:val="18"/>
                <w:lang w:val="en-US"/>
              </w:rPr>
            </w:pPr>
            <w:r w:rsidRPr="00BD6197">
              <w:rPr>
                <w:b/>
                <w:bCs/>
                <w:sz w:val="18"/>
                <w:szCs w:val="18"/>
                <w:lang w:val="en-US"/>
              </w:rPr>
              <w:t>12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b/>
                <w:bCs/>
                <w:sz w:val="18"/>
                <w:szCs w:val="18"/>
                <w:lang w:val="en-US"/>
              </w:rPr>
            </w:pPr>
            <w:r w:rsidRPr="00BD6197">
              <w:rPr>
                <w:b/>
                <w:bCs/>
                <w:sz w:val="18"/>
                <w:szCs w:val="18"/>
                <w:lang w:val="en-US"/>
              </w:rPr>
              <w:t>17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21</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24</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27</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31</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35</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39</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43.0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39</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44</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46.0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44</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49</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50</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55</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58</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64</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67</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73</w:t>
            </w:r>
          </w:p>
        </w:tc>
      </w:tr>
    </w:tbl>
    <w:p w:rsidR="00831CFB" w:rsidRPr="00BD6197" w:rsidRDefault="00831CFB" w:rsidP="00831CFB">
      <w:pPr>
        <w:pStyle w:val="TableNo"/>
        <w:rPr>
          <w:lang w:val="en-US"/>
        </w:rPr>
      </w:pPr>
      <w:r w:rsidRPr="00BD6197">
        <w:rPr>
          <w:lang w:val="en-US"/>
        </w:rPr>
        <w:t>TABLE 9</w:t>
      </w:r>
    </w:p>
    <w:p w:rsidR="00831CFB" w:rsidRPr="00BD6197" w:rsidRDefault="00831CFB" w:rsidP="00831CFB">
      <w:pPr>
        <w:pStyle w:val="Tabletitle"/>
        <w:rPr>
          <w:lang w:val="en-US"/>
        </w:rPr>
      </w:pPr>
      <w:r w:rsidRPr="00BD6197">
        <w:rPr>
          <w:lang w:val="en-US"/>
        </w:rPr>
        <w:t>Radius of service area (km) for sound broadcasting below 108 MHz,</w:t>
      </w:r>
      <w:r w:rsidRPr="00BD6197">
        <w:rPr>
          <w:lang w:val="en-US"/>
        </w:rPr>
        <w:br/>
      </w:r>
      <w:r w:rsidRPr="00BD6197">
        <w:rPr>
          <w:i/>
          <w:iCs/>
          <w:lang w:val="en-US"/>
        </w:rPr>
        <w:t>E</w:t>
      </w:r>
      <w:r w:rsidRPr="00BD6197">
        <w:rPr>
          <w:i/>
          <w:iCs/>
          <w:vertAlign w:val="subscript"/>
          <w:lang w:val="en-US"/>
        </w:rPr>
        <w:t>mu</w:t>
      </w:r>
      <w:r w:rsidRPr="00BD6197">
        <w:rPr>
          <w:lang w:val="en-US"/>
        </w:rPr>
        <w:t xml:space="preserve"> </w:t>
      </w:r>
      <w:r w:rsidRPr="00BD6197">
        <w:rPr>
          <w:rFonts w:ascii="Symbol" w:hAnsi="Symbol"/>
          <w:lang w:val="en-US"/>
        </w:rPr>
        <w:t></w:t>
      </w:r>
      <w:r w:rsidRPr="00BD6197">
        <w:rPr>
          <w:lang w:val="en-US"/>
        </w:rPr>
        <w:t xml:space="preserve"> 54 dB(</w:t>
      </w:r>
      <w:r w:rsidRPr="00BD6197">
        <w:rPr>
          <w:rFonts w:ascii="Symbol" w:hAnsi="Symbol"/>
          <w:lang w:val="en-US"/>
        </w:rPr>
        <w:t></w:t>
      </w:r>
      <w:r w:rsidRPr="00BD6197">
        <w:rPr>
          <w:lang w:val="en-US"/>
        </w:rPr>
        <w:t xml:space="preserve">V/m), </w:t>
      </w:r>
      <w:r w:rsidRPr="00BD6197">
        <w:rPr>
          <w:i/>
          <w:iCs/>
          <w:lang w:val="en-US"/>
        </w:rPr>
        <w:t>f</w:t>
      </w:r>
      <w:r w:rsidRPr="00BD6197">
        <w:rPr>
          <w:i/>
          <w:iCs/>
          <w:vertAlign w:val="subscript"/>
          <w:lang w:val="en-US"/>
        </w:rPr>
        <w:t>c</w:t>
      </w:r>
      <w:r w:rsidRPr="00BD6197">
        <w:rPr>
          <w:lang w:val="en-US"/>
        </w:rPr>
        <w:t xml:space="preserve"> </w:t>
      </w:r>
      <w:r w:rsidRPr="00BD6197">
        <w:rPr>
          <w:rFonts w:ascii="Symbol" w:hAnsi="Symbol"/>
          <w:lang w:val="en-US"/>
        </w:rPr>
        <w:t></w:t>
      </w:r>
      <w:r w:rsidRPr="00BD6197">
        <w:rPr>
          <w:lang w:val="en-US"/>
        </w:rPr>
        <w:t xml:space="preserve"> 550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l2br w:val="single" w:sz="4" w:space="0" w:color="auto"/>
            </w:tcBorders>
            <w:vAlign w:val="center"/>
          </w:tcPr>
          <w:p w:rsidR="00831CFB" w:rsidRPr="00BD6197" w:rsidRDefault="00831CFB" w:rsidP="000F2BA7">
            <w:pPr>
              <w:pStyle w:val="Tablehead"/>
              <w:ind w:right="-397"/>
              <w:rPr>
                <w:sz w:val="18"/>
                <w:szCs w:val="18"/>
                <w:lang w:val="en-US"/>
              </w:rPr>
            </w:pPr>
            <w:r w:rsidRPr="00BD6197">
              <w:rPr>
                <w:i/>
                <w:iCs/>
                <w:sz w:val="18"/>
                <w:szCs w:val="18"/>
                <w:lang w:val="en-US"/>
              </w:rPr>
              <w:t>h</w:t>
            </w:r>
            <w:r w:rsidRPr="00BD6197">
              <w:rPr>
                <w:i/>
                <w:iCs/>
                <w:sz w:val="18"/>
                <w:szCs w:val="18"/>
                <w:vertAlign w:val="subscript"/>
                <w:lang w:val="en-US"/>
              </w:rPr>
              <w:t>ef</w:t>
            </w:r>
            <w:r w:rsidRPr="00BD6197">
              <w:rPr>
                <w:sz w:val="18"/>
                <w:szCs w:val="18"/>
                <w:lang w:val="en-US"/>
              </w:rPr>
              <w:t xml:space="preserve"> (m)</w:t>
            </w:r>
          </w:p>
          <w:p w:rsidR="00831CFB" w:rsidRPr="00BD6197" w:rsidRDefault="00831CFB" w:rsidP="000F2BA7">
            <w:pPr>
              <w:pStyle w:val="Tablehead"/>
              <w:ind w:left="-113"/>
              <w:jc w:val="left"/>
              <w:rPr>
                <w:sz w:val="18"/>
                <w:szCs w:val="18"/>
                <w:lang w:val="en-US"/>
              </w:rPr>
            </w:pPr>
            <w:r w:rsidRPr="00BD6197">
              <w:rPr>
                <w:i/>
                <w:iCs/>
                <w:sz w:val="18"/>
                <w:szCs w:val="18"/>
                <w:lang w:val="en-US"/>
              </w:rPr>
              <w:t>P</w:t>
            </w:r>
            <w:r w:rsidRPr="00BD6197">
              <w:rPr>
                <w:i/>
                <w:iCs/>
                <w:sz w:val="18"/>
                <w:szCs w:val="18"/>
                <w:vertAlign w:val="subscript"/>
                <w:lang w:val="en-US"/>
              </w:rPr>
              <w:t>ef</w:t>
            </w:r>
            <w:r w:rsidRPr="00BD6197">
              <w:rPr>
                <w:rFonts w:ascii="Tms Rmn" w:hAnsi="Tms Rmn"/>
                <w:sz w:val="18"/>
                <w:szCs w:val="18"/>
                <w:vertAlign w:val="subscript"/>
                <w:lang w:val="en-US"/>
              </w:rPr>
              <w:t> </w:t>
            </w:r>
            <w:r w:rsidRPr="00BD6197">
              <w:rPr>
                <w:sz w:val="18"/>
                <w:szCs w:val="18"/>
                <w:lang w:val="en-US"/>
              </w:rPr>
              <w:t>(dBW)</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75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100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150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200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250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300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350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400</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sz w:val="18"/>
                <w:szCs w:val="18"/>
                <w:lang w:val="en-US"/>
              </w:rPr>
            </w:pPr>
            <w:r w:rsidRPr="00BD6197">
              <w:rPr>
                <w:sz w:val="18"/>
                <w:szCs w:val="18"/>
                <w:lang w:val="en-US"/>
              </w:rPr>
              <w:t>500</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24</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27</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31</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35</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39</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44</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49</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54</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35.0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19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59</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65</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40.0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71</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77</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43.0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28</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65</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74</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78</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84</w:t>
            </w:r>
          </w:p>
        </w:tc>
      </w:tr>
      <w:tr w:rsidR="00831CFB" w:rsidRPr="00BD6197" w:rsidTr="000F2BA7">
        <w:trPr>
          <w:jc w:val="center"/>
        </w:trPr>
        <w:tc>
          <w:tcPr>
            <w:tcW w:w="1247"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46.0</w:t>
            </w:r>
          </w:p>
        </w:tc>
        <w:tc>
          <w:tcPr>
            <w:tcW w:w="70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33</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39</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46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52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60</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67</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72</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76</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81</w:t>
            </w:r>
          </w:p>
        </w:tc>
        <w:tc>
          <w:tcPr>
            <w:tcW w:w="765"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85</w:t>
            </w:r>
          </w:p>
        </w:tc>
        <w:tc>
          <w:tcPr>
            <w:tcW w:w="879"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 w:val="18"/>
                <w:szCs w:val="18"/>
                <w:lang w:val="en-US"/>
              </w:rPr>
            </w:pPr>
            <w:r w:rsidRPr="00BD6197">
              <w:rPr>
                <w:sz w:val="18"/>
                <w:szCs w:val="18"/>
                <w:lang w:val="en-US"/>
              </w:rPr>
              <w:t>92</w:t>
            </w:r>
          </w:p>
        </w:tc>
      </w:tr>
    </w:tbl>
    <w:p w:rsidR="00831CFB" w:rsidRPr="00BD6197" w:rsidRDefault="00831CFB" w:rsidP="00831CFB">
      <w:pPr>
        <w:pStyle w:val="Tablefin"/>
        <w:rPr>
          <w:lang w:val="en-US"/>
        </w:rPr>
      </w:pPr>
    </w:p>
    <w:p w:rsidR="00831CFB" w:rsidRPr="00BD6197" w:rsidRDefault="00831CFB" w:rsidP="00831CFB">
      <w:pPr>
        <w:pStyle w:val="Heading5"/>
        <w:rPr>
          <w:lang w:val="en-US"/>
        </w:rPr>
      </w:pPr>
      <w:r w:rsidRPr="00BD6197">
        <w:rPr>
          <w:lang w:val="en-US"/>
        </w:rPr>
        <w:t>b)</w:t>
      </w:r>
      <w:r w:rsidRPr="00BD6197">
        <w:rPr>
          <w:lang w:val="en-US"/>
        </w:rPr>
        <w:tab/>
        <w:t>Effective antenna height calculation</w:t>
      </w:r>
    </w:p>
    <w:p w:rsidR="00831CFB" w:rsidRPr="00BD6197" w:rsidRDefault="00831CFB" w:rsidP="00831CFB">
      <w:pPr>
        <w:rPr>
          <w:lang w:val="en-US"/>
        </w:rPr>
      </w:pPr>
      <w:r w:rsidRPr="00BD6197">
        <w:rPr>
          <w:lang w:val="en-US"/>
        </w:rPr>
        <w:t xml:space="preserve">It was already mentioned that the effective height of the transmitting antenna, </w:t>
      </w:r>
      <w:r w:rsidRPr="00BD6197">
        <w:rPr>
          <w:i/>
          <w:iCs/>
          <w:lang w:val="en-US"/>
        </w:rPr>
        <w:t>h</w:t>
      </w:r>
      <w:r w:rsidRPr="00BD6197">
        <w:rPr>
          <w:i/>
          <w:iCs/>
          <w:vertAlign w:val="subscript"/>
          <w:lang w:val="en-US"/>
        </w:rPr>
        <w:t>ef</w:t>
      </w:r>
      <w:r w:rsidRPr="00BD6197">
        <w:rPr>
          <w:lang w:val="en-US"/>
        </w:rPr>
        <w:t>, is determined as its height over the average level of the ground between distances of 3 km and 15 km from the transmitter in the direction of the receiver (see Fig. 4), i.e.:</w:t>
      </w:r>
    </w:p>
    <w:p w:rsidR="00831CFB" w:rsidRPr="00BD6197" w:rsidRDefault="00831CFB" w:rsidP="00831CFB">
      <w:pPr>
        <w:pStyle w:val="Equation"/>
        <w:rPr>
          <w:lang w:val="en-US"/>
        </w:rPr>
      </w:pPr>
      <w:r w:rsidRPr="00BD6197">
        <w:rPr>
          <w:lang w:val="en-US"/>
        </w:rPr>
        <w:tab/>
      </w:r>
      <w:r w:rsidRPr="00BD6197">
        <w:rPr>
          <w:lang w:val="en-US"/>
        </w:rPr>
        <w:tab/>
      </w:r>
      <w:r w:rsidRPr="00BD6197">
        <w:rPr>
          <w:i/>
          <w:iCs/>
          <w:lang w:val="en-US"/>
        </w:rPr>
        <w:t>h</w:t>
      </w:r>
      <w:r w:rsidRPr="00BD6197">
        <w:rPr>
          <w:i/>
          <w:iCs/>
          <w:vertAlign w:val="subscript"/>
          <w:lang w:val="en-US"/>
        </w:rPr>
        <w:t>ef</w:t>
      </w:r>
      <w:r w:rsidRPr="00BD6197">
        <w:rPr>
          <w:lang w:val="en-US"/>
        </w:rPr>
        <w:t xml:space="preserve"> </w:t>
      </w:r>
      <w:r w:rsidRPr="00BD6197">
        <w:rPr>
          <w:rFonts w:ascii="Tms Rmn" w:hAnsi="Tms Rmn"/>
          <w:sz w:val="12"/>
          <w:lang w:val="en-US"/>
        </w:rPr>
        <w:t> </w:t>
      </w:r>
      <w:r w:rsidRPr="00BD6197">
        <w:rPr>
          <w:rFonts w:ascii="Symbol" w:hAnsi="Symbol"/>
          <w:lang w:val="en-US"/>
        </w:rPr>
        <w:t></w:t>
      </w:r>
      <w:r w:rsidRPr="00BD6197">
        <w:rPr>
          <w:lang w:val="en-US"/>
        </w:rPr>
        <w:t xml:space="preserve"> </w:t>
      </w:r>
      <w:r w:rsidRPr="00BD6197">
        <w:rPr>
          <w:i/>
          <w:iCs/>
          <w:lang w:val="en-US"/>
        </w:rPr>
        <w:t>h</w:t>
      </w:r>
      <w:r w:rsidRPr="00BD6197">
        <w:rPr>
          <w:i/>
          <w:iCs/>
          <w:vertAlign w:val="subscript"/>
          <w:lang w:val="en-US"/>
        </w:rPr>
        <w:t>s</w:t>
      </w:r>
      <w:r w:rsidRPr="00BD6197">
        <w:rPr>
          <w:lang w:val="en-US"/>
        </w:rPr>
        <w:t xml:space="preserve"> – </w:t>
      </w:r>
      <w:r w:rsidRPr="00BD6197">
        <w:rPr>
          <w:i/>
          <w:iCs/>
          <w:lang w:val="en-US"/>
        </w:rPr>
        <w:t>h</w:t>
      </w:r>
      <w:r w:rsidRPr="00BD6197">
        <w:rPr>
          <w:i/>
          <w:iCs/>
          <w:vertAlign w:val="subscript"/>
          <w:lang w:val="en-US"/>
        </w:rPr>
        <w:t>av</w:t>
      </w:r>
      <w:r w:rsidRPr="00BD6197">
        <w:rPr>
          <w:lang w:val="en-US"/>
        </w:rPr>
        <w:tab/>
        <w:t>(30)</w:t>
      </w:r>
    </w:p>
    <w:p w:rsidR="00831CFB" w:rsidRPr="00BD6197" w:rsidRDefault="00831CFB" w:rsidP="00831CFB">
      <w:pPr>
        <w:rPr>
          <w:lang w:val="en-US"/>
        </w:rPr>
      </w:pPr>
      <w:r w:rsidRPr="00BD6197">
        <w:rPr>
          <w:lang w:val="en-US"/>
        </w:rPr>
        <w:t>where:</w:t>
      </w:r>
    </w:p>
    <w:p w:rsidR="00831CFB" w:rsidRPr="00BD6197" w:rsidRDefault="00831CFB" w:rsidP="00831CFB">
      <w:pPr>
        <w:pStyle w:val="Equationlegend"/>
      </w:pPr>
      <w:r w:rsidRPr="00BD6197">
        <w:rPr>
          <w:i/>
          <w:iCs/>
        </w:rPr>
        <w:tab/>
        <w:t>h</w:t>
      </w:r>
      <w:r w:rsidRPr="00BD6197">
        <w:rPr>
          <w:i/>
          <w:iCs/>
          <w:vertAlign w:val="subscript"/>
        </w:rPr>
        <w:t xml:space="preserve">s </w:t>
      </w:r>
      <w:r w:rsidRPr="00BD6197">
        <w:t>:</w:t>
      </w:r>
      <w:r w:rsidRPr="00BD6197">
        <w:tab/>
        <w:t>antenna height above the sea level (i.e. antenna mast height plus a height of the ground above the sea level at a place of installation)</w:t>
      </w:r>
    </w:p>
    <w:p w:rsidR="00831CFB" w:rsidRPr="00BD6197" w:rsidRDefault="00831CFB" w:rsidP="00831CFB">
      <w:pPr>
        <w:pStyle w:val="Equationlegend"/>
      </w:pPr>
      <w:r w:rsidRPr="00BD6197">
        <w:tab/>
      </w:r>
      <w:r w:rsidRPr="00BD6197">
        <w:rPr>
          <w:i/>
          <w:iCs/>
        </w:rPr>
        <w:t>h</w:t>
      </w:r>
      <w:r w:rsidRPr="00BD6197">
        <w:rPr>
          <w:i/>
          <w:iCs/>
          <w:vertAlign w:val="subscript"/>
        </w:rPr>
        <w:t>av</w:t>
      </w:r>
      <w:r w:rsidRPr="00BD6197">
        <w:rPr>
          <w:rFonts w:ascii="Tms Rmn" w:hAnsi="Tms Rmn"/>
          <w:sz w:val="12"/>
        </w:rPr>
        <w:t> </w:t>
      </w:r>
      <w:r w:rsidRPr="00BD6197">
        <w:t>:</w:t>
      </w:r>
      <w:r w:rsidRPr="00BD6197">
        <w:tab/>
        <w:t>average level of the ground between distances of 3 km and 15 km from the transmitter.</w:t>
      </w:r>
    </w:p>
    <w:p w:rsidR="00831CFB" w:rsidRPr="00BD6197" w:rsidRDefault="00831CFB" w:rsidP="00831CFB">
      <w:pPr>
        <w:rPr>
          <w:lang w:val="en-US"/>
        </w:rPr>
      </w:pPr>
      <w:r w:rsidRPr="00BD6197">
        <w:rPr>
          <w:lang w:val="en-US"/>
        </w:rPr>
        <w:t xml:space="preserve">It is essential to take into account not physical (mast height) but effective antenna height because antennas are frequently installed at tops of hills which heights can be comparable or even more than a mast height (see Fig. 4). Average level of the ground between distances of 3 km and 15 km from </w:t>
      </w:r>
      <w:r w:rsidRPr="00BD6197">
        <w:rPr>
          <w:lang w:val="en-US"/>
        </w:rPr>
        <w:lastRenderedPageBreak/>
        <w:t>the transmitter is calculated with relevant terrain maps (preferably having scales 1:200 000 of 1:500 000). Using the map readouts of the ground height along some direction should be taken through each 1 or 2 km between distances of 3 km and 15 km from the transmitter and an average level is calculated as a sum of all readouts divided by their number. For further cases of calculating effective height, refer to Annex 5 of Recommendation ITU</w:t>
      </w:r>
      <w:r w:rsidRPr="00BD6197">
        <w:rPr>
          <w:lang w:val="en-US"/>
        </w:rPr>
        <w:noBreakHyphen/>
        <w:t>R P.1546-4.</w:t>
      </w:r>
    </w:p>
    <w:p w:rsidR="00831CFB" w:rsidRPr="00BD6197" w:rsidRDefault="00831CFB" w:rsidP="00831CFB">
      <w:pPr>
        <w:pStyle w:val="FigureNo"/>
        <w:rPr>
          <w:lang w:val="en-US"/>
        </w:rPr>
      </w:pPr>
      <w:r w:rsidRPr="00BD6197">
        <w:rPr>
          <w:lang w:val="en-US"/>
        </w:rPr>
        <w:t>FIGURE 4</w:t>
      </w:r>
    </w:p>
    <w:p w:rsidR="00831CFB" w:rsidRPr="00BD6197" w:rsidRDefault="00831CFB" w:rsidP="00831CFB">
      <w:pPr>
        <w:pStyle w:val="Figuretitle"/>
        <w:rPr>
          <w:lang w:val="en-US"/>
        </w:rPr>
      </w:pPr>
      <w:r w:rsidRPr="00BD6197">
        <w:rPr>
          <w:lang w:val="en-US"/>
        </w:rPr>
        <w:t>Determination of antenna effective height</w:t>
      </w:r>
    </w:p>
    <w:p w:rsidR="00831CFB" w:rsidRPr="00BD6197" w:rsidRDefault="00831CFB" w:rsidP="00831CFB">
      <w:pPr>
        <w:pStyle w:val="Figure"/>
        <w:rPr>
          <w:lang w:val="en-US"/>
        </w:rPr>
      </w:pPr>
      <w:r w:rsidRPr="00BD6197">
        <w:rPr>
          <w:lang w:val="en-US"/>
        </w:rPr>
        <w:object w:dxaOrig="7350" w:dyaOrig="3935">
          <v:shape id="_x0000_i1035" type="#_x0000_t75" style="width:416.25pt;height:222pt" o:ole="">
            <v:imagedata r:id="rId42" o:title=""/>
          </v:shape>
          <o:OLEObject Type="Embed" ProgID="CorelDRAW.Graphic.14" ShapeID="_x0000_i1035" DrawAspect="Content" ObjectID="_1604324989" r:id="rId43"/>
        </w:object>
      </w:r>
    </w:p>
    <w:p w:rsidR="00831CFB" w:rsidRPr="00BD6197" w:rsidRDefault="00831CFB" w:rsidP="00831CFB">
      <w:pPr>
        <w:rPr>
          <w:lang w:val="en-US"/>
        </w:rPr>
      </w:pPr>
      <w:r w:rsidRPr="00BD6197">
        <w:rPr>
          <w:lang w:val="en-US"/>
        </w:rPr>
        <w:t>It is obvious that even for non-directional transmitting antenna used, a real service area usually will not be a circular one as far as average levels of the ground between distances of 3 km and 15 km from the transmitter in various directions will be different and, therefore, relevant antenna effective heights will be also different. Nevertheless, for the purposes of the given licence fees calculation model it is assumed to be a circular one based on antenna effective height calculation in one direction.</w:t>
      </w:r>
    </w:p>
    <w:p w:rsidR="00831CFB" w:rsidRPr="00BD6197" w:rsidRDefault="00831CFB" w:rsidP="00831CFB">
      <w:pPr>
        <w:rPr>
          <w:lang w:val="en-US"/>
        </w:rPr>
      </w:pPr>
      <w:r w:rsidRPr="00BD6197">
        <w:rPr>
          <w:lang w:val="en-US"/>
        </w:rPr>
        <w:t>If an administration likes to increase accuracy of calculations in cases of a rather variable terrain profiles in different directions from antenna, an average value of antenna effective height can be calculates according to its four values in the North, East, South and West directions from the antenna. Example of calculations is presented in Table 10.</w:t>
      </w:r>
    </w:p>
    <w:p w:rsidR="00831CFB" w:rsidRPr="00BD6197" w:rsidRDefault="00831CFB" w:rsidP="00831CFB">
      <w:pPr>
        <w:tabs>
          <w:tab w:val="clear" w:pos="794"/>
          <w:tab w:val="clear" w:pos="1191"/>
          <w:tab w:val="clear" w:pos="1588"/>
          <w:tab w:val="clear" w:pos="1985"/>
        </w:tabs>
        <w:overflowPunct/>
        <w:autoSpaceDE/>
        <w:autoSpaceDN/>
        <w:adjustRightInd/>
        <w:spacing w:before="0"/>
        <w:textAlignment w:val="auto"/>
        <w:rPr>
          <w:lang w:val="en-US"/>
        </w:rPr>
      </w:pPr>
      <w:r w:rsidRPr="00BD6197">
        <w:rPr>
          <w:lang w:val="en-US"/>
        </w:rPr>
        <w:br w:type="page"/>
      </w:r>
    </w:p>
    <w:p w:rsidR="00831CFB" w:rsidRPr="00BD6197" w:rsidRDefault="00831CFB" w:rsidP="00831CFB">
      <w:pPr>
        <w:pStyle w:val="TableNo"/>
        <w:rPr>
          <w:lang w:val="en-US"/>
        </w:rPr>
      </w:pPr>
      <w:r w:rsidRPr="00BD6197">
        <w:rPr>
          <w:lang w:val="en-US"/>
        </w:rPr>
        <w:lastRenderedPageBreak/>
        <w:t>TABLE 10</w:t>
      </w:r>
    </w:p>
    <w:p w:rsidR="00831CFB" w:rsidRPr="00BD6197" w:rsidRDefault="00831CFB" w:rsidP="00831CFB">
      <w:pPr>
        <w:pStyle w:val="Tabletitle"/>
        <w:rPr>
          <w:lang w:val="en-US"/>
        </w:rPr>
      </w:pPr>
      <w:r w:rsidRPr="00BD6197">
        <w:rPr>
          <w:lang w:val="en-US"/>
        </w:rPr>
        <w:t>Example of effective antenna height calculation for a case of non-regular terrain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7"/>
        <w:gridCol w:w="3902"/>
        <w:gridCol w:w="1262"/>
        <w:gridCol w:w="1262"/>
        <w:gridCol w:w="1262"/>
        <w:gridCol w:w="1264"/>
      </w:tblGrid>
      <w:tr w:rsidR="00831CFB" w:rsidRPr="00D17B5B" w:rsidTr="000F2BA7">
        <w:trPr>
          <w:jc w:val="center"/>
        </w:trPr>
        <w:tc>
          <w:tcPr>
            <w:tcW w:w="687" w:type="dxa"/>
            <w:vMerge w:val="restart"/>
            <w:vAlign w:val="center"/>
          </w:tcPr>
          <w:p w:rsidR="00831CFB" w:rsidRPr="00BD6197" w:rsidRDefault="00831CFB" w:rsidP="000F2BA7">
            <w:pPr>
              <w:pStyle w:val="Tablehead"/>
              <w:rPr>
                <w:lang w:val="en-US"/>
              </w:rPr>
            </w:pPr>
            <w:r w:rsidRPr="00BD6197">
              <w:rPr>
                <w:lang w:val="en-US"/>
              </w:rPr>
              <w:t>No.</w:t>
            </w:r>
          </w:p>
        </w:tc>
        <w:tc>
          <w:tcPr>
            <w:tcW w:w="3902" w:type="dxa"/>
            <w:vMerge w:val="restart"/>
            <w:vAlign w:val="center"/>
          </w:tcPr>
          <w:p w:rsidR="00831CFB" w:rsidRPr="00BD6197" w:rsidRDefault="00831CFB" w:rsidP="000F2BA7">
            <w:pPr>
              <w:pStyle w:val="Tablehead"/>
              <w:rPr>
                <w:lang w:val="en-US"/>
              </w:rPr>
            </w:pPr>
            <w:r w:rsidRPr="00BD6197">
              <w:rPr>
                <w:lang w:val="en-US"/>
              </w:rPr>
              <w:t>Distance of readout from antenna</w:t>
            </w:r>
            <w:r w:rsidRPr="00BD6197">
              <w:rPr>
                <w:lang w:val="en-US"/>
              </w:rPr>
              <w:br/>
              <w:t>(km)</w:t>
            </w:r>
          </w:p>
        </w:tc>
        <w:tc>
          <w:tcPr>
            <w:tcW w:w="5050" w:type="dxa"/>
            <w:gridSpan w:val="4"/>
            <w:vAlign w:val="center"/>
          </w:tcPr>
          <w:p w:rsidR="00831CFB" w:rsidRPr="00BD6197" w:rsidRDefault="00831CFB" w:rsidP="000F2BA7">
            <w:pPr>
              <w:pStyle w:val="Tablehead"/>
              <w:rPr>
                <w:lang w:val="en-US"/>
              </w:rPr>
            </w:pPr>
            <w:r w:rsidRPr="00BD6197">
              <w:rPr>
                <w:lang w:val="en-US"/>
              </w:rPr>
              <w:t>Readouts of ground heights</w:t>
            </w:r>
            <w:r w:rsidRPr="00BD6197">
              <w:rPr>
                <w:lang w:val="en-US"/>
              </w:rPr>
              <w:br/>
              <w:t>(m)</w:t>
            </w:r>
          </w:p>
        </w:tc>
      </w:tr>
      <w:tr w:rsidR="00831CFB" w:rsidRPr="00BD6197" w:rsidTr="000F2BA7">
        <w:trPr>
          <w:jc w:val="center"/>
        </w:trPr>
        <w:tc>
          <w:tcPr>
            <w:tcW w:w="687" w:type="dxa"/>
            <w:vMerge/>
            <w:vAlign w:val="center"/>
          </w:tcPr>
          <w:p w:rsidR="00831CFB" w:rsidRPr="00BD6197" w:rsidRDefault="00831CFB" w:rsidP="000F2BA7">
            <w:pPr>
              <w:pStyle w:val="Tablehead"/>
              <w:rPr>
                <w:lang w:val="en-US"/>
              </w:rPr>
            </w:pPr>
          </w:p>
        </w:tc>
        <w:tc>
          <w:tcPr>
            <w:tcW w:w="3902" w:type="dxa"/>
            <w:vMerge/>
            <w:vAlign w:val="center"/>
          </w:tcPr>
          <w:p w:rsidR="00831CFB" w:rsidRPr="00BD6197" w:rsidRDefault="00831CFB" w:rsidP="000F2BA7">
            <w:pPr>
              <w:pStyle w:val="Tablehead"/>
              <w:rPr>
                <w:lang w:val="en-US"/>
              </w:rPr>
            </w:pPr>
          </w:p>
        </w:tc>
        <w:tc>
          <w:tcPr>
            <w:tcW w:w="1262" w:type="dxa"/>
          </w:tcPr>
          <w:p w:rsidR="00831CFB" w:rsidRPr="00BD6197" w:rsidRDefault="00831CFB" w:rsidP="000F2BA7">
            <w:pPr>
              <w:pStyle w:val="Tablehead"/>
              <w:rPr>
                <w:lang w:val="en-US"/>
              </w:rPr>
            </w:pPr>
            <w:r w:rsidRPr="00BD6197">
              <w:rPr>
                <w:lang w:val="en-US"/>
              </w:rPr>
              <w:t>North</w:t>
            </w:r>
          </w:p>
        </w:tc>
        <w:tc>
          <w:tcPr>
            <w:tcW w:w="1262" w:type="dxa"/>
          </w:tcPr>
          <w:p w:rsidR="00831CFB" w:rsidRPr="00BD6197" w:rsidRDefault="00831CFB" w:rsidP="000F2BA7">
            <w:pPr>
              <w:pStyle w:val="Tablehead"/>
              <w:rPr>
                <w:lang w:val="en-US"/>
              </w:rPr>
            </w:pPr>
            <w:r w:rsidRPr="00BD6197">
              <w:rPr>
                <w:lang w:val="en-US"/>
              </w:rPr>
              <w:t>South</w:t>
            </w:r>
          </w:p>
        </w:tc>
        <w:tc>
          <w:tcPr>
            <w:tcW w:w="1262" w:type="dxa"/>
          </w:tcPr>
          <w:p w:rsidR="00831CFB" w:rsidRPr="00BD6197" w:rsidRDefault="00831CFB" w:rsidP="000F2BA7">
            <w:pPr>
              <w:pStyle w:val="Tablehead"/>
              <w:rPr>
                <w:lang w:val="en-US"/>
              </w:rPr>
            </w:pPr>
            <w:r w:rsidRPr="00BD6197">
              <w:rPr>
                <w:lang w:val="en-US"/>
              </w:rPr>
              <w:t>East</w:t>
            </w:r>
          </w:p>
        </w:tc>
        <w:tc>
          <w:tcPr>
            <w:tcW w:w="1264" w:type="dxa"/>
          </w:tcPr>
          <w:p w:rsidR="00831CFB" w:rsidRPr="00BD6197" w:rsidRDefault="00831CFB" w:rsidP="000F2BA7">
            <w:pPr>
              <w:pStyle w:val="Tablehead"/>
              <w:rPr>
                <w:lang w:val="en-US"/>
              </w:rPr>
            </w:pPr>
            <w:r w:rsidRPr="00BD6197">
              <w:rPr>
                <w:lang w:val="en-US"/>
              </w:rPr>
              <w:t>West</w:t>
            </w:r>
          </w:p>
        </w:tc>
      </w:tr>
      <w:tr w:rsidR="00831CFB" w:rsidRPr="00BD6197" w:rsidTr="000F2BA7">
        <w:trPr>
          <w:jc w:val="center"/>
        </w:trPr>
        <w:tc>
          <w:tcPr>
            <w:tcW w:w="687" w:type="dxa"/>
          </w:tcPr>
          <w:p w:rsidR="00831CFB" w:rsidRPr="00BD6197" w:rsidRDefault="00831CFB" w:rsidP="000F2BA7">
            <w:pPr>
              <w:pStyle w:val="Tabletext"/>
              <w:rPr>
                <w:lang w:val="en-US"/>
              </w:rPr>
            </w:pPr>
            <w:r w:rsidRPr="00BD6197">
              <w:rPr>
                <w:lang w:val="en-US"/>
              </w:rPr>
              <w:t>1</w:t>
            </w:r>
          </w:p>
        </w:tc>
        <w:tc>
          <w:tcPr>
            <w:tcW w:w="3902" w:type="dxa"/>
          </w:tcPr>
          <w:p w:rsidR="00831CFB" w:rsidRPr="00BD6197" w:rsidRDefault="00831CFB" w:rsidP="000F2BA7">
            <w:pPr>
              <w:pStyle w:val="Tabletext"/>
              <w:jc w:val="center"/>
              <w:rPr>
                <w:lang w:val="en-US"/>
              </w:rPr>
            </w:pPr>
            <w:r w:rsidRPr="00BD6197">
              <w:rPr>
                <w:lang w:val="en-US"/>
              </w:rPr>
              <w:t>3</w:t>
            </w:r>
          </w:p>
        </w:tc>
        <w:tc>
          <w:tcPr>
            <w:tcW w:w="1262" w:type="dxa"/>
          </w:tcPr>
          <w:p w:rsidR="00831CFB" w:rsidRPr="00BD6197" w:rsidRDefault="00831CFB" w:rsidP="000F2BA7">
            <w:pPr>
              <w:pStyle w:val="Tabletext"/>
              <w:jc w:val="center"/>
              <w:rPr>
                <w:lang w:val="en-US"/>
              </w:rPr>
            </w:pPr>
            <w:r w:rsidRPr="00BD6197">
              <w:rPr>
                <w:lang w:val="en-US"/>
              </w:rPr>
              <w:fldChar w:fldCharType="begin"/>
            </w:r>
            <w:r w:rsidRPr="00BD6197">
              <w:rPr>
                <w:lang w:val="en-US"/>
              </w:rPr>
              <w:instrText xml:space="preserve"> SUM(down) \# "# ##0" </w:instrText>
            </w:r>
            <w:r w:rsidRPr="00BD6197">
              <w:rPr>
                <w:lang w:val="en-US"/>
              </w:rPr>
              <w:fldChar w:fldCharType="end"/>
            </w:r>
            <w:r w:rsidRPr="00BD6197">
              <w:rPr>
                <w:lang w:val="en-US"/>
              </w:rPr>
              <w:t>250</w:t>
            </w:r>
          </w:p>
        </w:tc>
        <w:tc>
          <w:tcPr>
            <w:tcW w:w="1262" w:type="dxa"/>
          </w:tcPr>
          <w:p w:rsidR="00831CFB" w:rsidRPr="00BD6197" w:rsidRDefault="00831CFB" w:rsidP="000F2BA7">
            <w:pPr>
              <w:pStyle w:val="Tabletext"/>
              <w:jc w:val="center"/>
              <w:rPr>
                <w:lang w:val="en-US"/>
              </w:rPr>
            </w:pPr>
            <w:r w:rsidRPr="00BD6197">
              <w:rPr>
                <w:lang w:val="en-US"/>
              </w:rPr>
              <w:t>240</w:t>
            </w:r>
          </w:p>
        </w:tc>
        <w:tc>
          <w:tcPr>
            <w:tcW w:w="1262" w:type="dxa"/>
          </w:tcPr>
          <w:p w:rsidR="00831CFB" w:rsidRPr="00BD6197" w:rsidRDefault="00831CFB" w:rsidP="000F2BA7">
            <w:pPr>
              <w:pStyle w:val="Tabletext"/>
              <w:jc w:val="center"/>
              <w:rPr>
                <w:lang w:val="en-US"/>
              </w:rPr>
            </w:pPr>
            <w:r w:rsidRPr="00BD6197">
              <w:rPr>
                <w:lang w:val="en-US"/>
              </w:rPr>
              <w:t>300</w:t>
            </w:r>
          </w:p>
        </w:tc>
        <w:tc>
          <w:tcPr>
            <w:tcW w:w="1264" w:type="dxa"/>
          </w:tcPr>
          <w:p w:rsidR="00831CFB" w:rsidRPr="00BD6197" w:rsidRDefault="00831CFB" w:rsidP="000F2BA7">
            <w:pPr>
              <w:pStyle w:val="Tabletext"/>
              <w:jc w:val="center"/>
              <w:rPr>
                <w:lang w:val="en-US"/>
              </w:rPr>
            </w:pPr>
            <w:r w:rsidRPr="00BD6197">
              <w:rPr>
                <w:lang w:val="en-US"/>
              </w:rPr>
              <w:t>240</w:t>
            </w:r>
          </w:p>
        </w:tc>
      </w:tr>
      <w:tr w:rsidR="00831CFB" w:rsidRPr="00BD6197" w:rsidTr="000F2BA7">
        <w:trPr>
          <w:jc w:val="center"/>
        </w:trPr>
        <w:tc>
          <w:tcPr>
            <w:tcW w:w="687" w:type="dxa"/>
          </w:tcPr>
          <w:p w:rsidR="00831CFB" w:rsidRPr="00BD6197" w:rsidRDefault="00831CFB" w:rsidP="000F2BA7">
            <w:pPr>
              <w:pStyle w:val="Tabletext"/>
              <w:rPr>
                <w:lang w:val="en-US"/>
              </w:rPr>
            </w:pPr>
            <w:r w:rsidRPr="00BD6197">
              <w:rPr>
                <w:lang w:val="en-US"/>
              </w:rPr>
              <w:t>2</w:t>
            </w:r>
          </w:p>
        </w:tc>
        <w:tc>
          <w:tcPr>
            <w:tcW w:w="3902" w:type="dxa"/>
          </w:tcPr>
          <w:p w:rsidR="00831CFB" w:rsidRPr="00BD6197" w:rsidRDefault="00831CFB" w:rsidP="000F2BA7">
            <w:pPr>
              <w:pStyle w:val="Tabletext"/>
              <w:jc w:val="center"/>
              <w:rPr>
                <w:lang w:val="en-US"/>
              </w:rPr>
            </w:pPr>
            <w:r w:rsidRPr="00BD6197">
              <w:rPr>
                <w:lang w:val="en-US"/>
              </w:rPr>
              <w:t>4</w:t>
            </w:r>
          </w:p>
        </w:tc>
        <w:tc>
          <w:tcPr>
            <w:tcW w:w="1262" w:type="dxa"/>
          </w:tcPr>
          <w:p w:rsidR="00831CFB" w:rsidRPr="00BD6197" w:rsidRDefault="00831CFB" w:rsidP="000F2BA7">
            <w:pPr>
              <w:pStyle w:val="Tabletext"/>
              <w:jc w:val="center"/>
              <w:rPr>
                <w:lang w:val="en-US"/>
              </w:rPr>
            </w:pPr>
            <w:r w:rsidRPr="00BD6197">
              <w:rPr>
                <w:lang w:val="en-US"/>
              </w:rPr>
              <w:t>240</w:t>
            </w:r>
          </w:p>
        </w:tc>
        <w:tc>
          <w:tcPr>
            <w:tcW w:w="1262" w:type="dxa"/>
          </w:tcPr>
          <w:p w:rsidR="00831CFB" w:rsidRPr="00BD6197" w:rsidRDefault="00831CFB" w:rsidP="000F2BA7">
            <w:pPr>
              <w:pStyle w:val="Tabletext"/>
              <w:jc w:val="center"/>
              <w:rPr>
                <w:lang w:val="en-US"/>
              </w:rPr>
            </w:pPr>
            <w:r w:rsidRPr="00BD6197">
              <w:rPr>
                <w:lang w:val="en-US"/>
              </w:rPr>
              <w:t>220</w:t>
            </w:r>
          </w:p>
        </w:tc>
        <w:tc>
          <w:tcPr>
            <w:tcW w:w="1262" w:type="dxa"/>
          </w:tcPr>
          <w:p w:rsidR="00831CFB" w:rsidRPr="00BD6197" w:rsidRDefault="00831CFB" w:rsidP="000F2BA7">
            <w:pPr>
              <w:pStyle w:val="Tabletext"/>
              <w:jc w:val="center"/>
              <w:rPr>
                <w:lang w:val="en-US"/>
              </w:rPr>
            </w:pPr>
            <w:r w:rsidRPr="00BD6197">
              <w:rPr>
                <w:lang w:val="en-US"/>
              </w:rPr>
              <w:t>300</w:t>
            </w:r>
          </w:p>
        </w:tc>
        <w:tc>
          <w:tcPr>
            <w:tcW w:w="1264" w:type="dxa"/>
          </w:tcPr>
          <w:p w:rsidR="00831CFB" w:rsidRPr="00BD6197" w:rsidRDefault="00831CFB" w:rsidP="000F2BA7">
            <w:pPr>
              <w:pStyle w:val="Tabletext"/>
              <w:jc w:val="center"/>
              <w:rPr>
                <w:lang w:val="en-US"/>
              </w:rPr>
            </w:pPr>
            <w:r w:rsidRPr="00BD6197">
              <w:rPr>
                <w:lang w:val="en-US"/>
              </w:rPr>
              <w:t>220</w:t>
            </w:r>
          </w:p>
        </w:tc>
      </w:tr>
      <w:tr w:rsidR="00831CFB" w:rsidRPr="00BD6197" w:rsidTr="000F2BA7">
        <w:trPr>
          <w:jc w:val="center"/>
        </w:trPr>
        <w:tc>
          <w:tcPr>
            <w:tcW w:w="687" w:type="dxa"/>
          </w:tcPr>
          <w:p w:rsidR="00831CFB" w:rsidRPr="00BD6197" w:rsidRDefault="00831CFB" w:rsidP="000F2BA7">
            <w:pPr>
              <w:pStyle w:val="Tabletext"/>
              <w:rPr>
                <w:lang w:val="en-US"/>
              </w:rPr>
            </w:pPr>
            <w:r w:rsidRPr="00BD6197">
              <w:rPr>
                <w:lang w:val="en-US"/>
              </w:rPr>
              <w:t>3</w:t>
            </w:r>
          </w:p>
        </w:tc>
        <w:tc>
          <w:tcPr>
            <w:tcW w:w="3902" w:type="dxa"/>
          </w:tcPr>
          <w:p w:rsidR="00831CFB" w:rsidRPr="00BD6197" w:rsidRDefault="00831CFB" w:rsidP="000F2BA7">
            <w:pPr>
              <w:pStyle w:val="Tabletext"/>
              <w:jc w:val="center"/>
              <w:rPr>
                <w:lang w:val="en-US"/>
              </w:rPr>
            </w:pPr>
            <w:r w:rsidRPr="00BD6197">
              <w:rPr>
                <w:lang w:val="en-US"/>
              </w:rPr>
              <w:t>5</w:t>
            </w:r>
          </w:p>
        </w:tc>
        <w:tc>
          <w:tcPr>
            <w:tcW w:w="1262" w:type="dxa"/>
          </w:tcPr>
          <w:p w:rsidR="00831CFB" w:rsidRPr="00BD6197" w:rsidRDefault="00831CFB" w:rsidP="000F2BA7">
            <w:pPr>
              <w:pStyle w:val="Tabletext"/>
              <w:jc w:val="center"/>
              <w:rPr>
                <w:lang w:val="en-US"/>
              </w:rPr>
            </w:pPr>
            <w:r w:rsidRPr="00BD6197">
              <w:rPr>
                <w:lang w:val="en-US"/>
              </w:rPr>
              <w:t>220</w:t>
            </w:r>
          </w:p>
        </w:tc>
        <w:tc>
          <w:tcPr>
            <w:tcW w:w="1262" w:type="dxa"/>
          </w:tcPr>
          <w:p w:rsidR="00831CFB" w:rsidRPr="00BD6197" w:rsidRDefault="00831CFB" w:rsidP="000F2BA7">
            <w:pPr>
              <w:pStyle w:val="Tabletext"/>
              <w:jc w:val="center"/>
              <w:rPr>
                <w:lang w:val="en-US"/>
              </w:rPr>
            </w:pPr>
            <w:r w:rsidRPr="00BD6197">
              <w:rPr>
                <w:lang w:val="en-US"/>
              </w:rPr>
              <w:t>180</w:t>
            </w:r>
          </w:p>
        </w:tc>
        <w:tc>
          <w:tcPr>
            <w:tcW w:w="1262" w:type="dxa"/>
          </w:tcPr>
          <w:p w:rsidR="00831CFB" w:rsidRPr="00BD6197" w:rsidRDefault="00831CFB" w:rsidP="000F2BA7">
            <w:pPr>
              <w:pStyle w:val="Tabletext"/>
              <w:jc w:val="center"/>
              <w:rPr>
                <w:lang w:val="en-US"/>
              </w:rPr>
            </w:pPr>
            <w:r w:rsidRPr="00BD6197">
              <w:rPr>
                <w:lang w:val="en-US"/>
              </w:rPr>
              <w:t>290</w:t>
            </w:r>
          </w:p>
        </w:tc>
        <w:tc>
          <w:tcPr>
            <w:tcW w:w="1264" w:type="dxa"/>
          </w:tcPr>
          <w:p w:rsidR="00831CFB" w:rsidRPr="00BD6197" w:rsidRDefault="00831CFB" w:rsidP="000F2BA7">
            <w:pPr>
              <w:pStyle w:val="Tabletext"/>
              <w:jc w:val="center"/>
              <w:rPr>
                <w:lang w:val="en-US"/>
              </w:rPr>
            </w:pPr>
            <w:r w:rsidRPr="00BD6197">
              <w:rPr>
                <w:lang w:val="en-US"/>
              </w:rPr>
              <w:t>200</w:t>
            </w:r>
          </w:p>
        </w:tc>
      </w:tr>
      <w:tr w:rsidR="00831CFB" w:rsidRPr="00BD6197" w:rsidTr="000F2BA7">
        <w:trPr>
          <w:jc w:val="center"/>
        </w:trPr>
        <w:tc>
          <w:tcPr>
            <w:tcW w:w="687" w:type="dxa"/>
          </w:tcPr>
          <w:p w:rsidR="00831CFB" w:rsidRPr="00BD6197" w:rsidRDefault="00831CFB" w:rsidP="000F2BA7">
            <w:pPr>
              <w:pStyle w:val="Tabletext"/>
              <w:rPr>
                <w:lang w:val="en-US"/>
              </w:rPr>
            </w:pPr>
            <w:r w:rsidRPr="00BD6197">
              <w:rPr>
                <w:lang w:val="en-US"/>
              </w:rPr>
              <w:t>4</w:t>
            </w:r>
          </w:p>
        </w:tc>
        <w:tc>
          <w:tcPr>
            <w:tcW w:w="3902" w:type="dxa"/>
          </w:tcPr>
          <w:p w:rsidR="00831CFB" w:rsidRPr="00BD6197" w:rsidRDefault="00831CFB" w:rsidP="000F2BA7">
            <w:pPr>
              <w:pStyle w:val="Tabletext"/>
              <w:jc w:val="center"/>
              <w:rPr>
                <w:lang w:val="en-US"/>
              </w:rPr>
            </w:pPr>
            <w:r w:rsidRPr="00BD6197">
              <w:rPr>
                <w:lang w:val="en-US"/>
              </w:rPr>
              <w:t>6</w:t>
            </w:r>
          </w:p>
        </w:tc>
        <w:tc>
          <w:tcPr>
            <w:tcW w:w="1262" w:type="dxa"/>
          </w:tcPr>
          <w:p w:rsidR="00831CFB" w:rsidRPr="00BD6197" w:rsidRDefault="00831CFB" w:rsidP="000F2BA7">
            <w:pPr>
              <w:pStyle w:val="Tabletext"/>
              <w:jc w:val="center"/>
              <w:rPr>
                <w:lang w:val="en-US"/>
              </w:rPr>
            </w:pPr>
            <w:r w:rsidRPr="00BD6197">
              <w:rPr>
                <w:lang w:val="en-US"/>
              </w:rPr>
              <w:t>230</w:t>
            </w:r>
          </w:p>
        </w:tc>
        <w:tc>
          <w:tcPr>
            <w:tcW w:w="1262" w:type="dxa"/>
          </w:tcPr>
          <w:p w:rsidR="00831CFB" w:rsidRPr="00BD6197" w:rsidRDefault="00831CFB" w:rsidP="000F2BA7">
            <w:pPr>
              <w:pStyle w:val="Tabletext"/>
              <w:jc w:val="center"/>
              <w:rPr>
                <w:lang w:val="en-US"/>
              </w:rPr>
            </w:pPr>
            <w:r w:rsidRPr="00BD6197">
              <w:rPr>
                <w:lang w:val="en-US"/>
              </w:rPr>
              <w:t>180</w:t>
            </w:r>
          </w:p>
        </w:tc>
        <w:tc>
          <w:tcPr>
            <w:tcW w:w="1262" w:type="dxa"/>
          </w:tcPr>
          <w:p w:rsidR="00831CFB" w:rsidRPr="00BD6197" w:rsidRDefault="00831CFB" w:rsidP="000F2BA7">
            <w:pPr>
              <w:pStyle w:val="Tabletext"/>
              <w:jc w:val="center"/>
              <w:rPr>
                <w:lang w:val="en-US"/>
              </w:rPr>
            </w:pPr>
            <w:r w:rsidRPr="00BD6197">
              <w:rPr>
                <w:lang w:val="en-US"/>
              </w:rPr>
              <w:t>280</w:t>
            </w:r>
          </w:p>
        </w:tc>
        <w:tc>
          <w:tcPr>
            <w:tcW w:w="1264" w:type="dxa"/>
          </w:tcPr>
          <w:p w:rsidR="00831CFB" w:rsidRPr="00BD6197" w:rsidRDefault="00831CFB" w:rsidP="000F2BA7">
            <w:pPr>
              <w:pStyle w:val="Tabletext"/>
              <w:jc w:val="center"/>
              <w:rPr>
                <w:lang w:val="en-US"/>
              </w:rPr>
            </w:pPr>
            <w:r w:rsidRPr="00BD6197">
              <w:rPr>
                <w:lang w:val="en-US"/>
              </w:rPr>
              <w:t>170</w:t>
            </w:r>
          </w:p>
        </w:tc>
      </w:tr>
      <w:tr w:rsidR="00831CFB" w:rsidRPr="00BD6197" w:rsidTr="000F2BA7">
        <w:trPr>
          <w:jc w:val="center"/>
        </w:trPr>
        <w:tc>
          <w:tcPr>
            <w:tcW w:w="687" w:type="dxa"/>
          </w:tcPr>
          <w:p w:rsidR="00831CFB" w:rsidRPr="00BD6197" w:rsidRDefault="00831CFB" w:rsidP="000F2BA7">
            <w:pPr>
              <w:pStyle w:val="Tabletext"/>
              <w:rPr>
                <w:lang w:val="en-US"/>
              </w:rPr>
            </w:pPr>
            <w:r w:rsidRPr="00BD6197">
              <w:rPr>
                <w:lang w:val="en-US"/>
              </w:rPr>
              <w:t>5</w:t>
            </w:r>
          </w:p>
        </w:tc>
        <w:tc>
          <w:tcPr>
            <w:tcW w:w="3902" w:type="dxa"/>
          </w:tcPr>
          <w:p w:rsidR="00831CFB" w:rsidRPr="00BD6197" w:rsidRDefault="00831CFB" w:rsidP="000F2BA7">
            <w:pPr>
              <w:pStyle w:val="Tabletext"/>
              <w:jc w:val="center"/>
              <w:rPr>
                <w:lang w:val="en-US"/>
              </w:rPr>
            </w:pPr>
            <w:r w:rsidRPr="00BD6197">
              <w:rPr>
                <w:lang w:val="en-US"/>
              </w:rPr>
              <w:t>7</w:t>
            </w:r>
          </w:p>
        </w:tc>
        <w:tc>
          <w:tcPr>
            <w:tcW w:w="1262" w:type="dxa"/>
          </w:tcPr>
          <w:p w:rsidR="00831CFB" w:rsidRPr="00BD6197" w:rsidRDefault="00831CFB" w:rsidP="000F2BA7">
            <w:pPr>
              <w:pStyle w:val="Tabletext"/>
              <w:jc w:val="center"/>
              <w:rPr>
                <w:lang w:val="en-US"/>
              </w:rPr>
            </w:pPr>
            <w:r w:rsidRPr="00BD6197">
              <w:rPr>
                <w:lang w:val="en-US"/>
              </w:rPr>
              <w:t>240</w:t>
            </w:r>
          </w:p>
        </w:tc>
        <w:tc>
          <w:tcPr>
            <w:tcW w:w="1262" w:type="dxa"/>
          </w:tcPr>
          <w:p w:rsidR="00831CFB" w:rsidRPr="00BD6197" w:rsidRDefault="00831CFB" w:rsidP="000F2BA7">
            <w:pPr>
              <w:pStyle w:val="Tabletext"/>
              <w:jc w:val="center"/>
              <w:rPr>
                <w:lang w:val="en-US"/>
              </w:rPr>
            </w:pPr>
            <w:r w:rsidRPr="00BD6197">
              <w:rPr>
                <w:lang w:val="en-US"/>
              </w:rPr>
              <w:t>160</w:t>
            </w:r>
          </w:p>
        </w:tc>
        <w:tc>
          <w:tcPr>
            <w:tcW w:w="1262" w:type="dxa"/>
          </w:tcPr>
          <w:p w:rsidR="00831CFB" w:rsidRPr="00BD6197" w:rsidRDefault="00831CFB" w:rsidP="000F2BA7">
            <w:pPr>
              <w:pStyle w:val="Tabletext"/>
              <w:jc w:val="center"/>
              <w:rPr>
                <w:lang w:val="en-US"/>
              </w:rPr>
            </w:pPr>
            <w:r w:rsidRPr="00BD6197">
              <w:rPr>
                <w:lang w:val="en-US"/>
              </w:rPr>
              <w:t>270</w:t>
            </w:r>
          </w:p>
        </w:tc>
        <w:tc>
          <w:tcPr>
            <w:tcW w:w="1264" w:type="dxa"/>
          </w:tcPr>
          <w:p w:rsidR="00831CFB" w:rsidRPr="00BD6197" w:rsidRDefault="00831CFB" w:rsidP="000F2BA7">
            <w:pPr>
              <w:pStyle w:val="Tabletext"/>
              <w:jc w:val="center"/>
              <w:rPr>
                <w:lang w:val="en-US"/>
              </w:rPr>
            </w:pPr>
            <w:r w:rsidRPr="00BD6197">
              <w:rPr>
                <w:lang w:val="en-US"/>
              </w:rPr>
              <w:t>160</w:t>
            </w:r>
          </w:p>
        </w:tc>
      </w:tr>
      <w:tr w:rsidR="00831CFB" w:rsidRPr="00BD6197" w:rsidTr="000F2BA7">
        <w:trPr>
          <w:jc w:val="center"/>
        </w:trPr>
        <w:tc>
          <w:tcPr>
            <w:tcW w:w="687" w:type="dxa"/>
          </w:tcPr>
          <w:p w:rsidR="00831CFB" w:rsidRPr="00BD6197" w:rsidRDefault="00831CFB" w:rsidP="000F2BA7">
            <w:pPr>
              <w:pStyle w:val="Tabletext"/>
              <w:rPr>
                <w:lang w:val="en-US"/>
              </w:rPr>
            </w:pPr>
            <w:r w:rsidRPr="00BD6197">
              <w:rPr>
                <w:lang w:val="en-US"/>
              </w:rPr>
              <w:t>6</w:t>
            </w:r>
          </w:p>
        </w:tc>
        <w:tc>
          <w:tcPr>
            <w:tcW w:w="3902" w:type="dxa"/>
          </w:tcPr>
          <w:p w:rsidR="00831CFB" w:rsidRPr="00BD6197" w:rsidRDefault="00831CFB" w:rsidP="000F2BA7">
            <w:pPr>
              <w:pStyle w:val="Tabletext"/>
              <w:jc w:val="center"/>
              <w:rPr>
                <w:lang w:val="en-US"/>
              </w:rPr>
            </w:pPr>
            <w:r w:rsidRPr="00BD6197">
              <w:rPr>
                <w:lang w:val="en-US"/>
              </w:rPr>
              <w:t>8</w:t>
            </w:r>
          </w:p>
        </w:tc>
        <w:tc>
          <w:tcPr>
            <w:tcW w:w="1262" w:type="dxa"/>
          </w:tcPr>
          <w:p w:rsidR="00831CFB" w:rsidRPr="00BD6197" w:rsidRDefault="00831CFB" w:rsidP="000F2BA7">
            <w:pPr>
              <w:pStyle w:val="Tabletext"/>
              <w:jc w:val="center"/>
              <w:rPr>
                <w:lang w:val="en-US"/>
              </w:rPr>
            </w:pPr>
            <w:r w:rsidRPr="00BD6197">
              <w:rPr>
                <w:lang w:val="en-US"/>
              </w:rPr>
              <w:t>260</w:t>
            </w:r>
          </w:p>
        </w:tc>
        <w:tc>
          <w:tcPr>
            <w:tcW w:w="1262" w:type="dxa"/>
          </w:tcPr>
          <w:p w:rsidR="00831CFB" w:rsidRPr="00BD6197" w:rsidRDefault="00831CFB" w:rsidP="000F2BA7">
            <w:pPr>
              <w:pStyle w:val="Tabletext"/>
              <w:jc w:val="center"/>
              <w:rPr>
                <w:lang w:val="en-US"/>
              </w:rPr>
            </w:pPr>
            <w:r w:rsidRPr="00BD6197">
              <w:rPr>
                <w:lang w:val="en-US"/>
              </w:rPr>
              <w:t>140</w:t>
            </w:r>
          </w:p>
        </w:tc>
        <w:tc>
          <w:tcPr>
            <w:tcW w:w="1262" w:type="dxa"/>
          </w:tcPr>
          <w:p w:rsidR="00831CFB" w:rsidRPr="00BD6197" w:rsidRDefault="00831CFB" w:rsidP="000F2BA7">
            <w:pPr>
              <w:pStyle w:val="Tabletext"/>
              <w:jc w:val="center"/>
              <w:rPr>
                <w:lang w:val="en-US"/>
              </w:rPr>
            </w:pPr>
            <w:r w:rsidRPr="00BD6197">
              <w:rPr>
                <w:lang w:val="en-US"/>
              </w:rPr>
              <w:t>260</w:t>
            </w:r>
          </w:p>
        </w:tc>
        <w:tc>
          <w:tcPr>
            <w:tcW w:w="1264" w:type="dxa"/>
          </w:tcPr>
          <w:p w:rsidR="00831CFB" w:rsidRPr="00BD6197" w:rsidRDefault="00831CFB" w:rsidP="000F2BA7">
            <w:pPr>
              <w:pStyle w:val="Tabletext"/>
              <w:jc w:val="center"/>
              <w:rPr>
                <w:lang w:val="en-US"/>
              </w:rPr>
            </w:pPr>
            <w:r w:rsidRPr="00BD6197">
              <w:rPr>
                <w:lang w:val="en-US"/>
              </w:rPr>
              <w:t>180</w:t>
            </w:r>
          </w:p>
        </w:tc>
      </w:tr>
      <w:tr w:rsidR="00831CFB" w:rsidRPr="00BD6197" w:rsidTr="000F2BA7">
        <w:trPr>
          <w:jc w:val="center"/>
        </w:trPr>
        <w:tc>
          <w:tcPr>
            <w:tcW w:w="687" w:type="dxa"/>
          </w:tcPr>
          <w:p w:rsidR="00831CFB" w:rsidRPr="00BD6197" w:rsidRDefault="00831CFB" w:rsidP="000F2BA7">
            <w:pPr>
              <w:pStyle w:val="Tabletext"/>
              <w:rPr>
                <w:lang w:val="en-US"/>
              </w:rPr>
            </w:pPr>
            <w:r w:rsidRPr="00BD6197">
              <w:rPr>
                <w:lang w:val="en-US"/>
              </w:rPr>
              <w:t>7</w:t>
            </w:r>
          </w:p>
        </w:tc>
        <w:tc>
          <w:tcPr>
            <w:tcW w:w="3902" w:type="dxa"/>
          </w:tcPr>
          <w:p w:rsidR="00831CFB" w:rsidRPr="00BD6197" w:rsidRDefault="00831CFB" w:rsidP="000F2BA7">
            <w:pPr>
              <w:pStyle w:val="Tabletext"/>
              <w:jc w:val="center"/>
              <w:rPr>
                <w:lang w:val="en-US"/>
              </w:rPr>
            </w:pPr>
            <w:r w:rsidRPr="00BD6197">
              <w:rPr>
                <w:lang w:val="en-US"/>
              </w:rPr>
              <w:t>9</w:t>
            </w:r>
          </w:p>
        </w:tc>
        <w:tc>
          <w:tcPr>
            <w:tcW w:w="1262" w:type="dxa"/>
          </w:tcPr>
          <w:p w:rsidR="00831CFB" w:rsidRPr="00BD6197" w:rsidRDefault="00831CFB" w:rsidP="000F2BA7">
            <w:pPr>
              <w:pStyle w:val="Tabletext"/>
              <w:jc w:val="center"/>
              <w:rPr>
                <w:lang w:val="en-US"/>
              </w:rPr>
            </w:pPr>
            <w:r w:rsidRPr="00BD6197">
              <w:rPr>
                <w:lang w:val="en-US"/>
              </w:rPr>
              <w:t>260</w:t>
            </w:r>
          </w:p>
        </w:tc>
        <w:tc>
          <w:tcPr>
            <w:tcW w:w="1262" w:type="dxa"/>
          </w:tcPr>
          <w:p w:rsidR="00831CFB" w:rsidRPr="00BD6197" w:rsidRDefault="00831CFB" w:rsidP="000F2BA7">
            <w:pPr>
              <w:pStyle w:val="Tabletext"/>
              <w:jc w:val="center"/>
              <w:rPr>
                <w:lang w:val="en-US"/>
              </w:rPr>
            </w:pPr>
            <w:r w:rsidRPr="00BD6197">
              <w:rPr>
                <w:lang w:val="en-US"/>
              </w:rPr>
              <w:t>120</w:t>
            </w:r>
          </w:p>
        </w:tc>
        <w:tc>
          <w:tcPr>
            <w:tcW w:w="1262" w:type="dxa"/>
          </w:tcPr>
          <w:p w:rsidR="00831CFB" w:rsidRPr="00BD6197" w:rsidRDefault="00831CFB" w:rsidP="000F2BA7">
            <w:pPr>
              <w:pStyle w:val="Tabletext"/>
              <w:jc w:val="center"/>
              <w:rPr>
                <w:lang w:val="en-US"/>
              </w:rPr>
            </w:pPr>
            <w:r w:rsidRPr="00BD6197">
              <w:rPr>
                <w:lang w:val="en-US"/>
              </w:rPr>
              <w:t>250</w:t>
            </w:r>
          </w:p>
        </w:tc>
        <w:tc>
          <w:tcPr>
            <w:tcW w:w="1264" w:type="dxa"/>
          </w:tcPr>
          <w:p w:rsidR="00831CFB" w:rsidRPr="00BD6197" w:rsidRDefault="00831CFB" w:rsidP="000F2BA7">
            <w:pPr>
              <w:pStyle w:val="Tabletext"/>
              <w:jc w:val="center"/>
              <w:rPr>
                <w:lang w:val="en-US"/>
              </w:rPr>
            </w:pPr>
            <w:r w:rsidRPr="00BD6197">
              <w:rPr>
                <w:lang w:val="en-US"/>
              </w:rPr>
              <w:t>200</w:t>
            </w:r>
          </w:p>
        </w:tc>
      </w:tr>
      <w:tr w:rsidR="00831CFB" w:rsidRPr="00BD6197" w:rsidTr="000F2BA7">
        <w:trPr>
          <w:jc w:val="center"/>
        </w:trPr>
        <w:tc>
          <w:tcPr>
            <w:tcW w:w="687" w:type="dxa"/>
          </w:tcPr>
          <w:p w:rsidR="00831CFB" w:rsidRPr="00BD6197" w:rsidRDefault="00831CFB" w:rsidP="000F2BA7">
            <w:pPr>
              <w:pStyle w:val="Tabletext"/>
              <w:rPr>
                <w:lang w:val="en-US"/>
              </w:rPr>
            </w:pPr>
            <w:r w:rsidRPr="00BD6197">
              <w:rPr>
                <w:lang w:val="en-US"/>
              </w:rPr>
              <w:t>8</w:t>
            </w:r>
          </w:p>
        </w:tc>
        <w:tc>
          <w:tcPr>
            <w:tcW w:w="3902" w:type="dxa"/>
          </w:tcPr>
          <w:p w:rsidR="00831CFB" w:rsidRPr="00BD6197" w:rsidRDefault="00831CFB" w:rsidP="000F2BA7">
            <w:pPr>
              <w:pStyle w:val="Tabletext"/>
              <w:jc w:val="center"/>
              <w:rPr>
                <w:lang w:val="en-US"/>
              </w:rPr>
            </w:pPr>
            <w:r w:rsidRPr="00BD6197">
              <w:rPr>
                <w:lang w:val="en-US"/>
              </w:rPr>
              <w:t>10</w:t>
            </w:r>
          </w:p>
        </w:tc>
        <w:tc>
          <w:tcPr>
            <w:tcW w:w="1262" w:type="dxa"/>
          </w:tcPr>
          <w:p w:rsidR="00831CFB" w:rsidRPr="00BD6197" w:rsidRDefault="00831CFB" w:rsidP="000F2BA7">
            <w:pPr>
              <w:pStyle w:val="Tabletext"/>
              <w:jc w:val="center"/>
              <w:rPr>
                <w:lang w:val="en-US"/>
              </w:rPr>
            </w:pPr>
            <w:r w:rsidRPr="00BD6197">
              <w:rPr>
                <w:lang w:val="en-US"/>
              </w:rPr>
              <w:t>280</w:t>
            </w:r>
          </w:p>
        </w:tc>
        <w:tc>
          <w:tcPr>
            <w:tcW w:w="1262" w:type="dxa"/>
          </w:tcPr>
          <w:p w:rsidR="00831CFB" w:rsidRPr="00BD6197" w:rsidRDefault="00831CFB" w:rsidP="000F2BA7">
            <w:pPr>
              <w:pStyle w:val="Tabletext"/>
              <w:jc w:val="center"/>
              <w:rPr>
                <w:lang w:val="en-US"/>
              </w:rPr>
            </w:pPr>
            <w:r w:rsidRPr="00BD6197">
              <w:rPr>
                <w:lang w:val="en-US"/>
              </w:rPr>
              <w:t>120</w:t>
            </w:r>
          </w:p>
        </w:tc>
        <w:tc>
          <w:tcPr>
            <w:tcW w:w="1262" w:type="dxa"/>
          </w:tcPr>
          <w:p w:rsidR="00831CFB" w:rsidRPr="00BD6197" w:rsidRDefault="00831CFB" w:rsidP="000F2BA7">
            <w:pPr>
              <w:pStyle w:val="Tabletext"/>
              <w:jc w:val="center"/>
              <w:rPr>
                <w:lang w:val="en-US"/>
              </w:rPr>
            </w:pPr>
            <w:r w:rsidRPr="00BD6197">
              <w:rPr>
                <w:lang w:val="en-US"/>
              </w:rPr>
              <w:t>230</w:t>
            </w:r>
          </w:p>
        </w:tc>
        <w:tc>
          <w:tcPr>
            <w:tcW w:w="1264" w:type="dxa"/>
          </w:tcPr>
          <w:p w:rsidR="00831CFB" w:rsidRPr="00BD6197" w:rsidRDefault="00831CFB" w:rsidP="000F2BA7">
            <w:pPr>
              <w:pStyle w:val="Tabletext"/>
              <w:jc w:val="center"/>
              <w:rPr>
                <w:lang w:val="en-US"/>
              </w:rPr>
            </w:pPr>
            <w:r w:rsidRPr="00BD6197">
              <w:rPr>
                <w:lang w:val="en-US"/>
              </w:rPr>
              <w:t>250</w:t>
            </w:r>
          </w:p>
        </w:tc>
      </w:tr>
      <w:tr w:rsidR="00831CFB" w:rsidRPr="00BD6197" w:rsidTr="000F2BA7">
        <w:trPr>
          <w:jc w:val="center"/>
        </w:trPr>
        <w:tc>
          <w:tcPr>
            <w:tcW w:w="687" w:type="dxa"/>
          </w:tcPr>
          <w:p w:rsidR="00831CFB" w:rsidRPr="00BD6197" w:rsidRDefault="00831CFB" w:rsidP="000F2BA7">
            <w:pPr>
              <w:pStyle w:val="Tabletext"/>
              <w:rPr>
                <w:lang w:val="en-US"/>
              </w:rPr>
            </w:pPr>
            <w:r w:rsidRPr="00BD6197">
              <w:rPr>
                <w:lang w:val="en-US"/>
              </w:rPr>
              <w:t>9</w:t>
            </w:r>
          </w:p>
        </w:tc>
        <w:tc>
          <w:tcPr>
            <w:tcW w:w="3902" w:type="dxa"/>
          </w:tcPr>
          <w:p w:rsidR="00831CFB" w:rsidRPr="00BD6197" w:rsidRDefault="00831CFB" w:rsidP="000F2BA7">
            <w:pPr>
              <w:pStyle w:val="Tabletext"/>
              <w:jc w:val="center"/>
              <w:rPr>
                <w:lang w:val="en-US"/>
              </w:rPr>
            </w:pPr>
            <w:r w:rsidRPr="00BD6197">
              <w:rPr>
                <w:lang w:val="en-US"/>
              </w:rPr>
              <w:t>11</w:t>
            </w:r>
          </w:p>
        </w:tc>
        <w:tc>
          <w:tcPr>
            <w:tcW w:w="1262" w:type="dxa"/>
          </w:tcPr>
          <w:p w:rsidR="00831CFB" w:rsidRPr="00BD6197" w:rsidRDefault="00831CFB" w:rsidP="000F2BA7">
            <w:pPr>
              <w:pStyle w:val="Tabletext"/>
              <w:jc w:val="center"/>
              <w:rPr>
                <w:lang w:val="en-US"/>
              </w:rPr>
            </w:pPr>
            <w:r w:rsidRPr="00BD6197">
              <w:rPr>
                <w:lang w:val="en-US"/>
              </w:rPr>
              <w:t>280</w:t>
            </w:r>
          </w:p>
        </w:tc>
        <w:tc>
          <w:tcPr>
            <w:tcW w:w="1262" w:type="dxa"/>
          </w:tcPr>
          <w:p w:rsidR="00831CFB" w:rsidRPr="00BD6197" w:rsidRDefault="00831CFB" w:rsidP="000F2BA7">
            <w:pPr>
              <w:pStyle w:val="Tabletext"/>
              <w:jc w:val="center"/>
              <w:rPr>
                <w:lang w:val="en-US"/>
              </w:rPr>
            </w:pPr>
            <w:r w:rsidRPr="00BD6197">
              <w:rPr>
                <w:lang w:val="en-US"/>
              </w:rPr>
              <w:t>110</w:t>
            </w:r>
          </w:p>
        </w:tc>
        <w:tc>
          <w:tcPr>
            <w:tcW w:w="1262" w:type="dxa"/>
          </w:tcPr>
          <w:p w:rsidR="00831CFB" w:rsidRPr="00BD6197" w:rsidRDefault="00831CFB" w:rsidP="000F2BA7">
            <w:pPr>
              <w:pStyle w:val="Tabletext"/>
              <w:jc w:val="center"/>
              <w:rPr>
                <w:lang w:val="en-US"/>
              </w:rPr>
            </w:pPr>
            <w:r w:rsidRPr="00BD6197">
              <w:rPr>
                <w:lang w:val="en-US"/>
              </w:rPr>
              <w:t>220</w:t>
            </w:r>
          </w:p>
        </w:tc>
        <w:tc>
          <w:tcPr>
            <w:tcW w:w="1264" w:type="dxa"/>
          </w:tcPr>
          <w:p w:rsidR="00831CFB" w:rsidRPr="00BD6197" w:rsidRDefault="00831CFB" w:rsidP="000F2BA7">
            <w:pPr>
              <w:pStyle w:val="Tabletext"/>
              <w:jc w:val="center"/>
              <w:rPr>
                <w:lang w:val="en-US"/>
              </w:rPr>
            </w:pPr>
            <w:r w:rsidRPr="00BD6197">
              <w:rPr>
                <w:lang w:val="en-US"/>
              </w:rPr>
              <w:t>250</w:t>
            </w:r>
          </w:p>
        </w:tc>
      </w:tr>
      <w:tr w:rsidR="00831CFB" w:rsidRPr="00BD6197" w:rsidTr="000F2BA7">
        <w:trPr>
          <w:jc w:val="center"/>
        </w:trPr>
        <w:tc>
          <w:tcPr>
            <w:tcW w:w="687" w:type="dxa"/>
          </w:tcPr>
          <w:p w:rsidR="00831CFB" w:rsidRPr="00BD6197" w:rsidRDefault="00831CFB" w:rsidP="000F2BA7">
            <w:pPr>
              <w:pStyle w:val="Tabletext"/>
              <w:rPr>
                <w:lang w:val="en-US"/>
              </w:rPr>
            </w:pPr>
            <w:r w:rsidRPr="00BD6197">
              <w:rPr>
                <w:lang w:val="en-US"/>
              </w:rPr>
              <w:t>10</w:t>
            </w:r>
          </w:p>
        </w:tc>
        <w:tc>
          <w:tcPr>
            <w:tcW w:w="3902" w:type="dxa"/>
          </w:tcPr>
          <w:p w:rsidR="00831CFB" w:rsidRPr="00BD6197" w:rsidRDefault="00831CFB" w:rsidP="000F2BA7">
            <w:pPr>
              <w:pStyle w:val="Tabletext"/>
              <w:jc w:val="center"/>
              <w:rPr>
                <w:lang w:val="en-US"/>
              </w:rPr>
            </w:pPr>
            <w:r w:rsidRPr="00BD6197">
              <w:rPr>
                <w:lang w:val="en-US"/>
              </w:rPr>
              <w:t>12</w:t>
            </w:r>
          </w:p>
        </w:tc>
        <w:tc>
          <w:tcPr>
            <w:tcW w:w="1262" w:type="dxa"/>
          </w:tcPr>
          <w:p w:rsidR="00831CFB" w:rsidRPr="00BD6197" w:rsidRDefault="00831CFB" w:rsidP="000F2BA7">
            <w:pPr>
              <w:pStyle w:val="Tabletext"/>
              <w:jc w:val="center"/>
              <w:rPr>
                <w:lang w:val="en-US"/>
              </w:rPr>
            </w:pPr>
            <w:r w:rsidRPr="00BD6197">
              <w:rPr>
                <w:lang w:val="en-US"/>
              </w:rPr>
              <w:t>280</w:t>
            </w:r>
          </w:p>
        </w:tc>
        <w:tc>
          <w:tcPr>
            <w:tcW w:w="1262" w:type="dxa"/>
          </w:tcPr>
          <w:p w:rsidR="00831CFB" w:rsidRPr="00BD6197" w:rsidRDefault="00831CFB" w:rsidP="000F2BA7">
            <w:pPr>
              <w:pStyle w:val="Tabletext"/>
              <w:jc w:val="center"/>
              <w:rPr>
                <w:lang w:val="en-US"/>
              </w:rPr>
            </w:pPr>
            <w:r w:rsidRPr="00BD6197">
              <w:rPr>
                <w:lang w:val="en-US"/>
              </w:rPr>
              <w:t>100</w:t>
            </w:r>
          </w:p>
        </w:tc>
        <w:tc>
          <w:tcPr>
            <w:tcW w:w="1262" w:type="dxa"/>
          </w:tcPr>
          <w:p w:rsidR="00831CFB" w:rsidRPr="00BD6197" w:rsidRDefault="00831CFB" w:rsidP="000F2BA7">
            <w:pPr>
              <w:pStyle w:val="Tabletext"/>
              <w:jc w:val="center"/>
              <w:rPr>
                <w:lang w:val="en-US"/>
              </w:rPr>
            </w:pPr>
            <w:r w:rsidRPr="00BD6197">
              <w:rPr>
                <w:lang w:val="en-US"/>
              </w:rPr>
              <w:t>210</w:t>
            </w:r>
          </w:p>
        </w:tc>
        <w:tc>
          <w:tcPr>
            <w:tcW w:w="1264" w:type="dxa"/>
          </w:tcPr>
          <w:p w:rsidR="00831CFB" w:rsidRPr="00BD6197" w:rsidRDefault="00831CFB" w:rsidP="000F2BA7">
            <w:pPr>
              <w:pStyle w:val="Tabletext"/>
              <w:jc w:val="center"/>
              <w:rPr>
                <w:lang w:val="en-US"/>
              </w:rPr>
            </w:pPr>
            <w:r w:rsidRPr="00BD6197">
              <w:rPr>
                <w:lang w:val="en-US"/>
              </w:rPr>
              <w:t>240</w:t>
            </w:r>
          </w:p>
        </w:tc>
      </w:tr>
      <w:tr w:rsidR="00831CFB" w:rsidRPr="00BD6197" w:rsidTr="000F2BA7">
        <w:trPr>
          <w:jc w:val="center"/>
        </w:trPr>
        <w:tc>
          <w:tcPr>
            <w:tcW w:w="687" w:type="dxa"/>
          </w:tcPr>
          <w:p w:rsidR="00831CFB" w:rsidRPr="00BD6197" w:rsidRDefault="00831CFB" w:rsidP="000F2BA7">
            <w:pPr>
              <w:pStyle w:val="Tabletext"/>
              <w:rPr>
                <w:lang w:val="en-US"/>
              </w:rPr>
            </w:pPr>
            <w:r w:rsidRPr="00BD6197">
              <w:rPr>
                <w:lang w:val="en-US"/>
              </w:rPr>
              <w:t>11</w:t>
            </w:r>
          </w:p>
        </w:tc>
        <w:tc>
          <w:tcPr>
            <w:tcW w:w="3902" w:type="dxa"/>
          </w:tcPr>
          <w:p w:rsidR="00831CFB" w:rsidRPr="00BD6197" w:rsidRDefault="00831CFB" w:rsidP="000F2BA7">
            <w:pPr>
              <w:pStyle w:val="Tabletext"/>
              <w:jc w:val="center"/>
              <w:rPr>
                <w:lang w:val="en-US"/>
              </w:rPr>
            </w:pPr>
            <w:r w:rsidRPr="00BD6197">
              <w:rPr>
                <w:lang w:val="en-US"/>
              </w:rPr>
              <w:t>13</w:t>
            </w:r>
          </w:p>
        </w:tc>
        <w:tc>
          <w:tcPr>
            <w:tcW w:w="1262" w:type="dxa"/>
          </w:tcPr>
          <w:p w:rsidR="00831CFB" w:rsidRPr="00BD6197" w:rsidRDefault="00831CFB" w:rsidP="000F2BA7">
            <w:pPr>
              <w:pStyle w:val="Tabletext"/>
              <w:jc w:val="center"/>
              <w:rPr>
                <w:lang w:val="en-US"/>
              </w:rPr>
            </w:pPr>
            <w:r w:rsidRPr="00BD6197">
              <w:rPr>
                <w:lang w:val="en-US"/>
              </w:rPr>
              <w:t>290</w:t>
            </w:r>
          </w:p>
        </w:tc>
        <w:tc>
          <w:tcPr>
            <w:tcW w:w="1262" w:type="dxa"/>
          </w:tcPr>
          <w:p w:rsidR="00831CFB" w:rsidRPr="00BD6197" w:rsidRDefault="00831CFB" w:rsidP="000F2BA7">
            <w:pPr>
              <w:pStyle w:val="Tabletext"/>
              <w:jc w:val="center"/>
              <w:rPr>
                <w:lang w:val="en-US"/>
              </w:rPr>
            </w:pPr>
            <w:r w:rsidRPr="00BD6197">
              <w:rPr>
                <w:lang w:val="en-US"/>
              </w:rPr>
              <w:t>100</w:t>
            </w:r>
          </w:p>
        </w:tc>
        <w:tc>
          <w:tcPr>
            <w:tcW w:w="1262" w:type="dxa"/>
          </w:tcPr>
          <w:p w:rsidR="00831CFB" w:rsidRPr="00BD6197" w:rsidRDefault="00831CFB" w:rsidP="000F2BA7">
            <w:pPr>
              <w:pStyle w:val="Tabletext"/>
              <w:jc w:val="center"/>
              <w:rPr>
                <w:lang w:val="en-US"/>
              </w:rPr>
            </w:pPr>
            <w:r w:rsidRPr="00BD6197">
              <w:rPr>
                <w:lang w:val="en-US"/>
              </w:rPr>
              <w:t>200</w:t>
            </w:r>
          </w:p>
        </w:tc>
        <w:tc>
          <w:tcPr>
            <w:tcW w:w="1264" w:type="dxa"/>
          </w:tcPr>
          <w:p w:rsidR="00831CFB" w:rsidRPr="00BD6197" w:rsidRDefault="00831CFB" w:rsidP="000F2BA7">
            <w:pPr>
              <w:pStyle w:val="Tabletext"/>
              <w:jc w:val="center"/>
              <w:rPr>
                <w:lang w:val="en-US"/>
              </w:rPr>
            </w:pPr>
            <w:r w:rsidRPr="00BD6197">
              <w:rPr>
                <w:lang w:val="en-US"/>
              </w:rPr>
              <w:t>200</w:t>
            </w:r>
          </w:p>
        </w:tc>
      </w:tr>
      <w:tr w:rsidR="00831CFB" w:rsidRPr="00BD6197" w:rsidTr="000F2BA7">
        <w:trPr>
          <w:jc w:val="center"/>
        </w:trPr>
        <w:tc>
          <w:tcPr>
            <w:tcW w:w="687" w:type="dxa"/>
          </w:tcPr>
          <w:p w:rsidR="00831CFB" w:rsidRPr="00BD6197" w:rsidRDefault="00831CFB" w:rsidP="000F2BA7">
            <w:pPr>
              <w:pStyle w:val="Tabletext"/>
              <w:rPr>
                <w:lang w:val="en-US"/>
              </w:rPr>
            </w:pPr>
            <w:r w:rsidRPr="00BD6197">
              <w:rPr>
                <w:lang w:val="en-US"/>
              </w:rPr>
              <w:t>12</w:t>
            </w:r>
          </w:p>
        </w:tc>
        <w:tc>
          <w:tcPr>
            <w:tcW w:w="3902" w:type="dxa"/>
          </w:tcPr>
          <w:p w:rsidR="00831CFB" w:rsidRPr="00BD6197" w:rsidRDefault="00831CFB" w:rsidP="000F2BA7">
            <w:pPr>
              <w:pStyle w:val="Tabletext"/>
              <w:jc w:val="center"/>
              <w:rPr>
                <w:lang w:val="en-US"/>
              </w:rPr>
            </w:pPr>
            <w:r w:rsidRPr="00BD6197">
              <w:rPr>
                <w:lang w:val="en-US"/>
              </w:rPr>
              <w:t>14</w:t>
            </w:r>
          </w:p>
        </w:tc>
        <w:tc>
          <w:tcPr>
            <w:tcW w:w="1262" w:type="dxa"/>
          </w:tcPr>
          <w:p w:rsidR="00831CFB" w:rsidRPr="00BD6197" w:rsidRDefault="00831CFB" w:rsidP="000F2BA7">
            <w:pPr>
              <w:pStyle w:val="Tabletext"/>
              <w:jc w:val="center"/>
              <w:rPr>
                <w:lang w:val="en-US"/>
              </w:rPr>
            </w:pPr>
            <w:r w:rsidRPr="00BD6197">
              <w:rPr>
                <w:lang w:val="en-US"/>
              </w:rPr>
              <w:t>300</w:t>
            </w:r>
          </w:p>
        </w:tc>
        <w:tc>
          <w:tcPr>
            <w:tcW w:w="1262" w:type="dxa"/>
          </w:tcPr>
          <w:p w:rsidR="00831CFB" w:rsidRPr="00BD6197" w:rsidRDefault="00831CFB" w:rsidP="000F2BA7">
            <w:pPr>
              <w:pStyle w:val="Tabletext"/>
              <w:jc w:val="center"/>
              <w:rPr>
                <w:lang w:val="en-US"/>
              </w:rPr>
            </w:pPr>
            <w:r w:rsidRPr="00BD6197">
              <w:rPr>
                <w:lang w:val="en-US"/>
              </w:rPr>
              <w:t>80</w:t>
            </w:r>
          </w:p>
        </w:tc>
        <w:tc>
          <w:tcPr>
            <w:tcW w:w="1262" w:type="dxa"/>
          </w:tcPr>
          <w:p w:rsidR="00831CFB" w:rsidRPr="00BD6197" w:rsidRDefault="00831CFB" w:rsidP="000F2BA7">
            <w:pPr>
              <w:pStyle w:val="Tabletext"/>
              <w:jc w:val="center"/>
              <w:rPr>
                <w:lang w:val="en-US"/>
              </w:rPr>
            </w:pPr>
            <w:r w:rsidRPr="00BD6197">
              <w:rPr>
                <w:lang w:val="en-US"/>
              </w:rPr>
              <w:t>200</w:t>
            </w:r>
          </w:p>
        </w:tc>
        <w:tc>
          <w:tcPr>
            <w:tcW w:w="1264" w:type="dxa"/>
          </w:tcPr>
          <w:p w:rsidR="00831CFB" w:rsidRPr="00BD6197" w:rsidRDefault="00831CFB" w:rsidP="000F2BA7">
            <w:pPr>
              <w:pStyle w:val="Tabletext"/>
              <w:jc w:val="center"/>
              <w:rPr>
                <w:lang w:val="en-US"/>
              </w:rPr>
            </w:pPr>
            <w:r w:rsidRPr="00BD6197">
              <w:rPr>
                <w:lang w:val="en-US"/>
              </w:rPr>
              <w:t>180</w:t>
            </w:r>
          </w:p>
        </w:tc>
      </w:tr>
      <w:tr w:rsidR="00831CFB" w:rsidRPr="00BD6197" w:rsidTr="000F2BA7">
        <w:trPr>
          <w:jc w:val="center"/>
        </w:trPr>
        <w:tc>
          <w:tcPr>
            <w:tcW w:w="687" w:type="dxa"/>
          </w:tcPr>
          <w:p w:rsidR="00831CFB" w:rsidRPr="00BD6197" w:rsidRDefault="00831CFB" w:rsidP="000F2BA7">
            <w:pPr>
              <w:pStyle w:val="Tabletext"/>
              <w:rPr>
                <w:lang w:val="en-US"/>
              </w:rPr>
            </w:pPr>
            <w:r w:rsidRPr="00BD6197">
              <w:rPr>
                <w:lang w:val="en-US"/>
              </w:rPr>
              <w:t>13</w:t>
            </w:r>
          </w:p>
        </w:tc>
        <w:tc>
          <w:tcPr>
            <w:tcW w:w="3902" w:type="dxa"/>
          </w:tcPr>
          <w:p w:rsidR="00831CFB" w:rsidRPr="00BD6197" w:rsidRDefault="00831CFB" w:rsidP="000F2BA7">
            <w:pPr>
              <w:pStyle w:val="Tabletext"/>
              <w:jc w:val="center"/>
              <w:rPr>
                <w:lang w:val="en-US"/>
              </w:rPr>
            </w:pPr>
            <w:r w:rsidRPr="00BD6197">
              <w:rPr>
                <w:lang w:val="en-US"/>
              </w:rPr>
              <w:t>15</w:t>
            </w:r>
          </w:p>
        </w:tc>
        <w:tc>
          <w:tcPr>
            <w:tcW w:w="1262" w:type="dxa"/>
          </w:tcPr>
          <w:p w:rsidR="00831CFB" w:rsidRPr="00BD6197" w:rsidRDefault="00831CFB" w:rsidP="000F2BA7">
            <w:pPr>
              <w:pStyle w:val="Tabletext"/>
              <w:jc w:val="center"/>
              <w:rPr>
                <w:lang w:val="en-US"/>
              </w:rPr>
            </w:pPr>
            <w:r w:rsidRPr="00BD6197">
              <w:rPr>
                <w:lang w:val="en-US"/>
              </w:rPr>
              <w:t>320</w:t>
            </w:r>
          </w:p>
        </w:tc>
        <w:tc>
          <w:tcPr>
            <w:tcW w:w="1262" w:type="dxa"/>
          </w:tcPr>
          <w:p w:rsidR="00831CFB" w:rsidRPr="00BD6197" w:rsidRDefault="00831CFB" w:rsidP="000F2BA7">
            <w:pPr>
              <w:pStyle w:val="Tabletext"/>
              <w:jc w:val="center"/>
              <w:rPr>
                <w:lang w:val="en-US"/>
              </w:rPr>
            </w:pPr>
            <w:r w:rsidRPr="00BD6197">
              <w:rPr>
                <w:lang w:val="en-US"/>
              </w:rPr>
              <w:t>60</w:t>
            </w:r>
          </w:p>
        </w:tc>
        <w:tc>
          <w:tcPr>
            <w:tcW w:w="1262" w:type="dxa"/>
          </w:tcPr>
          <w:p w:rsidR="00831CFB" w:rsidRPr="00BD6197" w:rsidRDefault="00831CFB" w:rsidP="000F2BA7">
            <w:pPr>
              <w:pStyle w:val="Tabletext"/>
              <w:jc w:val="center"/>
              <w:rPr>
                <w:lang w:val="en-US"/>
              </w:rPr>
            </w:pPr>
            <w:r w:rsidRPr="00BD6197">
              <w:rPr>
                <w:lang w:val="en-US"/>
              </w:rPr>
              <w:t>200</w:t>
            </w:r>
          </w:p>
        </w:tc>
        <w:tc>
          <w:tcPr>
            <w:tcW w:w="1264" w:type="dxa"/>
          </w:tcPr>
          <w:p w:rsidR="00831CFB" w:rsidRPr="00BD6197" w:rsidRDefault="00831CFB" w:rsidP="000F2BA7">
            <w:pPr>
              <w:pStyle w:val="Tabletext"/>
              <w:jc w:val="center"/>
              <w:rPr>
                <w:lang w:val="en-US"/>
              </w:rPr>
            </w:pPr>
            <w:r w:rsidRPr="00BD6197">
              <w:rPr>
                <w:lang w:val="en-US"/>
              </w:rPr>
              <w:t>140</w:t>
            </w:r>
          </w:p>
        </w:tc>
      </w:tr>
      <w:tr w:rsidR="00831CFB" w:rsidRPr="00BD6197" w:rsidTr="000F2BA7">
        <w:trPr>
          <w:jc w:val="center"/>
        </w:trPr>
        <w:tc>
          <w:tcPr>
            <w:tcW w:w="687" w:type="dxa"/>
          </w:tcPr>
          <w:p w:rsidR="00831CFB" w:rsidRPr="00BD6197" w:rsidRDefault="00831CFB" w:rsidP="000F2BA7">
            <w:pPr>
              <w:pStyle w:val="Tabletext"/>
              <w:rPr>
                <w:lang w:val="en-US"/>
              </w:rPr>
            </w:pPr>
          </w:p>
        </w:tc>
        <w:tc>
          <w:tcPr>
            <w:tcW w:w="3902" w:type="dxa"/>
          </w:tcPr>
          <w:p w:rsidR="00831CFB" w:rsidRPr="00BD6197" w:rsidRDefault="00831CFB" w:rsidP="000F2BA7">
            <w:pPr>
              <w:pStyle w:val="Tabletext"/>
              <w:rPr>
                <w:lang w:val="en-US"/>
              </w:rPr>
            </w:pPr>
            <w:r w:rsidRPr="00BD6197">
              <w:rPr>
                <w:lang w:val="en-US"/>
              </w:rPr>
              <w:t>Readout sums, Sd (m)</w:t>
            </w:r>
          </w:p>
        </w:tc>
        <w:tc>
          <w:tcPr>
            <w:tcW w:w="1262" w:type="dxa"/>
          </w:tcPr>
          <w:p w:rsidR="00831CFB" w:rsidRPr="00BD6197" w:rsidRDefault="00831CFB" w:rsidP="000F2BA7">
            <w:pPr>
              <w:pStyle w:val="Tabletext"/>
              <w:jc w:val="center"/>
              <w:rPr>
                <w:lang w:val="en-US"/>
              </w:rPr>
            </w:pPr>
            <w:r w:rsidRPr="00BD6197">
              <w:rPr>
                <w:lang w:val="en-US"/>
              </w:rPr>
              <w:t>3 450</w:t>
            </w:r>
          </w:p>
        </w:tc>
        <w:tc>
          <w:tcPr>
            <w:tcW w:w="1262" w:type="dxa"/>
          </w:tcPr>
          <w:p w:rsidR="00831CFB" w:rsidRPr="00BD6197" w:rsidRDefault="00831CFB" w:rsidP="000F2BA7">
            <w:pPr>
              <w:pStyle w:val="Tabletext"/>
              <w:jc w:val="center"/>
              <w:rPr>
                <w:lang w:val="en-US"/>
              </w:rPr>
            </w:pPr>
            <w:r w:rsidRPr="00BD6197">
              <w:rPr>
                <w:lang w:val="en-US"/>
              </w:rPr>
              <w:t>1 810</w:t>
            </w:r>
          </w:p>
        </w:tc>
        <w:tc>
          <w:tcPr>
            <w:tcW w:w="1262" w:type="dxa"/>
          </w:tcPr>
          <w:p w:rsidR="00831CFB" w:rsidRPr="00BD6197" w:rsidRDefault="00831CFB" w:rsidP="000F2BA7">
            <w:pPr>
              <w:pStyle w:val="Tabletext"/>
              <w:jc w:val="center"/>
              <w:rPr>
                <w:lang w:val="en-US"/>
              </w:rPr>
            </w:pPr>
            <w:r w:rsidRPr="00BD6197">
              <w:rPr>
                <w:lang w:val="en-US"/>
              </w:rPr>
              <w:t>3 210</w:t>
            </w:r>
          </w:p>
        </w:tc>
        <w:tc>
          <w:tcPr>
            <w:tcW w:w="1264" w:type="dxa"/>
          </w:tcPr>
          <w:p w:rsidR="00831CFB" w:rsidRPr="00BD6197" w:rsidRDefault="00831CFB" w:rsidP="000F2BA7">
            <w:pPr>
              <w:pStyle w:val="Tabletext"/>
              <w:jc w:val="center"/>
              <w:rPr>
                <w:lang w:val="en-US"/>
              </w:rPr>
            </w:pPr>
            <w:r w:rsidRPr="00BD6197">
              <w:rPr>
                <w:lang w:val="en-US"/>
              </w:rPr>
              <w:t>2 630</w:t>
            </w:r>
          </w:p>
        </w:tc>
      </w:tr>
      <w:tr w:rsidR="00831CFB" w:rsidRPr="00BD6197" w:rsidTr="000F2BA7">
        <w:trPr>
          <w:jc w:val="center"/>
        </w:trPr>
        <w:tc>
          <w:tcPr>
            <w:tcW w:w="687" w:type="dxa"/>
          </w:tcPr>
          <w:p w:rsidR="00831CFB" w:rsidRPr="00BD6197" w:rsidRDefault="00831CFB" w:rsidP="000F2BA7">
            <w:pPr>
              <w:pStyle w:val="Tabletext"/>
              <w:rPr>
                <w:lang w:val="en-US"/>
              </w:rPr>
            </w:pPr>
          </w:p>
        </w:tc>
        <w:tc>
          <w:tcPr>
            <w:tcW w:w="3902" w:type="dxa"/>
          </w:tcPr>
          <w:p w:rsidR="00831CFB" w:rsidRPr="00BD6197" w:rsidRDefault="00831CFB" w:rsidP="000F2BA7">
            <w:pPr>
              <w:pStyle w:val="Tabletext"/>
              <w:rPr>
                <w:lang w:val="en-US"/>
              </w:rPr>
            </w:pPr>
            <w:r w:rsidRPr="00BD6197">
              <w:rPr>
                <w:lang w:val="en-US"/>
              </w:rPr>
              <w:t>Effective heights, Sd /13 (m)</w:t>
            </w:r>
          </w:p>
        </w:tc>
        <w:tc>
          <w:tcPr>
            <w:tcW w:w="1262" w:type="dxa"/>
          </w:tcPr>
          <w:p w:rsidR="00831CFB" w:rsidRPr="00BD6197" w:rsidRDefault="00831CFB" w:rsidP="000F2BA7">
            <w:pPr>
              <w:pStyle w:val="Tabletext"/>
              <w:jc w:val="center"/>
              <w:rPr>
                <w:lang w:val="en-US"/>
              </w:rPr>
            </w:pPr>
            <w:r w:rsidRPr="00BD6197">
              <w:rPr>
                <w:lang w:val="en-US"/>
              </w:rPr>
              <w:t>265</w:t>
            </w:r>
          </w:p>
        </w:tc>
        <w:tc>
          <w:tcPr>
            <w:tcW w:w="1262" w:type="dxa"/>
          </w:tcPr>
          <w:p w:rsidR="00831CFB" w:rsidRPr="00BD6197" w:rsidRDefault="00831CFB" w:rsidP="000F2BA7">
            <w:pPr>
              <w:pStyle w:val="Tabletext"/>
              <w:jc w:val="center"/>
              <w:rPr>
                <w:lang w:val="en-US"/>
              </w:rPr>
            </w:pPr>
            <w:r w:rsidRPr="00BD6197">
              <w:rPr>
                <w:lang w:val="en-US"/>
              </w:rPr>
              <w:t>139</w:t>
            </w:r>
          </w:p>
        </w:tc>
        <w:tc>
          <w:tcPr>
            <w:tcW w:w="1262" w:type="dxa"/>
          </w:tcPr>
          <w:p w:rsidR="00831CFB" w:rsidRPr="00BD6197" w:rsidRDefault="00831CFB" w:rsidP="000F2BA7">
            <w:pPr>
              <w:pStyle w:val="Tabletext"/>
              <w:jc w:val="center"/>
              <w:rPr>
                <w:lang w:val="en-US"/>
              </w:rPr>
            </w:pPr>
            <w:r w:rsidRPr="00BD6197">
              <w:rPr>
                <w:lang w:val="en-US"/>
              </w:rPr>
              <w:t>245</w:t>
            </w:r>
          </w:p>
        </w:tc>
        <w:tc>
          <w:tcPr>
            <w:tcW w:w="1264" w:type="dxa"/>
          </w:tcPr>
          <w:p w:rsidR="00831CFB" w:rsidRPr="00BD6197" w:rsidRDefault="00831CFB" w:rsidP="000F2BA7">
            <w:pPr>
              <w:pStyle w:val="Tabletext"/>
              <w:jc w:val="center"/>
              <w:rPr>
                <w:lang w:val="en-US"/>
              </w:rPr>
            </w:pPr>
            <w:r w:rsidRPr="00BD6197">
              <w:rPr>
                <w:lang w:val="en-US"/>
              </w:rPr>
              <w:t>202</w:t>
            </w:r>
          </w:p>
        </w:tc>
      </w:tr>
      <w:tr w:rsidR="00831CFB" w:rsidRPr="00BD6197" w:rsidTr="000F2BA7">
        <w:trPr>
          <w:jc w:val="center"/>
        </w:trPr>
        <w:tc>
          <w:tcPr>
            <w:tcW w:w="687" w:type="dxa"/>
          </w:tcPr>
          <w:p w:rsidR="00831CFB" w:rsidRPr="00BD6197" w:rsidRDefault="00831CFB" w:rsidP="000F2BA7">
            <w:pPr>
              <w:pStyle w:val="Tabletext"/>
              <w:rPr>
                <w:lang w:val="en-US"/>
              </w:rPr>
            </w:pPr>
          </w:p>
        </w:tc>
        <w:tc>
          <w:tcPr>
            <w:tcW w:w="3902" w:type="dxa"/>
          </w:tcPr>
          <w:p w:rsidR="00831CFB" w:rsidRPr="00BD6197" w:rsidRDefault="00831CFB" w:rsidP="000F2BA7">
            <w:pPr>
              <w:pStyle w:val="Tabletext"/>
              <w:rPr>
                <w:lang w:val="en-US"/>
              </w:rPr>
            </w:pPr>
            <w:r w:rsidRPr="00BD6197">
              <w:rPr>
                <w:lang w:val="en-US"/>
              </w:rPr>
              <w:t xml:space="preserve">Averaged effective height, </w:t>
            </w:r>
            <w:r w:rsidRPr="00BD6197">
              <w:rPr>
                <w:i/>
                <w:iCs/>
                <w:lang w:val="en-US"/>
              </w:rPr>
              <w:t>h</w:t>
            </w:r>
            <w:r w:rsidRPr="00BD6197">
              <w:rPr>
                <w:i/>
                <w:iCs/>
                <w:vertAlign w:val="subscript"/>
                <w:lang w:val="en-US"/>
              </w:rPr>
              <w:t>ef</w:t>
            </w:r>
            <w:r w:rsidRPr="00BD6197">
              <w:rPr>
                <w:i/>
                <w:iCs/>
                <w:lang w:val="en-US"/>
              </w:rPr>
              <w:t xml:space="preserve"> </w:t>
            </w:r>
            <w:r w:rsidRPr="00BD6197">
              <w:rPr>
                <w:lang w:val="en-US"/>
              </w:rPr>
              <w:t>(m)</w:t>
            </w:r>
          </w:p>
        </w:tc>
        <w:tc>
          <w:tcPr>
            <w:tcW w:w="5050" w:type="dxa"/>
            <w:gridSpan w:val="4"/>
          </w:tcPr>
          <w:p w:rsidR="00831CFB" w:rsidRPr="00BD6197" w:rsidRDefault="00831CFB" w:rsidP="000F2BA7">
            <w:pPr>
              <w:pStyle w:val="Tabletext"/>
              <w:jc w:val="center"/>
              <w:rPr>
                <w:lang w:val="en-US"/>
              </w:rPr>
            </w:pPr>
            <w:r w:rsidRPr="00BD6197">
              <w:rPr>
                <w:lang w:val="en-US"/>
              </w:rPr>
              <w:t>213</w:t>
            </w:r>
          </w:p>
        </w:tc>
      </w:tr>
    </w:tbl>
    <w:p w:rsidR="00831CFB" w:rsidRPr="00BD6197" w:rsidRDefault="00831CFB" w:rsidP="00831CFB">
      <w:pPr>
        <w:pStyle w:val="Tablefin"/>
        <w:rPr>
          <w:lang w:val="en-US"/>
        </w:rPr>
      </w:pPr>
    </w:p>
    <w:p w:rsidR="00831CFB" w:rsidRPr="00BD6197" w:rsidRDefault="00831CFB" w:rsidP="00831CFB">
      <w:pPr>
        <w:pStyle w:val="Headingb"/>
      </w:pPr>
      <w:bookmarkStart w:id="1613" w:name="_Toc454284907"/>
      <w:bookmarkStart w:id="1614" w:name="_Toc462234076"/>
      <w:r w:rsidRPr="00BD6197">
        <w:t>c)</w:t>
      </w:r>
      <w:r w:rsidRPr="00BD6197">
        <w:tab/>
        <w:t>Service area calculation</w:t>
      </w:r>
      <w:bookmarkEnd w:id="1613"/>
      <w:bookmarkEnd w:id="1614"/>
    </w:p>
    <w:p w:rsidR="00831CFB" w:rsidRPr="00BD6197" w:rsidRDefault="00831CFB" w:rsidP="00831CFB">
      <w:pPr>
        <w:rPr>
          <w:lang w:val="en-US"/>
        </w:rPr>
      </w:pPr>
      <w:r w:rsidRPr="00BD6197">
        <w:rPr>
          <w:lang w:val="en-US"/>
        </w:rPr>
        <w:t xml:space="preserve">Having calculated service area radius, </w:t>
      </w:r>
      <w:r w:rsidRPr="00BD6197">
        <w:rPr>
          <w:i/>
          <w:lang w:val="en-US"/>
        </w:rPr>
        <w:t>R</w:t>
      </w:r>
      <w:r w:rsidRPr="00BD6197">
        <w:rPr>
          <w:lang w:val="en-US"/>
        </w:rPr>
        <w:t>,</w:t>
      </w:r>
      <w:r w:rsidRPr="00BD6197">
        <w:rPr>
          <w:iCs/>
          <w:lang w:val="en-US"/>
        </w:rPr>
        <w:t xml:space="preserve"> (km)</w:t>
      </w:r>
      <w:r w:rsidRPr="00BD6197">
        <w:rPr>
          <w:lang w:val="en-US"/>
        </w:rPr>
        <w:t xml:space="preserve"> in accordance with procedures presented in a) and b), a service area, </w:t>
      </w:r>
      <w:r w:rsidRPr="00BD6197">
        <w:rPr>
          <w:i/>
          <w:iCs/>
          <w:lang w:val="en-US"/>
        </w:rPr>
        <w:t>s</w:t>
      </w:r>
      <w:r w:rsidRPr="00BD6197">
        <w:rPr>
          <w:lang w:val="en-US"/>
        </w:rPr>
        <w:t>, is obviously calculated as:</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r>
      <w:r w:rsidRPr="00BD6197">
        <w:rPr>
          <w:i/>
          <w:iCs/>
          <w:lang w:val="en-US"/>
        </w:rPr>
        <w:t>s</w:t>
      </w:r>
      <w:r w:rsidRPr="00BD6197">
        <w:rPr>
          <w:lang w:val="en-US"/>
        </w:rPr>
        <w:t xml:space="preserve"> </w:t>
      </w:r>
      <w:r w:rsidRPr="00BD6197">
        <w:rPr>
          <w:rFonts w:ascii="Symbol" w:hAnsi="Symbol"/>
          <w:lang w:val="en-US"/>
        </w:rPr>
        <w:t></w:t>
      </w:r>
      <w:r w:rsidRPr="00BD6197">
        <w:rPr>
          <w:lang w:val="en-US"/>
        </w:rPr>
        <w:t xml:space="preserve"> </w:t>
      </w:r>
      <w:r w:rsidRPr="00BD6197">
        <w:rPr>
          <w:rFonts w:ascii="Symbol" w:hAnsi="Symbol"/>
          <w:lang w:val="en-US"/>
        </w:rPr>
        <w:t></w:t>
      </w:r>
      <w:r w:rsidRPr="00BD6197">
        <w:rPr>
          <w:rFonts w:ascii="Symbol" w:hAnsi="Symbol"/>
          <w:i/>
          <w:lang w:val="en-US"/>
        </w:rPr>
        <w:t></w:t>
      </w:r>
      <w:r w:rsidRPr="00BD6197">
        <w:rPr>
          <w:i/>
          <w:lang w:val="en-US"/>
        </w:rPr>
        <w:t>R</w:t>
      </w:r>
      <w:r w:rsidRPr="00BD6197">
        <w:rPr>
          <w:iCs/>
          <w:vertAlign w:val="superscript"/>
          <w:lang w:val="en-US"/>
        </w:rPr>
        <w:t>2</w:t>
      </w:r>
      <w:r w:rsidRPr="00BD6197">
        <w:rPr>
          <w:lang w:val="en-US"/>
        </w:rPr>
        <w:t>                km</w:t>
      </w:r>
      <w:r w:rsidRPr="00BD6197">
        <w:rPr>
          <w:vertAlign w:val="superscript"/>
          <w:lang w:val="en-US"/>
        </w:rPr>
        <w:t>2</w:t>
      </w:r>
      <w:r w:rsidRPr="00BD6197">
        <w:rPr>
          <w:lang w:val="en-US"/>
        </w:rPr>
        <w:tab/>
        <w:t>(31)</w:t>
      </w:r>
    </w:p>
    <w:p w:rsidR="00831CFB" w:rsidRPr="00BD6197" w:rsidRDefault="00831CFB" w:rsidP="00831CFB">
      <w:pPr>
        <w:pStyle w:val="Blanc"/>
        <w:rPr>
          <w:lang w:val="en-US"/>
        </w:rPr>
      </w:pPr>
    </w:p>
    <w:p w:rsidR="00831CFB" w:rsidRPr="00BD6197" w:rsidRDefault="00831CFB" w:rsidP="00831CFB">
      <w:pPr>
        <w:rPr>
          <w:lang w:val="en-US"/>
        </w:rPr>
      </w:pPr>
      <w:r w:rsidRPr="00BD6197">
        <w:rPr>
          <w:lang w:val="en-US"/>
        </w:rPr>
        <w:t>It can happen that a service area contains two (see example at Fig. 5) or even three (see example at Fig. 6) zones belonging to different license fees categories, as it was mentioned in § 5.2 of the model. It can also happen at the border of a country with other ones. In these cases, and when an administration has not got an digital administrative terrain data base interrelated with relevant frequency assignment software, the following simplified procedures are applicable for calculation of parts of the service area belonging to different zones.</w:t>
      </w:r>
    </w:p>
    <w:p w:rsidR="00831CFB" w:rsidRPr="00BD6197" w:rsidRDefault="00831CFB" w:rsidP="00831CFB">
      <w:pPr>
        <w:rPr>
          <w:bCs/>
          <w:lang w:val="en-US"/>
        </w:rPr>
      </w:pPr>
      <w:r w:rsidRPr="00BD6197">
        <w:rPr>
          <w:bCs/>
          <w:lang w:val="en-US"/>
        </w:rPr>
        <w:t xml:space="preserve">The actual border curves are approximated by straight lines situated in such ways that areas between actual border curves and relevant approximating lines, at each sides of these lines, would be approximately equal (see Figs 5 and 6). Approximating line between zones </w:t>
      </w:r>
      <w:r w:rsidRPr="00BD6197">
        <w:rPr>
          <w:position w:val="-10"/>
          <w:lang w:val="en-US"/>
        </w:rPr>
        <w:object w:dxaOrig="279" w:dyaOrig="340">
          <v:shape id="_x0000_i1036" type="#_x0000_t75" style="width:13.5pt;height:17.25pt" o:ole="">
            <v:imagedata r:id="rId44" o:title=""/>
          </v:shape>
          <o:OLEObject Type="Embed" ProgID="Equation.3" ShapeID="_x0000_i1036" DrawAspect="Content" ObjectID="_1604324990" r:id="rId45"/>
        </w:object>
      </w:r>
      <w:r w:rsidRPr="00BD6197">
        <w:rPr>
          <w:bCs/>
          <w:lang w:val="en-US"/>
        </w:rPr>
        <w:t xml:space="preserve"> and </w:t>
      </w:r>
      <w:r w:rsidRPr="00BD6197">
        <w:rPr>
          <w:i/>
          <w:iCs/>
          <w:lang w:val="en-US"/>
        </w:rPr>
        <w:t>S</w:t>
      </w:r>
      <w:r w:rsidRPr="00BD6197">
        <w:rPr>
          <w:vertAlign w:val="subscript"/>
          <w:lang w:val="en-US"/>
        </w:rPr>
        <w:t xml:space="preserve">3 </w:t>
      </w:r>
      <w:r w:rsidRPr="00BD6197">
        <w:rPr>
          <w:bCs/>
          <w:lang w:val="en-US"/>
        </w:rPr>
        <w:t>at Fig. 6 should also go along a radius of a service area, as it is presented at that figure.</w:t>
      </w:r>
    </w:p>
    <w:p w:rsidR="00831CFB" w:rsidRPr="00BD6197" w:rsidRDefault="00831CFB" w:rsidP="00831CFB">
      <w:pPr>
        <w:pStyle w:val="FigureNo"/>
        <w:rPr>
          <w:lang w:val="en-US"/>
        </w:rPr>
      </w:pPr>
      <w:r w:rsidRPr="00BD6197">
        <w:rPr>
          <w:lang w:val="en-US"/>
        </w:rPr>
        <w:lastRenderedPageBreak/>
        <w:t>FIGURE 5</w:t>
      </w:r>
    </w:p>
    <w:p w:rsidR="00831CFB" w:rsidRPr="00BD6197" w:rsidRDefault="00831CFB" w:rsidP="00831CFB">
      <w:pPr>
        <w:pStyle w:val="Figuretitle"/>
        <w:rPr>
          <w:lang w:val="en-US"/>
        </w:rPr>
      </w:pPr>
      <w:r w:rsidRPr="00BD6197">
        <w:rPr>
          <w:lang w:val="en-US"/>
        </w:rPr>
        <w:t>Example with covering two different zones</w:t>
      </w:r>
    </w:p>
    <w:p w:rsidR="00831CFB" w:rsidRPr="00BD6197" w:rsidRDefault="00831CFB" w:rsidP="00831CFB">
      <w:pPr>
        <w:pStyle w:val="Figure"/>
        <w:rPr>
          <w:lang w:val="en-US"/>
        </w:rPr>
      </w:pPr>
      <w:r w:rsidRPr="00BD6197">
        <w:rPr>
          <w:lang w:val="en-US"/>
        </w:rPr>
        <w:object w:dxaOrig="6034" w:dyaOrig="5284">
          <v:shape id="_x0000_i1037" type="#_x0000_t75" style="width:300.75pt;height:264pt" o:ole="">
            <v:imagedata r:id="rId46" o:title=""/>
          </v:shape>
          <o:OLEObject Type="Embed" ProgID="CorelDRAW.Graphic.14" ShapeID="_x0000_i1037" DrawAspect="Content" ObjectID="_1604324991" r:id="rId47"/>
        </w:object>
      </w:r>
    </w:p>
    <w:p w:rsidR="00831CFB" w:rsidRPr="00BD6197" w:rsidRDefault="00831CFB" w:rsidP="00831CFB">
      <w:pPr>
        <w:pStyle w:val="FigureNo"/>
        <w:rPr>
          <w:lang w:val="en-US"/>
        </w:rPr>
      </w:pPr>
      <w:r w:rsidRPr="00BD6197">
        <w:rPr>
          <w:lang w:val="en-US"/>
        </w:rPr>
        <w:t>FIGURE 6</w:t>
      </w:r>
    </w:p>
    <w:p w:rsidR="00831CFB" w:rsidRPr="00BD6197" w:rsidRDefault="00831CFB" w:rsidP="00831CFB">
      <w:pPr>
        <w:pStyle w:val="Figuretitle"/>
        <w:rPr>
          <w:lang w:val="en-US"/>
        </w:rPr>
      </w:pPr>
      <w:r w:rsidRPr="00BD6197">
        <w:rPr>
          <w:lang w:val="en-US"/>
        </w:rPr>
        <w:t>Example with covering three different zones</w:t>
      </w:r>
    </w:p>
    <w:p w:rsidR="00831CFB" w:rsidRPr="00BD6197" w:rsidRDefault="00831CFB" w:rsidP="00831CFB">
      <w:pPr>
        <w:pStyle w:val="Figure"/>
        <w:rPr>
          <w:lang w:val="en-US"/>
        </w:rPr>
      </w:pPr>
      <w:r w:rsidRPr="00BD6197">
        <w:rPr>
          <w:lang w:val="en-US"/>
        </w:rPr>
        <w:object w:dxaOrig="6034" w:dyaOrig="5483">
          <v:shape id="_x0000_i1038" type="#_x0000_t75" style="width:300.75pt;height:274.5pt" o:ole="">
            <v:imagedata r:id="rId48" o:title=""/>
          </v:shape>
          <o:OLEObject Type="Embed" ProgID="CorelDRAW.Graphic.14" ShapeID="_x0000_i1038" DrawAspect="Content" ObjectID="_1604324992" r:id="rId49"/>
        </w:object>
      </w:r>
    </w:p>
    <w:p w:rsidR="00831CFB" w:rsidRPr="00BD6197" w:rsidRDefault="00831CFB" w:rsidP="00831CFB">
      <w:pPr>
        <w:keepNext/>
        <w:rPr>
          <w:lang w:val="en-US"/>
        </w:rPr>
      </w:pPr>
      <w:r w:rsidRPr="00BD6197">
        <w:rPr>
          <w:lang w:val="en-US"/>
        </w:rPr>
        <w:lastRenderedPageBreak/>
        <w:t xml:space="preserve">Segment </w:t>
      </w:r>
      <w:r w:rsidRPr="00BD6197">
        <w:rPr>
          <w:bCs/>
          <w:i/>
          <w:iCs/>
          <w:lang w:val="en-US"/>
        </w:rPr>
        <w:t>S</w:t>
      </w:r>
      <w:r w:rsidRPr="00BD6197">
        <w:rPr>
          <w:bCs/>
          <w:vertAlign w:val="subscript"/>
          <w:lang w:val="en-US"/>
        </w:rPr>
        <w:t>2</w:t>
      </w:r>
      <w:r w:rsidRPr="00BD6197">
        <w:rPr>
          <w:b/>
          <w:lang w:val="en-US"/>
        </w:rPr>
        <w:t xml:space="preserve"> </w:t>
      </w:r>
      <w:r w:rsidRPr="00BD6197">
        <w:rPr>
          <w:lang w:val="en-US"/>
        </w:rPr>
        <w:t xml:space="preserve">area </w:t>
      </w:r>
      <w:r w:rsidRPr="00BD6197">
        <w:rPr>
          <w:rFonts w:ascii="Symbol" w:hAnsi="Symbol"/>
          <w:lang w:val="en-US"/>
        </w:rPr>
        <w:t></w:t>
      </w:r>
      <w:r w:rsidRPr="00BD6197">
        <w:rPr>
          <w:i/>
          <w:iCs/>
          <w:lang w:val="en-US"/>
        </w:rPr>
        <w:t>S</w:t>
      </w:r>
      <w:r w:rsidRPr="00BD6197">
        <w:rPr>
          <w:vertAlign w:val="subscript"/>
          <w:lang w:val="en-US"/>
        </w:rPr>
        <w:t>2</w:t>
      </w:r>
      <w:r w:rsidRPr="00BD6197">
        <w:rPr>
          <w:b/>
          <w:lang w:val="en-US"/>
        </w:rPr>
        <w:t xml:space="preserve"> </w:t>
      </w:r>
      <w:r w:rsidRPr="00BD6197">
        <w:rPr>
          <w:lang w:val="en-US"/>
        </w:rPr>
        <w:t>for two-zone case (Fig. 5) is calculated as:</w:t>
      </w:r>
    </w:p>
    <w:p w:rsidR="00831CFB" w:rsidRPr="00BD6197" w:rsidRDefault="00831CFB" w:rsidP="00831CFB">
      <w:pPr>
        <w:pStyle w:val="Blanc"/>
        <w:rPr>
          <w:lang w:val="en-US"/>
        </w:rPr>
      </w:pPr>
    </w:p>
    <w:p w:rsidR="00831CFB" w:rsidRPr="00BD6197" w:rsidRDefault="00831CFB" w:rsidP="00831CFB">
      <w:pPr>
        <w:pStyle w:val="Equation"/>
        <w:keepNext/>
        <w:rPr>
          <w:lang w:val="en-US"/>
        </w:rPr>
      </w:pPr>
      <w:r w:rsidRPr="00BD6197">
        <w:rPr>
          <w:lang w:val="en-US"/>
        </w:rPr>
        <w:tab/>
      </w:r>
      <w:r w:rsidRPr="00BD6197">
        <w:rPr>
          <w:lang w:val="en-US"/>
        </w:rPr>
        <w:tab/>
      </w:r>
      <w:r w:rsidRPr="00BD6197">
        <w:rPr>
          <w:position w:val="-26"/>
          <w:lang w:val="en-US"/>
        </w:rPr>
        <w:object w:dxaOrig="2600" w:dyaOrig="700">
          <v:shape id="_x0000_i1039" type="#_x0000_t75" style="width:124.5pt;height:35.25pt" o:ole="" fillcolor="window">
            <v:imagedata r:id="rId50" o:title=""/>
          </v:shape>
          <o:OLEObject Type="Embed" ProgID="Equation.3" ShapeID="_x0000_i1039" DrawAspect="Content" ObjectID="_1604324993" r:id="rId51"/>
        </w:object>
      </w:r>
      <w:r w:rsidRPr="00BD6197">
        <w:rPr>
          <w:lang w:val="en-US"/>
        </w:rPr>
        <w:tab/>
        <w:t>(32)</w:t>
      </w:r>
    </w:p>
    <w:p w:rsidR="00831CFB" w:rsidRPr="00BD6197" w:rsidRDefault="00831CFB" w:rsidP="00831CFB">
      <w:pPr>
        <w:rPr>
          <w:lang w:val="en-US"/>
        </w:rPr>
      </w:pPr>
      <w:r w:rsidRPr="00BD6197">
        <w:rPr>
          <w:lang w:val="en-US"/>
        </w:rPr>
        <w:t>where:</w:t>
      </w:r>
    </w:p>
    <w:p w:rsidR="00831CFB" w:rsidRPr="00BD6197" w:rsidRDefault="00831CFB" w:rsidP="00831CFB">
      <w:pPr>
        <w:pStyle w:val="Equationlegend"/>
      </w:pPr>
      <w:r w:rsidRPr="00BD6197">
        <w:tab/>
      </w:r>
      <w:r w:rsidRPr="00BD6197">
        <w:rPr>
          <w:rFonts w:ascii="Symbol" w:hAnsi="Symbol"/>
        </w:rPr>
        <w:t></w:t>
      </w:r>
      <w:r w:rsidRPr="00BD6197">
        <w:rPr>
          <w:vertAlign w:val="subscript"/>
        </w:rPr>
        <w:t>2</w:t>
      </w:r>
      <w:r w:rsidRPr="00BD6197">
        <w:rPr>
          <w:rFonts w:ascii="Tms Rmn" w:hAnsi="Tms Rmn"/>
          <w:sz w:val="12"/>
        </w:rPr>
        <w:t> </w:t>
      </w:r>
      <w:r w:rsidRPr="00BD6197">
        <w:t>:</w:t>
      </w:r>
      <w:r w:rsidRPr="00BD6197">
        <w:tab/>
        <w:t>relevant sector angle (see Fig. 5)</w:t>
      </w:r>
    </w:p>
    <w:p w:rsidR="00831CFB" w:rsidRPr="00BD6197" w:rsidRDefault="00831CFB" w:rsidP="00831CFB">
      <w:pPr>
        <w:rPr>
          <w:lang w:val="en-US"/>
        </w:rPr>
      </w:pPr>
      <w:r w:rsidRPr="00BD6197">
        <w:rPr>
          <w:lang w:val="en-US"/>
        </w:rPr>
        <w:t xml:space="preserve">and segment </w:t>
      </w:r>
      <w:r w:rsidRPr="00BD6197">
        <w:rPr>
          <w:i/>
          <w:iCs/>
          <w:lang w:val="en-US"/>
        </w:rPr>
        <w:t>S</w:t>
      </w:r>
      <w:r w:rsidRPr="00BD6197">
        <w:rPr>
          <w:vertAlign w:val="subscript"/>
          <w:lang w:val="en-US"/>
        </w:rPr>
        <w:t>1</w:t>
      </w:r>
      <w:r w:rsidRPr="00BD6197">
        <w:rPr>
          <w:lang w:val="en-US"/>
        </w:rPr>
        <w:t xml:space="preserve"> area </w:t>
      </w:r>
      <w:r w:rsidRPr="00BD6197">
        <w:rPr>
          <w:rFonts w:ascii="Symbol" w:hAnsi="Symbol"/>
          <w:lang w:val="en-US"/>
        </w:rPr>
        <w:t></w:t>
      </w:r>
      <w:r w:rsidRPr="00BD6197">
        <w:rPr>
          <w:i/>
          <w:iCs/>
          <w:lang w:val="en-US"/>
        </w:rPr>
        <w:t>S</w:t>
      </w:r>
      <w:r w:rsidRPr="00BD6197">
        <w:rPr>
          <w:vertAlign w:val="subscript"/>
          <w:lang w:val="en-US"/>
        </w:rPr>
        <w:t>1</w:t>
      </w:r>
      <w:r w:rsidRPr="00BD6197">
        <w:rPr>
          <w:lang w:val="en-US"/>
        </w:rPr>
        <w:t xml:space="preserve"> is determined as:</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r>
      <w:r w:rsidRPr="00BD6197">
        <w:rPr>
          <w:position w:val="-10"/>
          <w:lang w:val="en-US"/>
        </w:rPr>
        <w:object w:dxaOrig="1560" w:dyaOrig="400">
          <v:shape id="_x0000_i1040" type="#_x0000_t75" style="width:77.25pt;height:21pt" o:ole="">
            <v:imagedata r:id="rId52" o:title=""/>
          </v:shape>
          <o:OLEObject Type="Embed" ProgID="Equation.3" ShapeID="_x0000_i1040" DrawAspect="Content" ObjectID="_1604324994" r:id="rId53"/>
        </w:object>
      </w:r>
      <w:r w:rsidRPr="00BD6197">
        <w:rPr>
          <w:lang w:val="en-US"/>
        </w:rPr>
        <w:tab/>
        <w:t>(33)</w:t>
      </w:r>
    </w:p>
    <w:p w:rsidR="00831CFB" w:rsidRPr="00BD6197" w:rsidRDefault="00831CFB" w:rsidP="00831CFB">
      <w:pPr>
        <w:rPr>
          <w:lang w:val="en-US"/>
        </w:rPr>
      </w:pPr>
      <w:r w:rsidRPr="00BD6197">
        <w:rPr>
          <w:lang w:val="en-US"/>
        </w:rPr>
        <w:t xml:space="preserve">In three-zone case (Fig. 6) parts </w:t>
      </w:r>
      <w:r w:rsidRPr="00BD6197">
        <w:rPr>
          <w:position w:val="-10"/>
          <w:lang w:val="en-US"/>
        </w:rPr>
        <w:object w:dxaOrig="300" w:dyaOrig="340">
          <v:shape id="_x0000_i1041" type="#_x0000_t75" style="width:15pt;height:17.25pt" o:ole="">
            <v:imagedata r:id="rId54" o:title=""/>
          </v:shape>
          <o:OLEObject Type="Embed" ProgID="Equation.3" ShapeID="_x0000_i1041" DrawAspect="Content" ObjectID="_1604324995" r:id="rId55"/>
        </w:object>
      </w:r>
      <w:r w:rsidRPr="00BD6197">
        <w:rPr>
          <w:lang w:val="en-US"/>
        </w:rPr>
        <w:t xml:space="preserve"> and </w:t>
      </w:r>
      <w:r w:rsidRPr="00BD6197">
        <w:rPr>
          <w:i/>
          <w:iCs/>
          <w:lang w:val="en-US"/>
        </w:rPr>
        <w:t>S</w:t>
      </w:r>
      <w:r w:rsidRPr="00BD6197">
        <w:rPr>
          <w:vertAlign w:val="subscript"/>
          <w:lang w:val="en-US"/>
        </w:rPr>
        <w:t>3</w:t>
      </w:r>
      <w:r w:rsidRPr="00BD6197">
        <w:rPr>
          <w:szCs w:val="24"/>
          <w:lang w:val="en-US"/>
        </w:rPr>
        <w:t xml:space="preserve"> </w:t>
      </w:r>
      <w:r w:rsidRPr="00BD6197">
        <w:rPr>
          <w:lang w:val="en-US"/>
        </w:rPr>
        <w:t>of common sector (</w:t>
      </w:r>
      <w:r w:rsidRPr="00BD6197">
        <w:rPr>
          <w:position w:val="-10"/>
          <w:lang w:val="en-US"/>
        </w:rPr>
        <w:object w:dxaOrig="300" w:dyaOrig="340">
          <v:shape id="_x0000_i1042" type="#_x0000_t75" style="width:15pt;height:17.25pt" o:ole="">
            <v:imagedata r:id="rId54" o:title=""/>
          </v:shape>
          <o:OLEObject Type="Embed" ProgID="Equation.3" ShapeID="_x0000_i1042" DrawAspect="Content" ObjectID="_1604324996" r:id="rId56"/>
        </w:object>
      </w:r>
      <w:r w:rsidRPr="00BD6197">
        <w:rPr>
          <w:lang w:val="en-US"/>
        </w:rPr>
        <w:t> </w:t>
      </w:r>
      <w:r w:rsidRPr="00BD6197">
        <w:rPr>
          <w:rFonts w:ascii="Symbol" w:hAnsi="Symbol"/>
          <w:lang w:val="en-US"/>
        </w:rPr>
        <w:t></w:t>
      </w:r>
      <w:r w:rsidRPr="00BD6197">
        <w:rPr>
          <w:lang w:val="en-US"/>
        </w:rPr>
        <w:t> </w:t>
      </w:r>
      <w:r w:rsidRPr="00BD6197">
        <w:rPr>
          <w:i/>
          <w:iCs/>
          <w:lang w:val="en-US"/>
        </w:rPr>
        <w:t>S</w:t>
      </w:r>
      <w:r w:rsidRPr="00BD6197">
        <w:rPr>
          <w:vertAlign w:val="subscript"/>
          <w:lang w:val="en-US"/>
        </w:rPr>
        <w:t>3</w:t>
      </w:r>
      <w:r w:rsidRPr="00BD6197">
        <w:rPr>
          <w:lang w:val="en-US"/>
        </w:rPr>
        <w:t>) have correspondingly the following areas:</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r>
      <w:r w:rsidRPr="00BD6197">
        <w:rPr>
          <w:position w:val="-26"/>
          <w:lang w:val="en-US"/>
        </w:rPr>
        <w:object w:dxaOrig="2799" w:dyaOrig="700">
          <v:shape id="_x0000_i1043" type="#_x0000_t75" style="width:135.75pt;height:35.25pt" o:ole="" fillcolor="window">
            <v:imagedata r:id="rId57" o:title=""/>
          </v:shape>
          <o:OLEObject Type="Embed" ProgID="Equation.3" ShapeID="_x0000_i1043" DrawAspect="Content" ObjectID="_1604324997" r:id="rId58"/>
        </w:object>
      </w:r>
      <w:r w:rsidRPr="00BD6197">
        <w:rPr>
          <w:lang w:val="en-US"/>
        </w:rPr>
        <w:tab/>
        <w:t>(34)</w:t>
      </w:r>
    </w:p>
    <w:p w:rsidR="00831CFB" w:rsidRPr="00BD6197" w:rsidRDefault="00831CFB" w:rsidP="00831CFB">
      <w:pPr>
        <w:pStyle w:val="Equation"/>
        <w:rPr>
          <w:lang w:val="en-US"/>
        </w:rPr>
      </w:pPr>
      <w:r w:rsidRPr="00BD6197">
        <w:rPr>
          <w:lang w:val="en-US"/>
        </w:rPr>
        <w:tab/>
      </w:r>
      <w:r w:rsidRPr="00BD6197">
        <w:rPr>
          <w:lang w:val="en-US"/>
        </w:rPr>
        <w:tab/>
      </w:r>
      <w:r w:rsidRPr="00BD6197">
        <w:rPr>
          <w:position w:val="-26"/>
          <w:lang w:val="en-US"/>
        </w:rPr>
        <w:object w:dxaOrig="2740" w:dyaOrig="700">
          <v:shape id="_x0000_i1044" type="#_x0000_t75" style="width:138pt;height:35.25pt" o:ole="" fillcolor="window">
            <v:imagedata r:id="rId59" o:title=""/>
          </v:shape>
          <o:OLEObject Type="Embed" ProgID="Equation.3" ShapeID="_x0000_i1044" DrawAspect="Content" ObjectID="_1604324998" r:id="rId60"/>
        </w:object>
      </w:r>
      <w:r w:rsidRPr="00BD6197">
        <w:rPr>
          <w:lang w:val="en-US"/>
        </w:rPr>
        <w:tab/>
        <w:t>(35)</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r>
      <w:r w:rsidRPr="00BD6197">
        <w:rPr>
          <w:position w:val="-24"/>
          <w:lang w:val="en-US"/>
        </w:rPr>
        <w:object w:dxaOrig="780" w:dyaOrig="620">
          <v:shape id="_x0000_i1045" type="#_x0000_t75" style="width:38.25pt;height:30.75pt" o:ole="" fillcolor="window">
            <v:imagedata r:id="rId61" o:title=""/>
          </v:shape>
          <o:OLEObject Type="Embed" ProgID="Equation.3" ShapeID="_x0000_i1045" DrawAspect="Content" ObjectID="_1604324999" r:id="rId62"/>
        </w:object>
      </w:r>
    </w:p>
    <w:p w:rsidR="00831CFB" w:rsidRPr="00BD6197" w:rsidRDefault="00831CFB" w:rsidP="00831CFB">
      <w:pPr>
        <w:pStyle w:val="Blanc"/>
        <w:rPr>
          <w:lang w:val="en-US"/>
        </w:rPr>
      </w:pPr>
    </w:p>
    <w:p w:rsidR="00831CFB" w:rsidRPr="00BD6197" w:rsidRDefault="00831CFB" w:rsidP="00831CFB">
      <w:pPr>
        <w:rPr>
          <w:lang w:val="en-US"/>
        </w:rPr>
      </w:pPr>
      <w:r w:rsidRPr="00BD6197">
        <w:rPr>
          <w:lang w:val="en-US"/>
        </w:rPr>
        <w:t>where:</w:t>
      </w:r>
    </w:p>
    <w:p w:rsidR="00831CFB" w:rsidRPr="00BD6197" w:rsidRDefault="00831CFB" w:rsidP="00831CFB">
      <w:pPr>
        <w:pStyle w:val="Equationlegend"/>
      </w:pPr>
      <w:r w:rsidRPr="00BD6197">
        <w:rPr>
          <w:i/>
        </w:rPr>
        <w:tab/>
        <w:t>H</w:t>
      </w:r>
      <w:r w:rsidRPr="00BD6197">
        <w:t>:</w:t>
      </w:r>
      <w:r w:rsidRPr="00BD6197">
        <w:tab/>
        <w:t>distance from a transmitter to the junction point of approximating lines (see Fig. 6) (km)</w:t>
      </w:r>
      <w:r>
        <w:t>;</w:t>
      </w:r>
    </w:p>
    <w:p w:rsidR="00831CFB" w:rsidRPr="00BD6197" w:rsidRDefault="00831CFB" w:rsidP="00831CFB">
      <w:pPr>
        <w:pStyle w:val="Equationlegend"/>
      </w:pPr>
      <w:r w:rsidRPr="00BD6197">
        <w:tab/>
      </w:r>
      <w:r w:rsidRPr="00BD6197">
        <w:rPr>
          <w:position w:val="-10"/>
        </w:rPr>
        <w:object w:dxaOrig="320" w:dyaOrig="340">
          <v:shape id="_x0000_i1046" type="#_x0000_t75" style="width:16.5pt;height:17.25pt" o:ole="" fillcolor="window">
            <v:imagedata r:id="rId63" o:title=""/>
          </v:shape>
          <o:OLEObject Type="Embed" ProgID="Equation.3" ShapeID="_x0000_i1046" DrawAspect="Content" ObjectID="_1604325000" r:id="rId64"/>
        </w:object>
      </w:r>
      <w:r w:rsidRPr="00BD6197">
        <w:t xml:space="preserve"> and </w:t>
      </w:r>
      <w:r w:rsidRPr="00BD6197">
        <w:rPr>
          <w:position w:val="-12"/>
        </w:rPr>
        <w:object w:dxaOrig="279" w:dyaOrig="360">
          <v:shape id="_x0000_i1047" type="#_x0000_t75" style="width:13.5pt;height:19.5pt" o:ole="" fillcolor="window">
            <v:imagedata r:id="rId65" o:title=""/>
          </v:shape>
          <o:OLEObject Type="Embed" ProgID="Equation.3" ShapeID="_x0000_i1047" DrawAspect="Content" ObjectID="_1604325001" r:id="rId66"/>
        </w:object>
      </w:r>
      <w:r w:rsidRPr="00BD6197">
        <w:t>:</w:t>
      </w:r>
      <w:r w:rsidRPr="00BD6197">
        <w:tab/>
        <w:t>relevant sector angles (see Fig. 6) (degrees).</w:t>
      </w:r>
    </w:p>
    <w:p w:rsidR="00831CFB" w:rsidRPr="00BD6197" w:rsidRDefault="00831CFB" w:rsidP="00831CFB">
      <w:pPr>
        <w:rPr>
          <w:lang w:val="en-US"/>
        </w:rPr>
      </w:pPr>
      <w:r w:rsidRPr="00BD6197">
        <w:rPr>
          <w:lang w:val="en-US"/>
        </w:rPr>
        <w:t>Then:</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r>
      <w:r w:rsidRPr="00BD6197">
        <w:rPr>
          <w:position w:val="-12"/>
          <w:lang w:val="en-US"/>
        </w:rPr>
        <w:object w:dxaOrig="2340" w:dyaOrig="420">
          <v:shape id="_x0000_i1048" type="#_x0000_t75" style="width:117pt;height:21.75pt" o:ole="">
            <v:imagedata r:id="rId67" o:title=""/>
          </v:shape>
          <o:OLEObject Type="Embed" ProgID="Equation.3" ShapeID="_x0000_i1048" DrawAspect="Content" ObjectID="_1604325002" r:id="rId68"/>
        </w:object>
      </w:r>
      <w:r w:rsidRPr="00BD6197">
        <w:rPr>
          <w:lang w:val="en-US"/>
        </w:rPr>
        <w:tab/>
        <w:t>(36)</w:t>
      </w:r>
    </w:p>
    <w:p w:rsidR="00831CFB" w:rsidRPr="00BD6197" w:rsidRDefault="00831CFB" w:rsidP="00831CFB">
      <w:pPr>
        <w:pStyle w:val="Blanc"/>
        <w:rPr>
          <w:lang w:val="en-US"/>
        </w:rPr>
      </w:pPr>
    </w:p>
    <w:p w:rsidR="00831CFB" w:rsidRPr="00BD6197" w:rsidRDefault="00831CFB" w:rsidP="00831CFB">
      <w:pPr>
        <w:rPr>
          <w:lang w:val="en-US"/>
        </w:rPr>
      </w:pPr>
      <w:r w:rsidRPr="00BD6197">
        <w:rPr>
          <w:lang w:val="en-US"/>
        </w:rPr>
        <w:t xml:space="preserve">As an example, let us calculate relative areas for the three-zone case presented at Fig. 6. From the figure we have: </w:t>
      </w:r>
      <w:r w:rsidRPr="00BD6197">
        <w:rPr>
          <w:position w:val="-10"/>
          <w:lang w:val="en-US"/>
        </w:rPr>
        <w:object w:dxaOrig="320" w:dyaOrig="340">
          <v:shape id="_x0000_i1049" type="#_x0000_t75" style="width:16.5pt;height:17.25pt" o:ole="" fillcolor="window">
            <v:imagedata r:id="rId69" o:title=""/>
          </v:shape>
          <o:OLEObject Type="Embed" ProgID="Equation.3" ShapeID="_x0000_i1049" DrawAspect="Content" ObjectID="_1604325003" r:id="rId70"/>
        </w:object>
      </w:r>
      <w:r w:rsidRPr="00BD6197">
        <w:rPr>
          <w:lang w:val="en-US"/>
        </w:rPr>
        <w:t> </w:t>
      </w:r>
      <w:r w:rsidRPr="00BD6197">
        <w:rPr>
          <w:rFonts w:ascii="Symbol" w:hAnsi="Symbol"/>
          <w:lang w:val="en-US"/>
        </w:rPr>
        <w:t></w:t>
      </w:r>
      <w:r w:rsidRPr="00BD6197">
        <w:rPr>
          <w:lang w:val="en-US"/>
        </w:rPr>
        <w:t> 88</w:t>
      </w:r>
      <w:r w:rsidRPr="00BD6197">
        <w:rPr>
          <w:rFonts w:ascii="Symbol" w:hAnsi="Symbol"/>
          <w:lang w:val="en-US"/>
        </w:rPr>
        <w:t></w:t>
      </w:r>
      <w:r w:rsidRPr="00BD6197">
        <w:rPr>
          <w:lang w:val="en-US"/>
        </w:rPr>
        <w:t xml:space="preserve">, </w:t>
      </w:r>
      <w:r w:rsidRPr="00BD6197">
        <w:rPr>
          <w:rFonts w:ascii="Symbol" w:hAnsi="Symbol"/>
          <w:lang w:val="en-US"/>
        </w:rPr>
        <w:t></w:t>
      </w:r>
      <w:r w:rsidRPr="00BD6197">
        <w:rPr>
          <w:rFonts w:ascii="Symbol" w:hAnsi="Symbol"/>
          <w:vertAlign w:val="subscript"/>
          <w:lang w:val="en-US"/>
        </w:rPr>
        <w:t></w:t>
      </w:r>
      <w:r w:rsidRPr="00BD6197">
        <w:rPr>
          <w:lang w:val="en-US"/>
        </w:rPr>
        <w:t> </w:t>
      </w:r>
      <w:r w:rsidRPr="00BD6197">
        <w:rPr>
          <w:rFonts w:ascii="Symbol" w:hAnsi="Symbol"/>
          <w:lang w:val="en-US"/>
        </w:rPr>
        <w:t></w:t>
      </w:r>
      <w:r w:rsidRPr="00BD6197">
        <w:rPr>
          <w:lang w:val="en-US"/>
        </w:rPr>
        <w:t> </w:t>
      </w:r>
      <w:r w:rsidRPr="00BD6197">
        <w:rPr>
          <w:rFonts w:ascii="Symbol" w:hAnsi="Symbol"/>
          <w:lang w:val="en-US"/>
        </w:rPr>
        <w:t></w:t>
      </w:r>
      <w:r w:rsidRPr="00BD6197">
        <w:rPr>
          <w:rFonts w:ascii="Symbol" w:hAnsi="Symbol"/>
          <w:lang w:val="en-US"/>
        </w:rPr>
        <w:t></w:t>
      </w:r>
      <w:r w:rsidRPr="00BD6197">
        <w:rPr>
          <w:rFonts w:ascii="Symbol" w:hAnsi="Symbol"/>
          <w:lang w:val="en-US"/>
        </w:rPr>
        <w:t></w:t>
      </w:r>
      <w:r w:rsidRPr="00BD6197">
        <w:rPr>
          <w:lang w:val="en-US"/>
        </w:rPr>
        <w:t xml:space="preserve"> and </w:t>
      </w:r>
      <w:r w:rsidRPr="00BD6197">
        <w:rPr>
          <w:rFonts w:ascii="Symbol" w:hAnsi="Symbol"/>
          <w:lang w:val="en-US"/>
        </w:rPr>
        <w:t></w:t>
      </w:r>
      <w:r w:rsidRPr="00BD6197">
        <w:rPr>
          <w:lang w:val="en-US"/>
        </w:rPr>
        <w:t> </w:t>
      </w:r>
      <w:r w:rsidRPr="00BD6197">
        <w:rPr>
          <w:rFonts w:ascii="Symbol" w:hAnsi="Symbol"/>
          <w:lang w:val="en-US"/>
        </w:rPr>
        <w:t></w:t>
      </w:r>
      <w:r w:rsidRPr="00BD6197">
        <w:rPr>
          <w:lang w:val="en-US"/>
        </w:rPr>
        <w:t> 0.51.</w:t>
      </w:r>
    </w:p>
    <w:p w:rsidR="00831CFB" w:rsidRPr="00BD6197" w:rsidRDefault="00831CFB" w:rsidP="00831CFB">
      <w:pPr>
        <w:rPr>
          <w:lang w:val="en-US"/>
        </w:rPr>
      </w:pPr>
      <w:r w:rsidRPr="00BD6197">
        <w:rPr>
          <w:lang w:val="en-US"/>
        </w:rPr>
        <w:t>Then from equations (34), (35) and (36) it follows, correspondingly:</w:t>
      </w:r>
    </w:p>
    <w:p w:rsidR="00831CFB" w:rsidRPr="00BD6197" w:rsidRDefault="00831CFB" w:rsidP="00831CFB">
      <w:pPr>
        <w:pStyle w:val="Blanc"/>
        <w:rPr>
          <w:lang w:val="en-US"/>
        </w:rPr>
      </w:pPr>
    </w:p>
    <w:p w:rsidR="00831CFB" w:rsidRPr="00BD6197" w:rsidRDefault="00831CFB" w:rsidP="00831CFB">
      <w:pPr>
        <w:pStyle w:val="Equation"/>
        <w:rPr>
          <w:i/>
          <w:lang w:val="en-US"/>
        </w:rPr>
      </w:pPr>
      <w:r w:rsidRPr="00BD6197">
        <w:rPr>
          <w:lang w:val="en-US"/>
        </w:rPr>
        <w:tab/>
      </w:r>
      <w:r w:rsidRPr="00BD6197">
        <w:rPr>
          <w:lang w:val="en-US"/>
        </w:rPr>
        <w:tab/>
      </w:r>
      <w:r w:rsidRPr="00BD6197">
        <w:rPr>
          <w:lang w:val="en-US"/>
        </w:rPr>
        <w:object w:dxaOrig="4120" w:dyaOrig="720">
          <v:shape id="_x0000_i1050" type="#_x0000_t75" style="width:206.25pt;height:36pt" o:ole="" fillcolor="window">
            <v:imagedata r:id="rId71" o:title=""/>
          </v:shape>
          <o:OLEObject Type="Embed" ProgID="Equation.3" ShapeID="_x0000_i1050" DrawAspect="Content" ObjectID="_1604325004" r:id="rId72"/>
        </w:object>
      </w:r>
    </w:p>
    <w:p w:rsidR="00831CFB" w:rsidRPr="00BD6197" w:rsidRDefault="00831CFB" w:rsidP="00831CFB">
      <w:pPr>
        <w:pStyle w:val="Blanc"/>
        <w:rPr>
          <w:lang w:val="en-US"/>
        </w:rPr>
      </w:pPr>
    </w:p>
    <w:p w:rsidR="00831CFB" w:rsidRPr="00BD6197" w:rsidRDefault="00831CFB" w:rsidP="00831CFB">
      <w:pPr>
        <w:pStyle w:val="Equation"/>
        <w:rPr>
          <w:i/>
          <w:lang w:val="en-US"/>
        </w:rPr>
      </w:pPr>
      <w:r w:rsidRPr="00BD6197">
        <w:rPr>
          <w:lang w:val="en-US"/>
        </w:rPr>
        <w:tab/>
      </w:r>
      <w:r w:rsidRPr="00BD6197">
        <w:rPr>
          <w:lang w:val="en-US"/>
        </w:rPr>
        <w:tab/>
      </w:r>
      <w:r w:rsidRPr="00BD6197">
        <w:rPr>
          <w:lang w:val="en-US"/>
        </w:rPr>
        <w:object w:dxaOrig="4020" w:dyaOrig="720">
          <v:shape id="_x0000_i1051" type="#_x0000_t75" style="width:196.5pt;height:36pt" o:ole="" fillcolor="window">
            <v:imagedata r:id="rId73" o:title=""/>
          </v:shape>
          <o:OLEObject Type="Embed" ProgID="Equation.3" ShapeID="_x0000_i1051" DrawAspect="Content" ObjectID="_1604325005" r:id="rId74"/>
        </w:objec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position w:val="-10"/>
          <w:lang w:val="en-US"/>
        </w:rPr>
        <w:tab/>
      </w:r>
      <w:r w:rsidRPr="00BD6197">
        <w:rPr>
          <w:position w:val="-10"/>
          <w:lang w:val="en-US"/>
        </w:rPr>
        <w:tab/>
      </w:r>
      <w:r w:rsidRPr="00BD6197">
        <w:rPr>
          <w:position w:val="-10"/>
          <w:lang w:val="en-US"/>
        </w:rPr>
        <w:object w:dxaOrig="3879" w:dyaOrig="400">
          <v:shape id="_x0000_i1052" type="#_x0000_t75" style="width:195pt;height:21pt" o:ole="">
            <v:imagedata r:id="rId75" o:title=""/>
          </v:shape>
          <o:OLEObject Type="Embed" ProgID="Equation.3" ShapeID="_x0000_i1052" DrawAspect="Content" ObjectID="_1604325006" r:id="rId76"/>
        </w:object>
      </w:r>
    </w:p>
    <w:p w:rsidR="00831CFB" w:rsidRPr="00BD6197" w:rsidRDefault="00831CFB" w:rsidP="00831CFB">
      <w:pPr>
        <w:pStyle w:val="Heading3"/>
        <w:rPr>
          <w:lang w:val="en-US"/>
        </w:rPr>
      </w:pPr>
      <w:bookmarkStart w:id="1615" w:name="_Toc289868844"/>
      <w:bookmarkStart w:id="1616" w:name="_Toc289869004"/>
      <w:bookmarkStart w:id="1617" w:name="_Toc289932312"/>
      <w:bookmarkStart w:id="1618" w:name="_Toc289933358"/>
      <w:bookmarkStart w:id="1619" w:name="_Toc291852921"/>
      <w:bookmarkStart w:id="1620" w:name="_Toc392515907"/>
      <w:bookmarkStart w:id="1621" w:name="_Toc462234077"/>
      <w:bookmarkStart w:id="1622" w:name="_Toc518394234"/>
      <w:r w:rsidRPr="00BD6197">
        <w:rPr>
          <w:lang w:val="en-US"/>
        </w:rPr>
        <w:lastRenderedPageBreak/>
        <w:t>4.7.2</w:t>
      </w:r>
      <w:r w:rsidRPr="00BD6197">
        <w:rPr>
          <w:lang w:val="en-US"/>
        </w:rPr>
        <w:tab/>
        <w:t>Example of calculations</w:t>
      </w:r>
      <w:bookmarkEnd w:id="1615"/>
      <w:bookmarkEnd w:id="1616"/>
      <w:bookmarkEnd w:id="1617"/>
      <w:bookmarkEnd w:id="1618"/>
      <w:bookmarkEnd w:id="1619"/>
      <w:bookmarkEnd w:id="1620"/>
      <w:bookmarkEnd w:id="1621"/>
      <w:bookmarkEnd w:id="1622"/>
    </w:p>
    <w:p w:rsidR="00831CFB" w:rsidRPr="00A01420" w:rsidRDefault="00831CFB" w:rsidP="00831CFB">
      <w:pPr>
        <w:pStyle w:val="Headingb"/>
        <w:rPr>
          <w:lang w:val="en-US"/>
        </w:rPr>
      </w:pPr>
      <w:bookmarkStart w:id="1623" w:name="_Toc454284909"/>
      <w:bookmarkStart w:id="1624" w:name="_Toc462234078"/>
      <w:r w:rsidRPr="00A01420">
        <w:rPr>
          <w:lang w:val="en-US"/>
        </w:rPr>
        <w:t>a)</w:t>
      </w:r>
      <w:r w:rsidRPr="00A01420">
        <w:rPr>
          <w:lang w:val="en-US"/>
        </w:rPr>
        <w:tab/>
        <w:t>Incoming parameters</w:t>
      </w:r>
      <w:bookmarkEnd w:id="1623"/>
      <w:bookmarkEnd w:id="1624"/>
    </w:p>
    <w:p w:rsidR="00831CFB" w:rsidRPr="00BD6197" w:rsidRDefault="00831CFB" w:rsidP="00831CFB">
      <w:pPr>
        <w:rPr>
          <w:lang w:val="en-US"/>
        </w:rPr>
      </w:pPr>
      <w:r w:rsidRPr="00BD6197">
        <w:rPr>
          <w:lang w:val="en-US"/>
        </w:rPr>
        <w:t xml:space="preserve">Let us calculate a spectral resource used by a FM sound broadcasting station working in an urban area 20 h per each day with a power 1.5 kW in exclusive regime (no sharing). Antenna, having mast height 100 m, situated at the top of a hill with ground height 360 m above the sea level. Terrain situation around the transmitter corresponds to example presented in (b), i.e. average level of the ground between distances of 3 km and 15 km from the transmitter, </w:t>
      </w:r>
      <w:r w:rsidRPr="00BD6197">
        <w:rPr>
          <w:i/>
          <w:lang w:val="en-US"/>
        </w:rPr>
        <w:t>h</w:t>
      </w:r>
      <w:r w:rsidRPr="00BD6197">
        <w:rPr>
          <w:i/>
          <w:vertAlign w:val="subscript"/>
          <w:lang w:val="en-US"/>
        </w:rPr>
        <w:t>av</w:t>
      </w:r>
      <w:r w:rsidRPr="00BD6197">
        <w:rPr>
          <w:lang w:val="en-US"/>
        </w:rPr>
        <w:t>, in accordance with Table 10 is equal to 213 m. Antenna gain against a half-wave dipole equals 3 dB. Modulation conditions are standard ones: peak deviation is 75 kHz, maximum modulation frequency is 15 kHz.</w:t>
      </w:r>
    </w:p>
    <w:p w:rsidR="00831CFB" w:rsidRPr="00A01420" w:rsidRDefault="00831CFB" w:rsidP="00831CFB">
      <w:pPr>
        <w:pStyle w:val="Headingb"/>
        <w:rPr>
          <w:rFonts w:eastAsia="SimSun"/>
          <w:lang w:val="en-US"/>
        </w:rPr>
      </w:pPr>
      <w:bookmarkStart w:id="1625" w:name="_Toc454284910"/>
      <w:bookmarkStart w:id="1626" w:name="_Toc462234079"/>
      <w:r w:rsidRPr="00A01420">
        <w:rPr>
          <w:rFonts w:eastAsia="SimSun"/>
          <w:lang w:val="en-US"/>
        </w:rPr>
        <w:t>b)</w:t>
      </w:r>
      <w:r w:rsidRPr="00A01420">
        <w:rPr>
          <w:rFonts w:eastAsia="SimSun"/>
          <w:lang w:val="en-US"/>
        </w:rPr>
        <w:tab/>
        <w:t>Time and frequency resources used</w:t>
      </w:r>
      <w:bookmarkEnd w:id="1625"/>
      <w:bookmarkEnd w:id="1626"/>
    </w:p>
    <w:p w:rsidR="00831CFB" w:rsidRPr="00BD6197" w:rsidRDefault="00831CFB" w:rsidP="00831CFB">
      <w:pPr>
        <w:rPr>
          <w:lang w:val="en-US"/>
        </w:rPr>
      </w:pPr>
      <w:r w:rsidRPr="00BD6197">
        <w:rPr>
          <w:lang w:val="en-US"/>
        </w:rPr>
        <w:t>In accordance with equation (21), used time resource is:</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i/>
          <w:lang w:val="en-US"/>
        </w:rPr>
        <w:tab/>
      </w:r>
      <w:r w:rsidRPr="00BD6197">
        <w:rPr>
          <w:i/>
          <w:lang w:val="en-US"/>
        </w:rPr>
        <w:tab/>
        <w:t>T</w:t>
      </w:r>
      <w:r w:rsidRPr="00BD6197">
        <w:rPr>
          <w:lang w:val="en-US"/>
        </w:rPr>
        <w:t xml:space="preserve"> </w:t>
      </w:r>
      <w:r w:rsidRPr="00BD6197">
        <w:rPr>
          <w:rFonts w:ascii="Symbol" w:hAnsi="Symbol"/>
          <w:lang w:val="en-US"/>
        </w:rPr>
        <w:t></w:t>
      </w:r>
      <w:r w:rsidRPr="00BD6197">
        <w:rPr>
          <w:lang w:val="en-US"/>
        </w:rPr>
        <w:t xml:space="preserve"> 20/24 (each day) </w:t>
      </w:r>
      <w:r w:rsidRPr="00BD6197">
        <w:rPr>
          <w:rFonts w:ascii="Symbol" w:hAnsi="Symbol"/>
          <w:lang w:val="en-US"/>
        </w:rPr>
        <w:t></w:t>
      </w:r>
      <w:r w:rsidRPr="00BD6197">
        <w:rPr>
          <w:lang w:val="en-US"/>
        </w:rPr>
        <w:t xml:space="preserve"> 0.83 year</w:t>
      </w:r>
    </w:p>
    <w:p w:rsidR="00831CFB" w:rsidRPr="00BD6197" w:rsidRDefault="00831CFB" w:rsidP="00831CFB">
      <w:pPr>
        <w:pStyle w:val="Blanc"/>
        <w:rPr>
          <w:lang w:val="en-US"/>
        </w:rPr>
      </w:pPr>
    </w:p>
    <w:p w:rsidR="00831CFB" w:rsidRPr="00BD6197" w:rsidRDefault="00831CFB" w:rsidP="00831CFB">
      <w:pPr>
        <w:rPr>
          <w:lang w:val="en-US"/>
        </w:rPr>
      </w:pPr>
      <w:r w:rsidRPr="00BD6197">
        <w:rPr>
          <w:lang w:val="en-US"/>
        </w:rPr>
        <w:t xml:space="preserve">According to Recommendation ITU-R SM.1138-2 “Sound broadcasting” (class of emission F3E) the necessary bandwidth is 180 kHz, i.e., accepting χ </w:t>
      </w:r>
      <w:r w:rsidRPr="00BD6197">
        <w:rPr>
          <w:rFonts w:ascii="Symbol" w:hAnsi="Symbol"/>
          <w:lang w:val="en-US"/>
        </w:rPr>
        <w:t></w:t>
      </w:r>
      <w:r w:rsidRPr="00BD6197">
        <w:rPr>
          <w:lang w:val="en-US"/>
        </w:rPr>
        <w:t xml:space="preserve"> 1, used frequency resource in accordance with equation (24) is:</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i/>
          <w:lang w:val="en-US"/>
        </w:rPr>
        <w:tab/>
      </w:r>
      <w:r w:rsidRPr="00BD6197">
        <w:rPr>
          <w:i/>
          <w:lang w:val="en-US"/>
        </w:rPr>
        <w:tab/>
        <w:t>F</w:t>
      </w:r>
      <w:r w:rsidRPr="00BD6197">
        <w:rPr>
          <w:lang w:val="en-US"/>
        </w:rPr>
        <w:t xml:space="preserve"> </w:t>
      </w:r>
      <w:r w:rsidRPr="00BD6197">
        <w:rPr>
          <w:rFonts w:ascii="Symbol" w:hAnsi="Symbol"/>
          <w:lang w:val="en-US"/>
        </w:rPr>
        <w:t></w:t>
      </w:r>
      <w:r w:rsidRPr="00BD6197">
        <w:rPr>
          <w:lang w:val="en-US"/>
        </w:rPr>
        <w:t xml:space="preserve"> 0.18 MHz</w:t>
      </w:r>
    </w:p>
    <w:p w:rsidR="00831CFB" w:rsidRPr="00BD6197" w:rsidRDefault="00831CFB" w:rsidP="00831CFB">
      <w:pPr>
        <w:pStyle w:val="Blanc"/>
        <w:rPr>
          <w:lang w:val="en-US"/>
        </w:rPr>
      </w:pPr>
    </w:p>
    <w:p w:rsidR="00831CFB" w:rsidRPr="00A01420" w:rsidRDefault="00831CFB" w:rsidP="00831CFB">
      <w:pPr>
        <w:pStyle w:val="Headingb"/>
        <w:rPr>
          <w:lang w:val="en-US"/>
        </w:rPr>
      </w:pPr>
      <w:bookmarkStart w:id="1627" w:name="_Toc454284911"/>
      <w:bookmarkStart w:id="1628" w:name="_Toc462234080"/>
      <w:r w:rsidRPr="00A01420">
        <w:rPr>
          <w:lang w:val="en-US"/>
        </w:rPr>
        <w:t>c)</w:t>
      </w:r>
      <w:r w:rsidRPr="00A01420">
        <w:rPr>
          <w:lang w:val="en-US"/>
        </w:rPr>
        <w:tab/>
        <w:t>Territorial resource used</w:t>
      </w:r>
      <w:bookmarkEnd w:id="1627"/>
      <w:bookmarkEnd w:id="1628"/>
    </w:p>
    <w:p w:rsidR="00831CFB" w:rsidRPr="00BD6197" w:rsidRDefault="00831CFB" w:rsidP="00831CFB">
      <w:pPr>
        <w:rPr>
          <w:lang w:val="en-US"/>
        </w:rPr>
      </w:pPr>
      <w:r w:rsidRPr="00BD6197">
        <w:rPr>
          <w:lang w:val="en-US"/>
        </w:rPr>
        <w:t>Firstly, e.r.p. of the transmitter, effective antenna height and then service area radius should be calculated.</w:t>
      </w:r>
    </w:p>
    <w:p w:rsidR="00831CFB" w:rsidRPr="00BD6197" w:rsidRDefault="00831CFB" w:rsidP="00831CFB">
      <w:pPr>
        <w:rPr>
          <w:lang w:val="en-US"/>
        </w:rPr>
      </w:pPr>
      <w:r w:rsidRPr="00BD6197">
        <w:rPr>
          <w:lang w:val="en-US"/>
        </w:rPr>
        <w:t>In accordance with data presented in § 4.7.1(a) and equation (29), e.r.p. of the transmitter is:</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r>
      <w:r w:rsidRPr="00BD6197">
        <w:rPr>
          <w:i/>
          <w:lang w:val="en-US"/>
        </w:rPr>
        <w:t>P</w:t>
      </w:r>
      <w:r w:rsidRPr="00BD6197">
        <w:rPr>
          <w:i/>
          <w:vertAlign w:val="subscript"/>
          <w:lang w:val="en-US"/>
        </w:rPr>
        <w:t>ef</w:t>
      </w:r>
      <w:r w:rsidRPr="00BD6197">
        <w:rPr>
          <w:lang w:val="en-US"/>
        </w:rPr>
        <w:t xml:space="preserve"> </w:t>
      </w:r>
      <w:r w:rsidRPr="00BD6197">
        <w:rPr>
          <w:rFonts w:ascii="Symbol" w:hAnsi="Symbol"/>
          <w:lang w:val="en-US"/>
        </w:rPr>
        <w:t></w:t>
      </w:r>
      <w:r w:rsidRPr="00BD6197">
        <w:rPr>
          <w:lang w:val="en-US"/>
        </w:rPr>
        <w:t xml:space="preserve"> 10 </w:t>
      </w:r>
      <w:r w:rsidRPr="00BD6197">
        <w:rPr>
          <w:iCs/>
          <w:lang w:val="en-US"/>
        </w:rPr>
        <w:t>log</w:t>
      </w:r>
      <w:r w:rsidRPr="00BD6197">
        <w:rPr>
          <w:lang w:val="en-US"/>
        </w:rPr>
        <w:t xml:space="preserve"> 1</w:t>
      </w:r>
      <w:r w:rsidRPr="00BD6197">
        <w:rPr>
          <w:rFonts w:ascii="Tms Rmn" w:hAnsi="Tms Rmn"/>
          <w:sz w:val="12"/>
          <w:lang w:val="en-US"/>
        </w:rPr>
        <w:t> </w:t>
      </w:r>
      <w:r w:rsidRPr="00BD6197">
        <w:rPr>
          <w:lang w:val="en-US"/>
        </w:rPr>
        <w:t xml:space="preserve">500 </w:t>
      </w:r>
      <w:r w:rsidRPr="00BD6197">
        <w:rPr>
          <w:rFonts w:ascii="Symbol" w:hAnsi="Symbol"/>
          <w:lang w:val="en-US"/>
        </w:rPr>
        <w:t></w:t>
      </w:r>
      <w:r w:rsidRPr="00BD6197">
        <w:rPr>
          <w:lang w:val="en-US"/>
        </w:rPr>
        <w:t xml:space="preserve"> 3 </w:t>
      </w:r>
      <w:r w:rsidRPr="00BD6197">
        <w:rPr>
          <w:rFonts w:ascii="Symbol" w:hAnsi="Symbol"/>
          <w:lang w:val="en-US"/>
        </w:rPr>
        <w:t></w:t>
      </w:r>
      <w:r w:rsidRPr="00BD6197">
        <w:rPr>
          <w:lang w:val="en-US"/>
        </w:rPr>
        <w:t xml:space="preserve"> 31.8 + 3 </w:t>
      </w:r>
      <w:r w:rsidRPr="00BD6197">
        <w:rPr>
          <w:rFonts w:ascii="Symbol" w:hAnsi="Symbol"/>
          <w:lang w:val="en-US"/>
        </w:rPr>
        <w:t></w:t>
      </w:r>
      <w:r w:rsidRPr="00BD6197">
        <w:rPr>
          <w:lang w:val="en-US"/>
        </w:rPr>
        <w:t xml:space="preserve"> 34.8 </w:t>
      </w:r>
      <w:r w:rsidRPr="00BD6197">
        <w:rPr>
          <w:position w:val="-4"/>
          <w:lang w:val="en-US"/>
        </w:rPr>
        <w:object w:dxaOrig="220" w:dyaOrig="200">
          <v:shape id="_x0000_i1053" type="#_x0000_t75" style="width:11.25pt;height:9.75pt" o:ole="" fillcolor="window">
            <v:imagedata r:id="rId77" o:title=""/>
          </v:shape>
          <o:OLEObject Type="Embed" ProgID="Equation.3" ShapeID="_x0000_i1053" DrawAspect="Content" ObjectID="_1604325007" r:id="rId78"/>
        </w:object>
      </w:r>
      <w:r w:rsidRPr="00BD6197">
        <w:rPr>
          <w:lang w:val="en-US"/>
        </w:rPr>
        <w:t xml:space="preserve">35 </w:t>
      </w:r>
      <w:r w:rsidRPr="00BD6197">
        <w:rPr>
          <w:iCs/>
          <w:lang w:val="en-US"/>
        </w:rPr>
        <w:t>dBW</w:t>
      </w:r>
    </w:p>
    <w:p w:rsidR="00831CFB" w:rsidRPr="00BD6197" w:rsidRDefault="00831CFB" w:rsidP="00831CFB">
      <w:pPr>
        <w:pStyle w:val="Blanc"/>
        <w:rPr>
          <w:lang w:val="en-US"/>
        </w:rPr>
      </w:pPr>
    </w:p>
    <w:p w:rsidR="00831CFB" w:rsidRPr="00BD6197" w:rsidRDefault="00831CFB" w:rsidP="00831CFB">
      <w:pPr>
        <w:rPr>
          <w:rFonts w:eastAsia="SimSun"/>
          <w:lang w:val="en-US" w:eastAsia="zh-CN"/>
        </w:rPr>
      </w:pPr>
      <w:r w:rsidRPr="00BD6197">
        <w:rPr>
          <w:rFonts w:eastAsia="SimSun"/>
          <w:lang w:val="en-US" w:eastAsia="zh-CN"/>
        </w:rPr>
        <w:t>In accordance with data given in § </w:t>
      </w:r>
      <w:r w:rsidRPr="00BD6197">
        <w:rPr>
          <w:lang w:val="en-US"/>
        </w:rPr>
        <w:t xml:space="preserve">4.7.1(a) </w:t>
      </w:r>
      <w:r w:rsidRPr="00BD6197">
        <w:rPr>
          <w:rFonts w:eastAsia="SimSun"/>
          <w:lang w:val="en-US" w:eastAsia="zh-CN"/>
        </w:rPr>
        <w:t>and equation (30), it can be found:</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r>
      <w:r w:rsidRPr="00BD6197">
        <w:rPr>
          <w:i/>
          <w:lang w:val="en-US"/>
        </w:rPr>
        <w:t>h</w:t>
      </w:r>
      <w:r w:rsidRPr="00BD6197">
        <w:rPr>
          <w:i/>
          <w:vertAlign w:val="subscript"/>
          <w:lang w:val="en-US"/>
        </w:rPr>
        <w:t>s</w:t>
      </w:r>
      <w:r w:rsidRPr="00BD6197">
        <w:rPr>
          <w:i/>
          <w:lang w:val="en-US"/>
        </w:rPr>
        <w:t xml:space="preserve"> </w:t>
      </w:r>
      <w:r w:rsidRPr="00BD6197">
        <w:rPr>
          <w:lang w:val="en-US"/>
        </w:rPr>
        <w:t>= 100 + 360 = 460 m</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r>
      <w:r w:rsidRPr="00BD6197">
        <w:rPr>
          <w:i/>
          <w:lang w:val="en-US"/>
        </w:rPr>
        <w:t>h</w:t>
      </w:r>
      <w:r w:rsidRPr="00BD6197">
        <w:rPr>
          <w:i/>
          <w:vertAlign w:val="subscript"/>
          <w:lang w:val="en-US"/>
        </w:rPr>
        <w:t>ef</w:t>
      </w:r>
      <w:r w:rsidRPr="00BD6197">
        <w:rPr>
          <w:lang w:val="en-US"/>
        </w:rPr>
        <w:t xml:space="preserve"> = 460 – 213 = 247 m </w:t>
      </w:r>
      <w:r w:rsidRPr="00BD6197">
        <w:rPr>
          <w:position w:val="-4"/>
          <w:lang w:val="en-US"/>
        </w:rPr>
        <w:object w:dxaOrig="220" w:dyaOrig="200">
          <v:shape id="_x0000_i1054" type="#_x0000_t75" style="width:11.25pt;height:9.75pt" o:ole="" fillcolor="window">
            <v:imagedata r:id="rId77" o:title=""/>
          </v:shape>
          <o:OLEObject Type="Embed" ProgID="Equation.3" ShapeID="_x0000_i1054" DrawAspect="Content" ObjectID="_1604325008" r:id="rId79"/>
        </w:object>
      </w:r>
      <w:r w:rsidRPr="00BD6197">
        <w:rPr>
          <w:lang w:val="en-US"/>
        </w:rPr>
        <w:t>250 m</w:t>
      </w:r>
    </w:p>
    <w:p w:rsidR="00831CFB" w:rsidRPr="00BD6197" w:rsidRDefault="00831CFB" w:rsidP="00831CFB">
      <w:pPr>
        <w:pStyle w:val="Blanc"/>
        <w:rPr>
          <w:lang w:val="en-US"/>
        </w:rPr>
      </w:pPr>
    </w:p>
    <w:p w:rsidR="00831CFB" w:rsidRPr="00BD6197" w:rsidRDefault="00831CFB" w:rsidP="00831CFB">
      <w:pPr>
        <w:rPr>
          <w:lang w:val="en-US"/>
        </w:rPr>
      </w:pPr>
      <w:r w:rsidRPr="00BD6197">
        <w:rPr>
          <w:lang w:val="en-US"/>
        </w:rPr>
        <w:t>It is worth to indicate that in this particular case effective antenna height is 2.5 times greater than the mast height and this greatly influence on calculation results.</w:t>
      </w:r>
    </w:p>
    <w:p w:rsidR="00831CFB" w:rsidRPr="00BD6197" w:rsidRDefault="00831CFB" w:rsidP="00831CFB">
      <w:pPr>
        <w:rPr>
          <w:lang w:val="en-US"/>
        </w:rPr>
      </w:pPr>
      <w:r w:rsidRPr="00BD6197">
        <w:rPr>
          <w:lang w:val="en-US"/>
        </w:rPr>
        <w:t xml:space="preserve">From Table 9 for </w:t>
      </w:r>
      <w:r w:rsidRPr="00BD6197">
        <w:rPr>
          <w:i/>
          <w:lang w:val="en-US"/>
        </w:rPr>
        <w:t>P</w:t>
      </w:r>
      <w:r w:rsidRPr="00BD6197">
        <w:rPr>
          <w:i/>
          <w:vertAlign w:val="subscript"/>
          <w:lang w:val="en-US"/>
        </w:rPr>
        <w:t>ef</w:t>
      </w:r>
      <w:r w:rsidRPr="00BD6197">
        <w:rPr>
          <w:lang w:val="en-US"/>
        </w:rPr>
        <w:t xml:space="preserve">  = 35 </w:t>
      </w:r>
      <w:r w:rsidRPr="00BD6197">
        <w:rPr>
          <w:iCs/>
          <w:lang w:val="en-US"/>
        </w:rPr>
        <w:t>dBW</w:t>
      </w:r>
      <w:r w:rsidRPr="00BD6197">
        <w:rPr>
          <w:i/>
          <w:lang w:val="en-US"/>
        </w:rPr>
        <w:t xml:space="preserve"> </w:t>
      </w:r>
      <w:r w:rsidRPr="00BD6197">
        <w:rPr>
          <w:lang w:val="en-US"/>
        </w:rPr>
        <w:t xml:space="preserve">and </w:t>
      </w:r>
      <w:r w:rsidRPr="00BD6197">
        <w:rPr>
          <w:i/>
          <w:lang w:val="en-US"/>
        </w:rPr>
        <w:t>h</w:t>
      </w:r>
      <w:r w:rsidRPr="00BD6197">
        <w:rPr>
          <w:i/>
          <w:vertAlign w:val="subscript"/>
          <w:lang w:val="en-US"/>
        </w:rPr>
        <w:t>ef</w:t>
      </w:r>
      <w:r w:rsidRPr="00BD6197">
        <w:rPr>
          <w:i/>
          <w:lang w:val="en-US"/>
        </w:rPr>
        <w:t xml:space="preserve">  </w:t>
      </w:r>
      <w:r w:rsidRPr="00BD6197">
        <w:rPr>
          <w:lang w:val="en-US"/>
        </w:rPr>
        <w:t>= 250 m, it follows:</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r>
      <w:r w:rsidRPr="00BD6197">
        <w:rPr>
          <w:i/>
          <w:lang w:val="en-US"/>
        </w:rPr>
        <w:t>R</w:t>
      </w:r>
      <w:r w:rsidRPr="00BD6197">
        <w:rPr>
          <w:lang w:val="en-US"/>
        </w:rPr>
        <w:t xml:space="preserve"> </w:t>
      </w:r>
      <w:r w:rsidRPr="00BD6197">
        <w:rPr>
          <w:rFonts w:ascii="Symbol" w:hAnsi="Symbol"/>
          <w:lang w:val="en-US"/>
        </w:rPr>
        <w:t></w:t>
      </w:r>
      <w:r w:rsidRPr="00BD6197">
        <w:rPr>
          <w:lang w:val="en-US"/>
        </w:rPr>
        <w:t xml:space="preserve"> 47.8 km;  </w:t>
      </w:r>
      <w:r w:rsidRPr="00BD6197">
        <w:rPr>
          <w:i/>
          <w:lang w:val="en-US"/>
        </w:rPr>
        <w:t>R</w:t>
      </w:r>
      <w:r w:rsidRPr="00BD6197">
        <w:rPr>
          <w:vertAlign w:val="superscript"/>
          <w:lang w:val="en-US"/>
        </w:rPr>
        <w:t>2</w:t>
      </w:r>
      <w:r w:rsidRPr="00BD6197">
        <w:rPr>
          <w:lang w:val="en-US"/>
        </w:rPr>
        <w:t xml:space="preserve"> </w:t>
      </w:r>
      <w:r w:rsidRPr="00BD6197">
        <w:rPr>
          <w:rFonts w:ascii="Symbol" w:hAnsi="Symbol"/>
          <w:lang w:val="en-US"/>
        </w:rPr>
        <w:t></w:t>
      </w:r>
      <w:r w:rsidRPr="00BD6197">
        <w:rPr>
          <w:lang w:val="en-US"/>
        </w:rPr>
        <w:t xml:space="preserve"> 2 285 km</w:t>
      </w:r>
      <w:r w:rsidRPr="00BD6197">
        <w:rPr>
          <w:vertAlign w:val="superscript"/>
          <w:lang w:val="en-US"/>
        </w:rPr>
        <w:t>2</w:t>
      </w:r>
    </w:p>
    <w:p w:rsidR="00831CFB" w:rsidRPr="00BD6197" w:rsidRDefault="00831CFB" w:rsidP="00831CFB">
      <w:pPr>
        <w:pStyle w:val="Blanc"/>
        <w:rPr>
          <w:lang w:val="en-US"/>
        </w:rPr>
      </w:pPr>
    </w:p>
    <w:p w:rsidR="00831CFB" w:rsidRPr="00BD6197" w:rsidRDefault="00831CFB" w:rsidP="00831CFB">
      <w:pPr>
        <w:rPr>
          <w:lang w:val="en-US"/>
        </w:rPr>
      </w:pPr>
      <w:r w:rsidRPr="00BD6197">
        <w:rPr>
          <w:lang w:val="en-US"/>
        </w:rPr>
        <w:t>Let us assume that service area under consideration is subdivided by three zones of different categories in proportion presented in § 4.7.1(c) i.e.:</w:t>
      </w:r>
      <w:r w:rsidRPr="00BD6197">
        <w:rPr>
          <w:sz w:val="16"/>
          <w:szCs w:val="16"/>
          <w:lang w:val="en-US"/>
        </w:rPr>
        <w:t xml:space="preserve"> </w:t>
      </w:r>
      <w:r w:rsidRPr="00BD6197">
        <w:rPr>
          <w:position w:val="-10"/>
          <w:lang w:val="en-US"/>
        </w:rPr>
        <w:object w:dxaOrig="420" w:dyaOrig="340">
          <v:shape id="_x0000_i1055" type="#_x0000_t75" style="width:21.75pt;height:17.25pt" o:ole="">
            <v:imagedata r:id="rId80" o:title=""/>
          </v:shape>
          <o:OLEObject Type="Embed" ProgID="Equation.3" ShapeID="_x0000_i1055" DrawAspect="Content" ObjectID="_1604325009" r:id="rId81"/>
        </w:object>
      </w:r>
      <w:r w:rsidRPr="00BD6197">
        <w:rPr>
          <w:sz w:val="10"/>
          <w:szCs w:val="10"/>
          <w:lang w:val="en-US"/>
        </w:rPr>
        <w:t> </w:t>
      </w:r>
      <w:r w:rsidRPr="00BD6197">
        <w:rPr>
          <w:lang w:val="en-US"/>
        </w:rPr>
        <w:t xml:space="preserve">= 2.45 </w:t>
      </w:r>
      <w:r w:rsidRPr="00BD6197">
        <w:rPr>
          <w:i/>
          <w:lang w:val="en-US"/>
        </w:rPr>
        <w:t>R</w:t>
      </w:r>
      <w:r w:rsidRPr="00BD6197">
        <w:rPr>
          <w:vertAlign w:val="superscript"/>
          <w:lang w:val="en-US"/>
        </w:rPr>
        <w:t>2</w:t>
      </w:r>
      <w:r w:rsidRPr="00BD6197">
        <w:rPr>
          <w:lang w:val="en-US"/>
        </w:rPr>
        <w:t>,</w:t>
      </w:r>
      <w:r w:rsidRPr="00BD6197">
        <w:rPr>
          <w:sz w:val="10"/>
          <w:szCs w:val="10"/>
          <w:lang w:val="en-US"/>
        </w:rPr>
        <w:t xml:space="preserve"> </w:t>
      </w:r>
      <w:r w:rsidRPr="00BD6197">
        <w:rPr>
          <w:position w:val="-10"/>
          <w:lang w:val="en-US"/>
        </w:rPr>
        <w:object w:dxaOrig="440" w:dyaOrig="340">
          <v:shape id="_x0000_i1056" type="#_x0000_t75" style="width:21.75pt;height:17.25pt" o:ole="">
            <v:imagedata r:id="rId82" o:title=""/>
          </v:shape>
          <o:OLEObject Type="Embed" ProgID="Equation.3" ShapeID="_x0000_i1056" DrawAspect="Content" ObjectID="_1604325010" r:id="rId83"/>
        </w:object>
      </w:r>
      <w:r w:rsidRPr="00BD6197">
        <w:rPr>
          <w:sz w:val="16"/>
          <w:szCs w:val="16"/>
          <w:lang w:val="en-US"/>
        </w:rPr>
        <w:t xml:space="preserve"> </w:t>
      </w:r>
      <w:r w:rsidRPr="00BD6197">
        <w:rPr>
          <w:lang w:val="en-US"/>
        </w:rPr>
        <w:t>=</w:t>
      </w:r>
      <w:r w:rsidRPr="00BD6197">
        <w:rPr>
          <w:sz w:val="10"/>
          <w:szCs w:val="10"/>
          <w:lang w:val="en-US"/>
        </w:rPr>
        <w:t xml:space="preserve"> </w:t>
      </w:r>
      <w:r w:rsidRPr="00BD6197">
        <w:rPr>
          <w:lang w:val="en-US"/>
        </w:rPr>
        <w:t>0.51 </w:t>
      </w:r>
      <w:r w:rsidRPr="00BD6197">
        <w:rPr>
          <w:i/>
          <w:lang w:val="en-US"/>
        </w:rPr>
        <w:t>R</w:t>
      </w:r>
      <w:r w:rsidRPr="00BD6197">
        <w:rPr>
          <w:iCs/>
          <w:vertAlign w:val="superscript"/>
          <w:lang w:val="en-US"/>
        </w:rPr>
        <w:t>2</w:t>
      </w:r>
      <w:r w:rsidRPr="00BD6197">
        <w:rPr>
          <w:lang w:val="en-US"/>
        </w:rPr>
        <w:t xml:space="preserve"> and</w:t>
      </w:r>
      <w:r w:rsidRPr="00BD6197">
        <w:rPr>
          <w:sz w:val="10"/>
          <w:szCs w:val="10"/>
          <w:lang w:val="en-US"/>
        </w:rPr>
        <w:t xml:space="preserve"> </w:t>
      </w:r>
      <w:r w:rsidRPr="00BD6197">
        <w:rPr>
          <w:position w:val="-12"/>
          <w:lang w:val="en-US"/>
        </w:rPr>
        <w:object w:dxaOrig="440" w:dyaOrig="360">
          <v:shape id="_x0000_i1057" type="#_x0000_t75" style="width:21.75pt;height:19.5pt" o:ole="">
            <v:imagedata r:id="rId84" o:title=""/>
          </v:shape>
          <o:OLEObject Type="Embed" ProgID="Equation.3" ShapeID="_x0000_i1057" DrawAspect="Content" ObjectID="_1604325011" r:id="rId85"/>
        </w:object>
      </w:r>
      <w:r w:rsidRPr="00BD6197">
        <w:rPr>
          <w:sz w:val="10"/>
          <w:szCs w:val="10"/>
          <w:lang w:val="en-US"/>
        </w:rPr>
        <w:t xml:space="preserve"> </w:t>
      </w:r>
      <w:r w:rsidRPr="00BD6197">
        <w:rPr>
          <w:i/>
          <w:lang w:val="en-US"/>
        </w:rPr>
        <w:t xml:space="preserve">= </w:t>
      </w:r>
      <w:r w:rsidRPr="00BD6197">
        <w:rPr>
          <w:lang w:val="en-US"/>
        </w:rPr>
        <w:t>0.18</w:t>
      </w:r>
      <w:r w:rsidRPr="00BD6197">
        <w:rPr>
          <w:i/>
          <w:sz w:val="10"/>
          <w:szCs w:val="10"/>
          <w:lang w:val="en-US"/>
        </w:rPr>
        <w:t> </w:t>
      </w:r>
      <w:r w:rsidRPr="00BD6197">
        <w:rPr>
          <w:i/>
          <w:lang w:val="en-US"/>
        </w:rPr>
        <w:t>R</w:t>
      </w:r>
      <w:r w:rsidRPr="00BD6197">
        <w:rPr>
          <w:vertAlign w:val="superscript"/>
          <w:lang w:val="en-US"/>
        </w:rPr>
        <w:t>2</w:t>
      </w:r>
      <w:r w:rsidRPr="00BD6197">
        <w:rPr>
          <w:lang w:val="en-US"/>
        </w:rPr>
        <w:t xml:space="preserve">. Let us assume that relevant coefficients </w:t>
      </w:r>
      <w:r w:rsidRPr="00BD6197">
        <w:rPr>
          <w:i/>
          <w:lang w:val="en-US"/>
        </w:rPr>
        <w:t>b</w:t>
      </w:r>
      <w:r w:rsidRPr="00BD6197">
        <w:rPr>
          <w:i/>
          <w:vertAlign w:val="subscript"/>
          <w:lang w:val="en-US"/>
        </w:rPr>
        <w:t>j</w:t>
      </w:r>
      <w:r w:rsidRPr="00BD6197">
        <w:rPr>
          <w:lang w:val="en-US"/>
        </w:rPr>
        <w:t xml:space="preserve"> from Table 1 are equal: </w:t>
      </w:r>
      <w:r w:rsidRPr="00BD6197">
        <w:rPr>
          <w:i/>
          <w:lang w:val="en-US"/>
        </w:rPr>
        <w:t>b</w:t>
      </w:r>
      <w:r w:rsidRPr="00BD6197">
        <w:rPr>
          <w:vertAlign w:val="subscript"/>
          <w:lang w:val="en-US"/>
        </w:rPr>
        <w:t>1</w:t>
      </w:r>
      <w:r w:rsidRPr="00BD6197">
        <w:rPr>
          <w:lang w:val="en-US"/>
        </w:rPr>
        <w:t xml:space="preserve"> = 1, </w:t>
      </w:r>
      <w:r w:rsidRPr="00BD6197">
        <w:rPr>
          <w:i/>
          <w:lang w:val="en-US"/>
        </w:rPr>
        <w:t>b</w:t>
      </w:r>
      <w:r w:rsidRPr="00BD6197">
        <w:rPr>
          <w:vertAlign w:val="subscript"/>
          <w:lang w:val="en-US"/>
        </w:rPr>
        <w:t>2</w:t>
      </w:r>
      <w:r w:rsidRPr="00BD6197">
        <w:rPr>
          <w:lang w:val="en-US"/>
        </w:rPr>
        <w:t xml:space="preserve"> = 0.8 and </w:t>
      </w:r>
      <w:r w:rsidRPr="00BD6197">
        <w:rPr>
          <w:i/>
          <w:lang w:val="en-US"/>
        </w:rPr>
        <w:t>b</w:t>
      </w:r>
      <w:r w:rsidRPr="00BD6197">
        <w:rPr>
          <w:vertAlign w:val="subscript"/>
          <w:lang w:val="en-US"/>
        </w:rPr>
        <w:t>3</w:t>
      </w:r>
      <w:r w:rsidRPr="00BD6197">
        <w:rPr>
          <w:lang w:val="en-US"/>
        </w:rPr>
        <w:t xml:space="preserve"> = 0.6. Then, in accordance with equation (23) it follows:</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r>
      <w:r w:rsidRPr="00BD6197">
        <w:rPr>
          <w:position w:val="-14"/>
          <w:lang w:val="en-US"/>
        </w:rPr>
        <w:object w:dxaOrig="5080" w:dyaOrig="400">
          <v:shape id="_x0000_i1058" type="#_x0000_t75" style="width:252pt;height:21pt" o:ole="" fillcolor="window">
            <v:imagedata r:id="rId86" o:title=""/>
          </v:shape>
          <o:OLEObject Type="Embed" ProgID="Equation.3" ShapeID="_x0000_i1058" DrawAspect="Content" ObjectID="_1604325012" r:id="rId87"/>
        </w:object>
      </w:r>
      <w:r w:rsidRPr="00BD6197">
        <w:rPr>
          <w:lang w:val="en-US"/>
        </w:rPr>
        <w:t xml:space="preserve"> km</w:t>
      </w:r>
      <w:r w:rsidRPr="00BD6197">
        <w:rPr>
          <w:vertAlign w:val="superscript"/>
          <w:lang w:val="en-US"/>
        </w:rPr>
        <w:t>2</w:t>
      </w:r>
    </w:p>
    <w:p w:rsidR="00831CFB" w:rsidRPr="00BD6197" w:rsidRDefault="00831CFB" w:rsidP="00831CFB">
      <w:pPr>
        <w:rPr>
          <w:lang w:val="en-US"/>
        </w:rPr>
      </w:pPr>
      <w:r w:rsidRPr="00BD6197">
        <w:rPr>
          <w:lang w:val="en-US"/>
        </w:rPr>
        <w:lastRenderedPageBreak/>
        <w:t>It is instead of 7</w:t>
      </w:r>
      <w:r w:rsidRPr="00BD6197">
        <w:rPr>
          <w:rFonts w:ascii="Tms Rmn" w:hAnsi="Tms Rmn"/>
          <w:sz w:val="12"/>
          <w:lang w:val="en-US"/>
        </w:rPr>
        <w:t> </w:t>
      </w:r>
      <w:r w:rsidRPr="00BD6197">
        <w:rPr>
          <w:lang w:val="en-US"/>
        </w:rPr>
        <w:t>179 km</w:t>
      </w:r>
      <w:r w:rsidRPr="00BD6197">
        <w:rPr>
          <w:vertAlign w:val="superscript"/>
          <w:lang w:val="en-US"/>
        </w:rPr>
        <w:t>2</w:t>
      </w:r>
      <w:r w:rsidRPr="00BD6197">
        <w:rPr>
          <w:lang w:val="en-US"/>
        </w:rPr>
        <w:t xml:space="preserve"> when the whole service area lies within one zone having </w:t>
      </w:r>
      <w:r w:rsidRPr="00BD6197">
        <w:rPr>
          <w:i/>
          <w:iCs/>
          <w:lang w:val="en-US"/>
        </w:rPr>
        <w:t>b</w:t>
      </w:r>
      <w:r w:rsidRPr="00BD6197">
        <w:rPr>
          <w:lang w:val="en-US"/>
        </w:rPr>
        <w:t xml:space="preserve"> = 1.</w:t>
      </w:r>
    </w:p>
    <w:p w:rsidR="00831CFB" w:rsidRPr="00A01420" w:rsidRDefault="00831CFB" w:rsidP="00831CFB">
      <w:pPr>
        <w:pStyle w:val="Headingb"/>
        <w:rPr>
          <w:lang w:val="en-US"/>
        </w:rPr>
      </w:pPr>
      <w:bookmarkStart w:id="1629" w:name="_Toc454284912"/>
      <w:bookmarkStart w:id="1630" w:name="_Toc462234081"/>
      <w:r w:rsidRPr="00A01420">
        <w:rPr>
          <w:lang w:val="en-US"/>
        </w:rPr>
        <w:t>d)</w:t>
      </w:r>
      <w:r w:rsidRPr="00A01420">
        <w:rPr>
          <w:lang w:val="en-US"/>
        </w:rPr>
        <w:tab/>
        <w:t>Spectral resource used</w:t>
      </w:r>
      <w:bookmarkEnd w:id="1629"/>
      <w:bookmarkEnd w:id="1630"/>
    </w:p>
    <w:p w:rsidR="00831CFB" w:rsidRPr="00BD6197" w:rsidRDefault="00831CFB" w:rsidP="00831CFB">
      <w:pPr>
        <w:rPr>
          <w:lang w:val="en-US"/>
        </w:rPr>
      </w:pPr>
      <w:r w:rsidRPr="00BD6197">
        <w:rPr>
          <w:lang w:val="en-US"/>
        </w:rPr>
        <w:t>Substituting values calculated in (b) and (c) to equation (20), using values of weighting coefficients presented in Table 2 and taking into account non-sharing conditions (</w:t>
      </w:r>
      <w:r w:rsidRPr="00BD6197">
        <w:rPr>
          <w:lang w:val="en-US"/>
        </w:rPr>
        <w:sym w:font="Symbol" w:char="F062"/>
      </w:r>
      <w:r w:rsidRPr="00BD6197">
        <w:rPr>
          <w:lang w:val="en-US"/>
        </w:rPr>
        <w:t xml:space="preserve"> = 1), we get finally:</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i/>
          <w:lang w:val="en-US"/>
        </w:rPr>
        <w:tab/>
      </w:r>
      <w:r w:rsidRPr="00BD6197">
        <w:rPr>
          <w:i/>
          <w:lang w:val="en-US"/>
        </w:rPr>
        <w:tab/>
        <w:t>W</w:t>
      </w:r>
      <w:r w:rsidRPr="00BD6197">
        <w:rPr>
          <w:lang w:val="en-US"/>
        </w:rPr>
        <w:t> = 2.4 × 1 × 1 × 1 × 1 × 0.18 × 6 777 × 0.83 = 2</w:t>
      </w:r>
      <w:r w:rsidRPr="00BD6197">
        <w:rPr>
          <w:rFonts w:ascii="Tms Rmn" w:hAnsi="Tms Rmn"/>
          <w:sz w:val="12"/>
          <w:lang w:val="en-US"/>
        </w:rPr>
        <w:t> </w:t>
      </w:r>
      <w:r w:rsidRPr="00BD6197">
        <w:rPr>
          <w:lang w:val="en-US"/>
        </w:rPr>
        <w:t xml:space="preserve">430          MHz </w:t>
      </w:r>
      <w:r w:rsidRPr="00BD6197">
        <w:rPr>
          <w:szCs w:val="24"/>
          <w:lang w:val="en-US"/>
        </w:rPr>
        <w:sym w:font="Symbol" w:char="F0D7"/>
      </w:r>
      <w:r w:rsidRPr="00BD6197">
        <w:rPr>
          <w:lang w:val="en-US"/>
        </w:rPr>
        <w:t xml:space="preserve"> km</w:t>
      </w:r>
      <w:r w:rsidRPr="00BD6197">
        <w:rPr>
          <w:vertAlign w:val="superscript"/>
          <w:lang w:val="en-US"/>
        </w:rPr>
        <w:t>2</w:t>
      </w:r>
      <w:r w:rsidRPr="00BD6197">
        <w:rPr>
          <w:sz w:val="20"/>
          <w:lang w:val="en-US"/>
        </w:rPr>
        <w:t xml:space="preserve"> </w:t>
      </w:r>
      <w:r w:rsidRPr="00BD6197">
        <w:rPr>
          <w:szCs w:val="24"/>
          <w:lang w:val="en-US"/>
        </w:rPr>
        <w:sym w:font="Symbol" w:char="F0D7"/>
      </w:r>
      <w:r w:rsidRPr="00BD6197">
        <w:rPr>
          <w:lang w:val="en-US"/>
        </w:rPr>
        <w:t xml:space="preserve"> 1 year</w:t>
      </w:r>
    </w:p>
    <w:p w:rsidR="00831CFB" w:rsidRPr="00BD6197" w:rsidRDefault="00831CFB" w:rsidP="00831CFB">
      <w:pPr>
        <w:pStyle w:val="Blanc"/>
        <w:rPr>
          <w:lang w:val="en-US"/>
        </w:rPr>
      </w:pPr>
    </w:p>
    <w:p w:rsidR="00831CFB" w:rsidRPr="00BD6197" w:rsidRDefault="00831CFB" w:rsidP="00831CFB">
      <w:pPr>
        <w:pStyle w:val="Heading3"/>
        <w:rPr>
          <w:lang w:val="en-US"/>
        </w:rPr>
      </w:pPr>
      <w:bookmarkStart w:id="1631" w:name="_Toc289868845"/>
      <w:bookmarkStart w:id="1632" w:name="_Toc289869005"/>
      <w:bookmarkStart w:id="1633" w:name="_Toc289932313"/>
      <w:bookmarkStart w:id="1634" w:name="_Toc289933359"/>
      <w:bookmarkStart w:id="1635" w:name="_Toc291852922"/>
      <w:bookmarkStart w:id="1636" w:name="_Toc392515908"/>
      <w:bookmarkStart w:id="1637" w:name="_Toc462234082"/>
      <w:bookmarkStart w:id="1638" w:name="_Toc518394235"/>
      <w:r w:rsidRPr="00BD6197">
        <w:rPr>
          <w:lang w:val="en-US"/>
        </w:rPr>
        <w:t>4.7.3</w:t>
      </w:r>
      <w:r w:rsidRPr="00BD6197">
        <w:rPr>
          <w:lang w:val="en-US"/>
        </w:rPr>
        <w:tab/>
        <w:t>LF-HF sound broadcasting</w:t>
      </w:r>
      <w:bookmarkEnd w:id="1631"/>
      <w:bookmarkEnd w:id="1632"/>
      <w:bookmarkEnd w:id="1633"/>
      <w:bookmarkEnd w:id="1634"/>
      <w:bookmarkEnd w:id="1635"/>
      <w:bookmarkEnd w:id="1636"/>
      <w:bookmarkEnd w:id="1637"/>
      <w:bookmarkEnd w:id="1638"/>
    </w:p>
    <w:p w:rsidR="00831CFB" w:rsidRPr="00BD6197" w:rsidRDefault="00831CFB" w:rsidP="00831CFB">
      <w:pPr>
        <w:rPr>
          <w:lang w:val="en-US"/>
        </w:rPr>
      </w:pPr>
      <w:r w:rsidRPr="00BD6197">
        <w:rPr>
          <w:lang w:val="en-US"/>
        </w:rPr>
        <w:t>For LF-HF sound broadcasting stations time and frequency resources used are determined similarly to § 4.7.1(b). Necessary bandwidths are calculated in accordance with Recommendation ITU</w:t>
      </w:r>
      <w:r w:rsidRPr="00BD6197">
        <w:rPr>
          <w:lang w:val="en-US"/>
        </w:rPr>
        <w:noBreakHyphen/>
        <w:t>R SM.1138-2 “Sound broadcasting”, row “Sound broadcasting, double-sideband” (class of emission A3E). It should be noted that for this kind of broadcasting the administrations usually use transmitters with different classes of quality, depending on highest modulating frequency which determines a necessary bandwidth value. Relevant data should be taken from a National Frequency Assignment Database.</w:t>
      </w:r>
    </w:p>
    <w:p w:rsidR="00831CFB" w:rsidRPr="00BD6197" w:rsidRDefault="00831CFB" w:rsidP="00831CFB">
      <w:pPr>
        <w:rPr>
          <w:lang w:val="en-US"/>
        </w:rPr>
      </w:pPr>
      <w:r w:rsidRPr="00BD6197">
        <w:rPr>
          <w:lang w:val="en-US"/>
        </w:rPr>
        <w:t>As far as it concerns a territorial resource used, its calculation for this case meets some difficulties due to complexity of calculations, especially for HF broadcasting, which hardly to be significantly simplified without losing a minimal necessary accuracy. For MF transmitters service area greatly differ for day-time and night-time operations. Taking account rather low number of LF-HF broadcasting stations in many countries, it is proposed that instead of complicated calculations the relevant data on service area from a National Frequency Assignment Database are used. If those are not available, they can be asked from operators. Operators usually have information on their service areas through calculations and/or monitoring.</w:t>
      </w:r>
    </w:p>
    <w:p w:rsidR="00831CFB" w:rsidRPr="00BD6197" w:rsidRDefault="00831CFB" w:rsidP="00831CFB">
      <w:pPr>
        <w:rPr>
          <w:lang w:val="en-US"/>
        </w:rPr>
      </w:pPr>
      <w:r w:rsidRPr="00BD6197">
        <w:rPr>
          <w:lang w:val="en-US"/>
        </w:rPr>
        <w:t>On obtaining these data, related spectral resource used can be calculated similarly to the procedure presented in (c). As far as for MF transmitters principally there are two considerable different values of service area for day-time and night-time operations, overall spectral resource used can be determined as a sum of two partial spectral resources which correspond to those different values of the service area.</w:t>
      </w:r>
    </w:p>
    <w:p w:rsidR="00831CFB" w:rsidRPr="00BD6197" w:rsidRDefault="00831CFB" w:rsidP="00831CFB">
      <w:pPr>
        <w:rPr>
          <w:lang w:val="en-US"/>
        </w:rPr>
      </w:pPr>
      <w:r w:rsidRPr="00BD6197">
        <w:rPr>
          <w:lang w:val="en-US"/>
        </w:rPr>
        <w:t>It should also be noted that service areas of LF, MF (night-time) and HF broadcasting transmitters can be very large and may be extended beyond borders of countries which sizes are relatively small. In this case (determined in co-operation with relevant operators) the service area may be considered as a whole territory of the country, or its larger part. Areas of zones belonging to different categories are determined by relevant administrative documentation or estimated by maps.</w:t>
      </w:r>
    </w:p>
    <w:p w:rsidR="00831CFB" w:rsidRPr="00BD6197" w:rsidRDefault="00831CFB" w:rsidP="00831CFB">
      <w:pPr>
        <w:rPr>
          <w:lang w:val="en-US"/>
        </w:rPr>
      </w:pPr>
      <w:r w:rsidRPr="00BD6197">
        <w:rPr>
          <w:lang w:val="en-US"/>
        </w:rPr>
        <w:t>In case of directional transmitting antennas application, a “service sector” concept, given by Recommendation ITU-R F.162-3, can be used.</w:t>
      </w:r>
    </w:p>
    <w:p w:rsidR="00831CFB" w:rsidRPr="00BD6197" w:rsidRDefault="00831CFB" w:rsidP="00831CFB">
      <w:pPr>
        <w:pStyle w:val="Heading3"/>
        <w:rPr>
          <w:lang w:val="en-US"/>
        </w:rPr>
      </w:pPr>
      <w:bookmarkStart w:id="1639" w:name="_Toc289868846"/>
      <w:bookmarkStart w:id="1640" w:name="_Toc289869006"/>
      <w:bookmarkStart w:id="1641" w:name="_Toc289932314"/>
      <w:bookmarkStart w:id="1642" w:name="_Toc289933360"/>
      <w:bookmarkStart w:id="1643" w:name="_Toc291852923"/>
      <w:bookmarkStart w:id="1644" w:name="_Toc392515909"/>
      <w:bookmarkStart w:id="1645" w:name="_Toc462234083"/>
      <w:bookmarkStart w:id="1646" w:name="_Toc518394236"/>
      <w:r w:rsidRPr="00BD6197">
        <w:rPr>
          <w:lang w:val="en-US"/>
        </w:rPr>
        <w:t>4.7.4</w:t>
      </w:r>
      <w:r w:rsidRPr="00BD6197">
        <w:rPr>
          <w:lang w:val="en-US"/>
        </w:rPr>
        <w:tab/>
        <w:t>Mobile radio services</w:t>
      </w:r>
      <w:bookmarkEnd w:id="1639"/>
      <w:bookmarkEnd w:id="1640"/>
      <w:bookmarkEnd w:id="1641"/>
      <w:bookmarkEnd w:id="1642"/>
      <w:bookmarkEnd w:id="1643"/>
      <w:bookmarkEnd w:id="1644"/>
      <w:bookmarkEnd w:id="1645"/>
      <w:bookmarkEnd w:id="1646"/>
    </w:p>
    <w:p w:rsidR="00831CFB" w:rsidRPr="00BD6197" w:rsidRDefault="00831CFB" w:rsidP="00831CFB">
      <w:pPr>
        <w:pStyle w:val="Heading4"/>
        <w:rPr>
          <w:lang w:val="en-US"/>
        </w:rPr>
      </w:pPr>
      <w:r w:rsidRPr="00BD6197">
        <w:rPr>
          <w:lang w:val="en-US"/>
        </w:rPr>
        <w:t>4.7.4.1</w:t>
      </w:r>
      <w:r w:rsidRPr="00BD6197">
        <w:rPr>
          <w:lang w:val="en-US"/>
        </w:rPr>
        <w:tab/>
        <w:t>Land mobile radio service</w:t>
      </w:r>
    </w:p>
    <w:p w:rsidR="00831CFB" w:rsidRPr="00A01420" w:rsidRDefault="00831CFB" w:rsidP="00831CFB">
      <w:pPr>
        <w:pStyle w:val="Headingb"/>
        <w:rPr>
          <w:lang w:val="en-US"/>
        </w:rPr>
      </w:pPr>
      <w:bookmarkStart w:id="1647" w:name="_Toc454284915"/>
      <w:bookmarkStart w:id="1648" w:name="_Toc462234084"/>
      <w:r w:rsidRPr="00A01420">
        <w:rPr>
          <w:lang w:val="en-US"/>
        </w:rPr>
        <w:t>a)</w:t>
      </w:r>
      <w:r w:rsidRPr="00A01420">
        <w:rPr>
          <w:lang w:val="en-US"/>
        </w:rPr>
        <w:tab/>
        <w:t>Background of calculation procedures</w:t>
      </w:r>
      <w:bookmarkEnd w:id="1647"/>
      <w:bookmarkEnd w:id="1648"/>
    </w:p>
    <w:p w:rsidR="00831CFB" w:rsidRPr="00BD6197" w:rsidRDefault="00831CFB" w:rsidP="00831CFB">
      <w:pPr>
        <w:rPr>
          <w:snapToGrid w:val="0"/>
          <w:lang w:val="en-US"/>
        </w:rPr>
      </w:pPr>
      <w:r w:rsidRPr="00BD6197">
        <w:rPr>
          <w:snapToGrid w:val="0"/>
          <w:lang w:val="en-US"/>
        </w:rPr>
        <w:t>The procedure generally follows radio wave propagation model known as modified Okamura-Hata one, some information on which is given in Annex 8 to Recommendation ITU-R P.1546-4. The model assumes existence of homogeneous urban development in limits of the service area, lack of direct visibility between the transmitter of the BS and mobile personal receiver, heights of transmitting and receiving antennas are in limits 20-200 m (but in the majority of cases they are 40</w:t>
      </w:r>
      <w:r w:rsidRPr="00BD6197">
        <w:rPr>
          <w:snapToGrid w:val="0"/>
          <w:lang w:val="en-US"/>
        </w:rPr>
        <w:noBreakHyphen/>
        <w:t>100 m) and 1.5-10 m correspondingly.</w:t>
      </w:r>
    </w:p>
    <w:p w:rsidR="00831CFB" w:rsidRPr="00BD6197" w:rsidRDefault="00831CFB" w:rsidP="00831CFB">
      <w:pPr>
        <w:rPr>
          <w:snapToGrid w:val="0"/>
          <w:lang w:val="en-US"/>
        </w:rPr>
      </w:pPr>
      <w:r w:rsidRPr="00BD6197">
        <w:rPr>
          <w:snapToGrid w:val="0"/>
          <w:lang w:val="en-US"/>
        </w:rPr>
        <w:lastRenderedPageBreak/>
        <w:t xml:space="preserve">Considering, for purposes of the given model, that antenna feeder losses at transmitting and receiving sides are both equal zero, the power of a signal </w:t>
      </w:r>
      <w:r w:rsidRPr="00BD6197">
        <w:rPr>
          <w:i/>
          <w:snapToGrid w:val="0"/>
          <w:lang w:val="en-US"/>
        </w:rPr>
        <w:t>P</w:t>
      </w:r>
      <w:r w:rsidRPr="00BD6197">
        <w:rPr>
          <w:i/>
          <w:snapToGrid w:val="0"/>
          <w:vertAlign w:val="subscript"/>
          <w:lang w:val="en-US"/>
        </w:rPr>
        <w:t>r</w:t>
      </w:r>
      <w:r w:rsidRPr="00BD6197">
        <w:rPr>
          <w:snapToGrid w:val="0"/>
          <w:lang w:val="en-US"/>
        </w:rPr>
        <w:t xml:space="preserve"> (dB</w:t>
      </w:r>
      <w:r w:rsidRPr="00BD6197">
        <w:rPr>
          <w:iCs/>
          <w:snapToGrid w:val="0"/>
          <w:lang w:val="en-US"/>
        </w:rPr>
        <w:t>W</w:t>
      </w:r>
      <w:r w:rsidRPr="00BD6197">
        <w:rPr>
          <w:snapToGrid w:val="0"/>
          <w:lang w:val="en-US"/>
        </w:rPr>
        <w:t>) at an input of the receiver can be presented as:</w:t>
      </w:r>
    </w:p>
    <w:p w:rsidR="00831CFB" w:rsidRPr="00BD6197" w:rsidRDefault="00831CFB" w:rsidP="00831CFB">
      <w:pPr>
        <w:pStyle w:val="Blanc"/>
        <w:rPr>
          <w:lang w:val="en-US"/>
        </w:rPr>
      </w:pPr>
    </w:p>
    <w:p w:rsidR="00831CFB" w:rsidRPr="00731EA7" w:rsidRDefault="00831CFB" w:rsidP="00831CFB">
      <w:pPr>
        <w:pStyle w:val="Equation"/>
        <w:rPr>
          <w:snapToGrid w:val="0"/>
        </w:rPr>
      </w:pPr>
      <w:r w:rsidRPr="00BD6197">
        <w:rPr>
          <w:snapToGrid w:val="0"/>
          <w:lang w:val="en-US"/>
        </w:rPr>
        <w:tab/>
      </w:r>
      <w:r w:rsidRPr="00BD6197">
        <w:rPr>
          <w:snapToGrid w:val="0"/>
          <w:lang w:val="en-US"/>
        </w:rPr>
        <w:tab/>
      </w:r>
      <w:r w:rsidRPr="00731EA7">
        <w:rPr>
          <w:i/>
          <w:iCs/>
          <w:snapToGrid w:val="0"/>
        </w:rPr>
        <w:t>P</w:t>
      </w:r>
      <w:r w:rsidRPr="00731EA7">
        <w:rPr>
          <w:i/>
          <w:iCs/>
          <w:vertAlign w:val="subscript"/>
        </w:rPr>
        <w:t>r</w:t>
      </w:r>
      <w:r w:rsidRPr="00731EA7">
        <w:rPr>
          <w:snapToGrid w:val="0"/>
        </w:rPr>
        <w:t xml:space="preserve"> = </w:t>
      </w:r>
      <w:r w:rsidRPr="00731EA7">
        <w:rPr>
          <w:i/>
          <w:iCs/>
          <w:snapToGrid w:val="0"/>
        </w:rPr>
        <w:t>P</w:t>
      </w:r>
      <w:r w:rsidRPr="00731EA7">
        <w:rPr>
          <w:i/>
          <w:iCs/>
          <w:vertAlign w:val="subscript"/>
        </w:rPr>
        <w:t>t</w:t>
      </w:r>
      <w:r w:rsidRPr="00731EA7">
        <w:rPr>
          <w:snapToGrid w:val="0"/>
        </w:rPr>
        <w:t xml:space="preserve"> + </w:t>
      </w:r>
      <w:r w:rsidRPr="00731EA7">
        <w:rPr>
          <w:i/>
          <w:iCs/>
          <w:snapToGrid w:val="0"/>
        </w:rPr>
        <w:t>G</w:t>
      </w:r>
      <w:r w:rsidRPr="00731EA7">
        <w:rPr>
          <w:i/>
          <w:iCs/>
          <w:vertAlign w:val="subscript"/>
        </w:rPr>
        <w:t>t</w:t>
      </w:r>
      <w:r w:rsidRPr="00731EA7">
        <w:rPr>
          <w:snapToGrid w:val="0"/>
        </w:rPr>
        <w:t xml:space="preserve"> + </w:t>
      </w:r>
      <w:r w:rsidRPr="00731EA7">
        <w:rPr>
          <w:i/>
          <w:iCs/>
          <w:snapToGrid w:val="0"/>
        </w:rPr>
        <w:t>G</w:t>
      </w:r>
      <w:r w:rsidRPr="00731EA7">
        <w:rPr>
          <w:i/>
          <w:iCs/>
          <w:vertAlign w:val="subscript"/>
        </w:rPr>
        <w:t>r</w:t>
      </w:r>
      <w:r w:rsidRPr="00731EA7">
        <w:t xml:space="preserve"> –</w:t>
      </w:r>
      <w:r w:rsidRPr="00731EA7">
        <w:rPr>
          <w:snapToGrid w:val="0"/>
        </w:rPr>
        <w:t xml:space="preserve"> </w:t>
      </w:r>
      <w:r w:rsidRPr="00731EA7">
        <w:rPr>
          <w:i/>
          <w:snapToGrid w:val="0"/>
        </w:rPr>
        <w:t>L</w:t>
      </w:r>
      <w:r w:rsidRPr="00731EA7">
        <w:rPr>
          <w:snapToGrid w:val="0"/>
        </w:rPr>
        <w:t>(</w:t>
      </w:r>
      <w:r w:rsidRPr="00731EA7">
        <w:rPr>
          <w:i/>
          <w:snapToGrid w:val="0"/>
        </w:rPr>
        <w:t>R</w:t>
      </w:r>
      <w:r w:rsidRPr="00731EA7">
        <w:rPr>
          <w:snapToGrid w:val="0"/>
        </w:rPr>
        <w:t xml:space="preserve">)                dBW </w:t>
      </w:r>
      <w:r w:rsidRPr="00731EA7">
        <w:rPr>
          <w:snapToGrid w:val="0"/>
        </w:rPr>
        <w:tab/>
        <w:t>(37)</w:t>
      </w:r>
    </w:p>
    <w:p w:rsidR="00831CFB" w:rsidRPr="00BD6197" w:rsidRDefault="00831CFB" w:rsidP="00831CFB">
      <w:pPr>
        <w:rPr>
          <w:snapToGrid w:val="0"/>
          <w:lang w:val="en-US"/>
        </w:rPr>
      </w:pPr>
      <w:r w:rsidRPr="00BD6197">
        <w:rPr>
          <w:snapToGrid w:val="0"/>
          <w:lang w:val="en-US"/>
        </w:rPr>
        <w:t>where:</w:t>
      </w:r>
    </w:p>
    <w:p w:rsidR="00831CFB" w:rsidRPr="00BD6197" w:rsidRDefault="00831CFB" w:rsidP="00831CFB">
      <w:pPr>
        <w:pStyle w:val="Equationlegend"/>
        <w:rPr>
          <w:snapToGrid w:val="0"/>
        </w:rPr>
      </w:pPr>
      <w:r w:rsidRPr="00BD6197">
        <w:rPr>
          <w:i/>
          <w:snapToGrid w:val="0"/>
        </w:rPr>
        <w:tab/>
        <w:t>P</w:t>
      </w:r>
      <w:r w:rsidRPr="00BD6197">
        <w:rPr>
          <w:i/>
          <w:snapToGrid w:val="0"/>
          <w:vertAlign w:val="subscript"/>
        </w:rPr>
        <w:t>t</w:t>
      </w:r>
      <w:r w:rsidRPr="00BD6197">
        <w:t xml:space="preserve"> </w:t>
      </w:r>
      <w:r w:rsidRPr="00BD6197">
        <w:rPr>
          <w:snapToGrid w:val="0"/>
        </w:rPr>
        <w:t>:</w:t>
      </w:r>
      <w:r w:rsidRPr="00BD6197">
        <w:rPr>
          <w:snapToGrid w:val="0"/>
        </w:rPr>
        <w:tab/>
        <w:t>transmitter power (dBW)</w:t>
      </w:r>
    </w:p>
    <w:p w:rsidR="00831CFB" w:rsidRPr="00BD6197" w:rsidRDefault="00831CFB" w:rsidP="00831CFB">
      <w:pPr>
        <w:pStyle w:val="Equationlegend"/>
        <w:rPr>
          <w:snapToGrid w:val="0"/>
        </w:rPr>
      </w:pPr>
      <w:r w:rsidRPr="00BD6197">
        <w:rPr>
          <w:i/>
          <w:snapToGrid w:val="0"/>
        </w:rPr>
        <w:tab/>
        <w:t>G</w:t>
      </w:r>
      <w:r w:rsidRPr="00BD6197">
        <w:rPr>
          <w:i/>
          <w:snapToGrid w:val="0"/>
          <w:vertAlign w:val="subscript"/>
        </w:rPr>
        <w:t>t</w:t>
      </w:r>
      <w:r w:rsidRPr="00BD6197">
        <w:t xml:space="preserve"> </w:t>
      </w:r>
      <w:r w:rsidRPr="00BD6197">
        <w:rPr>
          <w:snapToGrid w:val="0"/>
        </w:rPr>
        <w:t>:</w:t>
      </w:r>
      <w:r w:rsidRPr="00BD6197">
        <w:rPr>
          <w:snapToGrid w:val="0"/>
        </w:rPr>
        <w:tab/>
        <w:t>transmitter antenna gain (dB)</w:t>
      </w:r>
    </w:p>
    <w:p w:rsidR="00831CFB" w:rsidRPr="00BD6197" w:rsidRDefault="00831CFB" w:rsidP="00831CFB">
      <w:pPr>
        <w:pStyle w:val="Equationlegend"/>
        <w:rPr>
          <w:snapToGrid w:val="0"/>
        </w:rPr>
      </w:pPr>
      <w:r w:rsidRPr="00BD6197">
        <w:rPr>
          <w:i/>
          <w:snapToGrid w:val="0"/>
        </w:rPr>
        <w:tab/>
        <w:t>G</w:t>
      </w:r>
      <w:r w:rsidRPr="00BD6197">
        <w:rPr>
          <w:i/>
          <w:snapToGrid w:val="0"/>
          <w:vertAlign w:val="subscript"/>
        </w:rPr>
        <w:t>r</w:t>
      </w:r>
      <w:r w:rsidRPr="00BD6197">
        <w:t xml:space="preserve"> </w:t>
      </w:r>
      <w:r w:rsidRPr="00BD6197">
        <w:rPr>
          <w:snapToGrid w:val="0"/>
        </w:rPr>
        <w:t>:</w:t>
      </w:r>
      <w:r w:rsidRPr="00BD6197">
        <w:rPr>
          <w:snapToGrid w:val="0"/>
        </w:rPr>
        <w:tab/>
        <w:t>receiver antenna gain (dB)</w:t>
      </w:r>
    </w:p>
    <w:p w:rsidR="00831CFB" w:rsidRPr="00BD6197" w:rsidRDefault="00831CFB" w:rsidP="00831CFB">
      <w:pPr>
        <w:pStyle w:val="Equationlegend"/>
        <w:rPr>
          <w:snapToGrid w:val="0"/>
        </w:rPr>
      </w:pPr>
      <w:r w:rsidRPr="00BD6197">
        <w:rPr>
          <w:snapToGrid w:val="0"/>
        </w:rPr>
        <w:tab/>
      </w:r>
      <w:r w:rsidRPr="00BD6197">
        <w:rPr>
          <w:i/>
          <w:snapToGrid w:val="0"/>
        </w:rPr>
        <w:t>L</w:t>
      </w:r>
      <w:r w:rsidRPr="00BD6197">
        <w:rPr>
          <w:iCs/>
          <w:snapToGrid w:val="0"/>
        </w:rPr>
        <w:t>(</w:t>
      </w:r>
      <w:r w:rsidRPr="00BD6197">
        <w:rPr>
          <w:i/>
          <w:snapToGrid w:val="0"/>
        </w:rPr>
        <w:t>R</w:t>
      </w:r>
      <w:r w:rsidRPr="00BD6197">
        <w:rPr>
          <w:iCs/>
          <w:snapToGrid w:val="0"/>
        </w:rPr>
        <w:t>)</w:t>
      </w:r>
      <w:r w:rsidRPr="00BD6197">
        <w:t xml:space="preserve"> </w:t>
      </w:r>
      <w:r w:rsidRPr="00BD6197">
        <w:rPr>
          <w:snapToGrid w:val="0"/>
        </w:rPr>
        <w:t>:</w:t>
      </w:r>
      <w:r w:rsidRPr="00BD6197">
        <w:rPr>
          <w:snapToGrid w:val="0"/>
        </w:rPr>
        <w:tab/>
        <w:t>transmission losses between transmitter and receiver (dB).</w:t>
      </w:r>
    </w:p>
    <w:p w:rsidR="00831CFB" w:rsidRPr="00BD6197" w:rsidRDefault="00831CFB" w:rsidP="00831CFB">
      <w:pPr>
        <w:rPr>
          <w:snapToGrid w:val="0"/>
          <w:lang w:val="en-US"/>
        </w:rPr>
      </w:pPr>
      <w:r w:rsidRPr="00BD6197">
        <w:rPr>
          <w:snapToGrid w:val="0"/>
          <w:lang w:val="en-US"/>
        </w:rPr>
        <w:t>To provide the necessary quality of the received signal at a border of the service area the following condition should generally be met:</w:t>
      </w:r>
    </w:p>
    <w:p w:rsidR="00831CFB" w:rsidRPr="00BD6197" w:rsidRDefault="00831CFB" w:rsidP="00831CFB">
      <w:pPr>
        <w:pStyle w:val="Blanc"/>
        <w:rPr>
          <w:lang w:val="en-US"/>
        </w:rPr>
      </w:pPr>
    </w:p>
    <w:p w:rsidR="00831CFB" w:rsidRPr="00BD6197" w:rsidRDefault="00831CFB" w:rsidP="00831CFB">
      <w:pPr>
        <w:pStyle w:val="Equation"/>
        <w:rPr>
          <w:snapToGrid w:val="0"/>
          <w:lang w:val="en-US"/>
        </w:rPr>
      </w:pPr>
      <w:r w:rsidRPr="00BD6197">
        <w:rPr>
          <w:i/>
          <w:snapToGrid w:val="0"/>
          <w:lang w:val="en-US"/>
        </w:rPr>
        <w:tab/>
      </w:r>
      <w:r w:rsidRPr="00BD6197">
        <w:rPr>
          <w:i/>
          <w:snapToGrid w:val="0"/>
          <w:lang w:val="en-US"/>
        </w:rPr>
        <w:tab/>
        <w:t>P</w:t>
      </w:r>
      <w:r w:rsidRPr="00BD6197">
        <w:rPr>
          <w:i/>
          <w:snapToGrid w:val="0"/>
          <w:vertAlign w:val="subscript"/>
          <w:lang w:val="en-US"/>
        </w:rPr>
        <w:t>r</w:t>
      </w:r>
      <w:r w:rsidRPr="00BD6197">
        <w:rPr>
          <w:i/>
          <w:snapToGrid w:val="0"/>
          <w:lang w:val="en-US"/>
        </w:rPr>
        <w:t xml:space="preserve"> </w:t>
      </w:r>
      <w:r w:rsidRPr="00BD6197">
        <w:rPr>
          <w:iCs/>
          <w:snapToGrid w:val="0"/>
          <w:lang w:val="en-US"/>
        </w:rPr>
        <w:t>=</w:t>
      </w:r>
      <w:r w:rsidRPr="00BD6197">
        <w:rPr>
          <w:i/>
          <w:snapToGrid w:val="0"/>
          <w:lang w:val="en-US"/>
        </w:rPr>
        <w:t xml:space="preserve"> P</w:t>
      </w:r>
      <w:r w:rsidRPr="00BD6197">
        <w:rPr>
          <w:i/>
          <w:snapToGrid w:val="0"/>
          <w:vertAlign w:val="subscript"/>
          <w:lang w:val="en-US"/>
        </w:rPr>
        <w:t>min</w:t>
      </w:r>
      <w:r w:rsidRPr="00BD6197">
        <w:rPr>
          <w:i/>
          <w:snapToGrid w:val="0"/>
          <w:lang w:val="en-US"/>
        </w:rPr>
        <w:t xml:space="preserve"> + k</w:t>
      </w:r>
      <w:r w:rsidRPr="00BD6197">
        <w:rPr>
          <w:i/>
          <w:snapToGrid w:val="0"/>
          <w:vertAlign w:val="subscript"/>
          <w:lang w:val="en-US"/>
        </w:rPr>
        <w:t>f</w:t>
      </w:r>
      <w:r w:rsidRPr="00BD6197">
        <w:rPr>
          <w:snapToGrid w:val="0"/>
          <w:lang w:val="en-US"/>
        </w:rPr>
        <w:t xml:space="preserve"> </w:t>
      </w:r>
      <w:r w:rsidRPr="00BD6197">
        <w:rPr>
          <w:snapToGrid w:val="0"/>
          <w:szCs w:val="24"/>
          <w:lang w:val="en-US"/>
        </w:rPr>
        <w:sym w:font="Symbol" w:char="F073"/>
      </w:r>
    </w:p>
    <w:p w:rsidR="00831CFB" w:rsidRPr="00BD6197" w:rsidRDefault="00831CFB" w:rsidP="00831CFB">
      <w:pPr>
        <w:rPr>
          <w:snapToGrid w:val="0"/>
          <w:lang w:val="en-US"/>
        </w:rPr>
      </w:pPr>
      <w:r w:rsidRPr="00BD6197">
        <w:rPr>
          <w:snapToGrid w:val="0"/>
          <w:lang w:val="en-US"/>
        </w:rPr>
        <w:t>where:</w:t>
      </w:r>
    </w:p>
    <w:p w:rsidR="00831CFB" w:rsidRPr="00BD6197" w:rsidRDefault="00831CFB" w:rsidP="00831CFB">
      <w:pPr>
        <w:pStyle w:val="Equationlegend"/>
        <w:rPr>
          <w:snapToGrid w:val="0"/>
        </w:rPr>
      </w:pPr>
      <w:r w:rsidRPr="00BD6197">
        <w:rPr>
          <w:i/>
          <w:snapToGrid w:val="0"/>
        </w:rPr>
        <w:tab/>
        <w:t>P</w:t>
      </w:r>
      <w:r w:rsidRPr="00BD6197">
        <w:rPr>
          <w:i/>
          <w:snapToGrid w:val="0"/>
          <w:vertAlign w:val="subscript"/>
        </w:rPr>
        <w:t>min</w:t>
      </w:r>
      <w:r w:rsidRPr="00BD6197">
        <w:t xml:space="preserve"> </w:t>
      </w:r>
      <w:r w:rsidRPr="00BD6197">
        <w:rPr>
          <w:snapToGrid w:val="0"/>
        </w:rPr>
        <w:t>:</w:t>
      </w:r>
      <w:r w:rsidRPr="00BD6197">
        <w:rPr>
          <w:snapToGrid w:val="0"/>
        </w:rPr>
        <w:tab/>
        <w:t>minimal power of a received signal which equals to a sensitivity of the receiver (dBW)</w:t>
      </w:r>
    </w:p>
    <w:p w:rsidR="00831CFB" w:rsidRPr="00BD6197" w:rsidRDefault="00831CFB" w:rsidP="00831CFB">
      <w:pPr>
        <w:pStyle w:val="Equationlegend"/>
        <w:rPr>
          <w:snapToGrid w:val="0"/>
        </w:rPr>
      </w:pPr>
      <w:r w:rsidRPr="00BD6197">
        <w:rPr>
          <w:i/>
          <w:snapToGrid w:val="0"/>
        </w:rPr>
        <w:tab/>
        <w:t>k</w:t>
      </w:r>
      <w:r w:rsidRPr="00BD6197">
        <w:rPr>
          <w:i/>
          <w:snapToGrid w:val="0"/>
          <w:vertAlign w:val="subscript"/>
        </w:rPr>
        <w:t>f</w:t>
      </w:r>
      <w:r w:rsidRPr="00BD6197">
        <w:t xml:space="preserve"> </w:t>
      </w:r>
      <w:r w:rsidRPr="00BD6197">
        <w:rPr>
          <w:snapToGrid w:val="0"/>
        </w:rPr>
        <w:t>:</w:t>
      </w:r>
      <w:r w:rsidRPr="00BD6197">
        <w:rPr>
          <w:snapToGrid w:val="0"/>
        </w:rPr>
        <w:tab/>
        <w:t>fading allowance a signal for a given time of the signal quality deterioration</w:t>
      </w:r>
    </w:p>
    <w:p w:rsidR="00831CFB" w:rsidRPr="00BD6197" w:rsidRDefault="00831CFB" w:rsidP="00831CFB">
      <w:pPr>
        <w:pStyle w:val="Equationlegend"/>
        <w:rPr>
          <w:snapToGrid w:val="0"/>
        </w:rPr>
      </w:pPr>
      <w:r w:rsidRPr="00BD6197">
        <w:rPr>
          <w:snapToGrid w:val="0"/>
        </w:rPr>
        <w:tab/>
      </w:r>
      <w:r w:rsidRPr="00BD6197">
        <w:rPr>
          <w:snapToGrid w:val="0"/>
          <w:szCs w:val="24"/>
        </w:rPr>
        <w:sym w:font="Symbol" w:char="F073"/>
      </w:r>
      <w:r w:rsidRPr="00BD6197">
        <w:rPr>
          <w:snapToGrid w:val="0"/>
          <w:szCs w:val="24"/>
        </w:rPr>
        <w:t xml:space="preserve"> </w:t>
      </w:r>
      <w:r w:rsidRPr="00BD6197">
        <w:rPr>
          <w:snapToGrid w:val="0"/>
        </w:rPr>
        <w:t>:</w:t>
      </w:r>
      <w:r w:rsidRPr="00BD6197">
        <w:rPr>
          <w:snapToGrid w:val="0"/>
        </w:rPr>
        <w:tab/>
        <w:t>mean square value of a signal fluctuations (dB).</w:t>
      </w:r>
    </w:p>
    <w:p w:rsidR="00831CFB" w:rsidRPr="00BD6197" w:rsidRDefault="00831CFB" w:rsidP="00831CFB">
      <w:pPr>
        <w:rPr>
          <w:snapToGrid w:val="0"/>
          <w:lang w:val="en-US"/>
        </w:rPr>
      </w:pPr>
      <w:r w:rsidRPr="00BD6197">
        <w:rPr>
          <w:snapToGrid w:val="0"/>
          <w:lang w:val="en-US"/>
        </w:rPr>
        <w:t xml:space="preserve">For 50% of time </w:t>
      </w:r>
      <w:r w:rsidRPr="00BD6197">
        <w:rPr>
          <w:i/>
          <w:snapToGrid w:val="0"/>
          <w:lang w:val="en-US"/>
        </w:rPr>
        <w:t>k</w:t>
      </w:r>
      <w:r w:rsidRPr="00BD6197">
        <w:rPr>
          <w:i/>
          <w:snapToGrid w:val="0"/>
          <w:vertAlign w:val="subscript"/>
          <w:lang w:val="en-US"/>
        </w:rPr>
        <w:t>f</w:t>
      </w:r>
      <w:r w:rsidRPr="00BD6197">
        <w:rPr>
          <w:snapToGrid w:val="0"/>
          <w:lang w:val="en-US"/>
        </w:rPr>
        <w:t xml:space="preserve"> = 0, for 95% of time </w:t>
      </w:r>
      <w:r w:rsidRPr="00BD6197">
        <w:rPr>
          <w:i/>
          <w:snapToGrid w:val="0"/>
          <w:lang w:val="en-US"/>
        </w:rPr>
        <w:t>k</w:t>
      </w:r>
      <w:r w:rsidRPr="00BD6197">
        <w:rPr>
          <w:i/>
          <w:snapToGrid w:val="0"/>
          <w:vertAlign w:val="subscript"/>
          <w:lang w:val="en-US"/>
        </w:rPr>
        <w:t>f</w:t>
      </w:r>
      <w:r w:rsidRPr="00BD6197">
        <w:rPr>
          <w:snapToGrid w:val="0"/>
          <w:lang w:val="en-US"/>
        </w:rPr>
        <w:t xml:space="preserve"> = 1.65. For conventional urban areas </w:t>
      </w:r>
      <w:r w:rsidRPr="00BD6197">
        <w:rPr>
          <w:snapToGrid w:val="0"/>
          <w:szCs w:val="24"/>
          <w:lang w:val="en-US"/>
        </w:rPr>
        <w:sym w:font="Symbol" w:char="F073"/>
      </w:r>
      <w:r w:rsidRPr="00BD6197">
        <w:rPr>
          <w:snapToGrid w:val="0"/>
          <w:lang w:val="en-US"/>
        </w:rPr>
        <w:t xml:space="preserve"> varies from 6 to 8 dB. Accepting, similarly to broadcasting, that a service area is determined by the criterion of 50% time i.e. </w:t>
      </w:r>
      <w:r w:rsidRPr="00BD6197">
        <w:rPr>
          <w:i/>
          <w:snapToGrid w:val="0"/>
          <w:lang w:val="en-US"/>
        </w:rPr>
        <w:t>k</w:t>
      </w:r>
      <w:r w:rsidRPr="00BD6197">
        <w:rPr>
          <w:i/>
          <w:snapToGrid w:val="0"/>
          <w:vertAlign w:val="subscript"/>
          <w:lang w:val="en-US"/>
        </w:rPr>
        <w:t>f</w:t>
      </w:r>
      <w:r w:rsidRPr="00BD6197">
        <w:rPr>
          <w:snapToGrid w:val="0"/>
          <w:lang w:val="en-US"/>
        </w:rPr>
        <w:t xml:space="preserve"> = 0, overall coefficient </w:t>
      </w:r>
      <w:r w:rsidRPr="00BD6197">
        <w:rPr>
          <w:i/>
          <w:snapToGrid w:val="0"/>
          <w:lang w:val="en-US"/>
        </w:rPr>
        <w:t>k</w:t>
      </w:r>
      <w:r w:rsidRPr="00BD6197">
        <w:rPr>
          <w:i/>
          <w:snapToGrid w:val="0"/>
          <w:vertAlign w:val="subscript"/>
          <w:lang w:val="en-US"/>
        </w:rPr>
        <w:t>f</w:t>
      </w:r>
      <w:r w:rsidRPr="00BD6197">
        <w:rPr>
          <w:snapToGrid w:val="0"/>
          <w:lang w:val="en-US"/>
        </w:rPr>
        <w:t xml:space="preserve"> </w:t>
      </w:r>
      <w:r w:rsidRPr="00BD6197">
        <w:rPr>
          <w:snapToGrid w:val="0"/>
          <w:szCs w:val="24"/>
          <w:lang w:val="en-US"/>
        </w:rPr>
        <w:sym w:font="Symbol" w:char="F073"/>
      </w:r>
      <w:r w:rsidRPr="00BD6197">
        <w:rPr>
          <w:snapToGrid w:val="0"/>
          <w:lang w:val="en-US"/>
        </w:rPr>
        <w:t xml:space="preserve"> becomes equal to zero and:</w:t>
      </w:r>
    </w:p>
    <w:p w:rsidR="00831CFB" w:rsidRPr="00BD6197" w:rsidRDefault="00831CFB" w:rsidP="00831CFB">
      <w:pPr>
        <w:pStyle w:val="Blanc"/>
        <w:rPr>
          <w:lang w:val="en-US"/>
        </w:rPr>
      </w:pPr>
    </w:p>
    <w:p w:rsidR="00831CFB" w:rsidRPr="00BD6197" w:rsidRDefault="00831CFB" w:rsidP="00831CFB">
      <w:pPr>
        <w:pStyle w:val="Equation"/>
        <w:rPr>
          <w:snapToGrid w:val="0"/>
          <w:lang w:val="en-US"/>
        </w:rPr>
      </w:pPr>
      <w:r w:rsidRPr="00BD6197">
        <w:rPr>
          <w:i/>
          <w:snapToGrid w:val="0"/>
          <w:lang w:val="en-US"/>
        </w:rPr>
        <w:tab/>
      </w:r>
      <w:r w:rsidRPr="00BD6197">
        <w:rPr>
          <w:i/>
          <w:snapToGrid w:val="0"/>
          <w:lang w:val="en-US"/>
        </w:rPr>
        <w:tab/>
        <w:t>P</w:t>
      </w:r>
      <w:r w:rsidRPr="00BD6197">
        <w:rPr>
          <w:i/>
          <w:snapToGrid w:val="0"/>
          <w:vertAlign w:val="subscript"/>
          <w:lang w:val="en-US"/>
        </w:rPr>
        <w:t>r</w:t>
      </w:r>
      <w:r w:rsidRPr="00BD6197">
        <w:rPr>
          <w:i/>
          <w:snapToGrid w:val="0"/>
          <w:lang w:val="en-US"/>
        </w:rPr>
        <w:t xml:space="preserve"> = P</w:t>
      </w:r>
      <w:r w:rsidRPr="00BD6197">
        <w:rPr>
          <w:i/>
          <w:snapToGrid w:val="0"/>
          <w:vertAlign w:val="subscript"/>
          <w:lang w:val="en-US"/>
        </w:rPr>
        <w:t>min</w:t>
      </w:r>
      <w:r w:rsidRPr="00BD6197">
        <w:rPr>
          <w:snapToGrid w:val="0"/>
          <w:lang w:val="en-US"/>
        </w:rPr>
        <w:tab/>
        <w:t>(38)</w:t>
      </w:r>
    </w:p>
    <w:p w:rsidR="00831CFB" w:rsidRPr="00BD6197" w:rsidRDefault="00831CFB" w:rsidP="00831CFB">
      <w:pPr>
        <w:pStyle w:val="Blanc"/>
        <w:rPr>
          <w:lang w:val="en-US"/>
        </w:rPr>
      </w:pPr>
    </w:p>
    <w:p w:rsidR="00831CFB" w:rsidRPr="00BD6197" w:rsidRDefault="00831CFB" w:rsidP="00831CFB">
      <w:pPr>
        <w:rPr>
          <w:snapToGrid w:val="0"/>
          <w:lang w:val="en-US"/>
        </w:rPr>
      </w:pPr>
      <w:r w:rsidRPr="00BD6197">
        <w:rPr>
          <w:snapToGrid w:val="0"/>
          <w:lang w:val="en-US"/>
        </w:rPr>
        <w:t>Equating right parts of equations (37) and (38) to meet condition at the border of the service area, we get:</w:t>
      </w:r>
    </w:p>
    <w:p w:rsidR="00831CFB" w:rsidRPr="00BD6197" w:rsidRDefault="00831CFB" w:rsidP="00831CFB">
      <w:pPr>
        <w:pStyle w:val="Blanc"/>
        <w:rPr>
          <w:lang w:val="en-US"/>
        </w:rPr>
      </w:pPr>
    </w:p>
    <w:p w:rsidR="00831CFB" w:rsidRPr="00D17B5B" w:rsidRDefault="00831CFB" w:rsidP="00831CFB">
      <w:pPr>
        <w:pStyle w:val="Equation"/>
        <w:rPr>
          <w:snapToGrid w:val="0"/>
          <w:lang w:val="fr-CH"/>
        </w:rPr>
      </w:pPr>
      <w:r w:rsidRPr="00BD6197">
        <w:rPr>
          <w:snapToGrid w:val="0"/>
          <w:lang w:val="en-US"/>
        </w:rPr>
        <w:tab/>
      </w:r>
      <w:r w:rsidRPr="00BD6197">
        <w:rPr>
          <w:snapToGrid w:val="0"/>
          <w:lang w:val="en-US"/>
        </w:rPr>
        <w:tab/>
      </w:r>
      <w:r w:rsidRPr="00D17B5B">
        <w:rPr>
          <w:i/>
          <w:iCs/>
          <w:snapToGrid w:val="0"/>
          <w:lang w:val="fr-CH"/>
        </w:rPr>
        <w:t>P</w:t>
      </w:r>
      <w:r w:rsidRPr="00D17B5B">
        <w:rPr>
          <w:i/>
          <w:iCs/>
          <w:snapToGrid w:val="0"/>
          <w:vertAlign w:val="subscript"/>
          <w:lang w:val="fr-CH"/>
        </w:rPr>
        <w:t>t</w:t>
      </w:r>
      <w:r w:rsidRPr="00D17B5B">
        <w:rPr>
          <w:snapToGrid w:val="0"/>
          <w:lang w:val="fr-CH"/>
        </w:rPr>
        <w:t xml:space="preserve"> + </w:t>
      </w:r>
      <w:r w:rsidRPr="00D17B5B">
        <w:rPr>
          <w:i/>
          <w:iCs/>
          <w:snapToGrid w:val="0"/>
          <w:lang w:val="fr-CH"/>
        </w:rPr>
        <w:t>G</w:t>
      </w:r>
      <w:r w:rsidRPr="00D17B5B">
        <w:rPr>
          <w:i/>
          <w:iCs/>
          <w:snapToGrid w:val="0"/>
          <w:vertAlign w:val="subscript"/>
          <w:lang w:val="fr-CH"/>
        </w:rPr>
        <w:t>t</w:t>
      </w:r>
      <w:r w:rsidRPr="00D17B5B">
        <w:rPr>
          <w:snapToGrid w:val="0"/>
          <w:lang w:val="fr-CH"/>
        </w:rPr>
        <w:t xml:space="preserve"> + </w:t>
      </w:r>
      <w:r w:rsidRPr="00D17B5B">
        <w:rPr>
          <w:i/>
          <w:iCs/>
          <w:snapToGrid w:val="0"/>
          <w:lang w:val="fr-CH"/>
        </w:rPr>
        <w:t>G</w:t>
      </w:r>
      <w:r w:rsidRPr="00D17B5B">
        <w:rPr>
          <w:i/>
          <w:iCs/>
          <w:snapToGrid w:val="0"/>
          <w:vertAlign w:val="subscript"/>
          <w:lang w:val="fr-CH"/>
        </w:rPr>
        <w:t>r</w:t>
      </w:r>
      <w:r w:rsidRPr="00D17B5B">
        <w:rPr>
          <w:snapToGrid w:val="0"/>
          <w:lang w:val="fr-CH"/>
        </w:rPr>
        <w:t xml:space="preserve"> – </w:t>
      </w:r>
      <w:r w:rsidRPr="00D17B5B">
        <w:rPr>
          <w:i/>
          <w:iCs/>
          <w:snapToGrid w:val="0"/>
          <w:lang w:val="fr-CH"/>
        </w:rPr>
        <w:t>L</w:t>
      </w:r>
      <w:r w:rsidRPr="00D17B5B">
        <w:rPr>
          <w:snapToGrid w:val="0"/>
          <w:lang w:val="fr-CH"/>
        </w:rPr>
        <w:t>(</w:t>
      </w:r>
      <w:r w:rsidRPr="00D17B5B">
        <w:rPr>
          <w:i/>
          <w:iCs/>
          <w:snapToGrid w:val="0"/>
          <w:lang w:val="fr-CH"/>
        </w:rPr>
        <w:t>R</w:t>
      </w:r>
      <w:r w:rsidRPr="00D17B5B">
        <w:rPr>
          <w:snapToGrid w:val="0"/>
          <w:lang w:val="fr-CH"/>
        </w:rPr>
        <w:t>) =</w:t>
      </w:r>
      <w:r w:rsidRPr="00D17B5B">
        <w:rPr>
          <w:i/>
          <w:iCs/>
          <w:snapToGrid w:val="0"/>
          <w:lang w:val="fr-CH"/>
        </w:rPr>
        <w:t>P</w:t>
      </w:r>
      <w:r w:rsidRPr="00D17B5B">
        <w:rPr>
          <w:i/>
          <w:iCs/>
          <w:snapToGrid w:val="0"/>
          <w:vertAlign w:val="subscript"/>
          <w:lang w:val="fr-CH"/>
        </w:rPr>
        <w:t>min</w:t>
      </w:r>
    </w:p>
    <w:p w:rsidR="00831CFB" w:rsidRPr="00BD6197" w:rsidRDefault="00831CFB" w:rsidP="00831CFB">
      <w:pPr>
        <w:rPr>
          <w:snapToGrid w:val="0"/>
          <w:lang w:val="en-US"/>
        </w:rPr>
      </w:pPr>
      <w:r w:rsidRPr="00BD6197">
        <w:rPr>
          <w:snapToGrid w:val="0"/>
          <w:lang w:val="en-US"/>
        </w:rPr>
        <w:t>where:</w:t>
      </w:r>
    </w:p>
    <w:p w:rsidR="00831CFB" w:rsidRPr="00BD6197" w:rsidRDefault="00831CFB" w:rsidP="00831CFB">
      <w:pPr>
        <w:pStyle w:val="Blanc"/>
        <w:rPr>
          <w:lang w:val="en-US"/>
        </w:rPr>
      </w:pPr>
    </w:p>
    <w:p w:rsidR="00831CFB" w:rsidRPr="00BD6197" w:rsidRDefault="00831CFB" w:rsidP="00831CFB">
      <w:pPr>
        <w:pStyle w:val="Equation"/>
        <w:rPr>
          <w:snapToGrid w:val="0"/>
          <w:lang w:val="en-US"/>
        </w:rPr>
      </w:pPr>
      <w:r w:rsidRPr="00BD6197">
        <w:rPr>
          <w:snapToGrid w:val="0"/>
          <w:lang w:val="en-US"/>
        </w:rPr>
        <w:tab/>
      </w:r>
      <w:r w:rsidRPr="00BD6197">
        <w:rPr>
          <w:snapToGrid w:val="0"/>
          <w:lang w:val="en-US"/>
        </w:rPr>
        <w:tab/>
      </w:r>
      <w:r w:rsidRPr="00BD6197">
        <w:rPr>
          <w:i/>
          <w:iCs/>
          <w:snapToGrid w:val="0"/>
          <w:lang w:val="en-US"/>
        </w:rPr>
        <w:t>L</w:t>
      </w:r>
      <w:r w:rsidRPr="00BD6197">
        <w:rPr>
          <w:snapToGrid w:val="0"/>
          <w:lang w:val="en-US"/>
        </w:rPr>
        <w:t>(</w:t>
      </w:r>
      <w:r w:rsidRPr="00BD6197">
        <w:rPr>
          <w:i/>
          <w:iCs/>
          <w:snapToGrid w:val="0"/>
          <w:lang w:val="en-US"/>
        </w:rPr>
        <w:t>R</w:t>
      </w:r>
      <w:r w:rsidRPr="00BD6197">
        <w:rPr>
          <w:snapToGrid w:val="0"/>
          <w:lang w:val="en-US"/>
        </w:rPr>
        <w:t xml:space="preserve">) = </w:t>
      </w:r>
      <w:r w:rsidRPr="00BD6197">
        <w:rPr>
          <w:i/>
          <w:iCs/>
          <w:snapToGrid w:val="0"/>
          <w:lang w:val="en-US"/>
        </w:rPr>
        <w:t>P</w:t>
      </w:r>
      <w:r w:rsidRPr="00BD6197">
        <w:rPr>
          <w:i/>
          <w:iCs/>
          <w:snapToGrid w:val="0"/>
          <w:vertAlign w:val="subscript"/>
          <w:lang w:val="en-US"/>
        </w:rPr>
        <w:t>t</w:t>
      </w:r>
      <w:r w:rsidRPr="00BD6197">
        <w:rPr>
          <w:snapToGrid w:val="0"/>
          <w:lang w:val="en-US"/>
        </w:rPr>
        <w:t xml:space="preserve"> + </w:t>
      </w:r>
      <w:r w:rsidRPr="00BD6197">
        <w:rPr>
          <w:i/>
          <w:iCs/>
          <w:snapToGrid w:val="0"/>
          <w:lang w:val="en-US"/>
        </w:rPr>
        <w:t>G</w:t>
      </w:r>
      <w:r w:rsidRPr="00BD6197">
        <w:rPr>
          <w:i/>
          <w:iCs/>
          <w:snapToGrid w:val="0"/>
          <w:vertAlign w:val="subscript"/>
          <w:lang w:val="en-US"/>
        </w:rPr>
        <w:t>t</w:t>
      </w:r>
      <w:r w:rsidRPr="00BD6197">
        <w:rPr>
          <w:snapToGrid w:val="0"/>
          <w:lang w:val="en-US"/>
        </w:rPr>
        <w:t xml:space="preserve"> + </w:t>
      </w:r>
      <w:r w:rsidRPr="00BD6197">
        <w:rPr>
          <w:i/>
          <w:iCs/>
          <w:snapToGrid w:val="0"/>
          <w:lang w:val="en-US"/>
        </w:rPr>
        <w:t>G</w:t>
      </w:r>
      <w:r w:rsidRPr="00BD6197">
        <w:rPr>
          <w:i/>
          <w:iCs/>
          <w:snapToGrid w:val="0"/>
          <w:vertAlign w:val="subscript"/>
          <w:lang w:val="en-US"/>
        </w:rPr>
        <w:t>r</w:t>
      </w:r>
      <w:r w:rsidRPr="00BD6197">
        <w:rPr>
          <w:lang w:val="en-US"/>
        </w:rPr>
        <w:t xml:space="preserve"> </w:t>
      </w:r>
      <w:r w:rsidRPr="00BD6197">
        <w:rPr>
          <w:snapToGrid w:val="0"/>
          <w:lang w:val="en-US"/>
        </w:rPr>
        <w:t xml:space="preserve">– </w:t>
      </w:r>
      <w:r w:rsidRPr="00BD6197">
        <w:rPr>
          <w:i/>
          <w:iCs/>
          <w:snapToGrid w:val="0"/>
          <w:lang w:val="en-US"/>
        </w:rPr>
        <w:t>P</w:t>
      </w:r>
      <w:r w:rsidRPr="00BD6197">
        <w:rPr>
          <w:i/>
          <w:iCs/>
          <w:snapToGrid w:val="0"/>
          <w:vertAlign w:val="subscript"/>
          <w:lang w:val="en-US"/>
        </w:rPr>
        <w:t>min</w:t>
      </w:r>
      <w:r w:rsidRPr="00BD6197">
        <w:rPr>
          <w:snapToGrid w:val="0"/>
          <w:lang w:val="en-US"/>
        </w:rPr>
        <w:tab/>
        <w:t>(39)</w:t>
      </w:r>
    </w:p>
    <w:p w:rsidR="00831CFB" w:rsidRPr="00BD6197" w:rsidRDefault="00831CFB" w:rsidP="00831CFB">
      <w:pPr>
        <w:pStyle w:val="Blanc"/>
        <w:rPr>
          <w:lang w:val="en-US"/>
        </w:rPr>
      </w:pPr>
    </w:p>
    <w:p w:rsidR="00831CFB" w:rsidRPr="00BD6197" w:rsidRDefault="00831CFB" w:rsidP="00831CFB">
      <w:pPr>
        <w:rPr>
          <w:snapToGrid w:val="0"/>
          <w:lang w:val="en-US"/>
        </w:rPr>
      </w:pPr>
      <w:r w:rsidRPr="00BD6197">
        <w:rPr>
          <w:snapToGrid w:val="0"/>
          <w:lang w:val="en-US"/>
        </w:rPr>
        <w:t xml:space="preserve">In accordance with modified Okamura-Hata radio wave propagation model, accurate for a signal median value (i.e. for 50% of time): </w:t>
      </w:r>
    </w:p>
    <w:p w:rsidR="00831CFB" w:rsidRPr="00BD6197" w:rsidRDefault="00831CFB" w:rsidP="00831CFB">
      <w:pPr>
        <w:pStyle w:val="Blanc"/>
        <w:rPr>
          <w:lang w:val="en-US"/>
        </w:rPr>
      </w:pPr>
    </w:p>
    <w:p w:rsidR="00831CFB" w:rsidRPr="00BD6197" w:rsidRDefault="00831CFB" w:rsidP="00831CFB">
      <w:pPr>
        <w:pStyle w:val="Equation"/>
        <w:rPr>
          <w:snapToGrid w:val="0"/>
          <w:lang w:val="en-US"/>
        </w:rPr>
      </w:pPr>
      <w:r w:rsidRPr="00BD6197">
        <w:rPr>
          <w:i/>
          <w:snapToGrid w:val="0"/>
          <w:lang w:val="en-US"/>
        </w:rPr>
        <w:tab/>
      </w:r>
      <w:r w:rsidRPr="00BD6197">
        <w:rPr>
          <w:i/>
          <w:snapToGrid w:val="0"/>
          <w:lang w:val="en-US"/>
        </w:rPr>
        <w:tab/>
      </w:r>
      <w:r w:rsidRPr="00BD6197">
        <w:rPr>
          <w:snapToGrid w:val="0"/>
          <w:position w:val="-10"/>
          <w:lang w:val="en-US"/>
        </w:rPr>
        <w:object w:dxaOrig="1840" w:dyaOrig="320">
          <v:shape id="_x0000_i1059" type="#_x0000_t75" style="width:93pt;height:16.5pt" o:ole="" fillcolor="window">
            <v:imagedata r:id="rId88" o:title=""/>
          </v:shape>
          <o:OLEObject Type="Embed" ProgID="Equation.3" ShapeID="_x0000_i1059" DrawAspect="Content" ObjectID="_1604325013" r:id="rId89"/>
        </w:object>
      </w:r>
      <w:r w:rsidRPr="00BD6197">
        <w:rPr>
          <w:snapToGrid w:val="0"/>
          <w:lang w:val="en-US"/>
        </w:rPr>
        <w:tab/>
        <w:t>(40)</w:t>
      </w:r>
    </w:p>
    <w:p w:rsidR="00831CFB" w:rsidRPr="00BD6197" w:rsidRDefault="00831CFB" w:rsidP="00831CFB">
      <w:pPr>
        <w:pStyle w:val="Blanc"/>
        <w:rPr>
          <w:lang w:val="en-US"/>
        </w:rPr>
      </w:pPr>
    </w:p>
    <w:p w:rsidR="00831CFB" w:rsidRPr="00BD6197" w:rsidRDefault="00831CFB" w:rsidP="00831CFB">
      <w:pPr>
        <w:rPr>
          <w:snapToGrid w:val="0"/>
          <w:lang w:val="en-US"/>
        </w:rPr>
      </w:pPr>
      <w:r w:rsidRPr="00BD6197">
        <w:rPr>
          <w:snapToGrid w:val="0"/>
          <w:lang w:val="en-US"/>
        </w:rPr>
        <w:t xml:space="preserve">where </w:t>
      </w:r>
      <w:r w:rsidRPr="00BD6197">
        <w:rPr>
          <w:snapToGrid w:val="0"/>
          <w:lang w:val="en-US"/>
        </w:rPr>
        <w:sym w:font="Symbol" w:char="F04A"/>
      </w:r>
      <w:r w:rsidRPr="00BD6197">
        <w:rPr>
          <w:snapToGrid w:val="0"/>
          <w:lang w:val="en-US"/>
        </w:rPr>
        <w:t xml:space="preserve"> and </w:t>
      </w:r>
      <w:r w:rsidRPr="00BD6197">
        <w:rPr>
          <w:iCs/>
          <w:snapToGrid w:val="0"/>
          <w:lang w:val="en-US"/>
        </w:rPr>
        <w:sym w:font="Symbol" w:char="F078"/>
      </w:r>
      <w:r w:rsidRPr="00BD6197">
        <w:rPr>
          <w:snapToGrid w:val="0"/>
          <w:lang w:val="en-US"/>
        </w:rPr>
        <w:t xml:space="preserve"> are coefficients in dB whose values depend on frequency and heights of a transmitter and receiver. For conventional urban areas:</w:t>
      </w:r>
    </w:p>
    <w:p w:rsidR="00831CFB" w:rsidRPr="00BD6197" w:rsidRDefault="00831CFB" w:rsidP="00831CFB">
      <w:pPr>
        <w:pStyle w:val="Blanc"/>
        <w:rPr>
          <w:lang w:val="en-US"/>
        </w:rPr>
      </w:pPr>
    </w:p>
    <w:p w:rsidR="00831CFB" w:rsidRPr="00BD6197" w:rsidRDefault="00831CFB" w:rsidP="00831CFB">
      <w:pPr>
        <w:pStyle w:val="Equation"/>
        <w:rPr>
          <w:snapToGrid w:val="0"/>
          <w:lang w:val="en-US"/>
        </w:rPr>
      </w:pPr>
      <w:r w:rsidRPr="00BD6197">
        <w:rPr>
          <w:snapToGrid w:val="0"/>
          <w:lang w:val="en-US"/>
        </w:rPr>
        <w:tab/>
      </w:r>
      <w:r w:rsidRPr="00BD6197">
        <w:rPr>
          <w:snapToGrid w:val="0"/>
          <w:lang w:val="en-US"/>
        </w:rPr>
        <w:tab/>
      </w:r>
      <w:r w:rsidRPr="00BD6197">
        <w:rPr>
          <w:iCs/>
          <w:snapToGrid w:val="0"/>
          <w:lang w:val="en-US"/>
        </w:rPr>
        <w:sym w:font="Symbol" w:char="F078"/>
      </w:r>
      <w:r w:rsidRPr="00BD6197">
        <w:rPr>
          <w:iCs/>
          <w:snapToGrid w:val="0"/>
          <w:lang w:val="en-US"/>
        </w:rPr>
        <w:t xml:space="preserve"> </w:t>
      </w:r>
      <w:r w:rsidRPr="00BD6197">
        <w:rPr>
          <w:rFonts w:ascii="Symbol" w:hAnsi="Symbol"/>
          <w:snapToGrid w:val="0"/>
          <w:lang w:val="en-US"/>
        </w:rPr>
        <w:t></w:t>
      </w:r>
      <w:r w:rsidRPr="00BD6197">
        <w:rPr>
          <w:snapToGrid w:val="0"/>
          <w:lang w:val="en-US"/>
        </w:rPr>
        <w:t xml:space="preserve"> 44.9 – 6.55 </w:t>
      </w:r>
      <w:r w:rsidRPr="00BD6197">
        <w:rPr>
          <w:iCs/>
          <w:snapToGrid w:val="0"/>
          <w:lang w:val="en-US"/>
        </w:rPr>
        <w:t>log</w:t>
      </w:r>
      <w:r w:rsidRPr="00BD6197">
        <w:rPr>
          <w:i/>
          <w:snapToGrid w:val="0"/>
          <w:lang w:val="en-US"/>
        </w:rPr>
        <w:t xml:space="preserve"> h</w:t>
      </w:r>
      <w:r w:rsidRPr="00BD6197">
        <w:rPr>
          <w:i/>
          <w:snapToGrid w:val="0"/>
          <w:vertAlign w:val="subscript"/>
          <w:lang w:val="en-US"/>
        </w:rPr>
        <w:t>t</w:t>
      </w:r>
      <w:r w:rsidRPr="00BD6197">
        <w:rPr>
          <w:i/>
          <w:snapToGrid w:val="0"/>
          <w:lang w:val="en-US"/>
        </w:rPr>
        <w:tab/>
      </w:r>
      <w:r w:rsidRPr="00BD6197">
        <w:rPr>
          <w:snapToGrid w:val="0"/>
          <w:lang w:val="en-US"/>
        </w:rPr>
        <w:t>(41)</w:t>
      </w:r>
    </w:p>
    <w:p w:rsidR="00831CFB" w:rsidRPr="00BD6197" w:rsidRDefault="00831CFB" w:rsidP="00831CFB">
      <w:pPr>
        <w:pStyle w:val="Equation"/>
        <w:rPr>
          <w:snapToGrid w:val="0"/>
          <w:lang w:val="en-US"/>
        </w:rPr>
      </w:pPr>
      <w:r w:rsidRPr="00BD6197">
        <w:rPr>
          <w:snapToGrid w:val="0"/>
          <w:lang w:val="en-US"/>
        </w:rPr>
        <w:tab/>
      </w:r>
      <w:r w:rsidRPr="00BD6197">
        <w:rPr>
          <w:snapToGrid w:val="0"/>
          <w:lang w:val="en-US"/>
        </w:rPr>
        <w:tab/>
      </w:r>
      <w:r w:rsidRPr="00BD6197">
        <w:rPr>
          <w:snapToGrid w:val="0"/>
          <w:lang w:val="en-US"/>
        </w:rPr>
        <w:sym w:font="Symbol" w:char="F04A"/>
      </w:r>
      <w:r w:rsidRPr="00BD6197">
        <w:rPr>
          <w:snapToGrid w:val="0"/>
          <w:lang w:val="en-US"/>
        </w:rPr>
        <w:t xml:space="preserve"> = 65.55 – 6.16 </w:t>
      </w:r>
      <w:r w:rsidRPr="00BD6197">
        <w:rPr>
          <w:iCs/>
          <w:snapToGrid w:val="0"/>
          <w:lang w:val="en-US"/>
        </w:rPr>
        <w:t>log</w:t>
      </w:r>
      <w:r w:rsidRPr="00BD6197">
        <w:rPr>
          <w:i/>
          <w:snapToGrid w:val="0"/>
          <w:lang w:val="en-US"/>
        </w:rPr>
        <w:t xml:space="preserve"> f</w:t>
      </w:r>
      <w:r w:rsidRPr="00BD6197">
        <w:rPr>
          <w:snapToGrid w:val="0"/>
          <w:lang w:val="en-US"/>
        </w:rPr>
        <w:t xml:space="preserve"> + 13.82 </w:t>
      </w:r>
      <w:r w:rsidRPr="00BD6197">
        <w:rPr>
          <w:iCs/>
          <w:snapToGrid w:val="0"/>
          <w:lang w:val="en-US"/>
        </w:rPr>
        <w:t>log</w:t>
      </w:r>
      <w:r w:rsidRPr="00BD6197">
        <w:rPr>
          <w:i/>
          <w:snapToGrid w:val="0"/>
          <w:lang w:val="en-US"/>
        </w:rPr>
        <w:t xml:space="preserve"> h</w:t>
      </w:r>
      <w:r w:rsidRPr="00BD6197">
        <w:rPr>
          <w:i/>
          <w:snapToGrid w:val="0"/>
          <w:vertAlign w:val="subscript"/>
          <w:lang w:val="en-US"/>
        </w:rPr>
        <w:t>t</w:t>
      </w:r>
      <w:r w:rsidRPr="00BD6197">
        <w:rPr>
          <w:i/>
          <w:snapToGrid w:val="0"/>
          <w:lang w:val="en-US"/>
        </w:rPr>
        <w:t xml:space="preserve"> </w:t>
      </w:r>
      <w:r w:rsidRPr="00BD6197">
        <w:rPr>
          <w:iCs/>
          <w:snapToGrid w:val="0"/>
          <w:lang w:val="en-US"/>
        </w:rPr>
        <w:t>+</w:t>
      </w:r>
      <w:r w:rsidRPr="00BD6197">
        <w:rPr>
          <w:i/>
          <w:snapToGrid w:val="0"/>
          <w:lang w:val="en-US"/>
        </w:rPr>
        <w:t xml:space="preserve"> a</w:t>
      </w:r>
      <w:r w:rsidRPr="00BD6197">
        <w:rPr>
          <w:i/>
          <w:snapToGrid w:val="0"/>
          <w:vertAlign w:val="subscript"/>
          <w:lang w:val="en-US"/>
        </w:rPr>
        <w:t>r</w:t>
      </w:r>
      <w:r w:rsidRPr="00BD6197">
        <w:rPr>
          <w:iCs/>
          <w:snapToGrid w:val="0"/>
          <w:lang w:val="en-US"/>
        </w:rPr>
        <w:t>(</w:t>
      </w:r>
      <w:r w:rsidRPr="00BD6197">
        <w:rPr>
          <w:i/>
          <w:snapToGrid w:val="0"/>
          <w:lang w:val="en-US"/>
        </w:rPr>
        <w:t>h</w:t>
      </w:r>
      <w:r w:rsidRPr="00BD6197">
        <w:rPr>
          <w:i/>
          <w:snapToGrid w:val="0"/>
          <w:vertAlign w:val="subscript"/>
          <w:lang w:val="en-US"/>
        </w:rPr>
        <w:t>r</w:t>
      </w:r>
      <w:r w:rsidRPr="00BD6197">
        <w:rPr>
          <w:iCs/>
          <w:snapToGrid w:val="0"/>
          <w:lang w:val="en-US"/>
        </w:rPr>
        <w:t xml:space="preserve">)    </w:t>
      </w:r>
      <w:r w:rsidRPr="00BD6197">
        <w:rPr>
          <w:snapToGrid w:val="0"/>
          <w:lang w:val="en-US"/>
        </w:rPr>
        <w:t xml:space="preserve">for   </w:t>
      </w:r>
      <w:r w:rsidRPr="00BD6197">
        <w:rPr>
          <w:i/>
          <w:snapToGrid w:val="0"/>
          <w:lang w:val="en-US"/>
        </w:rPr>
        <w:t>f </w:t>
      </w:r>
      <w:r w:rsidRPr="00BD6197">
        <w:rPr>
          <w:iCs/>
          <w:snapToGrid w:val="0"/>
          <w:lang w:val="en-US"/>
        </w:rPr>
        <w:sym w:font="Symbol" w:char="F0A3"/>
      </w:r>
      <w:r w:rsidRPr="00BD6197">
        <w:rPr>
          <w:i/>
          <w:snapToGrid w:val="0"/>
          <w:lang w:val="en-US"/>
        </w:rPr>
        <w:t> </w:t>
      </w:r>
      <w:r w:rsidRPr="00BD6197">
        <w:rPr>
          <w:snapToGrid w:val="0"/>
          <w:lang w:val="en-US"/>
        </w:rPr>
        <w:t>1 GHz</w:t>
      </w:r>
      <w:r w:rsidRPr="00BD6197">
        <w:rPr>
          <w:snapToGrid w:val="0"/>
          <w:lang w:val="en-US"/>
        </w:rPr>
        <w:tab/>
        <w:t>(42)</w:t>
      </w:r>
    </w:p>
    <w:p w:rsidR="00831CFB" w:rsidRPr="00BD6197" w:rsidRDefault="00831CFB" w:rsidP="00831CFB">
      <w:pPr>
        <w:pStyle w:val="Equation"/>
        <w:rPr>
          <w:snapToGrid w:val="0"/>
          <w:lang w:val="en-US"/>
        </w:rPr>
      </w:pPr>
      <w:r w:rsidRPr="00BD6197">
        <w:rPr>
          <w:snapToGrid w:val="0"/>
          <w:lang w:val="en-US"/>
        </w:rPr>
        <w:tab/>
      </w:r>
      <w:r w:rsidRPr="00BD6197">
        <w:rPr>
          <w:snapToGrid w:val="0"/>
          <w:lang w:val="en-US"/>
        </w:rPr>
        <w:tab/>
      </w:r>
      <w:r w:rsidRPr="00BD6197">
        <w:rPr>
          <w:snapToGrid w:val="0"/>
          <w:lang w:val="en-US"/>
        </w:rPr>
        <w:sym w:font="Symbol" w:char="F04A"/>
      </w:r>
      <w:r w:rsidRPr="00BD6197">
        <w:rPr>
          <w:snapToGrid w:val="0"/>
          <w:lang w:val="en-US"/>
        </w:rPr>
        <w:t xml:space="preserve"> = 46.3 – 33.9 log </w:t>
      </w:r>
      <w:r w:rsidRPr="00BD6197">
        <w:rPr>
          <w:i/>
          <w:iCs/>
          <w:snapToGrid w:val="0"/>
          <w:lang w:val="en-US"/>
        </w:rPr>
        <w:t>f</w:t>
      </w:r>
      <w:r w:rsidRPr="00BD6197">
        <w:rPr>
          <w:snapToGrid w:val="0"/>
          <w:lang w:val="en-US"/>
        </w:rPr>
        <w:t xml:space="preserve"> + 13.</w:t>
      </w:r>
      <w:r w:rsidRPr="00BD6197">
        <w:rPr>
          <w:rFonts w:ascii="Symbol" w:hAnsi="Symbol"/>
          <w:snapToGrid w:val="0"/>
          <w:lang w:val="en-US"/>
        </w:rPr>
        <w:t></w:t>
      </w:r>
      <w:r w:rsidRPr="00BD6197">
        <w:rPr>
          <w:rFonts w:ascii="Symbol" w:hAnsi="Symbol"/>
          <w:snapToGrid w:val="0"/>
          <w:lang w:val="en-US"/>
        </w:rPr>
        <w:t></w:t>
      </w:r>
      <w:r w:rsidRPr="00BD6197">
        <w:rPr>
          <w:snapToGrid w:val="0"/>
          <w:lang w:val="en-US"/>
        </w:rPr>
        <w:t xml:space="preserve"> log </w:t>
      </w:r>
      <w:r w:rsidRPr="00BD6197">
        <w:rPr>
          <w:i/>
          <w:iCs/>
          <w:snapToGrid w:val="0"/>
          <w:lang w:val="en-US"/>
        </w:rPr>
        <w:t>h</w:t>
      </w:r>
      <w:r w:rsidRPr="00BD6197">
        <w:rPr>
          <w:i/>
          <w:iCs/>
          <w:snapToGrid w:val="0"/>
          <w:vertAlign w:val="subscript"/>
          <w:lang w:val="en-US"/>
        </w:rPr>
        <w:t>t</w:t>
      </w:r>
      <w:r w:rsidRPr="00BD6197">
        <w:rPr>
          <w:snapToGrid w:val="0"/>
          <w:lang w:val="en-US"/>
        </w:rPr>
        <w:t xml:space="preserve"> + </w:t>
      </w:r>
      <w:r w:rsidRPr="00BD6197">
        <w:rPr>
          <w:i/>
          <w:iCs/>
          <w:snapToGrid w:val="0"/>
          <w:lang w:val="en-US"/>
        </w:rPr>
        <w:t>a</w:t>
      </w:r>
      <w:r w:rsidRPr="00BD6197">
        <w:rPr>
          <w:i/>
          <w:iCs/>
          <w:snapToGrid w:val="0"/>
          <w:vertAlign w:val="subscript"/>
          <w:lang w:val="en-US"/>
        </w:rPr>
        <w:t>r</w:t>
      </w:r>
      <w:r w:rsidRPr="00BD6197">
        <w:rPr>
          <w:snapToGrid w:val="0"/>
          <w:lang w:val="en-US"/>
        </w:rPr>
        <w:t>(</w:t>
      </w:r>
      <w:r w:rsidRPr="00BD6197">
        <w:rPr>
          <w:i/>
          <w:iCs/>
          <w:snapToGrid w:val="0"/>
          <w:lang w:val="en-US"/>
        </w:rPr>
        <w:t>h</w:t>
      </w:r>
      <w:r w:rsidRPr="00BD6197">
        <w:rPr>
          <w:i/>
          <w:iCs/>
          <w:snapToGrid w:val="0"/>
          <w:vertAlign w:val="subscript"/>
          <w:lang w:val="en-US"/>
        </w:rPr>
        <w:t>r</w:t>
      </w:r>
      <w:r w:rsidRPr="00BD6197">
        <w:rPr>
          <w:snapToGrid w:val="0"/>
          <w:lang w:val="en-US"/>
        </w:rPr>
        <w:t xml:space="preserve">)         for   </w:t>
      </w:r>
      <w:r w:rsidRPr="00BD6197">
        <w:rPr>
          <w:i/>
          <w:iCs/>
          <w:snapToGrid w:val="0"/>
          <w:lang w:val="en-US"/>
        </w:rPr>
        <w:t>f</w:t>
      </w:r>
      <w:r w:rsidRPr="00BD6197">
        <w:rPr>
          <w:snapToGrid w:val="0"/>
          <w:lang w:val="en-US"/>
        </w:rPr>
        <w:t> </w:t>
      </w:r>
      <w:r w:rsidRPr="00BD6197">
        <w:rPr>
          <w:snapToGrid w:val="0"/>
          <w:lang w:val="en-US"/>
        </w:rPr>
        <w:sym w:font="Symbol" w:char="F0B3"/>
      </w:r>
      <w:r w:rsidRPr="00BD6197">
        <w:rPr>
          <w:snapToGrid w:val="0"/>
          <w:lang w:val="en-US"/>
        </w:rPr>
        <w:t> 1.5 GHz</w:t>
      </w:r>
      <w:r w:rsidRPr="00BD6197">
        <w:rPr>
          <w:snapToGrid w:val="0"/>
          <w:lang w:val="en-US"/>
        </w:rPr>
        <w:tab/>
        <w:t>(43)</w:t>
      </w:r>
    </w:p>
    <w:p w:rsidR="00831CFB" w:rsidRPr="00BD6197" w:rsidRDefault="00831CFB" w:rsidP="00831CFB">
      <w:pPr>
        <w:rPr>
          <w:snapToGrid w:val="0"/>
          <w:lang w:val="en-US"/>
        </w:rPr>
      </w:pPr>
      <w:r w:rsidRPr="00BD6197">
        <w:rPr>
          <w:snapToGrid w:val="0"/>
          <w:lang w:val="en-US"/>
        </w:rPr>
        <w:lastRenderedPageBreak/>
        <w:t>where:</w:t>
      </w:r>
    </w:p>
    <w:p w:rsidR="00831CFB" w:rsidRPr="00BD6197" w:rsidRDefault="00831CFB" w:rsidP="00831CFB">
      <w:pPr>
        <w:pStyle w:val="Equationlegend"/>
        <w:rPr>
          <w:snapToGrid w:val="0"/>
        </w:rPr>
      </w:pPr>
      <w:r w:rsidRPr="00BD6197">
        <w:rPr>
          <w:i/>
          <w:iCs/>
          <w:snapToGrid w:val="0"/>
        </w:rPr>
        <w:tab/>
        <w:t>f</w:t>
      </w:r>
      <w:r w:rsidRPr="00BD6197">
        <w:t xml:space="preserve"> </w:t>
      </w:r>
      <w:r w:rsidRPr="00BD6197">
        <w:rPr>
          <w:snapToGrid w:val="0"/>
        </w:rPr>
        <w:t>:</w:t>
      </w:r>
      <w:r w:rsidRPr="00BD6197">
        <w:rPr>
          <w:snapToGrid w:val="0"/>
        </w:rPr>
        <w:tab/>
        <w:t>working frequency (MHz)</w:t>
      </w:r>
    </w:p>
    <w:p w:rsidR="00831CFB" w:rsidRPr="00BD6197" w:rsidRDefault="00831CFB" w:rsidP="00831CFB">
      <w:pPr>
        <w:pStyle w:val="Equationlegend"/>
      </w:pPr>
      <w:r w:rsidRPr="00BD6197">
        <w:rPr>
          <w:i/>
        </w:rPr>
        <w:tab/>
        <w:t>h</w:t>
      </w:r>
      <w:r w:rsidRPr="00BD6197">
        <w:rPr>
          <w:i/>
          <w:vertAlign w:val="subscript"/>
        </w:rPr>
        <w:t>t</w:t>
      </w:r>
      <w:r w:rsidRPr="00BD6197">
        <w:t xml:space="preserve"> </w:t>
      </w:r>
      <w:r w:rsidRPr="00BD6197">
        <w:rPr>
          <w:iCs/>
        </w:rPr>
        <w:t>:</w:t>
      </w:r>
      <w:r w:rsidRPr="00BD6197">
        <w:rPr>
          <w:iCs/>
        </w:rPr>
        <w:tab/>
        <w:t>effective</w:t>
      </w:r>
      <w:r w:rsidRPr="00BD6197">
        <w:t xml:space="preserve"> height of transmitting antenna (m)</w:t>
      </w:r>
    </w:p>
    <w:p w:rsidR="00831CFB" w:rsidRPr="00BD6197" w:rsidRDefault="00831CFB" w:rsidP="00831CFB">
      <w:pPr>
        <w:pStyle w:val="Equationlegend"/>
      </w:pPr>
      <w:r w:rsidRPr="00BD6197">
        <w:rPr>
          <w:i/>
        </w:rPr>
        <w:tab/>
        <w:t>h</w:t>
      </w:r>
      <w:r w:rsidRPr="00BD6197">
        <w:rPr>
          <w:i/>
          <w:vertAlign w:val="subscript"/>
        </w:rPr>
        <w:t>r</w:t>
      </w:r>
      <w:r w:rsidRPr="00BD6197">
        <w:t xml:space="preserve"> :</w:t>
      </w:r>
      <w:r w:rsidRPr="00BD6197">
        <w:tab/>
      </w:r>
      <w:r w:rsidRPr="00BD6197">
        <w:rPr>
          <w:iCs/>
        </w:rPr>
        <w:t>effective</w:t>
      </w:r>
      <w:r w:rsidRPr="00BD6197">
        <w:t xml:space="preserve"> height of receiving antenna (m)</w:t>
      </w:r>
    </w:p>
    <w:p w:rsidR="00831CFB" w:rsidRPr="00BD6197" w:rsidRDefault="00831CFB" w:rsidP="00831CFB">
      <w:pPr>
        <w:pStyle w:val="Equation"/>
        <w:rPr>
          <w:snapToGrid w:val="0"/>
          <w:lang w:val="en-US"/>
        </w:rPr>
      </w:pPr>
      <w:r w:rsidRPr="00BD6197">
        <w:rPr>
          <w:lang w:val="en-US"/>
        </w:rPr>
        <w:tab/>
      </w:r>
      <w:r w:rsidRPr="00BD6197">
        <w:rPr>
          <w:i/>
          <w:snapToGrid w:val="0"/>
          <w:lang w:val="en-US"/>
        </w:rPr>
        <w:t>a</w:t>
      </w:r>
      <w:r w:rsidRPr="00BD6197">
        <w:rPr>
          <w:i/>
          <w:snapToGrid w:val="0"/>
          <w:vertAlign w:val="subscript"/>
          <w:lang w:val="en-US"/>
        </w:rPr>
        <w:t>r</w:t>
      </w:r>
      <w:r w:rsidRPr="00BD6197">
        <w:rPr>
          <w:rFonts w:ascii="Tms Rmn" w:hAnsi="Tms Rmn"/>
          <w:iCs/>
          <w:snapToGrid w:val="0"/>
          <w:sz w:val="6"/>
          <w:lang w:val="en-US"/>
        </w:rPr>
        <w:t> </w:t>
      </w:r>
      <w:r w:rsidRPr="00BD6197">
        <w:rPr>
          <w:lang w:val="en-US"/>
        </w:rPr>
        <w:t>(</w:t>
      </w:r>
      <w:r w:rsidRPr="00BD6197">
        <w:rPr>
          <w:i/>
          <w:snapToGrid w:val="0"/>
          <w:lang w:val="en-US"/>
        </w:rPr>
        <w:t>h</w:t>
      </w:r>
      <w:r w:rsidRPr="00BD6197">
        <w:rPr>
          <w:i/>
          <w:snapToGrid w:val="0"/>
          <w:vertAlign w:val="subscript"/>
          <w:lang w:val="en-US"/>
        </w:rPr>
        <w:t>r</w:t>
      </w:r>
      <w:r w:rsidRPr="00BD6197">
        <w:rPr>
          <w:lang w:val="en-US"/>
        </w:rPr>
        <w:t>)  </w:t>
      </w:r>
      <w:r w:rsidRPr="00BD6197">
        <w:rPr>
          <w:rFonts w:ascii="Symbol" w:hAnsi="Symbol"/>
          <w:snapToGrid w:val="0"/>
          <w:lang w:val="en-US"/>
        </w:rPr>
        <w:t></w:t>
      </w:r>
      <w:r w:rsidRPr="00BD6197">
        <w:rPr>
          <w:snapToGrid w:val="0"/>
          <w:lang w:val="en-US"/>
        </w:rPr>
        <w:t xml:space="preserve">  (1.1 </w:t>
      </w:r>
      <w:r w:rsidRPr="00BD6197">
        <w:rPr>
          <w:lang w:val="en-US"/>
        </w:rPr>
        <w:t>log</w:t>
      </w:r>
      <w:r w:rsidRPr="00BD6197">
        <w:rPr>
          <w:i/>
          <w:snapToGrid w:val="0"/>
          <w:lang w:val="en-US"/>
        </w:rPr>
        <w:t xml:space="preserve"> </w:t>
      </w:r>
      <w:r w:rsidRPr="00BD6197">
        <w:rPr>
          <w:rFonts w:ascii="Tms Rmn" w:hAnsi="Tms Rmn"/>
          <w:i/>
          <w:snapToGrid w:val="0"/>
          <w:sz w:val="12"/>
          <w:lang w:val="en-US"/>
        </w:rPr>
        <w:t> </w:t>
      </w:r>
      <w:r w:rsidRPr="00BD6197">
        <w:rPr>
          <w:i/>
          <w:snapToGrid w:val="0"/>
          <w:lang w:val="en-US"/>
        </w:rPr>
        <w:t>f</w:t>
      </w:r>
      <w:r w:rsidRPr="00BD6197">
        <w:rPr>
          <w:snapToGrid w:val="0"/>
          <w:lang w:val="en-US"/>
        </w:rPr>
        <w:t xml:space="preserve"> </w:t>
      </w:r>
      <w:r w:rsidRPr="00BD6197">
        <w:rPr>
          <w:rFonts w:ascii="Tms Rmn" w:hAnsi="Tms Rmn"/>
          <w:snapToGrid w:val="0"/>
          <w:sz w:val="12"/>
          <w:lang w:val="en-US"/>
        </w:rPr>
        <w:t> </w:t>
      </w:r>
      <w:r w:rsidRPr="00BD6197">
        <w:rPr>
          <w:snapToGrid w:val="0"/>
          <w:lang w:val="en-US"/>
        </w:rPr>
        <w:t xml:space="preserve">– 0.7) </w:t>
      </w:r>
      <w:r w:rsidRPr="00BD6197">
        <w:rPr>
          <w:i/>
          <w:snapToGrid w:val="0"/>
          <w:lang w:val="en-US"/>
        </w:rPr>
        <w:t>h</w:t>
      </w:r>
      <w:r w:rsidRPr="00BD6197">
        <w:rPr>
          <w:i/>
          <w:snapToGrid w:val="0"/>
          <w:vertAlign w:val="subscript"/>
          <w:lang w:val="en-US"/>
        </w:rPr>
        <w:t>r</w:t>
      </w:r>
      <w:r w:rsidRPr="00BD6197">
        <w:rPr>
          <w:snapToGrid w:val="0"/>
          <w:lang w:val="en-US"/>
        </w:rPr>
        <w:t xml:space="preserve"> – (1.56 </w:t>
      </w:r>
      <w:r w:rsidRPr="00BD6197">
        <w:rPr>
          <w:lang w:val="en-US"/>
        </w:rPr>
        <w:t>log</w:t>
      </w:r>
      <w:r w:rsidRPr="00BD6197">
        <w:rPr>
          <w:i/>
          <w:snapToGrid w:val="0"/>
          <w:lang w:val="en-US"/>
        </w:rPr>
        <w:t xml:space="preserve">  f</w:t>
      </w:r>
      <w:r w:rsidRPr="00BD6197">
        <w:rPr>
          <w:snapToGrid w:val="0"/>
          <w:lang w:val="en-US"/>
        </w:rPr>
        <w:t xml:space="preserve">  – 0.8) (dB).</w:t>
      </w:r>
    </w:p>
    <w:p w:rsidR="00831CFB" w:rsidRPr="00BD6197" w:rsidRDefault="00831CFB" w:rsidP="00831CFB">
      <w:pPr>
        <w:rPr>
          <w:snapToGrid w:val="0"/>
          <w:lang w:val="en-US"/>
        </w:rPr>
      </w:pPr>
      <w:r w:rsidRPr="00BD6197">
        <w:rPr>
          <w:lang w:val="en-US"/>
        </w:rPr>
        <w:t xml:space="preserve">Effective </w:t>
      </w:r>
      <w:r w:rsidRPr="00BD6197">
        <w:rPr>
          <w:snapToGrid w:val="0"/>
          <w:lang w:val="en-US"/>
        </w:rPr>
        <w:t xml:space="preserve">height of </w:t>
      </w:r>
      <w:r w:rsidRPr="00BD6197">
        <w:rPr>
          <w:lang w:val="en-US"/>
        </w:rPr>
        <w:t>transmitting</w:t>
      </w:r>
      <w:r w:rsidRPr="00BD6197">
        <w:rPr>
          <w:snapToGrid w:val="0"/>
          <w:lang w:val="en-US"/>
        </w:rPr>
        <w:t xml:space="preserve"> </w:t>
      </w:r>
      <w:r w:rsidRPr="00BD6197">
        <w:rPr>
          <w:lang w:val="en-US"/>
        </w:rPr>
        <w:t xml:space="preserve">antenna is to be determined as it is presented in </w:t>
      </w:r>
      <w:r w:rsidRPr="00BD6197">
        <w:rPr>
          <w:snapToGrid w:val="0"/>
          <w:lang w:val="en-US"/>
        </w:rPr>
        <w:t xml:space="preserve">Recommendation ITU-R P.1546-4, i.e. by procedure demonstrated in </w:t>
      </w:r>
      <w:r w:rsidRPr="00BD6197">
        <w:rPr>
          <w:lang w:val="en-US"/>
        </w:rPr>
        <w:t xml:space="preserve">§§ </w:t>
      </w:r>
      <w:r w:rsidRPr="00BD6197">
        <w:rPr>
          <w:snapToGrid w:val="0"/>
          <w:lang w:val="en-US"/>
        </w:rPr>
        <w:t>4.7.1(b) and 4.7.1(c). However, taking into account that recently powers of base stations are not too high and, therefore, related service areas are relatively small, for great majority of urban areas situated at a plain terrain, effective height of transmitting antenna can be approximated by its height above ground at a place of its installation. The antenna height of a mobile or portable station is taken as its height above the ground. These assumptions are taken for purposes of the given licence fees calculation model.</w:t>
      </w:r>
    </w:p>
    <w:p w:rsidR="00831CFB" w:rsidRPr="00BD6197" w:rsidRDefault="00831CFB" w:rsidP="00831CFB">
      <w:pPr>
        <w:rPr>
          <w:snapToGrid w:val="0"/>
          <w:lang w:val="en-US"/>
        </w:rPr>
      </w:pPr>
      <w:r w:rsidRPr="00BD6197">
        <w:rPr>
          <w:snapToGrid w:val="0"/>
          <w:lang w:val="en-US"/>
        </w:rPr>
        <w:t xml:space="preserve">Following equations (39) to (43), a service area radius </w:t>
      </w:r>
      <w:r w:rsidRPr="00BD6197">
        <w:rPr>
          <w:i/>
          <w:snapToGrid w:val="0"/>
          <w:lang w:val="en-US"/>
        </w:rPr>
        <w:t>R</w:t>
      </w:r>
      <w:r w:rsidRPr="00BD6197">
        <w:rPr>
          <w:snapToGrid w:val="0"/>
          <w:lang w:val="en-US"/>
        </w:rPr>
        <w:t xml:space="preserve"> can be calculated as:</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r>
      <w:r w:rsidRPr="00BD6197">
        <w:rPr>
          <w:position w:val="-10"/>
          <w:lang w:val="en-US"/>
        </w:rPr>
        <w:object w:dxaOrig="1359" w:dyaOrig="740">
          <v:shape id="_x0000_i1060" type="#_x0000_t75" style="width:67.5pt;height:36pt" o:ole="">
            <v:imagedata r:id="rId90" o:title=""/>
          </v:shape>
          <o:OLEObject Type="Embed" ProgID="Equation.3" ShapeID="_x0000_i1060" DrawAspect="Content" ObjectID="_1604325014" r:id="rId91"/>
        </w:object>
      </w:r>
      <w:r w:rsidRPr="00BD6197">
        <w:rPr>
          <w:lang w:val="en-US"/>
        </w:rPr>
        <w:tab/>
      </w:r>
      <w:r w:rsidRPr="00BD6197">
        <w:rPr>
          <w:snapToGrid w:val="0"/>
          <w:lang w:val="en-US"/>
        </w:rPr>
        <w:t>(44)</w:t>
      </w:r>
    </w:p>
    <w:p w:rsidR="00831CFB" w:rsidRPr="00BD6197" w:rsidRDefault="00831CFB" w:rsidP="00831CFB">
      <w:pPr>
        <w:rPr>
          <w:snapToGrid w:val="0"/>
          <w:lang w:val="en-US"/>
        </w:rPr>
      </w:pPr>
      <w:r w:rsidRPr="00BD6197">
        <w:rPr>
          <w:snapToGrid w:val="0"/>
          <w:lang w:val="en-US"/>
        </w:rPr>
        <w:t>where:</w:t>
      </w:r>
    </w:p>
    <w:p w:rsidR="00831CFB" w:rsidRPr="00BD6197" w:rsidRDefault="00831CFB" w:rsidP="00831CFB">
      <w:pPr>
        <w:pStyle w:val="Equationlegend"/>
        <w:rPr>
          <w:snapToGrid w:val="0"/>
        </w:rPr>
      </w:pPr>
      <w:r w:rsidRPr="00BD6197">
        <w:rPr>
          <w:i/>
          <w:snapToGrid w:val="0"/>
        </w:rPr>
        <w:tab/>
        <w:t xml:space="preserve">R </w:t>
      </w:r>
      <w:r w:rsidRPr="00BD6197">
        <w:rPr>
          <w:snapToGrid w:val="0"/>
        </w:rPr>
        <w:t>:</w:t>
      </w:r>
      <w:r w:rsidRPr="00BD6197">
        <w:rPr>
          <w:snapToGrid w:val="0"/>
        </w:rPr>
        <w:tab/>
        <w:t>service area radius (km)</w:t>
      </w:r>
    </w:p>
    <w:p w:rsidR="00831CFB" w:rsidRPr="00BD6197" w:rsidRDefault="00831CFB" w:rsidP="00831CFB">
      <w:pPr>
        <w:pStyle w:val="Equationlegend"/>
        <w:rPr>
          <w:snapToGrid w:val="0"/>
        </w:rPr>
      </w:pPr>
      <w:r w:rsidRPr="00BD6197">
        <w:rPr>
          <w:snapToGrid w:val="0"/>
        </w:rPr>
        <w:tab/>
      </w:r>
      <w:r w:rsidRPr="00BD6197">
        <w:rPr>
          <w:i/>
          <w:snapToGrid w:val="0"/>
        </w:rPr>
        <w:t>z</w:t>
      </w:r>
      <w:r w:rsidRPr="00BD6197">
        <w:rPr>
          <w:snapToGrid w:val="0"/>
        </w:rPr>
        <w:t xml:space="preserve"> :</w:t>
      </w:r>
      <w:r w:rsidRPr="00BD6197">
        <w:rPr>
          <w:snapToGrid w:val="0"/>
        </w:rPr>
        <w:tab/>
        <w:t>easily determined generalized power parameter (dB) calculated as:</w:t>
      </w:r>
    </w:p>
    <w:p w:rsidR="00831CFB" w:rsidRPr="00BD6197" w:rsidRDefault="00831CFB" w:rsidP="00831CFB">
      <w:pPr>
        <w:pStyle w:val="Blanc"/>
        <w:rPr>
          <w:lang w:val="en-US"/>
        </w:rPr>
      </w:pPr>
    </w:p>
    <w:p w:rsidR="00831CFB" w:rsidRPr="00BD6197" w:rsidRDefault="00831CFB" w:rsidP="00831CFB">
      <w:pPr>
        <w:pStyle w:val="Equation"/>
        <w:rPr>
          <w:snapToGrid w:val="0"/>
          <w:lang w:val="en-US"/>
        </w:rPr>
      </w:pPr>
      <w:r w:rsidRPr="00BD6197">
        <w:rPr>
          <w:snapToGrid w:val="0"/>
          <w:lang w:val="en-US"/>
        </w:rPr>
        <w:tab/>
      </w:r>
      <w:r w:rsidRPr="00BD6197">
        <w:rPr>
          <w:snapToGrid w:val="0"/>
          <w:lang w:val="en-US"/>
        </w:rPr>
        <w:tab/>
      </w:r>
      <w:r w:rsidRPr="00BD6197">
        <w:rPr>
          <w:i/>
          <w:iCs/>
          <w:snapToGrid w:val="0"/>
          <w:lang w:val="en-US"/>
        </w:rPr>
        <w:t>z</w:t>
      </w:r>
      <w:r w:rsidRPr="00BD6197">
        <w:rPr>
          <w:snapToGrid w:val="0"/>
          <w:lang w:val="en-US"/>
        </w:rPr>
        <w:t xml:space="preserve"> </w:t>
      </w:r>
      <w:r w:rsidRPr="00BD6197">
        <w:rPr>
          <w:rFonts w:ascii="Symbol" w:hAnsi="Symbol"/>
          <w:snapToGrid w:val="0"/>
          <w:lang w:val="en-US"/>
        </w:rPr>
        <w:t></w:t>
      </w:r>
      <w:r w:rsidRPr="00BD6197">
        <w:rPr>
          <w:snapToGrid w:val="0"/>
          <w:lang w:val="en-US"/>
        </w:rPr>
        <w:t xml:space="preserve"> </w:t>
      </w:r>
      <w:r w:rsidRPr="00BD6197">
        <w:rPr>
          <w:i/>
          <w:iCs/>
          <w:snapToGrid w:val="0"/>
          <w:lang w:val="en-US"/>
        </w:rPr>
        <w:t>P</w:t>
      </w:r>
      <w:r w:rsidRPr="00BD6197">
        <w:rPr>
          <w:i/>
          <w:iCs/>
          <w:snapToGrid w:val="0"/>
          <w:vertAlign w:val="subscript"/>
          <w:lang w:val="en-US"/>
        </w:rPr>
        <w:t>t</w:t>
      </w:r>
      <w:r w:rsidRPr="00BD6197">
        <w:rPr>
          <w:snapToGrid w:val="0"/>
          <w:lang w:val="en-US"/>
        </w:rPr>
        <w:t xml:space="preserve"> </w:t>
      </w:r>
      <w:r w:rsidRPr="00BD6197">
        <w:rPr>
          <w:rFonts w:ascii="Symbol" w:hAnsi="Symbol"/>
          <w:snapToGrid w:val="0"/>
          <w:lang w:val="en-US"/>
        </w:rPr>
        <w:t></w:t>
      </w:r>
      <w:r w:rsidRPr="00BD6197">
        <w:rPr>
          <w:snapToGrid w:val="0"/>
          <w:lang w:val="en-US"/>
        </w:rPr>
        <w:t xml:space="preserve"> </w:t>
      </w:r>
      <w:r w:rsidRPr="00BD6197">
        <w:rPr>
          <w:i/>
          <w:iCs/>
          <w:snapToGrid w:val="0"/>
          <w:lang w:val="en-US"/>
        </w:rPr>
        <w:t>G</w:t>
      </w:r>
      <w:r w:rsidRPr="00BD6197">
        <w:rPr>
          <w:i/>
          <w:iCs/>
          <w:snapToGrid w:val="0"/>
          <w:vertAlign w:val="subscript"/>
          <w:lang w:val="en-US"/>
        </w:rPr>
        <w:t>t</w:t>
      </w:r>
      <w:r w:rsidRPr="00BD6197">
        <w:rPr>
          <w:snapToGrid w:val="0"/>
          <w:lang w:val="en-US"/>
        </w:rPr>
        <w:t xml:space="preserve"> + </w:t>
      </w:r>
      <w:r w:rsidRPr="00BD6197">
        <w:rPr>
          <w:i/>
          <w:iCs/>
          <w:snapToGrid w:val="0"/>
          <w:lang w:val="en-US"/>
        </w:rPr>
        <w:t>G</w:t>
      </w:r>
      <w:r w:rsidRPr="00BD6197">
        <w:rPr>
          <w:i/>
          <w:iCs/>
          <w:snapToGrid w:val="0"/>
          <w:vertAlign w:val="subscript"/>
          <w:lang w:val="en-US"/>
        </w:rPr>
        <w:t>r</w:t>
      </w:r>
      <w:r w:rsidRPr="00BD6197">
        <w:rPr>
          <w:snapToGrid w:val="0"/>
          <w:lang w:val="en-US"/>
        </w:rPr>
        <w:t xml:space="preserve"> – </w:t>
      </w:r>
      <w:r w:rsidRPr="00BD6197">
        <w:rPr>
          <w:i/>
          <w:iCs/>
          <w:snapToGrid w:val="0"/>
          <w:lang w:val="en-US"/>
        </w:rPr>
        <w:t>P</w:t>
      </w:r>
      <w:r w:rsidRPr="00BD6197">
        <w:rPr>
          <w:i/>
          <w:iCs/>
          <w:snapToGrid w:val="0"/>
          <w:vertAlign w:val="subscript"/>
          <w:lang w:val="en-US"/>
        </w:rPr>
        <w:t>min</w:t>
      </w:r>
      <w:r w:rsidRPr="00BD6197">
        <w:rPr>
          <w:snapToGrid w:val="0"/>
          <w:lang w:val="en-US"/>
        </w:rPr>
        <w:tab/>
        <w:t>(45)</w:t>
      </w:r>
    </w:p>
    <w:p w:rsidR="00831CFB" w:rsidRPr="00BD6197" w:rsidRDefault="00831CFB" w:rsidP="00831CFB">
      <w:pPr>
        <w:pStyle w:val="Blanc"/>
        <w:rPr>
          <w:lang w:val="en-US"/>
        </w:rPr>
      </w:pPr>
    </w:p>
    <w:p w:rsidR="00831CFB" w:rsidRPr="00BD6197" w:rsidRDefault="00831CFB" w:rsidP="00831CFB">
      <w:pPr>
        <w:rPr>
          <w:snapToGrid w:val="0"/>
          <w:lang w:val="en-US"/>
        </w:rPr>
      </w:pPr>
      <w:r w:rsidRPr="00BD6197">
        <w:rPr>
          <w:snapToGrid w:val="0"/>
          <w:lang w:val="en-US"/>
        </w:rPr>
        <w:t xml:space="preserve">Graphs of relationships </w:t>
      </w:r>
      <w:r w:rsidRPr="00BD6197">
        <w:rPr>
          <w:i/>
          <w:iCs/>
          <w:snapToGrid w:val="0"/>
          <w:lang w:val="en-US"/>
        </w:rPr>
        <w:t>R</w:t>
      </w:r>
      <w:r w:rsidRPr="00BD6197">
        <w:rPr>
          <w:snapToGrid w:val="0"/>
          <w:lang w:val="en-US"/>
        </w:rPr>
        <w:t> </w:t>
      </w:r>
      <w:r w:rsidRPr="00BD6197">
        <w:rPr>
          <w:rFonts w:ascii="Symbol" w:hAnsi="Symbol"/>
          <w:snapToGrid w:val="0"/>
          <w:lang w:val="en-US"/>
        </w:rPr>
        <w:t></w:t>
      </w:r>
      <w:r w:rsidRPr="00BD6197">
        <w:rPr>
          <w:snapToGrid w:val="0"/>
          <w:lang w:val="en-US"/>
        </w:rPr>
        <w:t> </w:t>
      </w:r>
      <w:r w:rsidRPr="00BD6197">
        <w:rPr>
          <w:rFonts w:ascii="Symbol" w:hAnsi="Symbol"/>
          <w:snapToGrid w:val="0"/>
          <w:lang w:val="en-US"/>
        </w:rPr>
        <w:t></w:t>
      </w:r>
      <w:r w:rsidRPr="00BD6197">
        <w:rPr>
          <w:rFonts w:ascii="Symbol" w:hAnsi="Symbol"/>
          <w:snapToGrid w:val="0"/>
          <w:lang w:val="en-US"/>
        </w:rPr>
        <w:t></w:t>
      </w:r>
      <w:r w:rsidRPr="00BD6197">
        <w:rPr>
          <w:i/>
          <w:snapToGrid w:val="0"/>
          <w:lang w:val="en-US"/>
        </w:rPr>
        <w:t>z</w:t>
      </w:r>
      <w:r w:rsidRPr="00BD6197">
        <w:rPr>
          <w:rFonts w:ascii="Symbol" w:hAnsi="Symbol"/>
          <w:snapToGrid w:val="0"/>
          <w:lang w:val="en-US"/>
        </w:rPr>
        <w:t></w:t>
      </w:r>
      <w:r w:rsidRPr="00BD6197">
        <w:rPr>
          <w:snapToGrid w:val="0"/>
          <w:lang w:val="en-US"/>
        </w:rPr>
        <w:t xml:space="preserve">, calculated in accordance with equations (44) and (45), for frequencies below 1 GHz and above 1.5 GHz are presented at Figs 7-8 and 9-10 accordingly. Figures 7 and 9 correspond to transmitter antenna heights, </w:t>
      </w:r>
      <w:r w:rsidRPr="00BD6197">
        <w:rPr>
          <w:i/>
          <w:snapToGrid w:val="0"/>
          <w:lang w:val="en-US"/>
        </w:rPr>
        <w:t>h</w:t>
      </w:r>
      <w:r w:rsidRPr="00BD6197">
        <w:rPr>
          <w:i/>
          <w:snapToGrid w:val="0"/>
          <w:vertAlign w:val="subscript"/>
          <w:lang w:val="en-US"/>
        </w:rPr>
        <w:t>t</w:t>
      </w:r>
      <w:r w:rsidRPr="00BD6197">
        <w:rPr>
          <w:iCs/>
          <w:snapToGrid w:val="0"/>
          <w:lang w:val="en-US"/>
        </w:rPr>
        <w:t xml:space="preserve">, equal to 40 m and Figs 8 and 10 to 100 m. In all figures line 1 corresponds to receiver antenna height, </w:t>
      </w:r>
      <w:r w:rsidRPr="00BD6197">
        <w:rPr>
          <w:i/>
          <w:snapToGrid w:val="0"/>
          <w:lang w:val="en-US"/>
        </w:rPr>
        <w:t>h</w:t>
      </w:r>
      <w:r w:rsidRPr="00BD6197">
        <w:rPr>
          <w:i/>
          <w:snapToGrid w:val="0"/>
          <w:vertAlign w:val="subscript"/>
          <w:lang w:val="en-US"/>
        </w:rPr>
        <w:t>r</w:t>
      </w:r>
      <w:r w:rsidRPr="00BD6197">
        <w:rPr>
          <w:iCs/>
          <w:snapToGrid w:val="0"/>
          <w:lang w:val="en-US"/>
        </w:rPr>
        <w:t xml:space="preserve">, equal to 1.5 m and line 2 to 10 m. The last </w:t>
      </w:r>
      <w:r w:rsidRPr="00BD6197">
        <w:rPr>
          <w:snapToGrid w:val="0"/>
          <w:lang w:val="en-US"/>
        </w:rPr>
        <w:t>allows to use these graphs for calculations associated with VHF/UHF fixed communications and “point-multipoint” program distribution systems, when the collective reception antennas are placed on roofs of buildings. Line 3 indicates dependencies for free-space propagation conditions. It can be used for calculations associated with short distance VHF/UHF fixed communications with line-of-sight propagation conditions. For other antenna heights lying within above-mentioned limits, service area radius values can be obtained from Figs 7-10 by interpolation.</w:t>
      </w:r>
    </w:p>
    <w:p w:rsidR="00831CFB" w:rsidRPr="00BD6197" w:rsidRDefault="00831CFB" w:rsidP="00831CFB">
      <w:pPr>
        <w:rPr>
          <w:snapToGrid w:val="0"/>
          <w:lang w:val="en-US"/>
        </w:rPr>
      </w:pPr>
      <w:r w:rsidRPr="00BD6197">
        <w:rPr>
          <w:snapToGrid w:val="0"/>
          <w:lang w:val="en-US"/>
        </w:rPr>
        <w:t xml:space="preserve">Somewhat typical values of parameters appeared in equation (45), for a number of land mobile radiocommunication systems including equipment for </w:t>
      </w:r>
      <w:r w:rsidRPr="00BD6197">
        <w:rPr>
          <w:lang w:val="en-US"/>
        </w:rPr>
        <w:t xml:space="preserve">digitally enhanced cordless telecommunications (DECT) and </w:t>
      </w:r>
      <w:r w:rsidRPr="00BD6197">
        <w:rPr>
          <w:snapToGrid w:val="0"/>
          <w:lang w:val="en-US"/>
        </w:rPr>
        <w:t>private mobile radio (PMR), are presented in Table 11.</w:t>
      </w:r>
    </w:p>
    <w:p w:rsidR="00831CFB" w:rsidRPr="00BD6197" w:rsidRDefault="00831CFB" w:rsidP="00831CFB">
      <w:pPr>
        <w:pStyle w:val="TableNo"/>
        <w:rPr>
          <w:lang w:val="en-US"/>
        </w:rPr>
      </w:pPr>
      <w:r w:rsidRPr="00BD6197">
        <w:rPr>
          <w:lang w:val="en-US"/>
        </w:rPr>
        <w:t>TABLE 11</w:t>
      </w:r>
    </w:p>
    <w:p w:rsidR="00831CFB" w:rsidRPr="00BD6197" w:rsidRDefault="00831CFB" w:rsidP="00831CFB">
      <w:pPr>
        <w:pStyle w:val="Tabletitle"/>
        <w:rPr>
          <w:lang w:val="en-US"/>
        </w:rPr>
      </w:pPr>
      <w:r w:rsidRPr="00BD6197">
        <w:rPr>
          <w:lang w:val="en-US"/>
        </w:rPr>
        <w:t>Values of equipment parameters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0"/>
        <w:gridCol w:w="964"/>
        <w:gridCol w:w="851"/>
        <w:gridCol w:w="851"/>
        <w:gridCol w:w="851"/>
        <w:gridCol w:w="851"/>
        <w:gridCol w:w="851"/>
      </w:tblGrid>
      <w:tr w:rsidR="00831CFB" w:rsidRPr="00BD6197" w:rsidTr="000F2BA7">
        <w:trPr>
          <w:jc w:val="center"/>
        </w:trPr>
        <w:tc>
          <w:tcPr>
            <w:tcW w:w="4423" w:type="dxa"/>
            <w:tcBorders>
              <w:top w:val="single" w:sz="4" w:space="0" w:color="auto"/>
              <w:left w:val="single" w:sz="4" w:space="0" w:color="auto"/>
              <w:bottom w:val="single" w:sz="4" w:space="0" w:color="auto"/>
              <w:right w:val="single" w:sz="4" w:space="0" w:color="auto"/>
              <w:tl2br w:val="single" w:sz="4" w:space="0" w:color="auto"/>
            </w:tcBorders>
            <w:vAlign w:val="center"/>
          </w:tcPr>
          <w:p w:rsidR="00831CFB" w:rsidRPr="00BD6197" w:rsidRDefault="00831CFB" w:rsidP="000F2BA7">
            <w:pPr>
              <w:pStyle w:val="Tablehead"/>
              <w:jc w:val="right"/>
              <w:rPr>
                <w:lang w:val="en-US"/>
              </w:rPr>
            </w:pPr>
            <w:r w:rsidRPr="00BD6197">
              <w:rPr>
                <w:lang w:val="en-US"/>
              </w:rPr>
              <w:t>System</w:t>
            </w:r>
          </w:p>
          <w:p w:rsidR="00831CFB" w:rsidRPr="00BD6197" w:rsidRDefault="00831CFB" w:rsidP="000F2BA7">
            <w:pPr>
              <w:pStyle w:val="Tablehead"/>
              <w:jc w:val="left"/>
              <w:rPr>
                <w:lang w:val="en-US"/>
              </w:rPr>
            </w:pPr>
            <w:r w:rsidRPr="00BD6197">
              <w:rPr>
                <w:lang w:val="en-US"/>
              </w:rPr>
              <w:t>Parameter</w:t>
            </w:r>
          </w:p>
        </w:tc>
        <w:tc>
          <w:tcPr>
            <w:tcW w:w="964"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lang w:val="en-US"/>
              </w:rPr>
            </w:pPr>
            <w:r w:rsidRPr="00BD6197">
              <w:rPr>
                <w:lang w:val="en-US"/>
              </w:rPr>
              <w:t>CDMA</w:t>
            </w:r>
          </w:p>
        </w:tc>
        <w:tc>
          <w:tcPr>
            <w:tcW w:w="851"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lang w:val="en-US"/>
              </w:rPr>
            </w:pPr>
            <w:r w:rsidRPr="00BD6197">
              <w:rPr>
                <w:lang w:val="en-US"/>
              </w:rPr>
              <w:t>GSM</w:t>
            </w:r>
          </w:p>
        </w:tc>
        <w:tc>
          <w:tcPr>
            <w:tcW w:w="851"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lang w:val="en-US"/>
              </w:rPr>
            </w:pPr>
            <w:r w:rsidRPr="00BD6197">
              <w:rPr>
                <w:lang w:val="en-US"/>
              </w:rPr>
              <w:t>AMPS</w:t>
            </w:r>
          </w:p>
        </w:tc>
        <w:tc>
          <w:tcPr>
            <w:tcW w:w="851"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lang w:val="en-US"/>
              </w:rPr>
            </w:pPr>
            <w:r w:rsidRPr="00BD6197">
              <w:rPr>
                <w:lang w:val="en-US"/>
              </w:rPr>
              <w:t>NMT</w:t>
            </w:r>
          </w:p>
        </w:tc>
        <w:tc>
          <w:tcPr>
            <w:tcW w:w="851"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lang w:val="en-US"/>
              </w:rPr>
            </w:pPr>
            <w:r w:rsidRPr="00BD6197">
              <w:rPr>
                <w:lang w:val="en-US"/>
              </w:rPr>
              <w:t>DECT</w:t>
            </w:r>
          </w:p>
        </w:tc>
        <w:tc>
          <w:tcPr>
            <w:tcW w:w="851"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head"/>
              <w:rPr>
                <w:lang w:val="en-US"/>
              </w:rPr>
            </w:pPr>
            <w:r w:rsidRPr="00BD6197">
              <w:rPr>
                <w:lang w:val="en-US"/>
              </w:rPr>
              <w:t>PMR</w:t>
            </w:r>
          </w:p>
        </w:tc>
      </w:tr>
      <w:tr w:rsidR="00831CFB" w:rsidRPr="00BD6197" w:rsidTr="000F2BA7">
        <w:trPr>
          <w:jc w:val="center"/>
        </w:trPr>
        <w:tc>
          <w:tcPr>
            <w:tcW w:w="4423"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rPr>
                <w:szCs w:val="22"/>
                <w:lang w:val="en-US"/>
              </w:rPr>
            </w:pPr>
            <w:r w:rsidRPr="00BD6197">
              <w:rPr>
                <w:szCs w:val="22"/>
                <w:lang w:val="en-US"/>
              </w:rPr>
              <w:t xml:space="preserve">Transmitting antenna gain </w:t>
            </w:r>
            <w:r w:rsidRPr="00BD6197">
              <w:rPr>
                <w:i/>
                <w:snapToGrid w:val="0"/>
                <w:color w:val="000000"/>
                <w:szCs w:val="22"/>
                <w:lang w:val="en-US"/>
              </w:rPr>
              <w:t>G</w:t>
            </w:r>
            <w:r w:rsidRPr="00BD6197">
              <w:rPr>
                <w:i/>
                <w:snapToGrid w:val="0"/>
                <w:color w:val="000000"/>
                <w:szCs w:val="22"/>
                <w:vertAlign w:val="subscript"/>
                <w:lang w:val="en-US"/>
              </w:rPr>
              <w:t>t</w:t>
            </w:r>
            <w:r w:rsidRPr="00BD6197">
              <w:rPr>
                <w:iCs/>
                <w:snapToGrid w:val="0"/>
                <w:color w:val="000000"/>
                <w:szCs w:val="22"/>
                <w:lang w:val="en-US"/>
              </w:rPr>
              <w:t xml:space="preserve"> (</w:t>
            </w:r>
            <w:r w:rsidRPr="00BD6197">
              <w:rPr>
                <w:szCs w:val="22"/>
                <w:lang w:val="en-US"/>
              </w:rPr>
              <w:t>dB)</w:t>
            </w:r>
          </w:p>
        </w:tc>
        <w:tc>
          <w:tcPr>
            <w:tcW w:w="964"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Cs w:val="22"/>
                <w:lang w:val="en-US"/>
              </w:rPr>
            </w:pPr>
            <w:r w:rsidRPr="00BD6197">
              <w:rPr>
                <w:szCs w:val="22"/>
                <w:lang w:val="en-US"/>
              </w:rPr>
              <w:t>13</w:t>
            </w:r>
          </w:p>
        </w:tc>
        <w:tc>
          <w:tcPr>
            <w:tcW w:w="851"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Cs w:val="22"/>
                <w:lang w:val="en-US"/>
              </w:rPr>
            </w:pPr>
            <w:r w:rsidRPr="00BD6197">
              <w:rPr>
                <w:szCs w:val="22"/>
                <w:lang w:val="en-US"/>
              </w:rPr>
              <w:t>18</w:t>
            </w:r>
          </w:p>
        </w:tc>
        <w:tc>
          <w:tcPr>
            <w:tcW w:w="851"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Cs w:val="22"/>
                <w:lang w:val="en-US"/>
              </w:rPr>
            </w:pPr>
            <w:r w:rsidRPr="00BD6197">
              <w:rPr>
                <w:szCs w:val="22"/>
                <w:lang w:val="en-US"/>
              </w:rPr>
              <w:t>17</w:t>
            </w:r>
          </w:p>
        </w:tc>
        <w:tc>
          <w:tcPr>
            <w:tcW w:w="851"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Cs w:val="22"/>
                <w:lang w:val="en-US"/>
              </w:rPr>
            </w:pPr>
            <w:r w:rsidRPr="00BD6197">
              <w:rPr>
                <w:szCs w:val="22"/>
                <w:lang w:val="en-US"/>
              </w:rPr>
              <w:t>10-17</w:t>
            </w:r>
          </w:p>
        </w:tc>
        <w:tc>
          <w:tcPr>
            <w:tcW w:w="851"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Cs w:val="22"/>
                <w:lang w:val="en-US"/>
              </w:rPr>
            </w:pPr>
            <w:r w:rsidRPr="00BD6197">
              <w:rPr>
                <w:szCs w:val="22"/>
                <w:lang w:val="en-US"/>
              </w:rPr>
              <w:t>3</w:t>
            </w:r>
          </w:p>
        </w:tc>
        <w:tc>
          <w:tcPr>
            <w:tcW w:w="851"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Cs w:val="22"/>
                <w:lang w:val="en-US"/>
              </w:rPr>
            </w:pPr>
            <w:r w:rsidRPr="00BD6197">
              <w:rPr>
                <w:szCs w:val="22"/>
                <w:lang w:val="en-US"/>
              </w:rPr>
              <w:t>6-15</w:t>
            </w:r>
          </w:p>
        </w:tc>
      </w:tr>
      <w:tr w:rsidR="00831CFB" w:rsidRPr="00BD6197" w:rsidTr="000F2BA7">
        <w:trPr>
          <w:jc w:val="center"/>
        </w:trPr>
        <w:tc>
          <w:tcPr>
            <w:tcW w:w="4423"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rPr>
                <w:szCs w:val="22"/>
                <w:lang w:val="en-US"/>
              </w:rPr>
            </w:pPr>
            <w:r w:rsidRPr="00BD6197">
              <w:rPr>
                <w:szCs w:val="22"/>
                <w:lang w:val="en-US"/>
              </w:rPr>
              <w:t xml:space="preserve">Receiving antenna gain </w:t>
            </w:r>
            <w:r w:rsidRPr="00BD6197">
              <w:rPr>
                <w:i/>
                <w:snapToGrid w:val="0"/>
                <w:color w:val="000000"/>
                <w:szCs w:val="22"/>
                <w:lang w:val="en-US"/>
              </w:rPr>
              <w:t>G</w:t>
            </w:r>
            <w:r w:rsidRPr="00BD6197">
              <w:rPr>
                <w:i/>
                <w:snapToGrid w:val="0"/>
                <w:color w:val="000000"/>
                <w:szCs w:val="22"/>
                <w:vertAlign w:val="subscript"/>
                <w:lang w:val="en-US"/>
              </w:rPr>
              <w:t>r</w:t>
            </w:r>
            <w:r w:rsidRPr="00BD6197">
              <w:rPr>
                <w:iCs/>
                <w:snapToGrid w:val="0"/>
                <w:color w:val="000000"/>
                <w:szCs w:val="22"/>
                <w:lang w:val="en-US"/>
              </w:rPr>
              <w:t xml:space="preserve"> (</w:t>
            </w:r>
            <w:r w:rsidRPr="00BD6197">
              <w:rPr>
                <w:szCs w:val="22"/>
                <w:lang w:val="en-US"/>
              </w:rPr>
              <w:t>dB)</w:t>
            </w:r>
          </w:p>
        </w:tc>
        <w:tc>
          <w:tcPr>
            <w:tcW w:w="964"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Cs w:val="22"/>
                <w:lang w:val="en-US"/>
              </w:rPr>
            </w:pPr>
            <w:r w:rsidRPr="00BD6197">
              <w:rPr>
                <w:szCs w:val="22"/>
                <w:lang w:val="en-US"/>
              </w:rPr>
              <w:t>0</w:t>
            </w:r>
          </w:p>
        </w:tc>
        <w:tc>
          <w:tcPr>
            <w:tcW w:w="851"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Cs w:val="22"/>
                <w:lang w:val="en-US"/>
              </w:rPr>
            </w:pPr>
            <w:r w:rsidRPr="00BD6197">
              <w:rPr>
                <w:szCs w:val="22"/>
                <w:lang w:val="en-US"/>
              </w:rPr>
              <w:t>0</w:t>
            </w:r>
          </w:p>
        </w:tc>
        <w:tc>
          <w:tcPr>
            <w:tcW w:w="851"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Cs w:val="22"/>
                <w:lang w:val="en-US"/>
              </w:rPr>
            </w:pPr>
            <w:r w:rsidRPr="00BD6197">
              <w:rPr>
                <w:szCs w:val="22"/>
                <w:lang w:val="en-US"/>
              </w:rPr>
              <w:t>0</w:t>
            </w:r>
          </w:p>
        </w:tc>
        <w:tc>
          <w:tcPr>
            <w:tcW w:w="851"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Cs w:val="22"/>
                <w:lang w:val="en-US"/>
              </w:rPr>
            </w:pPr>
            <w:r w:rsidRPr="00BD6197">
              <w:rPr>
                <w:szCs w:val="22"/>
                <w:lang w:val="en-US"/>
              </w:rPr>
              <w:t>6</w:t>
            </w:r>
          </w:p>
        </w:tc>
        <w:tc>
          <w:tcPr>
            <w:tcW w:w="851"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Cs w:val="22"/>
                <w:lang w:val="en-US"/>
              </w:rPr>
            </w:pPr>
            <w:r w:rsidRPr="00BD6197">
              <w:rPr>
                <w:szCs w:val="22"/>
                <w:lang w:val="en-US"/>
              </w:rPr>
              <w:t>3</w:t>
            </w:r>
          </w:p>
        </w:tc>
        <w:tc>
          <w:tcPr>
            <w:tcW w:w="851"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Cs w:val="22"/>
                <w:lang w:val="en-US"/>
              </w:rPr>
            </w:pPr>
            <w:r w:rsidRPr="00BD6197">
              <w:rPr>
                <w:szCs w:val="22"/>
                <w:lang w:val="en-US"/>
              </w:rPr>
              <w:t>3-6</w:t>
            </w:r>
          </w:p>
        </w:tc>
      </w:tr>
      <w:tr w:rsidR="00831CFB" w:rsidRPr="00BD6197" w:rsidTr="000F2BA7">
        <w:trPr>
          <w:jc w:val="center"/>
        </w:trPr>
        <w:tc>
          <w:tcPr>
            <w:tcW w:w="4423"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rPr>
                <w:szCs w:val="22"/>
                <w:lang w:val="en-US"/>
              </w:rPr>
            </w:pPr>
            <w:r w:rsidRPr="00BD6197">
              <w:rPr>
                <w:szCs w:val="22"/>
                <w:lang w:val="en-US"/>
              </w:rPr>
              <w:t xml:space="preserve">Receiver sensitivity </w:t>
            </w:r>
            <w:r w:rsidRPr="00BD6197">
              <w:rPr>
                <w:i/>
                <w:iCs/>
                <w:szCs w:val="22"/>
                <w:lang w:val="en-US"/>
              </w:rPr>
              <w:t>P</w:t>
            </w:r>
            <w:r w:rsidRPr="00BD6197">
              <w:rPr>
                <w:i/>
                <w:iCs/>
                <w:szCs w:val="22"/>
                <w:vertAlign w:val="subscript"/>
                <w:lang w:val="en-US"/>
              </w:rPr>
              <w:t>min</w:t>
            </w:r>
            <w:r w:rsidRPr="00BD6197">
              <w:rPr>
                <w:szCs w:val="22"/>
                <w:lang w:val="en-US"/>
              </w:rPr>
              <w:t xml:space="preserve"> (dBW)</w:t>
            </w:r>
          </w:p>
        </w:tc>
        <w:tc>
          <w:tcPr>
            <w:tcW w:w="964"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Cs w:val="22"/>
                <w:lang w:val="en-US"/>
              </w:rPr>
            </w:pPr>
            <w:r w:rsidRPr="00BD6197">
              <w:rPr>
                <w:szCs w:val="22"/>
                <w:lang w:val="en-US"/>
              </w:rPr>
              <w:t>–147</w:t>
            </w:r>
          </w:p>
        </w:tc>
        <w:tc>
          <w:tcPr>
            <w:tcW w:w="851"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Cs w:val="22"/>
                <w:lang w:val="en-US"/>
              </w:rPr>
            </w:pPr>
            <w:r w:rsidRPr="00BD6197">
              <w:rPr>
                <w:szCs w:val="22"/>
                <w:lang w:val="en-US"/>
              </w:rPr>
              <w:t>–138</w:t>
            </w:r>
          </w:p>
        </w:tc>
        <w:tc>
          <w:tcPr>
            <w:tcW w:w="851"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Cs w:val="22"/>
                <w:lang w:val="en-US"/>
              </w:rPr>
            </w:pPr>
            <w:r w:rsidRPr="00BD6197">
              <w:rPr>
                <w:szCs w:val="22"/>
                <w:lang w:val="en-US"/>
              </w:rPr>
              <w:t>–146</w:t>
            </w:r>
          </w:p>
        </w:tc>
        <w:tc>
          <w:tcPr>
            <w:tcW w:w="851"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Cs w:val="22"/>
                <w:lang w:val="en-US"/>
              </w:rPr>
            </w:pPr>
            <w:r w:rsidRPr="00BD6197">
              <w:rPr>
                <w:szCs w:val="22"/>
                <w:lang w:val="en-US"/>
              </w:rPr>
              <w:t>–115</w:t>
            </w:r>
          </w:p>
        </w:tc>
        <w:tc>
          <w:tcPr>
            <w:tcW w:w="851"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Cs w:val="22"/>
                <w:lang w:val="en-US"/>
              </w:rPr>
            </w:pPr>
            <w:r w:rsidRPr="00BD6197">
              <w:rPr>
                <w:szCs w:val="22"/>
                <w:lang w:val="en-US"/>
              </w:rPr>
              <w:t>–112</w:t>
            </w:r>
          </w:p>
        </w:tc>
        <w:tc>
          <w:tcPr>
            <w:tcW w:w="851" w:type="dxa"/>
            <w:tcBorders>
              <w:top w:val="single" w:sz="4" w:space="0" w:color="auto"/>
              <w:left w:val="single" w:sz="4" w:space="0" w:color="auto"/>
              <w:bottom w:val="single" w:sz="4" w:space="0" w:color="auto"/>
              <w:right w:val="single" w:sz="4" w:space="0" w:color="auto"/>
            </w:tcBorders>
          </w:tcPr>
          <w:p w:rsidR="00831CFB" w:rsidRPr="00BD6197" w:rsidRDefault="00831CFB" w:rsidP="000F2BA7">
            <w:pPr>
              <w:pStyle w:val="Tabletext"/>
              <w:jc w:val="center"/>
              <w:rPr>
                <w:szCs w:val="22"/>
                <w:lang w:val="en-US"/>
              </w:rPr>
            </w:pPr>
            <w:r w:rsidRPr="00BD6197">
              <w:rPr>
                <w:szCs w:val="22"/>
                <w:lang w:val="en-US"/>
              </w:rPr>
              <w:t>–110</w:t>
            </w:r>
          </w:p>
        </w:tc>
      </w:tr>
    </w:tbl>
    <w:p w:rsidR="00831CFB" w:rsidRPr="00BD6197" w:rsidRDefault="00831CFB" w:rsidP="00831CFB">
      <w:pPr>
        <w:pStyle w:val="Tablefin"/>
        <w:rPr>
          <w:lang w:val="en-US"/>
        </w:rPr>
      </w:pPr>
    </w:p>
    <w:p w:rsidR="00831CFB" w:rsidRPr="00BD6197" w:rsidRDefault="00831CFB" w:rsidP="00831CFB">
      <w:pPr>
        <w:rPr>
          <w:lang w:val="en-US"/>
        </w:rPr>
      </w:pPr>
      <w:r w:rsidRPr="00BD6197">
        <w:rPr>
          <w:lang w:val="en-US"/>
        </w:rPr>
        <w:lastRenderedPageBreak/>
        <w:t>Table 11 can be amended in future for new, more efficient, land mobile radiocommunications systems.</w:t>
      </w:r>
    </w:p>
    <w:p w:rsidR="00831CFB" w:rsidRPr="00BD6197" w:rsidRDefault="00831CFB" w:rsidP="00831CFB">
      <w:pPr>
        <w:pStyle w:val="FigureNo"/>
        <w:rPr>
          <w:lang w:val="en-US"/>
        </w:rPr>
      </w:pPr>
      <w:r w:rsidRPr="00BD6197">
        <w:rPr>
          <w:lang w:val="en-US"/>
        </w:rPr>
        <w:t>Figure 7</w:t>
      </w:r>
    </w:p>
    <w:p w:rsidR="00831CFB" w:rsidRPr="00BD6197" w:rsidRDefault="00831CFB" w:rsidP="00831CFB">
      <w:pPr>
        <w:pStyle w:val="Figuretitle"/>
        <w:rPr>
          <w:lang w:val="en-US"/>
        </w:rPr>
      </w:pPr>
      <w:r w:rsidRPr="00BD6197">
        <w:rPr>
          <w:lang w:val="en-US"/>
        </w:rPr>
        <w:t xml:space="preserve">Service area radius calculation for frequencies below 1 000 MHz, </w:t>
      </w:r>
      <w:r w:rsidRPr="00BD6197">
        <w:rPr>
          <w:rFonts w:ascii="Times New Roman"/>
          <w:bCs/>
          <w:i/>
          <w:iCs/>
          <w:lang w:val="en-US"/>
        </w:rPr>
        <w:t>h</w:t>
      </w:r>
      <w:r w:rsidRPr="00BD6197">
        <w:rPr>
          <w:i/>
          <w:iCs/>
          <w:vertAlign w:val="subscript"/>
          <w:lang w:val="en-US"/>
        </w:rPr>
        <w:t>t</w:t>
      </w:r>
      <w:r w:rsidRPr="00BD6197">
        <w:rPr>
          <w:i/>
          <w:iCs/>
          <w:lang w:val="en-US"/>
        </w:rPr>
        <w:t xml:space="preserve"> </w:t>
      </w:r>
      <w:r w:rsidRPr="00BD6197">
        <w:rPr>
          <w:lang w:val="en-US"/>
        </w:rPr>
        <w:t>= 40 m</w:t>
      </w:r>
      <w:r w:rsidRPr="00BD6197">
        <w:rPr>
          <w:lang w:val="en-US"/>
        </w:rPr>
        <w:br/>
      </w:r>
      <w:r w:rsidRPr="00BD6197">
        <w:rPr>
          <w:rFonts w:ascii="Times New Roman"/>
          <w:bCs/>
          <w:lang w:val="en-US"/>
        </w:rPr>
        <w:t xml:space="preserve">1: </w:t>
      </w:r>
      <w:r w:rsidRPr="00BD6197">
        <w:rPr>
          <w:rFonts w:ascii="Times New Roman"/>
          <w:bCs/>
          <w:i/>
          <w:iCs/>
          <w:lang w:val="en-US"/>
        </w:rPr>
        <w:t>h</w:t>
      </w:r>
      <w:r w:rsidRPr="00BD6197">
        <w:rPr>
          <w:i/>
          <w:iCs/>
          <w:vertAlign w:val="subscript"/>
          <w:lang w:val="en-US"/>
        </w:rPr>
        <w:t>r</w:t>
      </w:r>
      <w:r w:rsidRPr="00BD6197">
        <w:rPr>
          <w:i/>
          <w:iCs/>
          <w:lang w:val="en-US"/>
        </w:rPr>
        <w:t xml:space="preserve"> </w:t>
      </w:r>
      <w:r w:rsidRPr="00BD6197">
        <w:rPr>
          <w:lang w:val="en-US"/>
        </w:rPr>
        <w:t>= 1.5 m,  </w:t>
      </w:r>
      <w:r w:rsidRPr="00BD6197">
        <w:rPr>
          <w:rFonts w:ascii="Times New Roman"/>
          <w:bCs/>
          <w:lang w:val="en-US"/>
        </w:rPr>
        <w:t xml:space="preserve">2: </w:t>
      </w:r>
      <w:r w:rsidRPr="00BD6197">
        <w:rPr>
          <w:rFonts w:ascii="Times New Roman"/>
          <w:bCs/>
          <w:i/>
          <w:iCs/>
          <w:lang w:val="en-US"/>
        </w:rPr>
        <w:t>h</w:t>
      </w:r>
      <w:r w:rsidRPr="00BD6197">
        <w:rPr>
          <w:i/>
          <w:iCs/>
          <w:vertAlign w:val="subscript"/>
          <w:lang w:val="en-US"/>
        </w:rPr>
        <w:t>r</w:t>
      </w:r>
      <w:r w:rsidRPr="00BD6197">
        <w:rPr>
          <w:i/>
          <w:iCs/>
          <w:lang w:val="en-US"/>
        </w:rPr>
        <w:t xml:space="preserve"> </w:t>
      </w:r>
      <w:r w:rsidRPr="00BD6197">
        <w:rPr>
          <w:lang w:val="en-US"/>
        </w:rPr>
        <w:t>= 10 m, 3: free space propagation</w:t>
      </w:r>
    </w:p>
    <w:p w:rsidR="00831CFB" w:rsidRPr="00BD6197" w:rsidRDefault="00831CFB" w:rsidP="00831CFB">
      <w:pPr>
        <w:pStyle w:val="Figure"/>
        <w:rPr>
          <w:lang w:val="en-US"/>
        </w:rPr>
      </w:pPr>
      <w:r w:rsidRPr="00BD6197">
        <w:rPr>
          <w:lang w:val="en-US"/>
        </w:rPr>
        <w:object w:dxaOrig="6345" w:dyaOrig="4133">
          <v:shape id="_x0000_i1061" type="#_x0000_t75" style="width:357.75pt;height:233.25pt" o:ole="">
            <v:imagedata r:id="rId92" o:title=""/>
          </v:shape>
          <o:OLEObject Type="Embed" ProgID="CorelDRAW.Graphic.14" ShapeID="_x0000_i1061" DrawAspect="Content" ObjectID="_1604325015" r:id="rId93"/>
        </w:object>
      </w:r>
    </w:p>
    <w:p w:rsidR="00831CFB" w:rsidRPr="00BD6197" w:rsidRDefault="00831CFB" w:rsidP="00831CFB">
      <w:pPr>
        <w:pStyle w:val="FigureNo"/>
        <w:rPr>
          <w:lang w:val="en-US"/>
        </w:rPr>
      </w:pPr>
      <w:r w:rsidRPr="00BD6197">
        <w:rPr>
          <w:lang w:val="en-US"/>
        </w:rPr>
        <w:t>Figure 8</w:t>
      </w:r>
    </w:p>
    <w:p w:rsidR="00831CFB" w:rsidRPr="00BD6197" w:rsidRDefault="00831CFB" w:rsidP="00831CFB">
      <w:pPr>
        <w:pStyle w:val="Figuretitle"/>
        <w:rPr>
          <w:lang w:val="en-US"/>
        </w:rPr>
      </w:pPr>
      <w:r w:rsidRPr="00BD6197">
        <w:rPr>
          <w:lang w:val="en-US"/>
        </w:rPr>
        <w:t xml:space="preserve">Service area radius calculation for frequencies below 1 000 MHz, </w:t>
      </w:r>
      <w:r w:rsidRPr="00BD6197">
        <w:rPr>
          <w:rFonts w:ascii="Times New Roman"/>
          <w:bCs/>
          <w:i/>
          <w:iCs/>
          <w:lang w:val="en-US"/>
        </w:rPr>
        <w:t>h</w:t>
      </w:r>
      <w:r w:rsidRPr="00BD6197">
        <w:rPr>
          <w:i/>
          <w:iCs/>
          <w:vertAlign w:val="subscript"/>
          <w:lang w:val="en-US"/>
        </w:rPr>
        <w:t>t</w:t>
      </w:r>
      <w:r w:rsidRPr="00BD6197">
        <w:rPr>
          <w:i/>
          <w:iCs/>
          <w:lang w:val="en-US"/>
        </w:rPr>
        <w:t xml:space="preserve"> </w:t>
      </w:r>
      <w:r w:rsidRPr="00BD6197">
        <w:rPr>
          <w:lang w:val="en-US"/>
        </w:rPr>
        <w:t>= 100 m</w:t>
      </w:r>
      <w:r w:rsidRPr="00BD6197">
        <w:rPr>
          <w:lang w:val="en-US"/>
        </w:rPr>
        <w:br/>
      </w:r>
      <w:r w:rsidRPr="00BD6197">
        <w:rPr>
          <w:rFonts w:ascii="Times New Roman"/>
          <w:bCs/>
          <w:lang w:val="en-US"/>
        </w:rPr>
        <w:t xml:space="preserve">1: </w:t>
      </w:r>
      <w:r w:rsidRPr="00BD6197">
        <w:rPr>
          <w:rFonts w:ascii="Times New Roman"/>
          <w:bCs/>
          <w:i/>
          <w:iCs/>
          <w:lang w:val="en-US"/>
        </w:rPr>
        <w:t>h</w:t>
      </w:r>
      <w:r w:rsidRPr="00BD6197">
        <w:rPr>
          <w:i/>
          <w:iCs/>
          <w:vertAlign w:val="subscript"/>
          <w:lang w:val="en-US"/>
        </w:rPr>
        <w:t>r</w:t>
      </w:r>
      <w:r w:rsidRPr="00BD6197">
        <w:rPr>
          <w:i/>
          <w:iCs/>
          <w:lang w:val="en-US"/>
        </w:rPr>
        <w:t xml:space="preserve"> </w:t>
      </w:r>
      <w:r w:rsidRPr="00BD6197">
        <w:rPr>
          <w:lang w:val="en-US"/>
        </w:rPr>
        <w:t>= 1.5 m,  </w:t>
      </w:r>
      <w:r w:rsidRPr="00BD6197">
        <w:rPr>
          <w:rFonts w:ascii="Times New Roman"/>
          <w:bCs/>
          <w:lang w:val="en-US"/>
        </w:rPr>
        <w:t xml:space="preserve">2: </w:t>
      </w:r>
      <w:r w:rsidRPr="00BD6197">
        <w:rPr>
          <w:rFonts w:ascii="Times New Roman"/>
          <w:bCs/>
          <w:i/>
          <w:iCs/>
          <w:lang w:val="en-US"/>
        </w:rPr>
        <w:t>h</w:t>
      </w:r>
      <w:r w:rsidRPr="00BD6197">
        <w:rPr>
          <w:i/>
          <w:iCs/>
          <w:vertAlign w:val="subscript"/>
          <w:lang w:val="en-US"/>
        </w:rPr>
        <w:t>r</w:t>
      </w:r>
      <w:r w:rsidRPr="00BD6197">
        <w:rPr>
          <w:i/>
          <w:iCs/>
          <w:lang w:val="en-US"/>
        </w:rPr>
        <w:t xml:space="preserve"> </w:t>
      </w:r>
      <w:r w:rsidRPr="00BD6197">
        <w:rPr>
          <w:lang w:val="en-US"/>
        </w:rPr>
        <w:t>= 10 m, 3: free space propagation</w:t>
      </w:r>
    </w:p>
    <w:p w:rsidR="00831CFB" w:rsidRPr="00BD6197" w:rsidRDefault="00831CFB" w:rsidP="00831CFB">
      <w:pPr>
        <w:pStyle w:val="Figure"/>
        <w:rPr>
          <w:lang w:val="en-US"/>
        </w:rPr>
      </w:pPr>
      <w:r w:rsidRPr="00BD6197">
        <w:rPr>
          <w:lang w:val="en-US"/>
        </w:rPr>
        <w:object w:dxaOrig="6338" w:dyaOrig="4133">
          <v:shape id="_x0000_i1062" type="#_x0000_t75" style="width:356.25pt;height:233.25pt" o:ole="">
            <v:imagedata r:id="rId94" o:title=""/>
          </v:shape>
          <o:OLEObject Type="Embed" ProgID="CorelDRAW.Graphic.14" ShapeID="_x0000_i1062" DrawAspect="Content" ObjectID="_1604325016" r:id="rId95"/>
        </w:object>
      </w:r>
    </w:p>
    <w:p w:rsidR="00831CFB" w:rsidRPr="00BD6197" w:rsidRDefault="00831CFB" w:rsidP="00831CFB">
      <w:pPr>
        <w:pStyle w:val="FigureNo"/>
        <w:rPr>
          <w:lang w:val="en-US"/>
        </w:rPr>
      </w:pPr>
      <w:r w:rsidRPr="00BD6197">
        <w:rPr>
          <w:lang w:val="en-US"/>
        </w:rPr>
        <w:lastRenderedPageBreak/>
        <w:t>Figure 9</w:t>
      </w:r>
    </w:p>
    <w:p w:rsidR="00831CFB" w:rsidRPr="00BD6197" w:rsidRDefault="00831CFB" w:rsidP="00831CFB">
      <w:pPr>
        <w:pStyle w:val="Figuretitle"/>
        <w:rPr>
          <w:lang w:val="en-US"/>
        </w:rPr>
      </w:pPr>
      <w:r w:rsidRPr="00BD6197">
        <w:rPr>
          <w:lang w:val="en-US"/>
        </w:rPr>
        <w:t xml:space="preserve">Service area radius calculation for frequencies below 1 500 MHz, </w:t>
      </w:r>
      <w:r w:rsidRPr="00BD6197">
        <w:rPr>
          <w:rFonts w:ascii="Times New Roman"/>
          <w:bCs/>
          <w:i/>
          <w:iCs/>
          <w:lang w:val="en-US"/>
        </w:rPr>
        <w:t>h</w:t>
      </w:r>
      <w:r w:rsidRPr="00BD6197">
        <w:rPr>
          <w:i/>
          <w:iCs/>
          <w:vertAlign w:val="subscript"/>
          <w:lang w:val="en-US"/>
        </w:rPr>
        <w:t>t</w:t>
      </w:r>
      <w:r w:rsidRPr="00BD6197">
        <w:rPr>
          <w:i/>
          <w:iCs/>
          <w:lang w:val="en-US"/>
        </w:rPr>
        <w:t xml:space="preserve"> </w:t>
      </w:r>
      <w:r w:rsidRPr="00BD6197">
        <w:rPr>
          <w:lang w:val="en-US"/>
        </w:rPr>
        <w:t>= 100 m</w:t>
      </w:r>
      <w:r w:rsidRPr="00BD6197">
        <w:rPr>
          <w:lang w:val="en-US"/>
        </w:rPr>
        <w:br/>
      </w:r>
      <w:r w:rsidRPr="00BD6197">
        <w:rPr>
          <w:rFonts w:ascii="Times New Roman"/>
          <w:bCs/>
          <w:lang w:val="en-US"/>
        </w:rPr>
        <w:t xml:space="preserve">1: </w:t>
      </w:r>
      <w:r w:rsidRPr="00BD6197">
        <w:rPr>
          <w:rFonts w:ascii="Times New Roman"/>
          <w:bCs/>
          <w:i/>
          <w:iCs/>
          <w:lang w:val="en-US"/>
        </w:rPr>
        <w:t>h</w:t>
      </w:r>
      <w:r w:rsidRPr="00BD6197">
        <w:rPr>
          <w:i/>
          <w:iCs/>
          <w:vertAlign w:val="subscript"/>
          <w:lang w:val="en-US"/>
        </w:rPr>
        <w:t>r</w:t>
      </w:r>
      <w:r w:rsidRPr="00BD6197">
        <w:rPr>
          <w:i/>
          <w:iCs/>
          <w:lang w:val="en-US"/>
        </w:rPr>
        <w:t xml:space="preserve"> </w:t>
      </w:r>
      <w:r w:rsidRPr="00BD6197">
        <w:rPr>
          <w:lang w:val="en-US"/>
        </w:rPr>
        <w:t>= 1.5 m,  </w:t>
      </w:r>
      <w:r w:rsidRPr="00BD6197">
        <w:rPr>
          <w:rFonts w:ascii="Times New Roman"/>
          <w:bCs/>
          <w:lang w:val="en-US"/>
        </w:rPr>
        <w:t xml:space="preserve">2: </w:t>
      </w:r>
      <w:r w:rsidRPr="00BD6197">
        <w:rPr>
          <w:rFonts w:ascii="Times New Roman"/>
          <w:bCs/>
          <w:i/>
          <w:iCs/>
          <w:lang w:val="en-US"/>
        </w:rPr>
        <w:t>h</w:t>
      </w:r>
      <w:r w:rsidRPr="00BD6197">
        <w:rPr>
          <w:i/>
          <w:iCs/>
          <w:vertAlign w:val="subscript"/>
          <w:lang w:val="en-US"/>
        </w:rPr>
        <w:t>r</w:t>
      </w:r>
      <w:r w:rsidRPr="00BD6197">
        <w:rPr>
          <w:i/>
          <w:iCs/>
          <w:lang w:val="en-US"/>
        </w:rPr>
        <w:t xml:space="preserve"> </w:t>
      </w:r>
      <w:r w:rsidRPr="00BD6197">
        <w:rPr>
          <w:lang w:val="en-US"/>
        </w:rPr>
        <w:t>= 10 m, 3: free space propagation</w:t>
      </w:r>
    </w:p>
    <w:p w:rsidR="00831CFB" w:rsidRPr="00BD6197" w:rsidRDefault="00831CFB" w:rsidP="00831CFB">
      <w:pPr>
        <w:pStyle w:val="Figure"/>
        <w:rPr>
          <w:lang w:val="en-US"/>
        </w:rPr>
      </w:pPr>
      <w:r w:rsidRPr="00BD6197">
        <w:rPr>
          <w:lang w:val="en-US"/>
        </w:rPr>
        <w:object w:dxaOrig="6330" w:dyaOrig="4144">
          <v:shape id="_x0000_i1063" type="#_x0000_t75" style="width:357.75pt;height:233.25pt" o:ole="">
            <v:imagedata r:id="rId96" o:title=""/>
          </v:shape>
          <o:OLEObject Type="Embed" ProgID="CorelDRAW.Graphic.14" ShapeID="_x0000_i1063" DrawAspect="Content" ObjectID="_1604325017" r:id="rId97"/>
        </w:object>
      </w:r>
    </w:p>
    <w:p w:rsidR="00831CFB" w:rsidRPr="00BD6197" w:rsidRDefault="00831CFB" w:rsidP="00831CFB">
      <w:pPr>
        <w:pStyle w:val="FigureNo"/>
        <w:rPr>
          <w:lang w:val="en-US"/>
        </w:rPr>
      </w:pPr>
      <w:r w:rsidRPr="00BD6197">
        <w:rPr>
          <w:lang w:val="en-US"/>
        </w:rPr>
        <w:t>Figure 10</w:t>
      </w:r>
    </w:p>
    <w:p w:rsidR="00831CFB" w:rsidRPr="00BD6197" w:rsidRDefault="00831CFB" w:rsidP="00831CFB">
      <w:pPr>
        <w:pStyle w:val="Figuretitle"/>
        <w:rPr>
          <w:lang w:val="en-US"/>
        </w:rPr>
      </w:pPr>
      <w:r w:rsidRPr="00BD6197">
        <w:rPr>
          <w:lang w:val="en-US"/>
        </w:rPr>
        <w:t xml:space="preserve">Service area radius calculation for frequencies below 1 500 MHz, </w:t>
      </w:r>
      <w:r w:rsidRPr="00BD6197">
        <w:rPr>
          <w:rFonts w:ascii="Times New Roman"/>
          <w:bCs/>
          <w:i/>
          <w:iCs/>
          <w:lang w:val="en-US"/>
        </w:rPr>
        <w:t>h</w:t>
      </w:r>
      <w:r w:rsidRPr="00BD6197">
        <w:rPr>
          <w:i/>
          <w:iCs/>
          <w:vertAlign w:val="subscript"/>
          <w:lang w:val="en-US"/>
        </w:rPr>
        <w:t>t</w:t>
      </w:r>
      <w:r w:rsidRPr="00BD6197">
        <w:rPr>
          <w:i/>
          <w:iCs/>
          <w:lang w:val="en-US"/>
        </w:rPr>
        <w:t xml:space="preserve"> </w:t>
      </w:r>
      <w:r w:rsidRPr="00BD6197">
        <w:rPr>
          <w:lang w:val="en-US"/>
        </w:rPr>
        <w:t>= 100 m</w:t>
      </w:r>
      <w:r w:rsidRPr="00BD6197">
        <w:rPr>
          <w:lang w:val="en-US"/>
        </w:rPr>
        <w:br/>
      </w:r>
      <w:r w:rsidRPr="00BD6197">
        <w:rPr>
          <w:rFonts w:ascii="Times New Roman"/>
          <w:bCs/>
          <w:lang w:val="en-US"/>
        </w:rPr>
        <w:t xml:space="preserve">1: </w:t>
      </w:r>
      <w:r w:rsidRPr="00BD6197">
        <w:rPr>
          <w:rFonts w:ascii="Times New Roman"/>
          <w:bCs/>
          <w:i/>
          <w:iCs/>
          <w:lang w:val="en-US"/>
        </w:rPr>
        <w:t>h</w:t>
      </w:r>
      <w:r w:rsidRPr="00BD6197">
        <w:rPr>
          <w:i/>
          <w:iCs/>
          <w:vertAlign w:val="subscript"/>
          <w:lang w:val="en-US"/>
        </w:rPr>
        <w:t>r</w:t>
      </w:r>
      <w:r w:rsidRPr="00BD6197">
        <w:rPr>
          <w:i/>
          <w:iCs/>
          <w:lang w:val="en-US"/>
        </w:rPr>
        <w:t xml:space="preserve"> </w:t>
      </w:r>
      <w:r w:rsidRPr="00BD6197">
        <w:rPr>
          <w:lang w:val="en-US"/>
        </w:rPr>
        <w:t>= 1.5 m,  </w:t>
      </w:r>
      <w:r w:rsidRPr="00BD6197">
        <w:rPr>
          <w:rFonts w:ascii="Times New Roman"/>
          <w:bCs/>
          <w:lang w:val="en-US"/>
        </w:rPr>
        <w:t xml:space="preserve">2: </w:t>
      </w:r>
      <w:r w:rsidRPr="00BD6197">
        <w:rPr>
          <w:rFonts w:ascii="Times New Roman"/>
          <w:bCs/>
          <w:i/>
          <w:iCs/>
          <w:lang w:val="en-US"/>
        </w:rPr>
        <w:t>h</w:t>
      </w:r>
      <w:r w:rsidRPr="00BD6197">
        <w:rPr>
          <w:i/>
          <w:iCs/>
          <w:vertAlign w:val="subscript"/>
          <w:lang w:val="en-US"/>
        </w:rPr>
        <w:t>r</w:t>
      </w:r>
      <w:r w:rsidRPr="00BD6197">
        <w:rPr>
          <w:i/>
          <w:iCs/>
          <w:lang w:val="en-US"/>
        </w:rPr>
        <w:t xml:space="preserve"> </w:t>
      </w:r>
      <w:r w:rsidRPr="00BD6197">
        <w:rPr>
          <w:lang w:val="en-US"/>
        </w:rPr>
        <w:t>= 10 m, 3: free space propagation</w:t>
      </w:r>
    </w:p>
    <w:p w:rsidR="00831CFB" w:rsidRPr="00BD6197" w:rsidRDefault="00831CFB" w:rsidP="00831CFB">
      <w:pPr>
        <w:pStyle w:val="Figure"/>
        <w:rPr>
          <w:lang w:val="en-US"/>
        </w:rPr>
      </w:pPr>
      <w:r w:rsidRPr="00BD6197">
        <w:rPr>
          <w:lang w:val="en-US"/>
        </w:rPr>
        <w:object w:dxaOrig="6330" w:dyaOrig="4123">
          <v:shape id="_x0000_i1064" type="#_x0000_t75" style="width:357.75pt;height:231.75pt" o:ole="">
            <v:imagedata r:id="rId98" o:title=""/>
          </v:shape>
          <o:OLEObject Type="Embed" ProgID="CorelDRAW.Graphic.14" ShapeID="_x0000_i1064" DrawAspect="Content" ObjectID="_1604325018" r:id="rId99"/>
        </w:object>
      </w:r>
    </w:p>
    <w:p w:rsidR="00831CFB" w:rsidRPr="00A01420" w:rsidRDefault="00831CFB" w:rsidP="00831CFB">
      <w:pPr>
        <w:pStyle w:val="Headingb"/>
        <w:rPr>
          <w:lang w:val="en-US"/>
        </w:rPr>
      </w:pPr>
      <w:bookmarkStart w:id="1649" w:name="_Toc454284916"/>
      <w:bookmarkStart w:id="1650" w:name="_Toc462234085"/>
      <w:r w:rsidRPr="00A01420">
        <w:rPr>
          <w:lang w:val="en-US"/>
        </w:rPr>
        <w:t>b)</w:t>
      </w:r>
      <w:r w:rsidRPr="00A01420">
        <w:rPr>
          <w:lang w:val="en-US"/>
        </w:rPr>
        <w:tab/>
        <w:t>Calculation procedures</w:t>
      </w:r>
      <w:bookmarkEnd w:id="1649"/>
      <w:bookmarkEnd w:id="1650"/>
    </w:p>
    <w:p w:rsidR="00831CFB" w:rsidRPr="00BD6197" w:rsidRDefault="00831CFB" w:rsidP="00831CFB">
      <w:pPr>
        <w:rPr>
          <w:lang w:val="en-US"/>
        </w:rPr>
      </w:pPr>
      <w:r w:rsidRPr="00BD6197">
        <w:rPr>
          <w:lang w:val="en-US"/>
        </w:rPr>
        <w:t xml:space="preserve">Having got graphs presented at Figs 7 to 10 calculation procedure becomes a quite simple one. It is only necessary to insert into equation (45) required parameters, taken from the national frequency assignment database (or, in their absence, from Table 11), and to read related service area radius </w:t>
      </w:r>
      <w:r w:rsidRPr="00BD6197">
        <w:rPr>
          <w:i/>
          <w:lang w:val="en-US"/>
        </w:rPr>
        <w:t>R</w:t>
      </w:r>
      <w:r w:rsidRPr="00BD6197">
        <w:rPr>
          <w:lang w:val="en-US"/>
        </w:rPr>
        <w:t xml:space="preserve"> for calculated value of parameter </w:t>
      </w:r>
      <w:r w:rsidRPr="00BD6197">
        <w:rPr>
          <w:i/>
          <w:lang w:val="en-US"/>
        </w:rPr>
        <w:t>z</w:t>
      </w:r>
      <w:r w:rsidRPr="00BD6197">
        <w:rPr>
          <w:lang w:val="en-US"/>
        </w:rPr>
        <w:t xml:space="preserve"> directly from Figs 7 and 8, depending on working frequency and antenna heights. Due to the fact, that for land mobile service, and especially for cellular systems, service areas of individual base stations are rather small ones, they will usually lie within only one zone of license fees category. Thereby service areas usually can be calculated by simple equation (31).</w:t>
      </w:r>
    </w:p>
    <w:p w:rsidR="00831CFB" w:rsidRPr="00BD6197" w:rsidRDefault="00831CFB" w:rsidP="00831CFB">
      <w:pPr>
        <w:rPr>
          <w:lang w:val="en-US"/>
        </w:rPr>
      </w:pPr>
      <w:r w:rsidRPr="00BD6197">
        <w:rPr>
          <w:lang w:val="en-US"/>
        </w:rPr>
        <w:lastRenderedPageBreak/>
        <w:t>After determining service area value, procedure of used spectral resource calculation follows the same one, which is presented in § 4.7.1(b).</w:t>
      </w:r>
    </w:p>
    <w:p w:rsidR="00831CFB" w:rsidRPr="00BD6197" w:rsidRDefault="00831CFB" w:rsidP="00831CFB">
      <w:pPr>
        <w:pStyle w:val="Heading4"/>
        <w:rPr>
          <w:lang w:val="en-US"/>
        </w:rPr>
      </w:pPr>
      <w:r w:rsidRPr="00BD6197">
        <w:rPr>
          <w:lang w:val="en-US"/>
        </w:rPr>
        <w:t>4.7.4.2</w:t>
      </w:r>
      <w:r w:rsidRPr="00BD6197">
        <w:rPr>
          <w:lang w:val="en-US"/>
        </w:rPr>
        <w:tab/>
        <w:t>Example of calculations</w:t>
      </w:r>
    </w:p>
    <w:p w:rsidR="00831CFB" w:rsidRPr="00A01420" w:rsidRDefault="00831CFB" w:rsidP="00831CFB">
      <w:pPr>
        <w:pStyle w:val="Headingb"/>
        <w:rPr>
          <w:lang w:val="en-US"/>
        </w:rPr>
      </w:pPr>
      <w:bookmarkStart w:id="1651" w:name="_Toc454284917"/>
      <w:bookmarkStart w:id="1652" w:name="_Toc462234086"/>
      <w:r w:rsidRPr="00A01420">
        <w:rPr>
          <w:lang w:val="en-US"/>
        </w:rPr>
        <w:t>a)</w:t>
      </w:r>
      <w:r w:rsidRPr="00A01420">
        <w:rPr>
          <w:lang w:val="en-US"/>
        </w:rPr>
        <w:tab/>
        <w:t>Incoming parameters</w:t>
      </w:r>
      <w:bookmarkEnd w:id="1651"/>
      <w:bookmarkEnd w:id="1652"/>
    </w:p>
    <w:p w:rsidR="00831CFB" w:rsidRPr="00BD6197" w:rsidRDefault="00831CFB" w:rsidP="00831CFB">
      <w:pPr>
        <w:rPr>
          <w:lang w:val="en-US"/>
        </w:rPr>
      </w:pPr>
      <w:r w:rsidRPr="00BD6197">
        <w:rPr>
          <w:lang w:val="en-US"/>
        </w:rPr>
        <w:t xml:space="preserve">Let us calculate a spectral resource used by a base station of GSM 900 MHz cellular system working with power 2.5 W without interruption 24 h per each day, without sharing, in a city with population 40 000 inhabitants (i.e. according to Table 1, </w:t>
      </w:r>
      <w:r w:rsidRPr="00BD6197">
        <w:rPr>
          <w:i/>
          <w:iCs/>
          <w:lang w:val="en-US"/>
        </w:rPr>
        <w:t>b</w:t>
      </w:r>
      <w:r w:rsidRPr="00BD6197">
        <w:rPr>
          <w:i/>
          <w:iCs/>
          <w:vertAlign w:val="subscript"/>
          <w:lang w:val="en-US"/>
        </w:rPr>
        <w:t>j</w:t>
      </w:r>
      <w:r w:rsidRPr="00BD6197">
        <w:rPr>
          <w:lang w:val="en-US"/>
        </w:rPr>
        <w:t xml:space="preserve"> = 1.2). Overall frequency bands used for base – mobile and mobile – base transmissions are equal 0.8 MHz each. Transmitting and receiving antenna heights are 40 m and 1.5 m correspondently. Let us assume that other parameters correspond to Table 11.</w:t>
      </w:r>
    </w:p>
    <w:p w:rsidR="00831CFB" w:rsidRPr="00A01420" w:rsidRDefault="00831CFB" w:rsidP="00831CFB">
      <w:pPr>
        <w:pStyle w:val="Headingb"/>
        <w:rPr>
          <w:lang w:val="en-US"/>
        </w:rPr>
      </w:pPr>
      <w:bookmarkStart w:id="1653" w:name="_Toc454284918"/>
      <w:bookmarkStart w:id="1654" w:name="_Toc462234087"/>
      <w:r w:rsidRPr="00A01420">
        <w:rPr>
          <w:lang w:val="en-US"/>
        </w:rPr>
        <w:t>b)</w:t>
      </w:r>
      <w:r w:rsidRPr="00A01420">
        <w:rPr>
          <w:lang w:val="en-US"/>
        </w:rPr>
        <w:tab/>
        <w:t>Time and frequency resources used</w:t>
      </w:r>
      <w:bookmarkEnd w:id="1653"/>
      <w:bookmarkEnd w:id="1654"/>
    </w:p>
    <w:p w:rsidR="00831CFB" w:rsidRPr="00BD6197" w:rsidRDefault="00831CFB" w:rsidP="00831CFB">
      <w:pPr>
        <w:rPr>
          <w:lang w:val="en-US"/>
        </w:rPr>
      </w:pPr>
      <w:r w:rsidRPr="00BD6197">
        <w:rPr>
          <w:lang w:val="en-US"/>
        </w:rPr>
        <w:t>In accordance with equation (21), used time resource is:</w:t>
      </w:r>
    </w:p>
    <w:p w:rsidR="00831CFB" w:rsidRPr="00BD6197" w:rsidRDefault="00831CFB" w:rsidP="00831CFB">
      <w:pPr>
        <w:pStyle w:val="Equation"/>
        <w:rPr>
          <w:lang w:val="en-US"/>
        </w:rPr>
      </w:pPr>
      <w:r w:rsidRPr="00BD6197">
        <w:rPr>
          <w:lang w:val="en-US"/>
        </w:rPr>
        <w:tab/>
      </w:r>
      <w:r w:rsidRPr="00BD6197">
        <w:rPr>
          <w:lang w:val="en-US"/>
        </w:rPr>
        <w:tab/>
      </w:r>
      <w:r w:rsidRPr="00BD6197">
        <w:rPr>
          <w:i/>
          <w:lang w:val="en-US"/>
        </w:rPr>
        <w:t>T</w:t>
      </w:r>
      <w:r w:rsidRPr="00BD6197">
        <w:rPr>
          <w:lang w:val="en-US"/>
        </w:rPr>
        <w:t xml:space="preserve"> = 24/24 (each day) = year</w:t>
      </w:r>
    </w:p>
    <w:p w:rsidR="00831CFB" w:rsidRPr="00BD6197" w:rsidRDefault="00831CFB" w:rsidP="00831CFB">
      <w:pPr>
        <w:rPr>
          <w:lang w:val="en-US"/>
        </w:rPr>
      </w:pPr>
      <w:r w:rsidRPr="00BD6197">
        <w:rPr>
          <w:lang w:val="en-US"/>
        </w:rPr>
        <w:t xml:space="preserve">As far as the system within the same service area uses two sets of frequency bands, one for base – mobile and other for mobile – base transmissions, the overall used frequency resource, accepting in formula (25) </w:t>
      </w:r>
      <w:r w:rsidRPr="00BD6197">
        <w:rPr>
          <w:lang w:val="en-US"/>
        </w:rPr>
        <w:sym w:font="Symbol" w:char="F063"/>
      </w:r>
      <w:r w:rsidRPr="00BD6197">
        <w:rPr>
          <w:lang w:val="en-US"/>
        </w:rPr>
        <w:t xml:space="preserve"> = 1, can be found as:</w:t>
      </w:r>
    </w:p>
    <w:p w:rsidR="00831CFB" w:rsidRPr="00BD6197" w:rsidRDefault="00831CFB" w:rsidP="00831CFB">
      <w:pPr>
        <w:pStyle w:val="Equation"/>
        <w:rPr>
          <w:lang w:val="en-US"/>
        </w:rPr>
      </w:pPr>
      <w:r w:rsidRPr="00BD6197">
        <w:rPr>
          <w:lang w:val="en-US"/>
        </w:rPr>
        <w:tab/>
      </w:r>
      <w:r w:rsidRPr="00BD6197">
        <w:rPr>
          <w:lang w:val="en-US"/>
        </w:rPr>
        <w:tab/>
      </w:r>
      <w:r w:rsidRPr="00BD6197">
        <w:rPr>
          <w:i/>
          <w:lang w:val="en-US"/>
        </w:rPr>
        <w:t>F</w:t>
      </w:r>
      <w:r w:rsidRPr="00BD6197">
        <w:rPr>
          <w:lang w:val="en-US"/>
        </w:rPr>
        <w:t xml:space="preserve"> = 2 × 0.8 = 1.6 MHz</w:t>
      </w:r>
    </w:p>
    <w:p w:rsidR="00831CFB" w:rsidRPr="00A01420" w:rsidRDefault="00831CFB" w:rsidP="00831CFB">
      <w:pPr>
        <w:pStyle w:val="Headingb"/>
        <w:rPr>
          <w:lang w:val="en-US"/>
        </w:rPr>
      </w:pPr>
      <w:bookmarkStart w:id="1655" w:name="_Toc454284919"/>
      <w:bookmarkStart w:id="1656" w:name="_Toc462234088"/>
      <w:r w:rsidRPr="00A01420">
        <w:rPr>
          <w:lang w:val="en-US"/>
        </w:rPr>
        <w:t>c)</w:t>
      </w:r>
      <w:r w:rsidRPr="00A01420">
        <w:rPr>
          <w:lang w:val="en-US"/>
        </w:rPr>
        <w:tab/>
        <w:t>Territorial resource used</w:t>
      </w:r>
      <w:bookmarkEnd w:id="1655"/>
      <w:bookmarkEnd w:id="1656"/>
    </w:p>
    <w:p w:rsidR="00831CFB" w:rsidRPr="00BD6197" w:rsidRDefault="00831CFB" w:rsidP="00831CFB">
      <w:pPr>
        <w:rPr>
          <w:lang w:val="en-US"/>
        </w:rPr>
      </w:pPr>
      <w:r w:rsidRPr="00BD6197">
        <w:rPr>
          <w:lang w:val="en-US"/>
        </w:rPr>
        <w:t>Substituting relevant data from § 4.7.1 and Table 11 to equation (45) we get:</w:t>
      </w:r>
    </w:p>
    <w:p w:rsidR="00831CFB" w:rsidRPr="00BD6197" w:rsidRDefault="00831CFB" w:rsidP="00831CFB">
      <w:pPr>
        <w:pStyle w:val="Equation"/>
        <w:rPr>
          <w:snapToGrid w:val="0"/>
          <w:lang w:val="en-US"/>
        </w:rPr>
      </w:pPr>
      <w:r w:rsidRPr="00BD6197">
        <w:rPr>
          <w:i/>
          <w:snapToGrid w:val="0"/>
          <w:lang w:val="en-US"/>
        </w:rPr>
        <w:tab/>
      </w:r>
      <w:r w:rsidRPr="00BD6197">
        <w:rPr>
          <w:i/>
          <w:snapToGrid w:val="0"/>
          <w:lang w:val="en-US"/>
        </w:rPr>
        <w:tab/>
        <w:t>z</w:t>
      </w:r>
      <w:r w:rsidRPr="00BD6197">
        <w:rPr>
          <w:snapToGrid w:val="0"/>
          <w:lang w:val="en-US"/>
        </w:rPr>
        <w:t xml:space="preserve"> = 10 </w:t>
      </w:r>
      <w:r w:rsidRPr="00BD6197">
        <w:rPr>
          <w:iCs/>
          <w:snapToGrid w:val="0"/>
          <w:lang w:val="en-US"/>
        </w:rPr>
        <w:t>log</w:t>
      </w:r>
      <w:r w:rsidRPr="00BD6197">
        <w:rPr>
          <w:snapToGrid w:val="0"/>
          <w:lang w:val="en-US"/>
        </w:rPr>
        <w:t xml:space="preserve"> 2.5</w:t>
      </w:r>
      <w:r w:rsidRPr="00BD6197">
        <w:rPr>
          <w:i/>
          <w:snapToGrid w:val="0"/>
          <w:lang w:val="en-US"/>
        </w:rPr>
        <w:t xml:space="preserve"> + </w:t>
      </w:r>
      <w:r w:rsidRPr="00BD6197">
        <w:rPr>
          <w:snapToGrid w:val="0"/>
          <w:lang w:val="en-US"/>
        </w:rPr>
        <w:t>18 +</w:t>
      </w:r>
      <w:r w:rsidRPr="00BD6197">
        <w:rPr>
          <w:i/>
          <w:snapToGrid w:val="0"/>
          <w:lang w:val="en-US"/>
        </w:rPr>
        <w:t xml:space="preserve"> </w:t>
      </w:r>
      <w:r w:rsidRPr="00BD6197">
        <w:rPr>
          <w:snapToGrid w:val="0"/>
          <w:lang w:val="en-US"/>
        </w:rPr>
        <w:t>0</w:t>
      </w:r>
      <w:r w:rsidRPr="00BD6197">
        <w:rPr>
          <w:i/>
          <w:snapToGrid w:val="0"/>
          <w:lang w:val="en-US"/>
        </w:rPr>
        <w:t xml:space="preserve"> – </w:t>
      </w:r>
      <w:r w:rsidRPr="00BD6197">
        <w:rPr>
          <w:snapToGrid w:val="0"/>
          <w:lang w:val="en-US"/>
        </w:rPr>
        <w:t>(–138) = 160 dB</w:t>
      </w:r>
    </w:p>
    <w:p w:rsidR="00831CFB" w:rsidRPr="00BD6197" w:rsidRDefault="00831CFB" w:rsidP="00831CFB">
      <w:pPr>
        <w:rPr>
          <w:lang w:val="en-US"/>
        </w:rPr>
      </w:pPr>
      <w:r w:rsidRPr="00BD6197">
        <w:rPr>
          <w:lang w:val="en-US"/>
        </w:rPr>
        <w:t xml:space="preserve">For this </w:t>
      </w:r>
      <w:r w:rsidRPr="00BD6197">
        <w:rPr>
          <w:i/>
          <w:iCs/>
          <w:lang w:val="en-US"/>
        </w:rPr>
        <w:t>z</w:t>
      </w:r>
      <w:r w:rsidRPr="00BD6197">
        <w:rPr>
          <w:lang w:val="en-US"/>
        </w:rPr>
        <w:t xml:space="preserve"> value from line 1 of Fig. 7 and formula (31) it follows:</w:t>
      </w:r>
    </w:p>
    <w:p w:rsidR="00831CFB" w:rsidRPr="00BD6197" w:rsidRDefault="00831CFB" w:rsidP="00831CFB">
      <w:pPr>
        <w:pStyle w:val="Equation"/>
        <w:rPr>
          <w:lang w:val="en-US"/>
        </w:rPr>
      </w:pPr>
      <w:r w:rsidRPr="00BD6197">
        <w:rPr>
          <w:lang w:val="en-US"/>
        </w:rPr>
        <w:tab/>
      </w:r>
      <w:r w:rsidRPr="00BD6197">
        <w:rPr>
          <w:lang w:val="en-US"/>
        </w:rPr>
        <w:tab/>
      </w:r>
      <w:r w:rsidRPr="00BD6197">
        <w:rPr>
          <w:i/>
          <w:iCs/>
          <w:lang w:val="en-US"/>
        </w:rPr>
        <w:t>R</w:t>
      </w:r>
      <w:r w:rsidRPr="00BD6197">
        <w:rPr>
          <w:lang w:val="en-US"/>
        </w:rPr>
        <w:t xml:space="preserve"> = 10 km,   </w:t>
      </w:r>
      <w:r w:rsidRPr="00BD6197">
        <w:rPr>
          <w:i/>
          <w:iCs/>
          <w:lang w:val="en-US"/>
        </w:rPr>
        <w:t>S =</w:t>
      </w:r>
      <w:r w:rsidRPr="00BD6197">
        <w:rPr>
          <w:lang w:val="en-US"/>
        </w:rPr>
        <w:t xml:space="preserve"> 314 km</w:t>
      </w:r>
      <w:r w:rsidRPr="00BD6197">
        <w:rPr>
          <w:vertAlign w:val="superscript"/>
          <w:lang w:val="en-US"/>
        </w:rPr>
        <w:t>2</w:t>
      </w:r>
    </w:p>
    <w:p w:rsidR="00831CFB" w:rsidRPr="00BD6197" w:rsidRDefault="00831CFB" w:rsidP="00935249">
      <w:pPr>
        <w:rPr>
          <w:lang w:val="en-US"/>
        </w:rPr>
      </w:pPr>
      <w:r w:rsidRPr="00BD6197">
        <w:rPr>
          <w:lang w:val="en-US"/>
        </w:rPr>
        <w:t>From equation (22), taking into account relevant data from Table 3</w:t>
      </w:r>
      <w:r w:rsidR="00935249">
        <w:rPr>
          <w:lang w:val="en-US"/>
        </w:rPr>
        <w:t>6</w:t>
      </w:r>
      <w:r w:rsidRPr="00BD6197">
        <w:rPr>
          <w:lang w:val="en-US"/>
        </w:rPr>
        <w:t>, it follows:</w:t>
      </w:r>
    </w:p>
    <w:p w:rsidR="00831CFB" w:rsidRPr="00BD6197" w:rsidRDefault="00831CFB" w:rsidP="00831CFB">
      <w:pPr>
        <w:pStyle w:val="Equation"/>
        <w:rPr>
          <w:lang w:val="en-US"/>
        </w:rPr>
      </w:pPr>
      <w:r w:rsidRPr="00BD6197">
        <w:rPr>
          <w:lang w:val="en-US"/>
        </w:rPr>
        <w:tab/>
      </w:r>
      <w:r w:rsidRPr="00BD6197">
        <w:rPr>
          <w:lang w:val="en-US"/>
        </w:rPr>
        <w:tab/>
      </w:r>
      <w:r w:rsidRPr="00BD6197">
        <w:rPr>
          <w:i/>
          <w:iCs/>
          <w:lang w:val="en-US"/>
        </w:rPr>
        <w:t>S</w:t>
      </w:r>
      <w:r w:rsidRPr="00BD6197">
        <w:rPr>
          <w:i/>
          <w:iCs/>
          <w:vertAlign w:val="subscript"/>
          <w:lang w:val="en-US"/>
        </w:rPr>
        <w:t>i</w:t>
      </w:r>
      <w:r w:rsidRPr="00BD6197">
        <w:rPr>
          <w:lang w:val="en-US"/>
        </w:rPr>
        <w:t xml:space="preserve"> = 1.2 × 314 = 377 km</w:t>
      </w:r>
      <w:r w:rsidRPr="00BD6197">
        <w:rPr>
          <w:vertAlign w:val="superscript"/>
          <w:lang w:val="en-US"/>
        </w:rPr>
        <w:t>2</w:t>
      </w:r>
    </w:p>
    <w:p w:rsidR="00831CFB" w:rsidRPr="00A01420" w:rsidRDefault="00831CFB" w:rsidP="00831CFB">
      <w:pPr>
        <w:pStyle w:val="Headingb"/>
        <w:rPr>
          <w:lang w:val="en-US"/>
        </w:rPr>
      </w:pPr>
      <w:bookmarkStart w:id="1657" w:name="_Toc454284920"/>
      <w:bookmarkStart w:id="1658" w:name="_Toc462234089"/>
      <w:r w:rsidRPr="00A01420">
        <w:rPr>
          <w:lang w:val="en-US"/>
        </w:rPr>
        <w:t>d)</w:t>
      </w:r>
      <w:r w:rsidRPr="00A01420">
        <w:rPr>
          <w:lang w:val="en-US"/>
        </w:rPr>
        <w:tab/>
        <w:t>Spectral resource used</w:t>
      </w:r>
      <w:bookmarkEnd w:id="1657"/>
      <w:bookmarkEnd w:id="1658"/>
    </w:p>
    <w:p w:rsidR="00831CFB" w:rsidRPr="00BD6197" w:rsidRDefault="00831CFB" w:rsidP="00831CFB">
      <w:pPr>
        <w:rPr>
          <w:lang w:val="en-US"/>
        </w:rPr>
      </w:pPr>
      <w:r w:rsidRPr="00BD6197">
        <w:rPr>
          <w:lang w:val="en-US"/>
        </w:rPr>
        <w:t>Substituting values calculated in §§ 1.3.1.3.2 and 1.3.1.2.3 to equation (20), using values of weighting coefficients presented in Table 2 and taking into account non-sharing conditions (</w:t>
      </w:r>
      <w:r w:rsidRPr="00BD6197">
        <w:rPr>
          <w:lang w:val="en-US"/>
        </w:rPr>
        <w:sym w:font="Symbol" w:char="F062"/>
      </w:r>
      <w:r w:rsidRPr="00BD6197">
        <w:rPr>
          <w:lang w:val="en-US"/>
        </w:rPr>
        <w:t> = 1), we get finally:</w:t>
      </w:r>
    </w:p>
    <w:p w:rsidR="00831CFB" w:rsidRPr="00BD6197" w:rsidRDefault="00831CFB" w:rsidP="00831CFB">
      <w:pPr>
        <w:pStyle w:val="Equation"/>
        <w:rPr>
          <w:lang w:val="en-US"/>
        </w:rPr>
      </w:pPr>
      <w:r w:rsidRPr="00BD6197">
        <w:rPr>
          <w:lang w:val="en-US"/>
        </w:rPr>
        <w:tab/>
      </w:r>
      <w:r w:rsidRPr="00BD6197">
        <w:rPr>
          <w:i/>
          <w:lang w:val="en-US"/>
        </w:rPr>
        <w:tab/>
        <w:t>W</w:t>
      </w:r>
      <w:r w:rsidRPr="00BD6197">
        <w:rPr>
          <w:lang w:val="en-US"/>
        </w:rPr>
        <w:t xml:space="preserve"> = 3 × 1.2 × 1 × 1 × 1 × 1.6 × 377 × 1 = 2</w:t>
      </w:r>
      <w:r w:rsidRPr="00BD6197">
        <w:rPr>
          <w:rFonts w:ascii="Tms Rmn" w:hAnsi="Tms Rmn"/>
          <w:sz w:val="12"/>
          <w:lang w:val="en-US"/>
        </w:rPr>
        <w:t> </w:t>
      </w:r>
      <w:r w:rsidRPr="00BD6197">
        <w:rPr>
          <w:lang w:val="en-US"/>
        </w:rPr>
        <w:t xml:space="preserve">172          MHz </w:t>
      </w:r>
      <w:r w:rsidRPr="00BD6197">
        <w:rPr>
          <w:szCs w:val="24"/>
          <w:lang w:val="en-US"/>
        </w:rPr>
        <w:sym w:font="Symbol" w:char="F0D7"/>
      </w:r>
      <w:r w:rsidRPr="00BD6197">
        <w:rPr>
          <w:lang w:val="en-US"/>
        </w:rPr>
        <w:t xml:space="preserve"> km</w:t>
      </w:r>
      <w:r w:rsidRPr="00BD6197">
        <w:rPr>
          <w:vertAlign w:val="superscript"/>
          <w:lang w:val="en-US"/>
        </w:rPr>
        <w:t>2</w:t>
      </w:r>
      <w:r w:rsidRPr="00BD6197">
        <w:rPr>
          <w:lang w:val="en-US"/>
        </w:rPr>
        <w:t xml:space="preserve"> </w:t>
      </w:r>
      <w:r w:rsidRPr="00BD6197">
        <w:rPr>
          <w:szCs w:val="24"/>
          <w:lang w:val="en-US"/>
        </w:rPr>
        <w:sym w:font="Symbol" w:char="F0D7"/>
      </w:r>
      <w:r w:rsidRPr="00BD6197">
        <w:rPr>
          <w:lang w:val="en-US"/>
        </w:rPr>
        <w:t xml:space="preserve"> 1 year</w:t>
      </w:r>
    </w:p>
    <w:p w:rsidR="00831CFB" w:rsidRPr="00BD6197" w:rsidRDefault="00831CFB" w:rsidP="00831CFB">
      <w:pPr>
        <w:pStyle w:val="Heading3"/>
        <w:rPr>
          <w:lang w:val="en-US"/>
        </w:rPr>
      </w:pPr>
      <w:bookmarkStart w:id="1659" w:name="_Toc289868847"/>
      <w:bookmarkStart w:id="1660" w:name="_Toc289869007"/>
      <w:bookmarkStart w:id="1661" w:name="_Toc289932315"/>
      <w:bookmarkStart w:id="1662" w:name="_Toc289933361"/>
      <w:bookmarkStart w:id="1663" w:name="_Toc291852924"/>
      <w:bookmarkStart w:id="1664" w:name="_Toc392515910"/>
      <w:bookmarkStart w:id="1665" w:name="_Toc462234090"/>
      <w:bookmarkStart w:id="1666" w:name="_Toc518394237"/>
      <w:r w:rsidRPr="00BD6197">
        <w:rPr>
          <w:lang w:val="en-US"/>
        </w:rPr>
        <w:t>4.7.5</w:t>
      </w:r>
      <w:r w:rsidRPr="00BD6197">
        <w:rPr>
          <w:lang w:val="en-US"/>
        </w:rPr>
        <w:tab/>
        <w:t>Maritime mobile radio service</w:t>
      </w:r>
      <w:bookmarkEnd w:id="1659"/>
      <w:bookmarkEnd w:id="1660"/>
      <w:bookmarkEnd w:id="1661"/>
      <w:bookmarkEnd w:id="1662"/>
      <w:bookmarkEnd w:id="1663"/>
      <w:bookmarkEnd w:id="1664"/>
      <w:bookmarkEnd w:id="1665"/>
      <w:bookmarkEnd w:id="1666"/>
    </w:p>
    <w:p w:rsidR="00831CFB" w:rsidRPr="00A01420" w:rsidRDefault="00831CFB" w:rsidP="00831CFB">
      <w:pPr>
        <w:pStyle w:val="Headingb"/>
        <w:rPr>
          <w:lang w:val="en-US"/>
        </w:rPr>
      </w:pPr>
      <w:bookmarkStart w:id="1667" w:name="_Toc454284922"/>
      <w:bookmarkStart w:id="1668" w:name="_Toc462234091"/>
      <w:r w:rsidRPr="00A01420">
        <w:rPr>
          <w:lang w:val="en-US"/>
        </w:rPr>
        <w:t>a)</w:t>
      </w:r>
      <w:r w:rsidRPr="00A01420">
        <w:rPr>
          <w:lang w:val="en-US"/>
        </w:rPr>
        <w:tab/>
        <w:t>Background of calculation procedures</w:t>
      </w:r>
      <w:bookmarkEnd w:id="1667"/>
      <w:bookmarkEnd w:id="1668"/>
    </w:p>
    <w:p w:rsidR="00831CFB" w:rsidRPr="00BD6197" w:rsidRDefault="00831CFB" w:rsidP="00831CFB">
      <w:pPr>
        <w:rPr>
          <w:lang w:val="en-US"/>
        </w:rPr>
      </w:pPr>
      <w:r w:rsidRPr="00BD6197">
        <w:rPr>
          <w:lang w:val="en-US"/>
        </w:rPr>
        <w:t>For coast and ship stations of maritime mobile service working in VLF and HF frequency bands, proposed provisions for LF and HF broadcasting stations can be used taking into account limitations by national maritime economical border (usually 200 miles, i.e. 360 km). In cases of directional transmitting antennas applications, a “service sector” concept, given by Recommendation ITU</w:t>
      </w:r>
      <w:r w:rsidRPr="00BD6197">
        <w:rPr>
          <w:lang w:val="en-US"/>
        </w:rPr>
        <w:noBreakHyphen/>
        <w:t>R F.162-3, can be used.</w:t>
      </w:r>
    </w:p>
    <w:p w:rsidR="00831CFB" w:rsidRPr="00BD6197" w:rsidRDefault="00831CFB" w:rsidP="00831CFB">
      <w:pPr>
        <w:keepNext/>
        <w:keepLines/>
        <w:rPr>
          <w:lang w:val="en-US"/>
        </w:rPr>
      </w:pPr>
      <w:r w:rsidRPr="00BD6197">
        <w:rPr>
          <w:lang w:val="en-US"/>
        </w:rPr>
        <w:t>Service areas of VHF coast and ship stations working in 156-174 MHz frequency bands (RR Appendix 18 are determined by propagation curves given in Annex 2 to Recommendation ITU</w:t>
      </w:r>
      <w:r w:rsidRPr="00BD6197">
        <w:rPr>
          <w:lang w:val="en-US"/>
        </w:rPr>
        <w:noBreakHyphen/>
        <w:t>R P.1546-4, i.e. on the same basis as for broadcasting. Technical characteristics of equipment are described in Recommendation ITU-R M.489-2.</w:t>
      </w:r>
    </w:p>
    <w:p w:rsidR="00831CFB" w:rsidRPr="00BD6197" w:rsidRDefault="00831CFB" w:rsidP="00831CFB">
      <w:pPr>
        <w:rPr>
          <w:lang w:val="en-US"/>
        </w:rPr>
      </w:pPr>
      <w:r w:rsidRPr="00BD6197">
        <w:rPr>
          <w:lang w:val="en-US"/>
        </w:rPr>
        <w:t xml:space="preserve">For ship stations having omnidirectional antennas service areas, </w:t>
      </w:r>
      <w:r w:rsidRPr="00BD6197">
        <w:rPr>
          <w:i/>
          <w:iCs/>
          <w:lang w:val="en-US"/>
        </w:rPr>
        <w:t>s</w:t>
      </w:r>
      <w:r w:rsidRPr="00BD6197">
        <w:rPr>
          <w:lang w:val="en-US"/>
        </w:rPr>
        <w:t>, are calculated as:</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r>
      <w:r w:rsidRPr="00BD6197">
        <w:rPr>
          <w:position w:val="-12"/>
          <w:lang w:val="en-US"/>
        </w:rPr>
        <w:object w:dxaOrig="2439" w:dyaOrig="420">
          <v:shape id="_x0000_i1065" type="#_x0000_t75" style="width:120pt;height:21.75pt" o:ole="">
            <v:imagedata r:id="rId100" o:title=""/>
          </v:shape>
          <o:OLEObject Type="Embed" ProgID="Equation.3" ShapeID="_x0000_i1065" DrawAspect="Content" ObjectID="_1604325019" r:id="rId101"/>
        </w:object>
      </w:r>
      <w:r w:rsidRPr="00BD6197">
        <w:rPr>
          <w:lang w:val="en-US"/>
        </w:rPr>
        <w:tab/>
        <w:t>(46)</w:t>
      </w:r>
    </w:p>
    <w:p w:rsidR="00831CFB" w:rsidRPr="00BD6197" w:rsidRDefault="00831CFB" w:rsidP="00831CFB">
      <w:pPr>
        <w:rPr>
          <w:lang w:val="en-US"/>
        </w:rPr>
      </w:pPr>
      <w:r w:rsidRPr="00BD6197">
        <w:rPr>
          <w:lang w:val="en-US"/>
        </w:rPr>
        <w:t>where:</w:t>
      </w:r>
    </w:p>
    <w:p w:rsidR="00831CFB" w:rsidRPr="00BD6197" w:rsidRDefault="00831CFB" w:rsidP="00831CFB">
      <w:pPr>
        <w:pStyle w:val="Equationlegend"/>
      </w:pPr>
      <w:r w:rsidRPr="00BD6197">
        <w:rPr>
          <w:i/>
          <w:iCs/>
        </w:rPr>
        <w:tab/>
        <w:t>R</w:t>
      </w:r>
      <w:r w:rsidRPr="00BD6197">
        <w:rPr>
          <w:i/>
          <w:vertAlign w:val="subscript"/>
        </w:rPr>
        <w:t xml:space="preserve">s </w:t>
      </w:r>
      <w:r w:rsidRPr="00BD6197">
        <w:t>:</w:t>
      </w:r>
      <w:r w:rsidRPr="00BD6197">
        <w:rPr>
          <w:vertAlign w:val="subscript"/>
        </w:rPr>
        <w:tab/>
      </w:r>
      <w:r w:rsidRPr="00BD6197">
        <w:t>radius of circular service area calculated from propagation curves of Recommendation ITU-R P.1546-4 for 30-300 MHz frequency band, sea, 50% of time and 50% of locations (Fig. 4 of Recommendation ITU-R P.1546-4).</w:t>
      </w:r>
    </w:p>
    <w:p w:rsidR="00831CFB" w:rsidRPr="00BD6197" w:rsidRDefault="00831CFB" w:rsidP="00831CFB">
      <w:pPr>
        <w:rPr>
          <w:lang w:val="en-US"/>
        </w:rPr>
      </w:pPr>
      <w:r w:rsidRPr="00BD6197">
        <w:rPr>
          <w:lang w:val="en-US"/>
        </w:rPr>
        <w:t>It is necessary to note, that for this particular case the curves are the same for cold and warm seas. Transmitting antenna heights are actual antenna heights above the sea level. For simplicity, receiving antenna heights for purposes of this particular calculation model are accepted as to be equal 10 m in all cases. However it should be noted that in reality, to provide equal communication conditions between coast and ship stations in both directions, receiving antennas of coast stations are usually have the same heights than their transmitting antennas.</w:t>
      </w:r>
    </w:p>
    <w:p w:rsidR="00831CFB" w:rsidRPr="00BD6197" w:rsidRDefault="00831CFB" w:rsidP="00831CFB">
      <w:pPr>
        <w:rPr>
          <w:lang w:val="en-US"/>
        </w:rPr>
      </w:pPr>
      <w:r w:rsidRPr="00BD6197">
        <w:rPr>
          <w:lang w:val="en-US"/>
        </w:rPr>
        <w:t xml:space="preserve">For coast stations it is accepted that one half of an occupied area, being a service one, with a radius </w:t>
      </w:r>
      <w:r w:rsidRPr="00BD6197">
        <w:rPr>
          <w:i/>
          <w:iCs/>
          <w:lang w:val="en-US"/>
        </w:rPr>
        <w:t>R</w:t>
      </w:r>
      <w:r w:rsidRPr="00BD6197">
        <w:rPr>
          <w:i/>
          <w:iCs/>
          <w:vertAlign w:val="subscript"/>
          <w:lang w:val="en-US"/>
        </w:rPr>
        <w:t>s</w:t>
      </w:r>
      <w:r w:rsidRPr="00BD6197">
        <w:rPr>
          <w:lang w:val="en-US"/>
        </w:rPr>
        <w:t xml:space="preserve"> lies at a surface of sea and the second half with a radius </w:t>
      </w:r>
      <w:r w:rsidRPr="00BD6197">
        <w:rPr>
          <w:i/>
          <w:iCs/>
          <w:lang w:val="en-US"/>
        </w:rPr>
        <w:t>R</w:t>
      </w:r>
      <w:r w:rsidRPr="00BD6197">
        <w:rPr>
          <w:i/>
          <w:iCs/>
          <w:vertAlign w:val="subscript"/>
          <w:lang w:val="en-US"/>
        </w:rPr>
        <w:t>l</w:t>
      </w:r>
      <w:r w:rsidRPr="00BD6197">
        <w:rPr>
          <w:lang w:val="en-US"/>
        </w:rPr>
        <w:t>, at a surface of land, i.e.:</w:t>
      </w:r>
    </w:p>
    <w:p w:rsidR="00831CFB" w:rsidRPr="00BD6197" w:rsidRDefault="00831CFB" w:rsidP="00831CFB">
      <w:pPr>
        <w:pStyle w:val="Blanc"/>
        <w:rPr>
          <w:lang w:val="en-US"/>
        </w:rPr>
      </w:pPr>
    </w:p>
    <w:p w:rsidR="00831CFB" w:rsidRPr="00BD6197" w:rsidRDefault="00831CFB" w:rsidP="00831CFB">
      <w:pPr>
        <w:pStyle w:val="Equation"/>
        <w:rPr>
          <w:lang w:val="en-US"/>
        </w:rPr>
      </w:pPr>
      <w:r w:rsidRPr="00BD6197">
        <w:rPr>
          <w:lang w:val="en-US"/>
        </w:rPr>
        <w:tab/>
      </w:r>
      <w:r w:rsidRPr="00BD6197">
        <w:rPr>
          <w:lang w:val="en-US"/>
        </w:rPr>
        <w:tab/>
      </w:r>
      <w:r w:rsidRPr="00BD6197">
        <w:rPr>
          <w:position w:val="-12"/>
          <w:lang w:val="en-US"/>
        </w:rPr>
        <w:object w:dxaOrig="3440" w:dyaOrig="420">
          <v:shape id="_x0000_i1066" type="#_x0000_t75" style="width:170.25pt;height:21.75pt" o:ole="">
            <v:imagedata r:id="rId102" o:title=""/>
          </v:shape>
          <o:OLEObject Type="Embed" ProgID="Equation.3" ShapeID="_x0000_i1066" DrawAspect="Content" ObjectID="_1604325020" r:id="rId103"/>
        </w:object>
      </w:r>
      <w:r w:rsidRPr="00BD6197">
        <w:rPr>
          <w:lang w:val="en-US"/>
        </w:rPr>
        <w:tab/>
        <w:t>(47)</w:t>
      </w:r>
    </w:p>
    <w:p w:rsidR="00831CFB" w:rsidRPr="00BD6197" w:rsidRDefault="00831CFB" w:rsidP="00831CFB">
      <w:pPr>
        <w:rPr>
          <w:lang w:val="en-US"/>
        </w:rPr>
      </w:pPr>
      <w:r w:rsidRPr="00BD6197">
        <w:rPr>
          <w:lang w:val="en-US"/>
        </w:rPr>
        <w:t>where:</w:t>
      </w:r>
    </w:p>
    <w:p w:rsidR="00831CFB" w:rsidRPr="00BD6197" w:rsidRDefault="00831CFB" w:rsidP="00831CFB">
      <w:pPr>
        <w:pStyle w:val="Equationlegend"/>
      </w:pPr>
      <w:r w:rsidRPr="00BD6197">
        <w:rPr>
          <w:i/>
          <w:iCs/>
        </w:rPr>
        <w:tab/>
        <w:t>R</w:t>
      </w:r>
      <w:r w:rsidRPr="00BD6197">
        <w:rPr>
          <w:i/>
          <w:iCs/>
          <w:vertAlign w:val="subscript"/>
        </w:rPr>
        <w:t xml:space="preserve">l </w:t>
      </w:r>
      <w:r w:rsidRPr="00BD6197">
        <w:t>:</w:t>
      </w:r>
      <w:r w:rsidRPr="00BD6197">
        <w:tab/>
        <w:t>radius of half-circular service area calculated from propagation curves of Recommendation ITU-R P.1546-4 for 30-300 MHz frequency band, land, 50% of time and 50% of locations (Fig. 1 of Recommendation ITU-R P.1546</w:t>
      </w:r>
      <w:r w:rsidRPr="00BD6197">
        <w:noBreakHyphen/>
        <w:t>4, see Fig. 2).</w:t>
      </w:r>
    </w:p>
    <w:p w:rsidR="00831CFB" w:rsidRPr="00BD6197" w:rsidRDefault="00831CFB" w:rsidP="00831CFB">
      <w:pPr>
        <w:rPr>
          <w:lang w:val="en-US"/>
        </w:rPr>
      </w:pPr>
      <w:r w:rsidRPr="00BD6197">
        <w:rPr>
          <w:lang w:val="en-US"/>
        </w:rPr>
        <w:t>Effective antenna height calculations for land service area are provided similarly to broadcasting case.</w:t>
      </w:r>
    </w:p>
    <w:p w:rsidR="00831CFB" w:rsidRPr="00BD6197" w:rsidRDefault="00831CFB" w:rsidP="00831CFB">
      <w:pPr>
        <w:rPr>
          <w:i/>
          <w:lang w:val="en-US"/>
        </w:rPr>
      </w:pPr>
      <w:r w:rsidRPr="00BD6197">
        <w:rPr>
          <w:lang w:val="en-US"/>
        </w:rPr>
        <w:t xml:space="preserve">Taking into account that maritime mobile service belongs to safety services its reliability should be sufficiently high. Taking this into account, minimal usable field strength at the border of service area is accepted to be 30 dB above receiver reference sensitivity (2.0 </w:t>
      </w:r>
      <w:r w:rsidRPr="00BD6197">
        <w:rPr>
          <w:rFonts w:ascii="Symbol" w:hAnsi="Symbol"/>
          <w:lang w:val="en-US"/>
        </w:rPr>
        <w:t></w:t>
      </w:r>
      <w:r w:rsidRPr="00BD6197">
        <w:rPr>
          <w:lang w:val="en-US"/>
        </w:rPr>
        <w:t xml:space="preserve">V in accordance with Recommendation ITU-R M.489-2), i.e. </w:t>
      </w:r>
      <w:r w:rsidRPr="00BD6197">
        <w:rPr>
          <w:i/>
          <w:lang w:val="en-US"/>
        </w:rPr>
        <w:t>E</w:t>
      </w:r>
      <w:r w:rsidRPr="00BD6197">
        <w:rPr>
          <w:i/>
          <w:vertAlign w:val="subscript"/>
          <w:lang w:val="en-US"/>
        </w:rPr>
        <w:t>mu</w:t>
      </w:r>
      <w:r w:rsidRPr="00BD6197">
        <w:rPr>
          <w:lang w:val="en-US"/>
        </w:rPr>
        <w:t> </w:t>
      </w:r>
      <w:r w:rsidRPr="00BD6197">
        <w:rPr>
          <w:rFonts w:ascii="Symbol" w:hAnsi="Symbol"/>
          <w:i/>
          <w:lang w:val="en-US"/>
        </w:rPr>
        <w:t></w:t>
      </w:r>
      <w:r w:rsidRPr="00BD6197">
        <w:rPr>
          <w:i/>
          <w:lang w:val="en-US"/>
        </w:rPr>
        <w:t> </w:t>
      </w:r>
      <w:r w:rsidRPr="00BD6197">
        <w:rPr>
          <w:lang w:val="en-US"/>
        </w:rPr>
        <w:t>36 dB(</w:t>
      </w:r>
      <w:r w:rsidRPr="00BD6197">
        <w:rPr>
          <w:rFonts w:ascii="Symbol" w:hAnsi="Symbol"/>
          <w:lang w:val="en-US"/>
        </w:rPr>
        <w:t></w:t>
      </w:r>
      <w:r w:rsidRPr="00BD6197">
        <w:rPr>
          <w:lang w:val="en-US"/>
        </w:rPr>
        <w:t>V/m)</w:t>
      </w:r>
      <w:r w:rsidRPr="00BD6197">
        <w:rPr>
          <w:i/>
          <w:lang w:val="en-US"/>
        </w:rPr>
        <w:t>.</w:t>
      </w:r>
    </w:p>
    <w:p w:rsidR="00831CFB" w:rsidRPr="00BD6197" w:rsidRDefault="00831CFB" w:rsidP="00831CFB">
      <w:pPr>
        <w:rPr>
          <w:lang w:val="en-US"/>
        </w:rPr>
      </w:pPr>
      <w:r w:rsidRPr="00BD6197">
        <w:rPr>
          <w:iCs/>
          <w:lang w:val="en-US"/>
        </w:rPr>
        <w:t>Based on the above parameters and assumptions and accepting all antennas gains equal to 6 dB, relevant service/occupied areas radiuses were calculated for different transmitter powers from 10 W to 50 W (maximal carrier power of coast stations in accordance with Recommendation ITU</w:t>
      </w:r>
      <w:r w:rsidRPr="00BD6197">
        <w:rPr>
          <w:iCs/>
          <w:lang w:val="en-US"/>
        </w:rPr>
        <w:noBreakHyphen/>
        <w:t xml:space="preserve">R M.489-2) and various effective antenna heights presented in Recommendation </w:t>
      </w:r>
      <w:r w:rsidRPr="00BD6197">
        <w:rPr>
          <w:lang w:val="en-US"/>
        </w:rPr>
        <w:t>ITU</w:t>
      </w:r>
      <w:r w:rsidRPr="00BD6197">
        <w:rPr>
          <w:lang w:val="en-US"/>
        </w:rPr>
        <w:noBreakHyphen/>
        <w:t>R P.1546-4. Results of calculations are presented in Table 12.</w:t>
      </w:r>
    </w:p>
    <w:p w:rsidR="007C2F37" w:rsidRDefault="007C2F37" w:rsidP="0069427A">
      <w:pPr>
        <w:pStyle w:val="TableNo"/>
        <w:rPr>
          <w:lang w:val="en-US"/>
        </w:rPr>
      </w:pPr>
      <w:r>
        <w:rPr>
          <w:lang w:val="en-US"/>
        </w:rPr>
        <w:br w:type="page"/>
      </w:r>
    </w:p>
    <w:p w:rsidR="0069427A" w:rsidRPr="00BD6197" w:rsidRDefault="0069427A" w:rsidP="0069427A">
      <w:pPr>
        <w:pStyle w:val="TableNo"/>
        <w:rPr>
          <w:lang w:val="en-US"/>
        </w:rPr>
      </w:pPr>
      <w:r w:rsidRPr="00BD6197">
        <w:rPr>
          <w:lang w:val="en-US"/>
        </w:rPr>
        <w:lastRenderedPageBreak/>
        <w:t>TABLE 12</w:t>
      </w:r>
    </w:p>
    <w:p w:rsidR="0069427A" w:rsidRPr="00BD6197" w:rsidRDefault="0069427A" w:rsidP="0069427A">
      <w:pPr>
        <w:pStyle w:val="Tabletitle"/>
        <w:rPr>
          <w:lang w:val="en-US"/>
        </w:rPr>
      </w:pPr>
      <w:r w:rsidRPr="00BD6197">
        <w:rPr>
          <w:lang w:val="en-US"/>
        </w:rPr>
        <w:t>Radiuses of occupied areas by sea and by land (km) for maritime radio</w:t>
      </w:r>
      <w:r w:rsidRPr="00BD6197">
        <w:rPr>
          <w:lang w:val="en-US"/>
        </w:rPr>
        <w:br/>
        <w:t>communications in 156-174 MHz frequency band</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1247"/>
        <w:gridCol w:w="1191"/>
        <w:gridCol w:w="1191"/>
        <w:gridCol w:w="1191"/>
        <w:gridCol w:w="1191"/>
        <w:gridCol w:w="1191"/>
        <w:gridCol w:w="1191"/>
      </w:tblGrid>
      <w:tr w:rsidR="0069427A" w:rsidRPr="00BD6197" w:rsidTr="000F2BA7">
        <w:trPr>
          <w:cantSplit/>
          <w:trHeight w:val="20"/>
          <w:jc w:val="center"/>
        </w:trPr>
        <w:tc>
          <w:tcPr>
            <w:tcW w:w="1247" w:type="dxa"/>
            <w:vAlign w:val="center"/>
          </w:tcPr>
          <w:p w:rsidR="0069427A" w:rsidRPr="00BD6197" w:rsidRDefault="0069427A" w:rsidP="000F2BA7">
            <w:pPr>
              <w:pStyle w:val="Tablehead"/>
              <w:rPr>
                <w:lang w:val="en-US"/>
              </w:rPr>
            </w:pPr>
          </w:p>
        </w:tc>
        <w:tc>
          <w:tcPr>
            <w:tcW w:w="8393" w:type="dxa"/>
            <w:gridSpan w:val="7"/>
            <w:vAlign w:val="center"/>
          </w:tcPr>
          <w:p w:rsidR="0069427A" w:rsidRPr="00BD6197" w:rsidRDefault="0069427A" w:rsidP="000F2BA7">
            <w:pPr>
              <w:pStyle w:val="Tablehead"/>
              <w:rPr>
                <w:lang w:val="en-US"/>
              </w:rPr>
            </w:pPr>
            <w:r w:rsidRPr="00BD6197">
              <w:rPr>
                <w:i/>
                <w:iCs/>
                <w:lang w:val="en-US"/>
              </w:rPr>
              <w:t>H</w:t>
            </w:r>
            <w:r w:rsidRPr="00BD6197">
              <w:rPr>
                <w:rFonts w:ascii="Times New Roman Bold" w:hAnsi="Times New Roman Bold" w:cs="Times New Roman Bold"/>
                <w:bCs/>
                <w:i/>
                <w:iCs/>
                <w:vertAlign w:val="subscript"/>
                <w:lang w:val="en-US"/>
              </w:rPr>
              <w:t>ef</w:t>
            </w:r>
            <w:r w:rsidRPr="00BD6197">
              <w:rPr>
                <w:lang w:val="en-US"/>
              </w:rPr>
              <w:br/>
              <w:t>(m)</w:t>
            </w:r>
          </w:p>
        </w:tc>
      </w:tr>
      <w:tr w:rsidR="0069427A" w:rsidRPr="00BD6197" w:rsidTr="000F2BA7">
        <w:trPr>
          <w:cantSplit/>
          <w:trHeight w:val="20"/>
          <w:jc w:val="center"/>
        </w:trPr>
        <w:tc>
          <w:tcPr>
            <w:tcW w:w="1247" w:type="dxa"/>
            <w:vAlign w:val="center"/>
          </w:tcPr>
          <w:p w:rsidR="0069427A" w:rsidRPr="00BD6197" w:rsidRDefault="0069427A" w:rsidP="000F2BA7">
            <w:pPr>
              <w:pStyle w:val="Tablehead"/>
              <w:rPr>
                <w:lang w:val="en-US"/>
              </w:rPr>
            </w:pPr>
            <w:r w:rsidRPr="00BD6197">
              <w:rPr>
                <w:lang w:val="en-US"/>
              </w:rPr>
              <w:t>P(W)</w:t>
            </w:r>
          </w:p>
        </w:tc>
        <w:tc>
          <w:tcPr>
            <w:tcW w:w="1247" w:type="dxa"/>
          </w:tcPr>
          <w:p w:rsidR="0069427A" w:rsidRPr="00BD6197" w:rsidRDefault="0069427A" w:rsidP="000F2BA7">
            <w:pPr>
              <w:pStyle w:val="Tablehead"/>
              <w:rPr>
                <w:lang w:val="en-US"/>
              </w:rPr>
            </w:pPr>
            <w:r w:rsidRPr="00BD6197">
              <w:rPr>
                <w:lang w:val="en-US"/>
              </w:rPr>
              <w:t>Paths</w:t>
            </w:r>
          </w:p>
        </w:tc>
        <w:tc>
          <w:tcPr>
            <w:tcW w:w="1191" w:type="dxa"/>
            <w:vAlign w:val="center"/>
          </w:tcPr>
          <w:p w:rsidR="0069427A" w:rsidRPr="00BD6197" w:rsidRDefault="0069427A" w:rsidP="000F2BA7">
            <w:pPr>
              <w:pStyle w:val="Tablehead"/>
              <w:rPr>
                <w:lang w:val="en-US"/>
              </w:rPr>
            </w:pPr>
            <w:r w:rsidRPr="00BD6197">
              <w:rPr>
                <w:lang w:val="en-US"/>
              </w:rPr>
              <w:t>10</w:t>
            </w:r>
          </w:p>
        </w:tc>
        <w:tc>
          <w:tcPr>
            <w:tcW w:w="1191" w:type="dxa"/>
            <w:vAlign w:val="center"/>
          </w:tcPr>
          <w:p w:rsidR="0069427A" w:rsidRPr="00BD6197" w:rsidRDefault="0069427A" w:rsidP="000F2BA7">
            <w:pPr>
              <w:pStyle w:val="Tablehead"/>
              <w:rPr>
                <w:lang w:val="en-US"/>
              </w:rPr>
            </w:pPr>
            <w:r w:rsidRPr="00BD6197">
              <w:rPr>
                <w:lang w:val="en-US"/>
              </w:rPr>
              <w:t>20</w:t>
            </w:r>
          </w:p>
        </w:tc>
        <w:tc>
          <w:tcPr>
            <w:tcW w:w="1191" w:type="dxa"/>
            <w:vAlign w:val="center"/>
          </w:tcPr>
          <w:p w:rsidR="0069427A" w:rsidRPr="00BD6197" w:rsidRDefault="0069427A" w:rsidP="000F2BA7">
            <w:pPr>
              <w:pStyle w:val="Tablehead"/>
              <w:rPr>
                <w:lang w:val="en-US"/>
              </w:rPr>
            </w:pPr>
            <w:r w:rsidRPr="00BD6197">
              <w:rPr>
                <w:lang w:val="en-US"/>
              </w:rPr>
              <w:t>37.5</w:t>
            </w:r>
          </w:p>
        </w:tc>
        <w:tc>
          <w:tcPr>
            <w:tcW w:w="1191" w:type="dxa"/>
            <w:vAlign w:val="center"/>
          </w:tcPr>
          <w:p w:rsidR="0069427A" w:rsidRPr="00BD6197" w:rsidRDefault="0069427A" w:rsidP="000F2BA7">
            <w:pPr>
              <w:pStyle w:val="Tablehead"/>
              <w:rPr>
                <w:lang w:val="en-US"/>
              </w:rPr>
            </w:pPr>
            <w:r w:rsidRPr="00BD6197">
              <w:rPr>
                <w:lang w:val="en-US"/>
              </w:rPr>
              <w:t>75</w:t>
            </w:r>
          </w:p>
        </w:tc>
        <w:tc>
          <w:tcPr>
            <w:tcW w:w="1191" w:type="dxa"/>
            <w:vAlign w:val="center"/>
          </w:tcPr>
          <w:p w:rsidR="0069427A" w:rsidRPr="00BD6197" w:rsidRDefault="0069427A" w:rsidP="000F2BA7">
            <w:pPr>
              <w:pStyle w:val="Tablehead"/>
              <w:rPr>
                <w:lang w:val="en-US"/>
              </w:rPr>
            </w:pPr>
            <w:r w:rsidRPr="00BD6197">
              <w:rPr>
                <w:lang w:val="en-US"/>
              </w:rPr>
              <w:t>150</w:t>
            </w:r>
          </w:p>
        </w:tc>
        <w:tc>
          <w:tcPr>
            <w:tcW w:w="1191" w:type="dxa"/>
            <w:vAlign w:val="center"/>
          </w:tcPr>
          <w:p w:rsidR="0069427A" w:rsidRPr="00BD6197" w:rsidRDefault="0069427A" w:rsidP="000F2BA7">
            <w:pPr>
              <w:pStyle w:val="Tablehead"/>
              <w:rPr>
                <w:lang w:val="en-US"/>
              </w:rPr>
            </w:pPr>
            <w:r w:rsidRPr="00BD6197">
              <w:rPr>
                <w:lang w:val="en-US"/>
              </w:rPr>
              <w:t>300</w:t>
            </w:r>
          </w:p>
        </w:tc>
      </w:tr>
      <w:tr w:rsidR="0069427A" w:rsidRPr="00BD6197" w:rsidTr="000F2BA7">
        <w:trPr>
          <w:cantSplit/>
          <w:trHeight w:val="20"/>
          <w:jc w:val="center"/>
        </w:trPr>
        <w:tc>
          <w:tcPr>
            <w:tcW w:w="1247" w:type="dxa"/>
          </w:tcPr>
          <w:p w:rsidR="0069427A" w:rsidRPr="00BD6197" w:rsidRDefault="0069427A" w:rsidP="000F2BA7">
            <w:pPr>
              <w:pStyle w:val="Tabletext"/>
              <w:jc w:val="center"/>
              <w:rPr>
                <w:lang w:val="en-US"/>
              </w:rPr>
            </w:pPr>
            <w:r w:rsidRPr="00BD6197">
              <w:rPr>
                <w:lang w:val="en-US"/>
              </w:rPr>
              <w:t>10</w:t>
            </w:r>
          </w:p>
        </w:tc>
        <w:tc>
          <w:tcPr>
            <w:tcW w:w="1247" w:type="dxa"/>
          </w:tcPr>
          <w:p w:rsidR="0069427A" w:rsidRPr="00BD6197" w:rsidRDefault="0069427A" w:rsidP="000F2BA7">
            <w:pPr>
              <w:pStyle w:val="Tabletext"/>
              <w:jc w:val="center"/>
              <w:rPr>
                <w:lang w:val="en-US"/>
              </w:rPr>
            </w:pPr>
            <w:r w:rsidRPr="00BD6197">
              <w:rPr>
                <w:lang w:val="en-US"/>
              </w:rPr>
              <w:t>Land</w:t>
            </w:r>
          </w:p>
        </w:tc>
        <w:tc>
          <w:tcPr>
            <w:tcW w:w="1191" w:type="dxa"/>
          </w:tcPr>
          <w:p w:rsidR="0069427A" w:rsidRPr="00BD6197" w:rsidRDefault="0069427A" w:rsidP="000F2BA7">
            <w:pPr>
              <w:pStyle w:val="Tabletext"/>
              <w:jc w:val="center"/>
              <w:rPr>
                <w:lang w:val="en-US"/>
              </w:rPr>
            </w:pPr>
            <w:r w:rsidRPr="00BD6197">
              <w:rPr>
                <w:lang w:val="en-US"/>
              </w:rPr>
              <w:t>11</w:t>
            </w:r>
          </w:p>
        </w:tc>
        <w:tc>
          <w:tcPr>
            <w:tcW w:w="1191" w:type="dxa"/>
          </w:tcPr>
          <w:p w:rsidR="0069427A" w:rsidRPr="00BD6197" w:rsidRDefault="0069427A" w:rsidP="000F2BA7">
            <w:pPr>
              <w:pStyle w:val="Tabletext"/>
              <w:jc w:val="center"/>
              <w:rPr>
                <w:lang w:val="en-US"/>
              </w:rPr>
            </w:pPr>
            <w:r w:rsidRPr="00BD6197">
              <w:rPr>
                <w:lang w:val="en-US"/>
              </w:rPr>
              <w:t>14</w:t>
            </w:r>
          </w:p>
        </w:tc>
        <w:tc>
          <w:tcPr>
            <w:tcW w:w="1191" w:type="dxa"/>
          </w:tcPr>
          <w:p w:rsidR="0069427A" w:rsidRPr="00BD6197" w:rsidRDefault="0069427A" w:rsidP="000F2BA7">
            <w:pPr>
              <w:pStyle w:val="Tabletext"/>
              <w:jc w:val="center"/>
              <w:rPr>
                <w:lang w:val="en-US"/>
              </w:rPr>
            </w:pPr>
            <w:r w:rsidRPr="00BD6197">
              <w:rPr>
                <w:lang w:val="en-US"/>
              </w:rPr>
              <w:t>19</w:t>
            </w:r>
          </w:p>
        </w:tc>
        <w:tc>
          <w:tcPr>
            <w:tcW w:w="1191" w:type="dxa"/>
          </w:tcPr>
          <w:p w:rsidR="0069427A" w:rsidRPr="00BD6197" w:rsidRDefault="0069427A" w:rsidP="000F2BA7">
            <w:pPr>
              <w:pStyle w:val="Tabletext"/>
              <w:jc w:val="center"/>
              <w:rPr>
                <w:lang w:val="en-US"/>
              </w:rPr>
            </w:pPr>
            <w:r w:rsidRPr="00BD6197">
              <w:rPr>
                <w:lang w:val="en-US"/>
              </w:rPr>
              <w:t>25</w:t>
            </w:r>
          </w:p>
        </w:tc>
        <w:tc>
          <w:tcPr>
            <w:tcW w:w="1191" w:type="dxa"/>
          </w:tcPr>
          <w:p w:rsidR="0069427A" w:rsidRPr="00BD6197" w:rsidRDefault="0069427A" w:rsidP="000F2BA7">
            <w:pPr>
              <w:pStyle w:val="Tabletext"/>
              <w:jc w:val="center"/>
              <w:rPr>
                <w:lang w:val="en-US"/>
              </w:rPr>
            </w:pPr>
            <w:r w:rsidRPr="00BD6197">
              <w:rPr>
                <w:lang w:val="en-US"/>
              </w:rPr>
              <w:t>35</w:t>
            </w:r>
          </w:p>
        </w:tc>
        <w:tc>
          <w:tcPr>
            <w:tcW w:w="1191" w:type="dxa"/>
          </w:tcPr>
          <w:p w:rsidR="0069427A" w:rsidRPr="00BD6197" w:rsidRDefault="0069427A" w:rsidP="000F2BA7">
            <w:pPr>
              <w:pStyle w:val="Tabletext"/>
              <w:jc w:val="center"/>
              <w:rPr>
                <w:lang w:val="en-US"/>
              </w:rPr>
            </w:pPr>
            <w:r w:rsidRPr="00BD6197">
              <w:rPr>
                <w:lang w:val="en-US"/>
              </w:rPr>
              <w:t>48</w:t>
            </w:r>
          </w:p>
        </w:tc>
      </w:tr>
      <w:tr w:rsidR="0069427A" w:rsidRPr="00BD6197" w:rsidTr="000F2BA7">
        <w:trPr>
          <w:cantSplit/>
          <w:trHeight w:val="20"/>
          <w:jc w:val="center"/>
        </w:trPr>
        <w:tc>
          <w:tcPr>
            <w:tcW w:w="1247" w:type="dxa"/>
          </w:tcPr>
          <w:p w:rsidR="0069427A" w:rsidRPr="00BD6197" w:rsidRDefault="0069427A" w:rsidP="000F2BA7">
            <w:pPr>
              <w:pStyle w:val="Tabletext"/>
              <w:jc w:val="center"/>
              <w:rPr>
                <w:lang w:val="en-US"/>
              </w:rPr>
            </w:pPr>
          </w:p>
        </w:tc>
        <w:tc>
          <w:tcPr>
            <w:tcW w:w="1247" w:type="dxa"/>
          </w:tcPr>
          <w:p w:rsidR="0069427A" w:rsidRPr="00BD6197" w:rsidRDefault="0069427A" w:rsidP="000F2BA7">
            <w:pPr>
              <w:pStyle w:val="Tabletext"/>
              <w:jc w:val="center"/>
              <w:rPr>
                <w:lang w:val="en-US"/>
              </w:rPr>
            </w:pPr>
            <w:r w:rsidRPr="00BD6197">
              <w:rPr>
                <w:lang w:val="en-US"/>
              </w:rPr>
              <w:t>Sea</w:t>
            </w:r>
          </w:p>
        </w:tc>
        <w:tc>
          <w:tcPr>
            <w:tcW w:w="1191" w:type="dxa"/>
          </w:tcPr>
          <w:p w:rsidR="0069427A" w:rsidRPr="00BD6197" w:rsidRDefault="0069427A" w:rsidP="000F2BA7">
            <w:pPr>
              <w:pStyle w:val="Tabletext"/>
              <w:jc w:val="center"/>
              <w:rPr>
                <w:lang w:val="en-US"/>
              </w:rPr>
            </w:pPr>
            <w:r w:rsidRPr="00BD6197">
              <w:rPr>
                <w:lang w:val="en-US"/>
              </w:rPr>
              <w:t>24</w:t>
            </w:r>
          </w:p>
        </w:tc>
        <w:tc>
          <w:tcPr>
            <w:tcW w:w="1191" w:type="dxa"/>
          </w:tcPr>
          <w:p w:rsidR="0069427A" w:rsidRPr="00BD6197" w:rsidRDefault="0069427A" w:rsidP="000F2BA7">
            <w:pPr>
              <w:pStyle w:val="Tabletext"/>
              <w:jc w:val="center"/>
              <w:rPr>
                <w:lang w:val="en-US"/>
              </w:rPr>
            </w:pPr>
            <w:r w:rsidRPr="00BD6197">
              <w:rPr>
                <w:lang w:val="en-US"/>
              </w:rPr>
              <w:t>28</w:t>
            </w:r>
          </w:p>
        </w:tc>
        <w:tc>
          <w:tcPr>
            <w:tcW w:w="1191" w:type="dxa"/>
          </w:tcPr>
          <w:p w:rsidR="0069427A" w:rsidRPr="00BD6197" w:rsidRDefault="0069427A" w:rsidP="000F2BA7">
            <w:pPr>
              <w:pStyle w:val="Tabletext"/>
              <w:jc w:val="center"/>
              <w:rPr>
                <w:lang w:val="en-US"/>
              </w:rPr>
            </w:pPr>
            <w:r w:rsidRPr="00BD6197">
              <w:rPr>
                <w:lang w:val="en-US"/>
              </w:rPr>
              <w:t>35</w:t>
            </w:r>
          </w:p>
        </w:tc>
        <w:tc>
          <w:tcPr>
            <w:tcW w:w="1191" w:type="dxa"/>
          </w:tcPr>
          <w:p w:rsidR="0069427A" w:rsidRPr="00BD6197" w:rsidRDefault="0069427A" w:rsidP="000F2BA7">
            <w:pPr>
              <w:pStyle w:val="Tabletext"/>
              <w:jc w:val="center"/>
              <w:rPr>
                <w:lang w:val="en-US"/>
              </w:rPr>
            </w:pPr>
            <w:r w:rsidRPr="00BD6197">
              <w:rPr>
                <w:lang w:val="en-US"/>
              </w:rPr>
              <w:t>43</w:t>
            </w:r>
          </w:p>
        </w:tc>
        <w:tc>
          <w:tcPr>
            <w:tcW w:w="1191" w:type="dxa"/>
          </w:tcPr>
          <w:p w:rsidR="0069427A" w:rsidRPr="00BD6197" w:rsidRDefault="0069427A" w:rsidP="000F2BA7">
            <w:pPr>
              <w:pStyle w:val="Tabletext"/>
              <w:jc w:val="center"/>
              <w:rPr>
                <w:lang w:val="en-US"/>
              </w:rPr>
            </w:pPr>
            <w:r w:rsidRPr="00BD6197">
              <w:rPr>
                <w:lang w:val="en-US"/>
              </w:rPr>
              <w:t>53</w:t>
            </w:r>
          </w:p>
        </w:tc>
        <w:tc>
          <w:tcPr>
            <w:tcW w:w="1191" w:type="dxa"/>
          </w:tcPr>
          <w:p w:rsidR="0069427A" w:rsidRPr="00BD6197" w:rsidRDefault="0069427A" w:rsidP="000F2BA7">
            <w:pPr>
              <w:pStyle w:val="Tabletext"/>
              <w:jc w:val="center"/>
              <w:rPr>
                <w:lang w:val="en-US"/>
              </w:rPr>
            </w:pPr>
            <w:r w:rsidRPr="00BD6197">
              <w:rPr>
                <w:lang w:val="en-US"/>
              </w:rPr>
              <w:t>68</w:t>
            </w:r>
          </w:p>
        </w:tc>
      </w:tr>
      <w:tr w:rsidR="0069427A" w:rsidRPr="00BD6197" w:rsidTr="000F2BA7">
        <w:trPr>
          <w:cantSplit/>
          <w:trHeight w:val="20"/>
          <w:jc w:val="center"/>
        </w:trPr>
        <w:tc>
          <w:tcPr>
            <w:tcW w:w="1247" w:type="dxa"/>
          </w:tcPr>
          <w:p w:rsidR="0069427A" w:rsidRPr="00BD6197" w:rsidRDefault="0069427A" w:rsidP="000F2BA7">
            <w:pPr>
              <w:pStyle w:val="Tabletext"/>
              <w:jc w:val="center"/>
              <w:rPr>
                <w:lang w:val="en-US"/>
              </w:rPr>
            </w:pPr>
            <w:r w:rsidRPr="00BD6197">
              <w:rPr>
                <w:lang w:val="en-US"/>
              </w:rPr>
              <w:t>20</w:t>
            </w:r>
          </w:p>
        </w:tc>
        <w:tc>
          <w:tcPr>
            <w:tcW w:w="1247" w:type="dxa"/>
          </w:tcPr>
          <w:p w:rsidR="0069427A" w:rsidRPr="00BD6197" w:rsidRDefault="0069427A" w:rsidP="000F2BA7">
            <w:pPr>
              <w:pStyle w:val="Tabletext"/>
              <w:jc w:val="center"/>
              <w:rPr>
                <w:lang w:val="en-US"/>
              </w:rPr>
            </w:pPr>
            <w:r w:rsidRPr="00BD6197">
              <w:rPr>
                <w:lang w:val="en-US"/>
              </w:rPr>
              <w:t>Land</w:t>
            </w:r>
          </w:p>
        </w:tc>
        <w:tc>
          <w:tcPr>
            <w:tcW w:w="1191" w:type="dxa"/>
          </w:tcPr>
          <w:p w:rsidR="0069427A" w:rsidRPr="00BD6197" w:rsidRDefault="0069427A" w:rsidP="000F2BA7">
            <w:pPr>
              <w:pStyle w:val="Tabletext"/>
              <w:jc w:val="center"/>
              <w:rPr>
                <w:lang w:val="en-US"/>
              </w:rPr>
            </w:pPr>
            <w:r w:rsidRPr="00BD6197">
              <w:rPr>
                <w:lang w:val="en-US"/>
              </w:rPr>
              <w:t>13</w:t>
            </w:r>
          </w:p>
        </w:tc>
        <w:tc>
          <w:tcPr>
            <w:tcW w:w="1191" w:type="dxa"/>
          </w:tcPr>
          <w:p w:rsidR="0069427A" w:rsidRPr="00BD6197" w:rsidRDefault="0069427A" w:rsidP="000F2BA7">
            <w:pPr>
              <w:pStyle w:val="Tabletext"/>
              <w:jc w:val="center"/>
              <w:rPr>
                <w:lang w:val="en-US"/>
              </w:rPr>
            </w:pPr>
            <w:r w:rsidRPr="00BD6197">
              <w:rPr>
                <w:lang w:val="en-US"/>
              </w:rPr>
              <w:t>16</w:t>
            </w:r>
          </w:p>
        </w:tc>
        <w:tc>
          <w:tcPr>
            <w:tcW w:w="1191" w:type="dxa"/>
          </w:tcPr>
          <w:p w:rsidR="0069427A" w:rsidRPr="00BD6197" w:rsidRDefault="0069427A" w:rsidP="000F2BA7">
            <w:pPr>
              <w:pStyle w:val="Tabletext"/>
              <w:jc w:val="center"/>
              <w:rPr>
                <w:lang w:val="en-US"/>
              </w:rPr>
            </w:pPr>
            <w:r w:rsidRPr="00BD6197">
              <w:rPr>
                <w:lang w:val="en-US"/>
              </w:rPr>
              <w:t>22</w:t>
            </w:r>
          </w:p>
        </w:tc>
        <w:tc>
          <w:tcPr>
            <w:tcW w:w="1191" w:type="dxa"/>
          </w:tcPr>
          <w:p w:rsidR="0069427A" w:rsidRPr="00BD6197" w:rsidRDefault="0069427A" w:rsidP="000F2BA7">
            <w:pPr>
              <w:pStyle w:val="Tabletext"/>
              <w:jc w:val="center"/>
              <w:rPr>
                <w:lang w:val="en-US"/>
              </w:rPr>
            </w:pPr>
            <w:r w:rsidRPr="00BD6197">
              <w:rPr>
                <w:lang w:val="en-US"/>
              </w:rPr>
              <w:t>29</w:t>
            </w:r>
          </w:p>
        </w:tc>
        <w:tc>
          <w:tcPr>
            <w:tcW w:w="1191" w:type="dxa"/>
          </w:tcPr>
          <w:p w:rsidR="0069427A" w:rsidRPr="00BD6197" w:rsidRDefault="0069427A" w:rsidP="000F2BA7">
            <w:pPr>
              <w:pStyle w:val="Tabletext"/>
              <w:jc w:val="center"/>
              <w:rPr>
                <w:lang w:val="en-US"/>
              </w:rPr>
            </w:pPr>
            <w:r w:rsidRPr="00BD6197">
              <w:rPr>
                <w:lang w:val="en-US"/>
              </w:rPr>
              <w:t>40</w:t>
            </w:r>
          </w:p>
        </w:tc>
        <w:tc>
          <w:tcPr>
            <w:tcW w:w="1191" w:type="dxa"/>
          </w:tcPr>
          <w:p w:rsidR="0069427A" w:rsidRPr="00BD6197" w:rsidRDefault="0069427A" w:rsidP="000F2BA7">
            <w:pPr>
              <w:pStyle w:val="Tabletext"/>
              <w:jc w:val="center"/>
              <w:rPr>
                <w:lang w:val="en-US"/>
              </w:rPr>
            </w:pPr>
            <w:r w:rsidRPr="00BD6197">
              <w:rPr>
                <w:lang w:val="en-US"/>
              </w:rPr>
              <w:t>53</w:t>
            </w:r>
          </w:p>
        </w:tc>
      </w:tr>
      <w:tr w:rsidR="0069427A" w:rsidRPr="00BD6197" w:rsidTr="000F2BA7">
        <w:trPr>
          <w:cantSplit/>
          <w:trHeight w:val="20"/>
          <w:jc w:val="center"/>
        </w:trPr>
        <w:tc>
          <w:tcPr>
            <w:tcW w:w="1247" w:type="dxa"/>
          </w:tcPr>
          <w:p w:rsidR="0069427A" w:rsidRPr="00BD6197" w:rsidRDefault="0069427A" w:rsidP="000F2BA7">
            <w:pPr>
              <w:pStyle w:val="Tabletext"/>
              <w:jc w:val="center"/>
              <w:rPr>
                <w:lang w:val="en-US"/>
              </w:rPr>
            </w:pPr>
          </w:p>
        </w:tc>
        <w:tc>
          <w:tcPr>
            <w:tcW w:w="1247" w:type="dxa"/>
          </w:tcPr>
          <w:p w:rsidR="0069427A" w:rsidRPr="00BD6197" w:rsidRDefault="0069427A" w:rsidP="000F2BA7">
            <w:pPr>
              <w:pStyle w:val="Tabletext"/>
              <w:jc w:val="center"/>
              <w:rPr>
                <w:lang w:val="en-US"/>
              </w:rPr>
            </w:pPr>
            <w:r w:rsidRPr="00BD6197">
              <w:rPr>
                <w:lang w:val="en-US"/>
              </w:rPr>
              <w:t>Sea</w:t>
            </w:r>
          </w:p>
        </w:tc>
        <w:tc>
          <w:tcPr>
            <w:tcW w:w="1191" w:type="dxa"/>
          </w:tcPr>
          <w:p w:rsidR="0069427A" w:rsidRPr="00BD6197" w:rsidRDefault="0069427A" w:rsidP="000F2BA7">
            <w:pPr>
              <w:pStyle w:val="Tabletext"/>
              <w:jc w:val="center"/>
              <w:rPr>
                <w:lang w:val="en-US"/>
              </w:rPr>
            </w:pPr>
            <w:r w:rsidRPr="00BD6197">
              <w:rPr>
                <w:lang w:val="en-US"/>
              </w:rPr>
              <w:t>27</w:t>
            </w:r>
          </w:p>
        </w:tc>
        <w:tc>
          <w:tcPr>
            <w:tcW w:w="1191" w:type="dxa"/>
          </w:tcPr>
          <w:p w:rsidR="0069427A" w:rsidRPr="00BD6197" w:rsidRDefault="0069427A" w:rsidP="000F2BA7">
            <w:pPr>
              <w:pStyle w:val="Tabletext"/>
              <w:jc w:val="center"/>
              <w:rPr>
                <w:lang w:val="en-US"/>
              </w:rPr>
            </w:pPr>
            <w:r w:rsidRPr="00BD6197">
              <w:rPr>
                <w:lang w:val="en-US"/>
              </w:rPr>
              <w:t>31</w:t>
            </w:r>
          </w:p>
        </w:tc>
        <w:tc>
          <w:tcPr>
            <w:tcW w:w="1191" w:type="dxa"/>
          </w:tcPr>
          <w:p w:rsidR="0069427A" w:rsidRPr="00BD6197" w:rsidRDefault="0069427A" w:rsidP="000F2BA7">
            <w:pPr>
              <w:pStyle w:val="Tabletext"/>
              <w:jc w:val="center"/>
              <w:rPr>
                <w:lang w:val="en-US"/>
              </w:rPr>
            </w:pPr>
            <w:r w:rsidRPr="00BD6197">
              <w:rPr>
                <w:lang w:val="en-US"/>
              </w:rPr>
              <w:t>39</w:t>
            </w:r>
          </w:p>
        </w:tc>
        <w:tc>
          <w:tcPr>
            <w:tcW w:w="1191" w:type="dxa"/>
          </w:tcPr>
          <w:p w:rsidR="0069427A" w:rsidRPr="00BD6197" w:rsidRDefault="0069427A" w:rsidP="000F2BA7">
            <w:pPr>
              <w:pStyle w:val="Tabletext"/>
              <w:jc w:val="center"/>
              <w:rPr>
                <w:lang w:val="en-US"/>
              </w:rPr>
            </w:pPr>
            <w:r w:rsidRPr="00BD6197">
              <w:rPr>
                <w:lang w:val="en-US"/>
              </w:rPr>
              <w:t>47</w:t>
            </w:r>
          </w:p>
        </w:tc>
        <w:tc>
          <w:tcPr>
            <w:tcW w:w="1191" w:type="dxa"/>
          </w:tcPr>
          <w:p w:rsidR="0069427A" w:rsidRPr="00BD6197" w:rsidRDefault="0069427A" w:rsidP="000F2BA7">
            <w:pPr>
              <w:pStyle w:val="Tabletext"/>
              <w:jc w:val="center"/>
              <w:rPr>
                <w:lang w:val="en-US"/>
              </w:rPr>
            </w:pPr>
            <w:r w:rsidRPr="00BD6197">
              <w:rPr>
                <w:lang w:val="en-US"/>
              </w:rPr>
              <w:t>59</w:t>
            </w:r>
          </w:p>
        </w:tc>
        <w:tc>
          <w:tcPr>
            <w:tcW w:w="1191" w:type="dxa"/>
          </w:tcPr>
          <w:p w:rsidR="0069427A" w:rsidRPr="00BD6197" w:rsidRDefault="0069427A" w:rsidP="000F2BA7">
            <w:pPr>
              <w:pStyle w:val="Tabletext"/>
              <w:jc w:val="center"/>
              <w:rPr>
                <w:lang w:val="en-US"/>
              </w:rPr>
            </w:pPr>
            <w:r w:rsidRPr="00BD6197">
              <w:rPr>
                <w:lang w:val="en-US"/>
              </w:rPr>
              <w:t>74</w:t>
            </w:r>
          </w:p>
        </w:tc>
      </w:tr>
      <w:tr w:rsidR="0069427A" w:rsidRPr="00BD6197" w:rsidTr="000F2BA7">
        <w:trPr>
          <w:cantSplit/>
          <w:trHeight w:val="20"/>
          <w:jc w:val="center"/>
        </w:trPr>
        <w:tc>
          <w:tcPr>
            <w:tcW w:w="1247" w:type="dxa"/>
          </w:tcPr>
          <w:p w:rsidR="0069427A" w:rsidRPr="00BD6197" w:rsidRDefault="0069427A" w:rsidP="000F2BA7">
            <w:pPr>
              <w:pStyle w:val="Tabletext"/>
              <w:jc w:val="center"/>
              <w:rPr>
                <w:lang w:val="en-US"/>
              </w:rPr>
            </w:pPr>
            <w:r w:rsidRPr="00BD6197">
              <w:rPr>
                <w:lang w:val="en-US"/>
              </w:rPr>
              <w:t>30</w:t>
            </w:r>
          </w:p>
        </w:tc>
        <w:tc>
          <w:tcPr>
            <w:tcW w:w="1247" w:type="dxa"/>
          </w:tcPr>
          <w:p w:rsidR="0069427A" w:rsidRPr="00BD6197" w:rsidRDefault="0069427A" w:rsidP="000F2BA7">
            <w:pPr>
              <w:pStyle w:val="Tabletext"/>
              <w:jc w:val="center"/>
              <w:rPr>
                <w:lang w:val="en-US"/>
              </w:rPr>
            </w:pPr>
            <w:r w:rsidRPr="00BD6197">
              <w:rPr>
                <w:lang w:val="en-US"/>
              </w:rPr>
              <w:t>Land</w:t>
            </w:r>
          </w:p>
        </w:tc>
        <w:tc>
          <w:tcPr>
            <w:tcW w:w="1191" w:type="dxa"/>
          </w:tcPr>
          <w:p w:rsidR="0069427A" w:rsidRPr="00BD6197" w:rsidRDefault="0069427A" w:rsidP="000F2BA7">
            <w:pPr>
              <w:pStyle w:val="Tabletext"/>
              <w:jc w:val="center"/>
              <w:rPr>
                <w:lang w:val="en-US"/>
              </w:rPr>
            </w:pPr>
            <w:r w:rsidRPr="00BD6197">
              <w:rPr>
                <w:lang w:val="en-US"/>
              </w:rPr>
              <w:t>14</w:t>
            </w:r>
          </w:p>
        </w:tc>
        <w:tc>
          <w:tcPr>
            <w:tcW w:w="1191" w:type="dxa"/>
          </w:tcPr>
          <w:p w:rsidR="0069427A" w:rsidRPr="00BD6197" w:rsidRDefault="0069427A" w:rsidP="000F2BA7">
            <w:pPr>
              <w:pStyle w:val="Tabletext"/>
              <w:jc w:val="center"/>
              <w:rPr>
                <w:lang w:val="en-US"/>
              </w:rPr>
            </w:pPr>
            <w:r w:rsidRPr="00BD6197">
              <w:rPr>
                <w:lang w:val="en-US"/>
              </w:rPr>
              <w:t>17</w:t>
            </w:r>
          </w:p>
        </w:tc>
        <w:tc>
          <w:tcPr>
            <w:tcW w:w="1191" w:type="dxa"/>
          </w:tcPr>
          <w:p w:rsidR="0069427A" w:rsidRPr="00BD6197" w:rsidRDefault="0069427A" w:rsidP="000F2BA7">
            <w:pPr>
              <w:pStyle w:val="Tabletext"/>
              <w:jc w:val="center"/>
              <w:rPr>
                <w:lang w:val="en-US"/>
              </w:rPr>
            </w:pPr>
            <w:r w:rsidRPr="00BD6197">
              <w:rPr>
                <w:lang w:val="en-US"/>
              </w:rPr>
              <w:t>24</w:t>
            </w:r>
          </w:p>
        </w:tc>
        <w:tc>
          <w:tcPr>
            <w:tcW w:w="1191" w:type="dxa"/>
          </w:tcPr>
          <w:p w:rsidR="0069427A" w:rsidRPr="00BD6197" w:rsidRDefault="0069427A" w:rsidP="000F2BA7">
            <w:pPr>
              <w:pStyle w:val="Tabletext"/>
              <w:jc w:val="center"/>
              <w:rPr>
                <w:lang w:val="en-US"/>
              </w:rPr>
            </w:pPr>
            <w:r w:rsidRPr="00BD6197">
              <w:rPr>
                <w:lang w:val="en-US"/>
              </w:rPr>
              <w:t>32</w:t>
            </w:r>
          </w:p>
        </w:tc>
        <w:tc>
          <w:tcPr>
            <w:tcW w:w="1191" w:type="dxa"/>
          </w:tcPr>
          <w:p w:rsidR="0069427A" w:rsidRPr="00BD6197" w:rsidRDefault="0069427A" w:rsidP="000F2BA7">
            <w:pPr>
              <w:pStyle w:val="Tabletext"/>
              <w:jc w:val="center"/>
              <w:rPr>
                <w:lang w:val="en-US"/>
              </w:rPr>
            </w:pPr>
            <w:r w:rsidRPr="00BD6197">
              <w:rPr>
                <w:lang w:val="en-US"/>
              </w:rPr>
              <w:t>43</w:t>
            </w:r>
          </w:p>
        </w:tc>
        <w:tc>
          <w:tcPr>
            <w:tcW w:w="1191" w:type="dxa"/>
          </w:tcPr>
          <w:p w:rsidR="0069427A" w:rsidRPr="00BD6197" w:rsidRDefault="0069427A" w:rsidP="000F2BA7">
            <w:pPr>
              <w:pStyle w:val="Tabletext"/>
              <w:jc w:val="center"/>
              <w:rPr>
                <w:lang w:val="en-US"/>
              </w:rPr>
            </w:pPr>
            <w:r w:rsidRPr="00BD6197">
              <w:rPr>
                <w:lang w:val="en-US"/>
              </w:rPr>
              <w:t>57</w:t>
            </w:r>
          </w:p>
        </w:tc>
      </w:tr>
      <w:tr w:rsidR="0069427A" w:rsidRPr="00BD6197" w:rsidTr="000F2BA7">
        <w:trPr>
          <w:cantSplit/>
          <w:trHeight w:val="20"/>
          <w:jc w:val="center"/>
        </w:trPr>
        <w:tc>
          <w:tcPr>
            <w:tcW w:w="1247" w:type="dxa"/>
          </w:tcPr>
          <w:p w:rsidR="0069427A" w:rsidRPr="00BD6197" w:rsidRDefault="0069427A" w:rsidP="000F2BA7">
            <w:pPr>
              <w:pStyle w:val="Tabletext"/>
              <w:jc w:val="center"/>
              <w:rPr>
                <w:lang w:val="en-US"/>
              </w:rPr>
            </w:pPr>
          </w:p>
        </w:tc>
        <w:tc>
          <w:tcPr>
            <w:tcW w:w="1247" w:type="dxa"/>
          </w:tcPr>
          <w:p w:rsidR="0069427A" w:rsidRPr="00BD6197" w:rsidRDefault="0069427A" w:rsidP="000F2BA7">
            <w:pPr>
              <w:pStyle w:val="Tabletext"/>
              <w:jc w:val="center"/>
              <w:rPr>
                <w:lang w:val="en-US"/>
              </w:rPr>
            </w:pPr>
            <w:r w:rsidRPr="00BD6197">
              <w:rPr>
                <w:lang w:val="en-US"/>
              </w:rPr>
              <w:t>Sea</w:t>
            </w:r>
          </w:p>
        </w:tc>
        <w:tc>
          <w:tcPr>
            <w:tcW w:w="1191" w:type="dxa"/>
          </w:tcPr>
          <w:p w:rsidR="0069427A" w:rsidRPr="00BD6197" w:rsidRDefault="0069427A" w:rsidP="000F2BA7">
            <w:pPr>
              <w:pStyle w:val="Tabletext"/>
              <w:jc w:val="center"/>
              <w:rPr>
                <w:lang w:val="en-US"/>
              </w:rPr>
            </w:pPr>
            <w:r w:rsidRPr="00BD6197">
              <w:rPr>
                <w:lang w:val="en-US"/>
              </w:rPr>
              <w:t>29</w:t>
            </w:r>
          </w:p>
        </w:tc>
        <w:tc>
          <w:tcPr>
            <w:tcW w:w="1191" w:type="dxa"/>
          </w:tcPr>
          <w:p w:rsidR="0069427A" w:rsidRPr="00BD6197" w:rsidRDefault="0069427A" w:rsidP="000F2BA7">
            <w:pPr>
              <w:pStyle w:val="Tabletext"/>
              <w:jc w:val="center"/>
              <w:rPr>
                <w:lang w:val="en-US"/>
              </w:rPr>
            </w:pPr>
            <w:r w:rsidRPr="00BD6197">
              <w:rPr>
                <w:lang w:val="en-US"/>
              </w:rPr>
              <w:t>34</w:t>
            </w:r>
          </w:p>
        </w:tc>
        <w:tc>
          <w:tcPr>
            <w:tcW w:w="1191" w:type="dxa"/>
          </w:tcPr>
          <w:p w:rsidR="0069427A" w:rsidRPr="00BD6197" w:rsidRDefault="0069427A" w:rsidP="000F2BA7">
            <w:pPr>
              <w:pStyle w:val="Tabletext"/>
              <w:jc w:val="center"/>
              <w:rPr>
                <w:lang w:val="en-US"/>
              </w:rPr>
            </w:pPr>
            <w:r w:rsidRPr="00BD6197">
              <w:rPr>
                <w:lang w:val="en-US"/>
              </w:rPr>
              <w:t>42</w:t>
            </w:r>
          </w:p>
        </w:tc>
        <w:tc>
          <w:tcPr>
            <w:tcW w:w="1191" w:type="dxa"/>
          </w:tcPr>
          <w:p w:rsidR="0069427A" w:rsidRPr="00BD6197" w:rsidRDefault="0069427A" w:rsidP="000F2BA7">
            <w:pPr>
              <w:pStyle w:val="Tabletext"/>
              <w:jc w:val="center"/>
              <w:rPr>
                <w:lang w:val="en-US"/>
              </w:rPr>
            </w:pPr>
            <w:r w:rsidRPr="00BD6197">
              <w:rPr>
                <w:lang w:val="en-US"/>
              </w:rPr>
              <w:t>51</w:t>
            </w:r>
          </w:p>
        </w:tc>
        <w:tc>
          <w:tcPr>
            <w:tcW w:w="1191" w:type="dxa"/>
          </w:tcPr>
          <w:p w:rsidR="0069427A" w:rsidRPr="00BD6197" w:rsidRDefault="0069427A" w:rsidP="000F2BA7">
            <w:pPr>
              <w:pStyle w:val="Tabletext"/>
              <w:jc w:val="center"/>
              <w:rPr>
                <w:lang w:val="en-US"/>
              </w:rPr>
            </w:pPr>
            <w:r w:rsidRPr="00BD6197">
              <w:rPr>
                <w:lang w:val="en-US"/>
              </w:rPr>
              <w:t>62</w:t>
            </w:r>
          </w:p>
        </w:tc>
        <w:tc>
          <w:tcPr>
            <w:tcW w:w="1191" w:type="dxa"/>
          </w:tcPr>
          <w:p w:rsidR="0069427A" w:rsidRPr="00BD6197" w:rsidRDefault="0069427A" w:rsidP="000F2BA7">
            <w:pPr>
              <w:pStyle w:val="Tabletext"/>
              <w:jc w:val="center"/>
              <w:rPr>
                <w:lang w:val="en-US"/>
              </w:rPr>
            </w:pPr>
            <w:r w:rsidRPr="00BD6197">
              <w:rPr>
                <w:lang w:val="en-US"/>
              </w:rPr>
              <w:t>77</w:t>
            </w:r>
          </w:p>
        </w:tc>
      </w:tr>
      <w:tr w:rsidR="0069427A" w:rsidRPr="00BD6197" w:rsidTr="000F2BA7">
        <w:trPr>
          <w:cantSplit/>
          <w:trHeight w:val="20"/>
          <w:jc w:val="center"/>
        </w:trPr>
        <w:tc>
          <w:tcPr>
            <w:tcW w:w="1247" w:type="dxa"/>
          </w:tcPr>
          <w:p w:rsidR="0069427A" w:rsidRPr="00BD6197" w:rsidRDefault="0069427A" w:rsidP="000F2BA7">
            <w:pPr>
              <w:pStyle w:val="Tabletext"/>
              <w:jc w:val="center"/>
              <w:rPr>
                <w:lang w:val="en-US"/>
              </w:rPr>
            </w:pPr>
            <w:r w:rsidRPr="00BD6197">
              <w:rPr>
                <w:lang w:val="en-US"/>
              </w:rPr>
              <w:t>40</w:t>
            </w:r>
          </w:p>
        </w:tc>
        <w:tc>
          <w:tcPr>
            <w:tcW w:w="1247" w:type="dxa"/>
          </w:tcPr>
          <w:p w:rsidR="0069427A" w:rsidRPr="00BD6197" w:rsidRDefault="0069427A" w:rsidP="000F2BA7">
            <w:pPr>
              <w:pStyle w:val="Tabletext"/>
              <w:jc w:val="center"/>
              <w:rPr>
                <w:lang w:val="en-US"/>
              </w:rPr>
            </w:pPr>
            <w:r w:rsidRPr="00BD6197">
              <w:rPr>
                <w:lang w:val="en-US"/>
              </w:rPr>
              <w:t>Land</w:t>
            </w:r>
          </w:p>
        </w:tc>
        <w:tc>
          <w:tcPr>
            <w:tcW w:w="1191" w:type="dxa"/>
          </w:tcPr>
          <w:p w:rsidR="0069427A" w:rsidRPr="00BD6197" w:rsidRDefault="0069427A" w:rsidP="000F2BA7">
            <w:pPr>
              <w:pStyle w:val="Tabletext"/>
              <w:jc w:val="center"/>
              <w:rPr>
                <w:lang w:val="en-US"/>
              </w:rPr>
            </w:pPr>
            <w:r w:rsidRPr="00BD6197">
              <w:rPr>
                <w:lang w:val="en-US"/>
              </w:rPr>
              <w:t>14</w:t>
            </w:r>
          </w:p>
        </w:tc>
        <w:tc>
          <w:tcPr>
            <w:tcW w:w="1191" w:type="dxa"/>
          </w:tcPr>
          <w:p w:rsidR="0069427A" w:rsidRPr="00BD6197" w:rsidRDefault="0069427A" w:rsidP="000F2BA7">
            <w:pPr>
              <w:pStyle w:val="Tabletext"/>
              <w:jc w:val="center"/>
              <w:rPr>
                <w:lang w:val="en-US"/>
              </w:rPr>
            </w:pPr>
            <w:r w:rsidRPr="00BD6197">
              <w:rPr>
                <w:lang w:val="en-US"/>
              </w:rPr>
              <w:t>19</w:t>
            </w:r>
          </w:p>
        </w:tc>
        <w:tc>
          <w:tcPr>
            <w:tcW w:w="1191" w:type="dxa"/>
          </w:tcPr>
          <w:p w:rsidR="0069427A" w:rsidRPr="00BD6197" w:rsidRDefault="0069427A" w:rsidP="000F2BA7">
            <w:pPr>
              <w:pStyle w:val="Tabletext"/>
              <w:jc w:val="center"/>
              <w:rPr>
                <w:lang w:val="en-US"/>
              </w:rPr>
            </w:pPr>
            <w:r w:rsidRPr="00BD6197">
              <w:rPr>
                <w:lang w:val="en-US"/>
              </w:rPr>
              <w:t>25</w:t>
            </w:r>
          </w:p>
        </w:tc>
        <w:tc>
          <w:tcPr>
            <w:tcW w:w="1191" w:type="dxa"/>
          </w:tcPr>
          <w:p w:rsidR="0069427A" w:rsidRPr="00BD6197" w:rsidRDefault="0069427A" w:rsidP="000F2BA7">
            <w:pPr>
              <w:pStyle w:val="Tabletext"/>
              <w:jc w:val="center"/>
              <w:rPr>
                <w:lang w:val="en-US"/>
              </w:rPr>
            </w:pPr>
            <w:r w:rsidRPr="00BD6197">
              <w:rPr>
                <w:lang w:val="en-US"/>
              </w:rPr>
              <w:t>34</w:t>
            </w:r>
          </w:p>
        </w:tc>
        <w:tc>
          <w:tcPr>
            <w:tcW w:w="1191" w:type="dxa"/>
          </w:tcPr>
          <w:p w:rsidR="0069427A" w:rsidRPr="00BD6197" w:rsidRDefault="0069427A" w:rsidP="000F2BA7">
            <w:pPr>
              <w:pStyle w:val="Tabletext"/>
              <w:jc w:val="center"/>
              <w:rPr>
                <w:lang w:val="en-US"/>
              </w:rPr>
            </w:pPr>
            <w:r w:rsidRPr="00BD6197">
              <w:rPr>
                <w:lang w:val="en-US"/>
              </w:rPr>
              <w:t>45</w:t>
            </w:r>
          </w:p>
        </w:tc>
        <w:tc>
          <w:tcPr>
            <w:tcW w:w="1191" w:type="dxa"/>
          </w:tcPr>
          <w:p w:rsidR="0069427A" w:rsidRPr="00BD6197" w:rsidRDefault="0069427A" w:rsidP="000F2BA7">
            <w:pPr>
              <w:pStyle w:val="Tabletext"/>
              <w:jc w:val="center"/>
              <w:rPr>
                <w:lang w:val="en-US"/>
              </w:rPr>
            </w:pPr>
            <w:r w:rsidRPr="00BD6197">
              <w:rPr>
                <w:lang w:val="en-US"/>
              </w:rPr>
              <w:t>59</w:t>
            </w:r>
          </w:p>
        </w:tc>
      </w:tr>
      <w:tr w:rsidR="0069427A" w:rsidRPr="00BD6197" w:rsidTr="000F2BA7">
        <w:trPr>
          <w:cantSplit/>
          <w:trHeight w:val="20"/>
          <w:jc w:val="center"/>
        </w:trPr>
        <w:tc>
          <w:tcPr>
            <w:tcW w:w="1247" w:type="dxa"/>
          </w:tcPr>
          <w:p w:rsidR="0069427A" w:rsidRPr="00BD6197" w:rsidRDefault="0069427A" w:rsidP="000F2BA7">
            <w:pPr>
              <w:pStyle w:val="Tabletext"/>
              <w:jc w:val="center"/>
              <w:rPr>
                <w:lang w:val="en-US"/>
              </w:rPr>
            </w:pPr>
          </w:p>
        </w:tc>
        <w:tc>
          <w:tcPr>
            <w:tcW w:w="1247" w:type="dxa"/>
          </w:tcPr>
          <w:p w:rsidR="0069427A" w:rsidRPr="00BD6197" w:rsidRDefault="0069427A" w:rsidP="000F2BA7">
            <w:pPr>
              <w:pStyle w:val="Tabletext"/>
              <w:jc w:val="center"/>
              <w:rPr>
                <w:lang w:val="en-US"/>
              </w:rPr>
            </w:pPr>
            <w:r w:rsidRPr="00BD6197">
              <w:rPr>
                <w:lang w:val="en-US"/>
              </w:rPr>
              <w:t>Sea</w:t>
            </w:r>
          </w:p>
        </w:tc>
        <w:tc>
          <w:tcPr>
            <w:tcW w:w="1191" w:type="dxa"/>
          </w:tcPr>
          <w:p w:rsidR="0069427A" w:rsidRPr="00BD6197" w:rsidRDefault="0069427A" w:rsidP="000F2BA7">
            <w:pPr>
              <w:pStyle w:val="Tabletext"/>
              <w:jc w:val="center"/>
              <w:rPr>
                <w:lang w:val="en-US"/>
              </w:rPr>
            </w:pPr>
            <w:r w:rsidRPr="00BD6197">
              <w:rPr>
                <w:lang w:val="en-US"/>
              </w:rPr>
              <w:t>30</w:t>
            </w:r>
          </w:p>
        </w:tc>
        <w:tc>
          <w:tcPr>
            <w:tcW w:w="1191" w:type="dxa"/>
          </w:tcPr>
          <w:p w:rsidR="0069427A" w:rsidRPr="00BD6197" w:rsidRDefault="0069427A" w:rsidP="000F2BA7">
            <w:pPr>
              <w:pStyle w:val="Tabletext"/>
              <w:jc w:val="center"/>
              <w:rPr>
                <w:lang w:val="en-US"/>
              </w:rPr>
            </w:pPr>
            <w:r w:rsidRPr="00BD6197">
              <w:rPr>
                <w:lang w:val="en-US"/>
              </w:rPr>
              <w:t>36</w:t>
            </w:r>
          </w:p>
        </w:tc>
        <w:tc>
          <w:tcPr>
            <w:tcW w:w="1191" w:type="dxa"/>
          </w:tcPr>
          <w:p w:rsidR="0069427A" w:rsidRPr="00BD6197" w:rsidRDefault="0069427A" w:rsidP="000F2BA7">
            <w:pPr>
              <w:pStyle w:val="Tabletext"/>
              <w:jc w:val="center"/>
              <w:rPr>
                <w:lang w:val="en-US"/>
              </w:rPr>
            </w:pPr>
            <w:r w:rsidRPr="00BD6197">
              <w:rPr>
                <w:lang w:val="en-US"/>
              </w:rPr>
              <w:t>44</w:t>
            </w:r>
          </w:p>
        </w:tc>
        <w:tc>
          <w:tcPr>
            <w:tcW w:w="1191" w:type="dxa"/>
          </w:tcPr>
          <w:p w:rsidR="0069427A" w:rsidRPr="00BD6197" w:rsidRDefault="0069427A" w:rsidP="000F2BA7">
            <w:pPr>
              <w:pStyle w:val="Tabletext"/>
              <w:jc w:val="center"/>
              <w:rPr>
                <w:lang w:val="en-US"/>
              </w:rPr>
            </w:pPr>
            <w:r w:rsidRPr="00BD6197">
              <w:rPr>
                <w:lang w:val="en-US"/>
              </w:rPr>
              <w:t>53</w:t>
            </w:r>
          </w:p>
        </w:tc>
        <w:tc>
          <w:tcPr>
            <w:tcW w:w="1191" w:type="dxa"/>
          </w:tcPr>
          <w:p w:rsidR="0069427A" w:rsidRPr="00BD6197" w:rsidRDefault="0069427A" w:rsidP="000F2BA7">
            <w:pPr>
              <w:pStyle w:val="Tabletext"/>
              <w:jc w:val="center"/>
              <w:rPr>
                <w:lang w:val="en-US"/>
              </w:rPr>
            </w:pPr>
            <w:r w:rsidRPr="00BD6197">
              <w:rPr>
                <w:lang w:val="en-US"/>
              </w:rPr>
              <w:t>64</w:t>
            </w:r>
          </w:p>
        </w:tc>
        <w:tc>
          <w:tcPr>
            <w:tcW w:w="1191" w:type="dxa"/>
          </w:tcPr>
          <w:p w:rsidR="0069427A" w:rsidRPr="00BD6197" w:rsidRDefault="0069427A" w:rsidP="000F2BA7">
            <w:pPr>
              <w:pStyle w:val="Tabletext"/>
              <w:jc w:val="center"/>
              <w:rPr>
                <w:lang w:val="en-US"/>
              </w:rPr>
            </w:pPr>
            <w:r w:rsidRPr="00BD6197">
              <w:rPr>
                <w:lang w:val="en-US"/>
              </w:rPr>
              <w:t>80</w:t>
            </w:r>
          </w:p>
        </w:tc>
      </w:tr>
      <w:tr w:rsidR="0069427A" w:rsidRPr="00BD6197" w:rsidTr="000F2BA7">
        <w:trPr>
          <w:cantSplit/>
          <w:trHeight w:val="20"/>
          <w:jc w:val="center"/>
        </w:trPr>
        <w:tc>
          <w:tcPr>
            <w:tcW w:w="1247" w:type="dxa"/>
          </w:tcPr>
          <w:p w:rsidR="0069427A" w:rsidRPr="00BD6197" w:rsidRDefault="0069427A" w:rsidP="000F2BA7">
            <w:pPr>
              <w:pStyle w:val="Tabletext"/>
              <w:jc w:val="center"/>
              <w:rPr>
                <w:lang w:val="en-US"/>
              </w:rPr>
            </w:pPr>
            <w:r w:rsidRPr="00BD6197">
              <w:rPr>
                <w:lang w:val="en-US"/>
              </w:rPr>
              <w:t>50</w:t>
            </w:r>
          </w:p>
        </w:tc>
        <w:tc>
          <w:tcPr>
            <w:tcW w:w="1247" w:type="dxa"/>
          </w:tcPr>
          <w:p w:rsidR="0069427A" w:rsidRPr="00BD6197" w:rsidRDefault="0069427A" w:rsidP="000F2BA7">
            <w:pPr>
              <w:pStyle w:val="Tabletext"/>
              <w:jc w:val="center"/>
              <w:rPr>
                <w:lang w:val="en-US"/>
              </w:rPr>
            </w:pPr>
            <w:r w:rsidRPr="00BD6197">
              <w:rPr>
                <w:lang w:val="en-US"/>
              </w:rPr>
              <w:t>Land</w:t>
            </w:r>
          </w:p>
        </w:tc>
        <w:tc>
          <w:tcPr>
            <w:tcW w:w="1191" w:type="dxa"/>
          </w:tcPr>
          <w:p w:rsidR="0069427A" w:rsidRPr="00BD6197" w:rsidRDefault="0069427A" w:rsidP="000F2BA7">
            <w:pPr>
              <w:pStyle w:val="Tabletext"/>
              <w:jc w:val="center"/>
              <w:rPr>
                <w:lang w:val="en-US"/>
              </w:rPr>
            </w:pPr>
            <w:r w:rsidRPr="00BD6197">
              <w:rPr>
                <w:lang w:val="en-US"/>
              </w:rPr>
              <w:t>15</w:t>
            </w:r>
          </w:p>
        </w:tc>
        <w:tc>
          <w:tcPr>
            <w:tcW w:w="1191" w:type="dxa"/>
          </w:tcPr>
          <w:p w:rsidR="0069427A" w:rsidRPr="00BD6197" w:rsidRDefault="0069427A" w:rsidP="000F2BA7">
            <w:pPr>
              <w:pStyle w:val="Tabletext"/>
              <w:jc w:val="center"/>
              <w:rPr>
                <w:lang w:val="en-US"/>
              </w:rPr>
            </w:pPr>
            <w:r w:rsidRPr="00BD6197">
              <w:rPr>
                <w:lang w:val="en-US"/>
              </w:rPr>
              <w:t>19</w:t>
            </w:r>
          </w:p>
        </w:tc>
        <w:tc>
          <w:tcPr>
            <w:tcW w:w="1191" w:type="dxa"/>
          </w:tcPr>
          <w:p w:rsidR="0069427A" w:rsidRPr="00BD6197" w:rsidRDefault="0069427A" w:rsidP="000F2BA7">
            <w:pPr>
              <w:pStyle w:val="Tabletext"/>
              <w:jc w:val="center"/>
              <w:rPr>
                <w:lang w:val="en-US"/>
              </w:rPr>
            </w:pPr>
            <w:r w:rsidRPr="00BD6197">
              <w:rPr>
                <w:lang w:val="en-US"/>
              </w:rPr>
              <w:t>27</w:t>
            </w:r>
          </w:p>
        </w:tc>
        <w:tc>
          <w:tcPr>
            <w:tcW w:w="1191" w:type="dxa"/>
          </w:tcPr>
          <w:p w:rsidR="0069427A" w:rsidRPr="00BD6197" w:rsidRDefault="0069427A" w:rsidP="000F2BA7">
            <w:pPr>
              <w:pStyle w:val="Tabletext"/>
              <w:jc w:val="center"/>
              <w:rPr>
                <w:lang w:val="en-US"/>
              </w:rPr>
            </w:pPr>
            <w:r w:rsidRPr="00BD6197">
              <w:rPr>
                <w:lang w:val="en-US"/>
              </w:rPr>
              <w:t>35</w:t>
            </w:r>
          </w:p>
        </w:tc>
        <w:tc>
          <w:tcPr>
            <w:tcW w:w="1191" w:type="dxa"/>
          </w:tcPr>
          <w:p w:rsidR="0069427A" w:rsidRPr="00BD6197" w:rsidRDefault="0069427A" w:rsidP="000F2BA7">
            <w:pPr>
              <w:pStyle w:val="Tabletext"/>
              <w:jc w:val="center"/>
              <w:rPr>
                <w:lang w:val="en-US"/>
              </w:rPr>
            </w:pPr>
            <w:r w:rsidRPr="00BD6197">
              <w:rPr>
                <w:lang w:val="en-US"/>
              </w:rPr>
              <w:t>47</w:t>
            </w:r>
          </w:p>
        </w:tc>
        <w:tc>
          <w:tcPr>
            <w:tcW w:w="1191" w:type="dxa"/>
          </w:tcPr>
          <w:p w:rsidR="0069427A" w:rsidRPr="00BD6197" w:rsidRDefault="0069427A" w:rsidP="000F2BA7">
            <w:pPr>
              <w:pStyle w:val="Tabletext"/>
              <w:jc w:val="center"/>
              <w:rPr>
                <w:lang w:val="en-US"/>
              </w:rPr>
            </w:pPr>
            <w:r w:rsidRPr="00BD6197">
              <w:rPr>
                <w:lang w:val="en-US"/>
              </w:rPr>
              <w:t>61</w:t>
            </w:r>
          </w:p>
        </w:tc>
      </w:tr>
      <w:tr w:rsidR="0069427A" w:rsidRPr="00BD6197" w:rsidTr="000F2BA7">
        <w:trPr>
          <w:cantSplit/>
          <w:trHeight w:val="20"/>
          <w:jc w:val="center"/>
        </w:trPr>
        <w:tc>
          <w:tcPr>
            <w:tcW w:w="1247" w:type="dxa"/>
          </w:tcPr>
          <w:p w:rsidR="0069427A" w:rsidRPr="00BD6197" w:rsidRDefault="0069427A" w:rsidP="000F2BA7">
            <w:pPr>
              <w:pStyle w:val="Tabletext"/>
              <w:jc w:val="center"/>
              <w:rPr>
                <w:lang w:val="en-US"/>
              </w:rPr>
            </w:pPr>
          </w:p>
        </w:tc>
        <w:tc>
          <w:tcPr>
            <w:tcW w:w="1247" w:type="dxa"/>
          </w:tcPr>
          <w:p w:rsidR="0069427A" w:rsidRPr="00BD6197" w:rsidRDefault="0069427A" w:rsidP="000F2BA7">
            <w:pPr>
              <w:pStyle w:val="Tabletext"/>
              <w:jc w:val="center"/>
              <w:rPr>
                <w:lang w:val="en-US"/>
              </w:rPr>
            </w:pPr>
            <w:r w:rsidRPr="00BD6197">
              <w:rPr>
                <w:lang w:val="en-US"/>
              </w:rPr>
              <w:t>Sea</w:t>
            </w:r>
          </w:p>
        </w:tc>
        <w:tc>
          <w:tcPr>
            <w:tcW w:w="1191" w:type="dxa"/>
          </w:tcPr>
          <w:p w:rsidR="0069427A" w:rsidRPr="00BD6197" w:rsidRDefault="0069427A" w:rsidP="000F2BA7">
            <w:pPr>
              <w:pStyle w:val="Tabletext"/>
              <w:jc w:val="center"/>
              <w:rPr>
                <w:lang w:val="en-US"/>
              </w:rPr>
            </w:pPr>
            <w:r w:rsidRPr="00BD6197">
              <w:rPr>
                <w:lang w:val="en-US"/>
              </w:rPr>
              <w:t>32</w:t>
            </w:r>
          </w:p>
        </w:tc>
        <w:tc>
          <w:tcPr>
            <w:tcW w:w="1191" w:type="dxa"/>
          </w:tcPr>
          <w:p w:rsidR="0069427A" w:rsidRPr="00BD6197" w:rsidRDefault="0069427A" w:rsidP="000F2BA7">
            <w:pPr>
              <w:pStyle w:val="Tabletext"/>
              <w:jc w:val="center"/>
              <w:rPr>
                <w:lang w:val="en-US"/>
              </w:rPr>
            </w:pPr>
            <w:r w:rsidRPr="00BD6197">
              <w:rPr>
                <w:lang w:val="en-US"/>
              </w:rPr>
              <w:t>37</w:t>
            </w:r>
          </w:p>
        </w:tc>
        <w:tc>
          <w:tcPr>
            <w:tcW w:w="1191" w:type="dxa"/>
          </w:tcPr>
          <w:p w:rsidR="0069427A" w:rsidRPr="00BD6197" w:rsidRDefault="0069427A" w:rsidP="000F2BA7">
            <w:pPr>
              <w:pStyle w:val="Tabletext"/>
              <w:jc w:val="center"/>
              <w:rPr>
                <w:lang w:val="en-US"/>
              </w:rPr>
            </w:pPr>
            <w:r w:rsidRPr="00BD6197">
              <w:rPr>
                <w:lang w:val="en-US"/>
              </w:rPr>
              <w:t>45</w:t>
            </w:r>
          </w:p>
        </w:tc>
        <w:tc>
          <w:tcPr>
            <w:tcW w:w="1191" w:type="dxa"/>
          </w:tcPr>
          <w:p w:rsidR="0069427A" w:rsidRPr="00BD6197" w:rsidRDefault="0069427A" w:rsidP="000F2BA7">
            <w:pPr>
              <w:pStyle w:val="Tabletext"/>
              <w:jc w:val="center"/>
              <w:rPr>
                <w:lang w:val="en-US"/>
              </w:rPr>
            </w:pPr>
            <w:r w:rsidRPr="00BD6197">
              <w:rPr>
                <w:lang w:val="en-US"/>
              </w:rPr>
              <w:t>55</w:t>
            </w:r>
          </w:p>
        </w:tc>
        <w:tc>
          <w:tcPr>
            <w:tcW w:w="1191" w:type="dxa"/>
          </w:tcPr>
          <w:p w:rsidR="0069427A" w:rsidRPr="00BD6197" w:rsidRDefault="0069427A" w:rsidP="000F2BA7">
            <w:pPr>
              <w:pStyle w:val="Tabletext"/>
              <w:jc w:val="center"/>
              <w:rPr>
                <w:lang w:val="en-US"/>
              </w:rPr>
            </w:pPr>
            <w:r w:rsidRPr="00BD6197">
              <w:rPr>
                <w:lang w:val="en-US"/>
              </w:rPr>
              <w:t>66</w:t>
            </w:r>
          </w:p>
        </w:tc>
        <w:tc>
          <w:tcPr>
            <w:tcW w:w="1191" w:type="dxa"/>
          </w:tcPr>
          <w:p w:rsidR="0069427A" w:rsidRPr="00BD6197" w:rsidRDefault="0069427A" w:rsidP="000F2BA7">
            <w:pPr>
              <w:pStyle w:val="Tabletext"/>
              <w:jc w:val="center"/>
              <w:rPr>
                <w:lang w:val="en-US"/>
              </w:rPr>
            </w:pPr>
            <w:r w:rsidRPr="00BD6197">
              <w:rPr>
                <w:lang w:val="en-US"/>
              </w:rPr>
              <w:t>82</w:t>
            </w:r>
          </w:p>
        </w:tc>
      </w:tr>
    </w:tbl>
    <w:p w:rsidR="0069427A" w:rsidRPr="00BD6197" w:rsidRDefault="0069427A" w:rsidP="0069427A">
      <w:pPr>
        <w:pStyle w:val="Tablefin"/>
        <w:rPr>
          <w:lang w:val="en-US"/>
        </w:rPr>
      </w:pPr>
    </w:p>
    <w:p w:rsidR="0069427A" w:rsidRPr="00BD6197" w:rsidRDefault="0069427A" w:rsidP="0069427A">
      <w:pPr>
        <w:rPr>
          <w:lang w:val="en-US"/>
        </w:rPr>
      </w:pPr>
      <w:r w:rsidRPr="00BD6197">
        <w:rPr>
          <w:lang w:val="en-US"/>
        </w:rPr>
        <w:t xml:space="preserve">It is necessary to note that a land half-circle area of a coast station is only occupied but not service one because there are no ship stations there. Therefore its subdivision to different zones belonging to different license fees categories (like it is presented in </w:t>
      </w:r>
      <w:bookmarkStart w:id="1669" w:name="OLE_LINK1"/>
      <w:bookmarkStart w:id="1670" w:name="OLE_LINK2"/>
      <w:r w:rsidRPr="00BD6197">
        <w:rPr>
          <w:lang w:val="en-US"/>
        </w:rPr>
        <w:t>§ 4.7.1</w:t>
      </w:r>
      <w:bookmarkEnd w:id="1669"/>
      <w:bookmarkEnd w:id="1670"/>
      <w:r w:rsidRPr="00BD6197">
        <w:rPr>
          <w:lang w:val="en-US"/>
        </w:rPr>
        <w:t xml:space="preserve">(c)) can be eliminated and the only one category, corresponding to the largest occupied area, can be used. Moreover, an administration may decide not to include this land half-circle area to territorial resource used. In this case radius </w:t>
      </w:r>
      <w:r w:rsidRPr="00BD6197">
        <w:rPr>
          <w:i/>
          <w:iCs/>
          <w:lang w:val="en-US"/>
        </w:rPr>
        <w:t>R</w:t>
      </w:r>
      <w:r w:rsidRPr="00BD6197">
        <w:rPr>
          <w:i/>
          <w:iCs/>
          <w:vertAlign w:val="subscript"/>
          <w:lang w:val="en-US"/>
        </w:rPr>
        <w:t xml:space="preserve">l </w:t>
      </w:r>
      <w:r w:rsidRPr="00BD6197">
        <w:rPr>
          <w:lang w:val="en-US"/>
        </w:rPr>
        <w:t xml:space="preserve"> in equation (47) should be equal zero.</w:t>
      </w:r>
    </w:p>
    <w:p w:rsidR="0069427A" w:rsidRPr="00BD6197" w:rsidRDefault="0069427A" w:rsidP="0069427A">
      <w:pPr>
        <w:rPr>
          <w:lang w:val="en-US"/>
        </w:rPr>
      </w:pPr>
      <w:r w:rsidRPr="00BD6197">
        <w:rPr>
          <w:lang w:val="en-US"/>
        </w:rPr>
        <w:t>For coast stations situated along rivers or and rather narrow lakes the whole circular service/ occupied are is calculated by land propagation paths radius, i.e.:</w:t>
      </w:r>
    </w:p>
    <w:p w:rsidR="0069427A" w:rsidRPr="00BD6197" w:rsidRDefault="0069427A" w:rsidP="0069427A">
      <w:pPr>
        <w:pStyle w:val="Equation"/>
        <w:rPr>
          <w:lang w:val="en-US"/>
        </w:rPr>
      </w:pPr>
      <w:r w:rsidRPr="00BD6197">
        <w:rPr>
          <w:lang w:val="en-US"/>
        </w:rPr>
        <w:tab/>
      </w:r>
      <w:r w:rsidRPr="00BD6197">
        <w:rPr>
          <w:lang w:val="en-US"/>
        </w:rPr>
        <w:tab/>
      </w:r>
      <w:r w:rsidRPr="00BD6197">
        <w:rPr>
          <w:position w:val="-12"/>
          <w:lang w:val="en-US"/>
        </w:rPr>
        <w:object w:dxaOrig="2439" w:dyaOrig="420">
          <v:shape id="_x0000_i1067" type="#_x0000_t75" style="width:120pt;height:21.75pt" o:ole="">
            <v:imagedata r:id="rId104" o:title=""/>
          </v:shape>
          <o:OLEObject Type="Embed" ProgID="Equation.3" ShapeID="_x0000_i1067" DrawAspect="Content" ObjectID="_1604325021" r:id="rId105"/>
        </w:object>
      </w:r>
      <w:r w:rsidRPr="00BD6197">
        <w:rPr>
          <w:lang w:val="en-US"/>
        </w:rPr>
        <w:tab/>
        <w:t>(48)</w:t>
      </w:r>
    </w:p>
    <w:p w:rsidR="0069427A" w:rsidRPr="00A01420" w:rsidRDefault="0069427A" w:rsidP="0069427A">
      <w:pPr>
        <w:pStyle w:val="Headingb"/>
        <w:rPr>
          <w:lang w:val="en-US"/>
        </w:rPr>
      </w:pPr>
      <w:bookmarkStart w:id="1671" w:name="_Toc454284923"/>
      <w:bookmarkStart w:id="1672" w:name="_Toc462234092"/>
      <w:r w:rsidRPr="00A01420">
        <w:rPr>
          <w:lang w:val="en-US"/>
        </w:rPr>
        <w:t>b)</w:t>
      </w:r>
      <w:r w:rsidRPr="00A01420">
        <w:rPr>
          <w:lang w:val="en-US"/>
        </w:rPr>
        <w:tab/>
        <w:t>Calculation procedures</w:t>
      </w:r>
      <w:bookmarkEnd w:id="1671"/>
      <w:bookmarkEnd w:id="1672"/>
    </w:p>
    <w:p w:rsidR="0069427A" w:rsidRPr="00BD6197" w:rsidRDefault="0069427A" w:rsidP="0069427A">
      <w:pPr>
        <w:rPr>
          <w:lang w:val="en-US"/>
        </w:rPr>
      </w:pPr>
      <w:r w:rsidRPr="00BD6197">
        <w:rPr>
          <w:lang w:val="en-US"/>
        </w:rPr>
        <w:t>Using known transmitter power and its antenna height above the sea level, relevant service area radius by see can be determined directly from Table 12. The usual procedure of linear interpolation can be used for intermediate power and height values. Based on this radius service area for a ship station or see half-circle service area for a coast station can be calculated by equations (46) or (47). For determination of a land half-circle radius for the coast station, antenna effective height against the terrain should be firstly calculated in accordance with methodology, presented in (b). For this particular application, the procedure can be simplified by calculation of effective terrain height only in one direction to be perpendicular to a generalized shoreline (see example below). After determination by Table 12 of relevant land half-circle radius, overall service/occupied area then can be calculated by equation (47).</w:t>
      </w:r>
    </w:p>
    <w:p w:rsidR="0069427A" w:rsidRPr="00BD6197" w:rsidRDefault="0069427A" w:rsidP="0069427A">
      <w:pPr>
        <w:pStyle w:val="Heading4"/>
        <w:rPr>
          <w:lang w:val="en-US"/>
        </w:rPr>
      </w:pPr>
      <w:r w:rsidRPr="00BD6197">
        <w:rPr>
          <w:lang w:val="en-US"/>
        </w:rPr>
        <w:t>4.7.5.1</w:t>
      </w:r>
      <w:r w:rsidRPr="00BD6197">
        <w:rPr>
          <w:lang w:val="en-US"/>
        </w:rPr>
        <w:tab/>
        <w:t>Example of calculations</w:t>
      </w:r>
    </w:p>
    <w:p w:rsidR="0069427A" w:rsidRPr="00A01420" w:rsidRDefault="0069427A" w:rsidP="0069427A">
      <w:pPr>
        <w:pStyle w:val="Headingb"/>
        <w:rPr>
          <w:lang w:val="en-US"/>
        </w:rPr>
      </w:pPr>
      <w:bookmarkStart w:id="1673" w:name="_Toc454284924"/>
      <w:bookmarkStart w:id="1674" w:name="_Toc462234093"/>
      <w:r w:rsidRPr="00A01420">
        <w:rPr>
          <w:lang w:val="en-US"/>
        </w:rPr>
        <w:t>a)</w:t>
      </w:r>
      <w:r w:rsidRPr="00A01420">
        <w:rPr>
          <w:lang w:val="en-US"/>
        </w:rPr>
        <w:tab/>
        <w:t>Incoming parameters</w:t>
      </w:r>
      <w:bookmarkEnd w:id="1673"/>
      <w:bookmarkEnd w:id="1674"/>
    </w:p>
    <w:p w:rsidR="0069427A" w:rsidRPr="00BD6197" w:rsidRDefault="0069427A" w:rsidP="0069427A">
      <w:pPr>
        <w:rPr>
          <w:lang w:val="en-US"/>
        </w:rPr>
      </w:pPr>
      <w:r w:rsidRPr="00BD6197">
        <w:rPr>
          <w:lang w:val="en-US"/>
        </w:rPr>
        <w:t xml:space="preserve">Let us calculate a spectral resource used by a VHF coast station situated in rural but highly developed area (let coefficient </w:t>
      </w:r>
      <w:r w:rsidRPr="00BD6197">
        <w:rPr>
          <w:i/>
          <w:iCs/>
          <w:lang w:val="en-US"/>
        </w:rPr>
        <w:t>b</w:t>
      </w:r>
      <w:r w:rsidRPr="00BD6197">
        <w:rPr>
          <w:i/>
          <w:iCs/>
          <w:vertAlign w:val="subscript"/>
          <w:lang w:val="en-US"/>
        </w:rPr>
        <w:t xml:space="preserve">j </w:t>
      </w:r>
      <w:r w:rsidRPr="00BD6197">
        <w:rPr>
          <w:lang w:val="en-US"/>
        </w:rPr>
        <w:t xml:space="preserve">= 1 in Table 1) near the shoreline generally stretched in East to West direction, see is southward. Let us assume that transmitting antenna, having mast height 30 m, situated at the </w:t>
      </w:r>
      <w:r w:rsidRPr="00BD6197">
        <w:rPr>
          <w:lang w:val="en-US"/>
        </w:rPr>
        <w:lastRenderedPageBreak/>
        <w:t xml:space="preserve">top of a hill with ground height 270 m above the sea level. Terrain situation around the transmitter corresponds to example presented in (b), i.e. effective height of the ground between distances of 3 and 15 km in the northern direction from the transmitter, calculated from column “North” of Table 10, equals to 265 m. In accordance with § 4.7.1(b) for this application it represents average level of the ground, </w:t>
      </w:r>
      <w:r w:rsidRPr="00BD6197">
        <w:rPr>
          <w:i/>
          <w:lang w:val="en-US"/>
        </w:rPr>
        <w:t>h</w:t>
      </w:r>
      <w:r w:rsidRPr="00BD6197">
        <w:rPr>
          <w:i/>
          <w:vertAlign w:val="subscript"/>
          <w:lang w:val="en-US"/>
        </w:rPr>
        <w:t>av</w:t>
      </w:r>
      <w:r w:rsidRPr="00BD6197">
        <w:rPr>
          <w:lang w:val="en-US"/>
        </w:rPr>
        <w:t>, in equation (30).</w:t>
      </w:r>
    </w:p>
    <w:p w:rsidR="0069427A" w:rsidRPr="00BD6197" w:rsidRDefault="0069427A" w:rsidP="0077268D">
      <w:pPr>
        <w:rPr>
          <w:b/>
          <w:bCs/>
          <w:lang w:val="en-US"/>
        </w:rPr>
      </w:pPr>
      <w:r w:rsidRPr="00BD6197">
        <w:rPr>
          <w:lang w:val="en-US"/>
        </w:rPr>
        <w:t xml:space="preserve">Let us further assume that the transmitter power is 50 W and it works around the clock. Modulation conditions correspond to Recommendation ITU-R M.489-2: class of emission F3E, deviation </w:t>
      </w:r>
      <w:r w:rsidRPr="00BD6197">
        <w:rPr>
          <w:lang w:val="en-US"/>
        </w:rPr>
        <w:sym w:font="Symbol" w:char="F0B1"/>
      </w:r>
      <w:r w:rsidRPr="00BD6197">
        <w:rPr>
          <w:lang w:val="en-US"/>
        </w:rPr>
        <w:t>5 kHz, necessary bandwidth 16 kHz. That also corresponds to Recommendation ITU</w:t>
      </w:r>
      <w:r w:rsidRPr="00BD6197">
        <w:rPr>
          <w:lang w:val="en-US"/>
        </w:rPr>
        <w:noBreakHyphen/>
        <w:t>R SM.1138</w:t>
      </w:r>
      <w:r w:rsidRPr="00BD6197">
        <w:rPr>
          <w:lang w:val="en-US"/>
        </w:rPr>
        <w:noBreakHyphen/>
        <w:t>2 under Section III-A “Frequency modulation”, Item 2 “Telephony (commercial quality)” (class of emission F3E).</w:t>
      </w:r>
    </w:p>
    <w:p w:rsidR="0069427A" w:rsidRPr="00A01420" w:rsidRDefault="0069427A" w:rsidP="0069427A">
      <w:pPr>
        <w:pStyle w:val="Headingb"/>
        <w:rPr>
          <w:rFonts w:eastAsia="SimSun"/>
          <w:lang w:val="en-US"/>
        </w:rPr>
      </w:pPr>
      <w:bookmarkStart w:id="1675" w:name="_Toc454284925"/>
      <w:bookmarkStart w:id="1676" w:name="_Toc462234094"/>
      <w:r w:rsidRPr="00A01420">
        <w:rPr>
          <w:rFonts w:eastAsia="SimSun"/>
          <w:lang w:val="en-US"/>
        </w:rPr>
        <w:t>b)</w:t>
      </w:r>
      <w:r w:rsidRPr="00A01420">
        <w:rPr>
          <w:rFonts w:eastAsia="SimSun"/>
          <w:lang w:val="en-US"/>
        </w:rPr>
        <w:tab/>
        <w:t>Time and frequency resources used</w:t>
      </w:r>
      <w:bookmarkEnd w:id="1675"/>
      <w:bookmarkEnd w:id="1676"/>
    </w:p>
    <w:p w:rsidR="0069427A" w:rsidRPr="00BD6197" w:rsidRDefault="0069427A" w:rsidP="0069427A">
      <w:pPr>
        <w:rPr>
          <w:lang w:val="en-US"/>
        </w:rPr>
      </w:pPr>
      <w:r w:rsidRPr="00BD6197">
        <w:rPr>
          <w:lang w:val="en-US"/>
        </w:rPr>
        <w:t>In accordance with equation (21), used time resource is:</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lang w:val="en-US"/>
        </w:rPr>
        <w:tab/>
      </w:r>
      <w:r w:rsidRPr="00BD6197">
        <w:rPr>
          <w:lang w:val="en-US"/>
        </w:rPr>
        <w:tab/>
      </w:r>
      <w:r w:rsidRPr="00BD6197">
        <w:rPr>
          <w:i/>
          <w:lang w:val="en-US"/>
        </w:rPr>
        <w:t>T</w:t>
      </w:r>
      <w:r w:rsidRPr="00BD6197">
        <w:rPr>
          <w:lang w:val="en-US"/>
        </w:rPr>
        <w:t xml:space="preserve"> = 24/24 (each day) = 1 year</w:t>
      </w:r>
    </w:p>
    <w:p w:rsidR="0069427A" w:rsidRPr="00BD6197" w:rsidRDefault="0069427A" w:rsidP="0069427A">
      <w:pPr>
        <w:pStyle w:val="Blanc"/>
        <w:rPr>
          <w:lang w:val="en-US"/>
        </w:rPr>
      </w:pPr>
    </w:p>
    <w:p w:rsidR="0069427A" w:rsidRPr="00BD6197" w:rsidRDefault="0069427A" w:rsidP="0069427A">
      <w:pPr>
        <w:rPr>
          <w:lang w:val="en-US"/>
        </w:rPr>
      </w:pPr>
      <w:r w:rsidRPr="00BD6197">
        <w:rPr>
          <w:lang w:val="en-US"/>
        </w:rPr>
        <w:t>Used frequency resource, accepting in equation (24) </w:t>
      </w:r>
      <w:r w:rsidRPr="00BD6197">
        <w:rPr>
          <w:lang w:val="en-US"/>
        </w:rPr>
        <w:sym w:font="Symbol" w:char="F063"/>
      </w:r>
      <w:r w:rsidRPr="00BD6197">
        <w:rPr>
          <w:lang w:val="en-US"/>
        </w:rPr>
        <w:t xml:space="preserve"> = 1, can be found as:</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lang w:val="en-US"/>
        </w:rPr>
        <w:tab/>
      </w:r>
      <w:r w:rsidRPr="00BD6197">
        <w:rPr>
          <w:lang w:val="en-US"/>
        </w:rPr>
        <w:tab/>
      </w:r>
      <w:r w:rsidRPr="00BD6197">
        <w:rPr>
          <w:i/>
          <w:lang w:val="en-US"/>
        </w:rPr>
        <w:t>F</w:t>
      </w:r>
      <w:r w:rsidRPr="00BD6197">
        <w:rPr>
          <w:lang w:val="en-US"/>
        </w:rPr>
        <w:t xml:space="preserve"> =  0.016 MHz</w:t>
      </w:r>
    </w:p>
    <w:p w:rsidR="0069427A" w:rsidRPr="00BD6197" w:rsidRDefault="0069427A" w:rsidP="0069427A">
      <w:pPr>
        <w:pStyle w:val="Blanc"/>
        <w:rPr>
          <w:lang w:val="en-US"/>
        </w:rPr>
      </w:pPr>
    </w:p>
    <w:p w:rsidR="0069427A" w:rsidRPr="00A01420" w:rsidRDefault="0069427A" w:rsidP="0069427A">
      <w:pPr>
        <w:pStyle w:val="Headingb"/>
        <w:rPr>
          <w:rFonts w:eastAsia="SimSun"/>
          <w:lang w:val="en-US"/>
        </w:rPr>
      </w:pPr>
      <w:bookmarkStart w:id="1677" w:name="_Toc454284926"/>
      <w:bookmarkStart w:id="1678" w:name="_Toc462234095"/>
      <w:r w:rsidRPr="00A01420">
        <w:rPr>
          <w:rFonts w:eastAsia="SimSun"/>
          <w:lang w:val="en-US"/>
        </w:rPr>
        <w:t>c)</w:t>
      </w:r>
      <w:r w:rsidRPr="00A01420">
        <w:rPr>
          <w:rFonts w:eastAsia="SimSun"/>
          <w:lang w:val="en-US"/>
        </w:rPr>
        <w:tab/>
        <w:t>Territorial resource used</w:t>
      </w:r>
      <w:bookmarkEnd w:id="1677"/>
      <w:bookmarkEnd w:id="1678"/>
    </w:p>
    <w:p w:rsidR="0069427A" w:rsidRPr="00BD6197" w:rsidRDefault="0069427A" w:rsidP="0069427A">
      <w:pPr>
        <w:rPr>
          <w:lang w:val="en-US"/>
        </w:rPr>
      </w:pPr>
      <w:r w:rsidRPr="00BD6197">
        <w:rPr>
          <w:szCs w:val="24"/>
          <w:lang w:val="en-US"/>
        </w:rPr>
        <w:t>Following approach and data presented for</w:t>
      </w:r>
      <w:r w:rsidRPr="00BD6197">
        <w:rPr>
          <w:lang w:val="en-US"/>
        </w:rPr>
        <w:t xml:space="preserve"> effective antenna height for sea propagation paths equals to sum of antenna mast and site ground heights, i.e. (see also b)):</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lang w:val="en-US"/>
        </w:rPr>
        <w:tab/>
      </w:r>
      <w:r w:rsidRPr="00BD6197">
        <w:rPr>
          <w:lang w:val="en-US"/>
        </w:rPr>
        <w:tab/>
      </w:r>
      <w:r w:rsidRPr="00BD6197">
        <w:rPr>
          <w:i/>
          <w:lang w:val="en-US"/>
        </w:rPr>
        <w:t>h</w:t>
      </w:r>
      <w:r w:rsidRPr="00BD6197">
        <w:rPr>
          <w:i/>
          <w:vertAlign w:val="subscript"/>
          <w:lang w:val="en-US"/>
        </w:rPr>
        <w:t>ef</w:t>
      </w:r>
      <w:r w:rsidRPr="00BD6197">
        <w:rPr>
          <w:lang w:val="en-US"/>
        </w:rPr>
        <w:t xml:space="preserve"> = </w:t>
      </w:r>
      <w:r w:rsidRPr="00BD6197">
        <w:rPr>
          <w:i/>
          <w:lang w:val="en-US"/>
        </w:rPr>
        <w:t>h</w:t>
      </w:r>
      <w:r w:rsidRPr="00BD6197">
        <w:rPr>
          <w:i/>
          <w:vertAlign w:val="subscript"/>
          <w:lang w:val="en-US"/>
        </w:rPr>
        <w:t>s</w:t>
      </w:r>
      <w:r w:rsidRPr="00BD6197">
        <w:rPr>
          <w:lang w:val="en-US"/>
        </w:rPr>
        <w:t xml:space="preserve"> = 30 + 230 = 300 m</w:t>
      </w:r>
    </w:p>
    <w:p w:rsidR="0069427A" w:rsidRPr="00BD6197" w:rsidRDefault="0069427A" w:rsidP="0069427A">
      <w:pPr>
        <w:pStyle w:val="Blanc"/>
        <w:rPr>
          <w:lang w:val="en-US"/>
        </w:rPr>
      </w:pPr>
    </w:p>
    <w:p w:rsidR="0069427A" w:rsidRPr="00BD6197" w:rsidRDefault="0069427A" w:rsidP="0069427A">
      <w:pPr>
        <w:rPr>
          <w:lang w:val="en-US"/>
        </w:rPr>
      </w:pPr>
      <w:r w:rsidRPr="00BD6197">
        <w:rPr>
          <w:lang w:val="en-US"/>
        </w:rPr>
        <w:t xml:space="preserve">From Table 12 for transmitter with power 50 W and antenna height 300 m, sea propagation paths, it follows: </w:t>
      </w:r>
      <w:r w:rsidRPr="00BD6197">
        <w:rPr>
          <w:i/>
          <w:lang w:val="en-US"/>
        </w:rPr>
        <w:t>R</w:t>
      </w:r>
      <w:r w:rsidRPr="00BD6197">
        <w:rPr>
          <w:i/>
          <w:vertAlign w:val="subscript"/>
          <w:lang w:val="en-US"/>
        </w:rPr>
        <w:t>s</w:t>
      </w:r>
      <w:r w:rsidRPr="00BD6197">
        <w:rPr>
          <w:lang w:val="en-US"/>
        </w:rPr>
        <w:t xml:space="preserve"> = 82 km.</w:t>
      </w:r>
    </w:p>
    <w:p w:rsidR="0069427A" w:rsidRPr="00BD6197" w:rsidRDefault="0069427A" w:rsidP="0069427A">
      <w:pPr>
        <w:rPr>
          <w:lang w:val="en-US"/>
        </w:rPr>
      </w:pPr>
      <w:r w:rsidRPr="00BD6197">
        <w:rPr>
          <w:lang w:val="en-US"/>
        </w:rPr>
        <w:t>For land propagation paths in accordance with data and equation (30):</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i/>
          <w:lang w:val="en-US"/>
        </w:rPr>
        <w:tab/>
      </w:r>
      <w:r w:rsidRPr="00BD6197">
        <w:rPr>
          <w:i/>
          <w:lang w:val="en-US"/>
        </w:rPr>
        <w:tab/>
        <w:t>h</w:t>
      </w:r>
      <w:r w:rsidRPr="00BD6197">
        <w:rPr>
          <w:i/>
          <w:vertAlign w:val="subscript"/>
          <w:lang w:val="en-US"/>
        </w:rPr>
        <w:t>ef</w:t>
      </w:r>
      <w:r w:rsidRPr="00BD6197">
        <w:rPr>
          <w:lang w:val="en-US"/>
        </w:rPr>
        <w:t xml:space="preserve"> = 300 m – 265 m = 35 m </w:t>
      </w:r>
      <w:r w:rsidRPr="00BD6197">
        <w:rPr>
          <w:position w:val="-4"/>
          <w:lang w:val="en-US"/>
        </w:rPr>
        <w:object w:dxaOrig="200" w:dyaOrig="200">
          <v:shape id="_x0000_i1068" type="#_x0000_t75" style="width:9.75pt;height:9.75pt" o:ole="">
            <v:imagedata r:id="rId106" o:title=""/>
          </v:shape>
          <o:OLEObject Type="Embed" ProgID="Equation.3" ShapeID="_x0000_i1068" DrawAspect="Content" ObjectID="_1604325022" r:id="rId107"/>
        </w:object>
      </w:r>
      <w:r w:rsidRPr="00BD6197">
        <w:rPr>
          <w:lang w:val="en-US"/>
        </w:rPr>
        <w:t xml:space="preserve"> 37.5 m</w:t>
      </w:r>
    </w:p>
    <w:p w:rsidR="0069427A" w:rsidRPr="00BD6197" w:rsidRDefault="0069427A" w:rsidP="0069427A">
      <w:pPr>
        <w:pStyle w:val="Blanc"/>
        <w:rPr>
          <w:lang w:val="en-US"/>
        </w:rPr>
      </w:pPr>
    </w:p>
    <w:p w:rsidR="0069427A" w:rsidRPr="00BD6197" w:rsidRDefault="0069427A" w:rsidP="0069427A">
      <w:pPr>
        <w:rPr>
          <w:lang w:val="en-US"/>
        </w:rPr>
      </w:pPr>
      <w:r w:rsidRPr="00BD6197">
        <w:rPr>
          <w:lang w:val="en-US"/>
        </w:rPr>
        <w:t xml:space="preserve">From Table 12 for transmitter with power 50 W and antenna height 37.5 m, land propagation paths, it follows: </w:t>
      </w:r>
      <w:r w:rsidRPr="00BD6197">
        <w:rPr>
          <w:i/>
          <w:lang w:val="en-US"/>
        </w:rPr>
        <w:t>R</w:t>
      </w:r>
      <w:r w:rsidRPr="00BD6197">
        <w:rPr>
          <w:i/>
          <w:vertAlign w:val="subscript"/>
          <w:lang w:val="en-US"/>
        </w:rPr>
        <w:t>l</w:t>
      </w:r>
      <w:r w:rsidRPr="00BD6197">
        <w:rPr>
          <w:lang w:val="en-US"/>
        </w:rPr>
        <w:t xml:space="preserve"> = 27 km.</w:t>
      </w:r>
    </w:p>
    <w:p w:rsidR="0069427A" w:rsidRPr="00BD6197" w:rsidRDefault="0069427A" w:rsidP="0069427A">
      <w:pPr>
        <w:rPr>
          <w:lang w:val="en-US"/>
        </w:rPr>
      </w:pPr>
      <w:r w:rsidRPr="00BD6197">
        <w:rPr>
          <w:lang w:val="en-US"/>
        </w:rPr>
        <w:t>Substituting calculated radiuses to equation (47) we get:</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lang w:val="en-US"/>
        </w:rPr>
        <w:tab/>
      </w:r>
      <w:r w:rsidRPr="00BD6197">
        <w:rPr>
          <w:lang w:val="en-US"/>
        </w:rPr>
        <w:tab/>
        <w:t xml:space="preserve">S = 0.5 </w:t>
      </w:r>
      <w:r w:rsidRPr="00BD6197">
        <w:rPr>
          <w:szCs w:val="24"/>
          <w:lang w:val="en-US"/>
        </w:rPr>
        <w:sym w:font="Symbol" w:char="F070"/>
      </w:r>
      <w:r w:rsidRPr="00BD6197">
        <w:rPr>
          <w:lang w:val="en-US"/>
        </w:rPr>
        <w:t xml:space="preserve"> (82</w:t>
      </w:r>
      <w:r w:rsidRPr="00BD6197">
        <w:rPr>
          <w:szCs w:val="24"/>
          <w:vertAlign w:val="superscript"/>
          <w:lang w:val="en-US"/>
        </w:rPr>
        <w:t>2</w:t>
      </w:r>
      <w:r w:rsidRPr="00BD6197">
        <w:rPr>
          <w:lang w:val="en-US"/>
        </w:rPr>
        <w:t xml:space="preserve"> </w:t>
      </w:r>
      <w:r w:rsidRPr="00BD6197">
        <w:rPr>
          <w:szCs w:val="24"/>
          <w:lang w:val="en-US"/>
        </w:rPr>
        <w:sym w:font="Symbol" w:char="F02B"/>
      </w:r>
      <w:r w:rsidRPr="00BD6197">
        <w:rPr>
          <w:lang w:val="en-US"/>
        </w:rPr>
        <w:t xml:space="preserve"> 27</w:t>
      </w:r>
      <w:r w:rsidRPr="00BD6197">
        <w:rPr>
          <w:szCs w:val="24"/>
          <w:vertAlign w:val="superscript"/>
          <w:lang w:val="en-US"/>
        </w:rPr>
        <w:t>2</w:t>
      </w:r>
      <w:r w:rsidRPr="00BD6197">
        <w:rPr>
          <w:lang w:val="en-US"/>
        </w:rPr>
        <w:t>) = 11 701 km</w:t>
      </w:r>
      <w:r w:rsidRPr="00BD6197">
        <w:rPr>
          <w:szCs w:val="24"/>
          <w:vertAlign w:val="superscript"/>
          <w:lang w:val="en-US"/>
        </w:rPr>
        <w:t>2</w:t>
      </w:r>
    </w:p>
    <w:p w:rsidR="0069427A" w:rsidRPr="00BD6197" w:rsidRDefault="0069427A" w:rsidP="0069427A">
      <w:pPr>
        <w:pStyle w:val="Blanc"/>
        <w:rPr>
          <w:lang w:val="en-US"/>
        </w:rPr>
      </w:pPr>
    </w:p>
    <w:p w:rsidR="0069427A" w:rsidRPr="00BD6197" w:rsidRDefault="0069427A" w:rsidP="0069427A">
      <w:pPr>
        <w:rPr>
          <w:lang w:val="en-US"/>
        </w:rPr>
      </w:pPr>
      <w:r w:rsidRPr="00BD6197">
        <w:rPr>
          <w:lang w:val="en-US"/>
        </w:rPr>
        <w:t xml:space="preserve">and, taking into account that </w:t>
      </w:r>
      <w:r w:rsidRPr="00BD6197">
        <w:rPr>
          <w:i/>
          <w:iCs/>
          <w:lang w:val="en-US"/>
        </w:rPr>
        <w:t>b</w:t>
      </w:r>
      <w:r w:rsidRPr="00BD6197">
        <w:rPr>
          <w:i/>
          <w:iCs/>
          <w:vertAlign w:val="subscript"/>
          <w:lang w:val="en-US"/>
        </w:rPr>
        <w:t>j</w:t>
      </w:r>
      <w:r w:rsidRPr="00BD6197">
        <w:rPr>
          <w:lang w:val="en-US"/>
        </w:rPr>
        <w:t xml:space="preserve"> = 1, from equation (22) it follows:</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i/>
          <w:iCs/>
          <w:lang w:val="en-US"/>
        </w:rPr>
        <w:tab/>
      </w:r>
      <w:r w:rsidRPr="00BD6197">
        <w:rPr>
          <w:i/>
          <w:iCs/>
          <w:lang w:val="en-US"/>
        </w:rPr>
        <w:tab/>
        <w:t>S</w:t>
      </w:r>
      <w:r w:rsidRPr="00BD6197">
        <w:rPr>
          <w:lang w:val="en-US"/>
        </w:rPr>
        <w:t> = </w:t>
      </w:r>
      <w:r w:rsidRPr="00BD6197">
        <w:rPr>
          <w:i/>
          <w:iCs/>
          <w:lang w:val="en-US"/>
        </w:rPr>
        <w:t>s</w:t>
      </w:r>
      <w:r w:rsidRPr="00BD6197">
        <w:rPr>
          <w:lang w:val="en-US"/>
        </w:rPr>
        <w:t> = 11</w:t>
      </w:r>
      <w:r w:rsidRPr="00BD6197">
        <w:rPr>
          <w:rFonts w:ascii="Tms Rmn" w:hAnsi="Tms Rmn"/>
          <w:sz w:val="12"/>
          <w:lang w:val="en-US"/>
        </w:rPr>
        <w:t> </w:t>
      </w:r>
      <w:r w:rsidRPr="00BD6197">
        <w:rPr>
          <w:lang w:val="en-US"/>
        </w:rPr>
        <w:t xml:space="preserve">701 </w:t>
      </w:r>
      <w:r w:rsidRPr="00BD6197">
        <w:rPr>
          <w:bCs/>
          <w:lang w:val="en-US"/>
        </w:rPr>
        <w:t>km</w:t>
      </w:r>
      <w:r w:rsidRPr="00BD6197">
        <w:rPr>
          <w:vertAlign w:val="superscript"/>
          <w:lang w:val="en-US"/>
        </w:rPr>
        <w:t>2</w:t>
      </w:r>
    </w:p>
    <w:p w:rsidR="0069427A" w:rsidRPr="00BD6197" w:rsidRDefault="0069427A" w:rsidP="0069427A">
      <w:pPr>
        <w:pStyle w:val="Blanc"/>
        <w:rPr>
          <w:lang w:val="en-US"/>
        </w:rPr>
      </w:pPr>
    </w:p>
    <w:p w:rsidR="0069427A" w:rsidRPr="00A01420" w:rsidRDefault="0069427A" w:rsidP="0069427A">
      <w:pPr>
        <w:pStyle w:val="Headingb"/>
        <w:rPr>
          <w:rFonts w:eastAsia="SimSun"/>
          <w:lang w:val="en-US"/>
        </w:rPr>
      </w:pPr>
      <w:bookmarkStart w:id="1679" w:name="_Toc454284927"/>
      <w:bookmarkStart w:id="1680" w:name="_Toc462234096"/>
      <w:r w:rsidRPr="00A01420">
        <w:rPr>
          <w:rFonts w:eastAsia="SimSun"/>
          <w:lang w:val="en-US"/>
        </w:rPr>
        <w:t>d)</w:t>
      </w:r>
      <w:r w:rsidRPr="00A01420">
        <w:rPr>
          <w:rFonts w:eastAsia="SimSun"/>
          <w:lang w:val="en-US"/>
        </w:rPr>
        <w:tab/>
        <w:t>Spectral resource used</w:t>
      </w:r>
      <w:bookmarkEnd w:id="1679"/>
      <w:bookmarkEnd w:id="1680"/>
    </w:p>
    <w:p w:rsidR="0069427A" w:rsidRPr="00BD6197" w:rsidRDefault="0069427A" w:rsidP="0069427A">
      <w:pPr>
        <w:rPr>
          <w:lang w:val="en-US"/>
        </w:rPr>
      </w:pPr>
      <w:r w:rsidRPr="00BD6197">
        <w:rPr>
          <w:lang w:val="en-US"/>
        </w:rPr>
        <w:t>Substituting values calculated to equation (20), using values of weighting coefficients presented in Table 2 and taking into account non-sharing conditions (</w:t>
      </w:r>
      <w:r w:rsidRPr="00BD6197">
        <w:rPr>
          <w:rFonts w:ascii="Symbol" w:hAnsi="Symbol"/>
          <w:lang w:val="en-US"/>
        </w:rPr>
        <w:t></w:t>
      </w:r>
      <w:r w:rsidRPr="00BD6197">
        <w:rPr>
          <w:lang w:val="en-US"/>
        </w:rPr>
        <w:t> </w:t>
      </w:r>
      <w:r w:rsidRPr="00BD6197">
        <w:rPr>
          <w:rFonts w:ascii="Symbol" w:hAnsi="Symbol"/>
          <w:lang w:val="en-US"/>
        </w:rPr>
        <w:t></w:t>
      </w:r>
      <w:r w:rsidRPr="00BD6197">
        <w:rPr>
          <w:lang w:val="en-US"/>
        </w:rPr>
        <w:t> 1), we get finally:</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i/>
          <w:lang w:val="en-US"/>
        </w:rPr>
        <w:tab/>
        <w:t>W</w:t>
      </w:r>
      <w:r w:rsidRPr="00BD6197">
        <w:rPr>
          <w:lang w:val="en-US"/>
        </w:rPr>
        <w:t> </w:t>
      </w:r>
      <w:r w:rsidRPr="00BD6197">
        <w:rPr>
          <w:rFonts w:ascii="Symbol" w:hAnsi="Symbol"/>
          <w:lang w:val="en-US"/>
        </w:rPr>
        <w:t></w:t>
      </w:r>
      <w:r w:rsidRPr="00BD6197">
        <w:rPr>
          <w:lang w:val="en-US"/>
        </w:rPr>
        <w:t> 1 × 0.2 × 0.1 × 1 × 1 × 0016 × 11</w:t>
      </w:r>
      <w:r w:rsidRPr="00BD6197">
        <w:rPr>
          <w:rFonts w:ascii="Tms Rmn" w:hAnsi="Tms Rmn"/>
          <w:sz w:val="12"/>
          <w:lang w:val="en-US"/>
        </w:rPr>
        <w:t> </w:t>
      </w:r>
      <w:r w:rsidRPr="00BD6197">
        <w:rPr>
          <w:lang w:val="en-US"/>
        </w:rPr>
        <w:t xml:space="preserve">701 × 1 = 3.7           MHz </w:t>
      </w:r>
      <w:r w:rsidRPr="00BD6197">
        <w:rPr>
          <w:szCs w:val="24"/>
          <w:lang w:val="en-US"/>
        </w:rPr>
        <w:sym w:font="Symbol" w:char="F0D7"/>
      </w:r>
      <w:r w:rsidRPr="00BD6197">
        <w:rPr>
          <w:lang w:val="en-US"/>
        </w:rPr>
        <w:t xml:space="preserve"> km</w:t>
      </w:r>
      <w:r w:rsidRPr="00BD6197">
        <w:rPr>
          <w:vertAlign w:val="superscript"/>
          <w:lang w:val="en-US"/>
        </w:rPr>
        <w:t>2</w:t>
      </w:r>
      <w:r w:rsidRPr="00BD6197">
        <w:rPr>
          <w:lang w:val="en-US"/>
        </w:rPr>
        <w:t xml:space="preserve"> </w:t>
      </w:r>
      <w:r w:rsidRPr="00BD6197">
        <w:rPr>
          <w:szCs w:val="24"/>
          <w:lang w:val="en-US"/>
        </w:rPr>
        <w:sym w:font="Symbol" w:char="F0D7"/>
      </w:r>
      <w:r w:rsidRPr="00BD6197">
        <w:rPr>
          <w:lang w:val="en-US"/>
        </w:rPr>
        <w:t xml:space="preserve"> 1 year</w:t>
      </w:r>
    </w:p>
    <w:p w:rsidR="0069427A" w:rsidRPr="00BD6197" w:rsidRDefault="0069427A" w:rsidP="0069427A">
      <w:pPr>
        <w:pStyle w:val="Heading3"/>
        <w:rPr>
          <w:rFonts w:eastAsia="SimSun"/>
          <w:lang w:val="en-US" w:eastAsia="zh-CN"/>
        </w:rPr>
      </w:pPr>
      <w:bookmarkStart w:id="1681" w:name="_Toc289868848"/>
      <w:bookmarkStart w:id="1682" w:name="_Toc289869008"/>
      <w:bookmarkStart w:id="1683" w:name="_Toc289932316"/>
      <w:bookmarkStart w:id="1684" w:name="_Toc289933362"/>
      <w:bookmarkStart w:id="1685" w:name="_Toc291852925"/>
      <w:bookmarkStart w:id="1686" w:name="_Toc392515911"/>
      <w:bookmarkStart w:id="1687" w:name="_Toc462234097"/>
      <w:bookmarkStart w:id="1688" w:name="_Toc518394238"/>
      <w:r w:rsidRPr="00BD6197">
        <w:rPr>
          <w:rFonts w:eastAsia="SimSun"/>
          <w:lang w:val="en-US" w:eastAsia="zh-CN"/>
        </w:rPr>
        <w:lastRenderedPageBreak/>
        <w:t>4.7.6</w:t>
      </w:r>
      <w:r w:rsidRPr="00BD6197">
        <w:rPr>
          <w:rFonts w:eastAsia="SimSun"/>
          <w:lang w:val="en-US" w:eastAsia="zh-CN"/>
        </w:rPr>
        <w:tab/>
        <w:t>Aeronautical mobile, radionavigation and radiolocation services</w:t>
      </w:r>
      <w:bookmarkEnd w:id="1681"/>
      <w:bookmarkEnd w:id="1682"/>
      <w:bookmarkEnd w:id="1683"/>
      <w:bookmarkEnd w:id="1684"/>
      <w:bookmarkEnd w:id="1685"/>
      <w:bookmarkEnd w:id="1686"/>
      <w:bookmarkEnd w:id="1687"/>
      <w:bookmarkEnd w:id="1688"/>
    </w:p>
    <w:p w:rsidR="0069427A" w:rsidRPr="00A01420" w:rsidRDefault="0069427A" w:rsidP="0069427A">
      <w:pPr>
        <w:pStyle w:val="Headingb"/>
        <w:rPr>
          <w:lang w:val="en-US"/>
        </w:rPr>
      </w:pPr>
      <w:bookmarkStart w:id="1689" w:name="_Toc454284929"/>
      <w:bookmarkStart w:id="1690" w:name="_Toc462234098"/>
      <w:r w:rsidRPr="00A01420">
        <w:rPr>
          <w:lang w:val="en-US"/>
        </w:rPr>
        <w:t>a)</w:t>
      </w:r>
      <w:r w:rsidRPr="00A01420">
        <w:rPr>
          <w:lang w:val="en-US"/>
        </w:rPr>
        <w:tab/>
        <w:t>Calculation procedures</w:t>
      </w:r>
      <w:bookmarkEnd w:id="1689"/>
      <w:bookmarkEnd w:id="1690"/>
    </w:p>
    <w:p w:rsidR="0069427A" w:rsidRPr="00BD6197" w:rsidRDefault="0069427A" w:rsidP="0069427A">
      <w:pPr>
        <w:rPr>
          <w:lang w:val="en-US"/>
        </w:rPr>
      </w:pPr>
      <w:r w:rsidRPr="00BD6197">
        <w:rPr>
          <w:lang w:val="en-US"/>
        </w:rPr>
        <w:t xml:space="preserve">Common feature of these services is the fact that they provide radio communication (or location) operations with highly flying aircrafts. It leads to large service areas which borders are determined by distances up to radio horizon. If refraction of radio waves in the Earth’s atmosphere is taken into account, a distance up to a radio horizon, </w:t>
      </w:r>
      <w:r w:rsidRPr="00BD6197">
        <w:rPr>
          <w:i/>
          <w:iCs/>
          <w:lang w:val="en-US"/>
        </w:rPr>
        <w:t>R</w:t>
      </w:r>
      <w:r w:rsidRPr="00BD6197">
        <w:rPr>
          <w:i/>
          <w:iCs/>
          <w:vertAlign w:val="subscript"/>
          <w:lang w:val="en-US"/>
        </w:rPr>
        <w:t>g</w:t>
      </w:r>
      <w:r w:rsidRPr="00BD6197">
        <w:rPr>
          <w:lang w:val="en-US"/>
        </w:rPr>
        <w:t>,</w:t>
      </w:r>
      <w:r w:rsidRPr="00BD6197">
        <w:rPr>
          <w:i/>
          <w:iCs/>
          <w:lang w:val="en-US"/>
        </w:rPr>
        <w:t xml:space="preserve"> </w:t>
      </w:r>
      <w:r w:rsidRPr="00BD6197">
        <w:rPr>
          <w:lang w:val="en-US"/>
        </w:rPr>
        <w:t xml:space="preserve">can be calculated by formula: </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lang w:val="en-US"/>
        </w:rPr>
        <w:tab/>
      </w:r>
      <w:r w:rsidRPr="00BD6197">
        <w:rPr>
          <w:lang w:val="en-US"/>
        </w:rPr>
        <w:tab/>
      </w:r>
      <w:r w:rsidRPr="00BD6197">
        <w:rPr>
          <w:position w:val="-14"/>
          <w:lang w:val="en-US"/>
        </w:rPr>
        <w:object w:dxaOrig="3640" w:dyaOrig="420">
          <v:shape id="_x0000_i1069" type="#_x0000_t75" style="width:178.5pt;height:21.75pt" o:ole="">
            <v:imagedata r:id="rId108" o:title=""/>
          </v:shape>
          <o:OLEObject Type="Embed" ProgID="Equation.3" ShapeID="_x0000_i1069" DrawAspect="Content" ObjectID="_1604325023" r:id="rId109"/>
        </w:object>
      </w:r>
      <w:r w:rsidRPr="00BD6197">
        <w:rPr>
          <w:lang w:val="en-US"/>
        </w:rPr>
        <w:tab/>
        <w:t>(49)</w:t>
      </w:r>
    </w:p>
    <w:p w:rsidR="0069427A" w:rsidRPr="00BD6197" w:rsidRDefault="0069427A" w:rsidP="0069427A">
      <w:pPr>
        <w:rPr>
          <w:lang w:val="en-US"/>
        </w:rPr>
      </w:pPr>
      <w:r w:rsidRPr="00BD6197">
        <w:rPr>
          <w:lang w:val="en-US"/>
        </w:rPr>
        <w:t>where:</w:t>
      </w:r>
    </w:p>
    <w:p w:rsidR="0069427A" w:rsidRPr="00BD6197" w:rsidRDefault="0069427A" w:rsidP="0069427A">
      <w:pPr>
        <w:pStyle w:val="Equationlegend"/>
      </w:pPr>
      <w:r w:rsidRPr="00BD6197">
        <w:rPr>
          <w:i/>
          <w:iCs/>
        </w:rPr>
        <w:tab/>
        <w:t>h</w:t>
      </w:r>
      <w:r w:rsidRPr="00BD6197">
        <w:rPr>
          <w:i/>
          <w:iCs/>
          <w:vertAlign w:val="subscript"/>
        </w:rPr>
        <w:t xml:space="preserve">t </w:t>
      </w:r>
      <w:r w:rsidRPr="00BD6197">
        <w:t>:</w:t>
      </w:r>
      <w:r w:rsidRPr="00BD6197">
        <w:tab/>
        <w:t>height of transmitting antenna above the averaged ground surface (at the ground or at the aircraft) (m)</w:t>
      </w:r>
    </w:p>
    <w:p w:rsidR="0069427A" w:rsidRPr="00BD6197" w:rsidRDefault="0069427A" w:rsidP="0069427A">
      <w:pPr>
        <w:pStyle w:val="Equationlegend"/>
      </w:pPr>
      <w:r w:rsidRPr="00BD6197">
        <w:rPr>
          <w:i/>
          <w:iCs/>
        </w:rPr>
        <w:tab/>
        <w:t>h</w:t>
      </w:r>
      <w:r w:rsidRPr="00BD6197">
        <w:rPr>
          <w:i/>
          <w:iCs/>
          <w:vertAlign w:val="subscript"/>
        </w:rPr>
        <w:t xml:space="preserve">r </w:t>
      </w:r>
      <w:r w:rsidRPr="00BD6197">
        <w:t>:</w:t>
      </w:r>
      <w:r w:rsidRPr="00BD6197">
        <w:tab/>
        <w:t>height of receiving antenna above the averaged ground surface (at the ground or at the aircraft) (m).</w:t>
      </w:r>
    </w:p>
    <w:p w:rsidR="0069427A" w:rsidRPr="00BD6197" w:rsidRDefault="0069427A" w:rsidP="0069427A">
      <w:pPr>
        <w:rPr>
          <w:lang w:val="en-US"/>
        </w:rPr>
      </w:pPr>
      <w:r w:rsidRPr="00BD6197">
        <w:rPr>
          <w:lang w:val="en-US"/>
        </w:rPr>
        <w:t>With height of the aircraft, 10</w:t>
      </w:r>
      <w:r w:rsidRPr="00BD6197">
        <w:rPr>
          <w:rFonts w:ascii="Tms Rmn" w:hAnsi="Tms Rmn"/>
          <w:sz w:val="12"/>
          <w:lang w:val="en-US"/>
        </w:rPr>
        <w:t> </w:t>
      </w:r>
      <w:r w:rsidRPr="00BD6197">
        <w:rPr>
          <w:lang w:val="en-US"/>
        </w:rPr>
        <w:t>000 m and terrestrial antenna height, 15 m, equation (48) gives radio horizon distance equals 429 km. Beyond the radio horizon the field strength sharply drops, as it is clearly demonstrated by curves of Recommendation ITU-R P.528-2. Therefore, in the given particular case, service area radius is accepted as to be equal to the distance up to the radio horizon irrespective to transmitter power and receiver sensitivity. The last parameters mainly determine only reliability of radio communication in the vicinity of service area borders in real influence environment that is very important for these of services as to be safety ones. Omnidirectional antennas are widely used. In case of directional transmitting antennas applications (mainly in radionavigation and sectorial radiolocation), a “service sector” concept, given by Recommendation ITU-R F.162-3, can be used.</w:t>
      </w:r>
    </w:p>
    <w:p w:rsidR="0069427A" w:rsidRPr="00BD6197" w:rsidRDefault="0069427A" w:rsidP="0069427A">
      <w:pPr>
        <w:rPr>
          <w:lang w:val="en-US"/>
        </w:rPr>
      </w:pPr>
      <w:r w:rsidRPr="00BD6197">
        <w:rPr>
          <w:lang w:val="en-US"/>
        </w:rPr>
        <w:t>Taking into account that spectral resource used for these services, as to be safety ones, will not be too high, for simplicity reasons subdivision of the service area to different zones belonging to different license fees categories can be eliminated and the only one category, corresponding to the largest occupied area, can be used.</w:t>
      </w:r>
    </w:p>
    <w:p w:rsidR="0069427A" w:rsidRPr="00BD6197" w:rsidRDefault="0069427A" w:rsidP="0069427A">
      <w:pPr>
        <w:rPr>
          <w:lang w:val="en-US"/>
        </w:rPr>
      </w:pPr>
      <w:r w:rsidRPr="00BD6197">
        <w:rPr>
          <w:lang w:val="en-US"/>
        </w:rPr>
        <w:t>Given approach to the determination of service areas for aeronautical mobile, radionavigation and radiolocation services is proposed to be use for purposes of this calculation Model. The same approach can be accepted and for maritime radionavigation and radiolocation applications by using in equation (49) a target height equals about 10 m.</w:t>
      </w:r>
    </w:p>
    <w:p w:rsidR="0069427A" w:rsidRPr="00BD6197" w:rsidRDefault="0069427A" w:rsidP="0069427A">
      <w:pPr>
        <w:pStyle w:val="Heading3"/>
        <w:rPr>
          <w:rFonts w:eastAsia="SimSun"/>
          <w:lang w:val="en-US" w:eastAsia="zh-CN"/>
        </w:rPr>
      </w:pPr>
      <w:bookmarkStart w:id="1691" w:name="_Toc289868849"/>
      <w:bookmarkStart w:id="1692" w:name="_Toc289869009"/>
      <w:bookmarkStart w:id="1693" w:name="_Toc289932317"/>
      <w:bookmarkStart w:id="1694" w:name="_Toc289933363"/>
      <w:bookmarkStart w:id="1695" w:name="_Toc291852926"/>
      <w:bookmarkStart w:id="1696" w:name="_Toc392515912"/>
      <w:bookmarkStart w:id="1697" w:name="_Toc462234099"/>
      <w:bookmarkStart w:id="1698" w:name="_Toc518394239"/>
      <w:r w:rsidRPr="00BD6197">
        <w:rPr>
          <w:rFonts w:eastAsia="SimSun"/>
          <w:lang w:val="en-US" w:eastAsia="zh-CN"/>
        </w:rPr>
        <w:t>4.7.7</w:t>
      </w:r>
      <w:r w:rsidRPr="00BD6197">
        <w:rPr>
          <w:rFonts w:eastAsia="SimSun"/>
          <w:lang w:val="en-US" w:eastAsia="zh-CN"/>
        </w:rPr>
        <w:tab/>
        <w:t>Examples of calculations</w:t>
      </w:r>
      <w:bookmarkEnd w:id="1691"/>
      <w:bookmarkEnd w:id="1692"/>
      <w:bookmarkEnd w:id="1693"/>
      <w:bookmarkEnd w:id="1694"/>
      <w:bookmarkEnd w:id="1695"/>
      <w:bookmarkEnd w:id="1696"/>
      <w:bookmarkEnd w:id="1697"/>
      <w:bookmarkEnd w:id="1698"/>
    </w:p>
    <w:p w:rsidR="0069427A" w:rsidRPr="00BD6197" w:rsidRDefault="0069427A" w:rsidP="0069427A">
      <w:pPr>
        <w:pStyle w:val="Heading4"/>
        <w:rPr>
          <w:lang w:val="en-US"/>
        </w:rPr>
      </w:pPr>
      <w:r w:rsidRPr="00BD6197">
        <w:rPr>
          <w:lang w:val="en-US"/>
        </w:rPr>
        <w:t>4.7.7.1</w:t>
      </w:r>
      <w:r w:rsidRPr="00BD6197">
        <w:rPr>
          <w:lang w:val="en-US"/>
        </w:rPr>
        <w:tab/>
        <w:t>Aeronautical radio communications</w:t>
      </w:r>
    </w:p>
    <w:p w:rsidR="0069427A" w:rsidRPr="00A01420" w:rsidRDefault="0069427A" w:rsidP="0069427A">
      <w:pPr>
        <w:pStyle w:val="Headingb"/>
        <w:rPr>
          <w:lang w:val="en-US"/>
        </w:rPr>
      </w:pPr>
      <w:bookmarkStart w:id="1699" w:name="_Toc454284931"/>
      <w:bookmarkStart w:id="1700" w:name="_Toc462234100"/>
      <w:r w:rsidRPr="00A01420">
        <w:rPr>
          <w:lang w:val="en-US"/>
        </w:rPr>
        <w:t>a)</w:t>
      </w:r>
      <w:r w:rsidRPr="00A01420">
        <w:rPr>
          <w:lang w:val="en-US"/>
        </w:rPr>
        <w:tab/>
        <w:t>Incoming parameters</w:t>
      </w:r>
      <w:bookmarkEnd w:id="1699"/>
      <w:bookmarkEnd w:id="1700"/>
    </w:p>
    <w:p w:rsidR="0069427A" w:rsidRPr="00BD6197" w:rsidRDefault="0069427A" w:rsidP="0069427A">
      <w:pPr>
        <w:rPr>
          <w:lang w:val="en-US"/>
        </w:rPr>
      </w:pPr>
      <w:r w:rsidRPr="00BD6197">
        <w:rPr>
          <w:lang w:val="en-US"/>
        </w:rPr>
        <w:t xml:space="preserve">Let us calculate a spectral resource used by an aeronautical radiocommunication station working around the clock in 118-136 MHz band. Omnidirectional transmitting antenna height is 15 m and communications are provided with aircrafts flying at 10 000 m and higher, i.e. in accordance with </w:t>
      </w:r>
      <w:r w:rsidRPr="00BD6197">
        <w:rPr>
          <w:i/>
          <w:iCs/>
          <w:color w:val="000000"/>
          <w:lang w:val="en-US"/>
        </w:rPr>
        <w:t>R</w:t>
      </w:r>
      <w:r w:rsidRPr="00BD6197">
        <w:rPr>
          <w:i/>
          <w:iCs/>
          <w:color w:val="000000"/>
          <w:vertAlign w:val="subscript"/>
          <w:lang w:val="en-US"/>
        </w:rPr>
        <w:t xml:space="preserve">g </w:t>
      </w:r>
      <w:r w:rsidRPr="00BD6197">
        <w:rPr>
          <w:rFonts w:ascii="Symbol" w:hAnsi="Symbol"/>
          <w:color w:val="000000"/>
          <w:lang w:val="en-US"/>
        </w:rPr>
        <w:t></w:t>
      </w:r>
      <w:r w:rsidRPr="00BD6197">
        <w:rPr>
          <w:color w:val="000000"/>
          <w:lang w:val="en-US"/>
        </w:rPr>
        <w:t xml:space="preserve"> 429 km. </w:t>
      </w:r>
      <w:r w:rsidRPr="00BD6197">
        <w:rPr>
          <w:lang w:val="en-US"/>
        </w:rPr>
        <w:t>Let the largest occupied area lies in rural zone categorized by Table 1 as 0.8. Usual double-side AM is used (class of emission A3E), commercial quality.</w:t>
      </w:r>
    </w:p>
    <w:p w:rsidR="0069427A" w:rsidRPr="00A01420" w:rsidRDefault="0069427A" w:rsidP="0069427A">
      <w:pPr>
        <w:pStyle w:val="Headingb"/>
        <w:rPr>
          <w:rFonts w:eastAsia="SimSun"/>
          <w:lang w:val="en-US"/>
        </w:rPr>
      </w:pPr>
      <w:bookmarkStart w:id="1701" w:name="_Toc454284932"/>
      <w:bookmarkStart w:id="1702" w:name="_Toc462234101"/>
      <w:r w:rsidRPr="00A01420">
        <w:rPr>
          <w:rFonts w:eastAsia="SimSun"/>
          <w:lang w:val="en-US"/>
        </w:rPr>
        <w:t>b)</w:t>
      </w:r>
      <w:r w:rsidRPr="00A01420">
        <w:rPr>
          <w:rFonts w:eastAsia="SimSun"/>
          <w:lang w:val="en-US"/>
        </w:rPr>
        <w:tab/>
        <w:t>Time and frequency resources used</w:t>
      </w:r>
      <w:bookmarkEnd w:id="1701"/>
      <w:bookmarkEnd w:id="1702"/>
    </w:p>
    <w:p w:rsidR="0069427A" w:rsidRPr="00BD6197" w:rsidRDefault="0069427A" w:rsidP="0069427A">
      <w:pPr>
        <w:rPr>
          <w:lang w:val="en-US"/>
        </w:rPr>
      </w:pPr>
      <w:r w:rsidRPr="00BD6197">
        <w:rPr>
          <w:lang w:val="en-US"/>
        </w:rPr>
        <w:t>In accordance with equation (21), used time resource is:</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lang w:val="en-US"/>
        </w:rPr>
        <w:tab/>
      </w:r>
      <w:r w:rsidRPr="00BD6197">
        <w:rPr>
          <w:lang w:val="en-US"/>
        </w:rPr>
        <w:tab/>
      </w:r>
      <w:r w:rsidRPr="00BD6197">
        <w:rPr>
          <w:i/>
          <w:lang w:val="en-US"/>
        </w:rPr>
        <w:t>T</w:t>
      </w:r>
      <w:r w:rsidRPr="00BD6197">
        <w:rPr>
          <w:lang w:val="en-US"/>
        </w:rPr>
        <w:t xml:space="preserve"> = 24/24 (each day) </w:t>
      </w:r>
      <w:r w:rsidRPr="00BD6197">
        <w:rPr>
          <w:rFonts w:ascii="Symbol" w:hAnsi="Symbol"/>
          <w:lang w:val="en-US"/>
        </w:rPr>
        <w:t></w:t>
      </w:r>
      <w:r w:rsidRPr="00BD6197">
        <w:rPr>
          <w:lang w:val="en-US"/>
        </w:rPr>
        <w:t xml:space="preserve"> 1 year</w:t>
      </w:r>
    </w:p>
    <w:p w:rsidR="0069427A" w:rsidRPr="00BD6197" w:rsidRDefault="0069427A" w:rsidP="0069427A">
      <w:pPr>
        <w:rPr>
          <w:lang w:val="en-US"/>
        </w:rPr>
      </w:pPr>
      <w:r w:rsidRPr="00BD6197">
        <w:rPr>
          <w:lang w:val="en-US"/>
        </w:rPr>
        <w:lastRenderedPageBreak/>
        <w:t xml:space="preserve">Following Recommendation ITU-R SM.1138-2, “Amplitude modulation”, Item 2 “Telephony (commercial quality)”, double-sideband (class of emission A3E), related necessary bandwidth is 6 kHz. Therefore, used frequency resource, accepting in equation (24) </w:t>
      </w:r>
      <w:r w:rsidRPr="00BD6197">
        <w:rPr>
          <w:lang w:val="en-US"/>
        </w:rPr>
        <w:sym w:font="Symbol" w:char="F063"/>
      </w:r>
      <w:r w:rsidRPr="00BD6197">
        <w:rPr>
          <w:lang w:val="en-US"/>
        </w:rPr>
        <w:t> = 1, can be found as:</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lang w:val="en-US"/>
        </w:rPr>
        <w:tab/>
      </w:r>
      <w:r w:rsidRPr="00BD6197">
        <w:rPr>
          <w:lang w:val="en-US"/>
        </w:rPr>
        <w:tab/>
      </w:r>
      <w:r w:rsidRPr="00BD6197">
        <w:rPr>
          <w:i/>
          <w:lang w:val="en-US"/>
        </w:rPr>
        <w:t>F</w:t>
      </w:r>
      <w:r w:rsidRPr="00BD6197">
        <w:rPr>
          <w:lang w:val="en-US"/>
        </w:rPr>
        <w:t xml:space="preserve"> </w:t>
      </w:r>
      <w:r w:rsidRPr="00BD6197">
        <w:rPr>
          <w:rFonts w:ascii="Symbol" w:hAnsi="Symbol"/>
          <w:lang w:val="en-US"/>
        </w:rPr>
        <w:t></w:t>
      </w:r>
      <w:r w:rsidRPr="00BD6197">
        <w:rPr>
          <w:lang w:val="en-US"/>
        </w:rPr>
        <w:t xml:space="preserve"> 0.006 MHz</w:t>
      </w:r>
    </w:p>
    <w:p w:rsidR="0069427A" w:rsidRPr="00BD6197" w:rsidRDefault="0069427A" w:rsidP="0069427A">
      <w:pPr>
        <w:pStyle w:val="Blanc"/>
        <w:rPr>
          <w:lang w:val="en-US"/>
        </w:rPr>
      </w:pPr>
    </w:p>
    <w:p w:rsidR="0069427A" w:rsidRPr="00A01420" w:rsidRDefault="0069427A" w:rsidP="0069427A">
      <w:pPr>
        <w:pStyle w:val="Headingb"/>
        <w:rPr>
          <w:rFonts w:eastAsia="SimSun"/>
          <w:lang w:val="en-US"/>
        </w:rPr>
      </w:pPr>
      <w:bookmarkStart w:id="1703" w:name="_Toc454284933"/>
      <w:bookmarkStart w:id="1704" w:name="_Toc462234102"/>
      <w:r w:rsidRPr="00A01420">
        <w:rPr>
          <w:rFonts w:eastAsia="SimSun"/>
          <w:lang w:val="en-US"/>
        </w:rPr>
        <w:t>c)</w:t>
      </w:r>
      <w:r w:rsidRPr="00A01420">
        <w:rPr>
          <w:rFonts w:eastAsia="SimSun"/>
          <w:lang w:val="en-US"/>
        </w:rPr>
        <w:tab/>
        <w:t>Territorial resource used</w:t>
      </w:r>
      <w:bookmarkEnd w:id="1703"/>
      <w:bookmarkEnd w:id="1704"/>
    </w:p>
    <w:p w:rsidR="0069427A" w:rsidRPr="00BD6197" w:rsidRDefault="0069427A" w:rsidP="0069427A">
      <w:pPr>
        <w:rPr>
          <w:lang w:val="en-US"/>
        </w:rPr>
      </w:pPr>
      <w:r w:rsidRPr="00BD6197">
        <w:rPr>
          <w:lang w:val="en-US"/>
        </w:rPr>
        <w:t xml:space="preserve">Substituting </w:t>
      </w:r>
      <w:r w:rsidRPr="00BD6197">
        <w:rPr>
          <w:i/>
          <w:iCs/>
          <w:lang w:val="en-US"/>
        </w:rPr>
        <w:t>R</w:t>
      </w:r>
      <w:r w:rsidRPr="00BD6197">
        <w:rPr>
          <w:i/>
          <w:iCs/>
          <w:vertAlign w:val="subscript"/>
          <w:lang w:val="en-US"/>
        </w:rPr>
        <w:t xml:space="preserve">g </w:t>
      </w:r>
      <w:r w:rsidRPr="00BD6197">
        <w:rPr>
          <w:rFonts w:ascii="Symbol" w:hAnsi="Symbol"/>
          <w:lang w:val="en-US"/>
        </w:rPr>
        <w:t></w:t>
      </w:r>
      <w:r w:rsidRPr="00BD6197">
        <w:rPr>
          <w:lang w:val="en-US"/>
        </w:rPr>
        <w:t xml:space="preserve"> 429 km into equation (31) we get:</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i/>
          <w:iCs/>
          <w:lang w:val="en-US"/>
        </w:rPr>
        <w:tab/>
      </w:r>
      <w:r w:rsidRPr="00BD6197">
        <w:rPr>
          <w:i/>
          <w:iCs/>
          <w:lang w:val="en-US"/>
        </w:rPr>
        <w:tab/>
        <w:t>s</w:t>
      </w:r>
      <w:r w:rsidRPr="00BD6197">
        <w:rPr>
          <w:lang w:val="en-US"/>
        </w:rPr>
        <w:t xml:space="preserve"> </w:t>
      </w:r>
      <w:r w:rsidRPr="00BD6197">
        <w:rPr>
          <w:rFonts w:ascii="Symbol" w:hAnsi="Symbol"/>
          <w:lang w:val="en-US"/>
        </w:rPr>
        <w:t></w:t>
      </w:r>
      <w:r w:rsidRPr="00BD6197">
        <w:rPr>
          <w:lang w:val="en-US"/>
        </w:rPr>
        <w:t xml:space="preserve"> </w:t>
      </w:r>
      <w:r w:rsidRPr="00BD6197">
        <w:rPr>
          <w:lang w:val="en-US"/>
        </w:rPr>
        <w:sym w:font="Symbol" w:char="F070"/>
      </w:r>
      <w:r w:rsidRPr="00BD6197">
        <w:rPr>
          <w:lang w:val="en-US"/>
        </w:rPr>
        <w:t xml:space="preserve"> </w:t>
      </w:r>
      <w:r w:rsidRPr="00BD6197">
        <w:rPr>
          <w:lang w:val="en-US"/>
        </w:rPr>
        <w:sym w:font="Symbol" w:char="F0D7"/>
      </w:r>
      <w:r w:rsidRPr="00BD6197">
        <w:rPr>
          <w:lang w:val="en-US"/>
        </w:rPr>
        <w:t xml:space="preserve"> 429</w:t>
      </w:r>
      <w:r w:rsidRPr="00BD6197">
        <w:rPr>
          <w:vertAlign w:val="superscript"/>
          <w:lang w:val="en-US"/>
        </w:rPr>
        <w:t>2</w:t>
      </w:r>
      <w:r w:rsidRPr="00BD6197">
        <w:rPr>
          <w:lang w:val="en-US"/>
        </w:rPr>
        <w:t xml:space="preserve"> = 578</w:t>
      </w:r>
      <w:r w:rsidRPr="00BD6197">
        <w:rPr>
          <w:rFonts w:ascii="Tms Rmn" w:hAnsi="Tms Rmn"/>
          <w:sz w:val="12"/>
          <w:lang w:val="en-US"/>
        </w:rPr>
        <w:t> </w:t>
      </w:r>
      <w:r w:rsidRPr="00BD6197">
        <w:rPr>
          <w:lang w:val="en-US"/>
        </w:rPr>
        <w:t xml:space="preserve">182 </w:t>
      </w:r>
      <w:r w:rsidRPr="00BD6197">
        <w:rPr>
          <w:bCs/>
          <w:lang w:val="en-US"/>
        </w:rPr>
        <w:t>km</w:t>
      </w:r>
      <w:r w:rsidRPr="00BD6197">
        <w:rPr>
          <w:bCs/>
          <w:vertAlign w:val="superscript"/>
          <w:lang w:val="en-US"/>
        </w:rPr>
        <w:t>2</w:t>
      </w:r>
    </w:p>
    <w:p w:rsidR="0069427A" w:rsidRPr="00BD6197" w:rsidRDefault="0069427A" w:rsidP="0069427A">
      <w:pPr>
        <w:pStyle w:val="Blanc"/>
        <w:rPr>
          <w:lang w:val="en-US"/>
        </w:rPr>
      </w:pPr>
    </w:p>
    <w:p w:rsidR="0069427A" w:rsidRPr="00BD6197" w:rsidRDefault="0069427A" w:rsidP="0069427A">
      <w:pPr>
        <w:rPr>
          <w:lang w:val="en-US"/>
        </w:rPr>
      </w:pPr>
      <w:r w:rsidRPr="00BD6197">
        <w:rPr>
          <w:lang w:val="en-US"/>
        </w:rPr>
        <w:t xml:space="preserve">and, taking into account that </w:t>
      </w:r>
      <w:r w:rsidRPr="00BD6197">
        <w:rPr>
          <w:i/>
          <w:iCs/>
          <w:lang w:val="en-US"/>
        </w:rPr>
        <w:t>b</w:t>
      </w:r>
      <w:r w:rsidRPr="00BD6197">
        <w:rPr>
          <w:i/>
          <w:iCs/>
          <w:vertAlign w:val="subscript"/>
          <w:lang w:val="en-US"/>
        </w:rPr>
        <w:t>j</w:t>
      </w:r>
      <w:r w:rsidRPr="00BD6197">
        <w:rPr>
          <w:lang w:val="en-US"/>
        </w:rPr>
        <w:t xml:space="preserve"> = 0.8, from equation (22) it follows:</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i/>
          <w:iCs/>
          <w:lang w:val="en-US"/>
        </w:rPr>
        <w:tab/>
      </w:r>
      <w:r w:rsidRPr="00BD6197">
        <w:rPr>
          <w:i/>
          <w:iCs/>
          <w:lang w:val="en-US"/>
        </w:rPr>
        <w:tab/>
        <w:t>S</w:t>
      </w:r>
      <w:r w:rsidRPr="00BD6197">
        <w:rPr>
          <w:lang w:val="en-US"/>
        </w:rPr>
        <w:t xml:space="preserve"> = 0.8 × </w:t>
      </w:r>
      <w:r w:rsidRPr="00BD6197">
        <w:rPr>
          <w:color w:val="000000"/>
          <w:lang w:val="en-US"/>
        </w:rPr>
        <w:t>578</w:t>
      </w:r>
      <w:r w:rsidRPr="00BD6197">
        <w:rPr>
          <w:rFonts w:ascii="Tms Rmn" w:hAnsi="Tms Rmn"/>
          <w:color w:val="000000"/>
          <w:sz w:val="12"/>
          <w:lang w:val="en-US"/>
        </w:rPr>
        <w:t> </w:t>
      </w:r>
      <w:r w:rsidRPr="00BD6197">
        <w:rPr>
          <w:color w:val="000000"/>
          <w:lang w:val="en-US"/>
        </w:rPr>
        <w:t>182 = 462</w:t>
      </w:r>
      <w:r w:rsidRPr="00BD6197">
        <w:rPr>
          <w:rFonts w:ascii="Tms Rmn" w:hAnsi="Tms Rmn"/>
          <w:color w:val="000000"/>
          <w:sz w:val="12"/>
          <w:lang w:val="en-US"/>
        </w:rPr>
        <w:t> </w:t>
      </w:r>
      <w:r w:rsidRPr="00BD6197">
        <w:rPr>
          <w:color w:val="000000"/>
          <w:lang w:val="en-US"/>
        </w:rPr>
        <w:t xml:space="preserve">546 </w:t>
      </w:r>
      <w:r w:rsidRPr="00BD6197">
        <w:rPr>
          <w:bCs/>
          <w:lang w:val="en-US"/>
        </w:rPr>
        <w:t>km</w:t>
      </w:r>
      <w:r w:rsidRPr="00BD6197">
        <w:rPr>
          <w:bCs/>
          <w:vertAlign w:val="superscript"/>
          <w:lang w:val="en-US"/>
        </w:rPr>
        <w:t>2</w:t>
      </w:r>
    </w:p>
    <w:p w:rsidR="0069427A" w:rsidRPr="00BD6197" w:rsidRDefault="0069427A" w:rsidP="0069427A">
      <w:pPr>
        <w:pStyle w:val="Blanc"/>
        <w:rPr>
          <w:lang w:val="en-US"/>
        </w:rPr>
      </w:pPr>
    </w:p>
    <w:p w:rsidR="0069427A" w:rsidRPr="00A01420" w:rsidRDefault="0069427A" w:rsidP="0069427A">
      <w:pPr>
        <w:pStyle w:val="Headingb"/>
        <w:rPr>
          <w:lang w:val="en-US"/>
        </w:rPr>
      </w:pPr>
      <w:bookmarkStart w:id="1705" w:name="_Toc454284934"/>
      <w:bookmarkStart w:id="1706" w:name="_Toc462234103"/>
      <w:r w:rsidRPr="00A01420">
        <w:rPr>
          <w:lang w:val="en-US"/>
        </w:rPr>
        <w:t>d)</w:t>
      </w:r>
      <w:r w:rsidRPr="00A01420">
        <w:rPr>
          <w:lang w:val="en-US"/>
        </w:rPr>
        <w:tab/>
        <w:t>Spectral resource used</w:t>
      </w:r>
      <w:bookmarkEnd w:id="1705"/>
      <w:bookmarkEnd w:id="1706"/>
    </w:p>
    <w:p w:rsidR="0069427A" w:rsidRPr="00BD6197" w:rsidRDefault="0069427A" w:rsidP="0069427A">
      <w:pPr>
        <w:rPr>
          <w:lang w:val="en-US"/>
        </w:rPr>
      </w:pPr>
      <w:r w:rsidRPr="00BD6197">
        <w:rPr>
          <w:lang w:val="en-US"/>
        </w:rPr>
        <w:t>Substituting values calculated in (b) and (c) to equation (20), using values of weighting coefficients presented in Table 2 and taking into account non-sharing conditions (</w:t>
      </w:r>
      <w:r w:rsidRPr="00BD6197">
        <w:rPr>
          <w:lang w:val="en-US"/>
        </w:rPr>
        <w:sym w:font="Symbol" w:char="F062"/>
      </w:r>
      <w:r w:rsidRPr="00BD6197">
        <w:rPr>
          <w:lang w:val="en-US"/>
        </w:rPr>
        <w:t> = 1), we get finally:</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i/>
          <w:lang w:val="en-US"/>
        </w:rPr>
        <w:tab/>
      </w:r>
      <w:r w:rsidRPr="00BD6197">
        <w:rPr>
          <w:i/>
          <w:lang w:val="en-US"/>
        </w:rPr>
        <w:tab/>
        <w:t>W</w:t>
      </w:r>
      <w:r w:rsidRPr="00BD6197">
        <w:rPr>
          <w:lang w:val="en-US"/>
        </w:rPr>
        <w:t xml:space="preserve"> = 0.1 × 0.2 × 0.1 × 0.8 × 1 × 0.006 × 462</w:t>
      </w:r>
      <w:r w:rsidRPr="00BD6197">
        <w:rPr>
          <w:rFonts w:ascii="Tms Rmn" w:hAnsi="Tms Rmn"/>
          <w:sz w:val="12"/>
          <w:lang w:val="en-US"/>
        </w:rPr>
        <w:t> </w:t>
      </w:r>
      <w:r w:rsidRPr="00BD6197">
        <w:rPr>
          <w:lang w:val="en-US"/>
        </w:rPr>
        <w:t xml:space="preserve">546 × 1 = 4.4       MHz </w:t>
      </w:r>
      <w:r w:rsidRPr="00BD6197">
        <w:rPr>
          <w:szCs w:val="24"/>
          <w:lang w:val="en-US"/>
        </w:rPr>
        <w:sym w:font="Symbol" w:char="F0D7"/>
      </w:r>
      <w:r w:rsidRPr="00BD6197">
        <w:rPr>
          <w:lang w:val="en-US"/>
        </w:rPr>
        <w:t xml:space="preserve"> km</w:t>
      </w:r>
      <w:r w:rsidRPr="00BD6197">
        <w:rPr>
          <w:vertAlign w:val="superscript"/>
          <w:lang w:val="en-US"/>
        </w:rPr>
        <w:t>2</w:t>
      </w:r>
      <w:r w:rsidRPr="00BD6197">
        <w:rPr>
          <w:lang w:val="en-US"/>
        </w:rPr>
        <w:t xml:space="preserve"> </w:t>
      </w:r>
      <w:r w:rsidRPr="00BD6197">
        <w:rPr>
          <w:szCs w:val="24"/>
          <w:lang w:val="en-US"/>
        </w:rPr>
        <w:sym w:font="Symbol" w:char="F0D7"/>
      </w:r>
      <w:r w:rsidRPr="00BD6197">
        <w:rPr>
          <w:lang w:val="en-US"/>
        </w:rPr>
        <w:t xml:space="preserve"> 1 year</w:t>
      </w:r>
    </w:p>
    <w:p w:rsidR="0069427A" w:rsidRPr="00BD6197" w:rsidRDefault="0069427A" w:rsidP="0069427A">
      <w:pPr>
        <w:pStyle w:val="Blanc"/>
        <w:rPr>
          <w:lang w:val="en-US"/>
        </w:rPr>
      </w:pPr>
    </w:p>
    <w:p w:rsidR="0069427A" w:rsidRPr="00BD6197" w:rsidRDefault="0069427A" w:rsidP="0069427A">
      <w:pPr>
        <w:pStyle w:val="Heading4"/>
        <w:rPr>
          <w:rFonts w:eastAsia="SimSun"/>
          <w:lang w:val="en-US" w:eastAsia="zh-CN"/>
        </w:rPr>
      </w:pPr>
      <w:r w:rsidRPr="00BD6197">
        <w:rPr>
          <w:rFonts w:eastAsia="SimSun"/>
          <w:lang w:val="en-US" w:eastAsia="zh-CN"/>
        </w:rPr>
        <w:t>4.7.7.2</w:t>
      </w:r>
      <w:r w:rsidRPr="00BD6197">
        <w:rPr>
          <w:rFonts w:eastAsia="SimSun"/>
          <w:lang w:val="en-US" w:eastAsia="zh-CN"/>
        </w:rPr>
        <w:tab/>
        <w:t>Primary radars</w:t>
      </w:r>
    </w:p>
    <w:p w:rsidR="0069427A" w:rsidRPr="00A01420" w:rsidRDefault="0069427A" w:rsidP="0069427A">
      <w:pPr>
        <w:pStyle w:val="Headingb"/>
        <w:rPr>
          <w:lang w:val="en-US"/>
        </w:rPr>
      </w:pPr>
      <w:bookmarkStart w:id="1707" w:name="_Toc454284935"/>
      <w:bookmarkStart w:id="1708" w:name="_Toc462234104"/>
      <w:r w:rsidRPr="00A01420">
        <w:rPr>
          <w:lang w:val="en-US"/>
        </w:rPr>
        <w:t>a)</w:t>
      </w:r>
      <w:r w:rsidRPr="00A01420">
        <w:rPr>
          <w:lang w:val="en-US"/>
        </w:rPr>
        <w:tab/>
        <w:t>Incoming parameters</w:t>
      </w:r>
      <w:bookmarkEnd w:id="1707"/>
      <w:bookmarkEnd w:id="1708"/>
    </w:p>
    <w:p w:rsidR="0069427A" w:rsidRPr="00BD6197" w:rsidRDefault="0069427A" w:rsidP="0069427A">
      <w:pPr>
        <w:rPr>
          <w:lang w:val="en-US"/>
        </w:rPr>
      </w:pPr>
      <w:r w:rsidRPr="00BD6197">
        <w:rPr>
          <w:lang w:val="en-US"/>
        </w:rPr>
        <w:t xml:space="preserve">Let us calculate a spectral resource used by an aeronautical primary radar working around the clock with circularly rotating antenna of 15 m height and set aside for locating aircrafts flying at 10 000 m and higher. It means that in accordance with </w:t>
      </w:r>
      <w:r w:rsidRPr="00BD6197">
        <w:rPr>
          <w:i/>
          <w:iCs/>
          <w:color w:val="000000"/>
          <w:lang w:val="en-US"/>
        </w:rPr>
        <w:t>R</w:t>
      </w:r>
      <w:r w:rsidRPr="00BD6197">
        <w:rPr>
          <w:i/>
          <w:iCs/>
          <w:color w:val="000000"/>
          <w:vertAlign w:val="subscript"/>
          <w:lang w:val="en-US"/>
        </w:rPr>
        <w:t xml:space="preserve">g </w:t>
      </w:r>
      <w:r w:rsidRPr="00BD6197">
        <w:rPr>
          <w:lang w:val="en-US"/>
        </w:rPr>
        <w:t>=</w:t>
      </w:r>
      <w:r w:rsidRPr="00BD6197">
        <w:rPr>
          <w:color w:val="000000"/>
          <w:lang w:val="en-US"/>
        </w:rPr>
        <w:t xml:space="preserve"> 429 km. </w:t>
      </w:r>
      <w:r w:rsidRPr="00BD6197">
        <w:rPr>
          <w:lang w:val="en-US"/>
        </w:rPr>
        <w:t>Let the largest occupied area lies in rural zone categorized by Table 1 as 0.5. Radar uses shaped radio pulses with a half-amplitude duration equals 1 </w:t>
      </w:r>
      <w:r w:rsidRPr="00BD6197">
        <w:rPr>
          <w:lang w:val="en-US"/>
        </w:rPr>
        <w:sym w:font="Symbol" w:char="F06D"/>
      </w:r>
      <w:r w:rsidRPr="00BD6197">
        <w:rPr>
          <w:lang w:val="en-US"/>
        </w:rPr>
        <w:t>s.</w:t>
      </w:r>
    </w:p>
    <w:p w:rsidR="0069427A" w:rsidRPr="00A01420" w:rsidRDefault="0069427A" w:rsidP="0069427A">
      <w:pPr>
        <w:pStyle w:val="Headingb"/>
        <w:rPr>
          <w:lang w:val="en-US"/>
        </w:rPr>
      </w:pPr>
      <w:bookmarkStart w:id="1709" w:name="_Toc454284936"/>
      <w:bookmarkStart w:id="1710" w:name="_Toc462234105"/>
      <w:r w:rsidRPr="00A01420">
        <w:rPr>
          <w:lang w:val="en-US"/>
        </w:rPr>
        <w:t>b)</w:t>
      </w:r>
      <w:r w:rsidRPr="00A01420">
        <w:rPr>
          <w:lang w:val="en-US"/>
        </w:rPr>
        <w:tab/>
        <w:t>Time and frequency resources used</w:t>
      </w:r>
      <w:bookmarkEnd w:id="1709"/>
      <w:bookmarkEnd w:id="1710"/>
    </w:p>
    <w:p w:rsidR="0069427A" w:rsidRPr="00BD6197" w:rsidRDefault="0069427A" w:rsidP="0069427A">
      <w:pPr>
        <w:rPr>
          <w:lang w:val="en-US"/>
        </w:rPr>
      </w:pPr>
      <w:r w:rsidRPr="00BD6197">
        <w:rPr>
          <w:lang w:val="en-US"/>
        </w:rPr>
        <w:t>In accordance with equation (21), used time resource is:</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lang w:val="en-US"/>
        </w:rPr>
        <w:tab/>
      </w:r>
      <w:r w:rsidRPr="00BD6197">
        <w:rPr>
          <w:lang w:val="en-US"/>
        </w:rPr>
        <w:tab/>
      </w:r>
      <w:r w:rsidRPr="00BD6197">
        <w:rPr>
          <w:i/>
          <w:lang w:val="en-US"/>
        </w:rPr>
        <w:t>T</w:t>
      </w:r>
      <w:r w:rsidRPr="00BD6197">
        <w:rPr>
          <w:lang w:val="en-US"/>
        </w:rPr>
        <w:t xml:space="preserve"> = 24/24 (each day) = 1 year</w:t>
      </w:r>
    </w:p>
    <w:p w:rsidR="0069427A" w:rsidRPr="00BD6197" w:rsidRDefault="0069427A" w:rsidP="0069427A">
      <w:pPr>
        <w:pStyle w:val="Blanc"/>
        <w:rPr>
          <w:lang w:val="en-US"/>
        </w:rPr>
      </w:pPr>
    </w:p>
    <w:p w:rsidR="0069427A" w:rsidRPr="00BD6197" w:rsidRDefault="0069427A" w:rsidP="0069427A">
      <w:pPr>
        <w:rPr>
          <w:lang w:val="en-US"/>
        </w:rPr>
      </w:pPr>
      <w:r w:rsidRPr="00BD6197">
        <w:rPr>
          <w:lang w:val="en-US"/>
        </w:rPr>
        <w:t xml:space="preserve">Following Recommendation ITU-R SM.1138-2 “Pulse modulation”, Item 1“Radar”, primary radar (class of emission P0N), related necessary bandwidth is 3 MHz. Therefore, used frequency resource, accepting in equation (24) </w:t>
      </w:r>
      <w:r w:rsidRPr="00BD6197">
        <w:rPr>
          <w:lang w:val="en-US"/>
        </w:rPr>
        <w:sym w:font="Symbol" w:char="F063"/>
      </w:r>
      <w:r w:rsidRPr="00BD6197">
        <w:rPr>
          <w:lang w:val="en-US"/>
        </w:rPr>
        <w:t> = 0.1, can be found as:</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i/>
          <w:lang w:val="en-US"/>
        </w:rPr>
        <w:tab/>
      </w:r>
      <w:r w:rsidRPr="00BD6197">
        <w:rPr>
          <w:i/>
          <w:lang w:val="en-US"/>
        </w:rPr>
        <w:tab/>
        <w:t>F</w:t>
      </w:r>
      <w:r w:rsidRPr="00BD6197">
        <w:rPr>
          <w:lang w:val="en-US"/>
        </w:rPr>
        <w:t xml:space="preserve"> </w:t>
      </w:r>
      <w:r w:rsidRPr="00BD6197">
        <w:rPr>
          <w:rFonts w:ascii="Symbol" w:hAnsi="Symbol"/>
          <w:lang w:val="en-US"/>
        </w:rPr>
        <w:t></w:t>
      </w:r>
      <w:r w:rsidRPr="00BD6197">
        <w:rPr>
          <w:lang w:val="en-US"/>
        </w:rPr>
        <w:t xml:space="preserve"> 0.1 × 3 = 0.3 MHz</w:t>
      </w:r>
    </w:p>
    <w:p w:rsidR="0069427A" w:rsidRPr="00BD6197" w:rsidRDefault="0069427A" w:rsidP="0069427A">
      <w:pPr>
        <w:pStyle w:val="Blanc"/>
        <w:rPr>
          <w:lang w:val="en-US"/>
        </w:rPr>
      </w:pPr>
    </w:p>
    <w:p w:rsidR="0069427A" w:rsidRPr="00A01420" w:rsidRDefault="0069427A" w:rsidP="0069427A">
      <w:pPr>
        <w:pStyle w:val="Headingb"/>
        <w:rPr>
          <w:lang w:val="en-US"/>
        </w:rPr>
      </w:pPr>
      <w:bookmarkStart w:id="1711" w:name="_Toc454284937"/>
      <w:bookmarkStart w:id="1712" w:name="_Toc462234106"/>
      <w:r w:rsidRPr="00A01420">
        <w:rPr>
          <w:lang w:val="en-US"/>
        </w:rPr>
        <w:t>c)</w:t>
      </w:r>
      <w:r w:rsidRPr="00A01420">
        <w:rPr>
          <w:lang w:val="en-US"/>
        </w:rPr>
        <w:tab/>
        <w:t>Territorial resource used</w:t>
      </w:r>
      <w:bookmarkEnd w:id="1711"/>
      <w:bookmarkEnd w:id="1712"/>
    </w:p>
    <w:p w:rsidR="0069427A" w:rsidRPr="00BD6197" w:rsidRDefault="0069427A" w:rsidP="0069427A">
      <w:pPr>
        <w:rPr>
          <w:lang w:val="en-US"/>
        </w:rPr>
      </w:pPr>
      <w:r w:rsidRPr="00BD6197">
        <w:rPr>
          <w:lang w:val="en-US"/>
        </w:rPr>
        <w:t xml:space="preserve">Substituting </w:t>
      </w:r>
      <w:r w:rsidRPr="00BD6197">
        <w:rPr>
          <w:i/>
          <w:iCs/>
          <w:lang w:val="en-US"/>
        </w:rPr>
        <w:t>R</w:t>
      </w:r>
      <w:r w:rsidRPr="00BD6197">
        <w:rPr>
          <w:i/>
          <w:iCs/>
          <w:vertAlign w:val="subscript"/>
          <w:lang w:val="en-US"/>
        </w:rPr>
        <w:t xml:space="preserve">g </w:t>
      </w:r>
      <w:r w:rsidRPr="00BD6197">
        <w:rPr>
          <w:lang w:val="en-US"/>
        </w:rPr>
        <w:t>= 429 km to equation (31) we get:</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i/>
          <w:iCs/>
          <w:lang w:val="en-US"/>
        </w:rPr>
        <w:tab/>
      </w:r>
      <w:r w:rsidRPr="00BD6197">
        <w:rPr>
          <w:i/>
          <w:iCs/>
          <w:lang w:val="en-US"/>
        </w:rPr>
        <w:tab/>
        <w:t>s</w:t>
      </w:r>
      <w:r w:rsidRPr="00BD6197">
        <w:rPr>
          <w:lang w:val="en-US"/>
        </w:rPr>
        <w:t xml:space="preserve"> = </w:t>
      </w:r>
      <w:r w:rsidRPr="00BD6197">
        <w:rPr>
          <w:lang w:val="en-US"/>
        </w:rPr>
        <w:sym w:font="Symbol" w:char="F070"/>
      </w:r>
      <w:r w:rsidRPr="00BD6197">
        <w:rPr>
          <w:lang w:val="en-US"/>
        </w:rPr>
        <w:t xml:space="preserve"> </w:t>
      </w:r>
      <w:r w:rsidRPr="00BD6197">
        <w:rPr>
          <w:lang w:val="en-US"/>
        </w:rPr>
        <w:sym w:font="Symbol" w:char="F0D7"/>
      </w:r>
      <w:r w:rsidRPr="00BD6197">
        <w:rPr>
          <w:lang w:val="en-US"/>
        </w:rPr>
        <w:t xml:space="preserve"> 429</w:t>
      </w:r>
      <w:r w:rsidRPr="00BD6197">
        <w:rPr>
          <w:vertAlign w:val="superscript"/>
          <w:lang w:val="en-US"/>
        </w:rPr>
        <w:t xml:space="preserve">2 </w:t>
      </w:r>
      <w:r w:rsidRPr="00BD6197">
        <w:rPr>
          <w:lang w:val="en-US"/>
        </w:rPr>
        <w:t>= 578</w:t>
      </w:r>
      <w:r w:rsidRPr="00BD6197">
        <w:rPr>
          <w:rFonts w:ascii="Tms Rmn" w:hAnsi="Tms Rmn"/>
          <w:sz w:val="12"/>
          <w:lang w:val="en-US"/>
        </w:rPr>
        <w:t> </w:t>
      </w:r>
      <w:r w:rsidRPr="00BD6197">
        <w:rPr>
          <w:lang w:val="en-US"/>
        </w:rPr>
        <w:t xml:space="preserve">182 </w:t>
      </w:r>
      <w:r w:rsidRPr="00BD6197">
        <w:rPr>
          <w:bCs/>
          <w:lang w:val="en-US"/>
        </w:rPr>
        <w:t>km</w:t>
      </w:r>
      <w:r w:rsidRPr="00BD6197">
        <w:rPr>
          <w:bCs/>
          <w:vertAlign w:val="superscript"/>
          <w:lang w:val="en-US"/>
        </w:rPr>
        <w:t>2</w:t>
      </w:r>
    </w:p>
    <w:p w:rsidR="0069427A" w:rsidRPr="00BD6197" w:rsidRDefault="0069427A" w:rsidP="0069427A">
      <w:pPr>
        <w:keepNext/>
        <w:keepLines/>
        <w:rPr>
          <w:lang w:val="en-US"/>
        </w:rPr>
      </w:pPr>
      <w:r w:rsidRPr="00BD6197">
        <w:rPr>
          <w:lang w:val="en-US"/>
        </w:rPr>
        <w:lastRenderedPageBreak/>
        <w:t xml:space="preserve">and, taking into account that </w:t>
      </w:r>
      <w:r w:rsidRPr="00BD6197">
        <w:rPr>
          <w:i/>
          <w:iCs/>
          <w:lang w:val="en-US"/>
        </w:rPr>
        <w:t>b</w:t>
      </w:r>
      <w:r w:rsidRPr="00BD6197">
        <w:rPr>
          <w:i/>
          <w:iCs/>
          <w:vertAlign w:val="subscript"/>
          <w:lang w:val="en-US"/>
        </w:rPr>
        <w:t>j</w:t>
      </w:r>
      <w:r w:rsidRPr="00BD6197">
        <w:rPr>
          <w:lang w:val="en-US"/>
        </w:rPr>
        <w:t xml:space="preserve"> = 0.5, from equation (22) it follows:</w:t>
      </w:r>
    </w:p>
    <w:p w:rsidR="0069427A" w:rsidRPr="00BD6197" w:rsidRDefault="0069427A" w:rsidP="0069427A">
      <w:pPr>
        <w:pStyle w:val="Blanc"/>
        <w:rPr>
          <w:lang w:val="en-US"/>
        </w:rPr>
      </w:pPr>
    </w:p>
    <w:p w:rsidR="0069427A" w:rsidRPr="00BD6197" w:rsidRDefault="0069427A" w:rsidP="0069427A">
      <w:pPr>
        <w:pStyle w:val="Equation"/>
        <w:keepNext/>
        <w:keepLines/>
        <w:rPr>
          <w:lang w:val="en-US"/>
        </w:rPr>
      </w:pPr>
      <w:r w:rsidRPr="00BD6197">
        <w:rPr>
          <w:i/>
          <w:iCs/>
          <w:lang w:val="en-US"/>
        </w:rPr>
        <w:tab/>
      </w:r>
      <w:r w:rsidRPr="00BD6197">
        <w:rPr>
          <w:i/>
          <w:iCs/>
          <w:lang w:val="en-US"/>
        </w:rPr>
        <w:tab/>
        <w:t>S</w:t>
      </w:r>
      <w:r w:rsidRPr="00BD6197">
        <w:rPr>
          <w:lang w:val="en-US"/>
        </w:rPr>
        <w:t xml:space="preserve"> </w:t>
      </w:r>
      <w:r w:rsidRPr="00BD6197">
        <w:rPr>
          <w:rFonts w:ascii="Symbol" w:hAnsi="Symbol"/>
          <w:lang w:val="en-US"/>
        </w:rPr>
        <w:t></w:t>
      </w:r>
      <w:r w:rsidRPr="00BD6197">
        <w:rPr>
          <w:lang w:val="en-US"/>
        </w:rPr>
        <w:t xml:space="preserve"> 0.5 × </w:t>
      </w:r>
      <w:r w:rsidRPr="00BD6197">
        <w:rPr>
          <w:color w:val="000000"/>
          <w:lang w:val="en-US"/>
        </w:rPr>
        <w:t>578</w:t>
      </w:r>
      <w:r w:rsidRPr="00BD6197">
        <w:rPr>
          <w:rFonts w:ascii="Tms Rmn" w:hAnsi="Tms Rmn"/>
          <w:color w:val="000000"/>
          <w:sz w:val="12"/>
          <w:lang w:val="en-US"/>
        </w:rPr>
        <w:t> </w:t>
      </w:r>
      <w:r w:rsidRPr="00BD6197">
        <w:rPr>
          <w:color w:val="000000"/>
          <w:lang w:val="en-US"/>
        </w:rPr>
        <w:t xml:space="preserve">182 </w:t>
      </w:r>
      <w:r w:rsidRPr="00BD6197">
        <w:rPr>
          <w:rFonts w:ascii="Symbol" w:hAnsi="Symbol"/>
          <w:color w:val="000000"/>
          <w:lang w:val="en-US"/>
        </w:rPr>
        <w:t></w:t>
      </w:r>
      <w:r w:rsidRPr="00BD6197">
        <w:rPr>
          <w:color w:val="000000"/>
          <w:lang w:val="en-US"/>
        </w:rPr>
        <w:t xml:space="preserve"> 289</w:t>
      </w:r>
      <w:r w:rsidRPr="00BD6197">
        <w:rPr>
          <w:rFonts w:ascii="Tms Rmn" w:hAnsi="Tms Rmn"/>
          <w:color w:val="000000"/>
          <w:sz w:val="12"/>
          <w:lang w:val="en-US"/>
        </w:rPr>
        <w:t> </w:t>
      </w:r>
      <w:r w:rsidRPr="00BD6197">
        <w:rPr>
          <w:color w:val="000000"/>
          <w:lang w:val="en-US"/>
        </w:rPr>
        <w:t xml:space="preserve">091 </w:t>
      </w:r>
      <w:r w:rsidRPr="00BD6197">
        <w:rPr>
          <w:bCs/>
          <w:lang w:val="en-US"/>
        </w:rPr>
        <w:t>km</w:t>
      </w:r>
      <w:r w:rsidRPr="00BD6197">
        <w:rPr>
          <w:vertAlign w:val="superscript"/>
          <w:lang w:val="en-US"/>
        </w:rPr>
        <w:t>2</w:t>
      </w:r>
    </w:p>
    <w:p w:rsidR="0069427A" w:rsidRPr="00BD6197" w:rsidRDefault="0069427A" w:rsidP="0069427A">
      <w:pPr>
        <w:pStyle w:val="Blanc"/>
        <w:rPr>
          <w:lang w:val="en-US"/>
        </w:rPr>
      </w:pPr>
    </w:p>
    <w:p w:rsidR="0069427A" w:rsidRPr="00A01420" w:rsidRDefault="0069427A" w:rsidP="0069427A">
      <w:pPr>
        <w:pStyle w:val="Headingb"/>
        <w:rPr>
          <w:lang w:val="en-US"/>
        </w:rPr>
      </w:pPr>
      <w:bookmarkStart w:id="1713" w:name="_Toc454284938"/>
      <w:bookmarkStart w:id="1714" w:name="_Toc462234107"/>
      <w:r w:rsidRPr="00A01420">
        <w:rPr>
          <w:lang w:val="en-US"/>
        </w:rPr>
        <w:t>d)</w:t>
      </w:r>
      <w:r w:rsidRPr="00A01420">
        <w:rPr>
          <w:lang w:val="en-US"/>
        </w:rPr>
        <w:tab/>
        <w:t>Spectral resource used</w:t>
      </w:r>
      <w:bookmarkEnd w:id="1713"/>
      <w:bookmarkEnd w:id="1714"/>
    </w:p>
    <w:p w:rsidR="0069427A" w:rsidRPr="00BD6197" w:rsidRDefault="0069427A" w:rsidP="0069427A">
      <w:pPr>
        <w:rPr>
          <w:lang w:val="en-US"/>
        </w:rPr>
      </w:pPr>
      <w:r w:rsidRPr="00BD6197">
        <w:rPr>
          <w:lang w:val="en-US"/>
        </w:rPr>
        <w:t>Substituting values calculated in §§ 1.3.3.3.2.2 and 1.3.3.3.2.3 to equation (20), using values of weighting coefficients presented in Table 2 and taking into account non-sharing conditions (</w:t>
      </w:r>
      <w:r w:rsidRPr="00BD6197">
        <w:rPr>
          <w:lang w:val="en-US"/>
        </w:rPr>
        <w:sym w:font="Symbol" w:char="F062"/>
      </w:r>
      <w:r w:rsidRPr="00BD6197">
        <w:rPr>
          <w:lang w:val="en-US"/>
        </w:rPr>
        <w:t> = 1), we get finally:</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i/>
          <w:lang w:val="en-US"/>
        </w:rPr>
        <w:tab/>
        <w:t>W</w:t>
      </w:r>
      <w:r w:rsidRPr="00BD6197">
        <w:rPr>
          <w:lang w:val="en-US"/>
        </w:rPr>
        <w:t xml:space="preserve"> = 0.1 × 0.02 × 0.1 × 0.2 × 1 × 0.3 × 289</w:t>
      </w:r>
      <w:r w:rsidRPr="00BD6197">
        <w:rPr>
          <w:rFonts w:ascii="Tms Rmn" w:hAnsi="Tms Rmn"/>
          <w:sz w:val="12"/>
          <w:lang w:val="en-US"/>
        </w:rPr>
        <w:t> </w:t>
      </w:r>
      <w:r w:rsidRPr="00BD6197">
        <w:rPr>
          <w:lang w:val="en-US"/>
        </w:rPr>
        <w:t xml:space="preserve">091 × 1 = 3.5         MHz </w:t>
      </w:r>
      <w:r w:rsidRPr="00BD6197">
        <w:rPr>
          <w:szCs w:val="24"/>
          <w:lang w:val="en-US"/>
        </w:rPr>
        <w:sym w:font="Symbol" w:char="F0D7"/>
      </w:r>
      <w:r w:rsidRPr="00BD6197">
        <w:rPr>
          <w:lang w:val="en-US"/>
        </w:rPr>
        <w:t xml:space="preserve"> km</w:t>
      </w:r>
      <w:r w:rsidRPr="00BD6197">
        <w:rPr>
          <w:vertAlign w:val="superscript"/>
          <w:lang w:val="en-US"/>
        </w:rPr>
        <w:t>2</w:t>
      </w:r>
      <w:r w:rsidRPr="00BD6197">
        <w:rPr>
          <w:lang w:val="en-US"/>
        </w:rPr>
        <w:t xml:space="preserve"> </w:t>
      </w:r>
      <w:r w:rsidRPr="00BD6197">
        <w:rPr>
          <w:szCs w:val="24"/>
          <w:lang w:val="en-US"/>
        </w:rPr>
        <w:sym w:font="Symbol" w:char="F0D7"/>
      </w:r>
      <w:r w:rsidRPr="00BD6197">
        <w:rPr>
          <w:lang w:val="en-US"/>
        </w:rPr>
        <w:t xml:space="preserve"> 1 year</w:t>
      </w:r>
    </w:p>
    <w:p w:rsidR="0069427A" w:rsidRPr="00BD6197" w:rsidRDefault="0069427A" w:rsidP="0069427A">
      <w:pPr>
        <w:pStyle w:val="Blanc"/>
        <w:rPr>
          <w:lang w:val="en-US"/>
        </w:rPr>
      </w:pPr>
    </w:p>
    <w:p w:rsidR="0069427A" w:rsidRPr="00BD6197" w:rsidRDefault="0069427A" w:rsidP="0069427A">
      <w:pPr>
        <w:pStyle w:val="Heading4"/>
        <w:rPr>
          <w:lang w:val="en-US"/>
        </w:rPr>
      </w:pPr>
      <w:r w:rsidRPr="00BD6197">
        <w:rPr>
          <w:rFonts w:eastAsia="SimSun"/>
          <w:lang w:val="en-US" w:eastAsia="zh-CN"/>
        </w:rPr>
        <w:t>4.7.7.3</w:t>
      </w:r>
      <w:r w:rsidRPr="00BD6197">
        <w:rPr>
          <w:rFonts w:eastAsia="SimSun"/>
          <w:lang w:val="en-US" w:eastAsia="zh-CN"/>
        </w:rPr>
        <w:tab/>
      </w:r>
      <w:r w:rsidRPr="00BD6197">
        <w:rPr>
          <w:lang w:val="en-US"/>
        </w:rPr>
        <w:t>Fixed radio services</w:t>
      </w:r>
    </w:p>
    <w:p w:rsidR="0069427A" w:rsidRPr="00A01420" w:rsidRDefault="0069427A" w:rsidP="0069427A">
      <w:pPr>
        <w:pStyle w:val="Headingb"/>
        <w:rPr>
          <w:lang w:val="en-US"/>
        </w:rPr>
      </w:pPr>
      <w:bookmarkStart w:id="1715" w:name="_Toc454284939"/>
      <w:bookmarkStart w:id="1716" w:name="_Toc462234108"/>
      <w:r w:rsidRPr="00A01420">
        <w:rPr>
          <w:rFonts w:eastAsia="SimSun"/>
          <w:lang w:val="en-US"/>
        </w:rPr>
        <w:t>a)</w:t>
      </w:r>
      <w:r w:rsidRPr="00A01420">
        <w:rPr>
          <w:rFonts w:eastAsia="SimSun"/>
          <w:lang w:val="en-US"/>
        </w:rPr>
        <w:tab/>
      </w:r>
      <w:r w:rsidRPr="00A01420">
        <w:rPr>
          <w:lang w:val="en-US"/>
        </w:rPr>
        <w:t>Calculation procedures</w:t>
      </w:r>
      <w:bookmarkEnd w:id="1715"/>
      <w:bookmarkEnd w:id="1716"/>
    </w:p>
    <w:p w:rsidR="0069427A" w:rsidRPr="00BD6197" w:rsidRDefault="0069427A" w:rsidP="0069427A">
      <w:pPr>
        <w:rPr>
          <w:lang w:val="en-US"/>
        </w:rPr>
      </w:pPr>
      <w:r w:rsidRPr="00BD6197">
        <w:rPr>
          <w:lang w:val="en-US"/>
        </w:rPr>
        <w:t>All fixed radiocommunications, HF radio links and UHF/SHF radio relay links (RRL), nowadays use directional and highly directional antennas. Taking this into account, for calculation of area occupied by an emission a “service sector” concept, given by Recommendation ITU-R F.162-3, can be used. This Recommendation states that for HF fixed links the service sector is very close to twice the angular width of the main beam measured to the half-power (–3 dB) point. Taking into account the same physical background, for purposes of the given license fee calculation Model, this concept is accepted for RRL links and for all other radio applications when directional antennas are used.</w:t>
      </w:r>
    </w:p>
    <w:p w:rsidR="0069427A" w:rsidRPr="00BD6197" w:rsidRDefault="0069427A" w:rsidP="0069427A">
      <w:pPr>
        <w:rPr>
          <w:lang w:val="en-US"/>
        </w:rPr>
      </w:pPr>
      <w:r w:rsidRPr="00BD6197">
        <w:rPr>
          <w:lang w:val="en-US"/>
        </w:rPr>
        <w:t>Therefore, if relevant antenna beam-width is known (from the national frequency assignment database or, on special request, from the operator or user) relevant emission occupied area can be determined as</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lang w:val="en-US"/>
        </w:rPr>
        <w:tab/>
      </w:r>
      <w:r w:rsidRPr="00BD6197">
        <w:rPr>
          <w:lang w:val="en-US"/>
        </w:rPr>
        <w:tab/>
      </w:r>
      <w:r w:rsidRPr="00BD6197">
        <w:rPr>
          <w:position w:val="-24"/>
          <w:lang w:val="en-US"/>
        </w:rPr>
        <w:object w:dxaOrig="2900" w:dyaOrig="620">
          <v:shape id="_x0000_i1070" type="#_x0000_t75" style="width:145.5pt;height:30.75pt" o:ole="" fillcolor="window">
            <v:imagedata r:id="rId110" o:title=""/>
          </v:shape>
          <o:OLEObject Type="Embed" ProgID="Equation.3" ShapeID="_x0000_i1070" DrawAspect="Content" ObjectID="_1604325024" r:id="rId111"/>
        </w:object>
      </w:r>
      <w:r w:rsidRPr="00BD6197">
        <w:rPr>
          <w:lang w:val="en-US"/>
        </w:rPr>
        <w:tab/>
        <w:t>(50)</w:t>
      </w:r>
    </w:p>
    <w:p w:rsidR="0069427A" w:rsidRPr="00BD6197" w:rsidRDefault="0069427A" w:rsidP="0069427A">
      <w:pPr>
        <w:pStyle w:val="Blanc"/>
        <w:rPr>
          <w:lang w:val="en-US"/>
        </w:rPr>
      </w:pPr>
    </w:p>
    <w:p w:rsidR="0069427A" w:rsidRPr="00BD6197" w:rsidRDefault="0069427A" w:rsidP="0069427A">
      <w:pPr>
        <w:rPr>
          <w:lang w:val="en-US"/>
        </w:rPr>
      </w:pPr>
      <w:r w:rsidRPr="00BD6197">
        <w:rPr>
          <w:lang w:val="en-US"/>
        </w:rPr>
        <w:t>where:</w:t>
      </w:r>
    </w:p>
    <w:p w:rsidR="0069427A" w:rsidRPr="00BD6197" w:rsidRDefault="0069427A" w:rsidP="0069427A">
      <w:pPr>
        <w:pStyle w:val="Equationlegend"/>
      </w:pPr>
      <w:r w:rsidRPr="00BD6197">
        <w:rPr>
          <w:i/>
          <w:iCs/>
        </w:rPr>
        <w:tab/>
        <w:t>S</w:t>
      </w:r>
      <w:r w:rsidRPr="00BD6197">
        <w:rPr>
          <w:i/>
          <w:iCs/>
          <w:vertAlign w:val="subscript"/>
        </w:rPr>
        <w:t>o</w:t>
      </w:r>
      <w:r w:rsidRPr="00BD6197">
        <w:rPr>
          <w:sz w:val="12"/>
        </w:rPr>
        <w:t> </w:t>
      </w:r>
      <w:r w:rsidRPr="00BD6197">
        <w:t>:</w:t>
      </w:r>
      <w:r w:rsidRPr="00BD6197">
        <w:tab/>
        <w:t>area occupied by an emission (km</w:t>
      </w:r>
      <w:r w:rsidRPr="00BD6197">
        <w:rPr>
          <w:vertAlign w:val="superscript"/>
        </w:rPr>
        <w:t>2</w:t>
      </w:r>
      <w:r w:rsidRPr="00BD6197">
        <w:t>)</w:t>
      </w:r>
    </w:p>
    <w:p w:rsidR="0069427A" w:rsidRPr="00BD6197" w:rsidRDefault="0069427A" w:rsidP="0069427A">
      <w:pPr>
        <w:pStyle w:val="Equationlegend"/>
      </w:pPr>
      <w:r w:rsidRPr="00BD6197">
        <w:tab/>
      </w:r>
      <w:r w:rsidRPr="00BD6197">
        <w:sym w:font="Symbol" w:char="F071"/>
      </w:r>
      <w:r w:rsidRPr="00BD6197">
        <w:rPr>
          <w:sz w:val="12"/>
        </w:rPr>
        <w:t> </w:t>
      </w:r>
      <w:r w:rsidRPr="00BD6197">
        <w:t>:</w:t>
      </w:r>
      <w:r w:rsidRPr="00BD6197">
        <w:tab/>
        <w:t>antenna beam-width (degrees)</w:t>
      </w:r>
    </w:p>
    <w:p w:rsidR="0069427A" w:rsidRPr="00BD6197" w:rsidRDefault="0069427A" w:rsidP="0069427A">
      <w:pPr>
        <w:pStyle w:val="Equationlegend"/>
      </w:pPr>
      <w:r w:rsidRPr="00BD6197">
        <w:tab/>
      </w:r>
      <w:r w:rsidRPr="00BD6197">
        <w:rPr>
          <w:i/>
          <w:iCs/>
        </w:rPr>
        <w:t>L</w:t>
      </w:r>
      <w:r w:rsidRPr="00BD6197">
        <w:rPr>
          <w:i/>
          <w:iCs/>
          <w:vertAlign w:val="subscript"/>
        </w:rPr>
        <w:t>c</w:t>
      </w:r>
      <w:r w:rsidRPr="00BD6197">
        <w:rPr>
          <w:sz w:val="12"/>
        </w:rPr>
        <w:t> </w:t>
      </w:r>
      <w:r w:rsidRPr="00BD6197">
        <w:t>:</w:t>
      </w:r>
      <w:r w:rsidRPr="00BD6197">
        <w:tab/>
        <w:t>length of the radio link (km).</w:t>
      </w:r>
    </w:p>
    <w:p w:rsidR="0069427A" w:rsidRPr="00BD6197" w:rsidRDefault="0069427A" w:rsidP="0069427A">
      <w:pPr>
        <w:pStyle w:val="Normalaftertitle"/>
        <w:rPr>
          <w:lang w:val="en-US"/>
        </w:rPr>
      </w:pPr>
      <w:r w:rsidRPr="00BD6197">
        <w:rPr>
          <w:lang w:val="en-US"/>
        </w:rPr>
        <w:t xml:space="preserve">Fixed radio links, especially RRL, usually are planned very carefully, planning methods are sophisticated and significant fading allowances are usually used. Taking this into account and aiming to avoid complicated calculations, for purposes of the given model it is proposed to use exact distance between relevant transmitter and receiver as the length of the radio link </w:t>
      </w:r>
      <w:r w:rsidRPr="00BD6197">
        <w:rPr>
          <w:i/>
          <w:iCs/>
          <w:lang w:val="en-US"/>
        </w:rPr>
        <w:t>L</w:t>
      </w:r>
      <w:r w:rsidRPr="00BD6197">
        <w:rPr>
          <w:i/>
          <w:iCs/>
          <w:vertAlign w:val="subscript"/>
          <w:lang w:val="en-US"/>
        </w:rPr>
        <w:t>c</w:t>
      </w:r>
      <w:r w:rsidRPr="00BD6197">
        <w:rPr>
          <w:lang w:val="en-US"/>
        </w:rPr>
        <w:t>. For RRL it will be one hop between two RRL stations.</w:t>
      </w:r>
    </w:p>
    <w:p w:rsidR="0069427A" w:rsidRPr="00BD6197" w:rsidRDefault="0069427A" w:rsidP="0069427A">
      <w:pPr>
        <w:widowControl w:val="0"/>
        <w:rPr>
          <w:lang w:val="en-US"/>
        </w:rPr>
      </w:pPr>
      <w:r w:rsidRPr="00BD6197">
        <w:rPr>
          <w:lang w:val="en-US"/>
        </w:rPr>
        <w:t xml:space="preserve">On determination of </w:t>
      </w:r>
      <w:r w:rsidRPr="00BD6197">
        <w:rPr>
          <w:i/>
          <w:lang w:val="en-US"/>
        </w:rPr>
        <w:t>S</w:t>
      </w:r>
      <w:r w:rsidRPr="00BD6197">
        <w:rPr>
          <w:i/>
          <w:vertAlign w:val="subscript"/>
          <w:lang w:val="en-US"/>
        </w:rPr>
        <w:t>o</w:t>
      </w:r>
      <w:r w:rsidRPr="00BD6197">
        <w:rPr>
          <w:lang w:val="en-US"/>
        </w:rPr>
        <w:t xml:space="preserve">, related territorial resource can be calculated in accordance with equation (22). Provisions concerning coverage of several zones belonging to different license fees categories are the same although here influence of this factor is considerable smaller, especially for RRL, due to considerably smaller values of sector widths. Nevertheless, if an administration likes to increase calculation accuracy, the following equation is applicable for the case when a service sector crosses two areas in approximately perpendicular direction at a distance </w:t>
      </w:r>
      <w:r w:rsidRPr="00BD6197">
        <w:rPr>
          <w:i/>
          <w:iCs/>
          <w:lang w:val="en-US"/>
        </w:rPr>
        <w:t>L</w:t>
      </w:r>
      <w:r w:rsidRPr="00BD6197">
        <w:rPr>
          <w:i/>
          <w:iCs/>
          <w:vertAlign w:val="subscript"/>
          <w:lang w:val="en-US"/>
        </w:rPr>
        <w:t>b</w:t>
      </w:r>
      <w:r w:rsidRPr="00BD6197">
        <w:rPr>
          <w:lang w:val="en-US"/>
        </w:rPr>
        <w:t xml:space="preserve"> from the transmitter:</w:t>
      </w:r>
    </w:p>
    <w:p w:rsidR="0069427A" w:rsidRPr="00BD6197" w:rsidRDefault="0069427A" w:rsidP="0069427A">
      <w:pPr>
        <w:pStyle w:val="Equation"/>
        <w:rPr>
          <w:lang w:val="en-US"/>
        </w:rPr>
      </w:pPr>
      <w:r w:rsidRPr="00BD6197">
        <w:rPr>
          <w:lang w:val="en-US"/>
        </w:rPr>
        <w:tab/>
      </w:r>
      <w:r w:rsidRPr="00BD6197">
        <w:rPr>
          <w:lang w:val="en-US"/>
        </w:rPr>
        <w:tab/>
      </w:r>
      <w:r w:rsidRPr="00BD6197">
        <w:rPr>
          <w:position w:val="-24"/>
          <w:lang w:val="en-US"/>
        </w:rPr>
        <w:object w:dxaOrig="1520" w:dyaOrig="620">
          <v:shape id="_x0000_i1071" type="#_x0000_t75" style="width:74.25pt;height:30.75pt" o:ole="" fillcolor="window">
            <v:imagedata r:id="rId112" o:title=""/>
          </v:shape>
          <o:OLEObject Type="Embed" ProgID="Equation.3" ShapeID="_x0000_i1071" DrawAspect="Content" ObjectID="_1604325025" r:id="rId113"/>
        </w:object>
      </w:r>
    </w:p>
    <w:p w:rsidR="0069427A" w:rsidRPr="00BD6197" w:rsidRDefault="0069427A" w:rsidP="0069427A">
      <w:pPr>
        <w:pStyle w:val="Equation"/>
        <w:rPr>
          <w:lang w:val="en-US"/>
        </w:rPr>
      </w:pPr>
      <w:r w:rsidRPr="00BD6197">
        <w:rPr>
          <w:lang w:val="en-US"/>
        </w:rPr>
        <w:lastRenderedPageBreak/>
        <w:tab/>
      </w:r>
      <w:r w:rsidRPr="00BD6197">
        <w:rPr>
          <w:lang w:val="en-US"/>
        </w:rPr>
        <w:tab/>
      </w:r>
      <w:r w:rsidRPr="00BD6197">
        <w:rPr>
          <w:position w:val="-24"/>
          <w:lang w:val="en-US"/>
        </w:rPr>
        <w:object w:dxaOrig="2220" w:dyaOrig="620">
          <v:shape id="_x0000_i1072" type="#_x0000_t75" style="width:110.25pt;height:30.75pt" o:ole="" fillcolor="window">
            <v:imagedata r:id="rId114" o:title=""/>
          </v:shape>
          <o:OLEObject Type="Embed" ProgID="Equation.3" ShapeID="_x0000_i1072" DrawAspect="Content" ObjectID="_1604325026" r:id="rId115"/>
        </w:object>
      </w:r>
    </w:p>
    <w:p w:rsidR="0069427A" w:rsidRPr="00BD6197" w:rsidRDefault="0069427A" w:rsidP="0069427A">
      <w:pPr>
        <w:pStyle w:val="Blanc"/>
        <w:rPr>
          <w:lang w:val="en-US"/>
        </w:rPr>
      </w:pPr>
    </w:p>
    <w:p w:rsidR="0069427A" w:rsidRPr="00BD6197" w:rsidRDefault="0069427A" w:rsidP="0069427A">
      <w:pPr>
        <w:rPr>
          <w:lang w:val="en-US"/>
        </w:rPr>
      </w:pPr>
      <w:r w:rsidRPr="00BD6197">
        <w:rPr>
          <w:lang w:val="en-US"/>
        </w:rPr>
        <w:t xml:space="preserve">In accordance with the concept presented in § 4.7.1, for overseas HF communications </w:t>
      </w:r>
      <w:r w:rsidRPr="00BD6197">
        <w:rPr>
          <w:i/>
          <w:iCs/>
          <w:lang w:val="en-US"/>
        </w:rPr>
        <w:t>L</w:t>
      </w:r>
      <w:r w:rsidRPr="00BD6197">
        <w:rPr>
          <w:i/>
          <w:iCs/>
          <w:vertAlign w:val="subscript"/>
          <w:lang w:val="en-US"/>
        </w:rPr>
        <w:t>c</w:t>
      </w:r>
      <w:r w:rsidRPr="00BD6197">
        <w:rPr>
          <w:lang w:val="en-US"/>
        </w:rPr>
        <w:t xml:space="preserve"> is determined by the distance from the transmitter to the country border in the direction of the transmission.</w:t>
      </w:r>
    </w:p>
    <w:p w:rsidR="0069427A" w:rsidRPr="00BD6197" w:rsidRDefault="0069427A" w:rsidP="0069427A">
      <w:pPr>
        <w:rPr>
          <w:lang w:val="en-US"/>
        </w:rPr>
      </w:pPr>
      <w:r w:rsidRPr="00BD6197">
        <w:rPr>
          <w:lang w:val="en-US"/>
        </w:rPr>
        <w:t>Frequency and time resources and, then, spectral resource are calculated similarly to other cases above. As far as multi-station RRL can carry different numbers of channels at different hops due to branching and hop-lengths are different, spectral resources are calculated separately for each hop and then all values are summed.</w:t>
      </w:r>
    </w:p>
    <w:p w:rsidR="0069427A" w:rsidRPr="00BD6197" w:rsidRDefault="0069427A" w:rsidP="0069427A">
      <w:pPr>
        <w:pStyle w:val="Heading4"/>
        <w:rPr>
          <w:lang w:val="en-US"/>
        </w:rPr>
      </w:pPr>
      <w:r w:rsidRPr="00BD6197">
        <w:rPr>
          <w:rFonts w:eastAsia="SimSun"/>
          <w:lang w:val="en-US" w:eastAsia="zh-CN"/>
        </w:rPr>
        <w:t>4.7.7.4</w:t>
      </w:r>
      <w:r w:rsidRPr="00BD6197">
        <w:rPr>
          <w:rFonts w:eastAsia="SimSun"/>
          <w:lang w:val="en-US" w:eastAsia="zh-CN"/>
        </w:rPr>
        <w:tab/>
      </w:r>
      <w:r w:rsidRPr="00BD6197">
        <w:rPr>
          <w:lang w:val="en-US"/>
        </w:rPr>
        <w:t>Example of calculations</w:t>
      </w:r>
    </w:p>
    <w:p w:rsidR="0069427A" w:rsidRPr="00A01420" w:rsidRDefault="0069427A" w:rsidP="0069427A">
      <w:pPr>
        <w:pStyle w:val="Headingb"/>
        <w:rPr>
          <w:lang w:val="en-US"/>
        </w:rPr>
      </w:pPr>
      <w:bookmarkStart w:id="1717" w:name="_Toc454284940"/>
      <w:bookmarkStart w:id="1718" w:name="_Toc462234109"/>
      <w:r w:rsidRPr="00A01420">
        <w:rPr>
          <w:lang w:val="en-US"/>
        </w:rPr>
        <w:t>a)</w:t>
      </w:r>
      <w:r w:rsidRPr="00A01420">
        <w:rPr>
          <w:lang w:val="en-US"/>
        </w:rPr>
        <w:tab/>
        <w:t>Incoming parameters</w:t>
      </w:r>
      <w:bookmarkEnd w:id="1717"/>
      <w:bookmarkEnd w:id="1718"/>
    </w:p>
    <w:p w:rsidR="0069427A" w:rsidRPr="00BD6197" w:rsidRDefault="0069427A" w:rsidP="0069427A">
      <w:pPr>
        <w:rPr>
          <w:lang w:val="en-US"/>
        </w:rPr>
      </w:pPr>
      <w:r w:rsidRPr="00BD6197">
        <w:rPr>
          <w:lang w:val="en-US"/>
        </w:rPr>
        <w:t>Let us calculate a spectral resource used by one hop of a RRL in 2 GHz frequency band. Hop-length is 45 km, antenna beam-widths of both stations are 1.5</w:t>
      </w:r>
      <w:r w:rsidRPr="00BD6197">
        <w:rPr>
          <w:szCs w:val="24"/>
          <w:lang w:val="en-US"/>
        </w:rPr>
        <w:sym w:font="Symbol" w:char="F0B0"/>
      </w:r>
      <w:r w:rsidRPr="00BD6197">
        <w:rPr>
          <w:lang w:val="en-US"/>
        </w:rPr>
        <w:t xml:space="preserve"> each (and it corresponds to </w:t>
      </w:r>
      <w:r w:rsidRPr="00BD6197">
        <w:rPr>
          <w:position w:val="-6"/>
          <w:lang w:val="en-US"/>
        </w:rPr>
        <w:object w:dxaOrig="440" w:dyaOrig="279">
          <v:shape id="_x0000_i1073" type="#_x0000_t75" style="width:21.75pt;height:13.5pt" o:ole="" fillcolor="window">
            <v:imagedata r:id="rId116" o:title=""/>
          </v:shape>
          <o:OLEObject Type="Embed" ProgID="Equation.3" ShapeID="_x0000_i1073" DrawAspect="Content" ObjectID="_1604325027" r:id="rId117"/>
        </w:object>
      </w:r>
      <w:r w:rsidRPr="00BD6197">
        <w:rPr>
          <w:lang w:val="en-US"/>
        </w:rPr>
        <w:t xml:space="preserve"> 40 dB). This hop lies within one zone categorized by Table 1 as 0.4 and carries 960 telephone channels in both directions with parameters corresponding those indicated in Recommendation ITU</w:t>
      </w:r>
      <w:r w:rsidRPr="00BD6197">
        <w:rPr>
          <w:lang w:val="en-US"/>
        </w:rPr>
        <w:noBreakHyphen/>
        <w:t>R SM.1138-2 “Frequency modulation”, subsection 5 “Composite emissions”, RRL with 960 channels.</w:t>
      </w:r>
    </w:p>
    <w:p w:rsidR="0069427A" w:rsidRPr="00A01420" w:rsidRDefault="0069427A" w:rsidP="0069427A">
      <w:pPr>
        <w:pStyle w:val="Headingb"/>
        <w:rPr>
          <w:lang w:val="en-US"/>
        </w:rPr>
      </w:pPr>
      <w:bookmarkStart w:id="1719" w:name="_Toc454284941"/>
      <w:bookmarkStart w:id="1720" w:name="_Toc462234110"/>
      <w:r w:rsidRPr="00A01420">
        <w:rPr>
          <w:lang w:val="en-US"/>
        </w:rPr>
        <w:t>b)</w:t>
      </w:r>
      <w:r w:rsidRPr="00A01420">
        <w:rPr>
          <w:lang w:val="en-US"/>
        </w:rPr>
        <w:tab/>
        <w:t>Time and frequency resources used</w:t>
      </w:r>
      <w:bookmarkEnd w:id="1719"/>
      <w:bookmarkEnd w:id="1720"/>
    </w:p>
    <w:p w:rsidR="0069427A" w:rsidRPr="00BD6197" w:rsidRDefault="0069427A" w:rsidP="0069427A">
      <w:pPr>
        <w:rPr>
          <w:lang w:val="en-US"/>
        </w:rPr>
      </w:pPr>
      <w:r w:rsidRPr="00BD6197">
        <w:rPr>
          <w:lang w:val="en-US"/>
        </w:rPr>
        <w:t>Taking into account principally continuous mode of RRL operation, from equation (21) it follows:</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lang w:val="en-US"/>
        </w:rPr>
        <w:tab/>
      </w:r>
      <w:r w:rsidRPr="00BD6197">
        <w:rPr>
          <w:lang w:val="en-US"/>
        </w:rPr>
        <w:tab/>
      </w:r>
      <w:r w:rsidRPr="00BD6197">
        <w:rPr>
          <w:i/>
          <w:lang w:val="en-US"/>
        </w:rPr>
        <w:t>T</w:t>
      </w:r>
      <w:r w:rsidRPr="00BD6197">
        <w:rPr>
          <w:lang w:val="en-US"/>
        </w:rPr>
        <w:t xml:space="preserve"> = 24/24 (each day) = 1 year</w:t>
      </w:r>
    </w:p>
    <w:p w:rsidR="0069427A" w:rsidRPr="00BD6197" w:rsidRDefault="0069427A" w:rsidP="0069427A">
      <w:pPr>
        <w:pStyle w:val="Blanc"/>
        <w:rPr>
          <w:lang w:val="en-US"/>
        </w:rPr>
      </w:pPr>
    </w:p>
    <w:p w:rsidR="0069427A" w:rsidRPr="00BD6197" w:rsidRDefault="0069427A" w:rsidP="0069427A">
      <w:pPr>
        <w:rPr>
          <w:lang w:val="en-US"/>
        </w:rPr>
      </w:pPr>
      <w:r w:rsidRPr="00BD6197">
        <w:rPr>
          <w:lang w:val="en-US"/>
        </w:rPr>
        <w:t>In accordance with data, presented in above mentioned subsection of Recommendation ITU</w:t>
      </w:r>
      <w:r w:rsidRPr="00BD6197">
        <w:rPr>
          <w:lang w:val="en-US"/>
        </w:rPr>
        <w:noBreakHyphen/>
        <w:t xml:space="preserve">R SM.1138-2, </w:t>
      </w:r>
      <w:r w:rsidRPr="00BD6197">
        <w:rPr>
          <w:i/>
          <w:lang w:val="en-US"/>
        </w:rPr>
        <w:t>B</w:t>
      </w:r>
      <w:r w:rsidRPr="00BD6197">
        <w:rPr>
          <w:i/>
          <w:vertAlign w:val="subscript"/>
          <w:lang w:val="en-US"/>
        </w:rPr>
        <w:t>n</w:t>
      </w:r>
      <w:r w:rsidRPr="00BD6197">
        <w:rPr>
          <w:lang w:val="en-US"/>
        </w:rPr>
        <w:t xml:space="preserve"> = 16.32 MHz (for both transmission directions). Therefore the overall used frequency resource, accepting in equation (24)</w:t>
      </w:r>
      <w:r w:rsidRPr="00BD6197">
        <w:rPr>
          <w:lang w:val="en-US"/>
        </w:rPr>
        <w:fldChar w:fldCharType="begin"/>
      </w:r>
      <w:r w:rsidRPr="00BD6197">
        <w:rPr>
          <w:lang w:val="en-US"/>
        </w:rPr>
        <w:fldChar w:fldCharType="end"/>
      </w:r>
      <w:r w:rsidRPr="00BD6197">
        <w:rPr>
          <w:lang w:val="en-US"/>
        </w:rPr>
        <w:t>, can be found as:</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i/>
          <w:lang w:val="en-US"/>
        </w:rPr>
        <w:tab/>
      </w:r>
      <w:r w:rsidRPr="00BD6197">
        <w:rPr>
          <w:i/>
          <w:lang w:val="en-US"/>
        </w:rPr>
        <w:tab/>
        <w:t>F</w:t>
      </w:r>
      <w:r w:rsidRPr="00BD6197">
        <w:rPr>
          <w:lang w:val="en-US"/>
        </w:rPr>
        <w:t xml:space="preserve"> = 2 × 16.3 = 32.6 MHz</w:t>
      </w:r>
    </w:p>
    <w:p w:rsidR="0069427A" w:rsidRPr="00BD6197" w:rsidRDefault="0069427A" w:rsidP="0069427A">
      <w:pPr>
        <w:pStyle w:val="Blanc"/>
        <w:rPr>
          <w:lang w:val="en-US"/>
        </w:rPr>
      </w:pPr>
    </w:p>
    <w:p w:rsidR="0069427A" w:rsidRPr="00A01420" w:rsidRDefault="0069427A" w:rsidP="0069427A">
      <w:pPr>
        <w:pStyle w:val="Headingb"/>
        <w:rPr>
          <w:lang w:val="en-US"/>
        </w:rPr>
      </w:pPr>
      <w:bookmarkStart w:id="1721" w:name="_Toc454284942"/>
      <w:bookmarkStart w:id="1722" w:name="_Toc462234111"/>
      <w:r w:rsidRPr="00A01420">
        <w:rPr>
          <w:lang w:val="en-US"/>
        </w:rPr>
        <w:t>c)</w:t>
      </w:r>
      <w:r w:rsidRPr="00A01420">
        <w:rPr>
          <w:lang w:val="en-US"/>
        </w:rPr>
        <w:tab/>
        <w:t>Territorial resource used</w:t>
      </w:r>
      <w:bookmarkEnd w:id="1721"/>
      <w:bookmarkEnd w:id="1722"/>
    </w:p>
    <w:p w:rsidR="0069427A" w:rsidRPr="00BD6197" w:rsidRDefault="0069427A" w:rsidP="0069427A">
      <w:pPr>
        <w:rPr>
          <w:lang w:val="en-US"/>
        </w:rPr>
      </w:pPr>
      <w:r w:rsidRPr="00BD6197">
        <w:rPr>
          <w:lang w:val="en-US"/>
        </w:rPr>
        <w:t>Substituting relevant data from § 1.4.2.1 to equation (50) we get:</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i/>
          <w:iCs/>
          <w:lang w:val="en-US"/>
        </w:rPr>
        <w:tab/>
      </w:r>
      <w:r w:rsidRPr="00BD6197">
        <w:rPr>
          <w:i/>
          <w:iCs/>
          <w:lang w:val="en-US"/>
        </w:rPr>
        <w:tab/>
        <w:t>s</w:t>
      </w:r>
      <w:r w:rsidRPr="00BD6197">
        <w:rPr>
          <w:i/>
          <w:iCs/>
          <w:vertAlign w:val="subscript"/>
          <w:lang w:val="en-US"/>
        </w:rPr>
        <w:t>o</w:t>
      </w:r>
      <w:r w:rsidRPr="00BD6197">
        <w:rPr>
          <w:lang w:val="en-US"/>
        </w:rPr>
        <w:t xml:space="preserve"> = (1.5/180) × 3.14 × 45</w:t>
      </w:r>
      <w:r w:rsidRPr="00BD6197">
        <w:rPr>
          <w:vertAlign w:val="superscript"/>
          <w:lang w:val="en-US"/>
        </w:rPr>
        <w:t>2</w:t>
      </w:r>
      <w:r w:rsidRPr="00BD6197">
        <w:rPr>
          <w:lang w:val="en-US"/>
        </w:rPr>
        <w:t xml:space="preserve"> = 53 km</w:t>
      </w:r>
      <w:r w:rsidRPr="00BD6197">
        <w:rPr>
          <w:vertAlign w:val="superscript"/>
          <w:lang w:val="en-US"/>
        </w:rPr>
        <w:t>2</w:t>
      </w:r>
    </w:p>
    <w:p w:rsidR="0069427A" w:rsidRPr="00BD6197" w:rsidRDefault="0069427A" w:rsidP="0069427A">
      <w:pPr>
        <w:keepNext/>
        <w:keepLines/>
        <w:rPr>
          <w:lang w:val="en-US"/>
        </w:rPr>
      </w:pPr>
      <w:r w:rsidRPr="00BD6197">
        <w:rPr>
          <w:lang w:val="en-US"/>
        </w:rPr>
        <w:t>From equation (22), taking into account the zone category, it follows:</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i/>
          <w:iCs/>
          <w:lang w:val="en-US"/>
        </w:rPr>
        <w:tab/>
      </w:r>
      <w:r w:rsidRPr="00BD6197">
        <w:rPr>
          <w:i/>
          <w:iCs/>
          <w:lang w:val="en-US"/>
        </w:rPr>
        <w:tab/>
        <w:t>S</w:t>
      </w:r>
      <w:r w:rsidRPr="00BD6197">
        <w:rPr>
          <w:lang w:val="en-US"/>
        </w:rPr>
        <w:t xml:space="preserve"> = 0.4 × 53 = 21 km</w:t>
      </w:r>
      <w:r w:rsidRPr="00BD6197">
        <w:rPr>
          <w:vertAlign w:val="superscript"/>
          <w:lang w:val="en-US"/>
        </w:rPr>
        <w:t>2</w:t>
      </w:r>
    </w:p>
    <w:p w:rsidR="0069427A" w:rsidRPr="00BD6197" w:rsidRDefault="0069427A" w:rsidP="0069427A">
      <w:pPr>
        <w:pStyle w:val="Blanc"/>
        <w:rPr>
          <w:lang w:val="en-US"/>
        </w:rPr>
      </w:pPr>
    </w:p>
    <w:p w:rsidR="0069427A" w:rsidRPr="00A01420" w:rsidRDefault="0069427A" w:rsidP="0069427A">
      <w:pPr>
        <w:pStyle w:val="Headingb"/>
        <w:rPr>
          <w:lang w:val="en-US"/>
        </w:rPr>
      </w:pPr>
      <w:bookmarkStart w:id="1723" w:name="_Toc454284943"/>
      <w:bookmarkStart w:id="1724" w:name="_Toc462234112"/>
      <w:r w:rsidRPr="00A01420">
        <w:rPr>
          <w:lang w:val="en-US"/>
        </w:rPr>
        <w:t>d)</w:t>
      </w:r>
      <w:r w:rsidRPr="00A01420">
        <w:rPr>
          <w:lang w:val="en-US"/>
        </w:rPr>
        <w:tab/>
        <w:t>Spectral resource used</w:t>
      </w:r>
      <w:bookmarkEnd w:id="1723"/>
      <w:bookmarkEnd w:id="1724"/>
    </w:p>
    <w:p w:rsidR="0069427A" w:rsidRPr="00BD6197" w:rsidRDefault="0069427A" w:rsidP="0069427A">
      <w:pPr>
        <w:rPr>
          <w:lang w:val="en-US"/>
        </w:rPr>
      </w:pPr>
      <w:r w:rsidRPr="00BD6197">
        <w:rPr>
          <w:lang w:val="en-US"/>
        </w:rPr>
        <w:t>Substituting values calculated in (b) and (c) to equation (20), using values of weighting coefficients presented in Table 2 and taking into account non-sharing conditions (</w:t>
      </w:r>
      <w:r w:rsidRPr="00BD6197">
        <w:rPr>
          <w:lang w:val="en-US"/>
        </w:rPr>
        <w:sym w:font="Symbol" w:char="F062"/>
      </w:r>
      <w:r w:rsidRPr="00BD6197">
        <w:rPr>
          <w:lang w:val="en-US"/>
        </w:rPr>
        <w:t> = 1), we get finally:</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i/>
          <w:lang w:val="en-US"/>
        </w:rPr>
        <w:tab/>
        <w:t>W</w:t>
      </w:r>
      <w:r w:rsidRPr="00BD6197">
        <w:rPr>
          <w:lang w:val="en-US"/>
        </w:rPr>
        <w:t xml:space="preserve"> = 0.1 × 0.1 × 1 × 0.2 × 1 × 32.6 × 21 × 1 = 1.4         MHz </w:t>
      </w:r>
      <w:r w:rsidRPr="00BD6197">
        <w:rPr>
          <w:szCs w:val="24"/>
          <w:lang w:val="en-US"/>
        </w:rPr>
        <w:sym w:font="Symbol" w:char="F0D7"/>
      </w:r>
      <w:r w:rsidRPr="00BD6197">
        <w:rPr>
          <w:lang w:val="en-US"/>
        </w:rPr>
        <w:t xml:space="preserve"> km</w:t>
      </w:r>
      <w:r w:rsidRPr="00BD6197">
        <w:rPr>
          <w:vertAlign w:val="superscript"/>
          <w:lang w:val="en-US"/>
        </w:rPr>
        <w:t>2</w:t>
      </w:r>
      <w:r w:rsidRPr="00BD6197">
        <w:rPr>
          <w:lang w:val="en-US"/>
        </w:rPr>
        <w:t xml:space="preserve"> </w:t>
      </w:r>
      <w:r w:rsidRPr="00BD6197">
        <w:rPr>
          <w:szCs w:val="24"/>
          <w:lang w:val="en-US"/>
        </w:rPr>
        <w:sym w:font="Symbol" w:char="F0D7"/>
      </w:r>
      <w:r w:rsidRPr="00BD6197">
        <w:rPr>
          <w:lang w:val="en-US"/>
        </w:rPr>
        <w:t xml:space="preserve"> 1 year</w:t>
      </w:r>
    </w:p>
    <w:p w:rsidR="0069427A" w:rsidRPr="00BD6197" w:rsidRDefault="0069427A" w:rsidP="0069427A">
      <w:pPr>
        <w:pStyle w:val="Heading3"/>
        <w:rPr>
          <w:lang w:val="en-US"/>
        </w:rPr>
      </w:pPr>
      <w:bookmarkStart w:id="1725" w:name="_Toc289868850"/>
      <w:bookmarkStart w:id="1726" w:name="_Toc289869010"/>
      <w:bookmarkStart w:id="1727" w:name="_Toc289932318"/>
      <w:bookmarkStart w:id="1728" w:name="_Toc289933364"/>
      <w:bookmarkStart w:id="1729" w:name="_Toc291852927"/>
      <w:bookmarkStart w:id="1730" w:name="_Toc392515913"/>
      <w:bookmarkStart w:id="1731" w:name="_Toc462234113"/>
      <w:bookmarkStart w:id="1732" w:name="_Toc518394240"/>
      <w:r w:rsidRPr="00BD6197">
        <w:rPr>
          <w:lang w:val="en-US"/>
        </w:rPr>
        <w:lastRenderedPageBreak/>
        <w:t>4.7.8</w:t>
      </w:r>
      <w:r w:rsidRPr="00BD6197">
        <w:rPr>
          <w:lang w:val="en-US"/>
        </w:rPr>
        <w:tab/>
        <w:t>Earth stations of satellite communications</w:t>
      </w:r>
      <w:bookmarkEnd w:id="1725"/>
      <w:bookmarkEnd w:id="1726"/>
      <w:bookmarkEnd w:id="1727"/>
      <w:bookmarkEnd w:id="1728"/>
      <w:bookmarkEnd w:id="1729"/>
      <w:bookmarkEnd w:id="1730"/>
      <w:bookmarkEnd w:id="1731"/>
      <w:bookmarkEnd w:id="1732"/>
    </w:p>
    <w:p w:rsidR="0069427A" w:rsidRPr="00BD6197" w:rsidRDefault="0069427A" w:rsidP="0069427A">
      <w:pPr>
        <w:pStyle w:val="Heading4"/>
        <w:rPr>
          <w:lang w:val="en-US"/>
        </w:rPr>
      </w:pPr>
      <w:r w:rsidRPr="00BD6197">
        <w:rPr>
          <w:lang w:val="en-US"/>
        </w:rPr>
        <w:t>4.7.8.1</w:t>
      </w:r>
      <w:r w:rsidRPr="00BD6197">
        <w:rPr>
          <w:lang w:val="en-US"/>
        </w:rPr>
        <w:tab/>
        <w:t>Calculation procedures</w:t>
      </w:r>
    </w:p>
    <w:p w:rsidR="0069427A" w:rsidRPr="00BD6197" w:rsidRDefault="0069427A" w:rsidP="0069427A">
      <w:pPr>
        <w:rPr>
          <w:lang w:val="en-US"/>
        </w:rPr>
      </w:pPr>
      <w:r w:rsidRPr="00BD6197">
        <w:rPr>
          <w:lang w:val="en-US"/>
        </w:rPr>
        <w:t>Similarly to the case of fixed radio communication services presented in § 4.7.7.3, for the calculation of occupied areas a “service sector” concept, given by Recommendation ITU</w:t>
      </w:r>
      <w:r w:rsidRPr="00BD6197">
        <w:rPr>
          <w:lang w:val="en-US"/>
        </w:rPr>
        <w:noBreakHyphen/>
        <w:t>R F.162-3 is proposed to be used.</w:t>
      </w:r>
    </w:p>
    <w:p w:rsidR="0069427A" w:rsidRPr="00BD6197" w:rsidRDefault="0069427A" w:rsidP="0069427A">
      <w:pPr>
        <w:rPr>
          <w:lang w:val="en-US"/>
        </w:rPr>
      </w:pPr>
      <w:r w:rsidRPr="00BD6197">
        <w:rPr>
          <w:lang w:val="en-US"/>
        </w:rPr>
        <w:t>As it was already indicated, due to great difficulties in exact calculation of occupied areas of Earth stations of satellite communication systems, it is proposed to determine them on the basis of coordination distances agreed during the process of coordination and notification of frequency and orbital assignments in the ITU-R. If these are not available universal coordination distances of 350 km for VSATs and 750 km for other stations are proposed to be used. In some cases values agreed between administration and operator can also be used.</w:t>
      </w:r>
    </w:p>
    <w:p w:rsidR="0069427A" w:rsidRPr="00BD6197" w:rsidRDefault="0069427A" w:rsidP="0069427A">
      <w:pPr>
        <w:rPr>
          <w:lang w:val="en-US"/>
        </w:rPr>
      </w:pPr>
      <w:r w:rsidRPr="00BD6197">
        <w:rPr>
          <w:lang w:val="en-US"/>
        </w:rPr>
        <w:t>Occupied (necessary) bandwidth of an emission, or a bandwidth of a received signal, due to their absence in Recommendation ITU-R SM.1138-2, should be taken from related frequency assignment data, stored in a national spectrum management database or received from an operator on a special request.</w:t>
      </w:r>
    </w:p>
    <w:p w:rsidR="0069427A" w:rsidRPr="00BD6197" w:rsidRDefault="0069427A" w:rsidP="0069427A">
      <w:pPr>
        <w:pStyle w:val="Heading5"/>
        <w:rPr>
          <w:lang w:val="en-US"/>
        </w:rPr>
      </w:pPr>
      <w:r w:rsidRPr="00BD6197">
        <w:rPr>
          <w:lang w:val="en-US"/>
        </w:rPr>
        <w:t>4.7.8.2</w:t>
      </w:r>
      <w:r w:rsidRPr="00BD6197">
        <w:rPr>
          <w:lang w:val="en-US"/>
        </w:rPr>
        <w:tab/>
        <w:t>Examples of calculations</w:t>
      </w:r>
    </w:p>
    <w:p w:rsidR="0069427A" w:rsidRPr="00BD6197" w:rsidRDefault="0069427A" w:rsidP="0069427A">
      <w:pPr>
        <w:pStyle w:val="Heading5"/>
        <w:rPr>
          <w:lang w:val="en-US"/>
        </w:rPr>
      </w:pPr>
      <w:r w:rsidRPr="00BD6197">
        <w:rPr>
          <w:lang w:val="en-US"/>
        </w:rPr>
        <w:t>4.7.8.3</w:t>
      </w:r>
      <w:r w:rsidRPr="00BD6197">
        <w:rPr>
          <w:lang w:val="en-US"/>
        </w:rPr>
        <w:tab/>
        <w:t>Transmitting earth station</w:t>
      </w:r>
    </w:p>
    <w:p w:rsidR="0069427A" w:rsidRPr="00A01420" w:rsidRDefault="0069427A" w:rsidP="0069427A">
      <w:pPr>
        <w:pStyle w:val="Headingb"/>
        <w:rPr>
          <w:lang w:val="en-US"/>
        </w:rPr>
      </w:pPr>
      <w:bookmarkStart w:id="1733" w:name="_Toc454284945"/>
      <w:bookmarkStart w:id="1734" w:name="_Toc462234114"/>
      <w:r w:rsidRPr="00A01420">
        <w:rPr>
          <w:lang w:val="en-US"/>
        </w:rPr>
        <w:t>a)</w:t>
      </w:r>
      <w:r w:rsidRPr="00A01420">
        <w:rPr>
          <w:lang w:val="en-US"/>
        </w:rPr>
        <w:tab/>
        <w:t>Incoming parameters</w:t>
      </w:r>
      <w:bookmarkEnd w:id="1733"/>
      <w:bookmarkEnd w:id="1734"/>
    </w:p>
    <w:p w:rsidR="0069427A" w:rsidRPr="00BD6197" w:rsidRDefault="0069427A" w:rsidP="0069427A">
      <w:pPr>
        <w:rPr>
          <w:lang w:val="en-US"/>
        </w:rPr>
      </w:pPr>
      <w:r w:rsidRPr="00BD6197">
        <w:rPr>
          <w:lang w:val="en-US"/>
        </w:rPr>
        <w:t>Let us calculate a spectral resource used by an earth station providing feeder link for non-GSO satellites operating in the mobile-satellite service. Due to absence of more detailed data, coordination distance is accepted as to be 750 km. The station is situated in rural area and its antenna beam-widths is 0.5</w:t>
      </w:r>
      <w:r w:rsidRPr="00BD6197">
        <w:rPr>
          <w:vertAlign w:val="superscript"/>
          <w:lang w:val="en-US"/>
        </w:rPr>
        <w:t>o</w:t>
      </w:r>
      <w:r w:rsidRPr="00BD6197">
        <w:rPr>
          <w:lang w:val="en-US"/>
        </w:rPr>
        <w:t>. Occupied area of the emission lies within one zone categorized by Table 1 as 0.2. Let us assume that, in accordance with relevant frequency assignment recorded in the national spectrum management database, the bandwidth of the emission is 200 MHz.</w:t>
      </w:r>
    </w:p>
    <w:p w:rsidR="0069427A" w:rsidRPr="00A01420" w:rsidRDefault="0069427A" w:rsidP="0069427A">
      <w:pPr>
        <w:pStyle w:val="Headingb"/>
        <w:rPr>
          <w:lang w:val="en-US"/>
        </w:rPr>
      </w:pPr>
      <w:bookmarkStart w:id="1735" w:name="_Toc454284946"/>
      <w:bookmarkStart w:id="1736" w:name="_Toc462234115"/>
      <w:r w:rsidRPr="00A01420">
        <w:rPr>
          <w:lang w:val="en-US"/>
        </w:rPr>
        <w:t>b)</w:t>
      </w:r>
      <w:r w:rsidRPr="00A01420">
        <w:rPr>
          <w:lang w:val="en-US"/>
        </w:rPr>
        <w:tab/>
        <w:t>Time and frequency resources used</w:t>
      </w:r>
      <w:bookmarkEnd w:id="1735"/>
      <w:bookmarkEnd w:id="1736"/>
    </w:p>
    <w:p w:rsidR="0069427A" w:rsidRPr="00BD6197" w:rsidRDefault="0069427A" w:rsidP="0069427A">
      <w:pPr>
        <w:rPr>
          <w:lang w:val="en-US"/>
        </w:rPr>
      </w:pPr>
      <w:r w:rsidRPr="00BD6197">
        <w:rPr>
          <w:lang w:val="en-US"/>
        </w:rPr>
        <w:t>Taking into account principally continuous mode of feeder link operation, from equation (21) it follows:</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lang w:val="en-US"/>
        </w:rPr>
        <w:tab/>
      </w:r>
      <w:r w:rsidRPr="00BD6197">
        <w:rPr>
          <w:lang w:val="en-US"/>
        </w:rPr>
        <w:tab/>
      </w:r>
      <w:r w:rsidRPr="00BD6197">
        <w:rPr>
          <w:i/>
          <w:lang w:val="en-US"/>
        </w:rPr>
        <w:t>T</w:t>
      </w:r>
      <w:r w:rsidRPr="00BD6197">
        <w:rPr>
          <w:lang w:val="en-US"/>
        </w:rPr>
        <w:t xml:space="preserve"> = 24/24 (each day) = 1 year</w:t>
      </w:r>
    </w:p>
    <w:p w:rsidR="0069427A" w:rsidRPr="00BD6197" w:rsidRDefault="0069427A" w:rsidP="0069427A">
      <w:pPr>
        <w:pStyle w:val="Blanc"/>
        <w:rPr>
          <w:lang w:val="en-US"/>
        </w:rPr>
      </w:pPr>
    </w:p>
    <w:p w:rsidR="0069427A" w:rsidRPr="00BD6197" w:rsidRDefault="0069427A" w:rsidP="0069427A">
      <w:pPr>
        <w:rPr>
          <w:lang w:val="en-US"/>
        </w:rPr>
      </w:pPr>
      <w:r w:rsidRPr="00BD6197">
        <w:rPr>
          <w:lang w:val="en-US"/>
        </w:rPr>
        <w:t xml:space="preserve">In accordance with data presented in § 1.5.2.1.1 used frequency resource, accepting in equation (24) </w:t>
      </w:r>
      <w:r w:rsidRPr="00BD6197">
        <w:rPr>
          <w:lang w:val="en-US"/>
        </w:rPr>
        <w:sym w:font="Symbol" w:char="F063"/>
      </w:r>
      <w:r w:rsidRPr="00BD6197">
        <w:rPr>
          <w:lang w:val="en-US"/>
        </w:rPr>
        <w:t> = 1, can be found as:</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lang w:val="en-US"/>
        </w:rPr>
        <w:tab/>
      </w:r>
      <w:r w:rsidRPr="00BD6197">
        <w:rPr>
          <w:lang w:val="en-US"/>
        </w:rPr>
        <w:tab/>
      </w:r>
      <w:r w:rsidRPr="00BD6197">
        <w:rPr>
          <w:i/>
          <w:lang w:val="en-US"/>
        </w:rPr>
        <w:t>F</w:t>
      </w:r>
      <w:r w:rsidRPr="00BD6197">
        <w:rPr>
          <w:lang w:val="en-US"/>
        </w:rPr>
        <w:t xml:space="preserve"> </w:t>
      </w:r>
      <w:r w:rsidRPr="00BD6197">
        <w:rPr>
          <w:rFonts w:ascii="Symbol" w:hAnsi="Symbol"/>
          <w:lang w:val="en-US"/>
        </w:rPr>
        <w:t></w:t>
      </w:r>
      <w:r w:rsidRPr="00BD6197">
        <w:rPr>
          <w:lang w:val="en-US"/>
        </w:rPr>
        <w:t xml:space="preserve"> 200 MHz</w:t>
      </w:r>
    </w:p>
    <w:p w:rsidR="0069427A" w:rsidRPr="00A01420" w:rsidRDefault="0069427A" w:rsidP="0069427A">
      <w:pPr>
        <w:pStyle w:val="Headingb"/>
        <w:rPr>
          <w:lang w:val="en-US"/>
        </w:rPr>
      </w:pPr>
      <w:bookmarkStart w:id="1737" w:name="_Toc454284947"/>
      <w:bookmarkStart w:id="1738" w:name="_Toc462234116"/>
      <w:r w:rsidRPr="00A01420">
        <w:rPr>
          <w:lang w:val="en-US"/>
        </w:rPr>
        <w:t>c)</w:t>
      </w:r>
      <w:r w:rsidRPr="00A01420">
        <w:rPr>
          <w:lang w:val="en-US"/>
        </w:rPr>
        <w:tab/>
        <w:t>Territorial resource used</w:t>
      </w:r>
      <w:bookmarkEnd w:id="1737"/>
      <w:bookmarkEnd w:id="1738"/>
    </w:p>
    <w:p w:rsidR="0069427A" w:rsidRPr="00BD6197" w:rsidRDefault="0069427A" w:rsidP="0069427A">
      <w:pPr>
        <w:rPr>
          <w:lang w:val="en-US"/>
        </w:rPr>
      </w:pPr>
      <w:r w:rsidRPr="00BD6197">
        <w:rPr>
          <w:lang w:val="en-US"/>
        </w:rPr>
        <w:t xml:space="preserve">Substituting related data to equation (50), where </w:t>
      </w:r>
      <w:r w:rsidRPr="00BD6197">
        <w:rPr>
          <w:i/>
          <w:lang w:val="en-US"/>
        </w:rPr>
        <w:t>L</w:t>
      </w:r>
      <w:r w:rsidRPr="00BD6197">
        <w:rPr>
          <w:i/>
          <w:vertAlign w:val="subscript"/>
          <w:lang w:val="en-US"/>
        </w:rPr>
        <w:t>c</w:t>
      </w:r>
      <w:r w:rsidRPr="00BD6197">
        <w:rPr>
          <w:lang w:val="en-US"/>
        </w:rPr>
        <w:t xml:space="preserve"> represents coordination distance, we get:</w:t>
      </w:r>
    </w:p>
    <w:p w:rsidR="0069427A" w:rsidRPr="00BD6197" w:rsidRDefault="0069427A" w:rsidP="0069427A">
      <w:pPr>
        <w:pStyle w:val="Equation"/>
        <w:rPr>
          <w:lang w:val="en-US"/>
        </w:rPr>
      </w:pPr>
      <w:r w:rsidRPr="00BD6197">
        <w:rPr>
          <w:i/>
          <w:iCs/>
          <w:lang w:val="en-US"/>
        </w:rPr>
        <w:tab/>
      </w:r>
      <w:r w:rsidRPr="00BD6197">
        <w:rPr>
          <w:i/>
          <w:iCs/>
          <w:lang w:val="en-US"/>
        </w:rPr>
        <w:tab/>
        <w:t>s</w:t>
      </w:r>
      <w:r w:rsidRPr="00BD6197">
        <w:rPr>
          <w:i/>
          <w:iCs/>
          <w:vertAlign w:val="subscript"/>
          <w:lang w:val="en-US"/>
        </w:rPr>
        <w:t>o</w:t>
      </w:r>
      <w:r w:rsidRPr="00BD6197">
        <w:rPr>
          <w:lang w:val="en-US"/>
        </w:rPr>
        <w:t xml:space="preserve"> </w:t>
      </w:r>
      <w:r w:rsidRPr="00BD6197">
        <w:rPr>
          <w:rFonts w:ascii="Symbol" w:hAnsi="Symbol"/>
          <w:lang w:val="en-US"/>
        </w:rPr>
        <w:t></w:t>
      </w:r>
      <w:r w:rsidRPr="00BD6197">
        <w:rPr>
          <w:lang w:val="en-US"/>
        </w:rPr>
        <w:t xml:space="preserve"> (0.5/180) </w:t>
      </w:r>
      <w:r w:rsidRPr="00BD6197">
        <w:rPr>
          <w:rFonts w:ascii="Symbol" w:hAnsi="Symbol"/>
          <w:lang w:val="en-US"/>
        </w:rPr>
        <w:t></w:t>
      </w:r>
      <w:r w:rsidRPr="00BD6197">
        <w:rPr>
          <w:lang w:val="en-US"/>
        </w:rPr>
        <w:t> </w:t>
      </w:r>
      <w:r w:rsidRPr="00BD6197">
        <w:rPr>
          <w:rFonts w:ascii="Symbol" w:hAnsi="Symbol"/>
          <w:lang w:val="en-US"/>
        </w:rPr>
        <w:t></w:t>
      </w:r>
      <w:r w:rsidRPr="00BD6197">
        <w:rPr>
          <w:lang w:val="en-US"/>
        </w:rPr>
        <w:t> </w:t>
      </w:r>
      <w:r w:rsidRPr="00BD6197">
        <w:rPr>
          <w:rFonts w:ascii="Symbol" w:hAnsi="Symbol"/>
          <w:lang w:val="en-US"/>
        </w:rPr>
        <w:t></w:t>
      </w:r>
      <w:r w:rsidRPr="00BD6197">
        <w:rPr>
          <w:lang w:val="en-US"/>
        </w:rPr>
        <w:t> 750</w:t>
      </w:r>
      <w:r w:rsidRPr="00BD6197">
        <w:rPr>
          <w:vertAlign w:val="superscript"/>
          <w:lang w:val="en-US"/>
        </w:rPr>
        <w:t>2</w:t>
      </w:r>
      <w:r w:rsidRPr="00BD6197">
        <w:rPr>
          <w:lang w:val="en-US"/>
        </w:rPr>
        <w:t xml:space="preserve"> </w:t>
      </w:r>
      <w:r w:rsidRPr="00BD6197">
        <w:rPr>
          <w:rFonts w:ascii="Symbol" w:hAnsi="Symbol"/>
          <w:lang w:val="en-US"/>
        </w:rPr>
        <w:t></w:t>
      </w:r>
      <w:r w:rsidRPr="00BD6197">
        <w:rPr>
          <w:lang w:val="en-US"/>
        </w:rPr>
        <w:t xml:space="preserve"> 4</w:t>
      </w:r>
      <w:r w:rsidRPr="00BD6197">
        <w:rPr>
          <w:rFonts w:ascii="Tms Rmn" w:hAnsi="Tms Rmn"/>
          <w:sz w:val="12"/>
          <w:lang w:val="en-US"/>
        </w:rPr>
        <w:t> </w:t>
      </w:r>
      <w:r w:rsidRPr="00BD6197">
        <w:rPr>
          <w:lang w:val="en-US"/>
        </w:rPr>
        <w:t>909 km</w:t>
      </w:r>
      <w:r w:rsidRPr="00BD6197">
        <w:rPr>
          <w:vertAlign w:val="superscript"/>
          <w:lang w:val="en-US"/>
        </w:rPr>
        <w:t>2</w:t>
      </w:r>
    </w:p>
    <w:p w:rsidR="0069427A" w:rsidRPr="00BD6197" w:rsidRDefault="0069427A" w:rsidP="0069427A">
      <w:pPr>
        <w:rPr>
          <w:lang w:val="en-US"/>
        </w:rPr>
      </w:pPr>
      <w:r w:rsidRPr="00BD6197">
        <w:rPr>
          <w:lang w:val="en-US"/>
        </w:rPr>
        <w:t>From equation (22), taking into account the zone category, it follows:</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i/>
          <w:iCs/>
          <w:lang w:val="en-US"/>
        </w:rPr>
        <w:tab/>
      </w:r>
      <w:r w:rsidRPr="00BD6197">
        <w:rPr>
          <w:i/>
          <w:iCs/>
          <w:lang w:val="en-US"/>
        </w:rPr>
        <w:tab/>
        <w:t>S</w:t>
      </w:r>
      <w:r w:rsidRPr="00BD6197">
        <w:rPr>
          <w:lang w:val="en-US"/>
        </w:rPr>
        <w:t xml:space="preserve"> = 0.2 × 4</w:t>
      </w:r>
      <w:r w:rsidRPr="00BD6197">
        <w:rPr>
          <w:rFonts w:ascii="Tms Rmn" w:hAnsi="Tms Rmn"/>
          <w:sz w:val="12"/>
          <w:lang w:val="en-US"/>
        </w:rPr>
        <w:t> </w:t>
      </w:r>
      <w:r w:rsidRPr="00BD6197">
        <w:rPr>
          <w:lang w:val="en-US"/>
        </w:rPr>
        <w:t>909 = 982 km</w:t>
      </w:r>
      <w:r w:rsidRPr="00BD6197">
        <w:rPr>
          <w:vertAlign w:val="superscript"/>
          <w:lang w:val="en-US"/>
        </w:rPr>
        <w:t>2</w:t>
      </w:r>
    </w:p>
    <w:p w:rsidR="0069427A" w:rsidRPr="00A01420" w:rsidRDefault="0069427A" w:rsidP="0069427A">
      <w:pPr>
        <w:pStyle w:val="Headingb"/>
        <w:rPr>
          <w:lang w:val="en-US"/>
        </w:rPr>
      </w:pPr>
      <w:bookmarkStart w:id="1739" w:name="_Toc454284948"/>
      <w:bookmarkStart w:id="1740" w:name="_Toc462234117"/>
      <w:r w:rsidRPr="00A01420">
        <w:rPr>
          <w:lang w:val="en-US"/>
        </w:rPr>
        <w:lastRenderedPageBreak/>
        <w:t>d)</w:t>
      </w:r>
      <w:r w:rsidRPr="00A01420">
        <w:rPr>
          <w:lang w:val="en-US"/>
        </w:rPr>
        <w:tab/>
        <w:t>Spectral resource used</w:t>
      </w:r>
      <w:bookmarkEnd w:id="1739"/>
      <w:bookmarkEnd w:id="1740"/>
    </w:p>
    <w:p w:rsidR="0069427A" w:rsidRPr="00BD6197" w:rsidRDefault="0069427A" w:rsidP="0069427A">
      <w:pPr>
        <w:rPr>
          <w:lang w:val="en-US"/>
        </w:rPr>
      </w:pPr>
      <w:r w:rsidRPr="00BD6197">
        <w:rPr>
          <w:lang w:val="en-US"/>
        </w:rPr>
        <w:t>Substituting values calculated to equation (20), using values of weighting coefficients presented in Table 2 and taking into account non-sharing conditions (</w:t>
      </w:r>
      <w:r w:rsidRPr="00BD6197">
        <w:rPr>
          <w:lang w:val="en-US"/>
        </w:rPr>
        <w:sym w:font="Symbol" w:char="F062"/>
      </w:r>
      <w:r w:rsidRPr="00BD6197">
        <w:rPr>
          <w:lang w:val="en-US"/>
        </w:rPr>
        <w:t> = 1), we get finally:</w:t>
      </w:r>
    </w:p>
    <w:p w:rsidR="0069427A" w:rsidRPr="00BD6197" w:rsidRDefault="0069427A" w:rsidP="0069427A">
      <w:pPr>
        <w:pStyle w:val="Equation"/>
        <w:rPr>
          <w:i/>
          <w:lang w:val="en-US"/>
        </w:rPr>
      </w:pPr>
      <w:r w:rsidRPr="00BD6197">
        <w:rPr>
          <w:i/>
          <w:lang w:val="en-US"/>
        </w:rPr>
        <w:tab/>
        <w:t>W</w:t>
      </w:r>
      <w:r w:rsidRPr="00BD6197">
        <w:rPr>
          <w:lang w:val="en-US"/>
        </w:rPr>
        <w:t xml:space="preserve"> = 1.4 × 0.1 × 0.1 × 0.2 × 1 × 200 × 982 × 1 = 550           MHz </w:t>
      </w:r>
      <w:r w:rsidRPr="00BD6197">
        <w:rPr>
          <w:szCs w:val="24"/>
          <w:lang w:val="en-US"/>
        </w:rPr>
        <w:sym w:font="Symbol" w:char="F0D7"/>
      </w:r>
      <w:r w:rsidRPr="00BD6197">
        <w:rPr>
          <w:lang w:val="en-US"/>
        </w:rPr>
        <w:t xml:space="preserve"> km</w:t>
      </w:r>
      <w:r w:rsidRPr="00BD6197">
        <w:rPr>
          <w:vertAlign w:val="superscript"/>
          <w:lang w:val="en-US"/>
        </w:rPr>
        <w:t>2</w:t>
      </w:r>
      <w:r w:rsidRPr="00BD6197">
        <w:rPr>
          <w:lang w:val="en-US"/>
        </w:rPr>
        <w:t xml:space="preserve"> </w:t>
      </w:r>
      <w:r w:rsidRPr="00BD6197">
        <w:rPr>
          <w:szCs w:val="24"/>
          <w:lang w:val="en-US"/>
        </w:rPr>
        <w:sym w:font="Symbol" w:char="F0D7"/>
      </w:r>
      <w:r w:rsidRPr="00BD6197">
        <w:rPr>
          <w:lang w:val="en-US"/>
        </w:rPr>
        <w:t xml:space="preserve"> 1 year</w:t>
      </w:r>
    </w:p>
    <w:p w:rsidR="0069427A" w:rsidRPr="00BD6197" w:rsidRDefault="0069427A" w:rsidP="0069427A">
      <w:pPr>
        <w:pStyle w:val="Heading4"/>
        <w:rPr>
          <w:lang w:val="en-US"/>
        </w:rPr>
      </w:pPr>
      <w:r w:rsidRPr="00BD6197">
        <w:rPr>
          <w:lang w:val="en-US"/>
        </w:rPr>
        <w:t>4.7.8.4</w:t>
      </w:r>
      <w:r w:rsidRPr="00BD6197">
        <w:rPr>
          <w:lang w:val="en-US"/>
        </w:rPr>
        <w:tab/>
        <w:t>Receiving earth station</w:t>
      </w:r>
    </w:p>
    <w:p w:rsidR="0069427A" w:rsidRPr="00A01420" w:rsidRDefault="0069427A" w:rsidP="0069427A">
      <w:pPr>
        <w:pStyle w:val="Headingb"/>
        <w:rPr>
          <w:lang w:val="en-US"/>
        </w:rPr>
      </w:pPr>
      <w:bookmarkStart w:id="1741" w:name="_Toc454284949"/>
      <w:bookmarkStart w:id="1742" w:name="_Toc462234118"/>
      <w:r w:rsidRPr="00A01420">
        <w:rPr>
          <w:lang w:val="en-US"/>
        </w:rPr>
        <w:t>a)</w:t>
      </w:r>
      <w:r w:rsidRPr="00A01420">
        <w:rPr>
          <w:lang w:val="en-US"/>
        </w:rPr>
        <w:tab/>
        <w:t>Incoming parameters</w:t>
      </w:r>
      <w:bookmarkEnd w:id="1741"/>
      <w:bookmarkEnd w:id="1742"/>
    </w:p>
    <w:p w:rsidR="0069427A" w:rsidRPr="00BD6197" w:rsidRDefault="0069427A" w:rsidP="0069427A">
      <w:pPr>
        <w:rPr>
          <w:lang w:val="en-US"/>
        </w:rPr>
      </w:pPr>
      <w:r w:rsidRPr="00BD6197">
        <w:rPr>
          <w:lang w:val="en-US"/>
        </w:rPr>
        <w:t xml:space="preserve">Let us calculate a spectral resource used by a receiving VSAT earth station working around the clock. Due to absence more detailed data, coordination distance is taken as 350 km. </w:t>
      </w:r>
      <w:r w:rsidRPr="00BD6197">
        <w:rPr>
          <w:color w:val="000000"/>
          <w:lang w:val="en-US"/>
        </w:rPr>
        <w:t xml:space="preserve">The </w:t>
      </w:r>
      <w:r w:rsidRPr="00BD6197">
        <w:rPr>
          <w:lang w:val="en-US"/>
        </w:rPr>
        <w:t>station is situated in rural area and its antenna beam-widths is 1</w:t>
      </w:r>
      <w:r w:rsidRPr="00BD6197">
        <w:rPr>
          <w:vertAlign w:val="superscript"/>
          <w:lang w:val="en-US"/>
        </w:rPr>
        <w:t>o</w:t>
      </w:r>
      <w:r w:rsidRPr="00BD6197">
        <w:rPr>
          <w:lang w:val="en-US"/>
        </w:rPr>
        <w:t>. Occupied area of the emission lies within one zone categorized by Table 1 as 0.3. Let us assume that, in accordance with relevant frequency assignment recorded in the national spectrum management database, the bandwidth of the received signal is 30 MHz.</w:t>
      </w:r>
    </w:p>
    <w:p w:rsidR="0069427A" w:rsidRPr="00A01420" w:rsidRDefault="0069427A" w:rsidP="0069427A">
      <w:pPr>
        <w:pStyle w:val="Headingb"/>
        <w:rPr>
          <w:lang w:val="en-US"/>
        </w:rPr>
      </w:pPr>
      <w:bookmarkStart w:id="1743" w:name="_Toc454284950"/>
      <w:bookmarkStart w:id="1744" w:name="_Toc462234119"/>
      <w:r w:rsidRPr="00A01420">
        <w:rPr>
          <w:lang w:val="en-US"/>
        </w:rPr>
        <w:t>b)</w:t>
      </w:r>
      <w:r w:rsidRPr="00A01420">
        <w:rPr>
          <w:lang w:val="en-US"/>
        </w:rPr>
        <w:tab/>
        <w:t>Time and frequency resources used</w:t>
      </w:r>
      <w:bookmarkEnd w:id="1743"/>
      <w:bookmarkEnd w:id="1744"/>
    </w:p>
    <w:p w:rsidR="0069427A" w:rsidRPr="00BD6197" w:rsidRDefault="0069427A" w:rsidP="0069427A">
      <w:pPr>
        <w:rPr>
          <w:lang w:val="en-US"/>
        </w:rPr>
      </w:pPr>
      <w:r w:rsidRPr="00BD6197">
        <w:rPr>
          <w:lang w:val="en-US"/>
        </w:rPr>
        <w:t>Assuming continuous mode of the station operation, from equation (21) it follows:</w:t>
      </w:r>
    </w:p>
    <w:p w:rsidR="0069427A" w:rsidRPr="00BD6197" w:rsidRDefault="0069427A" w:rsidP="0069427A">
      <w:pPr>
        <w:pStyle w:val="Equation"/>
        <w:rPr>
          <w:lang w:val="en-US"/>
        </w:rPr>
      </w:pPr>
      <w:r w:rsidRPr="00BD6197">
        <w:rPr>
          <w:lang w:val="en-US"/>
        </w:rPr>
        <w:tab/>
      </w:r>
      <w:r w:rsidRPr="00BD6197">
        <w:rPr>
          <w:lang w:val="en-US"/>
        </w:rPr>
        <w:tab/>
      </w:r>
      <w:r w:rsidRPr="00BD6197">
        <w:rPr>
          <w:i/>
          <w:lang w:val="en-US"/>
        </w:rPr>
        <w:t>T</w:t>
      </w:r>
      <w:r w:rsidRPr="00BD6197">
        <w:rPr>
          <w:lang w:val="en-US"/>
        </w:rPr>
        <w:t xml:space="preserve"> = 24/24 (each day) = 1 year</w:t>
      </w:r>
    </w:p>
    <w:p w:rsidR="0069427A" w:rsidRPr="00BD6197" w:rsidRDefault="0069427A" w:rsidP="0069427A">
      <w:pPr>
        <w:rPr>
          <w:lang w:val="en-US"/>
        </w:rPr>
      </w:pPr>
      <w:r w:rsidRPr="00BD6197">
        <w:rPr>
          <w:lang w:val="en-US"/>
        </w:rPr>
        <w:t xml:space="preserve">In accordance with used frequency resource, accepting in equation (24) </w:t>
      </w:r>
      <w:r w:rsidRPr="00BD6197">
        <w:rPr>
          <w:lang w:val="en-US"/>
        </w:rPr>
        <w:sym w:font="Symbol" w:char="F063"/>
      </w:r>
      <w:r w:rsidRPr="00BD6197">
        <w:rPr>
          <w:lang w:val="en-US"/>
        </w:rPr>
        <w:t> = 1, can be found as:</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lang w:val="en-US"/>
        </w:rPr>
        <w:tab/>
      </w:r>
      <w:r w:rsidRPr="00BD6197">
        <w:rPr>
          <w:lang w:val="en-US"/>
        </w:rPr>
        <w:tab/>
      </w:r>
      <w:r w:rsidRPr="00BD6197">
        <w:rPr>
          <w:i/>
          <w:lang w:val="en-US"/>
        </w:rPr>
        <w:t>F</w:t>
      </w:r>
      <w:r w:rsidRPr="00BD6197">
        <w:rPr>
          <w:lang w:val="en-US"/>
        </w:rPr>
        <w:t xml:space="preserve"> = 30 MHz</w:t>
      </w:r>
    </w:p>
    <w:p w:rsidR="0069427A" w:rsidRPr="00BD6197" w:rsidRDefault="0069427A" w:rsidP="0069427A">
      <w:pPr>
        <w:pStyle w:val="Blanc"/>
        <w:rPr>
          <w:lang w:val="en-US"/>
        </w:rPr>
      </w:pPr>
    </w:p>
    <w:p w:rsidR="0069427A" w:rsidRPr="00A01420" w:rsidRDefault="0069427A" w:rsidP="0069427A">
      <w:pPr>
        <w:pStyle w:val="Headingb"/>
        <w:rPr>
          <w:lang w:val="en-US"/>
        </w:rPr>
      </w:pPr>
      <w:bookmarkStart w:id="1745" w:name="_Toc454284951"/>
      <w:bookmarkStart w:id="1746" w:name="_Toc462234120"/>
      <w:r w:rsidRPr="00A01420">
        <w:rPr>
          <w:lang w:val="en-US"/>
        </w:rPr>
        <w:t>c)</w:t>
      </w:r>
      <w:r w:rsidRPr="00A01420">
        <w:rPr>
          <w:lang w:val="en-US"/>
        </w:rPr>
        <w:tab/>
        <w:t>Territorial resource used</w:t>
      </w:r>
      <w:bookmarkEnd w:id="1745"/>
      <w:bookmarkEnd w:id="1746"/>
    </w:p>
    <w:p w:rsidR="0069427A" w:rsidRPr="00BD6197" w:rsidRDefault="0069427A" w:rsidP="0069427A">
      <w:pPr>
        <w:rPr>
          <w:lang w:val="en-US"/>
        </w:rPr>
      </w:pPr>
      <w:r w:rsidRPr="00BD6197">
        <w:rPr>
          <w:lang w:val="en-US"/>
        </w:rPr>
        <w:t xml:space="preserve">Substituting related data to equation (50), where </w:t>
      </w:r>
      <w:r w:rsidRPr="00BD6197">
        <w:rPr>
          <w:i/>
          <w:lang w:val="en-US"/>
        </w:rPr>
        <w:t>L</w:t>
      </w:r>
      <w:r w:rsidRPr="00BD6197">
        <w:rPr>
          <w:i/>
          <w:vertAlign w:val="subscript"/>
          <w:lang w:val="en-US"/>
        </w:rPr>
        <w:t>c</w:t>
      </w:r>
      <w:r w:rsidRPr="00BD6197">
        <w:rPr>
          <w:lang w:val="en-US"/>
        </w:rPr>
        <w:t xml:space="preserve"> represents coordination distance, we get:</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i/>
          <w:iCs/>
          <w:lang w:val="en-US"/>
        </w:rPr>
        <w:tab/>
      </w:r>
      <w:r w:rsidRPr="00BD6197">
        <w:rPr>
          <w:i/>
          <w:iCs/>
          <w:lang w:val="en-US"/>
        </w:rPr>
        <w:tab/>
        <w:t>s</w:t>
      </w:r>
      <w:r w:rsidRPr="00BD6197">
        <w:rPr>
          <w:i/>
          <w:iCs/>
          <w:vertAlign w:val="subscript"/>
          <w:lang w:val="en-US"/>
        </w:rPr>
        <w:t>o</w:t>
      </w:r>
      <w:r w:rsidRPr="00BD6197">
        <w:rPr>
          <w:lang w:val="en-US"/>
        </w:rPr>
        <w:t xml:space="preserve"> = (1/180) × </w:t>
      </w:r>
      <w:r w:rsidRPr="00BD6197">
        <w:rPr>
          <w:rFonts w:ascii="Symbol" w:hAnsi="Symbol"/>
          <w:lang w:val="en-US"/>
        </w:rPr>
        <w:t></w:t>
      </w:r>
      <w:r w:rsidRPr="00BD6197">
        <w:rPr>
          <w:lang w:val="en-US"/>
        </w:rPr>
        <w:t> × 350</w:t>
      </w:r>
      <w:r w:rsidRPr="00BD6197">
        <w:rPr>
          <w:vertAlign w:val="superscript"/>
          <w:lang w:val="en-US"/>
        </w:rPr>
        <w:t>2</w:t>
      </w:r>
      <w:r w:rsidRPr="00BD6197">
        <w:rPr>
          <w:lang w:val="en-US"/>
        </w:rPr>
        <w:t xml:space="preserve"> = 2</w:t>
      </w:r>
      <w:r w:rsidRPr="00BD6197">
        <w:rPr>
          <w:rFonts w:ascii="Tms Rmn" w:hAnsi="Tms Rmn"/>
          <w:sz w:val="12"/>
          <w:lang w:val="en-US"/>
        </w:rPr>
        <w:t> </w:t>
      </w:r>
      <w:r w:rsidRPr="00BD6197">
        <w:rPr>
          <w:lang w:val="en-US"/>
        </w:rPr>
        <w:t>138 km</w:t>
      </w:r>
      <w:r w:rsidRPr="00BD6197">
        <w:rPr>
          <w:vertAlign w:val="superscript"/>
          <w:lang w:val="en-US"/>
        </w:rPr>
        <w:t>2</w:t>
      </w:r>
    </w:p>
    <w:p w:rsidR="0069427A" w:rsidRPr="00BD6197" w:rsidRDefault="0069427A" w:rsidP="0069427A">
      <w:pPr>
        <w:pStyle w:val="Blanc"/>
        <w:rPr>
          <w:lang w:val="en-US"/>
        </w:rPr>
      </w:pPr>
    </w:p>
    <w:p w:rsidR="0069427A" w:rsidRPr="00BD6197" w:rsidRDefault="0069427A" w:rsidP="0069427A">
      <w:pPr>
        <w:rPr>
          <w:lang w:val="en-US"/>
        </w:rPr>
      </w:pPr>
      <w:r w:rsidRPr="00BD6197">
        <w:rPr>
          <w:lang w:val="en-US"/>
        </w:rPr>
        <w:t>From equation (22), taking into account the zone category, it follows:</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i/>
          <w:iCs/>
          <w:lang w:val="en-US"/>
        </w:rPr>
        <w:tab/>
      </w:r>
      <w:r w:rsidRPr="00BD6197">
        <w:rPr>
          <w:i/>
          <w:iCs/>
          <w:lang w:val="en-US"/>
        </w:rPr>
        <w:tab/>
        <w:t>S</w:t>
      </w:r>
      <w:r w:rsidRPr="00BD6197">
        <w:rPr>
          <w:lang w:val="en-US"/>
        </w:rPr>
        <w:t xml:space="preserve"> = 0.3 × 2</w:t>
      </w:r>
      <w:r w:rsidRPr="00BD6197">
        <w:rPr>
          <w:rFonts w:ascii="Tms Rmn" w:hAnsi="Tms Rmn"/>
          <w:sz w:val="12"/>
          <w:lang w:val="en-US"/>
        </w:rPr>
        <w:t> </w:t>
      </w:r>
      <w:r w:rsidRPr="00BD6197">
        <w:rPr>
          <w:lang w:val="en-US"/>
        </w:rPr>
        <w:t>138 = 641 km</w:t>
      </w:r>
      <w:r w:rsidRPr="00BD6197">
        <w:rPr>
          <w:vertAlign w:val="superscript"/>
          <w:lang w:val="en-US"/>
        </w:rPr>
        <w:t>2</w:t>
      </w:r>
    </w:p>
    <w:p w:rsidR="0069427A" w:rsidRPr="00BD6197" w:rsidRDefault="0069427A" w:rsidP="0069427A">
      <w:pPr>
        <w:pStyle w:val="Blanc"/>
        <w:rPr>
          <w:lang w:val="en-US"/>
        </w:rPr>
      </w:pPr>
    </w:p>
    <w:p w:rsidR="0069427A" w:rsidRPr="00A01420" w:rsidRDefault="0069427A" w:rsidP="0069427A">
      <w:pPr>
        <w:pStyle w:val="Headingb"/>
        <w:rPr>
          <w:lang w:val="en-US"/>
        </w:rPr>
      </w:pPr>
      <w:bookmarkStart w:id="1747" w:name="_Toc454284952"/>
      <w:bookmarkStart w:id="1748" w:name="_Toc462234121"/>
      <w:r w:rsidRPr="00A01420">
        <w:rPr>
          <w:lang w:val="en-US"/>
        </w:rPr>
        <w:t>d)</w:t>
      </w:r>
      <w:r w:rsidRPr="00A01420">
        <w:rPr>
          <w:lang w:val="en-US"/>
        </w:rPr>
        <w:tab/>
        <w:t>Spectral resource used</w:t>
      </w:r>
      <w:bookmarkEnd w:id="1747"/>
      <w:bookmarkEnd w:id="1748"/>
    </w:p>
    <w:p w:rsidR="0069427A" w:rsidRPr="00BD6197" w:rsidRDefault="0069427A" w:rsidP="0069427A">
      <w:pPr>
        <w:rPr>
          <w:lang w:val="en-US"/>
        </w:rPr>
      </w:pPr>
      <w:r w:rsidRPr="00BD6197">
        <w:rPr>
          <w:lang w:val="en-US"/>
        </w:rPr>
        <w:t>Substituting values to equation (20), using values of weighting coefficients presented in Table 2 and taking into account non-sharing conditions (</w:t>
      </w:r>
      <w:r w:rsidRPr="00BD6197">
        <w:rPr>
          <w:lang w:val="en-US"/>
        </w:rPr>
        <w:sym w:font="Symbol" w:char="F062"/>
      </w:r>
      <w:r w:rsidRPr="00BD6197">
        <w:rPr>
          <w:lang w:val="en-US"/>
        </w:rPr>
        <w:t> = 1), we get finally:</w:t>
      </w:r>
    </w:p>
    <w:p w:rsidR="0069427A" w:rsidRPr="00BD6197" w:rsidRDefault="0069427A" w:rsidP="0069427A">
      <w:pPr>
        <w:pStyle w:val="Blanc"/>
        <w:rPr>
          <w:lang w:val="en-US"/>
        </w:rPr>
      </w:pPr>
    </w:p>
    <w:p w:rsidR="0069427A" w:rsidRPr="00BD6197" w:rsidRDefault="0069427A" w:rsidP="0069427A">
      <w:pPr>
        <w:pStyle w:val="Equation"/>
        <w:rPr>
          <w:i/>
          <w:lang w:val="en-US"/>
        </w:rPr>
      </w:pPr>
      <w:r w:rsidRPr="00BD6197">
        <w:rPr>
          <w:i/>
          <w:lang w:val="en-US"/>
        </w:rPr>
        <w:tab/>
      </w:r>
      <w:r w:rsidRPr="00BD6197">
        <w:rPr>
          <w:i/>
          <w:lang w:val="en-US"/>
        </w:rPr>
        <w:tab/>
        <w:t>W</w:t>
      </w:r>
      <w:r w:rsidRPr="00BD6197">
        <w:rPr>
          <w:lang w:val="en-US"/>
        </w:rPr>
        <w:t xml:space="preserve"> = 14 × 0.1 × 0.1 × 0.2 × 1 × 30 × 641 × 1 = 54           MHz </w:t>
      </w:r>
      <w:r w:rsidRPr="00BD6197">
        <w:rPr>
          <w:szCs w:val="24"/>
          <w:lang w:val="en-US"/>
        </w:rPr>
        <w:sym w:font="Symbol" w:char="F0D7"/>
      </w:r>
      <w:r w:rsidRPr="00BD6197">
        <w:rPr>
          <w:lang w:val="en-US"/>
        </w:rPr>
        <w:t xml:space="preserve"> km</w:t>
      </w:r>
      <w:r w:rsidRPr="00BD6197">
        <w:rPr>
          <w:vertAlign w:val="superscript"/>
          <w:lang w:val="en-US"/>
        </w:rPr>
        <w:t>2</w:t>
      </w:r>
      <w:r w:rsidRPr="00BD6197">
        <w:rPr>
          <w:lang w:val="en-US"/>
        </w:rPr>
        <w:t xml:space="preserve"> </w:t>
      </w:r>
      <w:r w:rsidRPr="00BD6197">
        <w:rPr>
          <w:szCs w:val="24"/>
          <w:lang w:val="en-US"/>
        </w:rPr>
        <w:sym w:font="Symbol" w:char="F0D7"/>
      </w:r>
      <w:r w:rsidRPr="00BD6197">
        <w:rPr>
          <w:lang w:val="en-US"/>
        </w:rPr>
        <w:t xml:space="preserve"> 1 year</w:t>
      </w:r>
    </w:p>
    <w:p w:rsidR="0069427A" w:rsidRPr="00A01420" w:rsidRDefault="0069427A" w:rsidP="0069427A">
      <w:pPr>
        <w:pStyle w:val="Headingb"/>
        <w:rPr>
          <w:lang w:val="en-US"/>
        </w:rPr>
      </w:pPr>
      <w:bookmarkStart w:id="1749" w:name="_Toc454284953"/>
      <w:bookmarkStart w:id="1750" w:name="_Toc462234122"/>
      <w:r w:rsidRPr="00A01420">
        <w:rPr>
          <w:lang w:val="en-US"/>
        </w:rPr>
        <w:t>e)</w:t>
      </w:r>
      <w:r w:rsidRPr="00A01420">
        <w:rPr>
          <w:lang w:val="en-US"/>
        </w:rPr>
        <w:tab/>
        <w:t>Summary of calculation results</w:t>
      </w:r>
      <w:bookmarkEnd w:id="1749"/>
      <w:bookmarkEnd w:id="1750"/>
    </w:p>
    <w:p w:rsidR="0069427A" w:rsidRPr="00BD6197" w:rsidRDefault="0069427A" w:rsidP="0069427A">
      <w:pPr>
        <w:rPr>
          <w:lang w:val="en-US"/>
        </w:rPr>
      </w:pPr>
      <w:r w:rsidRPr="00BD6197">
        <w:rPr>
          <w:lang w:val="en-US"/>
        </w:rPr>
        <w:t>Summary of calculation results for the purpose of comparison and for general orientation is presented in Table 13.</w:t>
      </w:r>
    </w:p>
    <w:p w:rsidR="0069427A" w:rsidRPr="00BD6197" w:rsidRDefault="0069427A" w:rsidP="0069427A">
      <w:pPr>
        <w:tabs>
          <w:tab w:val="clear" w:pos="794"/>
          <w:tab w:val="clear" w:pos="1191"/>
          <w:tab w:val="clear" w:pos="1588"/>
          <w:tab w:val="clear" w:pos="1985"/>
        </w:tabs>
        <w:overflowPunct/>
        <w:autoSpaceDE/>
        <w:autoSpaceDN/>
        <w:adjustRightInd/>
        <w:spacing w:before="0"/>
        <w:textAlignment w:val="auto"/>
        <w:rPr>
          <w:lang w:val="en-US"/>
        </w:rPr>
      </w:pPr>
    </w:p>
    <w:p w:rsidR="0069427A" w:rsidRPr="00BD6197" w:rsidRDefault="0069427A" w:rsidP="0069427A">
      <w:pPr>
        <w:pStyle w:val="TableNo"/>
        <w:rPr>
          <w:lang w:val="en-US"/>
        </w:rPr>
      </w:pPr>
      <w:r w:rsidRPr="00BD6197">
        <w:rPr>
          <w:lang w:val="en-US"/>
        </w:rPr>
        <w:lastRenderedPageBreak/>
        <w:t>TABLE 13</w:t>
      </w:r>
    </w:p>
    <w:p w:rsidR="0069427A" w:rsidRPr="00BD6197" w:rsidRDefault="0069427A" w:rsidP="0069427A">
      <w:pPr>
        <w:pStyle w:val="Tabletitle"/>
        <w:rPr>
          <w:lang w:val="en-US"/>
        </w:rPr>
      </w:pPr>
      <w:r w:rsidRPr="00BD6197">
        <w:rPr>
          <w:lang w:val="en-US"/>
        </w:rPr>
        <w:t>Summary of calculation results</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44"/>
        <w:gridCol w:w="6057"/>
        <w:gridCol w:w="2480"/>
      </w:tblGrid>
      <w:tr w:rsidR="0069427A" w:rsidRPr="00D17B5B" w:rsidTr="000F2BA7">
        <w:trPr>
          <w:jc w:val="center"/>
        </w:trPr>
        <w:tc>
          <w:tcPr>
            <w:tcW w:w="1244" w:type="dxa"/>
            <w:vAlign w:val="center"/>
          </w:tcPr>
          <w:p w:rsidR="0069427A" w:rsidRPr="00BD6197" w:rsidRDefault="0069427A" w:rsidP="000F2BA7">
            <w:pPr>
              <w:pStyle w:val="Tablehead"/>
              <w:rPr>
                <w:szCs w:val="22"/>
                <w:lang w:val="en-US"/>
              </w:rPr>
            </w:pPr>
            <w:r w:rsidRPr="00BD6197">
              <w:rPr>
                <w:szCs w:val="22"/>
                <w:lang w:val="en-US"/>
              </w:rPr>
              <w:t>Section</w:t>
            </w:r>
          </w:p>
        </w:tc>
        <w:tc>
          <w:tcPr>
            <w:tcW w:w="6057" w:type="dxa"/>
            <w:vAlign w:val="center"/>
          </w:tcPr>
          <w:p w:rsidR="0069427A" w:rsidRPr="00BD6197" w:rsidRDefault="0069427A" w:rsidP="000F2BA7">
            <w:pPr>
              <w:pStyle w:val="Tablehead"/>
              <w:rPr>
                <w:szCs w:val="22"/>
                <w:lang w:val="en-US"/>
              </w:rPr>
            </w:pPr>
            <w:r w:rsidRPr="00BD6197">
              <w:rPr>
                <w:szCs w:val="22"/>
                <w:lang w:val="en-US"/>
              </w:rPr>
              <w:t>Radio service, transmitter power</w:t>
            </w:r>
            <w:r w:rsidRPr="00BD6197">
              <w:rPr>
                <w:szCs w:val="22"/>
                <w:lang w:val="en-US"/>
              </w:rPr>
              <w:br/>
              <w:t>or radio link characteristic</w:t>
            </w:r>
          </w:p>
        </w:tc>
        <w:tc>
          <w:tcPr>
            <w:tcW w:w="2480" w:type="dxa"/>
            <w:vAlign w:val="center"/>
          </w:tcPr>
          <w:p w:rsidR="0069427A" w:rsidRPr="00BD6197" w:rsidRDefault="0069427A" w:rsidP="000F2BA7">
            <w:pPr>
              <w:pStyle w:val="Tablehead"/>
              <w:rPr>
                <w:szCs w:val="22"/>
                <w:lang w:val="en-US"/>
              </w:rPr>
            </w:pPr>
            <w:r w:rsidRPr="00BD6197">
              <w:rPr>
                <w:szCs w:val="22"/>
                <w:lang w:val="en-US"/>
              </w:rPr>
              <w:t>Spectral resource used</w:t>
            </w:r>
            <w:r w:rsidRPr="00BD6197">
              <w:rPr>
                <w:szCs w:val="22"/>
                <w:lang w:val="en-US"/>
              </w:rPr>
              <w:br/>
              <w:t xml:space="preserve">(MHz </w:t>
            </w:r>
            <w:r w:rsidRPr="00BD6197">
              <w:rPr>
                <w:lang w:val="en-US"/>
              </w:rPr>
              <w:t>–</w:t>
            </w:r>
            <w:r w:rsidRPr="00BD6197">
              <w:rPr>
                <w:szCs w:val="22"/>
                <w:lang w:val="en-US"/>
              </w:rPr>
              <w:t xml:space="preserve"> km</w:t>
            </w:r>
            <w:r w:rsidRPr="00BD6197">
              <w:rPr>
                <w:szCs w:val="22"/>
                <w:vertAlign w:val="superscript"/>
                <w:lang w:val="en-US"/>
              </w:rPr>
              <w:t>2</w:t>
            </w:r>
            <w:r w:rsidRPr="00BD6197">
              <w:rPr>
                <w:szCs w:val="22"/>
                <w:lang w:val="en-US"/>
              </w:rPr>
              <w:t xml:space="preserve"> </w:t>
            </w:r>
            <w:r w:rsidRPr="00BD6197">
              <w:rPr>
                <w:lang w:val="en-US"/>
              </w:rPr>
              <w:t>–</w:t>
            </w:r>
            <w:r w:rsidRPr="00BD6197">
              <w:rPr>
                <w:szCs w:val="22"/>
                <w:lang w:val="en-US"/>
              </w:rPr>
              <w:t xml:space="preserve"> 1 year)</w:t>
            </w:r>
          </w:p>
        </w:tc>
      </w:tr>
      <w:tr w:rsidR="0069427A" w:rsidRPr="00BD6197" w:rsidTr="000F2BA7">
        <w:trPr>
          <w:jc w:val="center"/>
        </w:trPr>
        <w:tc>
          <w:tcPr>
            <w:tcW w:w="1244" w:type="dxa"/>
          </w:tcPr>
          <w:p w:rsidR="0069427A" w:rsidRPr="00BD6197" w:rsidRDefault="0069427A" w:rsidP="000F2BA7">
            <w:pPr>
              <w:pStyle w:val="Tabletext"/>
              <w:rPr>
                <w:lang w:val="en-US"/>
              </w:rPr>
            </w:pPr>
            <w:r w:rsidRPr="00BD6197">
              <w:rPr>
                <w:lang w:val="en-US"/>
              </w:rPr>
              <w:t>1.2.1.2</w:t>
            </w:r>
          </w:p>
        </w:tc>
        <w:tc>
          <w:tcPr>
            <w:tcW w:w="6057" w:type="dxa"/>
          </w:tcPr>
          <w:p w:rsidR="0069427A" w:rsidRPr="00BD6197" w:rsidRDefault="0069427A" w:rsidP="000F2BA7">
            <w:pPr>
              <w:pStyle w:val="Tabletext"/>
              <w:rPr>
                <w:lang w:val="en-US"/>
              </w:rPr>
            </w:pPr>
            <w:r w:rsidRPr="00BD6197">
              <w:rPr>
                <w:lang w:val="en-US"/>
              </w:rPr>
              <w:t>FM sound broadcasting, 1.5 kW</w:t>
            </w:r>
          </w:p>
        </w:tc>
        <w:tc>
          <w:tcPr>
            <w:tcW w:w="2480" w:type="dxa"/>
          </w:tcPr>
          <w:p w:rsidR="0069427A" w:rsidRPr="00BD6197" w:rsidRDefault="0069427A" w:rsidP="000F2B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szCs w:val="22"/>
                <w:lang w:val="en-US"/>
              </w:rPr>
            </w:pPr>
            <w:r w:rsidRPr="00BD6197">
              <w:rPr>
                <w:szCs w:val="22"/>
                <w:lang w:val="en-US"/>
              </w:rPr>
              <w:t>2 430</w:t>
            </w:r>
          </w:p>
        </w:tc>
      </w:tr>
      <w:tr w:rsidR="0069427A" w:rsidRPr="00BD6197" w:rsidTr="000F2BA7">
        <w:trPr>
          <w:jc w:val="center"/>
        </w:trPr>
        <w:tc>
          <w:tcPr>
            <w:tcW w:w="1244" w:type="dxa"/>
          </w:tcPr>
          <w:p w:rsidR="0069427A" w:rsidRPr="00BD6197" w:rsidRDefault="0069427A" w:rsidP="000F2BA7">
            <w:pPr>
              <w:pStyle w:val="Tabletext"/>
              <w:rPr>
                <w:lang w:val="en-US"/>
              </w:rPr>
            </w:pPr>
            <w:r w:rsidRPr="00BD6197">
              <w:rPr>
                <w:lang w:val="en-US"/>
              </w:rPr>
              <w:t>1.3.1.3</w:t>
            </w:r>
          </w:p>
        </w:tc>
        <w:tc>
          <w:tcPr>
            <w:tcW w:w="6057" w:type="dxa"/>
          </w:tcPr>
          <w:p w:rsidR="0069427A" w:rsidRPr="00BD6197" w:rsidRDefault="0069427A" w:rsidP="000F2BA7">
            <w:pPr>
              <w:pStyle w:val="Tabletext"/>
              <w:rPr>
                <w:lang w:val="en-US"/>
              </w:rPr>
            </w:pPr>
            <w:r w:rsidRPr="00BD6197">
              <w:rPr>
                <w:lang w:val="en-US"/>
              </w:rPr>
              <w:t>Land mobile service, GSM base station, 2.5 W</w:t>
            </w:r>
          </w:p>
        </w:tc>
        <w:tc>
          <w:tcPr>
            <w:tcW w:w="2480" w:type="dxa"/>
          </w:tcPr>
          <w:p w:rsidR="0069427A" w:rsidRPr="00BD6197" w:rsidRDefault="0069427A" w:rsidP="000F2B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szCs w:val="22"/>
                <w:lang w:val="en-US"/>
              </w:rPr>
            </w:pPr>
            <w:r w:rsidRPr="00BD6197">
              <w:rPr>
                <w:szCs w:val="22"/>
                <w:lang w:val="en-US"/>
              </w:rPr>
              <w:t>2 172</w:t>
            </w:r>
          </w:p>
        </w:tc>
      </w:tr>
      <w:tr w:rsidR="0069427A" w:rsidRPr="00BD6197" w:rsidTr="000F2BA7">
        <w:trPr>
          <w:jc w:val="center"/>
        </w:trPr>
        <w:tc>
          <w:tcPr>
            <w:tcW w:w="1244" w:type="dxa"/>
          </w:tcPr>
          <w:p w:rsidR="0069427A" w:rsidRPr="00BD6197" w:rsidRDefault="0069427A" w:rsidP="000F2BA7">
            <w:pPr>
              <w:pStyle w:val="Tabletext"/>
              <w:rPr>
                <w:lang w:val="en-US"/>
              </w:rPr>
            </w:pPr>
            <w:r w:rsidRPr="00BD6197">
              <w:rPr>
                <w:lang w:val="en-US"/>
              </w:rPr>
              <w:t>1.3.2.3</w:t>
            </w:r>
          </w:p>
        </w:tc>
        <w:tc>
          <w:tcPr>
            <w:tcW w:w="6057" w:type="dxa"/>
          </w:tcPr>
          <w:p w:rsidR="0069427A" w:rsidRPr="00BD6197" w:rsidRDefault="0069427A" w:rsidP="000F2BA7">
            <w:pPr>
              <w:pStyle w:val="Tabletext"/>
              <w:rPr>
                <w:lang w:val="en-US"/>
              </w:rPr>
            </w:pPr>
            <w:r w:rsidRPr="00BD6197">
              <w:rPr>
                <w:lang w:val="en-US"/>
              </w:rPr>
              <w:t>Maritime mobile service, coast station, 50 W</w:t>
            </w:r>
          </w:p>
        </w:tc>
        <w:tc>
          <w:tcPr>
            <w:tcW w:w="2480" w:type="dxa"/>
          </w:tcPr>
          <w:p w:rsidR="0069427A" w:rsidRPr="00BD6197" w:rsidRDefault="0069427A" w:rsidP="000F2B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szCs w:val="22"/>
                <w:lang w:val="en-US"/>
              </w:rPr>
            </w:pPr>
            <w:r w:rsidRPr="00BD6197">
              <w:rPr>
                <w:szCs w:val="22"/>
                <w:lang w:val="en-US"/>
              </w:rPr>
              <w:t>3.7</w:t>
            </w:r>
          </w:p>
        </w:tc>
      </w:tr>
      <w:tr w:rsidR="0069427A" w:rsidRPr="00BD6197" w:rsidTr="000F2BA7">
        <w:trPr>
          <w:jc w:val="center"/>
        </w:trPr>
        <w:tc>
          <w:tcPr>
            <w:tcW w:w="1244" w:type="dxa"/>
          </w:tcPr>
          <w:p w:rsidR="0069427A" w:rsidRPr="00BD6197" w:rsidRDefault="0069427A" w:rsidP="000F2BA7">
            <w:pPr>
              <w:pStyle w:val="Tabletext"/>
              <w:rPr>
                <w:lang w:val="en-US"/>
              </w:rPr>
            </w:pPr>
            <w:r w:rsidRPr="00BD6197">
              <w:rPr>
                <w:lang w:val="en-US"/>
              </w:rPr>
              <w:t>1.3.3.2.1</w:t>
            </w:r>
          </w:p>
        </w:tc>
        <w:tc>
          <w:tcPr>
            <w:tcW w:w="6057" w:type="dxa"/>
          </w:tcPr>
          <w:p w:rsidR="0069427A" w:rsidRPr="00BD6197" w:rsidRDefault="0069427A" w:rsidP="000F2BA7">
            <w:pPr>
              <w:pStyle w:val="Tabletext"/>
              <w:rPr>
                <w:lang w:val="en-US"/>
              </w:rPr>
            </w:pPr>
            <w:r w:rsidRPr="00BD6197">
              <w:rPr>
                <w:lang w:val="en-US"/>
              </w:rPr>
              <w:t>Aeronautical radiocommunication aircraft height 10 000 m</w:t>
            </w:r>
          </w:p>
        </w:tc>
        <w:tc>
          <w:tcPr>
            <w:tcW w:w="2480" w:type="dxa"/>
          </w:tcPr>
          <w:p w:rsidR="0069427A" w:rsidRPr="00BD6197" w:rsidRDefault="0069427A" w:rsidP="000F2B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szCs w:val="22"/>
                <w:lang w:val="en-US"/>
              </w:rPr>
            </w:pPr>
            <w:r w:rsidRPr="00BD6197">
              <w:rPr>
                <w:szCs w:val="22"/>
                <w:lang w:val="en-US"/>
              </w:rPr>
              <w:t>4.4</w:t>
            </w:r>
          </w:p>
        </w:tc>
      </w:tr>
      <w:tr w:rsidR="0069427A" w:rsidRPr="00BD6197" w:rsidTr="000F2BA7">
        <w:trPr>
          <w:jc w:val="center"/>
        </w:trPr>
        <w:tc>
          <w:tcPr>
            <w:tcW w:w="1244" w:type="dxa"/>
          </w:tcPr>
          <w:p w:rsidR="0069427A" w:rsidRPr="00BD6197" w:rsidRDefault="0069427A" w:rsidP="000F2BA7">
            <w:pPr>
              <w:pStyle w:val="Tabletext"/>
              <w:rPr>
                <w:lang w:val="en-US"/>
              </w:rPr>
            </w:pPr>
            <w:r w:rsidRPr="00BD6197">
              <w:rPr>
                <w:lang w:val="en-US"/>
              </w:rPr>
              <w:t>1.3.3.2.2</w:t>
            </w:r>
          </w:p>
        </w:tc>
        <w:tc>
          <w:tcPr>
            <w:tcW w:w="6057" w:type="dxa"/>
          </w:tcPr>
          <w:p w:rsidR="0069427A" w:rsidRPr="00BD6197" w:rsidRDefault="0069427A" w:rsidP="000F2BA7">
            <w:pPr>
              <w:pStyle w:val="Tabletext"/>
              <w:rPr>
                <w:lang w:val="en-US"/>
              </w:rPr>
            </w:pPr>
            <w:r w:rsidRPr="00BD6197">
              <w:rPr>
                <w:lang w:val="en-US"/>
              </w:rPr>
              <w:t>Primary radar, aircraft height 10 000 m</w:t>
            </w:r>
          </w:p>
        </w:tc>
        <w:tc>
          <w:tcPr>
            <w:tcW w:w="2480" w:type="dxa"/>
          </w:tcPr>
          <w:p w:rsidR="0069427A" w:rsidRPr="00BD6197" w:rsidRDefault="0069427A" w:rsidP="000F2B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szCs w:val="22"/>
                <w:lang w:val="en-US"/>
              </w:rPr>
            </w:pPr>
            <w:r w:rsidRPr="00BD6197">
              <w:rPr>
                <w:szCs w:val="22"/>
                <w:lang w:val="en-US"/>
              </w:rPr>
              <w:t>3.5</w:t>
            </w:r>
          </w:p>
        </w:tc>
      </w:tr>
      <w:tr w:rsidR="0069427A" w:rsidRPr="00BD6197" w:rsidTr="000F2BA7">
        <w:trPr>
          <w:jc w:val="center"/>
        </w:trPr>
        <w:tc>
          <w:tcPr>
            <w:tcW w:w="1244" w:type="dxa"/>
          </w:tcPr>
          <w:p w:rsidR="0069427A" w:rsidRPr="00BD6197" w:rsidRDefault="0069427A" w:rsidP="000F2BA7">
            <w:pPr>
              <w:pStyle w:val="Tabletext"/>
              <w:rPr>
                <w:lang w:val="en-US"/>
              </w:rPr>
            </w:pPr>
            <w:r w:rsidRPr="00BD6197">
              <w:rPr>
                <w:lang w:val="en-US"/>
              </w:rPr>
              <w:t>1.4.2</w:t>
            </w:r>
          </w:p>
        </w:tc>
        <w:tc>
          <w:tcPr>
            <w:tcW w:w="6057" w:type="dxa"/>
          </w:tcPr>
          <w:p w:rsidR="0069427A" w:rsidRPr="00BD6197" w:rsidRDefault="0069427A" w:rsidP="000F2BA7">
            <w:pPr>
              <w:pStyle w:val="Tabletext"/>
              <w:rPr>
                <w:lang w:val="en-US"/>
              </w:rPr>
            </w:pPr>
            <w:r w:rsidRPr="00BD6197">
              <w:rPr>
                <w:lang w:val="en-US"/>
              </w:rPr>
              <w:t>Fixed service, microwave link, hop-length 45 km</w:t>
            </w:r>
          </w:p>
        </w:tc>
        <w:tc>
          <w:tcPr>
            <w:tcW w:w="2480" w:type="dxa"/>
          </w:tcPr>
          <w:p w:rsidR="0069427A" w:rsidRPr="00BD6197" w:rsidRDefault="0069427A" w:rsidP="000F2B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szCs w:val="22"/>
                <w:lang w:val="en-US"/>
              </w:rPr>
            </w:pPr>
            <w:r w:rsidRPr="00BD6197">
              <w:rPr>
                <w:szCs w:val="22"/>
                <w:lang w:val="en-US"/>
              </w:rPr>
              <w:t>1.4</w:t>
            </w:r>
          </w:p>
        </w:tc>
      </w:tr>
      <w:tr w:rsidR="0069427A" w:rsidRPr="00BD6197" w:rsidTr="000F2BA7">
        <w:trPr>
          <w:jc w:val="center"/>
        </w:trPr>
        <w:tc>
          <w:tcPr>
            <w:tcW w:w="1244" w:type="dxa"/>
          </w:tcPr>
          <w:p w:rsidR="0069427A" w:rsidRPr="00BD6197" w:rsidRDefault="0069427A" w:rsidP="000F2BA7">
            <w:pPr>
              <w:pStyle w:val="Tabletext"/>
              <w:rPr>
                <w:lang w:val="en-US"/>
              </w:rPr>
            </w:pPr>
            <w:r w:rsidRPr="00BD6197">
              <w:rPr>
                <w:lang w:val="en-US"/>
              </w:rPr>
              <w:t>1.5.2.1</w:t>
            </w:r>
          </w:p>
        </w:tc>
        <w:tc>
          <w:tcPr>
            <w:tcW w:w="6057" w:type="dxa"/>
          </w:tcPr>
          <w:p w:rsidR="0069427A" w:rsidRPr="00BD6197" w:rsidRDefault="0069427A" w:rsidP="000F2BA7">
            <w:pPr>
              <w:pStyle w:val="Tabletext"/>
              <w:rPr>
                <w:lang w:val="en-US"/>
              </w:rPr>
            </w:pPr>
            <w:r w:rsidRPr="00BD6197">
              <w:rPr>
                <w:lang w:val="en-US"/>
              </w:rPr>
              <w:t>Transmitting earth station, MSS feeder link</w:t>
            </w:r>
          </w:p>
        </w:tc>
        <w:tc>
          <w:tcPr>
            <w:tcW w:w="2480" w:type="dxa"/>
          </w:tcPr>
          <w:p w:rsidR="0069427A" w:rsidRPr="00BD6197" w:rsidRDefault="0069427A" w:rsidP="000F2B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szCs w:val="22"/>
                <w:lang w:val="en-US"/>
              </w:rPr>
            </w:pPr>
            <w:r w:rsidRPr="00BD6197">
              <w:rPr>
                <w:szCs w:val="22"/>
                <w:lang w:val="en-US"/>
              </w:rPr>
              <w:t>550</w:t>
            </w:r>
          </w:p>
        </w:tc>
      </w:tr>
      <w:tr w:rsidR="0069427A" w:rsidRPr="00BD6197" w:rsidTr="000F2BA7">
        <w:trPr>
          <w:jc w:val="center"/>
        </w:trPr>
        <w:tc>
          <w:tcPr>
            <w:tcW w:w="1244" w:type="dxa"/>
          </w:tcPr>
          <w:p w:rsidR="0069427A" w:rsidRPr="00BD6197" w:rsidRDefault="0069427A" w:rsidP="000F2BA7">
            <w:pPr>
              <w:pStyle w:val="Tabletext"/>
              <w:rPr>
                <w:lang w:val="en-US"/>
              </w:rPr>
            </w:pPr>
            <w:r w:rsidRPr="00BD6197">
              <w:rPr>
                <w:lang w:val="en-US"/>
              </w:rPr>
              <w:t>1.5.2.2</w:t>
            </w:r>
          </w:p>
        </w:tc>
        <w:tc>
          <w:tcPr>
            <w:tcW w:w="6057" w:type="dxa"/>
          </w:tcPr>
          <w:p w:rsidR="0069427A" w:rsidRPr="00BD6197" w:rsidRDefault="0069427A" w:rsidP="000F2BA7">
            <w:pPr>
              <w:pStyle w:val="Tabletext"/>
              <w:rPr>
                <w:lang w:val="en-US"/>
              </w:rPr>
            </w:pPr>
            <w:r w:rsidRPr="00BD6197">
              <w:rPr>
                <w:lang w:val="en-US"/>
              </w:rPr>
              <w:t>Receiving VSAT earth station</w:t>
            </w:r>
          </w:p>
        </w:tc>
        <w:tc>
          <w:tcPr>
            <w:tcW w:w="2480" w:type="dxa"/>
          </w:tcPr>
          <w:p w:rsidR="0069427A" w:rsidRPr="00BD6197" w:rsidRDefault="0069427A" w:rsidP="000F2BA7">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szCs w:val="22"/>
                <w:lang w:val="en-US"/>
              </w:rPr>
            </w:pPr>
            <w:r w:rsidRPr="00BD6197">
              <w:rPr>
                <w:szCs w:val="22"/>
                <w:lang w:val="en-US"/>
              </w:rPr>
              <w:t>54</w:t>
            </w:r>
          </w:p>
        </w:tc>
      </w:tr>
    </w:tbl>
    <w:p w:rsidR="0069427A" w:rsidRPr="00BD6197" w:rsidRDefault="0069427A" w:rsidP="0069427A">
      <w:pPr>
        <w:pStyle w:val="Tablefin"/>
        <w:rPr>
          <w:lang w:val="en-US"/>
        </w:rPr>
      </w:pPr>
    </w:p>
    <w:p w:rsidR="0038417F" w:rsidRPr="004B611D" w:rsidRDefault="0038417F" w:rsidP="0038417F">
      <w:pPr>
        <w:pStyle w:val="Heading2"/>
        <w:rPr>
          <w:lang w:val="en-GB"/>
        </w:rPr>
      </w:pPr>
      <w:bookmarkStart w:id="1751" w:name="_Toc518394241"/>
      <w:bookmarkStart w:id="1752" w:name="_Toc394385981"/>
      <w:bookmarkStart w:id="1753" w:name="_Toc394386068"/>
      <w:bookmarkStart w:id="1754" w:name="_Toc395503172"/>
      <w:bookmarkStart w:id="1755" w:name="_Toc459746722"/>
      <w:bookmarkStart w:id="1756" w:name="_Toc459792655"/>
      <w:bookmarkStart w:id="1757" w:name="_Toc459793821"/>
      <w:bookmarkStart w:id="1758" w:name="_Toc459793963"/>
      <w:bookmarkStart w:id="1759" w:name="_Toc459970425"/>
      <w:r w:rsidRPr="004B611D">
        <w:rPr>
          <w:lang w:val="en-GB"/>
        </w:rPr>
        <w:t>4.8</w:t>
      </w:r>
      <w:r w:rsidRPr="004B611D">
        <w:rPr>
          <w:lang w:val="en-GB"/>
        </w:rPr>
        <w:tab/>
        <w:t>Opportunity cost and administrative incentive pricing</w:t>
      </w:r>
      <w:r w:rsidRPr="004B611D">
        <w:rPr>
          <w:rStyle w:val="FootnoteAnchor"/>
          <w:lang w:val="en-GB"/>
        </w:rPr>
        <w:footnoteReference w:id="4"/>
      </w:r>
      <w:r w:rsidRPr="004B611D">
        <w:rPr>
          <w:lang w:val="en-GB"/>
        </w:rPr>
        <w:t>: simple, functional and linear equations</w:t>
      </w:r>
      <w:bookmarkEnd w:id="1751"/>
    </w:p>
    <w:p w:rsidR="0038417F" w:rsidRPr="004B611D" w:rsidRDefault="0038417F" w:rsidP="0038417F">
      <w:pPr>
        <w:rPr>
          <w:lang w:val="en-GB"/>
        </w:rPr>
      </w:pPr>
      <w:r w:rsidRPr="004B611D">
        <w:rPr>
          <w:lang w:val="en-GB"/>
        </w:rPr>
        <w:t>As specified in § 2.3.4.4, opportunity cost in the case of spectrum means the alternative value that is foregone when a section of frequency spectrum is assigned to a particular user. This model promotes the efficient use of the RF and can favor broadband coverage and capacity in the rural areas. This logical model takes care of the spectrum utilization fees only, and details the application and spectrum access fees of the different radio services. The spectrum access fees are levied one time during the initial application process and are reiterated annually. As specified in § 5.2.8, the model is also administrative incentive pricing (AIP) to help spectrum users (and their suppliers) make more efficient decisions concerning their use of spectrum. The model is general and provides specific values. Administrations may choose different modifiers.</w:t>
      </w:r>
    </w:p>
    <w:p w:rsidR="0038417F" w:rsidRPr="004B611D" w:rsidRDefault="0038417F" w:rsidP="0038417F">
      <w:pPr>
        <w:pStyle w:val="Heading3"/>
        <w:rPr>
          <w:lang w:val="en-GB"/>
        </w:rPr>
      </w:pPr>
      <w:bookmarkStart w:id="1760" w:name="_Toc518394242"/>
      <w:r w:rsidRPr="004B611D">
        <w:rPr>
          <w:lang w:val="en-GB"/>
        </w:rPr>
        <w:t>4.8.1</w:t>
      </w:r>
      <w:r w:rsidRPr="004B611D">
        <w:rPr>
          <w:lang w:val="en-GB"/>
        </w:rPr>
        <w:tab/>
      </w:r>
      <w:bookmarkStart w:id="1761" w:name="_Toc484727740"/>
      <w:r w:rsidRPr="004B611D">
        <w:rPr>
          <w:lang w:val="en-GB"/>
        </w:rPr>
        <w:t>The pricing formula and parameters</w:t>
      </w:r>
      <w:bookmarkEnd w:id="1760"/>
      <w:bookmarkEnd w:id="1761"/>
    </w:p>
    <w:p w:rsidR="0038417F" w:rsidRPr="004B611D" w:rsidRDefault="0038417F" w:rsidP="0038417F">
      <w:pPr>
        <w:rPr>
          <w:lang w:val="en-GB"/>
        </w:rPr>
      </w:pPr>
      <w:r w:rsidRPr="004B611D">
        <w:rPr>
          <w:lang w:val="en-GB"/>
        </w:rPr>
        <w:t>For all services, it is an opportunity cost and AIP fee formula, represented by the following general, simple, functional and linear (with bandwidth) form:</w:t>
      </w:r>
    </w:p>
    <w:p w:rsidR="0038417F" w:rsidRPr="004B611D" w:rsidRDefault="0038417F" w:rsidP="0038417F">
      <w:pPr>
        <w:pStyle w:val="Equation"/>
        <w:rPr>
          <w:lang w:val="en-GB"/>
        </w:rPr>
      </w:pPr>
      <w:r w:rsidRPr="004B611D">
        <w:rPr>
          <w:lang w:val="en-GB"/>
        </w:rPr>
        <w:tab/>
      </w:r>
      <w:r w:rsidRPr="004B611D">
        <w:rPr>
          <w:lang w:val="en-GB"/>
        </w:rPr>
        <w:tab/>
      </w:r>
      <w:r w:rsidR="00A945F2" w:rsidRPr="004B611D">
        <w:rPr>
          <w:position w:val="-14"/>
          <w:lang w:val="en-GB"/>
        </w:rPr>
        <w:object w:dxaOrig="3080" w:dyaOrig="380">
          <v:shape id="_x0000_i1074" type="#_x0000_t75" style="width:198.75pt;height:20.25pt" o:ole="">
            <v:imagedata r:id="rId118" o:title=""/>
          </v:shape>
          <o:OLEObject Type="Embed" ProgID="Equation.DSMT4" ShapeID="_x0000_i1074" DrawAspect="Content" ObjectID="_1604325028" r:id="rId119"/>
        </w:object>
      </w:r>
      <w:r w:rsidRPr="004B611D">
        <w:rPr>
          <w:lang w:val="en-GB"/>
        </w:rPr>
        <w:t xml:space="preserve"> </w:t>
      </w:r>
      <w:r w:rsidRPr="004B611D">
        <w:rPr>
          <w:lang w:val="en-GB"/>
        </w:rPr>
        <w:tab/>
        <w:t>(51)</w:t>
      </w:r>
    </w:p>
    <w:p w:rsidR="0038417F" w:rsidRPr="004B611D" w:rsidRDefault="0038417F" w:rsidP="0038417F">
      <w:pPr>
        <w:rPr>
          <w:lang w:val="en-GB"/>
        </w:rPr>
      </w:pPr>
      <w:r w:rsidRPr="004B611D">
        <w:rPr>
          <w:lang w:val="en-GB"/>
        </w:rPr>
        <w:t>Dividing the two parts of the equation by the bandwidth B, the following fee formula per MHz is obtained:</w:t>
      </w:r>
    </w:p>
    <w:p w:rsidR="0038417F" w:rsidRPr="004B611D" w:rsidRDefault="0038417F" w:rsidP="0038417F">
      <w:pPr>
        <w:pStyle w:val="Equation"/>
        <w:rPr>
          <w:lang w:val="en-GB"/>
        </w:rPr>
      </w:pPr>
      <w:r w:rsidRPr="004B611D">
        <w:rPr>
          <w:lang w:val="en-GB"/>
        </w:rPr>
        <w:tab/>
      </w:r>
      <w:r w:rsidRPr="004B611D">
        <w:rPr>
          <w:lang w:val="en-GB"/>
        </w:rPr>
        <w:tab/>
      </w:r>
      <w:r w:rsidR="00A945F2" w:rsidRPr="004B611D">
        <w:rPr>
          <w:position w:val="-24"/>
          <w:lang w:val="en-GB"/>
        </w:rPr>
        <w:object w:dxaOrig="2780" w:dyaOrig="620">
          <v:shape id="_x0000_i1075" type="#_x0000_t75" style="width:153.75pt;height:31.5pt" o:ole="">
            <v:imagedata r:id="rId120" o:title=""/>
          </v:shape>
          <o:OLEObject Type="Embed" ProgID="Equation.DSMT4" ShapeID="_x0000_i1075" DrawAspect="Content" ObjectID="_1604325029" r:id="rId121"/>
        </w:object>
      </w:r>
      <w:r w:rsidRPr="004B611D">
        <w:rPr>
          <w:lang w:val="en-GB"/>
        </w:rPr>
        <w:t xml:space="preserve"> </w:t>
      </w:r>
      <w:r w:rsidRPr="004B611D">
        <w:rPr>
          <w:lang w:val="en-GB"/>
        </w:rPr>
        <w:tab/>
        <w:t>(52)</w:t>
      </w:r>
    </w:p>
    <w:p w:rsidR="0038417F" w:rsidRPr="004B611D" w:rsidRDefault="0038417F" w:rsidP="0038417F">
      <w:pPr>
        <w:rPr>
          <w:lang w:val="en-GB"/>
        </w:rPr>
      </w:pPr>
      <w:r w:rsidRPr="004B611D">
        <w:rPr>
          <w:lang w:val="en-GB"/>
        </w:rPr>
        <w:t xml:space="preserve">Except Cost unit in the national currency (cur), </w:t>
      </w:r>
      <w:r w:rsidRPr="00A945F2">
        <w:rPr>
          <w:sz w:val="28"/>
          <w:szCs w:val="28"/>
          <w:lang w:val="en-GB"/>
        </w:rPr>
        <w:t>α</w:t>
      </w:r>
      <w:r w:rsidRPr="004B611D">
        <w:rPr>
          <w:i/>
          <w:iCs/>
          <w:sz w:val="28"/>
          <w:szCs w:val="28"/>
          <w:lang w:val="en-GB"/>
        </w:rPr>
        <w:t xml:space="preserve"> </w:t>
      </w:r>
      <w:r w:rsidRPr="004B611D">
        <w:rPr>
          <w:lang w:val="en-GB"/>
        </w:rPr>
        <w:t xml:space="preserve">(cur/MHz) and </w:t>
      </w:r>
      <w:r w:rsidRPr="004B611D">
        <w:rPr>
          <w:i/>
          <w:iCs/>
          <w:lang w:val="en-GB"/>
        </w:rPr>
        <w:t>B</w:t>
      </w:r>
      <w:r w:rsidRPr="004B611D">
        <w:rPr>
          <w:lang w:val="en-GB"/>
        </w:rPr>
        <w:t xml:space="preserve"> (MHz), all Except Cost unit in the national currency (cur), </w:t>
      </w:r>
      <w:r w:rsidRPr="004B611D">
        <w:rPr>
          <w:sz w:val="28"/>
          <w:szCs w:val="28"/>
          <w:lang w:val="en-GB"/>
        </w:rPr>
        <w:t>α</w:t>
      </w:r>
      <w:r w:rsidRPr="004B611D">
        <w:rPr>
          <w:i/>
          <w:iCs/>
          <w:sz w:val="28"/>
          <w:szCs w:val="28"/>
          <w:lang w:val="en-GB"/>
        </w:rPr>
        <w:t xml:space="preserve"> </w:t>
      </w:r>
      <w:r w:rsidRPr="004B611D">
        <w:rPr>
          <w:lang w:val="en-GB"/>
        </w:rPr>
        <w:t xml:space="preserve">(cur/MHz) and </w:t>
      </w:r>
      <w:r w:rsidRPr="004B611D">
        <w:rPr>
          <w:i/>
          <w:iCs/>
          <w:lang w:val="en-GB"/>
        </w:rPr>
        <w:t>B</w:t>
      </w:r>
      <w:r w:rsidRPr="004B611D">
        <w:rPr>
          <w:lang w:val="en-GB"/>
        </w:rPr>
        <w:t xml:space="preserve"> (MHz), all parameters serve as modifiers</w:t>
      </w:r>
      <w:r w:rsidRPr="004B611D">
        <w:rPr>
          <w:rStyle w:val="FootnoteAnchor"/>
          <w:lang w:val="en-GB"/>
        </w:rPr>
        <w:footnoteReference w:id="5"/>
      </w:r>
      <w:r w:rsidRPr="004B611D">
        <w:rPr>
          <w:lang w:val="en-GB"/>
        </w:rPr>
        <w:t>. The Model determines the fees only for transmitters; i.e. VSAT earth stations operators pay only for their transmitters’ bandwidth; FM and TV receivers don’t pay spectrum utilization fee (SUF).</w:t>
      </w:r>
    </w:p>
    <w:p w:rsidR="0038417F" w:rsidRPr="004B611D" w:rsidRDefault="0038417F" w:rsidP="0038417F">
      <w:pPr>
        <w:rPr>
          <w:lang w:val="en-GB"/>
        </w:rPr>
      </w:pPr>
      <w:r w:rsidRPr="004B611D">
        <w:rPr>
          <w:lang w:val="en-GB"/>
        </w:rPr>
        <w:t xml:space="preserve">Following are the definitions of all parameters: </w:t>
      </w:r>
    </w:p>
    <w:p w:rsidR="0038417F" w:rsidRPr="004B611D" w:rsidRDefault="0038417F" w:rsidP="0038417F">
      <w:pPr>
        <w:tabs>
          <w:tab w:val="right" w:pos="1871"/>
          <w:tab w:val="left" w:pos="2041"/>
        </w:tabs>
        <w:spacing w:before="360"/>
        <w:ind w:left="2041" w:hanging="2041"/>
        <w:rPr>
          <w:lang w:val="en-GB"/>
        </w:rPr>
      </w:pPr>
      <w:r w:rsidRPr="004B611D">
        <w:rPr>
          <w:b/>
          <w:bCs/>
          <w:i/>
          <w:iCs/>
          <w:szCs w:val="24"/>
          <w:lang w:val="en-GB"/>
        </w:rPr>
        <w:lastRenderedPageBreak/>
        <w:tab/>
      </w:r>
      <w:r w:rsidRPr="004B611D">
        <w:rPr>
          <w:i/>
          <w:iCs/>
          <w:szCs w:val="24"/>
          <w:lang w:val="en-GB"/>
        </w:rPr>
        <w:t>Cost</w:t>
      </w:r>
      <w:r w:rsidRPr="004B611D">
        <w:rPr>
          <w:i/>
          <w:iCs/>
          <w:sz w:val="28"/>
          <w:szCs w:val="28"/>
          <w:lang w:val="en-GB"/>
        </w:rPr>
        <w:t xml:space="preserve"> </w:t>
      </w:r>
      <w:r w:rsidRPr="004B611D">
        <w:rPr>
          <w:lang w:val="en-GB"/>
        </w:rPr>
        <w:t>(cur):</w:t>
      </w:r>
      <w:r w:rsidRPr="004B611D">
        <w:rPr>
          <w:lang w:val="en-GB"/>
        </w:rPr>
        <w:tab/>
        <w:t>spectrum cost in national currency</w:t>
      </w:r>
    </w:p>
    <w:p w:rsidR="0038417F" w:rsidRPr="004B611D" w:rsidRDefault="0038417F" w:rsidP="0038417F">
      <w:pPr>
        <w:pStyle w:val="Equationlegend"/>
        <w:rPr>
          <w:lang w:val="en-GB"/>
        </w:rPr>
      </w:pPr>
      <w:r w:rsidRPr="004B611D">
        <w:rPr>
          <w:b/>
          <w:i/>
          <w:iCs/>
          <w:lang w:val="en-GB"/>
        </w:rPr>
        <w:tab/>
      </w:r>
      <w:r w:rsidRPr="004B611D">
        <w:rPr>
          <w:bCs/>
          <w:i/>
          <w:iCs/>
          <w:lang w:val="en-GB"/>
        </w:rPr>
        <w:t>B</w:t>
      </w:r>
      <w:r w:rsidRPr="004B611D">
        <w:rPr>
          <w:bCs/>
          <w:lang w:val="en-GB"/>
        </w:rPr>
        <w:t xml:space="preserve"> (MHz): </w:t>
      </w:r>
      <w:r w:rsidRPr="004B611D">
        <w:rPr>
          <w:bCs/>
          <w:lang w:val="en-GB"/>
        </w:rPr>
        <w:tab/>
      </w:r>
      <w:r w:rsidRPr="004B611D">
        <w:rPr>
          <w:lang w:val="en-GB"/>
        </w:rPr>
        <w:t>total assigned bandwidth</w:t>
      </w:r>
    </w:p>
    <w:p w:rsidR="0038417F" w:rsidRPr="004B611D" w:rsidRDefault="0038417F" w:rsidP="0038417F">
      <w:pPr>
        <w:pStyle w:val="Equationlegend"/>
        <w:rPr>
          <w:sz w:val="16"/>
          <w:szCs w:val="16"/>
          <w:lang w:val="en-GB"/>
        </w:rPr>
      </w:pPr>
      <w:r w:rsidRPr="004B611D">
        <w:rPr>
          <w:b/>
          <w:bCs/>
          <w:i/>
          <w:iCs/>
          <w:sz w:val="28"/>
          <w:szCs w:val="28"/>
          <w:lang w:val="en-GB"/>
        </w:rPr>
        <w:tab/>
      </w:r>
      <w:r w:rsidRPr="004B611D">
        <w:rPr>
          <w:sz w:val="28"/>
          <w:szCs w:val="28"/>
          <w:lang w:val="en-GB"/>
        </w:rPr>
        <w:t xml:space="preserve">α </w:t>
      </w:r>
      <w:r w:rsidRPr="004B611D">
        <w:rPr>
          <w:lang w:val="en-GB"/>
        </w:rPr>
        <w:t>(cur/MHz):</w:t>
      </w:r>
      <w:r w:rsidRPr="004B611D">
        <w:rPr>
          <w:lang w:val="en-GB"/>
        </w:rPr>
        <w:tab/>
        <w:t>basic price unit. Based on the market dynamics, the country’s vision of the ICT sector and international best practice.</w:t>
      </w:r>
      <w:r w:rsidRPr="004B611D">
        <w:rPr>
          <w:i/>
          <w:iCs/>
          <w:lang w:val="en-GB"/>
        </w:rPr>
        <w:t xml:space="preserve"> </w:t>
      </w:r>
      <w:r w:rsidRPr="004B611D">
        <w:rPr>
          <w:lang w:val="en-GB"/>
        </w:rPr>
        <w:t>α</w:t>
      </w:r>
      <w:r w:rsidRPr="004B611D">
        <w:rPr>
          <w:i/>
          <w:iCs/>
          <w:lang w:val="en-GB"/>
        </w:rPr>
        <w:t xml:space="preserve"> </w:t>
      </w:r>
      <w:r w:rsidRPr="004B611D">
        <w:rPr>
          <w:lang w:val="en-GB"/>
        </w:rPr>
        <w:t>is the value of 1 MHz for cellular service below 6 000 MHz</w:t>
      </w:r>
    </w:p>
    <w:p w:rsidR="0038417F" w:rsidRPr="004B611D" w:rsidRDefault="0038417F" w:rsidP="0038417F">
      <w:pPr>
        <w:pStyle w:val="Equationlegend"/>
        <w:rPr>
          <w:lang w:val="en-GB"/>
        </w:rPr>
      </w:pPr>
      <w:r w:rsidRPr="004B611D">
        <w:rPr>
          <w:b/>
          <w:bCs/>
          <w:i/>
          <w:iCs/>
          <w:lang w:val="en-GB"/>
        </w:rPr>
        <w:tab/>
      </w:r>
      <w:r w:rsidRPr="004B611D">
        <w:rPr>
          <w:i/>
          <w:iCs/>
          <w:lang w:val="en-GB"/>
        </w:rPr>
        <w:t>F</w:t>
      </w:r>
      <w:r w:rsidRPr="004B611D">
        <w:rPr>
          <w:lang w:val="en-GB"/>
        </w:rPr>
        <w:t xml:space="preserve">: </w:t>
      </w:r>
      <w:r w:rsidRPr="004B611D">
        <w:rPr>
          <w:lang w:val="en-GB"/>
        </w:rPr>
        <w:tab/>
        <w:t xml:space="preserve">depends solely on centre frequency; </w:t>
      </w:r>
      <w:r w:rsidRPr="004B611D">
        <w:rPr>
          <w:i/>
          <w:iCs/>
          <w:lang w:val="en-GB"/>
        </w:rPr>
        <w:t>F</w:t>
      </w:r>
      <w:r w:rsidRPr="004B611D">
        <w:rPr>
          <w:lang w:val="en-GB"/>
        </w:rPr>
        <w:t xml:space="preserve"> equals 1 for frequencies below 6 000 MHz and 6 000/</w:t>
      </w:r>
      <w:r w:rsidRPr="004B611D">
        <w:rPr>
          <w:i/>
          <w:iCs/>
          <w:sz w:val="28"/>
          <w:lang w:val="en-GB"/>
        </w:rPr>
        <w:t xml:space="preserve">f </w:t>
      </w:r>
      <w:r w:rsidRPr="004B611D">
        <w:rPr>
          <w:lang w:val="en-GB"/>
        </w:rPr>
        <w:t xml:space="preserve">for higher frequencies. </w:t>
      </w:r>
      <w:r w:rsidRPr="004B611D">
        <w:rPr>
          <w:i/>
          <w:iCs/>
          <w:lang w:val="en-GB"/>
        </w:rPr>
        <w:t>F</w:t>
      </w:r>
      <w:r w:rsidRPr="004B611D">
        <w:rPr>
          <w:lang w:val="en-GB"/>
        </w:rPr>
        <w:t xml:space="preserve"> is uncorrelated to the service</w:t>
      </w:r>
    </w:p>
    <w:p w:rsidR="0038417F" w:rsidRPr="004B611D" w:rsidRDefault="0038417F" w:rsidP="0038417F">
      <w:pPr>
        <w:pStyle w:val="Equationlegend"/>
        <w:rPr>
          <w:rFonts w:ascii="Garamond" w:hAnsi="Garamond"/>
          <w:lang w:val="en-GB"/>
        </w:rPr>
      </w:pPr>
      <w:r w:rsidRPr="004B611D">
        <w:rPr>
          <w:b/>
          <w:bCs/>
          <w:i/>
          <w:iCs/>
          <w:sz w:val="28"/>
          <w:szCs w:val="28"/>
          <w:lang w:val="en-GB"/>
        </w:rPr>
        <w:tab/>
      </w:r>
      <w:r w:rsidRPr="004B611D">
        <w:rPr>
          <w:sz w:val="28"/>
          <w:szCs w:val="28"/>
          <w:lang w:val="en-GB"/>
        </w:rPr>
        <w:t>ρ</w:t>
      </w:r>
      <w:r w:rsidRPr="004B611D">
        <w:rPr>
          <w:lang w:val="en-GB"/>
        </w:rPr>
        <w:t>:</w:t>
      </w:r>
      <w:r w:rsidRPr="004B611D">
        <w:rPr>
          <w:rFonts w:ascii="Garamond" w:hAnsi="Garamond"/>
          <w:lang w:val="en-GB"/>
        </w:rPr>
        <w:tab/>
      </w:r>
      <w:r w:rsidRPr="004B611D">
        <w:rPr>
          <w:szCs w:val="24"/>
          <w:lang w:val="en-GB"/>
        </w:rPr>
        <w:t xml:space="preserve">regional factor; </w:t>
      </w:r>
      <w:r w:rsidRPr="004B611D">
        <w:rPr>
          <w:lang w:val="en-GB"/>
        </w:rPr>
        <w:t>equals</w:t>
      </w:r>
      <w:r w:rsidRPr="004B611D">
        <w:rPr>
          <w:szCs w:val="24"/>
          <w:lang w:val="en-GB"/>
        </w:rPr>
        <w:t xml:space="preserve"> 1 for national license, and proportional (less than 1) to the number of administrative areas (regions, provinces) covered by non-national license</w:t>
      </w:r>
    </w:p>
    <w:p w:rsidR="0038417F" w:rsidRPr="004B611D" w:rsidRDefault="0038417F" w:rsidP="0038417F">
      <w:pPr>
        <w:pStyle w:val="Equationlegend"/>
        <w:rPr>
          <w:lang w:val="en-GB"/>
        </w:rPr>
      </w:pPr>
      <w:r w:rsidRPr="004B611D">
        <w:rPr>
          <w:b/>
          <w:bCs/>
          <w:i/>
          <w:iCs/>
          <w:sz w:val="28"/>
          <w:szCs w:val="28"/>
          <w:lang w:val="en-GB"/>
        </w:rPr>
        <w:tab/>
      </w:r>
      <w:r w:rsidRPr="004B611D">
        <w:rPr>
          <w:sz w:val="28"/>
          <w:szCs w:val="28"/>
          <w:lang w:val="en-GB"/>
        </w:rPr>
        <w:t>σ</w:t>
      </w:r>
      <w:r w:rsidRPr="004B611D">
        <w:rPr>
          <w:lang w:val="en-GB"/>
        </w:rPr>
        <w:t>:</w:t>
      </w:r>
      <w:r w:rsidRPr="004B611D">
        <w:rPr>
          <w:lang w:val="en-GB"/>
        </w:rPr>
        <w:tab/>
        <w:t xml:space="preserve">operator’s sharing factor; equals to one for exclusive RF. As two or more operators may share the same RF, particularly, point to point (PtP) links, </w:t>
      </w:r>
      <w:r w:rsidRPr="004B611D">
        <w:rPr>
          <w:sz w:val="28"/>
          <w:szCs w:val="28"/>
          <w:lang w:val="en-GB"/>
        </w:rPr>
        <w:t>σ</w:t>
      </w:r>
      <w:r w:rsidRPr="004B611D">
        <w:rPr>
          <w:lang w:val="en-GB"/>
        </w:rPr>
        <w:t xml:space="preserve"> might be less than 1; 1/2 for two users sharing same RF, 1/3 for three, etc.</w:t>
      </w:r>
      <w:r w:rsidRPr="004B611D">
        <w:rPr>
          <w:rStyle w:val="FootnoteAnchor"/>
          <w:lang w:val="en-GB"/>
        </w:rPr>
        <w:footnoteReference w:id="6"/>
      </w:r>
    </w:p>
    <w:p w:rsidR="0038417F" w:rsidRPr="004B611D" w:rsidRDefault="0038417F" w:rsidP="0038417F">
      <w:pPr>
        <w:pStyle w:val="Equationlegend"/>
        <w:rPr>
          <w:lang w:val="en-GB"/>
        </w:rPr>
      </w:pPr>
      <w:r w:rsidRPr="004B611D">
        <w:rPr>
          <w:b/>
          <w:bCs/>
          <w:i/>
          <w:iCs/>
          <w:sz w:val="28"/>
          <w:szCs w:val="28"/>
          <w:lang w:val="en-GB"/>
        </w:rPr>
        <w:tab/>
      </w:r>
      <w:r w:rsidRPr="004B611D">
        <w:rPr>
          <w:i/>
          <w:iCs/>
          <w:sz w:val="28"/>
          <w:szCs w:val="28"/>
          <w:lang w:val="en-GB"/>
        </w:rPr>
        <w:t>l</w:t>
      </w:r>
      <w:r w:rsidRPr="004B611D">
        <w:rPr>
          <w:lang w:val="en-GB"/>
        </w:rPr>
        <w:t>:</w:t>
      </w:r>
      <w:r w:rsidRPr="004B611D">
        <w:rPr>
          <w:lang w:val="en-GB"/>
        </w:rPr>
        <w:tab/>
      </w:r>
      <w:r w:rsidRPr="004B611D">
        <w:rPr>
          <w:szCs w:val="24"/>
          <w:lang w:val="en-GB"/>
        </w:rPr>
        <w:t xml:space="preserve">site location: urban or rural (site outside the urban area) areas. It defines the socio-economic development within different districts and classifies different fees. </w:t>
      </w:r>
      <w:r w:rsidRPr="004B611D">
        <w:rPr>
          <w:i/>
          <w:iCs/>
          <w:szCs w:val="24"/>
          <w:lang w:val="en-GB"/>
        </w:rPr>
        <w:t>l</w:t>
      </w:r>
      <w:r w:rsidRPr="004B611D">
        <w:rPr>
          <w:szCs w:val="24"/>
          <w:lang w:val="en-GB"/>
        </w:rPr>
        <w:t xml:space="preserve"> may get two values, e.g. full price in urban; 25% full price in rural areas. Administrations may decide other value, or provide additional classes like remote, etc.</w:t>
      </w:r>
    </w:p>
    <w:p w:rsidR="0038417F" w:rsidRPr="004B611D" w:rsidRDefault="0038417F" w:rsidP="0038417F">
      <w:pPr>
        <w:pStyle w:val="Equationlegend"/>
        <w:rPr>
          <w:lang w:val="en-GB"/>
        </w:rPr>
      </w:pPr>
      <w:r w:rsidRPr="004B611D">
        <w:rPr>
          <w:b/>
          <w:bCs/>
          <w:i/>
          <w:iCs/>
          <w:sz w:val="28"/>
          <w:szCs w:val="28"/>
          <w:lang w:val="en-GB"/>
        </w:rPr>
        <w:tab/>
      </w:r>
      <w:r w:rsidRPr="004B611D">
        <w:rPr>
          <w:i/>
          <w:iCs/>
          <w:sz w:val="28"/>
          <w:szCs w:val="28"/>
          <w:lang w:val="en-GB"/>
        </w:rPr>
        <w:t>M</w:t>
      </w:r>
      <w:r w:rsidRPr="004B611D">
        <w:rPr>
          <w:i/>
          <w:iCs/>
          <w:sz w:val="28"/>
          <w:szCs w:val="28"/>
          <w:vertAlign w:val="subscript"/>
          <w:lang w:val="en-GB"/>
        </w:rPr>
        <w:t>pub</w:t>
      </w:r>
      <w:r w:rsidRPr="004B611D">
        <w:rPr>
          <w:lang w:val="en-GB"/>
        </w:rPr>
        <w:t>:</w:t>
      </w:r>
      <w:r w:rsidRPr="004B611D">
        <w:rPr>
          <w:lang w:val="en-GB"/>
        </w:rPr>
        <w:tab/>
      </w:r>
      <w:r w:rsidRPr="004B611D">
        <w:rPr>
          <w:szCs w:val="24"/>
          <w:lang w:val="en-GB"/>
        </w:rPr>
        <w:t xml:space="preserve">The public moderator to takes into account a differentiation among services. </w:t>
      </w:r>
      <w:r w:rsidRPr="004B611D">
        <w:rPr>
          <w:i/>
          <w:iCs/>
          <w:szCs w:val="24"/>
          <w:lang w:val="en-GB"/>
        </w:rPr>
        <w:t>M</w:t>
      </w:r>
      <w:r w:rsidRPr="004B611D">
        <w:rPr>
          <w:i/>
          <w:iCs/>
          <w:szCs w:val="24"/>
          <w:vertAlign w:val="subscript"/>
          <w:lang w:val="en-GB"/>
        </w:rPr>
        <w:t>pub</w:t>
      </w:r>
      <w:r w:rsidRPr="004B611D">
        <w:rPr>
          <w:i/>
          <w:iCs/>
          <w:szCs w:val="24"/>
          <w:lang w:val="en-GB"/>
        </w:rPr>
        <w:t xml:space="preserve"> </w:t>
      </w:r>
      <w:r w:rsidRPr="004B611D">
        <w:rPr>
          <w:szCs w:val="24"/>
          <w:lang w:val="en-GB"/>
        </w:rPr>
        <w:t>actually defines the fees.</w:t>
      </w:r>
      <w:r w:rsidRPr="004B611D">
        <w:rPr>
          <w:lang w:val="en-GB"/>
        </w:rPr>
        <w:t xml:space="preserve"> </w:t>
      </w:r>
      <w:r w:rsidRPr="004B611D">
        <w:rPr>
          <w:i/>
          <w:iCs/>
          <w:szCs w:val="24"/>
          <w:lang w:val="en-GB"/>
        </w:rPr>
        <w:t>M</w:t>
      </w:r>
      <w:r w:rsidRPr="004B611D">
        <w:rPr>
          <w:i/>
          <w:iCs/>
          <w:szCs w:val="24"/>
          <w:vertAlign w:val="subscript"/>
          <w:lang w:val="en-GB"/>
        </w:rPr>
        <w:t>pub</w:t>
      </w:r>
      <w:r w:rsidRPr="004B611D">
        <w:rPr>
          <w:szCs w:val="24"/>
          <w:lang w:val="en-GB"/>
        </w:rPr>
        <w:t xml:space="preserve"> equals 1 for the cellular service. For other services, </w:t>
      </w:r>
      <w:r w:rsidRPr="004B611D">
        <w:rPr>
          <w:i/>
          <w:iCs/>
          <w:sz w:val="28"/>
          <w:szCs w:val="28"/>
          <w:lang w:val="en-GB"/>
        </w:rPr>
        <w:t>M</w:t>
      </w:r>
      <w:r w:rsidRPr="004B611D">
        <w:rPr>
          <w:i/>
          <w:iCs/>
          <w:sz w:val="28"/>
          <w:szCs w:val="28"/>
          <w:vertAlign w:val="subscript"/>
          <w:lang w:val="en-GB"/>
        </w:rPr>
        <w:t>pub</w:t>
      </w:r>
      <w:r w:rsidRPr="004B611D">
        <w:rPr>
          <w:b/>
          <w:lang w:val="en-GB"/>
        </w:rPr>
        <w:t xml:space="preserve"> </w:t>
      </w:r>
      <w:r w:rsidRPr="004B611D">
        <w:rPr>
          <w:szCs w:val="24"/>
          <w:lang w:val="en-GB"/>
        </w:rPr>
        <w:t>numbers are arbitrary and predetermine the annual cost of the service. For example, for free-to-air television</w:t>
      </w:r>
      <w:r w:rsidRPr="004B611D">
        <w:rPr>
          <w:b/>
          <w:bCs/>
          <w:lang w:val="en-GB"/>
        </w:rPr>
        <w:t xml:space="preserve"> </w:t>
      </w:r>
      <w:r w:rsidRPr="004B611D">
        <w:rPr>
          <w:i/>
          <w:iCs/>
          <w:szCs w:val="24"/>
          <w:lang w:val="en-GB"/>
        </w:rPr>
        <w:t>M</w:t>
      </w:r>
      <w:r w:rsidRPr="004B611D">
        <w:rPr>
          <w:i/>
          <w:iCs/>
          <w:szCs w:val="24"/>
          <w:vertAlign w:val="subscript"/>
          <w:lang w:val="en-GB"/>
        </w:rPr>
        <w:t>pub</w:t>
      </w:r>
      <w:r w:rsidRPr="004B611D">
        <w:rPr>
          <w:szCs w:val="24"/>
          <w:lang w:val="en-GB"/>
        </w:rPr>
        <w:t xml:space="preserve"> may be significantly lower. </w:t>
      </w:r>
      <w:r w:rsidRPr="004B611D">
        <w:rPr>
          <w:i/>
          <w:iCs/>
          <w:sz w:val="28"/>
          <w:szCs w:val="28"/>
          <w:lang w:val="en-GB"/>
        </w:rPr>
        <w:t>M</w:t>
      </w:r>
      <w:r w:rsidRPr="004B611D">
        <w:rPr>
          <w:i/>
          <w:iCs/>
          <w:sz w:val="28"/>
          <w:szCs w:val="28"/>
          <w:vertAlign w:val="subscript"/>
          <w:lang w:val="en-GB"/>
        </w:rPr>
        <w:t>pub</w:t>
      </w:r>
      <w:r w:rsidRPr="004B611D">
        <w:rPr>
          <w:szCs w:val="24"/>
          <w:lang w:val="en-GB"/>
        </w:rPr>
        <w:t xml:space="preserve"> serves as framework for holding the values of different services.</w:t>
      </w:r>
    </w:p>
    <w:p w:rsidR="0038417F" w:rsidRPr="004B611D" w:rsidRDefault="0038417F" w:rsidP="0038417F">
      <w:pPr>
        <w:rPr>
          <w:lang w:val="en-GB"/>
        </w:rPr>
      </w:pPr>
      <w:r w:rsidRPr="004B611D">
        <w:rPr>
          <w:lang w:val="en-GB"/>
        </w:rPr>
        <w:t xml:space="preserve">The specific values of </w:t>
      </w:r>
      <w:r w:rsidRPr="004B611D">
        <w:rPr>
          <w:i/>
          <w:iCs/>
          <w:lang w:val="en-GB"/>
        </w:rPr>
        <w:t>α</w:t>
      </w:r>
      <w:r w:rsidRPr="004B611D">
        <w:rPr>
          <w:lang w:val="en-GB"/>
        </w:rPr>
        <w:t xml:space="preserve">, </w:t>
      </w:r>
      <w:r w:rsidRPr="004B611D">
        <w:rPr>
          <w:i/>
          <w:iCs/>
          <w:lang w:val="en-GB"/>
        </w:rPr>
        <w:t>l</w:t>
      </w:r>
      <w:r w:rsidRPr="004B611D">
        <w:rPr>
          <w:lang w:val="en-GB"/>
        </w:rPr>
        <w:t xml:space="preserve"> and </w:t>
      </w:r>
      <w:r w:rsidRPr="004B611D">
        <w:rPr>
          <w:i/>
          <w:iCs/>
          <w:lang w:val="en-GB"/>
        </w:rPr>
        <w:t>M</w:t>
      </w:r>
      <w:r w:rsidRPr="004B611D">
        <w:rPr>
          <w:i/>
          <w:iCs/>
          <w:vertAlign w:val="subscript"/>
          <w:lang w:val="en-GB"/>
        </w:rPr>
        <w:t>pub</w:t>
      </w:r>
      <w:r w:rsidRPr="004B611D">
        <w:rPr>
          <w:lang w:val="en-GB"/>
        </w:rPr>
        <w:t xml:space="preserve"> are subjective</w:t>
      </w:r>
      <w:r w:rsidRPr="004B611D">
        <w:rPr>
          <w:rStyle w:val="FootnoteAnchor"/>
          <w:lang w:val="en-GB"/>
        </w:rPr>
        <w:footnoteReference w:id="7"/>
      </w:r>
      <w:r w:rsidRPr="004B611D">
        <w:rPr>
          <w:lang w:val="en-GB"/>
        </w:rPr>
        <w:t xml:space="preserve"> and defined by the regulator.</w:t>
      </w:r>
    </w:p>
    <w:p w:rsidR="0038417F" w:rsidRPr="004B611D" w:rsidRDefault="00A945F2" w:rsidP="0038417F">
      <w:pPr>
        <w:pStyle w:val="Heading3"/>
        <w:rPr>
          <w:lang w:val="en-GB"/>
        </w:rPr>
      </w:pPr>
      <w:bookmarkStart w:id="1762" w:name="_Toc518394243"/>
      <w:r>
        <w:rPr>
          <w:lang w:val="en-GB"/>
        </w:rPr>
        <w:t>4.8.2</w:t>
      </w:r>
      <w:r>
        <w:rPr>
          <w:lang w:val="en-GB"/>
        </w:rPr>
        <w:tab/>
        <w:t>Higher RF –</w:t>
      </w:r>
      <w:r w:rsidR="0038417F" w:rsidRPr="004B611D">
        <w:rPr>
          <w:lang w:val="en-GB"/>
        </w:rPr>
        <w:t xml:space="preserve"> lower fees, for all services</w:t>
      </w:r>
      <w:bookmarkEnd w:id="1762"/>
    </w:p>
    <w:p w:rsidR="0038417F" w:rsidRPr="004B611D" w:rsidRDefault="0038417F" w:rsidP="0038417F">
      <w:pPr>
        <w:rPr>
          <w:lang w:val="en-GB"/>
        </w:rPr>
      </w:pPr>
      <w:r w:rsidRPr="004B611D">
        <w:rPr>
          <w:lang w:val="en-GB"/>
        </w:rPr>
        <w:t xml:space="preserve">Recommendation </w:t>
      </w:r>
      <w:hyperlink r:id="rId122">
        <w:r w:rsidRPr="004B611D">
          <w:rPr>
            <w:rStyle w:val="InternetLink"/>
            <w:color w:val="auto"/>
            <w:u w:val="none"/>
            <w:lang w:val="en-GB"/>
          </w:rPr>
          <w:t>ITU-R P.2040</w:t>
        </w:r>
      </w:hyperlink>
      <w:r w:rsidRPr="004B611D">
        <w:rPr>
          <w:lang w:val="en-GB"/>
        </w:rPr>
        <w:t xml:space="preserve"> – Effects of building materials and structures on radiowave propagation above about 100 MHz, Recommendation </w:t>
      </w:r>
      <w:hyperlink r:id="rId123">
        <w:r w:rsidRPr="004B611D">
          <w:rPr>
            <w:rStyle w:val="InternetLink"/>
            <w:color w:val="auto"/>
            <w:u w:val="none"/>
            <w:lang w:val="en-GB"/>
          </w:rPr>
          <w:t>ITU-R P.2109</w:t>
        </w:r>
      </w:hyperlink>
      <w:r w:rsidRPr="004B611D">
        <w:rPr>
          <w:lang w:val="en-GB"/>
        </w:rPr>
        <w:t xml:space="preserve"> – Prediction of building entry loss, and Report </w:t>
      </w:r>
      <w:hyperlink r:id="rId124">
        <w:r w:rsidRPr="004B611D">
          <w:rPr>
            <w:rStyle w:val="InternetLink"/>
            <w:color w:val="auto"/>
            <w:u w:val="none"/>
            <w:lang w:val="en-GB"/>
          </w:rPr>
          <w:t>ITU-R P.2346</w:t>
        </w:r>
      </w:hyperlink>
      <w:r w:rsidRPr="004B611D">
        <w:rPr>
          <w:lang w:val="en-GB"/>
        </w:rPr>
        <w:t xml:space="preserve"> – Compilation of measurement data relating to building entry loss, explain why above 6 000 MHz the building materials attenuate the signal and may obligate a line of sight between the transmitter and receiver. The publication Radio Spectrum Management: Policies, Regulations and Techniques [9], section 5.6.8 specifies that practically before fifth generation, cellular land mobile networks operate below 6 000 MHz</w:t>
      </w:r>
      <w:r w:rsidRPr="004B611D">
        <w:rPr>
          <w:rStyle w:val="FootnoteAnchor"/>
          <w:lang w:val="en-GB"/>
        </w:rPr>
        <w:footnoteReference w:id="8"/>
      </w:r>
      <w:r w:rsidRPr="004B611D">
        <w:rPr>
          <w:lang w:val="en-GB"/>
        </w:rPr>
        <w:t>.</w:t>
      </w:r>
    </w:p>
    <w:p w:rsidR="0038417F" w:rsidRPr="004B611D" w:rsidRDefault="0038417F" w:rsidP="00A945F2">
      <w:pPr>
        <w:rPr>
          <w:lang w:val="en-GB"/>
        </w:rPr>
      </w:pPr>
      <w:r w:rsidRPr="004B611D">
        <w:rPr>
          <w:lang w:val="en-GB"/>
        </w:rPr>
        <w:t xml:space="preserve">At frequencies below 6 000 MHz, the propagation properties provide advantageous coverage and penetration. Moreover, below 6 000 MHz, there are less frequencies available, relative to higher frequencies. Consequently, these bands are considered subject to excess demand. The model does not </w:t>
      </w:r>
      <w:r w:rsidRPr="004B611D">
        <w:rPr>
          <w:lang w:val="en-GB"/>
        </w:rPr>
        <w:lastRenderedPageBreak/>
        <w:t>distinguish between the different cellular bands below 6</w:t>
      </w:r>
      <w:r w:rsidR="00A945F2">
        <w:rPr>
          <w:lang w:val="en-GB"/>
        </w:rPr>
        <w:t> </w:t>
      </w:r>
      <w:r w:rsidRPr="004B611D">
        <w:rPr>
          <w:lang w:val="en-GB"/>
        </w:rPr>
        <w:t xml:space="preserve">000 MHz: the advantage at lower RF (coverage) is compensated by the provision of more bandwidth (capacity). From a technical perceptive, all frequency bands are suitable (both the low frequency and high frequency bands) for short links. This is a spectrum management incentive introduced into the fee structure, to ensure ongoing availability of these lower frequency bands mainly for cellular and broadcasting (audio and video) and PtP longer links, which can only be accommodated in lower frequencies. The price incentives are aimed at encouraging efficient choices about frequency requirements. So, </w:t>
      </w:r>
      <w:r w:rsidRPr="004B611D">
        <w:rPr>
          <w:color w:val="000000"/>
          <w:lang w:val="en-GB"/>
        </w:rPr>
        <w:t xml:space="preserve">the lower frequency bands may serve greater distances and ‘bypass’ topographical obstacles. The relatively short distances can be facilitated in higher frequency bands. Hence, to ensure the ongoing availability of these lower frequency bands, operators are encouraged, through the factor </w:t>
      </w:r>
      <w:r w:rsidRPr="004B611D">
        <w:rPr>
          <w:i/>
          <w:iCs/>
          <w:color w:val="000000"/>
          <w:lang w:val="en-GB"/>
        </w:rPr>
        <w:t>F</w:t>
      </w:r>
      <w:r w:rsidRPr="004B611D">
        <w:rPr>
          <w:b/>
          <w:bCs/>
          <w:i/>
          <w:iCs/>
          <w:color w:val="000000"/>
          <w:lang w:val="en-GB"/>
        </w:rPr>
        <w:t xml:space="preserve"> </w:t>
      </w:r>
      <w:r w:rsidRPr="004B611D">
        <w:rPr>
          <w:color w:val="000000"/>
          <w:lang w:val="en-GB"/>
        </w:rPr>
        <w:t xml:space="preserve">in the fee formula, to select the highest frequency band available, relative to the physical distance to cover. Factor </w:t>
      </w:r>
      <w:r w:rsidRPr="004B611D">
        <w:rPr>
          <w:i/>
          <w:iCs/>
          <w:color w:val="000000"/>
          <w:lang w:val="en-GB"/>
        </w:rPr>
        <w:t>F</w:t>
      </w:r>
      <w:r w:rsidRPr="004B611D">
        <w:rPr>
          <w:lang w:val="en-GB"/>
        </w:rPr>
        <w:t xml:space="preserve"> provides incentives for potential users to use higher frequency bands when contemplating new licenses, to optimize the use of spectrum. </w:t>
      </w:r>
    </w:p>
    <w:p w:rsidR="0038417F" w:rsidRPr="004B611D" w:rsidRDefault="0038417F" w:rsidP="0038417F">
      <w:pPr>
        <w:pStyle w:val="Heading3"/>
        <w:rPr>
          <w:lang w:val="en-GB"/>
        </w:rPr>
      </w:pPr>
      <w:bookmarkStart w:id="1763" w:name="_Ref484715111"/>
      <w:bookmarkStart w:id="1764" w:name="_Toc518394244"/>
      <w:r w:rsidRPr="004B611D">
        <w:rPr>
          <w:lang w:val="en-GB"/>
        </w:rPr>
        <w:t>4.8.3</w:t>
      </w:r>
      <w:r w:rsidRPr="004B611D">
        <w:rPr>
          <w:lang w:val="en-GB"/>
        </w:rPr>
        <w:tab/>
        <w:t xml:space="preserve">The values of </w:t>
      </w:r>
      <w:bookmarkEnd w:id="1763"/>
      <w:r w:rsidRPr="004B611D">
        <w:rPr>
          <w:lang w:val="en-GB"/>
        </w:rPr>
        <w:t>F for all type of services</w:t>
      </w:r>
      <w:bookmarkEnd w:id="1764"/>
    </w:p>
    <w:p w:rsidR="0038417F" w:rsidRPr="004B611D" w:rsidRDefault="0038417F" w:rsidP="0038417F">
      <w:pPr>
        <w:rPr>
          <w:lang w:val="en-GB"/>
        </w:rPr>
      </w:pPr>
      <w:r w:rsidRPr="004B611D">
        <w:rPr>
          <w:i/>
          <w:iCs/>
          <w:lang w:val="en-GB"/>
        </w:rPr>
        <w:t xml:space="preserve">F </w:t>
      </w:r>
      <w:r w:rsidRPr="004B611D">
        <w:rPr>
          <w:lang w:val="en-GB"/>
        </w:rPr>
        <w:t>depends solely on frequencies:</w:t>
      </w:r>
    </w:p>
    <w:p w:rsidR="0038417F" w:rsidRPr="004B611D" w:rsidRDefault="0038417F" w:rsidP="00A945F2">
      <w:pPr>
        <w:pStyle w:val="enumlev1"/>
        <w:rPr>
          <w:lang w:val="en-GB"/>
        </w:rPr>
      </w:pPr>
      <w:r w:rsidRPr="004B611D">
        <w:rPr>
          <w:i/>
          <w:iCs/>
          <w:lang w:val="en-GB"/>
        </w:rPr>
        <w:t>–</w:t>
      </w:r>
      <w:r w:rsidRPr="004B611D">
        <w:rPr>
          <w:i/>
          <w:iCs/>
          <w:lang w:val="en-GB"/>
        </w:rPr>
        <w:tab/>
        <w:t>F</w:t>
      </w:r>
      <w:r w:rsidRPr="004B611D">
        <w:rPr>
          <w:lang w:val="en-GB"/>
        </w:rPr>
        <w:t xml:space="preserve"> equals 1 for frequencies and all services below 6 000 MHz </w:t>
      </w:r>
    </w:p>
    <w:p w:rsidR="0038417F" w:rsidRPr="004B611D" w:rsidRDefault="0038417F" w:rsidP="00A945F2">
      <w:pPr>
        <w:pStyle w:val="enumlev1"/>
        <w:rPr>
          <w:lang w:val="en-GB"/>
        </w:rPr>
      </w:pPr>
      <w:r w:rsidRPr="004B611D">
        <w:rPr>
          <w:i/>
          <w:iCs/>
          <w:lang w:val="en-GB"/>
        </w:rPr>
        <w:t>–</w:t>
      </w:r>
      <w:r w:rsidRPr="004B611D">
        <w:rPr>
          <w:i/>
          <w:iCs/>
          <w:lang w:val="en-GB"/>
        </w:rPr>
        <w:tab/>
        <w:t>F </w:t>
      </w:r>
      <w:r w:rsidRPr="004B611D">
        <w:rPr>
          <w:lang w:val="en-GB"/>
        </w:rPr>
        <w:t>= 6 000/</w:t>
      </w:r>
      <w:r w:rsidRPr="004B611D">
        <w:rPr>
          <w:i/>
          <w:iCs/>
          <w:sz w:val="28"/>
          <w:lang w:val="en-GB"/>
        </w:rPr>
        <w:t>f</w:t>
      </w:r>
      <w:r w:rsidRPr="004B611D">
        <w:rPr>
          <w:sz w:val="28"/>
          <w:lang w:val="en-GB"/>
        </w:rPr>
        <w:t xml:space="preserve"> </w:t>
      </w:r>
      <w:r w:rsidRPr="004B611D">
        <w:rPr>
          <w:lang w:val="en-GB"/>
        </w:rPr>
        <w:t>(MHz) for frequencies (</w:t>
      </w:r>
      <w:r w:rsidRPr="004B611D">
        <w:rPr>
          <w:i/>
          <w:iCs/>
          <w:sz w:val="28"/>
          <w:lang w:val="en-GB"/>
        </w:rPr>
        <w:t xml:space="preserve">f </w:t>
      </w:r>
      <w:r w:rsidRPr="004B611D">
        <w:rPr>
          <w:lang w:val="en-GB"/>
        </w:rPr>
        <w:t xml:space="preserve">) above 6 000 MHz. </w:t>
      </w:r>
    </w:p>
    <w:p w:rsidR="0038417F" w:rsidRPr="004B611D" w:rsidRDefault="0038417F" w:rsidP="0038417F">
      <w:pPr>
        <w:rPr>
          <w:lang w:val="en-GB"/>
        </w:rPr>
      </w:pPr>
      <w:r w:rsidRPr="004B611D">
        <w:rPr>
          <w:lang w:val="en-GB"/>
        </w:rPr>
        <w:t>The following sections detail the fees.</w:t>
      </w:r>
    </w:p>
    <w:p w:rsidR="0038417F" w:rsidRPr="004B611D" w:rsidRDefault="0038417F" w:rsidP="0038417F">
      <w:pPr>
        <w:pStyle w:val="Heading4"/>
        <w:rPr>
          <w:lang w:val="en-GB"/>
        </w:rPr>
      </w:pPr>
      <w:bookmarkStart w:id="1765" w:name="_Ref484717119"/>
      <w:bookmarkStart w:id="1766" w:name="_Ref473645296"/>
      <w:bookmarkEnd w:id="1765"/>
      <w:bookmarkEnd w:id="1766"/>
      <w:r w:rsidRPr="004B611D">
        <w:rPr>
          <w:lang w:val="en-GB"/>
        </w:rPr>
        <w:t>4.8.3.1</w:t>
      </w:r>
      <w:r w:rsidRPr="004B611D">
        <w:rPr>
          <w:lang w:val="en-GB"/>
        </w:rPr>
        <w:tab/>
        <w:t>Fees for all applications operating below 6 000 MHz</w:t>
      </w:r>
    </w:p>
    <w:p w:rsidR="0038417F" w:rsidRPr="004B611D" w:rsidRDefault="0038417F" w:rsidP="0038417F">
      <w:pPr>
        <w:rPr>
          <w:lang w:val="en-GB"/>
        </w:rPr>
      </w:pPr>
      <m:oMath>
        <m:r>
          <w:rPr>
            <w:rFonts w:ascii="Cambria Math" w:hAnsi="Cambria Math"/>
            <w:lang w:val="en-GB"/>
          </w:rPr>
          <m:t>F</m:t>
        </m:r>
      </m:oMath>
      <w:r w:rsidRPr="004B611D">
        <w:rPr>
          <w:lang w:val="en-GB"/>
        </w:rPr>
        <w:t xml:space="preserve"> depends on frequency, while </w:t>
      </w:r>
      <w:r w:rsidRPr="004B611D">
        <w:rPr>
          <w:i/>
          <w:iCs/>
          <w:lang w:val="en-GB"/>
        </w:rPr>
        <w:t>M</w:t>
      </w:r>
      <w:r w:rsidRPr="004B611D">
        <w:rPr>
          <w:i/>
          <w:iCs/>
          <w:vertAlign w:val="subscript"/>
          <w:lang w:val="en-GB"/>
        </w:rPr>
        <w:t>pub</w:t>
      </w:r>
      <w:r w:rsidRPr="004B611D">
        <w:rPr>
          <w:lang w:val="en-GB"/>
        </w:rPr>
        <w:t xml:space="preserve"> takes into account the service. Therefore, administrations may differentiate, as an example, between broadcasting and cellular by different values of </w:t>
      </w:r>
      <w:r w:rsidRPr="004B611D">
        <w:rPr>
          <w:i/>
          <w:iCs/>
          <w:lang w:val="en-GB"/>
        </w:rPr>
        <w:t>M</w:t>
      </w:r>
      <w:r w:rsidRPr="004B611D">
        <w:rPr>
          <w:i/>
          <w:iCs/>
          <w:vertAlign w:val="subscript"/>
          <w:lang w:val="en-GB"/>
        </w:rPr>
        <w:t>pub</w:t>
      </w:r>
      <w:r w:rsidRPr="004B611D">
        <w:rPr>
          <w:lang w:val="en-GB"/>
        </w:rPr>
        <w:t xml:space="preserve">. </w:t>
      </w:r>
    </w:p>
    <w:p w:rsidR="0038417F" w:rsidRPr="004B611D" w:rsidRDefault="0038417F" w:rsidP="0038417F">
      <w:pPr>
        <w:pStyle w:val="Equation"/>
        <w:rPr>
          <w:lang w:val="en-GB"/>
        </w:rPr>
      </w:pPr>
      <w:r w:rsidRPr="004B611D">
        <w:rPr>
          <w:lang w:val="en-GB"/>
        </w:rPr>
        <w:tab/>
      </w:r>
      <w:r w:rsidRPr="004B611D">
        <w:rPr>
          <w:lang w:val="en-GB"/>
        </w:rPr>
        <w:tab/>
      </w:r>
      <w:r w:rsidR="00A945F2" w:rsidRPr="004B611D">
        <w:rPr>
          <w:position w:val="-24"/>
          <w:lang w:val="en-GB"/>
        </w:rPr>
        <w:object w:dxaOrig="6880" w:dyaOrig="620">
          <v:shape id="_x0000_i1076" type="#_x0000_t75" style="width:324.75pt;height:30.75pt" o:ole="">
            <v:imagedata r:id="rId125" o:title=""/>
          </v:shape>
          <o:OLEObject Type="Embed" ProgID="Equation.DSMT4" ShapeID="_x0000_i1076" DrawAspect="Content" ObjectID="_1604325030" r:id="rId126"/>
        </w:object>
      </w:r>
      <w:r w:rsidRPr="004B611D">
        <w:rPr>
          <w:lang w:val="en-GB"/>
        </w:rPr>
        <w:t xml:space="preserve"> </w:t>
      </w:r>
      <w:r w:rsidRPr="004B611D">
        <w:rPr>
          <w:lang w:val="en-GB"/>
        </w:rPr>
        <w:tab/>
        <w:t>(53)</w:t>
      </w:r>
    </w:p>
    <w:p w:rsidR="0038417F" w:rsidRPr="004B611D" w:rsidRDefault="0038417F" w:rsidP="0038417F">
      <w:pPr>
        <w:keepNext/>
        <w:keepLines/>
        <w:spacing w:before="200"/>
        <w:ind w:left="1134" w:hanging="1134"/>
        <w:outlineLvl w:val="3"/>
        <w:rPr>
          <w:b/>
          <w:lang w:val="en-GB"/>
        </w:rPr>
      </w:pPr>
      <w:bookmarkStart w:id="1767" w:name="_Ref475577523"/>
      <w:bookmarkEnd w:id="1767"/>
      <w:r w:rsidRPr="004B611D">
        <w:rPr>
          <w:b/>
          <w:lang w:val="en-GB"/>
        </w:rPr>
        <w:t>4.8.3.4</w:t>
      </w:r>
      <w:r w:rsidRPr="004B611D">
        <w:rPr>
          <w:b/>
          <w:lang w:val="en-GB"/>
        </w:rPr>
        <w:tab/>
        <w:t xml:space="preserve">Fees for all applications operating above 6000 MHz </w:t>
      </w:r>
    </w:p>
    <w:p w:rsidR="0038417F" w:rsidRPr="004B611D" w:rsidRDefault="0038417F" w:rsidP="0038417F">
      <w:pPr>
        <w:rPr>
          <w:lang w:val="en-GB"/>
        </w:rPr>
      </w:pPr>
      <w:r w:rsidRPr="004B611D">
        <w:rPr>
          <w:lang w:val="en-GB"/>
        </w:rPr>
        <w:t xml:space="preserve">The factor </w:t>
      </w:r>
      <w:r w:rsidRPr="004B611D">
        <w:rPr>
          <w:i/>
          <w:iCs/>
          <w:lang w:val="en-GB"/>
        </w:rPr>
        <w:t>F</w:t>
      </w:r>
      <w:r w:rsidRPr="004B611D">
        <w:rPr>
          <w:lang w:val="en-GB"/>
        </w:rPr>
        <w:t>(</w:t>
      </w:r>
      <w:r w:rsidRPr="004B611D">
        <w:rPr>
          <w:i/>
          <w:iCs/>
          <w:lang w:val="en-GB"/>
        </w:rPr>
        <w:t>f</w:t>
      </w:r>
      <w:r w:rsidRPr="004B611D">
        <w:rPr>
          <w:lang w:val="en-GB"/>
        </w:rPr>
        <w:t>) equals:</w:t>
      </w:r>
    </w:p>
    <w:p w:rsidR="0038417F" w:rsidRPr="004B611D" w:rsidRDefault="0038417F" w:rsidP="0038417F">
      <w:pPr>
        <w:pStyle w:val="Equation"/>
        <w:rPr>
          <w:lang w:val="en-GB"/>
        </w:rPr>
      </w:pPr>
      <w:r w:rsidRPr="004B611D">
        <w:rPr>
          <w:lang w:val="en-GB"/>
        </w:rPr>
        <w:tab/>
      </w:r>
      <w:r w:rsidRPr="004B611D">
        <w:rPr>
          <w:lang w:val="en-GB"/>
        </w:rPr>
        <w:tab/>
      </w:r>
      <w:r w:rsidRPr="004B611D">
        <w:rPr>
          <w:position w:val="-30"/>
          <w:lang w:val="en-GB"/>
        </w:rPr>
        <w:object w:dxaOrig="1680" w:dyaOrig="680">
          <v:shape id="_x0000_i1077" type="#_x0000_t75" style="width:81.75pt;height:31.5pt" o:ole="">
            <v:imagedata r:id="rId127" o:title=""/>
          </v:shape>
          <o:OLEObject Type="Embed" ProgID="Equation.DSMT4" ShapeID="_x0000_i1077" DrawAspect="Content" ObjectID="_1604325031" r:id="rId128"/>
        </w:object>
      </w:r>
      <w:r w:rsidRPr="004B611D">
        <w:rPr>
          <w:lang w:val="en-GB"/>
        </w:rPr>
        <w:t xml:space="preserve"> </w:t>
      </w:r>
      <w:r w:rsidRPr="004B611D">
        <w:rPr>
          <w:lang w:val="en-GB"/>
        </w:rPr>
        <w:tab/>
        <w:t>(54)</w:t>
      </w:r>
    </w:p>
    <w:p w:rsidR="0038417F" w:rsidRPr="004B611D" w:rsidRDefault="0038417F" w:rsidP="0038417F">
      <w:pPr>
        <w:rPr>
          <w:lang w:val="en-GB"/>
        </w:rPr>
      </w:pPr>
      <w:r w:rsidRPr="004B611D">
        <w:rPr>
          <w:lang w:val="en-GB"/>
        </w:rPr>
        <w:t xml:space="preserve">Equation </w:t>
      </w:r>
      <w:r w:rsidRPr="004B611D">
        <w:rPr>
          <w:lang w:val="en-GB"/>
        </w:rPr>
        <w:fldChar w:fldCharType="begin"/>
      </w:r>
      <w:r w:rsidRPr="004B611D">
        <w:rPr>
          <w:lang w:val="en-GB"/>
        </w:rPr>
        <w:instrText>GOTOBUTTON ZEqnNum427979  \* MERGEFORMAT</w:instrText>
      </w:r>
      <w:r w:rsidRPr="004B611D">
        <w:rPr>
          <w:lang w:val="en-GB"/>
        </w:rPr>
        <w:fldChar w:fldCharType="end"/>
      </w:r>
      <w:bookmarkStart w:id="1768" w:name="__Fieldmark__2317_1906923217"/>
      <w:bookmarkEnd w:id="1768"/>
      <w:r w:rsidRPr="004B611D">
        <w:rPr>
          <w:lang w:val="en-GB"/>
        </w:rPr>
        <w:t xml:space="preserve">(52) </w:t>
      </w:r>
      <w:r w:rsidRPr="004B611D">
        <w:rPr>
          <w:iCs/>
          <w:lang w:val="en-GB"/>
        </w:rPr>
        <w:t xml:space="preserve">may be re-written for the annual fees per 1 MHz, </w:t>
      </w:r>
      <w:r w:rsidRPr="004B611D">
        <w:rPr>
          <w:i/>
          <w:lang w:val="en-GB"/>
        </w:rPr>
        <w:t>F</w:t>
      </w:r>
      <w:r w:rsidRPr="004B611D">
        <w:rPr>
          <w:iCs/>
          <w:lang w:val="en-GB"/>
        </w:rPr>
        <w:t xml:space="preserve"> above 6 000 MHz.</w:t>
      </w:r>
    </w:p>
    <w:p w:rsidR="0038417F" w:rsidRPr="004B611D" w:rsidRDefault="0038417F" w:rsidP="0038417F">
      <w:pPr>
        <w:pStyle w:val="Equation"/>
        <w:rPr>
          <w:lang w:val="en-GB"/>
        </w:rPr>
      </w:pPr>
      <w:r w:rsidRPr="004B611D">
        <w:rPr>
          <w:lang w:val="en-GB"/>
        </w:rPr>
        <w:tab/>
      </w:r>
      <w:r w:rsidRPr="004B611D">
        <w:rPr>
          <w:lang w:val="en-GB"/>
        </w:rPr>
        <w:tab/>
      </w:r>
      <w:r w:rsidR="00C67B81" w:rsidRPr="004B611D">
        <w:rPr>
          <w:position w:val="-30"/>
          <w:lang w:val="en-GB"/>
        </w:rPr>
        <w:object w:dxaOrig="5160" w:dyaOrig="680">
          <v:shape id="_x0000_i1078" type="#_x0000_t75" style="width:258.75pt;height:36pt" o:ole="">
            <v:imagedata r:id="rId129" o:title=""/>
          </v:shape>
          <o:OLEObject Type="Embed" ProgID="Equation.DSMT4" ShapeID="_x0000_i1078" DrawAspect="Content" ObjectID="_1604325032" r:id="rId130"/>
        </w:object>
      </w:r>
      <w:r w:rsidRPr="004B611D">
        <w:rPr>
          <w:lang w:val="en-GB"/>
        </w:rPr>
        <w:t xml:space="preserve"> </w:t>
      </w:r>
      <w:r w:rsidRPr="004B611D">
        <w:rPr>
          <w:lang w:val="en-GB"/>
        </w:rPr>
        <w:tab/>
        <w:t>(55)</w:t>
      </w:r>
    </w:p>
    <w:p w:rsidR="0038417F" w:rsidRPr="004B611D" w:rsidRDefault="0038417F" w:rsidP="0038417F">
      <w:pPr>
        <w:rPr>
          <w:lang w:val="en-GB"/>
        </w:rPr>
      </w:pPr>
      <w:r w:rsidRPr="004B611D">
        <w:rPr>
          <w:lang w:val="en-GB"/>
        </w:rPr>
        <w:t>Fig</w:t>
      </w:r>
      <w:r>
        <w:rPr>
          <w:lang w:val="en-GB"/>
        </w:rPr>
        <w:t>ure 1</w:t>
      </w:r>
      <w:r w:rsidRPr="004B611D">
        <w:rPr>
          <w:lang w:val="en-GB"/>
        </w:rPr>
        <w:t xml:space="preserve">1 depicts coefficient </w:t>
      </w:r>
      <w:r w:rsidRPr="004B611D">
        <w:rPr>
          <w:i/>
          <w:iCs/>
          <w:lang w:val="en-GB"/>
        </w:rPr>
        <w:t>F</w:t>
      </w:r>
      <w:r w:rsidRPr="004B611D">
        <w:rPr>
          <w:lang w:val="en-GB"/>
        </w:rPr>
        <w:t xml:space="preserve"> at 6 000–23 000 MHz: relative fees as function of frequency. </w:t>
      </w:r>
    </w:p>
    <w:p w:rsidR="0038417F" w:rsidRPr="004B611D" w:rsidRDefault="0038417F" w:rsidP="0038417F">
      <w:pPr>
        <w:pStyle w:val="FigureNo"/>
        <w:rPr>
          <w:lang w:val="en-GB"/>
        </w:rPr>
      </w:pPr>
      <w:bookmarkStart w:id="1769" w:name="_Ref476242749"/>
      <w:r w:rsidRPr="004B611D">
        <w:rPr>
          <w:lang w:val="en-GB"/>
        </w:rPr>
        <w:lastRenderedPageBreak/>
        <w:t>FIGURE</w:t>
      </w:r>
      <w:bookmarkEnd w:id="1769"/>
      <w:r w:rsidRPr="004B611D">
        <w:rPr>
          <w:lang w:val="en-GB"/>
        </w:rPr>
        <w:t xml:space="preserve"> 1</w:t>
      </w:r>
      <w:r>
        <w:rPr>
          <w:lang w:val="en-GB"/>
        </w:rPr>
        <w:t>1</w:t>
      </w:r>
    </w:p>
    <w:p w:rsidR="0038417F" w:rsidRPr="004B611D" w:rsidRDefault="0038417F" w:rsidP="0038417F">
      <w:pPr>
        <w:pStyle w:val="Figuretitle"/>
        <w:rPr>
          <w:lang w:val="en-GB"/>
        </w:rPr>
      </w:pPr>
      <w:bookmarkStart w:id="1770" w:name="_Toc473842227"/>
      <w:bookmarkStart w:id="1771" w:name="_Toc484727771"/>
      <w:bookmarkStart w:id="1772" w:name="_Toc476892239"/>
      <w:bookmarkStart w:id="1773" w:name="_Toc476712517"/>
      <w:r w:rsidRPr="004B611D">
        <w:rPr>
          <w:lang w:val="en-GB"/>
        </w:rPr>
        <w:t>Relative fees (coefficient F) depend on frequency</w:t>
      </w:r>
      <w:bookmarkEnd w:id="1770"/>
      <w:bookmarkEnd w:id="1771"/>
      <w:bookmarkEnd w:id="1772"/>
      <w:bookmarkEnd w:id="1773"/>
      <w:r w:rsidRPr="004B611D">
        <w:rPr>
          <w:lang w:val="en-GB"/>
        </w:rPr>
        <w:t xml:space="preserve">: </w:t>
      </w:r>
      <w:r w:rsidRPr="00C67B81">
        <w:rPr>
          <w:i/>
          <w:iCs/>
          <w:lang w:val="en-GB"/>
        </w:rPr>
        <w:t>F</w:t>
      </w:r>
      <w:r w:rsidRPr="004B611D">
        <w:rPr>
          <w:lang w:val="en-GB"/>
        </w:rPr>
        <w:t xml:space="preserve">=1 for </w:t>
      </w:r>
      <w:r w:rsidRPr="00C67B81">
        <w:rPr>
          <w:i/>
          <w:iCs/>
          <w:lang w:val="en-GB"/>
        </w:rPr>
        <w:t>f</w:t>
      </w:r>
      <w:r w:rsidRPr="004B611D">
        <w:rPr>
          <w:lang w:val="en-GB"/>
        </w:rPr>
        <w:t xml:space="preserve"> &lt;6 000 MHz </w:t>
      </w:r>
      <w:r w:rsidRPr="00C67B81">
        <w:rPr>
          <w:i/>
          <w:iCs/>
          <w:lang w:val="en-GB"/>
        </w:rPr>
        <w:t>F</w:t>
      </w:r>
      <w:r w:rsidRPr="004B611D">
        <w:rPr>
          <w:lang w:val="en-GB"/>
        </w:rPr>
        <w:t>=1/</w:t>
      </w:r>
      <w:r w:rsidRPr="00C67B81">
        <w:rPr>
          <w:i/>
          <w:iCs/>
          <w:lang w:val="en-GB"/>
        </w:rPr>
        <w:t>f</w:t>
      </w:r>
      <w:r w:rsidRPr="004B611D">
        <w:rPr>
          <w:lang w:val="en-GB"/>
        </w:rPr>
        <w:t xml:space="preserve"> for </w:t>
      </w:r>
      <w:r w:rsidRPr="00C67B81">
        <w:rPr>
          <w:i/>
          <w:iCs/>
          <w:lang w:val="en-GB"/>
        </w:rPr>
        <w:t>f</w:t>
      </w:r>
      <w:r w:rsidRPr="004B611D">
        <w:rPr>
          <w:lang w:val="en-GB"/>
        </w:rPr>
        <w:t xml:space="preserve"> ≥ 6 000 MHz</w:t>
      </w:r>
    </w:p>
    <w:p w:rsidR="0038417F" w:rsidRPr="004B611D" w:rsidRDefault="0038417F" w:rsidP="0038417F">
      <w:pPr>
        <w:pStyle w:val="Figure"/>
        <w:rPr>
          <w:lang w:val="en-GB"/>
        </w:rPr>
      </w:pPr>
      <w:r w:rsidRPr="004B611D">
        <w:rPr>
          <w:noProof/>
          <w:lang w:val="en-GB" w:eastAsia="zh-CN"/>
        </w:rPr>
        <w:drawing>
          <wp:inline distT="0" distB="0" distL="0" distR="0" wp14:anchorId="58A2DD89" wp14:editId="7B19C461">
            <wp:extent cx="6036310" cy="2807970"/>
            <wp:effectExtent l="0" t="0" r="0" b="0"/>
            <wp:docPr id="1" name="Picture 11"/>
            <wp:cNvGraphicFramePr/>
            <a:graphic xmlns:a="http://schemas.openxmlformats.org/drawingml/2006/main">
              <a:graphicData uri="http://schemas.openxmlformats.org/drawingml/2006/picture">
                <pic:pic xmlns:pic="http://schemas.openxmlformats.org/drawingml/2006/picture">
                  <pic:nvPicPr>
                    <pic:cNvPr id="0" name="Picture 11"/>
                    <pic:cNvPicPr/>
                  </pic:nvPicPr>
                  <pic:blipFill>
                    <a:blip r:embed="rId131"/>
                    <a:stretch/>
                  </pic:blipFill>
                  <pic:spPr>
                    <a:xfrm>
                      <a:off x="0" y="0"/>
                      <a:ext cx="6035760" cy="2807280"/>
                    </a:xfrm>
                    <a:prstGeom prst="rect">
                      <a:avLst/>
                    </a:prstGeom>
                    <a:ln w="19080">
                      <a:solidFill>
                        <a:srgbClr val="006600"/>
                      </a:solidFill>
                      <a:miter/>
                    </a:ln>
                    <a:effectLst>
                      <a:outerShdw blurRad="50800" dist="38100" dir="2700000" algn="tl" rotWithShape="0">
                        <a:srgbClr val="000000">
                          <a:alpha val="43000"/>
                        </a:srgbClr>
                      </a:outerShdw>
                    </a:effectLst>
                  </pic:spPr>
                </pic:pic>
              </a:graphicData>
            </a:graphic>
          </wp:inline>
        </w:drawing>
      </w:r>
    </w:p>
    <w:p w:rsidR="0038417F" w:rsidRPr="004B611D" w:rsidRDefault="0038417F" w:rsidP="0038417F">
      <w:pPr>
        <w:rPr>
          <w:lang w:val="en-GB"/>
        </w:rPr>
      </w:pPr>
      <w:r w:rsidRPr="004B611D">
        <w:rPr>
          <w:lang w:val="en-GB"/>
        </w:rPr>
        <w:t xml:space="preserve">To specify one example: PtP operates at RF till 86 GHz and more, equation (54) may also be helpful; e.g. </w:t>
      </w:r>
      <w:r w:rsidRPr="004B611D">
        <w:rPr>
          <w:i/>
          <w:iCs/>
          <w:lang w:val="en-GB"/>
        </w:rPr>
        <w:t>F</w:t>
      </w:r>
      <w:r w:rsidRPr="004B611D">
        <w:rPr>
          <w:lang w:val="en-GB"/>
        </w:rPr>
        <w:t xml:space="preserve"> equals (6/80 =) 0.075 for 80 GHz. Interesting to note: at these frequencies, the bandwidth (BW) is relatively very high, such as 1 000 MHz. The total price (not per MHz) for a PtP link operating at 6 000 MHz (28 MHz bandwidth) and 60 GHz (280 MHz bandwidth) is the same, as the fee per MHz multiplied by BW.</w:t>
      </w:r>
    </w:p>
    <w:p w:rsidR="0038417F" w:rsidRPr="004B611D" w:rsidRDefault="0038417F" w:rsidP="0038417F">
      <w:pPr>
        <w:pStyle w:val="Heading3"/>
        <w:rPr>
          <w:lang w:val="en-GB"/>
        </w:rPr>
      </w:pPr>
      <w:bookmarkStart w:id="1774" w:name="_Toc518394245"/>
      <w:r w:rsidRPr="004B611D">
        <w:rPr>
          <w:lang w:val="en-GB"/>
        </w:rPr>
        <w:t>4.8.4</w:t>
      </w:r>
      <w:r w:rsidRPr="004B611D">
        <w:rPr>
          <w:lang w:val="en-GB"/>
        </w:rPr>
        <w:tab/>
        <w:t>Examples to calculate fees per MHz</w:t>
      </w:r>
      <w:bookmarkEnd w:id="1774"/>
    </w:p>
    <w:p w:rsidR="0038417F" w:rsidRPr="004B611D" w:rsidRDefault="0038417F" w:rsidP="0038417F">
      <w:pPr>
        <w:pStyle w:val="Heading4"/>
        <w:rPr>
          <w:lang w:val="en-GB"/>
        </w:rPr>
      </w:pPr>
      <w:r w:rsidRPr="004B611D">
        <w:rPr>
          <w:lang w:val="en-GB"/>
        </w:rPr>
        <w:t>4.8.4.1</w:t>
      </w:r>
      <w:r w:rsidRPr="004B611D">
        <w:rPr>
          <w:lang w:val="en-GB"/>
        </w:rPr>
        <w:tab/>
        <w:t xml:space="preserve">Fees per MHz for Internet Service Providers operating at 2 600 MHz </w:t>
      </w:r>
    </w:p>
    <w:p w:rsidR="0038417F" w:rsidRPr="004B611D" w:rsidRDefault="0038417F" w:rsidP="0038417F">
      <w:pPr>
        <w:rPr>
          <w:iCs/>
          <w:lang w:val="en-GB"/>
        </w:rPr>
      </w:pPr>
      <w:r w:rsidRPr="004B611D">
        <w:rPr>
          <w:lang w:val="en-GB"/>
        </w:rPr>
        <w:t>As the frequency is below 6 000 MHz the</w:t>
      </w:r>
      <w:r w:rsidRPr="004B611D">
        <w:rPr>
          <w:iCs/>
          <w:lang w:val="en-GB"/>
        </w:rPr>
        <w:t xml:space="preserve"> annual fees per 1 MHz at 2 600 MHz:</w:t>
      </w:r>
    </w:p>
    <w:p w:rsidR="0038417F" w:rsidRPr="004B611D" w:rsidRDefault="0038417F" w:rsidP="0038417F">
      <w:pPr>
        <w:pStyle w:val="Equation"/>
        <w:rPr>
          <w:lang w:val="en-GB"/>
        </w:rPr>
      </w:pPr>
      <w:r w:rsidRPr="004B611D">
        <w:rPr>
          <w:lang w:val="en-GB"/>
        </w:rPr>
        <w:tab/>
      </w:r>
      <w:r w:rsidRPr="004B611D">
        <w:rPr>
          <w:lang w:val="en-GB"/>
        </w:rPr>
        <w:tab/>
      </w:r>
      <w:r w:rsidR="00C67B81" w:rsidRPr="00C67B81">
        <w:rPr>
          <w:position w:val="-24"/>
          <w:lang w:val="en-GB"/>
        </w:rPr>
        <w:object w:dxaOrig="7040" w:dyaOrig="620">
          <v:shape id="_x0000_i1079" type="#_x0000_t75" style="width:354pt;height:30pt" o:ole="">
            <v:imagedata r:id="rId132" o:title=""/>
          </v:shape>
          <o:OLEObject Type="Embed" ProgID="Equation.DSMT4" ShapeID="_x0000_i1079" DrawAspect="Content" ObjectID="_1604325033" r:id="rId133"/>
        </w:object>
      </w:r>
    </w:p>
    <w:p w:rsidR="0038417F" w:rsidRPr="004B611D" w:rsidRDefault="0038417F" w:rsidP="00C67B81">
      <w:pPr>
        <w:pStyle w:val="enumlev1"/>
        <w:rPr>
          <w:lang w:val="en-GB"/>
        </w:rPr>
      </w:pPr>
      <w:r w:rsidRPr="004B611D">
        <w:rPr>
          <w:lang w:val="en-GB"/>
        </w:rPr>
        <w:t>–</w:t>
      </w:r>
      <w:r w:rsidRPr="004B611D">
        <w:rPr>
          <w:lang w:val="en-GB"/>
        </w:rPr>
        <w:tab/>
        <w:t xml:space="preserve">The covered area includes urban zones </w:t>
      </w:r>
      <w:r w:rsidRPr="004B611D">
        <w:rPr>
          <w:i/>
          <w:iCs/>
          <w:sz w:val="28"/>
          <w:lang w:val="en-GB"/>
        </w:rPr>
        <w:t>l</w:t>
      </w:r>
      <w:r w:rsidRPr="004B611D">
        <w:rPr>
          <w:lang w:val="en-GB"/>
        </w:rPr>
        <w:t>=1;</w:t>
      </w:r>
    </w:p>
    <w:p w:rsidR="0038417F" w:rsidRPr="004B611D" w:rsidRDefault="0038417F" w:rsidP="00C67B81">
      <w:pPr>
        <w:pStyle w:val="enumlev1"/>
        <w:rPr>
          <w:lang w:val="en-GB"/>
        </w:rPr>
      </w:pPr>
      <w:r w:rsidRPr="004B611D">
        <w:rPr>
          <w:lang w:val="en-GB"/>
        </w:rPr>
        <w:t>–</w:t>
      </w:r>
      <w:r w:rsidRPr="004B611D">
        <w:rPr>
          <w:lang w:val="en-GB"/>
        </w:rPr>
        <w:tab/>
      </w:r>
      <w:r w:rsidRPr="00C67B81">
        <w:rPr>
          <w:sz w:val="28"/>
          <w:szCs w:val="28"/>
          <w:lang w:val="en-GB"/>
        </w:rPr>
        <w:t>ρ</w:t>
      </w:r>
      <w:r w:rsidRPr="004B611D">
        <w:rPr>
          <w:rFonts w:ascii="Garamond" w:hAnsi="Garamond"/>
          <w:lang w:val="en-GB"/>
        </w:rPr>
        <w:t xml:space="preserve"> </w:t>
      </w:r>
      <w:r w:rsidRPr="004B611D">
        <w:rPr>
          <w:szCs w:val="24"/>
          <w:lang w:val="en-GB"/>
        </w:rPr>
        <w:t xml:space="preserve">equals 0.05, as the ISP operates </w:t>
      </w:r>
      <w:r w:rsidRPr="004B611D">
        <w:rPr>
          <w:lang w:val="en-GB"/>
        </w:rPr>
        <w:t>at</w:t>
      </w:r>
      <w:r w:rsidRPr="004B611D">
        <w:rPr>
          <w:szCs w:val="24"/>
          <w:lang w:val="en-GB"/>
        </w:rPr>
        <w:t xml:space="preserve"> the relevant year only in one of twenty provinces; </w:t>
      </w:r>
    </w:p>
    <w:p w:rsidR="0038417F" w:rsidRPr="004B611D" w:rsidRDefault="0038417F" w:rsidP="00C67B81">
      <w:pPr>
        <w:pStyle w:val="enumlev1"/>
        <w:rPr>
          <w:lang w:val="en-GB"/>
        </w:rPr>
      </w:pPr>
      <w:r w:rsidRPr="004B611D">
        <w:rPr>
          <w:lang w:val="en-GB"/>
        </w:rPr>
        <w:t>–</w:t>
      </w:r>
      <w:r w:rsidRPr="004B611D">
        <w:rPr>
          <w:lang w:val="en-GB"/>
        </w:rPr>
        <w:tab/>
        <w:t xml:space="preserve">σ=1/3 as three operators use the same spectrum; </w:t>
      </w:r>
    </w:p>
    <w:p w:rsidR="0038417F" w:rsidRPr="004B611D" w:rsidRDefault="0038417F" w:rsidP="00C67B81">
      <w:pPr>
        <w:pStyle w:val="enumlev1"/>
        <w:rPr>
          <w:lang w:val="en-GB"/>
        </w:rPr>
      </w:pPr>
      <w:r w:rsidRPr="004B611D">
        <w:rPr>
          <w:lang w:val="en-GB"/>
        </w:rPr>
        <w:t>–</w:t>
      </w:r>
      <w:r w:rsidRPr="004B611D">
        <w:rPr>
          <w:lang w:val="en-GB"/>
        </w:rPr>
        <w:tab/>
      </w:r>
      <w:r w:rsidRPr="004B611D">
        <w:rPr>
          <w:i/>
          <w:iCs/>
          <w:lang w:val="en-GB"/>
        </w:rPr>
        <w:t>M</w:t>
      </w:r>
      <w:r w:rsidRPr="004B611D">
        <w:rPr>
          <w:i/>
          <w:iCs/>
          <w:vertAlign w:val="subscript"/>
          <w:lang w:val="en-GB"/>
        </w:rPr>
        <w:t>ISP</w:t>
      </w:r>
      <w:r w:rsidRPr="004B611D">
        <w:rPr>
          <w:lang w:val="en-GB"/>
        </w:rPr>
        <w:t>=0.3 as the national choice.</w:t>
      </w:r>
    </w:p>
    <w:p w:rsidR="0038417F" w:rsidRPr="004B611D" w:rsidRDefault="0038417F" w:rsidP="0038417F">
      <w:pPr>
        <w:rPr>
          <w:lang w:val="en-GB"/>
        </w:rPr>
      </w:pPr>
      <w:r w:rsidRPr="004B611D">
        <w:rPr>
          <w:lang w:val="en-GB"/>
        </w:rPr>
        <w:t xml:space="preserve">The cost per MHz I equals: </w:t>
      </w:r>
      <w:r w:rsidR="00C67B81" w:rsidRPr="004B611D">
        <w:rPr>
          <w:position w:val="-24"/>
          <w:lang w:val="en-GB"/>
        </w:rPr>
        <w:object w:dxaOrig="3720" w:dyaOrig="620">
          <v:shape id="_x0000_i1080" type="#_x0000_t75" style="width:186.75pt;height:30pt" o:ole="">
            <v:imagedata r:id="rId134" o:title=""/>
          </v:shape>
          <o:OLEObject Type="Embed" ProgID="Equation.DSMT4" ShapeID="_x0000_i1080" DrawAspect="Content" ObjectID="_1604325034" r:id="rId135"/>
        </w:object>
      </w:r>
      <w:r w:rsidRPr="004B611D">
        <w:rPr>
          <w:lang w:val="en-GB"/>
        </w:rPr>
        <w:t>.</w:t>
      </w:r>
    </w:p>
    <w:p w:rsidR="0038417F" w:rsidRPr="004B611D" w:rsidRDefault="0038417F" w:rsidP="0038417F">
      <w:pPr>
        <w:keepNext/>
        <w:keepLines/>
        <w:spacing w:before="200"/>
        <w:ind w:left="1134" w:hanging="1134"/>
        <w:outlineLvl w:val="3"/>
        <w:rPr>
          <w:b/>
          <w:lang w:val="en-GB"/>
        </w:rPr>
      </w:pPr>
      <w:r w:rsidRPr="004B611D">
        <w:rPr>
          <w:b/>
          <w:lang w:val="en-GB"/>
        </w:rPr>
        <w:t>4.8.4.2</w:t>
      </w:r>
      <w:r w:rsidRPr="004B611D">
        <w:rPr>
          <w:b/>
          <w:lang w:val="en-GB"/>
        </w:rPr>
        <w:tab/>
        <w:t>Calculating PtP fees operating nationwide</w:t>
      </w:r>
    </w:p>
    <w:p w:rsidR="0038417F" w:rsidRPr="004B611D" w:rsidRDefault="0038417F" w:rsidP="0038417F">
      <w:pPr>
        <w:rPr>
          <w:lang w:val="en-GB"/>
        </w:rPr>
      </w:pPr>
      <w:r w:rsidRPr="004B611D">
        <w:rPr>
          <w:spacing w:val="-2"/>
          <w:lang w:val="en-GB"/>
        </w:rPr>
        <w:t xml:space="preserve">Equation </w:t>
      </w:r>
      <w:r w:rsidRPr="004B611D">
        <w:rPr>
          <w:lang w:val="en-GB"/>
        </w:rPr>
        <w:fldChar w:fldCharType="begin"/>
      </w:r>
      <w:r w:rsidRPr="004B611D">
        <w:rPr>
          <w:lang w:val="en-GB"/>
        </w:rPr>
        <w:instrText>GOTOBUTTON ZEqnNum821990  \* MERGEFORMAT</w:instrText>
      </w:r>
      <w:r w:rsidRPr="004B611D">
        <w:rPr>
          <w:lang w:val="en-GB"/>
        </w:rPr>
        <w:fldChar w:fldCharType="end"/>
      </w:r>
      <w:bookmarkStart w:id="1775" w:name="__Fieldmark__2424_1906923217"/>
      <w:bookmarkEnd w:id="1775"/>
      <w:r w:rsidRPr="004B611D">
        <w:rPr>
          <w:lang w:val="en-GB"/>
        </w:rPr>
        <w:t xml:space="preserve">(55) </w:t>
      </w:r>
      <w:r w:rsidRPr="004B611D">
        <w:rPr>
          <w:iCs/>
          <w:spacing w:val="-2"/>
          <w:lang w:val="en-GB"/>
        </w:rPr>
        <w:t xml:space="preserve">is used to calculate the proposed </w:t>
      </w:r>
      <w:r w:rsidRPr="004B611D">
        <w:rPr>
          <w:spacing w:val="-2"/>
          <w:lang w:val="en-GB"/>
        </w:rPr>
        <w:t>PtP</w:t>
      </w:r>
      <w:r w:rsidRPr="004B611D">
        <w:rPr>
          <w:iCs/>
          <w:spacing w:val="-2"/>
          <w:lang w:val="en-GB"/>
        </w:rPr>
        <w:t xml:space="preserve"> annual fees per 1 MHz on the example of 15 GHz:</w:t>
      </w:r>
    </w:p>
    <w:p w:rsidR="0038417F" w:rsidRPr="004B611D" w:rsidRDefault="0038417F" w:rsidP="0038417F">
      <w:pPr>
        <w:pStyle w:val="Equation"/>
        <w:rPr>
          <w:lang w:val="en-GB"/>
        </w:rPr>
      </w:pPr>
      <w:r w:rsidRPr="004B611D">
        <w:rPr>
          <w:lang w:val="en-GB"/>
        </w:rPr>
        <w:tab/>
      </w:r>
      <w:r w:rsidRPr="004B611D">
        <w:rPr>
          <w:lang w:val="en-GB"/>
        </w:rPr>
        <w:tab/>
      </w:r>
      <w:r w:rsidR="00C67B81" w:rsidRPr="00C67B81">
        <w:rPr>
          <w:position w:val="-24"/>
          <w:lang w:val="en-GB"/>
        </w:rPr>
        <w:object w:dxaOrig="5060" w:dyaOrig="620">
          <v:shape id="_x0000_i1081" type="#_x0000_t75" style="width:256.5pt;height:30pt" o:ole="">
            <v:imagedata r:id="rId136" o:title=""/>
          </v:shape>
          <o:OLEObject Type="Embed" ProgID="Equation.DSMT4" ShapeID="_x0000_i1081" DrawAspect="Content" ObjectID="_1604325035" r:id="rId137"/>
        </w:object>
      </w:r>
      <w:r w:rsidRPr="004B611D">
        <w:rPr>
          <w:lang w:val="en-GB"/>
        </w:rPr>
        <w:t xml:space="preserve"> </w:t>
      </w:r>
    </w:p>
    <w:p w:rsidR="0038417F" w:rsidRPr="004B611D" w:rsidRDefault="0038417F" w:rsidP="0038417F">
      <w:pPr>
        <w:pStyle w:val="Equation"/>
        <w:rPr>
          <w:lang w:val="en-GB"/>
        </w:rPr>
      </w:pPr>
      <w:r w:rsidRPr="004B611D">
        <w:rPr>
          <w:lang w:val="en-GB"/>
        </w:rPr>
        <w:t>The cost per MHz for one operator sharing nationwide the spectrum with three other operators (σ = 1/4) PtP (</w:t>
      </w:r>
      <w:r w:rsidRPr="004B611D">
        <w:rPr>
          <w:i/>
          <w:iCs/>
          <w:lang w:val="en-GB"/>
        </w:rPr>
        <w:t>M</w:t>
      </w:r>
      <w:r w:rsidRPr="004B611D">
        <w:rPr>
          <w:i/>
          <w:iCs/>
          <w:vertAlign w:val="subscript"/>
          <w:lang w:val="en-GB"/>
        </w:rPr>
        <w:t>PtP </w:t>
      </w:r>
      <w:r w:rsidRPr="004B611D">
        <w:rPr>
          <w:lang w:val="en-GB"/>
        </w:rPr>
        <w:t>= 0.1) using 1 MHz nationwide equals:</w:t>
      </w:r>
    </w:p>
    <w:p w:rsidR="0038417F" w:rsidRPr="004B611D" w:rsidRDefault="0038417F" w:rsidP="0038417F">
      <w:pPr>
        <w:pStyle w:val="Equation"/>
        <w:rPr>
          <w:lang w:val="en-GB"/>
        </w:rPr>
      </w:pPr>
      <w:r w:rsidRPr="004B611D">
        <w:rPr>
          <w:lang w:val="en-GB"/>
        </w:rPr>
        <w:tab/>
      </w:r>
      <w:r w:rsidRPr="004B611D">
        <w:rPr>
          <w:lang w:val="en-GB"/>
        </w:rPr>
        <w:tab/>
      </w:r>
      <w:r w:rsidR="00C67B81" w:rsidRPr="00C67B81">
        <w:rPr>
          <w:position w:val="-24"/>
          <w:lang w:val="en-GB"/>
        </w:rPr>
        <w:object w:dxaOrig="2480" w:dyaOrig="620">
          <v:shape id="_x0000_i1082" type="#_x0000_t75" style="width:123.75pt;height:30pt" o:ole="">
            <v:imagedata r:id="rId138" o:title=""/>
          </v:shape>
          <o:OLEObject Type="Embed" ProgID="Equation.DSMT4" ShapeID="_x0000_i1082" DrawAspect="Content" ObjectID="_1604325036" r:id="rId139"/>
        </w:object>
      </w:r>
      <w:r w:rsidRPr="004B611D">
        <w:rPr>
          <w:lang w:val="en-GB"/>
        </w:rPr>
        <w:t>= 0.01</w:t>
      </w:r>
      <w:r w:rsidRPr="004B611D">
        <w:rPr>
          <w:i/>
          <w:iCs/>
          <w:sz w:val="28"/>
          <w:lang w:val="en-GB"/>
        </w:rPr>
        <w:t>α</w:t>
      </w:r>
      <w:r w:rsidRPr="004B611D">
        <w:rPr>
          <w:lang w:val="en-GB"/>
        </w:rPr>
        <w:t>.</w:t>
      </w:r>
    </w:p>
    <w:p w:rsidR="0038417F" w:rsidRPr="004B611D" w:rsidRDefault="0038417F" w:rsidP="0038417F">
      <w:pPr>
        <w:pStyle w:val="Heading3"/>
        <w:rPr>
          <w:lang w:val="en-GB"/>
        </w:rPr>
      </w:pPr>
      <w:bookmarkStart w:id="1776" w:name="_Toc518394246"/>
      <w:r w:rsidRPr="004B611D">
        <w:rPr>
          <w:lang w:val="en-GB"/>
        </w:rPr>
        <w:lastRenderedPageBreak/>
        <w:t>4.8.5</w:t>
      </w:r>
      <w:r w:rsidRPr="004B611D">
        <w:rPr>
          <w:lang w:val="en-GB"/>
        </w:rPr>
        <w:tab/>
        <w:t>The factors non-included in the formulae</w:t>
      </w:r>
      <w:bookmarkEnd w:id="1776"/>
    </w:p>
    <w:p w:rsidR="0038417F" w:rsidRPr="004B611D" w:rsidRDefault="0038417F" w:rsidP="0038417F">
      <w:pPr>
        <w:rPr>
          <w:lang w:val="en-GB"/>
        </w:rPr>
      </w:pPr>
      <w:r w:rsidRPr="004B611D">
        <w:rPr>
          <w:lang w:val="en-GB"/>
        </w:rPr>
        <w:t xml:space="preserve">Equations (51) </w:t>
      </w:r>
      <w:r w:rsidRPr="004B611D">
        <w:rPr>
          <w:iCs/>
          <w:lang w:val="en-GB"/>
        </w:rPr>
        <w:t xml:space="preserve">and </w:t>
      </w:r>
      <w:r w:rsidRPr="004B611D">
        <w:rPr>
          <w:lang w:val="en-GB"/>
        </w:rPr>
        <w:t>(52)</w:t>
      </w:r>
      <w:r w:rsidRPr="004B611D">
        <w:rPr>
          <w:iCs/>
          <w:lang w:val="en-GB"/>
        </w:rPr>
        <w:t xml:space="preserve"> include straightforward parameters that are directly connected to the use of the RF, and the ‘shadow price’, of denying other operators to use the same RF spectrum. </w:t>
      </w:r>
      <w:r w:rsidRPr="004B611D">
        <w:rPr>
          <w:lang w:val="en-GB"/>
        </w:rPr>
        <w:t xml:space="preserve">Equations (51) </w:t>
      </w:r>
      <w:r w:rsidRPr="004B611D">
        <w:rPr>
          <w:iCs/>
          <w:lang w:val="en-GB"/>
        </w:rPr>
        <w:t xml:space="preserve">and </w:t>
      </w:r>
      <w:r w:rsidRPr="004B611D">
        <w:rPr>
          <w:lang w:val="en-GB"/>
        </w:rPr>
        <w:t>(52)</w:t>
      </w:r>
      <w:r w:rsidRPr="004B611D">
        <w:rPr>
          <w:iCs/>
          <w:lang w:val="en-GB"/>
        </w:rPr>
        <w:t xml:space="preserve"> disregard other parameters, such as: </w:t>
      </w:r>
    </w:p>
    <w:p w:rsidR="0038417F" w:rsidRPr="004B611D" w:rsidRDefault="0038417F" w:rsidP="0038417F">
      <w:pPr>
        <w:pStyle w:val="enumlev1"/>
        <w:rPr>
          <w:lang w:val="en-GB"/>
        </w:rPr>
      </w:pPr>
      <w:r w:rsidRPr="004B611D">
        <w:rPr>
          <w:lang w:val="en-GB"/>
        </w:rPr>
        <w:t>–</w:t>
      </w:r>
      <w:r w:rsidRPr="004B611D">
        <w:rPr>
          <w:lang w:val="en-GB"/>
        </w:rPr>
        <w:tab/>
        <w:t>Number of base stations, in order to promote the installation of more stations to improve Quality of Service, and to achieve better coverage and capacity.</w:t>
      </w:r>
    </w:p>
    <w:p w:rsidR="0038417F" w:rsidRPr="004B611D" w:rsidRDefault="0038417F" w:rsidP="0038417F">
      <w:pPr>
        <w:pStyle w:val="enumlev1"/>
        <w:rPr>
          <w:lang w:val="en-GB"/>
        </w:rPr>
      </w:pPr>
      <w:r w:rsidRPr="004B611D">
        <w:rPr>
          <w:lang w:val="en-GB"/>
        </w:rPr>
        <w:t>–</w:t>
      </w:r>
      <w:r w:rsidRPr="004B611D">
        <w:rPr>
          <w:lang w:val="en-GB"/>
        </w:rPr>
        <w:tab/>
        <w:t xml:space="preserve">Surface of coverage or radius cell, as it is difficult to define it; moreover, regulators may prefer higher coverage (surfaces and radii). Surface of coverage has no meaning for µ wave links. The surface is included in the moderator </w:t>
      </w:r>
      <w:r w:rsidRPr="004B611D">
        <w:rPr>
          <w:i/>
          <w:sz w:val="28"/>
          <w:szCs w:val="28"/>
          <w:lang w:val="en-GB"/>
        </w:rPr>
        <w:t xml:space="preserve">ρ, </w:t>
      </w:r>
      <w:r w:rsidRPr="004B611D">
        <w:rPr>
          <w:lang w:val="en-GB"/>
        </w:rPr>
        <w:t xml:space="preserve">representing the number of districts. </w:t>
      </w:r>
    </w:p>
    <w:p w:rsidR="0038417F" w:rsidRPr="004B611D" w:rsidRDefault="0038417F" w:rsidP="0038417F">
      <w:pPr>
        <w:pStyle w:val="enumlev1"/>
        <w:rPr>
          <w:lang w:val="en-GB"/>
        </w:rPr>
      </w:pPr>
      <w:r w:rsidRPr="004B611D">
        <w:rPr>
          <w:lang w:val="en-GB"/>
        </w:rPr>
        <w:t>–</w:t>
      </w:r>
      <w:r w:rsidRPr="004B611D">
        <w:rPr>
          <w:lang w:val="en-GB"/>
        </w:rPr>
        <w:tab/>
        <w:t>Power, as the total e.i.r.p. of cellular stations change continuously (due to power control) and it is difficult to monitor power or e.i.r.p.</w:t>
      </w:r>
    </w:p>
    <w:p w:rsidR="0038417F" w:rsidRPr="004B611D" w:rsidRDefault="0038417F" w:rsidP="0038417F">
      <w:pPr>
        <w:pStyle w:val="enumlev1"/>
        <w:rPr>
          <w:lang w:val="en-GB"/>
        </w:rPr>
      </w:pPr>
      <w:r w:rsidRPr="004B611D">
        <w:rPr>
          <w:lang w:val="en-GB"/>
        </w:rPr>
        <w:t>–</w:t>
      </w:r>
      <w:r w:rsidRPr="004B611D">
        <w:rPr>
          <w:lang w:val="en-GB"/>
        </w:rPr>
        <w:tab/>
        <w:t>Effective altitude, as it complicates the method, and there is a need of digital terrain map (DTM).</w:t>
      </w:r>
    </w:p>
    <w:p w:rsidR="0038417F" w:rsidRPr="004B611D" w:rsidRDefault="0038417F" w:rsidP="0038417F">
      <w:pPr>
        <w:pStyle w:val="enumlev1"/>
        <w:rPr>
          <w:lang w:val="en-GB"/>
        </w:rPr>
      </w:pPr>
      <w:r w:rsidRPr="004B611D">
        <w:rPr>
          <w:lang w:val="en-GB"/>
        </w:rPr>
        <w:t>–</w:t>
      </w:r>
      <w:r w:rsidRPr="004B611D">
        <w:rPr>
          <w:lang w:val="en-GB"/>
        </w:rPr>
        <w:tab/>
        <w:t>Temporal scope and duty cycle, as most emissions (cellular and µwave links) are all day long. To remind that a non-used frequency is a waste to the economy.</w:t>
      </w:r>
    </w:p>
    <w:p w:rsidR="0038417F" w:rsidRPr="00BD6197" w:rsidRDefault="0038417F" w:rsidP="0038417F">
      <w:pPr>
        <w:pStyle w:val="Heading2"/>
        <w:rPr>
          <w:lang w:val="en-US"/>
        </w:rPr>
      </w:pPr>
      <w:bookmarkStart w:id="1777" w:name="_Toc289868851"/>
      <w:bookmarkStart w:id="1778" w:name="_Toc289869011"/>
      <w:bookmarkStart w:id="1779" w:name="_Toc289932319"/>
      <w:bookmarkStart w:id="1780" w:name="_Toc289933365"/>
      <w:bookmarkStart w:id="1781" w:name="_Toc291852928"/>
      <w:bookmarkStart w:id="1782" w:name="_Toc392515914"/>
      <w:bookmarkStart w:id="1783" w:name="_Toc462234123"/>
      <w:bookmarkStart w:id="1784" w:name="_Toc518394247"/>
      <w:r w:rsidRPr="00BD6197">
        <w:rPr>
          <w:lang w:val="en-US"/>
        </w:rPr>
        <w:t>4.</w:t>
      </w:r>
      <w:r>
        <w:rPr>
          <w:lang w:val="en-US"/>
        </w:rPr>
        <w:t>9</w:t>
      </w:r>
      <w:r w:rsidRPr="00BD6197">
        <w:rPr>
          <w:lang w:val="en-US"/>
        </w:rPr>
        <w:tab/>
        <w:t>Guidelines on applying new fees system</w:t>
      </w:r>
      <w:bookmarkEnd w:id="1777"/>
      <w:bookmarkEnd w:id="1778"/>
      <w:bookmarkEnd w:id="1779"/>
      <w:bookmarkEnd w:id="1780"/>
      <w:bookmarkEnd w:id="1781"/>
      <w:bookmarkEnd w:id="1782"/>
      <w:bookmarkEnd w:id="1783"/>
      <w:bookmarkEnd w:id="1784"/>
    </w:p>
    <w:p w:rsidR="0038417F" w:rsidRPr="00BD6197" w:rsidRDefault="0038417F" w:rsidP="0038417F">
      <w:pPr>
        <w:rPr>
          <w:lang w:val="en-US"/>
        </w:rPr>
      </w:pPr>
      <w:r w:rsidRPr="00BD6197">
        <w:rPr>
          <w:lang w:val="en-US"/>
        </w:rPr>
        <w:t>In order not to disturb the market, the new fees system should not impose sudden increase in the fees for the users, Therefore, spectrum manager should design a transition strategy considering many factors including, but not limited to, market status, number of users for each service, current fees system and alternative services.</w:t>
      </w:r>
    </w:p>
    <w:p w:rsidR="0038417F" w:rsidRPr="00BD6197" w:rsidRDefault="0038417F" w:rsidP="0038417F">
      <w:pPr>
        <w:rPr>
          <w:lang w:val="en-US"/>
        </w:rPr>
      </w:pPr>
      <w:r w:rsidRPr="00BD6197">
        <w:rPr>
          <w:lang w:val="en-US"/>
        </w:rPr>
        <w:t>The following steps could be used when applying a new fees system:</w:t>
      </w:r>
    </w:p>
    <w:p w:rsidR="0038417F" w:rsidRPr="00BD6197" w:rsidRDefault="0038417F" w:rsidP="0038417F">
      <w:pPr>
        <w:pStyle w:val="enumlev1"/>
        <w:rPr>
          <w:lang w:val="en-US"/>
        </w:rPr>
      </w:pPr>
      <w:r w:rsidRPr="00BD6197">
        <w:rPr>
          <w:lang w:val="en-US"/>
        </w:rPr>
        <w:t>1.</w:t>
      </w:r>
      <w:r w:rsidRPr="00BD6197">
        <w:rPr>
          <w:lang w:val="en-US"/>
        </w:rPr>
        <w:tab/>
        <w:t>Analyse the current spectrum usage.</w:t>
      </w:r>
    </w:p>
    <w:p w:rsidR="0038417F" w:rsidRPr="00BD6197" w:rsidRDefault="0038417F" w:rsidP="0038417F">
      <w:pPr>
        <w:pStyle w:val="enumlev2"/>
        <w:rPr>
          <w:lang w:val="en-US"/>
        </w:rPr>
      </w:pPr>
      <w:r w:rsidRPr="00BD6197">
        <w:rPr>
          <w:lang w:val="en-US"/>
        </w:rPr>
        <w:t>–</w:t>
      </w:r>
      <w:r w:rsidRPr="00BD6197">
        <w:rPr>
          <w:lang w:val="en-US"/>
        </w:rPr>
        <w:tab/>
        <w:t>Divide users into different groups.</w:t>
      </w:r>
    </w:p>
    <w:p w:rsidR="0038417F" w:rsidRPr="00BD6197" w:rsidRDefault="0038417F" w:rsidP="0038417F">
      <w:pPr>
        <w:pStyle w:val="enumlev2"/>
        <w:rPr>
          <w:lang w:val="en-US"/>
        </w:rPr>
      </w:pPr>
      <w:r w:rsidRPr="00BD6197">
        <w:rPr>
          <w:lang w:val="en-US"/>
        </w:rPr>
        <w:t>–</w:t>
      </w:r>
      <w:r w:rsidRPr="00BD6197">
        <w:rPr>
          <w:lang w:val="en-US"/>
        </w:rPr>
        <w:tab/>
        <w:t>Apply the old formula.</w:t>
      </w:r>
    </w:p>
    <w:p w:rsidR="0038417F" w:rsidRPr="00BD6197" w:rsidRDefault="0038417F" w:rsidP="0038417F">
      <w:pPr>
        <w:pStyle w:val="enumlev2"/>
        <w:rPr>
          <w:lang w:val="en-US"/>
        </w:rPr>
      </w:pPr>
      <w:r w:rsidRPr="00BD6197">
        <w:rPr>
          <w:lang w:val="en-US"/>
        </w:rPr>
        <w:t>–</w:t>
      </w:r>
      <w:r w:rsidRPr="00BD6197">
        <w:rPr>
          <w:lang w:val="en-US"/>
        </w:rPr>
        <w:tab/>
        <w:t>Analyse the results.</w:t>
      </w:r>
    </w:p>
    <w:p w:rsidR="0038417F" w:rsidRPr="00BD6197" w:rsidRDefault="0038417F" w:rsidP="0038417F">
      <w:pPr>
        <w:pStyle w:val="enumlev1"/>
        <w:rPr>
          <w:lang w:val="en-US"/>
        </w:rPr>
      </w:pPr>
      <w:r w:rsidRPr="00BD6197">
        <w:rPr>
          <w:lang w:val="en-US"/>
        </w:rPr>
        <w:t>2.</w:t>
      </w:r>
      <w:r w:rsidRPr="00BD6197">
        <w:rPr>
          <w:lang w:val="en-US"/>
        </w:rPr>
        <w:tab/>
        <w:t>Apply the new formula on the current groups of users.</w:t>
      </w:r>
    </w:p>
    <w:p w:rsidR="0038417F" w:rsidRPr="00BD6197" w:rsidRDefault="0038417F" w:rsidP="0038417F">
      <w:pPr>
        <w:pStyle w:val="enumlev2"/>
        <w:rPr>
          <w:lang w:val="en-US"/>
        </w:rPr>
      </w:pPr>
      <w:r w:rsidRPr="00BD6197">
        <w:rPr>
          <w:lang w:val="en-US"/>
        </w:rPr>
        <w:t>–</w:t>
      </w:r>
      <w:r w:rsidRPr="00BD6197">
        <w:rPr>
          <w:lang w:val="en-US"/>
        </w:rPr>
        <w:tab/>
        <w:t>Analyse the results.</w:t>
      </w:r>
    </w:p>
    <w:p w:rsidR="0038417F" w:rsidRPr="00BD6197" w:rsidRDefault="0038417F" w:rsidP="0038417F">
      <w:pPr>
        <w:pStyle w:val="enumlev2"/>
        <w:rPr>
          <w:lang w:val="en-US"/>
        </w:rPr>
      </w:pPr>
      <w:r w:rsidRPr="00BD6197">
        <w:rPr>
          <w:lang w:val="en-US"/>
        </w:rPr>
        <w:t>–</w:t>
      </w:r>
      <w:r w:rsidRPr="00BD6197">
        <w:rPr>
          <w:lang w:val="en-US"/>
        </w:rPr>
        <w:tab/>
        <w:t>Modify formula for the different groups</w:t>
      </w:r>
    </w:p>
    <w:p w:rsidR="0038417F" w:rsidRPr="00BD6197" w:rsidRDefault="0038417F" w:rsidP="0038417F">
      <w:pPr>
        <w:pStyle w:val="enumlev2"/>
        <w:rPr>
          <w:lang w:val="en-US"/>
        </w:rPr>
      </w:pPr>
      <w:r w:rsidRPr="00BD6197">
        <w:rPr>
          <w:lang w:val="en-US"/>
        </w:rPr>
        <w:t>–</w:t>
      </w:r>
      <w:r w:rsidRPr="00BD6197">
        <w:rPr>
          <w:lang w:val="en-US"/>
        </w:rPr>
        <w:tab/>
        <w:t>Apply mitigation policies in order not to disturb the market.</w:t>
      </w:r>
    </w:p>
    <w:p w:rsidR="0038417F" w:rsidRPr="00BD6197" w:rsidRDefault="0038417F" w:rsidP="0038417F">
      <w:pPr>
        <w:pStyle w:val="enumlev1"/>
        <w:rPr>
          <w:lang w:val="en-US"/>
        </w:rPr>
      </w:pPr>
      <w:r w:rsidRPr="00BD6197">
        <w:rPr>
          <w:lang w:val="en-US"/>
        </w:rPr>
        <w:t>3.</w:t>
      </w:r>
      <w:r w:rsidRPr="00BD6197">
        <w:rPr>
          <w:lang w:val="en-US"/>
        </w:rPr>
        <w:tab/>
        <w:t>Design transition strategy based on step two.</w:t>
      </w:r>
    </w:p>
    <w:p w:rsidR="0038417F" w:rsidRPr="00BD6197" w:rsidRDefault="0038417F" w:rsidP="0038417F">
      <w:pPr>
        <w:rPr>
          <w:lang w:val="en-US"/>
        </w:rPr>
      </w:pPr>
      <w:r w:rsidRPr="00BD6197">
        <w:rPr>
          <w:lang w:val="en-US"/>
        </w:rPr>
        <w:t>There are some principles that could be used in designing the transition strategy in order to move the current fees to its final market related fees</w:t>
      </w:r>
      <w:r>
        <w:rPr>
          <w:rStyle w:val="FootnoteReference"/>
          <w:lang w:val="en-US"/>
        </w:rPr>
        <w:footnoteReference w:id="9"/>
      </w:r>
      <w:r w:rsidRPr="00BD6197">
        <w:rPr>
          <w:lang w:val="en-US"/>
        </w:rPr>
        <w:t>.</w:t>
      </w:r>
    </w:p>
    <w:p w:rsidR="0038417F" w:rsidRPr="00BD6197" w:rsidRDefault="0038417F" w:rsidP="0038417F">
      <w:pPr>
        <w:pStyle w:val="enumlev1"/>
        <w:rPr>
          <w:lang w:val="en-US"/>
        </w:rPr>
      </w:pPr>
      <w:r w:rsidRPr="00BD6197">
        <w:rPr>
          <w:lang w:val="en-US"/>
        </w:rPr>
        <w:t>–</w:t>
      </w:r>
      <w:r w:rsidRPr="00BD6197">
        <w:rPr>
          <w:lang w:val="en-US"/>
        </w:rPr>
        <w:tab/>
        <w:t>There should be a trade-off between slowly increasing prices, which might not be sufficient to reduce congestion, and setting the prices at high level which might cause an adverse political reaction.</w:t>
      </w:r>
    </w:p>
    <w:p w:rsidR="0038417F" w:rsidRPr="00BD6197" w:rsidRDefault="0038417F" w:rsidP="0038417F">
      <w:pPr>
        <w:pStyle w:val="enumlev1"/>
        <w:rPr>
          <w:lang w:val="en-US"/>
        </w:rPr>
      </w:pPr>
      <w:r w:rsidRPr="00BD6197">
        <w:rPr>
          <w:lang w:val="en-US"/>
        </w:rPr>
        <w:t>–</w:t>
      </w:r>
      <w:r w:rsidRPr="00BD6197">
        <w:rPr>
          <w:lang w:val="en-US"/>
        </w:rPr>
        <w:tab/>
        <w:t>Prices should increase at a fraction of the final target increase and in case where the initial prices are too low, doubling or trebling the prices would be appropriate.</w:t>
      </w:r>
    </w:p>
    <w:p w:rsidR="0038417F" w:rsidRPr="00BD6197" w:rsidRDefault="0038417F" w:rsidP="0038417F">
      <w:pPr>
        <w:pStyle w:val="enumlev1"/>
        <w:rPr>
          <w:lang w:val="en-US"/>
        </w:rPr>
      </w:pPr>
      <w:r w:rsidRPr="00BD6197">
        <w:rPr>
          <w:lang w:val="en-US"/>
        </w:rPr>
        <w:t>–</w:t>
      </w:r>
      <w:r w:rsidRPr="00BD6197">
        <w:rPr>
          <w:lang w:val="en-US"/>
        </w:rPr>
        <w:tab/>
        <w:t>If the initial increase resulted in relieving the congestion, there would be no need to increase the prices further.</w:t>
      </w:r>
    </w:p>
    <w:p w:rsidR="0038417F" w:rsidRPr="00BD6197" w:rsidRDefault="0038417F" w:rsidP="0038417F">
      <w:pPr>
        <w:pStyle w:val="enumlev1"/>
        <w:rPr>
          <w:lang w:val="en-US"/>
        </w:rPr>
      </w:pPr>
      <w:r w:rsidRPr="00BD6197">
        <w:rPr>
          <w:lang w:val="en-US"/>
        </w:rPr>
        <w:lastRenderedPageBreak/>
        <w:t>–</w:t>
      </w:r>
      <w:r w:rsidRPr="00BD6197">
        <w:rPr>
          <w:lang w:val="en-US"/>
        </w:rPr>
        <w:tab/>
        <w:t>Users should know in advance the direction of the prices change in order to adjust their investment decisions.</w:t>
      </w:r>
    </w:p>
    <w:p w:rsidR="0038417F" w:rsidRPr="00BD6197" w:rsidRDefault="0038417F" w:rsidP="0038417F">
      <w:pPr>
        <w:pStyle w:val="enumlev1"/>
        <w:rPr>
          <w:lang w:val="en-US"/>
        </w:rPr>
      </w:pPr>
      <w:r w:rsidRPr="00BD6197">
        <w:rPr>
          <w:lang w:val="en-US"/>
        </w:rPr>
        <w:t>–</w:t>
      </w:r>
      <w:r w:rsidRPr="00BD6197">
        <w:rPr>
          <w:lang w:val="en-US"/>
        </w:rPr>
        <w:tab/>
        <w:t>Prices should be related to the market related prices on the long run.</w:t>
      </w:r>
    </w:p>
    <w:p w:rsidR="0038417F" w:rsidRPr="00BD6197" w:rsidRDefault="0038417F" w:rsidP="0038417F">
      <w:pPr>
        <w:pStyle w:val="enumlev1"/>
        <w:rPr>
          <w:lang w:val="en-US"/>
        </w:rPr>
      </w:pPr>
      <w:r w:rsidRPr="00BD6197">
        <w:rPr>
          <w:lang w:val="en-US"/>
        </w:rPr>
        <w:t>–</w:t>
      </w:r>
      <w:r w:rsidRPr="00BD6197">
        <w:rPr>
          <w:lang w:val="en-US"/>
        </w:rPr>
        <w:tab/>
        <w:t>A transition period of five years would be reasonable.</w:t>
      </w:r>
    </w:p>
    <w:p w:rsidR="0038417F" w:rsidRPr="00BD6197" w:rsidRDefault="0038417F" w:rsidP="0038417F">
      <w:pPr>
        <w:pStyle w:val="enumlev1"/>
        <w:rPr>
          <w:lang w:val="en-US"/>
        </w:rPr>
      </w:pPr>
      <w:r w:rsidRPr="00BD6197">
        <w:rPr>
          <w:lang w:val="en-US"/>
        </w:rPr>
        <w:t>–</w:t>
      </w:r>
      <w:r w:rsidRPr="00BD6197">
        <w:rPr>
          <w:lang w:val="en-US"/>
        </w:rPr>
        <w:tab/>
        <w:t>Existing legislation should be effective and compatible with the new pricing plan.</w:t>
      </w:r>
    </w:p>
    <w:p w:rsidR="0038417F" w:rsidRPr="00BD6197" w:rsidRDefault="0038417F" w:rsidP="0038417F">
      <w:pPr>
        <w:pStyle w:val="enumlev1"/>
        <w:rPr>
          <w:lang w:val="en-US"/>
        </w:rPr>
      </w:pPr>
      <w:r w:rsidRPr="00BD6197">
        <w:rPr>
          <w:lang w:val="en-US"/>
        </w:rPr>
        <w:t>–</w:t>
      </w:r>
      <w:r w:rsidRPr="00BD6197">
        <w:rPr>
          <w:lang w:val="en-US"/>
        </w:rPr>
        <w:tab/>
        <w:t>Consultation process is essential in order to reach consensus with stakeholders.</w:t>
      </w:r>
    </w:p>
    <w:p w:rsidR="0038417F" w:rsidRPr="00BD6197" w:rsidRDefault="0038417F" w:rsidP="0038417F">
      <w:pPr>
        <w:pStyle w:val="enumlev1"/>
        <w:rPr>
          <w:lang w:val="en-US"/>
        </w:rPr>
      </w:pPr>
      <w:r w:rsidRPr="00BD6197">
        <w:rPr>
          <w:lang w:val="en-US"/>
        </w:rPr>
        <w:t>–</w:t>
      </w:r>
      <w:r w:rsidRPr="00BD6197">
        <w:rPr>
          <w:lang w:val="en-US"/>
        </w:rPr>
        <w:tab/>
        <w:t>New software for calculating the prices should be developed and tested. Besides, the regulator stuff should be trained on the software.</w:t>
      </w:r>
    </w:p>
    <w:p w:rsidR="0038417F" w:rsidRPr="00BD6197" w:rsidRDefault="0038417F" w:rsidP="0038417F">
      <w:pPr>
        <w:pStyle w:val="enumlev1"/>
        <w:rPr>
          <w:lang w:val="en-US"/>
        </w:rPr>
      </w:pPr>
      <w:r w:rsidRPr="00BD6197">
        <w:rPr>
          <w:lang w:val="en-US"/>
        </w:rPr>
        <w:t>–</w:t>
      </w:r>
      <w:r w:rsidRPr="00BD6197">
        <w:rPr>
          <w:lang w:val="en-US"/>
        </w:rPr>
        <w:tab/>
        <w:t>Regulator should not depend on the new fees system to increase its funding as the levels of funding may fluctuate with time and also with supply and demand.</w:t>
      </w:r>
    </w:p>
    <w:p w:rsidR="00F3193E" w:rsidRDefault="00F3193E" w:rsidP="00F3193E">
      <w:pPr>
        <w:rPr>
          <w:lang w:val="en-US"/>
        </w:rPr>
      </w:pPr>
    </w:p>
    <w:p w:rsidR="0001364B" w:rsidRPr="00BD6197" w:rsidRDefault="0001364B" w:rsidP="00F3193E">
      <w:pPr>
        <w:rPr>
          <w:lang w:val="en-US"/>
        </w:rPr>
      </w:pPr>
    </w:p>
    <w:p w:rsidR="0069427A" w:rsidRPr="00BD6197" w:rsidRDefault="0069427A" w:rsidP="0069427A">
      <w:pPr>
        <w:pStyle w:val="ChapNo"/>
        <w:rPr>
          <w:lang w:val="en-US"/>
        </w:rPr>
      </w:pPr>
      <w:bookmarkStart w:id="1785" w:name="_Toc289868852"/>
      <w:bookmarkStart w:id="1786" w:name="_Toc289869012"/>
      <w:bookmarkStart w:id="1787" w:name="_Toc289932320"/>
      <w:bookmarkStart w:id="1788" w:name="_Toc289933366"/>
      <w:bookmarkStart w:id="1789" w:name="_Toc291852929"/>
      <w:bookmarkStart w:id="1790" w:name="_Toc462234124"/>
      <w:bookmarkStart w:id="1791" w:name="_Toc518394248"/>
      <w:r w:rsidRPr="00BD6197">
        <w:rPr>
          <w:lang w:val="en-US"/>
        </w:rPr>
        <w:t>CHAPTER 5</w:t>
      </w:r>
      <w:bookmarkEnd w:id="1785"/>
      <w:bookmarkEnd w:id="1786"/>
      <w:bookmarkEnd w:id="1787"/>
      <w:bookmarkEnd w:id="1788"/>
      <w:bookmarkEnd w:id="1789"/>
      <w:bookmarkEnd w:id="1790"/>
      <w:bookmarkEnd w:id="1791"/>
    </w:p>
    <w:p w:rsidR="0069427A" w:rsidRPr="00BD6197" w:rsidRDefault="0069427A" w:rsidP="0001364B">
      <w:pPr>
        <w:pStyle w:val="Chaptitle"/>
        <w:rPr>
          <w:lang w:val="en-US"/>
        </w:rPr>
      </w:pPr>
      <w:bookmarkStart w:id="1792" w:name="_Toc289868853"/>
      <w:bookmarkStart w:id="1793" w:name="_Toc289869013"/>
      <w:bookmarkStart w:id="1794" w:name="_Toc289932321"/>
      <w:bookmarkStart w:id="1795" w:name="_Toc289933367"/>
      <w:bookmarkStart w:id="1796" w:name="_Toc291852930"/>
      <w:bookmarkStart w:id="1797" w:name="_Toc454284956"/>
      <w:bookmarkStart w:id="1798" w:name="_Toc462234125"/>
      <w:bookmarkStart w:id="1799" w:name="_Toc518394249"/>
      <w:r w:rsidRPr="00BD6197">
        <w:rPr>
          <w:lang w:val="en-US"/>
        </w:rPr>
        <w:t>Administrations experience regarding the economic</w:t>
      </w:r>
      <w:r w:rsidRPr="00BD6197">
        <w:rPr>
          <w:lang w:val="en-US"/>
        </w:rPr>
        <w:br/>
        <w:t>aspects of spectrum management</w:t>
      </w:r>
      <w:bookmarkEnd w:id="1792"/>
      <w:bookmarkEnd w:id="1793"/>
      <w:bookmarkEnd w:id="1794"/>
      <w:bookmarkEnd w:id="1795"/>
      <w:bookmarkEnd w:id="1796"/>
      <w:r w:rsidR="008D411F" w:rsidRPr="008D411F">
        <w:rPr>
          <w:rStyle w:val="FootnoteReference"/>
          <w:b w:val="0"/>
          <w:bCs/>
          <w:lang w:val="en-US"/>
        </w:rPr>
        <w:footnoteReference w:id="10"/>
      </w:r>
      <w:bookmarkEnd w:id="1797"/>
      <w:bookmarkEnd w:id="1798"/>
      <w:bookmarkEnd w:id="1799"/>
    </w:p>
    <w:p w:rsidR="0069427A" w:rsidRPr="00BD6197" w:rsidRDefault="0069427A" w:rsidP="0069427A">
      <w:pPr>
        <w:pStyle w:val="Heading2"/>
        <w:rPr>
          <w:lang w:val="en-US"/>
        </w:rPr>
      </w:pPr>
      <w:bookmarkStart w:id="1800" w:name="_Toc497033193"/>
      <w:bookmarkStart w:id="1801" w:name="_Toc497033991"/>
      <w:bookmarkStart w:id="1802" w:name="_Toc289868854"/>
      <w:bookmarkStart w:id="1803" w:name="_Toc289869014"/>
      <w:bookmarkStart w:id="1804" w:name="_Toc289932322"/>
      <w:bookmarkStart w:id="1805" w:name="_Toc289933368"/>
      <w:bookmarkStart w:id="1806" w:name="_Toc291852931"/>
      <w:bookmarkStart w:id="1807" w:name="_Toc392515915"/>
      <w:bookmarkStart w:id="1808" w:name="_Toc462234126"/>
      <w:bookmarkStart w:id="1809" w:name="_Toc518394250"/>
      <w:r w:rsidRPr="00BD6197">
        <w:rPr>
          <w:lang w:val="en-US"/>
        </w:rPr>
        <w:t>5.1</w:t>
      </w:r>
      <w:r w:rsidRPr="00BD6197">
        <w:rPr>
          <w:lang w:val="en-US"/>
        </w:rPr>
        <w:tab/>
        <w:t>Experience with auctions and transferable property rights</w:t>
      </w:r>
      <w:bookmarkEnd w:id="1752"/>
      <w:bookmarkEnd w:id="1753"/>
      <w:bookmarkEnd w:id="1754"/>
      <w:bookmarkEnd w:id="1755"/>
      <w:bookmarkEnd w:id="1756"/>
      <w:bookmarkEnd w:id="1757"/>
      <w:bookmarkEnd w:id="1758"/>
      <w:bookmarkEnd w:id="1759"/>
      <w:bookmarkEnd w:id="1800"/>
      <w:bookmarkEnd w:id="1801"/>
      <w:bookmarkEnd w:id="1802"/>
      <w:bookmarkEnd w:id="1803"/>
      <w:bookmarkEnd w:id="1804"/>
      <w:bookmarkEnd w:id="1805"/>
      <w:bookmarkEnd w:id="1806"/>
      <w:bookmarkEnd w:id="1807"/>
      <w:bookmarkEnd w:id="1808"/>
      <w:bookmarkEnd w:id="1809"/>
    </w:p>
    <w:p w:rsidR="0069427A" w:rsidRPr="00BD6197" w:rsidRDefault="0069427A" w:rsidP="008D411F">
      <w:pPr>
        <w:rPr>
          <w:lang w:val="en-US"/>
        </w:rPr>
      </w:pPr>
      <w:r w:rsidRPr="00BD6197">
        <w:rPr>
          <w:lang w:val="en-US"/>
        </w:rPr>
        <w:t>Since the 1990s, some countries have</w:t>
      </w:r>
      <w:r w:rsidR="008D411F">
        <w:rPr>
          <w:lang w:val="en-US"/>
        </w:rPr>
        <w:t xml:space="preserve"> used auctions to assign licences [5] [6]</w:t>
      </w:r>
      <w:r w:rsidRPr="00BD6197">
        <w:rPr>
          <w:lang w:val="en-US"/>
        </w:rPr>
        <w:t>. Additionally, a few of these countries have recently introduced limited systems of transferable property rights, wherein licences to use spectrum may be sold to other parties.</w:t>
      </w:r>
    </w:p>
    <w:p w:rsidR="0069427A" w:rsidRPr="00BD6197" w:rsidRDefault="0069427A" w:rsidP="0069427A">
      <w:pPr>
        <w:pStyle w:val="Heading3"/>
        <w:rPr>
          <w:lang w:val="en-US"/>
        </w:rPr>
      </w:pPr>
      <w:bookmarkStart w:id="1810" w:name="_Toc459746723"/>
      <w:bookmarkStart w:id="1811" w:name="_Toc459792656"/>
      <w:bookmarkStart w:id="1812" w:name="_Toc459793822"/>
      <w:bookmarkStart w:id="1813" w:name="_Toc459793964"/>
      <w:bookmarkStart w:id="1814" w:name="_Toc459970426"/>
      <w:bookmarkStart w:id="1815" w:name="_Toc497033194"/>
      <w:bookmarkStart w:id="1816" w:name="_Toc497033992"/>
      <w:bookmarkStart w:id="1817" w:name="_Toc289868855"/>
      <w:bookmarkStart w:id="1818" w:name="_Toc289869015"/>
      <w:bookmarkStart w:id="1819" w:name="_Toc289932323"/>
      <w:bookmarkStart w:id="1820" w:name="_Toc289933369"/>
      <w:bookmarkStart w:id="1821" w:name="_Toc291852932"/>
      <w:bookmarkStart w:id="1822" w:name="_Toc392515916"/>
      <w:bookmarkStart w:id="1823" w:name="_Toc462234127"/>
      <w:bookmarkStart w:id="1824" w:name="_Toc518394251"/>
      <w:r w:rsidRPr="00BD6197">
        <w:rPr>
          <w:lang w:val="en-US"/>
        </w:rPr>
        <w:t>5.1.1</w:t>
      </w:r>
      <w:r w:rsidRPr="00BD6197">
        <w:rPr>
          <w:lang w:val="en-US"/>
        </w:rPr>
        <w:tab/>
        <w:t>Australia</w:t>
      </w:r>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p>
    <w:p w:rsidR="0069427A" w:rsidRPr="00BD6197" w:rsidRDefault="0069427A" w:rsidP="0069427A">
      <w:pPr>
        <w:rPr>
          <w:lang w:val="en-US"/>
        </w:rPr>
      </w:pPr>
      <w:r w:rsidRPr="00BD6197">
        <w:rPr>
          <w:lang w:val="en-US"/>
        </w:rPr>
        <w:t>In Australia, the Australian Communications and Media Authority (ACMA) in its role of managing the spectrum is pursuing objectives which include promoting economic efficiency, encouraging technological change and expanding freedom of choice. It has sought to develop an efficient, equitable and transparent system of charging for the use of spectrum, and to ensure an acceptable return to the community. To balance these potentially conflicting objectives, the ACMA has had to adopt a number of innovative approaches to managing spectrum. Its auctions and transferable property rights approaches are outlined below.</w:t>
      </w:r>
    </w:p>
    <w:p w:rsidR="0069427A" w:rsidRPr="00BD6197" w:rsidRDefault="0069427A" w:rsidP="0069427A">
      <w:pPr>
        <w:pStyle w:val="Heading4"/>
        <w:rPr>
          <w:lang w:val="en-US"/>
        </w:rPr>
      </w:pPr>
      <w:bookmarkStart w:id="1825" w:name="_Toc391269574"/>
      <w:bookmarkStart w:id="1826" w:name="_Toc459746724"/>
      <w:bookmarkStart w:id="1827" w:name="_Toc497033195"/>
      <w:bookmarkStart w:id="1828" w:name="_Toc497033993"/>
      <w:r w:rsidRPr="00BD6197">
        <w:rPr>
          <w:lang w:val="en-US"/>
        </w:rPr>
        <w:t>5.1.1.1</w:t>
      </w:r>
      <w:r w:rsidRPr="00BD6197">
        <w:rPr>
          <w:lang w:val="en-US"/>
        </w:rPr>
        <w:tab/>
        <w:t>Making use of price as a tool in assigning licences</w:t>
      </w:r>
      <w:bookmarkEnd w:id="1825"/>
      <w:bookmarkEnd w:id="1826"/>
      <w:bookmarkEnd w:id="1827"/>
      <w:bookmarkEnd w:id="1828"/>
    </w:p>
    <w:p w:rsidR="0069427A" w:rsidRPr="00BD6197" w:rsidRDefault="0069427A" w:rsidP="0069427A">
      <w:pPr>
        <w:rPr>
          <w:lang w:val="en-US"/>
        </w:rPr>
      </w:pPr>
      <w:r w:rsidRPr="00BD6197">
        <w:rPr>
          <w:lang w:val="en-US"/>
        </w:rPr>
        <w:t xml:space="preserve">Generally, where supply of a particular spectrum band exceeds demand, the ACMA allocates the spectrum over the counter, upon application, for an issue charge and an annual set fee. But where demand for a particular spectrum band is likely to exceed supply, the ACMA will allocate licences by sale at auction. </w:t>
      </w:r>
    </w:p>
    <w:p w:rsidR="0069427A" w:rsidRPr="00BD6197" w:rsidRDefault="0069427A" w:rsidP="0069427A">
      <w:pPr>
        <w:rPr>
          <w:lang w:val="en-US"/>
        </w:rPr>
      </w:pPr>
      <w:r w:rsidRPr="00BD6197">
        <w:rPr>
          <w:lang w:val="en-US"/>
        </w:rPr>
        <w:t xml:space="preserve">The ACMA can auction spectrum either in the form of spectrum licences, or less commonly, as apparatus licences. </w:t>
      </w:r>
    </w:p>
    <w:p w:rsidR="0069427A" w:rsidRPr="00BD6197" w:rsidRDefault="0069427A" w:rsidP="0069427A">
      <w:pPr>
        <w:rPr>
          <w:lang w:val="en-US"/>
        </w:rPr>
      </w:pPr>
      <w:r w:rsidRPr="00BD6197">
        <w:rPr>
          <w:lang w:val="en-US"/>
        </w:rPr>
        <w:t xml:space="preserve">Because of the extensive planning, consultation and preparation involved, spectrum auctions are irregular events, and are most often used where there is strong competition for scarce spectrum with a high commercial value. They are seen as a transparent, price-based method for allocating the spectrum within a particular band in discrete parcels known as spectrum lots, which are defined by </w:t>
      </w:r>
      <w:r w:rsidRPr="00BD6197">
        <w:rPr>
          <w:lang w:val="en-US"/>
        </w:rPr>
        <w:lastRenderedPageBreak/>
        <w:t xml:space="preserve">geographic area and frequency bandwidth. The combination of frequency bandwidth and geographic area is termed spectrum space. </w:t>
      </w:r>
    </w:p>
    <w:p w:rsidR="0069427A" w:rsidRPr="00BD6197" w:rsidRDefault="0069427A" w:rsidP="0069427A">
      <w:pPr>
        <w:rPr>
          <w:lang w:val="en-US"/>
        </w:rPr>
      </w:pPr>
      <w:r w:rsidRPr="00BD6197">
        <w:rPr>
          <w:lang w:val="en-US"/>
        </w:rPr>
        <w:t xml:space="preserve">A successful bidder may acquire a number of lots at auction. The buyer can combine or aggregate any contiguous lots to form broader spectrum spaces of greater utility. These aggregated lots can be used in accordance with access licence conditions so that any technology or service can be operated within the spectrum space, depending on its size and shape, without interfering with neighbouring services. </w:t>
      </w:r>
    </w:p>
    <w:p w:rsidR="0069427A" w:rsidRPr="00BD6197" w:rsidRDefault="0069427A" w:rsidP="0069427A">
      <w:pPr>
        <w:rPr>
          <w:lang w:val="en-US"/>
        </w:rPr>
      </w:pPr>
      <w:r w:rsidRPr="00BD6197">
        <w:rPr>
          <w:lang w:val="en-US"/>
        </w:rPr>
        <w:t xml:space="preserve">Of the many types of auctions that exist, only two have been used by the ACMA to auction spectrum, namely English open ascending bid and simultaneous multi-round. </w:t>
      </w:r>
    </w:p>
    <w:p w:rsidR="0069427A" w:rsidRPr="00BD6197" w:rsidRDefault="0069427A" w:rsidP="0069427A">
      <w:pPr>
        <w:pStyle w:val="Heading4"/>
        <w:rPr>
          <w:lang w:val="en-US"/>
        </w:rPr>
      </w:pPr>
      <w:bookmarkStart w:id="1829" w:name="_Toc391269575"/>
      <w:bookmarkStart w:id="1830" w:name="_Toc459746725"/>
      <w:bookmarkStart w:id="1831" w:name="_Toc497033196"/>
      <w:bookmarkStart w:id="1832" w:name="_Toc497033994"/>
      <w:r w:rsidRPr="00BD6197">
        <w:rPr>
          <w:lang w:val="en-US"/>
        </w:rPr>
        <w:t>5.1.1.2</w:t>
      </w:r>
      <w:r w:rsidRPr="00BD6197">
        <w:rPr>
          <w:lang w:val="en-US"/>
        </w:rPr>
        <w:tab/>
        <w:t>Introducing a new form of licensing: the spectrum licence</w:t>
      </w:r>
      <w:bookmarkEnd w:id="1829"/>
      <w:bookmarkEnd w:id="1830"/>
      <w:bookmarkEnd w:id="1831"/>
      <w:bookmarkEnd w:id="1832"/>
    </w:p>
    <w:p w:rsidR="0069427A" w:rsidRPr="00BD6197" w:rsidRDefault="0069427A" w:rsidP="0069427A">
      <w:pPr>
        <w:rPr>
          <w:lang w:val="en-US"/>
        </w:rPr>
      </w:pPr>
      <w:r w:rsidRPr="00BD6197">
        <w:rPr>
          <w:lang w:val="en-US"/>
        </w:rPr>
        <w:t>The market system is based on the principle that direct marketing of spectrum will result in more efficient spectrum use. Under the market system, users of spectrum will make decisions on their spectrum access recognizing the pressures of demand and supply. To facilitate a more market</w:t>
      </w:r>
      <w:r w:rsidRPr="00BD6197">
        <w:rPr>
          <w:lang w:val="en-US"/>
        </w:rPr>
        <w:noBreakHyphen/>
        <w:t xml:space="preserve">oriented approach to spectrum allocation and management, the ACMA introduced a new type of licence, analogous to a property right, called a spectrum licence. Spectrum licensing, instead of focusing on equipment and its uses (which in turn defines the area covered and the frequency bandwidth used), authorizes the use of spectrum within specified limits of frequency bandwidth and coverage area. Under spectrum licensing, licensees will have the flexibility to change their equipment, antenna, siting, in fact any aspect of their use of spectrum, provided they comply with the core technical conditions of the licence, and any coordination requirements. </w:t>
      </w:r>
    </w:p>
    <w:p w:rsidR="0069427A" w:rsidRPr="00BD6197" w:rsidRDefault="0069427A" w:rsidP="0069427A">
      <w:pPr>
        <w:rPr>
          <w:lang w:val="en-US"/>
        </w:rPr>
      </w:pPr>
      <w:r w:rsidRPr="00BD6197">
        <w:rPr>
          <w:lang w:val="en-US"/>
        </w:rPr>
        <w:t>In line with ss85</w:t>
      </w:r>
      <w:r w:rsidRPr="00BD6197">
        <w:rPr>
          <w:lang w:val="en-US"/>
        </w:rPr>
        <w:noBreakHyphen/>
        <w:t xml:space="preserve">88 of the </w:t>
      </w:r>
      <w:r w:rsidRPr="008D411F">
        <w:rPr>
          <w:lang w:val="en-US"/>
        </w:rPr>
        <w:t>Radiocommunications Act 1992</w:t>
      </w:r>
      <w:r w:rsidRPr="00BD6197">
        <w:rPr>
          <w:lang w:val="en-US"/>
        </w:rPr>
        <w:t xml:space="preserve">, spectrum licences are intended to be traded rather than transferred. They incorporate core conditions that define a spectrum asset or a set of property rights represented by the spectrum licence. Licensees are free to negotiate in the open market with interested persons to buy and sell spectrum space for any legal purpose. </w:t>
      </w:r>
    </w:p>
    <w:p w:rsidR="0069427A" w:rsidRPr="00BD6197" w:rsidRDefault="0069427A" w:rsidP="0069427A">
      <w:pPr>
        <w:rPr>
          <w:lang w:val="en-US"/>
        </w:rPr>
      </w:pPr>
      <w:r w:rsidRPr="00BD6197">
        <w:rPr>
          <w:lang w:val="en-US"/>
        </w:rPr>
        <w:t>Spectrum licences can be regarded as financial assets due to their defined spectrum space and long licence period, which is 15 years. These licences may be combined or sub-divided to form new licences, although they may not be subdivided smaller than a standard trading unit. Once a commercial agreement is reached on a particular trade, the transaction must be notified to the ACMA. The trade becomes effective only after the new licence details appear.</w:t>
      </w:r>
    </w:p>
    <w:p w:rsidR="0069427A" w:rsidRPr="00BD6197" w:rsidRDefault="0069427A" w:rsidP="0069427A">
      <w:pPr>
        <w:pStyle w:val="Heading3"/>
        <w:rPr>
          <w:lang w:val="en-US"/>
        </w:rPr>
      </w:pPr>
      <w:bookmarkStart w:id="1833" w:name="_Toc459746726"/>
      <w:bookmarkStart w:id="1834" w:name="_Toc459792657"/>
      <w:bookmarkStart w:id="1835" w:name="_Toc459793823"/>
      <w:bookmarkStart w:id="1836" w:name="_Toc459793965"/>
      <w:bookmarkStart w:id="1837" w:name="_Toc459970427"/>
      <w:bookmarkStart w:id="1838" w:name="_Toc497033197"/>
      <w:bookmarkStart w:id="1839" w:name="_Toc497033995"/>
      <w:bookmarkStart w:id="1840" w:name="_Toc289868856"/>
      <w:bookmarkStart w:id="1841" w:name="_Toc289869016"/>
      <w:bookmarkStart w:id="1842" w:name="_Toc289932324"/>
      <w:bookmarkStart w:id="1843" w:name="_Toc289933370"/>
      <w:bookmarkStart w:id="1844" w:name="_Toc291852933"/>
      <w:bookmarkStart w:id="1845" w:name="_Toc392515917"/>
      <w:bookmarkStart w:id="1846" w:name="_Toc462234128"/>
      <w:bookmarkStart w:id="1847" w:name="_Toc518394252"/>
      <w:r w:rsidRPr="00BD6197">
        <w:rPr>
          <w:lang w:val="en-US"/>
        </w:rPr>
        <w:t>5.1.2</w:t>
      </w:r>
      <w:r w:rsidRPr="00BD6197">
        <w:rPr>
          <w:lang w:val="en-US"/>
        </w:rPr>
        <w:tab/>
        <w:t>Canada</w:t>
      </w:r>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p>
    <w:p w:rsidR="0069427A" w:rsidRPr="00BD6197" w:rsidRDefault="0069427A" w:rsidP="0069427A">
      <w:pPr>
        <w:rPr>
          <w:lang w:val="en-US"/>
        </w:rPr>
      </w:pPr>
      <w:r w:rsidRPr="00BD6197">
        <w:rPr>
          <w:lang w:val="en-US"/>
        </w:rPr>
        <w:t xml:space="preserve">The Canadian Radiocommunication Act was amended in June 1996 to provide the explicit authority for the use of spectrum assignment auctions in appropriate circumstances.  Auctions offer a number of advantages such as their ability to promote economically efficient use of spectrum, their openness and objectivity as an assignment mechanism, their procedural efficiency, and their ability to return appropriate compensation to Canadian taxpayers for the use of a public resource.  </w:t>
      </w:r>
    </w:p>
    <w:p w:rsidR="0069427A" w:rsidRPr="00BD6197" w:rsidRDefault="0069427A" w:rsidP="0069427A">
      <w:pPr>
        <w:rPr>
          <w:lang w:val="en-US"/>
        </w:rPr>
      </w:pPr>
      <w:r w:rsidRPr="00BD6197">
        <w:rPr>
          <w:lang w:val="en-US"/>
        </w:rPr>
        <w:t>Industry Canada’s first spectrum auction was conducted in 1999, using a simultaneous multiple round ascending format to award spectrum in the 24 GHz and 38 GHz bands. Within a ten year span, Industry Canada has held seven spectrum auctions, five of which were held over the Internet, using the simultaneous multiple round format, and two of which used a sealed-bid format. As both the theoretical and practical aspects of auction design continue to advance, Industry Canada will continue to examine new auction design developments and adopt them as appropriate.</w:t>
      </w:r>
    </w:p>
    <w:p w:rsidR="0069427A" w:rsidRPr="00BD6197" w:rsidRDefault="0069427A" w:rsidP="0069427A">
      <w:pPr>
        <w:spacing w:after="240"/>
        <w:rPr>
          <w:lang w:val="en-US"/>
        </w:rPr>
      </w:pPr>
      <w:r w:rsidRPr="00BD6197">
        <w:rPr>
          <w:lang w:val="en-US"/>
        </w:rPr>
        <w:t>The following table provides details of all auctions held to date by Industry Canada. Auctions 1 to 5 were conducted using the Simultaneous Multiple Round Ascending (SMRA) design while Auctions 6 and 7 were conducted using a sealed-bid, second-price auction design.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4"/>
        <w:gridCol w:w="1330"/>
        <w:gridCol w:w="3622"/>
        <w:gridCol w:w="2014"/>
        <w:gridCol w:w="1379"/>
      </w:tblGrid>
      <w:tr w:rsidR="0069427A" w:rsidRPr="00BD6197" w:rsidTr="0001364B">
        <w:trPr>
          <w:jc w:val="center"/>
        </w:trPr>
        <w:tc>
          <w:tcPr>
            <w:tcW w:w="1030" w:type="dxa"/>
            <w:shd w:val="clear" w:color="auto" w:fill="auto"/>
            <w:vAlign w:val="center"/>
          </w:tcPr>
          <w:p w:rsidR="0069427A" w:rsidRPr="00BD6197" w:rsidRDefault="0069427A" w:rsidP="000F2BA7">
            <w:pPr>
              <w:pStyle w:val="Tablehead"/>
              <w:rPr>
                <w:lang w:val="en-US"/>
              </w:rPr>
            </w:pPr>
            <w:r w:rsidRPr="00BD6197">
              <w:rPr>
                <w:lang w:val="en-US"/>
              </w:rPr>
              <w:lastRenderedPageBreak/>
              <w:t>Auction No.</w:t>
            </w:r>
          </w:p>
        </w:tc>
        <w:tc>
          <w:tcPr>
            <w:tcW w:w="1058" w:type="dxa"/>
            <w:shd w:val="clear" w:color="auto" w:fill="auto"/>
            <w:vAlign w:val="center"/>
          </w:tcPr>
          <w:p w:rsidR="0069427A" w:rsidRPr="00BD6197" w:rsidRDefault="0069427A" w:rsidP="000F2BA7">
            <w:pPr>
              <w:pStyle w:val="Tablehead"/>
              <w:rPr>
                <w:lang w:val="en-US"/>
              </w:rPr>
            </w:pPr>
            <w:r w:rsidRPr="00BD6197">
              <w:rPr>
                <w:lang w:val="en-US"/>
              </w:rPr>
              <w:t xml:space="preserve">Year </w:t>
            </w:r>
          </w:p>
        </w:tc>
        <w:tc>
          <w:tcPr>
            <w:tcW w:w="2881" w:type="dxa"/>
            <w:shd w:val="clear" w:color="auto" w:fill="auto"/>
            <w:vAlign w:val="center"/>
          </w:tcPr>
          <w:p w:rsidR="0069427A" w:rsidRPr="00BD6197" w:rsidRDefault="0069427A" w:rsidP="000F2BA7">
            <w:pPr>
              <w:pStyle w:val="Tablehead"/>
              <w:rPr>
                <w:lang w:val="en-US"/>
              </w:rPr>
            </w:pPr>
            <w:r w:rsidRPr="00BD6197">
              <w:rPr>
                <w:lang w:val="en-US"/>
              </w:rPr>
              <w:t xml:space="preserve">Frequency </w:t>
            </w:r>
            <w:r w:rsidR="008D411F" w:rsidRPr="00BD6197">
              <w:rPr>
                <w:lang w:val="en-US"/>
              </w:rPr>
              <w:t>band</w:t>
            </w:r>
            <w:r w:rsidRPr="00BD6197">
              <w:rPr>
                <w:lang w:val="en-US"/>
              </w:rPr>
              <w:t>/</w:t>
            </w:r>
            <w:r w:rsidR="008D411F" w:rsidRPr="00BD6197">
              <w:rPr>
                <w:lang w:val="en-US"/>
              </w:rPr>
              <w:t>range</w:t>
            </w:r>
          </w:p>
        </w:tc>
        <w:tc>
          <w:tcPr>
            <w:tcW w:w="1602" w:type="dxa"/>
            <w:shd w:val="clear" w:color="auto" w:fill="auto"/>
            <w:vAlign w:val="center"/>
          </w:tcPr>
          <w:p w:rsidR="0069427A" w:rsidRPr="00BD6197" w:rsidRDefault="0069427A" w:rsidP="000F2BA7">
            <w:pPr>
              <w:pStyle w:val="Tablehead"/>
              <w:rPr>
                <w:lang w:val="en-US"/>
              </w:rPr>
            </w:pPr>
            <w:r w:rsidRPr="00BD6197">
              <w:rPr>
                <w:lang w:val="en-US"/>
              </w:rPr>
              <w:t xml:space="preserve">No. of </w:t>
            </w:r>
            <w:r w:rsidR="008D411F" w:rsidRPr="00BD6197">
              <w:rPr>
                <w:lang w:val="en-US"/>
              </w:rPr>
              <w:t>licences won</w:t>
            </w:r>
            <w:r w:rsidRPr="00BD6197">
              <w:rPr>
                <w:lang w:val="en-US"/>
              </w:rPr>
              <w:t>/</w:t>
            </w:r>
            <w:r w:rsidR="008D411F" w:rsidRPr="00BD6197">
              <w:rPr>
                <w:lang w:val="en-US"/>
              </w:rPr>
              <w:t>available</w:t>
            </w:r>
          </w:p>
        </w:tc>
        <w:tc>
          <w:tcPr>
            <w:tcW w:w="1097" w:type="dxa"/>
            <w:shd w:val="clear" w:color="auto" w:fill="auto"/>
            <w:vAlign w:val="center"/>
          </w:tcPr>
          <w:p w:rsidR="0069427A" w:rsidRPr="00BD6197" w:rsidRDefault="0069427A" w:rsidP="000F2BA7">
            <w:pPr>
              <w:pStyle w:val="Tablehead"/>
              <w:rPr>
                <w:lang w:val="en-US"/>
              </w:rPr>
            </w:pPr>
            <w:r w:rsidRPr="00BD6197">
              <w:rPr>
                <w:lang w:val="en-US"/>
              </w:rPr>
              <w:t xml:space="preserve">No. of </w:t>
            </w:r>
            <w:r w:rsidR="008D411F" w:rsidRPr="00BD6197">
              <w:rPr>
                <w:lang w:val="en-US"/>
              </w:rPr>
              <w:t>winners</w:t>
            </w:r>
          </w:p>
        </w:tc>
      </w:tr>
      <w:tr w:rsidR="0069427A" w:rsidRPr="00BD6197" w:rsidTr="0001364B">
        <w:trPr>
          <w:jc w:val="center"/>
        </w:trPr>
        <w:tc>
          <w:tcPr>
            <w:tcW w:w="1030" w:type="dxa"/>
            <w:vAlign w:val="center"/>
          </w:tcPr>
          <w:p w:rsidR="0069427A" w:rsidRPr="00BD6197" w:rsidRDefault="0069427A" w:rsidP="000F2BA7">
            <w:pPr>
              <w:pStyle w:val="Tabletext"/>
              <w:jc w:val="center"/>
              <w:rPr>
                <w:lang w:val="en-US"/>
              </w:rPr>
            </w:pPr>
            <w:r w:rsidRPr="00BD6197">
              <w:rPr>
                <w:lang w:val="en-US"/>
              </w:rPr>
              <w:t>1</w:t>
            </w:r>
          </w:p>
        </w:tc>
        <w:tc>
          <w:tcPr>
            <w:tcW w:w="1058" w:type="dxa"/>
            <w:vAlign w:val="center"/>
          </w:tcPr>
          <w:p w:rsidR="0069427A" w:rsidRPr="00BD6197" w:rsidRDefault="0069427A" w:rsidP="000F2BA7">
            <w:pPr>
              <w:pStyle w:val="Tabletext"/>
              <w:jc w:val="center"/>
              <w:rPr>
                <w:lang w:val="en-US"/>
              </w:rPr>
            </w:pPr>
            <w:r w:rsidRPr="00BD6197">
              <w:rPr>
                <w:lang w:val="en-US"/>
              </w:rPr>
              <w:t>1999</w:t>
            </w:r>
          </w:p>
        </w:tc>
        <w:tc>
          <w:tcPr>
            <w:tcW w:w="2881" w:type="dxa"/>
            <w:vAlign w:val="center"/>
          </w:tcPr>
          <w:p w:rsidR="0069427A" w:rsidRPr="00BD6197" w:rsidRDefault="0069427A" w:rsidP="000F2BA7">
            <w:pPr>
              <w:pStyle w:val="Tabletext"/>
              <w:rPr>
                <w:lang w:val="en-US"/>
              </w:rPr>
            </w:pPr>
            <w:r w:rsidRPr="00BD6197">
              <w:rPr>
                <w:lang w:val="en-US"/>
              </w:rPr>
              <w:t>24 and 38 GHz</w:t>
            </w:r>
          </w:p>
        </w:tc>
        <w:tc>
          <w:tcPr>
            <w:tcW w:w="1602" w:type="dxa"/>
            <w:vAlign w:val="center"/>
          </w:tcPr>
          <w:p w:rsidR="0069427A" w:rsidRPr="00BD6197" w:rsidRDefault="0069427A" w:rsidP="000F2BA7">
            <w:pPr>
              <w:pStyle w:val="Tabletext"/>
              <w:jc w:val="center"/>
              <w:rPr>
                <w:lang w:val="en-US"/>
              </w:rPr>
            </w:pPr>
            <w:r w:rsidRPr="00BD6197">
              <w:rPr>
                <w:lang w:val="en-US"/>
              </w:rPr>
              <w:t>260/354</w:t>
            </w:r>
          </w:p>
        </w:tc>
        <w:tc>
          <w:tcPr>
            <w:tcW w:w="1097" w:type="dxa"/>
            <w:vAlign w:val="center"/>
          </w:tcPr>
          <w:p w:rsidR="0069427A" w:rsidRPr="00BD6197" w:rsidRDefault="0069427A" w:rsidP="000F2BA7">
            <w:pPr>
              <w:pStyle w:val="Tabletext"/>
              <w:jc w:val="center"/>
              <w:rPr>
                <w:lang w:val="en-US"/>
              </w:rPr>
            </w:pPr>
            <w:r w:rsidRPr="00BD6197">
              <w:rPr>
                <w:lang w:val="en-US"/>
              </w:rPr>
              <w:t>12</w:t>
            </w:r>
          </w:p>
        </w:tc>
      </w:tr>
      <w:tr w:rsidR="0069427A" w:rsidRPr="00BD6197" w:rsidTr="0001364B">
        <w:trPr>
          <w:jc w:val="center"/>
        </w:trPr>
        <w:tc>
          <w:tcPr>
            <w:tcW w:w="1030" w:type="dxa"/>
            <w:vAlign w:val="center"/>
          </w:tcPr>
          <w:p w:rsidR="0069427A" w:rsidRPr="00BD6197" w:rsidRDefault="0069427A" w:rsidP="000F2BA7">
            <w:pPr>
              <w:pStyle w:val="Tabletext"/>
              <w:jc w:val="center"/>
              <w:rPr>
                <w:lang w:val="en-US"/>
              </w:rPr>
            </w:pPr>
            <w:r w:rsidRPr="00BD6197">
              <w:rPr>
                <w:lang w:val="en-US"/>
              </w:rPr>
              <w:t>2</w:t>
            </w:r>
          </w:p>
        </w:tc>
        <w:tc>
          <w:tcPr>
            <w:tcW w:w="1058" w:type="dxa"/>
            <w:vAlign w:val="center"/>
          </w:tcPr>
          <w:p w:rsidR="0069427A" w:rsidRPr="00BD6197" w:rsidRDefault="0069427A" w:rsidP="000F2BA7">
            <w:pPr>
              <w:pStyle w:val="Tabletext"/>
              <w:jc w:val="center"/>
              <w:rPr>
                <w:lang w:val="en-US"/>
              </w:rPr>
            </w:pPr>
            <w:r w:rsidRPr="00BD6197">
              <w:rPr>
                <w:lang w:val="en-US"/>
              </w:rPr>
              <w:t>2001</w:t>
            </w:r>
          </w:p>
        </w:tc>
        <w:tc>
          <w:tcPr>
            <w:tcW w:w="2881" w:type="dxa"/>
            <w:vAlign w:val="center"/>
          </w:tcPr>
          <w:p w:rsidR="0069427A" w:rsidRPr="00BD6197" w:rsidRDefault="0069427A" w:rsidP="00F3193E">
            <w:pPr>
              <w:pStyle w:val="Tabletext"/>
              <w:rPr>
                <w:lang w:val="en-US"/>
              </w:rPr>
            </w:pPr>
            <w:r w:rsidRPr="00BD6197">
              <w:rPr>
                <w:lang w:val="en-US"/>
              </w:rPr>
              <w:t>2 GHz – for Personal Communication Services (PCS)</w:t>
            </w:r>
          </w:p>
        </w:tc>
        <w:tc>
          <w:tcPr>
            <w:tcW w:w="1602" w:type="dxa"/>
            <w:vAlign w:val="center"/>
          </w:tcPr>
          <w:p w:rsidR="0069427A" w:rsidRPr="00BD6197" w:rsidRDefault="0069427A" w:rsidP="000F2BA7">
            <w:pPr>
              <w:pStyle w:val="Tabletext"/>
              <w:jc w:val="center"/>
              <w:rPr>
                <w:lang w:val="en-US"/>
              </w:rPr>
            </w:pPr>
            <w:r w:rsidRPr="00BD6197">
              <w:rPr>
                <w:lang w:val="en-US"/>
              </w:rPr>
              <w:t>52/62</w:t>
            </w:r>
          </w:p>
        </w:tc>
        <w:tc>
          <w:tcPr>
            <w:tcW w:w="1097" w:type="dxa"/>
            <w:vAlign w:val="center"/>
          </w:tcPr>
          <w:p w:rsidR="0069427A" w:rsidRPr="00BD6197" w:rsidRDefault="0069427A" w:rsidP="000F2BA7">
            <w:pPr>
              <w:pStyle w:val="Tabletext"/>
              <w:jc w:val="center"/>
              <w:rPr>
                <w:lang w:val="en-US"/>
              </w:rPr>
            </w:pPr>
            <w:r w:rsidRPr="00BD6197">
              <w:rPr>
                <w:lang w:val="en-US"/>
              </w:rPr>
              <w:t>5</w:t>
            </w:r>
          </w:p>
        </w:tc>
      </w:tr>
      <w:tr w:rsidR="0069427A" w:rsidRPr="00BD6197" w:rsidTr="0001364B">
        <w:trPr>
          <w:jc w:val="center"/>
        </w:trPr>
        <w:tc>
          <w:tcPr>
            <w:tcW w:w="1030" w:type="dxa"/>
            <w:vAlign w:val="center"/>
          </w:tcPr>
          <w:p w:rsidR="0069427A" w:rsidRPr="00BD6197" w:rsidRDefault="0069427A" w:rsidP="000F2BA7">
            <w:pPr>
              <w:pStyle w:val="Tabletext"/>
              <w:jc w:val="center"/>
              <w:rPr>
                <w:lang w:val="en-US"/>
              </w:rPr>
            </w:pPr>
            <w:r w:rsidRPr="00BD6197">
              <w:rPr>
                <w:lang w:val="en-US"/>
              </w:rPr>
              <w:t>3</w:t>
            </w:r>
          </w:p>
        </w:tc>
        <w:tc>
          <w:tcPr>
            <w:tcW w:w="1058" w:type="dxa"/>
            <w:vAlign w:val="center"/>
          </w:tcPr>
          <w:p w:rsidR="0069427A" w:rsidRPr="00BD6197" w:rsidRDefault="0069427A" w:rsidP="000F2BA7">
            <w:pPr>
              <w:pStyle w:val="Tabletext"/>
              <w:jc w:val="center"/>
              <w:rPr>
                <w:lang w:val="en-US"/>
              </w:rPr>
            </w:pPr>
            <w:r w:rsidRPr="00BD6197">
              <w:rPr>
                <w:lang w:val="en-US"/>
              </w:rPr>
              <w:t>2004</w:t>
            </w:r>
          </w:p>
        </w:tc>
        <w:tc>
          <w:tcPr>
            <w:tcW w:w="2881" w:type="dxa"/>
            <w:vAlign w:val="center"/>
          </w:tcPr>
          <w:p w:rsidR="0069427A" w:rsidRPr="00BD6197" w:rsidRDefault="0069427A" w:rsidP="00F3193E">
            <w:pPr>
              <w:pStyle w:val="Tabletext"/>
              <w:rPr>
                <w:lang w:val="en-US"/>
              </w:rPr>
            </w:pPr>
            <w:r w:rsidRPr="00BD6197">
              <w:rPr>
                <w:lang w:val="en-US"/>
              </w:rPr>
              <w:t>2.3 and 3.5 GHz</w:t>
            </w:r>
          </w:p>
        </w:tc>
        <w:tc>
          <w:tcPr>
            <w:tcW w:w="1602" w:type="dxa"/>
            <w:vAlign w:val="center"/>
          </w:tcPr>
          <w:p w:rsidR="0069427A" w:rsidRPr="00BD6197" w:rsidRDefault="0069427A" w:rsidP="000F2BA7">
            <w:pPr>
              <w:pStyle w:val="Tabletext"/>
              <w:jc w:val="center"/>
              <w:rPr>
                <w:lang w:val="en-US"/>
              </w:rPr>
            </w:pPr>
            <w:r w:rsidRPr="00BD6197">
              <w:rPr>
                <w:lang w:val="en-US"/>
              </w:rPr>
              <w:t>392/848</w:t>
            </w:r>
          </w:p>
        </w:tc>
        <w:tc>
          <w:tcPr>
            <w:tcW w:w="1097" w:type="dxa"/>
            <w:vAlign w:val="center"/>
          </w:tcPr>
          <w:p w:rsidR="0069427A" w:rsidRPr="00BD6197" w:rsidRDefault="0069427A" w:rsidP="000F2BA7">
            <w:pPr>
              <w:pStyle w:val="Tabletext"/>
              <w:jc w:val="center"/>
              <w:rPr>
                <w:lang w:val="en-US"/>
              </w:rPr>
            </w:pPr>
            <w:r w:rsidRPr="00BD6197">
              <w:rPr>
                <w:lang w:val="en-US"/>
              </w:rPr>
              <w:t>22</w:t>
            </w:r>
          </w:p>
        </w:tc>
      </w:tr>
      <w:tr w:rsidR="0069427A" w:rsidRPr="00BD6197" w:rsidTr="0001364B">
        <w:trPr>
          <w:jc w:val="center"/>
        </w:trPr>
        <w:tc>
          <w:tcPr>
            <w:tcW w:w="1030" w:type="dxa"/>
            <w:vAlign w:val="center"/>
          </w:tcPr>
          <w:p w:rsidR="0069427A" w:rsidRPr="00BD6197" w:rsidRDefault="0069427A" w:rsidP="000F2BA7">
            <w:pPr>
              <w:pStyle w:val="Tabletext"/>
              <w:jc w:val="center"/>
              <w:rPr>
                <w:lang w:val="en-US"/>
              </w:rPr>
            </w:pPr>
            <w:r w:rsidRPr="00BD6197">
              <w:rPr>
                <w:lang w:val="en-US"/>
              </w:rPr>
              <w:t>4</w:t>
            </w:r>
          </w:p>
        </w:tc>
        <w:tc>
          <w:tcPr>
            <w:tcW w:w="1058" w:type="dxa"/>
            <w:vAlign w:val="center"/>
          </w:tcPr>
          <w:p w:rsidR="0069427A" w:rsidRPr="00BD6197" w:rsidRDefault="0069427A" w:rsidP="000F2BA7">
            <w:pPr>
              <w:pStyle w:val="Tabletext"/>
              <w:jc w:val="center"/>
              <w:rPr>
                <w:lang w:val="en-US"/>
              </w:rPr>
            </w:pPr>
            <w:r w:rsidRPr="00BD6197">
              <w:rPr>
                <w:lang w:val="en-US"/>
              </w:rPr>
              <w:t>2004/05</w:t>
            </w:r>
          </w:p>
        </w:tc>
        <w:tc>
          <w:tcPr>
            <w:tcW w:w="2881" w:type="dxa"/>
            <w:vAlign w:val="center"/>
          </w:tcPr>
          <w:p w:rsidR="0069427A" w:rsidRPr="00BD6197" w:rsidRDefault="0069427A" w:rsidP="00F3193E">
            <w:pPr>
              <w:pStyle w:val="Tabletext"/>
              <w:rPr>
                <w:lang w:val="en-US"/>
              </w:rPr>
            </w:pPr>
            <w:r w:rsidRPr="00BD6197">
              <w:rPr>
                <w:lang w:val="en-US"/>
              </w:rPr>
              <w:t xml:space="preserve">2.3 and 3.5 GHz </w:t>
            </w:r>
          </w:p>
          <w:p w:rsidR="0069427A" w:rsidRPr="00BD6197" w:rsidRDefault="0069427A" w:rsidP="00F3193E">
            <w:pPr>
              <w:pStyle w:val="Tabletext"/>
              <w:rPr>
                <w:lang w:val="en-US"/>
              </w:rPr>
            </w:pPr>
            <w:r w:rsidRPr="00BD6197">
              <w:rPr>
                <w:lang w:val="en-US"/>
              </w:rPr>
              <w:t>(Phase 2 – residual)</w:t>
            </w:r>
          </w:p>
        </w:tc>
        <w:tc>
          <w:tcPr>
            <w:tcW w:w="1602" w:type="dxa"/>
            <w:vAlign w:val="center"/>
          </w:tcPr>
          <w:p w:rsidR="0069427A" w:rsidRPr="00BD6197" w:rsidRDefault="0069427A" w:rsidP="000F2BA7">
            <w:pPr>
              <w:pStyle w:val="Tabletext"/>
              <w:jc w:val="center"/>
              <w:rPr>
                <w:lang w:val="en-US"/>
              </w:rPr>
            </w:pPr>
            <w:r w:rsidRPr="00BD6197">
              <w:rPr>
                <w:lang w:val="en-US"/>
              </w:rPr>
              <w:t>450/457</w:t>
            </w:r>
          </w:p>
        </w:tc>
        <w:tc>
          <w:tcPr>
            <w:tcW w:w="1097" w:type="dxa"/>
            <w:vAlign w:val="center"/>
          </w:tcPr>
          <w:p w:rsidR="0069427A" w:rsidRPr="00BD6197" w:rsidRDefault="0069427A" w:rsidP="000F2BA7">
            <w:pPr>
              <w:pStyle w:val="Tabletext"/>
              <w:jc w:val="center"/>
              <w:rPr>
                <w:lang w:val="en-US"/>
              </w:rPr>
            </w:pPr>
            <w:r w:rsidRPr="00BD6197">
              <w:rPr>
                <w:lang w:val="en-US"/>
              </w:rPr>
              <w:t>15</w:t>
            </w:r>
          </w:p>
        </w:tc>
      </w:tr>
      <w:tr w:rsidR="0069427A" w:rsidRPr="00BD6197" w:rsidTr="0001364B">
        <w:trPr>
          <w:jc w:val="center"/>
        </w:trPr>
        <w:tc>
          <w:tcPr>
            <w:tcW w:w="1030" w:type="dxa"/>
            <w:vAlign w:val="center"/>
          </w:tcPr>
          <w:p w:rsidR="0069427A" w:rsidRPr="00BD6197" w:rsidRDefault="0069427A" w:rsidP="000F2BA7">
            <w:pPr>
              <w:pStyle w:val="Tabletext"/>
              <w:jc w:val="center"/>
              <w:rPr>
                <w:lang w:val="en-US"/>
              </w:rPr>
            </w:pPr>
            <w:r w:rsidRPr="00BD6197">
              <w:rPr>
                <w:lang w:val="en-US"/>
              </w:rPr>
              <w:t>5</w:t>
            </w:r>
          </w:p>
        </w:tc>
        <w:tc>
          <w:tcPr>
            <w:tcW w:w="1058" w:type="dxa"/>
            <w:vAlign w:val="center"/>
          </w:tcPr>
          <w:p w:rsidR="0069427A" w:rsidRPr="00BD6197" w:rsidRDefault="0069427A" w:rsidP="000F2BA7">
            <w:pPr>
              <w:pStyle w:val="Tabletext"/>
              <w:jc w:val="center"/>
              <w:rPr>
                <w:lang w:val="en-US"/>
              </w:rPr>
            </w:pPr>
            <w:r w:rsidRPr="00BD6197">
              <w:rPr>
                <w:lang w:val="en-US"/>
              </w:rPr>
              <w:t>2008</w:t>
            </w:r>
          </w:p>
        </w:tc>
        <w:tc>
          <w:tcPr>
            <w:tcW w:w="2881" w:type="dxa"/>
            <w:vAlign w:val="center"/>
          </w:tcPr>
          <w:p w:rsidR="0069427A" w:rsidRPr="00BD6197" w:rsidRDefault="0069427A" w:rsidP="00F3193E">
            <w:pPr>
              <w:pStyle w:val="Tabletext"/>
              <w:rPr>
                <w:lang w:val="en-US"/>
              </w:rPr>
            </w:pPr>
            <w:r w:rsidRPr="00BD6197">
              <w:rPr>
                <w:lang w:val="en-US"/>
              </w:rPr>
              <w:t>2 GHz – for Advanced Wireless Services (AWS)</w:t>
            </w:r>
          </w:p>
        </w:tc>
        <w:tc>
          <w:tcPr>
            <w:tcW w:w="1602" w:type="dxa"/>
            <w:vAlign w:val="center"/>
          </w:tcPr>
          <w:p w:rsidR="0069427A" w:rsidRPr="00BD6197" w:rsidRDefault="0069427A" w:rsidP="000F2BA7">
            <w:pPr>
              <w:pStyle w:val="Tabletext"/>
              <w:jc w:val="center"/>
              <w:rPr>
                <w:lang w:val="en-US"/>
              </w:rPr>
            </w:pPr>
            <w:r w:rsidRPr="00BD6197">
              <w:rPr>
                <w:lang w:val="en-US"/>
              </w:rPr>
              <w:t>282/292</w:t>
            </w:r>
          </w:p>
        </w:tc>
        <w:tc>
          <w:tcPr>
            <w:tcW w:w="1097" w:type="dxa"/>
            <w:vAlign w:val="center"/>
          </w:tcPr>
          <w:p w:rsidR="0069427A" w:rsidRPr="00BD6197" w:rsidRDefault="0069427A" w:rsidP="000F2BA7">
            <w:pPr>
              <w:pStyle w:val="Tabletext"/>
              <w:jc w:val="center"/>
              <w:rPr>
                <w:lang w:val="en-US"/>
              </w:rPr>
            </w:pPr>
            <w:r w:rsidRPr="00BD6197">
              <w:rPr>
                <w:lang w:val="en-US"/>
              </w:rPr>
              <w:t>15</w:t>
            </w:r>
          </w:p>
        </w:tc>
      </w:tr>
      <w:tr w:rsidR="0069427A" w:rsidRPr="00BD6197" w:rsidTr="0001364B">
        <w:trPr>
          <w:jc w:val="center"/>
        </w:trPr>
        <w:tc>
          <w:tcPr>
            <w:tcW w:w="1030" w:type="dxa"/>
            <w:vAlign w:val="center"/>
          </w:tcPr>
          <w:p w:rsidR="0069427A" w:rsidRPr="00BD6197" w:rsidRDefault="0069427A" w:rsidP="000F2BA7">
            <w:pPr>
              <w:pStyle w:val="Tabletext"/>
              <w:jc w:val="center"/>
              <w:rPr>
                <w:lang w:val="en-US"/>
              </w:rPr>
            </w:pPr>
            <w:r w:rsidRPr="00BD6197">
              <w:rPr>
                <w:lang w:val="en-US"/>
              </w:rPr>
              <w:t>6</w:t>
            </w:r>
          </w:p>
        </w:tc>
        <w:tc>
          <w:tcPr>
            <w:tcW w:w="1058" w:type="dxa"/>
            <w:vAlign w:val="center"/>
          </w:tcPr>
          <w:p w:rsidR="0069427A" w:rsidRPr="00BD6197" w:rsidRDefault="0069427A" w:rsidP="000F2BA7">
            <w:pPr>
              <w:pStyle w:val="Tabletext"/>
              <w:jc w:val="center"/>
              <w:rPr>
                <w:lang w:val="en-US"/>
              </w:rPr>
            </w:pPr>
            <w:r w:rsidRPr="00BD6197">
              <w:rPr>
                <w:lang w:val="en-US"/>
              </w:rPr>
              <w:t>2009</w:t>
            </w:r>
          </w:p>
        </w:tc>
        <w:tc>
          <w:tcPr>
            <w:tcW w:w="2881" w:type="dxa"/>
            <w:vAlign w:val="center"/>
          </w:tcPr>
          <w:p w:rsidR="0069427A" w:rsidRPr="00BD6197" w:rsidRDefault="0069427A" w:rsidP="00F3193E">
            <w:pPr>
              <w:pStyle w:val="Tabletext"/>
              <w:rPr>
                <w:lang w:val="en-US"/>
              </w:rPr>
            </w:pPr>
            <w:r w:rsidRPr="00BD6197">
              <w:rPr>
                <w:lang w:val="en-US"/>
              </w:rPr>
              <w:t>849-851 MHz and 894</w:t>
            </w:r>
            <w:r w:rsidRPr="00BD6197">
              <w:rPr>
                <w:lang w:val="en-US"/>
              </w:rPr>
              <w:noBreakHyphen/>
              <w:t>896 MHz for Air</w:t>
            </w:r>
            <w:r w:rsidRPr="00BD6197">
              <w:rPr>
                <w:lang w:val="en-US"/>
              </w:rPr>
              <w:noBreakHyphen/>
              <w:t>Ground Services</w:t>
            </w:r>
          </w:p>
        </w:tc>
        <w:tc>
          <w:tcPr>
            <w:tcW w:w="1602" w:type="dxa"/>
            <w:vAlign w:val="center"/>
          </w:tcPr>
          <w:p w:rsidR="0069427A" w:rsidRPr="00BD6197" w:rsidRDefault="0069427A" w:rsidP="000F2BA7">
            <w:pPr>
              <w:pStyle w:val="Tabletext"/>
              <w:jc w:val="center"/>
              <w:rPr>
                <w:lang w:val="en-US"/>
              </w:rPr>
            </w:pPr>
            <w:r w:rsidRPr="00BD6197">
              <w:rPr>
                <w:lang w:val="en-US"/>
              </w:rPr>
              <w:t>2/2</w:t>
            </w:r>
          </w:p>
        </w:tc>
        <w:tc>
          <w:tcPr>
            <w:tcW w:w="1097" w:type="dxa"/>
            <w:vAlign w:val="center"/>
          </w:tcPr>
          <w:p w:rsidR="0069427A" w:rsidRPr="00BD6197" w:rsidRDefault="0069427A" w:rsidP="000F2BA7">
            <w:pPr>
              <w:pStyle w:val="Tabletext"/>
              <w:jc w:val="center"/>
              <w:rPr>
                <w:lang w:val="en-US"/>
              </w:rPr>
            </w:pPr>
            <w:r w:rsidRPr="00BD6197">
              <w:rPr>
                <w:lang w:val="en-US"/>
              </w:rPr>
              <w:t>1</w:t>
            </w:r>
          </w:p>
        </w:tc>
      </w:tr>
      <w:tr w:rsidR="0069427A" w:rsidRPr="00BD6197" w:rsidTr="0001364B">
        <w:trPr>
          <w:jc w:val="center"/>
        </w:trPr>
        <w:tc>
          <w:tcPr>
            <w:tcW w:w="1030" w:type="dxa"/>
            <w:vAlign w:val="center"/>
          </w:tcPr>
          <w:p w:rsidR="0069427A" w:rsidRPr="00BD6197" w:rsidRDefault="0069427A" w:rsidP="000F2BA7">
            <w:pPr>
              <w:pStyle w:val="Tabletext"/>
              <w:jc w:val="center"/>
              <w:rPr>
                <w:lang w:val="en-US"/>
              </w:rPr>
            </w:pPr>
            <w:r w:rsidRPr="00BD6197">
              <w:rPr>
                <w:lang w:val="en-US"/>
              </w:rPr>
              <w:t>7</w:t>
            </w:r>
          </w:p>
        </w:tc>
        <w:tc>
          <w:tcPr>
            <w:tcW w:w="1058" w:type="dxa"/>
            <w:vAlign w:val="center"/>
          </w:tcPr>
          <w:p w:rsidR="0069427A" w:rsidRPr="00BD6197" w:rsidRDefault="0069427A" w:rsidP="000F2BA7">
            <w:pPr>
              <w:pStyle w:val="Tabletext"/>
              <w:jc w:val="center"/>
              <w:rPr>
                <w:lang w:val="en-US"/>
              </w:rPr>
            </w:pPr>
            <w:r w:rsidRPr="00BD6197">
              <w:rPr>
                <w:lang w:val="en-US"/>
              </w:rPr>
              <w:t>2009</w:t>
            </w:r>
          </w:p>
        </w:tc>
        <w:tc>
          <w:tcPr>
            <w:tcW w:w="2881" w:type="dxa"/>
            <w:vAlign w:val="center"/>
          </w:tcPr>
          <w:p w:rsidR="0069427A" w:rsidRPr="00BD6197" w:rsidRDefault="0069427A" w:rsidP="00F3193E">
            <w:pPr>
              <w:pStyle w:val="Tabletext"/>
              <w:rPr>
                <w:lang w:val="en-US"/>
              </w:rPr>
            </w:pPr>
            <w:r w:rsidRPr="00BD6197">
              <w:rPr>
                <w:lang w:val="en-US"/>
              </w:rPr>
              <w:t xml:space="preserve">2.3 and 3.5 GHz </w:t>
            </w:r>
          </w:p>
          <w:p w:rsidR="0069427A" w:rsidRPr="00BD6197" w:rsidRDefault="0069427A" w:rsidP="00F3193E">
            <w:pPr>
              <w:pStyle w:val="Tabletext"/>
              <w:rPr>
                <w:lang w:val="en-US"/>
              </w:rPr>
            </w:pPr>
            <w:r w:rsidRPr="00BD6197">
              <w:rPr>
                <w:lang w:val="en-US"/>
              </w:rPr>
              <w:t>(Phase 3 – residual)</w:t>
            </w:r>
          </w:p>
        </w:tc>
        <w:tc>
          <w:tcPr>
            <w:tcW w:w="1602" w:type="dxa"/>
            <w:vAlign w:val="center"/>
          </w:tcPr>
          <w:p w:rsidR="0069427A" w:rsidRPr="00BD6197" w:rsidRDefault="0069427A" w:rsidP="000F2BA7">
            <w:pPr>
              <w:pStyle w:val="Tabletext"/>
              <w:jc w:val="center"/>
              <w:rPr>
                <w:lang w:val="en-US"/>
              </w:rPr>
            </w:pPr>
            <w:r w:rsidRPr="00BD6197">
              <w:rPr>
                <w:lang w:val="en-US"/>
              </w:rPr>
              <w:t>10/10</w:t>
            </w:r>
          </w:p>
        </w:tc>
        <w:tc>
          <w:tcPr>
            <w:tcW w:w="1097" w:type="dxa"/>
            <w:vAlign w:val="center"/>
          </w:tcPr>
          <w:p w:rsidR="0069427A" w:rsidRPr="00BD6197" w:rsidRDefault="0069427A" w:rsidP="000F2BA7">
            <w:pPr>
              <w:pStyle w:val="Tabletext"/>
              <w:jc w:val="center"/>
              <w:rPr>
                <w:lang w:val="en-US"/>
              </w:rPr>
            </w:pPr>
            <w:r w:rsidRPr="00BD6197">
              <w:rPr>
                <w:lang w:val="en-US"/>
              </w:rPr>
              <w:t>5</w:t>
            </w:r>
          </w:p>
        </w:tc>
      </w:tr>
    </w:tbl>
    <w:p w:rsidR="0069427A" w:rsidRPr="00BD6197" w:rsidRDefault="0069427A" w:rsidP="0069427A">
      <w:pPr>
        <w:rPr>
          <w:rFonts w:ascii="TimesNewRoman" w:hAnsi="TimesNewRoman" w:cs="TimesNewRoman"/>
          <w:lang w:val="en-US"/>
        </w:rPr>
      </w:pPr>
      <w:r w:rsidRPr="00BD6197">
        <w:rPr>
          <w:lang w:val="en-US"/>
        </w:rPr>
        <w:t>Licences acquired through an auction are transferable in whole or in part (divisibility), in both the bandwidth and geographic dimensions to a qualified recipient.</w:t>
      </w:r>
      <w:r w:rsidRPr="00BD6197">
        <w:rPr>
          <w:rFonts w:ascii="TimesNewRoman" w:hAnsi="TimesNewRoman" w:cs="TimesNewRoman"/>
          <w:lang w:val="en-US"/>
        </w:rPr>
        <w:t xml:space="preserve"> Auctioned licences have generally been issued for a ten-year term with a high expectation of renewal at the end of this term. </w:t>
      </w:r>
      <w:bookmarkStart w:id="1848" w:name="_Toc459746727"/>
      <w:bookmarkStart w:id="1849" w:name="_Toc459792658"/>
      <w:bookmarkStart w:id="1850" w:name="_Toc459793824"/>
      <w:bookmarkStart w:id="1851" w:name="_Toc459793966"/>
      <w:bookmarkStart w:id="1852" w:name="_Toc459970428"/>
      <w:bookmarkStart w:id="1853" w:name="_Toc497033198"/>
      <w:bookmarkStart w:id="1854" w:name="_Toc497033996"/>
    </w:p>
    <w:p w:rsidR="0069427A" w:rsidRPr="00BD6197" w:rsidRDefault="0069427A" w:rsidP="0069427A">
      <w:pPr>
        <w:pStyle w:val="Heading3"/>
        <w:rPr>
          <w:lang w:val="en-US"/>
        </w:rPr>
      </w:pPr>
      <w:bookmarkStart w:id="1855" w:name="_Toc289868857"/>
      <w:bookmarkStart w:id="1856" w:name="_Toc289869017"/>
      <w:bookmarkStart w:id="1857" w:name="_Toc289932325"/>
      <w:bookmarkStart w:id="1858" w:name="_Toc289933371"/>
      <w:bookmarkStart w:id="1859" w:name="_Toc291852934"/>
      <w:bookmarkStart w:id="1860" w:name="_Toc392515918"/>
      <w:bookmarkStart w:id="1861" w:name="_Toc462234129"/>
      <w:bookmarkStart w:id="1862" w:name="_Toc518394253"/>
      <w:r w:rsidRPr="00BD6197">
        <w:rPr>
          <w:lang w:val="en-US"/>
        </w:rPr>
        <w:t>5.1.3</w:t>
      </w:r>
      <w:r w:rsidRPr="00BD6197">
        <w:rPr>
          <w:lang w:val="en-US"/>
        </w:rPr>
        <w:tab/>
        <w:t>The Russian Federation’s experience with auctions</w:t>
      </w:r>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p>
    <w:p w:rsidR="0069427A" w:rsidRPr="00A01420" w:rsidRDefault="0069427A" w:rsidP="0069427A">
      <w:pPr>
        <w:pStyle w:val="Headingb"/>
        <w:rPr>
          <w:lang w:val="en-US"/>
        </w:rPr>
      </w:pPr>
      <w:bookmarkStart w:id="1863" w:name="_Toc454284961"/>
      <w:bookmarkStart w:id="1864" w:name="_Toc462234130"/>
      <w:r w:rsidRPr="00A01420">
        <w:rPr>
          <w:lang w:val="en-US"/>
        </w:rPr>
        <w:t>General description of the system for conducting bidding processes (competitions, auctions) in the Russian Federation</w:t>
      </w:r>
      <w:bookmarkEnd w:id="1863"/>
      <w:bookmarkEnd w:id="1864"/>
    </w:p>
    <w:p w:rsidR="0069427A" w:rsidRPr="00BD6197" w:rsidRDefault="0069427A" w:rsidP="0069427A">
      <w:pPr>
        <w:rPr>
          <w:szCs w:val="24"/>
          <w:lang w:val="en-US"/>
        </w:rPr>
      </w:pPr>
      <w:r w:rsidRPr="00BD6197">
        <w:rPr>
          <w:szCs w:val="24"/>
          <w:lang w:val="en-US"/>
        </w:rPr>
        <w:t xml:space="preserve">In the Russian Federation, issues of formulating and implementing state policy and of regulation in the field of communications (including the use and conversion of radio spectrum), come under the remit of the </w:t>
      </w:r>
      <w:r w:rsidRPr="00BD6197">
        <w:rPr>
          <w:color w:val="000000"/>
          <w:szCs w:val="24"/>
          <w:lang w:val="en-US"/>
        </w:rPr>
        <w:t>Ministry of Communications and Mass Media</w:t>
      </w:r>
      <w:r w:rsidRPr="00BD6197">
        <w:rPr>
          <w:szCs w:val="24"/>
          <w:lang w:val="en-US"/>
        </w:rPr>
        <w:t xml:space="preserve"> of the Russian Federation (</w:t>
      </w:r>
      <w:r w:rsidRPr="00BD6197">
        <w:rPr>
          <w:i/>
          <w:iCs/>
          <w:szCs w:val="24"/>
          <w:lang w:val="en-US"/>
        </w:rPr>
        <w:t>Minkomsvyaz</w:t>
      </w:r>
      <w:r w:rsidRPr="00BD6197">
        <w:rPr>
          <w:szCs w:val="24"/>
          <w:lang w:val="en-US"/>
        </w:rPr>
        <w:t xml:space="preserve">). </w:t>
      </w:r>
    </w:p>
    <w:p w:rsidR="0069427A" w:rsidRPr="00BD6197" w:rsidRDefault="0069427A" w:rsidP="00F3193E">
      <w:pPr>
        <w:rPr>
          <w:szCs w:val="24"/>
          <w:lang w:val="en-US"/>
        </w:rPr>
      </w:pPr>
      <w:r w:rsidRPr="00BD6197">
        <w:rPr>
          <w:szCs w:val="24"/>
          <w:lang w:val="en-US"/>
        </w:rPr>
        <w:t>The legal framework for any activity in the field of communications in the Russian Federation is de</w:t>
      </w:r>
      <w:r w:rsidR="00F3193E">
        <w:rPr>
          <w:szCs w:val="24"/>
          <w:lang w:val="en-US"/>
        </w:rPr>
        <w:t xml:space="preserve">fined by Federal Law No 126-FZ </w:t>
      </w:r>
      <w:r w:rsidR="00F3193E" w:rsidRPr="00BD6197">
        <w:rPr>
          <w:rFonts w:eastAsia="Calibri"/>
          <w:szCs w:val="24"/>
          <w:lang w:val="en-US"/>
        </w:rPr>
        <w:t>“</w:t>
      </w:r>
      <w:r w:rsidRPr="00BD6197">
        <w:rPr>
          <w:szCs w:val="24"/>
          <w:lang w:val="en-US"/>
        </w:rPr>
        <w:t>On Communications</w:t>
      </w:r>
      <w:r w:rsidR="00F3193E">
        <w:rPr>
          <w:szCs w:val="24"/>
          <w:lang w:val="en-US"/>
        </w:rPr>
        <w:t>ˮ</w:t>
      </w:r>
      <w:r w:rsidRPr="00BD6197">
        <w:rPr>
          <w:szCs w:val="24"/>
          <w:lang w:val="en-US"/>
        </w:rPr>
        <w:t>, adopted in July 2003.</w:t>
      </w:r>
    </w:p>
    <w:p w:rsidR="0069427A" w:rsidRPr="00BD6197" w:rsidRDefault="0069427A" w:rsidP="0069427A">
      <w:pPr>
        <w:rPr>
          <w:szCs w:val="24"/>
          <w:lang w:val="en-US"/>
        </w:rPr>
      </w:pPr>
      <w:r w:rsidRPr="00BD6197">
        <w:rPr>
          <w:szCs w:val="24"/>
          <w:lang w:val="en-US"/>
        </w:rPr>
        <w:t>According to Article 29 of that Law, commercial activities pertaining to the provision of communication services require an appropriate license issued by the competent federal executive authority on the basis of the results of an examination of the applications received.</w:t>
      </w:r>
    </w:p>
    <w:p w:rsidR="0069427A" w:rsidRPr="00BD6197" w:rsidRDefault="0069427A" w:rsidP="0069427A">
      <w:pPr>
        <w:rPr>
          <w:szCs w:val="24"/>
          <w:lang w:val="en-US"/>
        </w:rPr>
      </w:pPr>
      <w:r w:rsidRPr="00BD6197">
        <w:rPr>
          <w:szCs w:val="24"/>
          <w:lang w:val="en-US"/>
        </w:rPr>
        <w:t>Article 31 includes provisions for cases in which a license to provide telecommunication services is granted on the basis of bidding processes. One of these cases is characterized by the following conditions:</w:t>
      </w:r>
    </w:p>
    <w:p w:rsidR="0069427A" w:rsidRPr="00BD6197" w:rsidRDefault="0069427A" w:rsidP="0069427A">
      <w:pPr>
        <w:pStyle w:val="enumlev1"/>
        <w:rPr>
          <w:szCs w:val="24"/>
          <w:lang w:val="en-US"/>
        </w:rPr>
      </w:pPr>
      <w:r w:rsidRPr="00BD6197">
        <w:rPr>
          <w:szCs w:val="24"/>
          <w:lang w:val="en-US"/>
        </w:rPr>
        <w:t>–</w:t>
      </w:r>
      <w:r w:rsidRPr="00BD6197">
        <w:rPr>
          <w:szCs w:val="24"/>
          <w:lang w:val="en-US"/>
        </w:rPr>
        <w:tab/>
        <w:t xml:space="preserve">Communication services are to be provided using the radio frequency spectrum; </w:t>
      </w:r>
    </w:p>
    <w:p w:rsidR="0069427A" w:rsidRPr="00BD6197" w:rsidRDefault="0069427A" w:rsidP="0069427A">
      <w:pPr>
        <w:pStyle w:val="enumlev1"/>
        <w:rPr>
          <w:szCs w:val="24"/>
          <w:lang w:val="en-US"/>
        </w:rPr>
      </w:pPr>
      <w:r w:rsidRPr="00BD6197">
        <w:rPr>
          <w:szCs w:val="24"/>
          <w:lang w:val="en-US"/>
        </w:rPr>
        <w:t>–</w:t>
      </w:r>
      <w:r w:rsidRPr="00BD6197">
        <w:rPr>
          <w:szCs w:val="24"/>
          <w:lang w:val="en-US"/>
        </w:rPr>
        <w:tab/>
        <w:t>The State Radiofrequency Commission determines that the spectrum available for communication services restricts the possible number of operators in a given territory.</w:t>
      </w:r>
    </w:p>
    <w:p w:rsidR="0069427A" w:rsidRPr="00BD6197" w:rsidRDefault="0069427A" w:rsidP="0069427A">
      <w:pPr>
        <w:rPr>
          <w:rFonts w:eastAsia="Calibri"/>
          <w:szCs w:val="24"/>
          <w:lang w:val="en-US"/>
        </w:rPr>
      </w:pPr>
      <w:r w:rsidRPr="00BD6197">
        <w:rPr>
          <w:rFonts w:eastAsia="Calibri"/>
          <w:szCs w:val="24"/>
          <w:lang w:val="en-US"/>
        </w:rPr>
        <w:t xml:space="preserve">The same article also stipulates that the procedure for conducting the bidding process is determined by the Government of the Russian Federation. It was in implementation of this provision that Government Order No. 8 of 12 January 2006 on “Regulations of bidding processes (auctions, competitions) for acquisition of </w:t>
      </w:r>
      <w:r w:rsidRPr="00BD6197">
        <w:rPr>
          <w:szCs w:val="24"/>
          <w:lang w:val="en-US"/>
        </w:rPr>
        <w:t>licenses to provide communication services</w:t>
      </w:r>
      <w:r w:rsidRPr="00BD6197">
        <w:rPr>
          <w:rFonts w:eastAsia="Calibri"/>
          <w:szCs w:val="24"/>
          <w:lang w:val="en-US"/>
        </w:rPr>
        <w:t>” was enacted. The instrument in question provides for two types of competitive bidding process: auctions and competitions (Table 1). Bids for licenses to provide communication services using radio frequency spectrum are conducted in the form of an auction if the spectrum that will be used to provide communication services is not allocated to radio services and/or is not used by radio systems of any designated purpose. In other cases, bids for communication service licenses are conducted in the form of a competition.</w:t>
      </w:r>
    </w:p>
    <w:p w:rsidR="0069427A" w:rsidRPr="00BD6197" w:rsidRDefault="0069427A" w:rsidP="0069427A">
      <w:pPr>
        <w:rPr>
          <w:rFonts w:eastAsia="Calibri"/>
          <w:szCs w:val="24"/>
          <w:lang w:val="en-US"/>
        </w:rPr>
      </w:pPr>
      <w:r w:rsidRPr="00BD6197">
        <w:rPr>
          <w:rFonts w:eastAsia="Calibri"/>
          <w:szCs w:val="24"/>
          <w:lang w:val="en-US"/>
        </w:rPr>
        <w:lastRenderedPageBreak/>
        <w:t>The organizer of the bidding process is the Federal Service for Supervision of Communications, Information Technology, and Mass Media, which:</w:t>
      </w:r>
    </w:p>
    <w:p w:rsidR="0069427A" w:rsidRPr="00BD6197" w:rsidRDefault="0069427A" w:rsidP="0069427A">
      <w:pPr>
        <w:pStyle w:val="enumlev1"/>
        <w:rPr>
          <w:szCs w:val="24"/>
          <w:lang w:val="en-US"/>
        </w:rPr>
      </w:pPr>
      <w:r w:rsidRPr="00BD6197">
        <w:rPr>
          <w:szCs w:val="24"/>
          <w:lang w:val="en-US"/>
        </w:rPr>
        <w:t>–</w:t>
      </w:r>
      <w:r w:rsidRPr="00BD6197">
        <w:rPr>
          <w:szCs w:val="24"/>
          <w:lang w:val="en-US"/>
        </w:rPr>
        <w:tab/>
        <w:t>determines the procedure, place, date and time for starting and ending the process of receiving applications to take part in the bidding;</w:t>
      </w:r>
    </w:p>
    <w:p w:rsidR="0069427A" w:rsidRPr="00BD6197" w:rsidRDefault="0069427A" w:rsidP="0069427A">
      <w:pPr>
        <w:pStyle w:val="enumlev1"/>
        <w:rPr>
          <w:szCs w:val="24"/>
          <w:lang w:val="en-US"/>
        </w:rPr>
      </w:pPr>
      <w:r w:rsidRPr="00BD6197">
        <w:rPr>
          <w:szCs w:val="24"/>
          <w:lang w:val="en-US"/>
        </w:rPr>
        <w:t>–</w:t>
      </w:r>
      <w:r w:rsidRPr="00BD6197">
        <w:rPr>
          <w:szCs w:val="24"/>
          <w:lang w:val="en-US"/>
        </w:rPr>
        <w:tab/>
        <w:t>organizes the preparation and publication of announcements of the bidding process, repeated bids where necessary, annulment of bidding, completion of bidding, and cancellation;</w:t>
      </w:r>
    </w:p>
    <w:p w:rsidR="0069427A" w:rsidRPr="00BD6197" w:rsidRDefault="0069427A" w:rsidP="0069427A">
      <w:pPr>
        <w:pStyle w:val="enumlev1"/>
        <w:rPr>
          <w:szCs w:val="24"/>
          <w:lang w:val="en-US"/>
        </w:rPr>
      </w:pPr>
      <w:r w:rsidRPr="00BD6197">
        <w:rPr>
          <w:szCs w:val="24"/>
          <w:lang w:val="en-US"/>
        </w:rPr>
        <w:t>–</w:t>
      </w:r>
      <w:r w:rsidRPr="00BD6197">
        <w:rPr>
          <w:szCs w:val="24"/>
          <w:lang w:val="en-US"/>
        </w:rPr>
        <w:tab/>
        <w:t>provides clarification regarding documents to be submitted within the period allowed for submission of applications;</w:t>
      </w:r>
    </w:p>
    <w:p w:rsidR="0069427A" w:rsidRPr="00BD6197" w:rsidRDefault="0069427A" w:rsidP="0069427A">
      <w:pPr>
        <w:pStyle w:val="enumlev1"/>
        <w:rPr>
          <w:szCs w:val="24"/>
          <w:lang w:val="en-US"/>
        </w:rPr>
      </w:pPr>
      <w:r w:rsidRPr="00BD6197">
        <w:rPr>
          <w:szCs w:val="24"/>
          <w:lang w:val="en-US"/>
        </w:rPr>
        <w:t>–</w:t>
      </w:r>
      <w:r w:rsidRPr="00BD6197">
        <w:rPr>
          <w:szCs w:val="24"/>
          <w:lang w:val="en-US"/>
        </w:rPr>
        <w:tab/>
        <w:t>concludes agreements on deposits;</w:t>
      </w:r>
    </w:p>
    <w:p w:rsidR="0069427A" w:rsidRPr="00BD6197" w:rsidRDefault="0069427A" w:rsidP="0069427A">
      <w:pPr>
        <w:pStyle w:val="enumlev1"/>
        <w:rPr>
          <w:szCs w:val="24"/>
          <w:lang w:val="en-US"/>
        </w:rPr>
      </w:pPr>
      <w:r w:rsidRPr="00BD6197">
        <w:rPr>
          <w:szCs w:val="24"/>
          <w:lang w:val="en-US"/>
        </w:rPr>
        <w:t>–</w:t>
      </w:r>
      <w:r w:rsidRPr="00BD6197">
        <w:rPr>
          <w:szCs w:val="24"/>
          <w:lang w:val="en-US"/>
        </w:rPr>
        <w:tab/>
        <w:t>ensures safekeeping of registered applications and attached documentation, and confidentiality of the data contained in them;</w:t>
      </w:r>
    </w:p>
    <w:p w:rsidR="0069427A" w:rsidRPr="00BD6197" w:rsidRDefault="0069427A" w:rsidP="0069427A">
      <w:pPr>
        <w:pStyle w:val="enumlev1"/>
        <w:rPr>
          <w:szCs w:val="24"/>
          <w:lang w:val="en-US"/>
        </w:rPr>
      </w:pPr>
      <w:r w:rsidRPr="00BD6197">
        <w:rPr>
          <w:szCs w:val="24"/>
          <w:lang w:val="en-US"/>
        </w:rPr>
        <w:t>–</w:t>
      </w:r>
      <w:r w:rsidRPr="00BD6197">
        <w:rPr>
          <w:szCs w:val="24"/>
          <w:lang w:val="en-US"/>
        </w:rPr>
        <w:tab/>
        <w:t>sets up a commission to conduct the bid that operates during the period of the bidding process and approves its membership;</w:t>
      </w:r>
    </w:p>
    <w:p w:rsidR="0069427A" w:rsidRPr="00BD6197" w:rsidRDefault="0069427A" w:rsidP="0069427A">
      <w:pPr>
        <w:pStyle w:val="enumlev1"/>
        <w:rPr>
          <w:szCs w:val="24"/>
          <w:lang w:val="en-US"/>
        </w:rPr>
      </w:pPr>
      <w:r w:rsidRPr="00BD6197">
        <w:rPr>
          <w:szCs w:val="24"/>
          <w:lang w:val="en-US"/>
        </w:rPr>
        <w:t>–</w:t>
      </w:r>
      <w:r w:rsidRPr="00BD6197">
        <w:rPr>
          <w:szCs w:val="24"/>
          <w:lang w:val="en-US"/>
        </w:rPr>
        <w:tab/>
        <w:t>ensures the necessary organizational and technical conditions for the commission to operate;</w:t>
      </w:r>
    </w:p>
    <w:p w:rsidR="0069427A" w:rsidRPr="00BD6197" w:rsidRDefault="0069427A" w:rsidP="0069427A">
      <w:pPr>
        <w:pStyle w:val="enumlev1"/>
        <w:rPr>
          <w:szCs w:val="24"/>
          <w:lang w:val="en-US"/>
        </w:rPr>
      </w:pPr>
      <w:r w:rsidRPr="00BD6197">
        <w:rPr>
          <w:szCs w:val="24"/>
          <w:lang w:val="en-US"/>
        </w:rPr>
        <w:t>–</w:t>
      </w:r>
      <w:r w:rsidRPr="00BD6197">
        <w:rPr>
          <w:szCs w:val="24"/>
          <w:lang w:val="en-US"/>
        </w:rPr>
        <w:tab/>
        <w:t>adopts other measures needed in connection with the organization of bidding.</w:t>
      </w:r>
    </w:p>
    <w:p w:rsidR="0069427A" w:rsidRPr="00BD6197" w:rsidRDefault="0069427A" w:rsidP="0069427A">
      <w:pPr>
        <w:rPr>
          <w:szCs w:val="24"/>
          <w:lang w:val="en-US"/>
        </w:rPr>
      </w:pPr>
      <w:r w:rsidRPr="00BD6197">
        <w:rPr>
          <w:szCs w:val="24"/>
          <w:lang w:val="en-US"/>
        </w:rPr>
        <w:t>The Commission referred to above is responsible for the following:</w:t>
      </w:r>
    </w:p>
    <w:p w:rsidR="0069427A" w:rsidRPr="00BD6197" w:rsidRDefault="0069427A" w:rsidP="0069427A">
      <w:pPr>
        <w:pStyle w:val="enumlev1"/>
        <w:rPr>
          <w:szCs w:val="24"/>
          <w:lang w:val="en-US"/>
        </w:rPr>
      </w:pPr>
      <w:r w:rsidRPr="00BD6197">
        <w:rPr>
          <w:szCs w:val="24"/>
          <w:lang w:val="en-US"/>
        </w:rPr>
        <w:t>–</w:t>
      </w:r>
      <w:r w:rsidRPr="00BD6197">
        <w:rPr>
          <w:szCs w:val="24"/>
          <w:lang w:val="en-US"/>
        </w:rPr>
        <w:tab/>
        <w:t>deciding on applications received;</w:t>
      </w:r>
    </w:p>
    <w:p w:rsidR="0069427A" w:rsidRPr="00BD6197" w:rsidRDefault="0069427A" w:rsidP="0069427A">
      <w:pPr>
        <w:pStyle w:val="enumlev1"/>
        <w:rPr>
          <w:szCs w:val="24"/>
          <w:lang w:val="en-US"/>
        </w:rPr>
      </w:pPr>
      <w:r w:rsidRPr="00BD6197">
        <w:rPr>
          <w:szCs w:val="24"/>
          <w:lang w:val="en-US"/>
        </w:rPr>
        <w:t>–</w:t>
      </w:r>
      <w:r w:rsidRPr="00BD6197">
        <w:rPr>
          <w:szCs w:val="24"/>
          <w:lang w:val="en-US"/>
        </w:rPr>
        <w:tab/>
        <w:t>examining and evaluating proposals from bidders;</w:t>
      </w:r>
    </w:p>
    <w:p w:rsidR="0069427A" w:rsidRPr="00BD6197" w:rsidRDefault="0069427A" w:rsidP="0069427A">
      <w:pPr>
        <w:pStyle w:val="enumlev1"/>
        <w:rPr>
          <w:szCs w:val="24"/>
          <w:lang w:val="en-US"/>
        </w:rPr>
      </w:pPr>
      <w:r w:rsidRPr="00BD6197">
        <w:rPr>
          <w:szCs w:val="24"/>
          <w:lang w:val="en-US"/>
        </w:rPr>
        <w:t>–</w:t>
      </w:r>
      <w:r w:rsidRPr="00BD6197">
        <w:rPr>
          <w:szCs w:val="24"/>
          <w:lang w:val="en-US"/>
        </w:rPr>
        <w:tab/>
        <w:t>determining the winning bidder and presenting the results of bidding process;</w:t>
      </w:r>
    </w:p>
    <w:p w:rsidR="0069427A" w:rsidRPr="00BD6197" w:rsidRDefault="0069427A" w:rsidP="0069427A">
      <w:pPr>
        <w:pStyle w:val="enumlev1"/>
        <w:rPr>
          <w:szCs w:val="24"/>
          <w:lang w:val="en-US"/>
        </w:rPr>
      </w:pPr>
      <w:r w:rsidRPr="00BD6197">
        <w:rPr>
          <w:szCs w:val="24"/>
          <w:lang w:val="en-US"/>
        </w:rPr>
        <w:t>–</w:t>
      </w:r>
      <w:r w:rsidRPr="00BD6197">
        <w:rPr>
          <w:szCs w:val="24"/>
          <w:lang w:val="en-US"/>
        </w:rPr>
        <w:tab/>
        <w:t>adopting other measures as required in connection with the bidding process.</w:t>
      </w:r>
    </w:p>
    <w:p w:rsidR="0069427A" w:rsidRPr="00BD6197" w:rsidRDefault="0069427A" w:rsidP="0069427A">
      <w:pPr>
        <w:rPr>
          <w:szCs w:val="24"/>
          <w:lang w:val="en-US"/>
        </w:rPr>
      </w:pPr>
      <w:r w:rsidRPr="00BD6197">
        <w:rPr>
          <w:szCs w:val="24"/>
          <w:lang w:val="en-US"/>
        </w:rPr>
        <w:t>Participation in bids is open to physical and legal persons meeting the requirements set out in the published announcement. Those requirements may include: the deadline for submitting applications, the list of documents which an applicant must submit, and the sum of money which the bidder is required to pay within a defined period.</w:t>
      </w:r>
    </w:p>
    <w:p w:rsidR="0069427A" w:rsidRPr="00BD6197" w:rsidRDefault="0069427A" w:rsidP="0069427A">
      <w:pPr>
        <w:rPr>
          <w:szCs w:val="24"/>
          <w:lang w:val="en-US"/>
        </w:rPr>
      </w:pPr>
      <w:r w:rsidRPr="00BD6197">
        <w:rPr>
          <w:szCs w:val="24"/>
          <w:lang w:val="en-US"/>
        </w:rPr>
        <w:t>In the case of bidding process in the form of a competition, sealed envelopes with competitive proposals from the bidders are opened at an open meeting of the Commission on the day and at the time indicated in the public announcement. After the envelopes have been opened and the proposals have been read out, the Commission withdraws to discuss and estimate the proposals. The winner is the bidder which in the Commission’s view has offered the best terms.</w:t>
      </w:r>
    </w:p>
    <w:p w:rsidR="0069427A" w:rsidRPr="00BD6197" w:rsidRDefault="0069427A" w:rsidP="0069427A">
      <w:pPr>
        <w:rPr>
          <w:szCs w:val="24"/>
          <w:lang w:val="en-US"/>
        </w:rPr>
      </w:pPr>
      <w:r w:rsidRPr="00BD6197">
        <w:rPr>
          <w:szCs w:val="24"/>
          <w:lang w:val="en-US"/>
        </w:rPr>
        <w:t xml:space="preserve">In the case of bidding process in the form of an auction, the initial announcement indicates the reserve price for the object of the bidding, the </w:t>
      </w:r>
      <w:r w:rsidRPr="00713752">
        <w:rPr>
          <w:szCs w:val="24"/>
          <w:lang w:val="en-US"/>
        </w:rPr>
        <w:t>bid increment</w:t>
      </w:r>
      <w:r w:rsidRPr="00BD6197">
        <w:rPr>
          <w:szCs w:val="24"/>
          <w:lang w:val="en-US"/>
        </w:rPr>
        <w:t xml:space="preserve">, and basic terms and conditions of the deposit agreement. The reserve price is based on an estimate by the assessor. An agreement with the assessor is concluded by the </w:t>
      </w:r>
      <w:r w:rsidRPr="00BD6197">
        <w:rPr>
          <w:rFonts w:eastAsia="Calibri"/>
          <w:szCs w:val="24"/>
          <w:lang w:val="en-US"/>
        </w:rPr>
        <w:t>organizer of the bidding process</w:t>
      </w:r>
      <w:r w:rsidRPr="00BD6197">
        <w:rPr>
          <w:szCs w:val="24"/>
          <w:lang w:val="en-US"/>
        </w:rPr>
        <w:t xml:space="preserve">. The amount of the deposit may not exceed 25 per cent of the reserve price. That sum is retained as a part of a lot payment for the winning bidder and returned within ten working days from the date of signing the official report on the auction’s results for the other bidders. An auctioneer is invited to conduct the auction and a contract is concluded with the auctioneer for that purpose. The winner is the person proposing the highest price for the lot, subject to the condition that the proposed price may not be lower than the reserve price stated in the original announcement. </w:t>
      </w:r>
    </w:p>
    <w:p w:rsidR="0069427A" w:rsidRPr="00BD6197" w:rsidRDefault="0069427A" w:rsidP="0069427A">
      <w:pPr>
        <w:rPr>
          <w:szCs w:val="24"/>
          <w:lang w:val="en-US"/>
        </w:rPr>
      </w:pPr>
      <w:r w:rsidRPr="00BD6197">
        <w:rPr>
          <w:szCs w:val="24"/>
          <w:lang w:val="en-US"/>
        </w:rPr>
        <w:t>Under the terms of Article 31 of the Law, the winning bidder, irrespective of the form of a bidding process, is granted a license and is allocated the corresponding radio frequencies.</w:t>
      </w:r>
    </w:p>
    <w:p w:rsidR="0069427A" w:rsidRPr="00BD6197" w:rsidRDefault="0069427A" w:rsidP="00424B3C">
      <w:pPr>
        <w:rPr>
          <w:szCs w:val="24"/>
          <w:lang w:val="en-US"/>
        </w:rPr>
      </w:pPr>
      <w:r w:rsidRPr="00BD6197">
        <w:rPr>
          <w:szCs w:val="24"/>
          <w:lang w:val="en-US"/>
        </w:rPr>
        <w:t>Government Order No. 8 of 12 January 2006 has now been superseded by Government Order No.</w:t>
      </w:r>
      <w:r w:rsidR="00424B3C">
        <w:rPr>
          <w:szCs w:val="24"/>
          <w:lang w:val="en-US"/>
        </w:rPr>
        <w:t> </w:t>
      </w:r>
      <w:r w:rsidRPr="00BD6197">
        <w:rPr>
          <w:szCs w:val="24"/>
          <w:lang w:val="en-US"/>
        </w:rPr>
        <w:t>480 of 24 May 2014 “On bidding processes (auctions, competitions) for the award of licenses to provide communication services”, which approved the current regulations for conducting bids. In comparison with the previous version the following modifications to regulations were made:</w:t>
      </w:r>
    </w:p>
    <w:p w:rsidR="0069427A" w:rsidRPr="00BD6197" w:rsidRDefault="0069427A" w:rsidP="0069427A">
      <w:pPr>
        <w:pStyle w:val="enumlev1"/>
        <w:rPr>
          <w:szCs w:val="24"/>
          <w:lang w:val="en-US"/>
        </w:rPr>
      </w:pPr>
      <w:r w:rsidRPr="00BD6197">
        <w:rPr>
          <w:szCs w:val="24"/>
          <w:lang w:val="en-US"/>
        </w:rPr>
        <w:lastRenderedPageBreak/>
        <w:t>–</w:t>
      </w:r>
      <w:r w:rsidRPr="00BD6197">
        <w:rPr>
          <w:szCs w:val="24"/>
          <w:lang w:val="en-US"/>
        </w:rPr>
        <w:tab/>
        <w:t>Bidding processes for licenses in areas where the number of operators is limited by availability of spectrum for use in communication services shall be conducted exclusively in the form of an auction (Table 1</w:t>
      </w:r>
      <w:r w:rsidR="00424B3C">
        <w:rPr>
          <w:szCs w:val="24"/>
          <w:lang w:val="en-US"/>
        </w:rPr>
        <w:t>4</w:t>
      </w:r>
      <w:r w:rsidRPr="00BD6197">
        <w:rPr>
          <w:szCs w:val="24"/>
          <w:lang w:val="en-US"/>
        </w:rPr>
        <w:t>).</w:t>
      </w:r>
    </w:p>
    <w:p w:rsidR="0069427A" w:rsidRPr="00BD6197" w:rsidRDefault="0069427A" w:rsidP="0069427A">
      <w:pPr>
        <w:pStyle w:val="enumlev1"/>
        <w:rPr>
          <w:szCs w:val="24"/>
          <w:lang w:val="en-US"/>
        </w:rPr>
      </w:pPr>
      <w:r w:rsidRPr="00BD6197">
        <w:rPr>
          <w:szCs w:val="24"/>
          <w:lang w:val="en-US"/>
        </w:rPr>
        <w:t>–</w:t>
      </w:r>
      <w:r w:rsidRPr="00BD6197">
        <w:rPr>
          <w:szCs w:val="24"/>
          <w:lang w:val="en-US"/>
        </w:rPr>
        <w:tab/>
        <w:t>The reserve price for the object of the auction may be determined on the basis of the conclusions of the assessor invited for that purpose, or in accordance with an established methodology for determining the reserve price.</w:t>
      </w:r>
    </w:p>
    <w:p w:rsidR="0069427A" w:rsidRPr="00BD6197" w:rsidRDefault="0069427A" w:rsidP="0069427A">
      <w:pPr>
        <w:pStyle w:val="enumlev1"/>
        <w:rPr>
          <w:szCs w:val="24"/>
          <w:lang w:val="en-US"/>
        </w:rPr>
      </w:pPr>
      <w:r w:rsidRPr="00BD6197">
        <w:rPr>
          <w:szCs w:val="24"/>
          <w:lang w:val="en-US"/>
        </w:rPr>
        <w:t>–</w:t>
      </w:r>
      <w:r w:rsidRPr="00BD6197">
        <w:rPr>
          <w:szCs w:val="24"/>
          <w:lang w:val="en-US"/>
        </w:rPr>
        <w:tab/>
        <w:t>There is provision for holding an electronic auction. In such cases, the Federal Service for Supervision of Communications, Information Technology, and Mass Media sets up and maintains an electronic bidding platform or concludes an agreement on the bidding process with the operator of e-platform (electronic marketplace).</w:t>
      </w:r>
    </w:p>
    <w:p w:rsidR="0069427A" w:rsidRPr="00BD6197" w:rsidRDefault="00424B3C" w:rsidP="0069427A">
      <w:pPr>
        <w:pStyle w:val="TableNo"/>
        <w:rPr>
          <w:lang w:val="en-US"/>
        </w:rPr>
      </w:pPr>
      <w:r w:rsidRPr="00BD6197">
        <w:rPr>
          <w:lang w:val="en-US"/>
        </w:rPr>
        <w:t>TABLE</w:t>
      </w:r>
      <w:r w:rsidR="0069427A" w:rsidRPr="00BD6197">
        <w:rPr>
          <w:lang w:val="en-US"/>
        </w:rPr>
        <w:t xml:space="preserve"> 1</w:t>
      </w:r>
      <w:r>
        <w:rPr>
          <w:lang w:val="en-US"/>
        </w:rPr>
        <w:t>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6"/>
        <w:gridCol w:w="3916"/>
        <w:gridCol w:w="3777"/>
      </w:tblGrid>
      <w:tr w:rsidR="0069427A" w:rsidRPr="00BD6197" w:rsidTr="000F2BA7">
        <w:tc>
          <w:tcPr>
            <w:tcW w:w="1951" w:type="dxa"/>
            <w:vMerge w:val="restart"/>
            <w:shd w:val="clear" w:color="auto" w:fill="auto"/>
            <w:vAlign w:val="center"/>
          </w:tcPr>
          <w:p w:rsidR="0069427A" w:rsidRPr="00BD6197" w:rsidRDefault="0069427A" w:rsidP="000F2BA7">
            <w:pPr>
              <w:pStyle w:val="Tablehead"/>
              <w:tabs>
                <w:tab w:val="left" w:pos="1871"/>
              </w:tabs>
              <w:rPr>
                <w:lang w:val="en-US"/>
              </w:rPr>
            </w:pPr>
            <w:r w:rsidRPr="00BD6197">
              <w:rPr>
                <w:lang w:val="en-US"/>
              </w:rPr>
              <w:t xml:space="preserve">Type of bidding process </w:t>
            </w:r>
          </w:p>
        </w:tc>
        <w:tc>
          <w:tcPr>
            <w:tcW w:w="7796" w:type="dxa"/>
            <w:gridSpan w:val="2"/>
            <w:shd w:val="clear" w:color="auto" w:fill="auto"/>
          </w:tcPr>
          <w:p w:rsidR="0069427A" w:rsidRPr="00BD6197" w:rsidRDefault="0069427A" w:rsidP="000F2BA7">
            <w:pPr>
              <w:pStyle w:val="Tablehead"/>
              <w:tabs>
                <w:tab w:val="left" w:pos="1871"/>
              </w:tabs>
              <w:rPr>
                <w:lang w:val="en-US"/>
              </w:rPr>
            </w:pPr>
            <w:r w:rsidRPr="00BD6197">
              <w:rPr>
                <w:lang w:val="en-US"/>
              </w:rPr>
              <w:t xml:space="preserve">When used </w:t>
            </w:r>
          </w:p>
        </w:tc>
      </w:tr>
      <w:tr w:rsidR="0069427A" w:rsidRPr="00BD6197" w:rsidTr="000F2BA7">
        <w:tc>
          <w:tcPr>
            <w:tcW w:w="1951" w:type="dxa"/>
            <w:vMerge/>
            <w:shd w:val="clear" w:color="auto" w:fill="auto"/>
          </w:tcPr>
          <w:p w:rsidR="0069427A" w:rsidRPr="00BD6197" w:rsidRDefault="0069427A" w:rsidP="000F2BA7">
            <w:pPr>
              <w:pStyle w:val="Tablehead"/>
              <w:tabs>
                <w:tab w:val="left" w:pos="1871"/>
              </w:tabs>
              <w:rPr>
                <w:lang w:val="en-US"/>
              </w:rPr>
            </w:pPr>
          </w:p>
        </w:tc>
        <w:tc>
          <w:tcPr>
            <w:tcW w:w="3969" w:type="dxa"/>
            <w:shd w:val="clear" w:color="auto" w:fill="auto"/>
          </w:tcPr>
          <w:p w:rsidR="0069427A" w:rsidRPr="00BD6197" w:rsidRDefault="0069427A" w:rsidP="000F2BA7">
            <w:pPr>
              <w:pStyle w:val="Tablehead"/>
              <w:tabs>
                <w:tab w:val="left" w:pos="1871"/>
              </w:tabs>
              <w:rPr>
                <w:lang w:val="en-US"/>
              </w:rPr>
            </w:pPr>
            <w:r w:rsidRPr="00BD6197">
              <w:rPr>
                <w:lang w:val="en-US"/>
              </w:rPr>
              <w:t>2006</w:t>
            </w:r>
            <w:r w:rsidRPr="00BD6197">
              <w:rPr>
                <w:lang w:val="en-US"/>
              </w:rPr>
              <w:noBreakHyphen/>
              <w:t>2014</w:t>
            </w:r>
          </w:p>
        </w:tc>
        <w:tc>
          <w:tcPr>
            <w:tcW w:w="3827" w:type="dxa"/>
            <w:shd w:val="clear" w:color="auto" w:fill="auto"/>
          </w:tcPr>
          <w:p w:rsidR="0069427A" w:rsidRPr="00BD6197" w:rsidRDefault="0069427A" w:rsidP="000F2BA7">
            <w:pPr>
              <w:pStyle w:val="Tablehead"/>
              <w:tabs>
                <w:tab w:val="left" w:pos="1871"/>
              </w:tabs>
              <w:rPr>
                <w:lang w:val="en-US"/>
              </w:rPr>
            </w:pPr>
            <w:r w:rsidRPr="00BD6197">
              <w:rPr>
                <w:lang w:val="en-US"/>
              </w:rPr>
              <w:t xml:space="preserve">2014 </w:t>
            </w:r>
            <w:r w:rsidRPr="00BD6197">
              <w:rPr>
                <w:lang w:val="en-US"/>
              </w:rPr>
              <w:noBreakHyphen/>
              <w:t xml:space="preserve"> present</w:t>
            </w:r>
          </w:p>
        </w:tc>
      </w:tr>
      <w:tr w:rsidR="0069427A" w:rsidRPr="00BD6197" w:rsidTr="000F2BA7">
        <w:tc>
          <w:tcPr>
            <w:tcW w:w="1951" w:type="dxa"/>
            <w:shd w:val="clear" w:color="auto" w:fill="auto"/>
          </w:tcPr>
          <w:p w:rsidR="0069427A" w:rsidRPr="00BD6197" w:rsidRDefault="0069427A" w:rsidP="000F2BA7">
            <w:pPr>
              <w:pStyle w:val="Tabletext"/>
              <w:tabs>
                <w:tab w:val="left" w:pos="1871"/>
              </w:tabs>
              <w:rPr>
                <w:lang w:val="en-US"/>
              </w:rPr>
            </w:pPr>
            <w:r w:rsidRPr="00BD6197">
              <w:rPr>
                <w:lang w:val="en-US"/>
              </w:rPr>
              <w:t>Competition</w:t>
            </w:r>
          </w:p>
        </w:tc>
        <w:tc>
          <w:tcPr>
            <w:tcW w:w="3969" w:type="dxa"/>
            <w:shd w:val="clear" w:color="auto" w:fill="auto"/>
          </w:tcPr>
          <w:p w:rsidR="0069427A" w:rsidRPr="00BD6197" w:rsidRDefault="0069427A" w:rsidP="00424B3C">
            <w:pPr>
              <w:pStyle w:val="Tabletext"/>
              <w:tabs>
                <w:tab w:val="left" w:pos="1871"/>
              </w:tabs>
              <w:rPr>
                <w:lang w:val="en-US"/>
              </w:rPr>
            </w:pPr>
            <w:r w:rsidRPr="00BD6197">
              <w:rPr>
                <w:lang w:val="en-US"/>
              </w:rPr>
              <w:t>All cases other than those for which an auction is required under current regulations.</w:t>
            </w:r>
          </w:p>
        </w:tc>
        <w:tc>
          <w:tcPr>
            <w:tcW w:w="3827" w:type="dxa"/>
            <w:shd w:val="clear" w:color="auto" w:fill="auto"/>
          </w:tcPr>
          <w:p w:rsidR="0069427A" w:rsidRPr="00BD6197" w:rsidRDefault="0069427A" w:rsidP="00424B3C">
            <w:pPr>
              <w:pStyle w:val="Tabletext"/>
              <w:tabs>
                <w:tab w:val="left" w:pos="1871"/>
              </w:tabs>
              <w:rPr>
                <w:lang w:val="en-US"/>
              </w:rPr>
            </w:pPr>
            <w:r w:rsidRPr="00BD6197">
              <w:rPr>
                <w:lang w:val="en-US"/>
              </w:rPr>
              <w:t>No provision</w:t>
            </w:r>
          </w:p>
        </w:tc>
      </w:tr>
      <w:tr w:rsidR="0069427A" w:rsidRPr="00D17B5B" w:rsidTr="000F2BA7">
        <w:tc>
          <w:tcPr>
            <w:tcW w:w="1951" w:type="dxa"/>
            <w:shd w:val="clear" w:color="auto" w:fill="auto"/>
          </w:tcPr>
          <w:p w:rsidR="0069427A" w:rsidRPr="00BD6197" w:rsidRDefault="0069427A" w:rsidP="000F2BA7">
            <w:pPr>
              <w:pStyle w:val="Tabletext"/>
              <w:tabs>
                <w:tab w:val="left" w:pos="1871"/>
              </w:tabs>
              <w:rPr>
                <w:lang w:val="en-US"/>
              </w:rPr>
            </w:pPr>
            <w:r w:rsidRPr="00BD6197">
              <w:rPr>
                <w:lang w:val="en-US"/>
              </w:rPr>
              <w:t>Auction</w:t>
            </w:r>
          </w:p>
        </w:tc>
        <w:tc>
          <w:tcPr>
            <w:tcW w:w="3969" w:type="dxa"/>
            <w:shd w:val="clear" w:color="auto" w:fill="auto"/>
          </w:tcPr>
          <w:p w:rsidR="0069427A" w:rsidRPr="00BD6197" w:rsidRDefault="0069427A" w:rsidP="00424B3C">
            <w:pPr>
              <w:pStyle w:val="Tabletext"/>
              <w:tabs>
                <w:tab w:val="left" w:pos="1871"/>
              </w:tabs>
              <w:rPr>
                <w:lang w:val="en-US"/>
              </w:rPr>
            </w:pPr>
            <w:r w:rsidRPr="00BD6197">
              <w:rPr>
                <w:lang w:val="en-US"/>
              </w:rPr>
              <w:t>Where spectrum that is to be used to provide communication services is not allocated to radio services and/or is not used by radio systems of any designated purpose.</w:t>
            </w:r>
          </w:p>
        </w:tc>
        <w:tc>
          <w:tcPr>
            <w:tcW w:w="3827" w:type="dxa"/>
            <w:shd w:val="clear" w:color="auto" w:fill="auto"/>
          </w:tcPr>
          <w:p w:rsidR="0069427A" w:rsidRPr="00BD6197" w:rsidRDefault="0069427A" w:rsidP="00424B3C">
            <w:pPr>
              <w:pStyle w:val="Tabletext"/>
              <w:tabs>
                <w:tab w:val="left" w:pos="1871"/>
              </w:tabs>
              <w:rPr>
                <w:lang w:val="en-US"/>
              </w:rPr>
            </w:pPr>
            <w:r w:rsidRPr="00BD6197">
              <w:rPr>
                <w:lang w:val="en-US"/>
              </w:rPr>
              <w:t>Auction only, where the number of operators in the territory where services are planned is limited by the availability of radio spectrum for use in communication services.</w:t>
            </w:r>
          </w:p>
        </w:tc>
      </w:tr>
    </w:tbl>
    <w:p w:rsidR="0069427A" w:rsidRPr="00A01420" w:rsidRDefault="0069427A" w:rsidP="0069427A">
      <w:pPr>
        <w:pStyle w:val="Headingb"/>
        <w:rPr>
          <w:lang w:val="en-US"/>
        </w:rPr>
      </w:pPr>
      <w:bookmarkStart w:id="1865" w:name="_Toc454284962"/>
      <w:bookmarkStart w:id="1866" w:name="_Toc462234131"/>
      <w:r w:rsidRPr="00A01420">
        <w:rPr>
          <w:lang w:val="en-US"/>
        </w:rPr>
        <w:t>The Russian Federation’s experience in conducting competitions for licences to provide communication services using radiofrequency spectrum</w:t>
      </w:r>
      <w:bookmarkEnd w:id="1865"/>
      <w:bookmarkEnd w:id="1866"/>
    </w:p>
    <w:p w:rsidR="0069427A" w:rsidRPr="00BD6197" w:rsidRDefault="0069427A" w:rsidP="0069427A">
      <w:pPr>
        <w:rPr>
          <w:szCs w:val="24"/>
          <w:lang w:val="en-US"/>
        </w:rPr>
      </w:pPr>
      <w:r w:rsidRPr="00BD6197">
        <w:rPr>
          <w:szCs w:val="24"/>
          <w:lang w:val="en-US"/>
        </w:rPr>
        <w:t>The first competitions to obtain licenses to provide communication services using radio frequency spectrum, in accordance with the regulations approved by Government Order No. 8 of 12 January 2006, took place in 2007. There were three lots in the 2 GHz band put up for bidding process. Each lot allowed usage of 15 MHz of spectrum to provide the IMT</w:t>
      </w:r>
      <w:r w:rsidRPr="00BD6197">
        <w:rPr>
          <w:szCs w:val="24"/>
          <w:lang w:val="en-US"/>
        </w:rPr>
        <w:noBreakHyphen/>
        <w:t>2000/UMTS communication services across the entire territory of the Russian Federation. The license fee</w:t>
      </w:r>
      <w:r w:rsidRPr="00BD6197">
        <w:rPr>
          <w:szCs w:val="24"/>
          <w:vertAlign w:val="superscript"/>
          <w:lang w:val="en-US"/>
        </w:rPr>
        <w:footnoteReference w:id="11"/>
      </w:r>
      <w:r w:rsidRPr="00BD6197">
        <w:rPr>
          <w:szCs w:val="24"/>
          <w:lang w:val="en-US"/>
        </w:rPr>
        <w:t xml:space="preserve"> for each lot was 2.64 million rubles. In the same year, competitions for GSM frequencies were organized. In this case, four regional licenses in the 900 MHz band and 99 regional licenses in the 1 800 MHz band were put for bidding process. The license fee for each lot was 45 000 rubles. Competitions for frequencies in the 1 800 MHz band were also held in 2011. This time there was no license fee but the following requirements were stated:</w:t>
      </w:r>
    </w:p>
    <w:p w:rsidR="0069427A" w:rsidRPr="00BD6197" w:rsidRDefault="0069427A" w:rsidP="0069427A">
      <w:pPr>
        <w:pStyle w:val="enumlev1"/>
        <w:rPr>
          <w:szCs w:val="24"/>
          <w:lang w:val="en-US"/>
        </w:rPr>
      </w:pPr>
      <w:r w:rsidRPr="00BD6197">
        <w:rPr>
          <w:szCs w:val="24"/>
          <w:lang w:val="en-US"/>
        </w:rPr>
        <w:t>–</w:t>
      </w:r>
      <w:r w:rsidRPr="00BD6197">
        <w:rPr>
          <w:szCs w:val="24"/>
          <w:lang w:val="en-US"/>
        </w:rPr>
        <w:tab/>
        <w:t>Population coverage: bidders were awarded additional points for providing mobile services in all settlements with 2 000-100 000 inhabitants and in not fewer than 10 per cent of settlements  with 200-2 000 inhabitants across the lot territory within two to three years.</w:t>
      </w:r>
    </w:p>
    <w:p w:rsidR="0069427A" w:rsidRPr="00BD6197" w:rsidRDefault="0069427A" w:rsidP="0069427A">
      <w:pPr>
        <w:pStyle w:val="enumlev1"/>
        <w:rPr>
          <w:szCs w:val="24"/>
          <w:lang w:val="en-US"/>
        </w:rPr>
      </w:pPr>
      <w:r w:rsidRPr="00BD6197">
        <w:rPr>
          <w:szCs w:val="24"/>
          <w:lang w:val="en-US"/>
        </w:rPr>
        <w:t>–</w:t>
      </w:r>
      <w:r w:rsidRPr="00BD6197">
        <w:rPr>
          <w:szCs w:val="24"/>
          <w:lang w:val="en-US"/>
        </w:rPr>
        <w:tab/>
        <w:t>Network investment: bidders were awarded additional points for having funds, whether their own or borrowed, sufficient for investment of at least 1.25 times the minimum value stated for a given lot in order to meet commitments to deploy a GSM mobile network in the 1 800 band.</w:t>
      </w:r>
    </w:p>
    <w:p w:rsidR="0069427A" w:rsidRPr="00BD6197" w:rsidRDefault="0069427A" w:rsidP="0069427A">
      <w:pPr>
        <w:pStyle w:val="enumlev1"/>
        <w:rPr>
          <w:szCs w:val="24"/>
          <w:lang w:val="en-US"/>
        </w:rPr>
      </w:pPr>
      <w:r w:rsidRPr="00BD6197">
        <w:rPr>
          <w:szCs w:val="24"/>
          <w:lang w:val="en-US"/>
        </w:rPr>
        <w:t>–</w:t>
      </w:r>
      <w:r w:rsidRPr="00BD6197">
        <w:rPr>
          <w:szCs w:val="24"/>
          <w:lang w:val="en-US"/>
        </w:rPr>
        <w:tab/>
        <w:t>Deadline for launch of services: not more than two years from the date of the award of the license.</w:t>
      </w:r>
    </w:p>
    <w:p w:rsidR="0069427A" w:rsidRPr="00A01420" w:rsidRDefault="0069427A" w:rsidP="0069427A">
      <w:pPr>
        <w:pStyle w:val="Headingb"/>
        <w:rPr>
          <w:lang w:val="en-US"/>
        </w:rPr>
      </w:pPr>
      <w:bookmarkStart w:id="1867" w:name="_Toc454284963"/>
      <w:bookmarkStart w:id="1868" w:name="_Toc462234132"/>
      <w:r w:rsidRPr="00A01420">
        <w:rPr>
          <w:lang w:val="en-US"/>
        </w:rPr>
        <w:lastRenderedPageBreak/>
        <w:t>Experience of conducting auctions for licences to provide communication services using radio spectrum in the Russian Federation</w:t>
      </w:r>
      <w:bookmarkEnd w:id="1867"/>
      <w:bookmarkEnd w:id="1868"/>
    </w:p>
    <w:p w:rsidR="0069427A" w:rsidRPr="00BD6197" w:rsidRDefault="0069427A" w:rsidP="00424B3C">
      <w:pPr>
        <w:rPr>
          <w:szCs w:val="24"/>
          <w:lang w:val="en-US"/>
        </w:rPr>
      </w:pPr>
      <w:r w:rsidRPr="00BD6197">
        <w:rPr>
          <w:szCs w:val="24"/>
          <w:lang w:val="en-US"/>
        </w:rPr>
        <w:t xml:space="preserve">The first auction for licences to provide communication services using radio spectrum took place in the autumn of 2015, when ten regional lots were auctioned. Total cost of licenses based on the auction results was 6.3 billion rubles. Table </w:t>
      </w:r>
      <w:r w:rsidR="00424B3C">
        <w:rPr>
          <w:szCs w:val="24"/>
          <w:lang w:val="en-US"/>
        </w:rPr>
        <w:t>15</w:t>
      </w:r>
      <w:r w:rsidRPr="00BD6197">
        <w:rPr>
          <w:szCs w:val="24"/>
          <w:lang w:val="en-US"/>
        </w:rPr>
        <w:t xml:space="preserve"> shows detail of the reserve prices.</w:t>
      </w:r>
    </w:p>
    <w:p w:rsidR="0069427A" w:rsidRPr="000531C3" w:rsidRDefault="00424B3C" w:rsidP="00424B3C">
      <w:pPr>
        <w:pStyle w:val="TableNo"/>
      </w:pPr>
      <w:r w:rsidRPr="000531C3">
        <w:t xml:space="preserve">TABLE </w:t>
      </w:r>
      <w:r>
        <w:t>15</w:t>
      </w:r>
    </w:p>
    <w:tbl>
      <w:tblPr>
        <w:tblW w:w="978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774"/>
        <w:gridCol w:w="4471"/>
        <w:gridCol w:w="1417"/>
        <w:gridCol w:w="1403"/>
        <w:gridCol w:w="1715"/>
      </w:tblGrid>
      <w:tr w:rsidR="0069427A" w:rsidRPr="00D17B5B" w:rsidTr="000F2BA7">
        <w:trPr>
          <w:cantSplit/>
          <w:trHeight w:hRule="exact" w:val="856"/>
          <w:tblHeader/>
        </w:trPr>
        <w:tc>
          <w:tcPr>
            <w:tcW w:w="774" w:type="dxa"/>
            <w:shd w:val="clear" w:color="auto" w:fill="FFFFFF"/>
            <w:vAlign w:val="center"/>
          </w:tcPr>
          <w:p w:rsidR="0069427A" w:rsidRPr="00BD6197" w:rsidRDefault="0069427A" w:rsidP="000F2BA7">
            <w:pPr>
              <w:pStyle w:val="Tablehead"/>
              <w:rPr>
                <w:lang w:val="en-US"/>
              </w:rPr>
            </w:pPr>
            <w:r w:rsidRPr="00BD6197">
              <w:rPr>
                <w:lang w:val="en-US"/>
              </w:rPr>
              <w:t>Lot No.</w:t>
            </w:r>
          </w:p>
        </w:tc>
        <w:tc>
          <w:tcPr>
            <w:tcW w:w="4471" w:type="dxa"/>
            <w:shd w:val="clear" w:color="auto" w:fill="FFFFFF"/>
            <w:vAlign w:val="center"/>
          </w:tcPr>
          <w:p w:rsidR="0069427A" w:rsidRPr="00BD6197" w:rsidRDefault="0069427A" w:rsidP="000F2BA7">
            <w:pPr>
              <w:pStyle w:val="Tablehead"/>
              <w:rPr>
                <w:lang w:val="en-US"/>
              </w:rPr>
            </w:pPr>
            <w:r w:rsidRPr="00BD6197">
              <w:rPr>
                <w:lang w:val="en-US"/>
              </w:rPr>
              <w:t>Territory</w:t>
            </w:r>
          </w:p>
        </w:tc>
        <w:tc>
          <w:tcPr>
            <w:tcW w:w="1417" w:type="dxa"/>
            <w:shd w:val="clear" w:color="auto" w:fill="FFFFFF"/>
            <w:vAlign w:val="center"/>
          </w:tcPr>
          <w:p w:rsidR="0069427A" w:rsidRPr="00BD6197" w:rsidRDefault="0069427A" w:rsidP="000F2BA7">
            <w:pPr>
              <w:pStyle w:val="Tablehead"/>
              <w:rPr>
                <w:lang w:val="en-US"/>
              </w:rPr>
            </w:pPr>
            <w:r w:rsidRPr="00BD6197">
              <w:rPr>
                <w:lang w:val="en-US"/>
              </w:rPr>
              <w:t>Block size</w:t>
            </w:r>
          </w:p>
        </w:tc>
        <w:tc>
          <w:tcPr>
            <w:tcW w:w="1403" w:type="dxa"/>
            <w:shd w:val="clear" w:color="auto" w:fill="FFFFFF"/>
            <w:vAlign w:val="center"/>
          </w:tcPr>
          <w:p w:rsidR="0069427A" w:rsidRPr="00BD6197" w:rsidRDefault="0069427A" w:rsidP="000F2BA7">
            <w:pPr>
              <w:pStyle w:val="Tablehead"/>
              <w:rPr>
                <w:lang w:val="en-US"/>
              </w:rPr>
            </w:pPr>
            <w:r w:rsidRPr="00BD6197">
              <w:rPr>
                <w:lang w:val="en-US"/>
              </w:rPr>
              <w:t>Reserve price  (million rubles)</w:t>
            </w:r>
          </w:p>
        </w:tc>
        <w:tc>
          <w:tcPr>
            <w:tcW w:w="1715" w:type="dxa"/>
            <w:shd w:val="clear" w:color="auto" w:fill="FFFFFF"/>
            <w:vAlign w:val="center"/>
          </w:tcPr>
          <w:p w:rsidR="0069427A" w:rsidRPr="00BD6197" w:rsidRDefault="0069427A" w:rsidP="000F2BA7">
            <w:pPr>
              <w:pStyle w:val="Tablehead"/>
              <w:rPr>
                <w:lang w:val="en-US"/>
              </w:rPr>
            </w:pPr>
            <w:r w:rsidRPr="00BD6197">
              <w:rPr>
                <w:lang w:val="en-US"/>
              </w:rPr>
              <w:t>Lot price based on bidding</w:t>
            </w:r>
          </w:p>
        </w:tc>
      </w:tr>
      <w:tr w:rsidR="0069427A" w:rsidRPr="00BD6197" w:rsidTr="000F2BA7">
        <w:trPr>
          <w:trHeight w:hRule="exact" w:val="338"/>
        </w:trPr>
        <w:tc>
          <w:tcPr>
            <w:tcW w:w="774" w:type="dxa"/>
            <w:shd w:val="clear" w:color="auto" w:fill="FFFFFF"/>
            <w:vAlign w:val="center"/>
          </w:tcPr>
          <w:p w:rsidR="0069427A" w:rsidRPr="00BD6197" w:rsidRDefault="0069427A" w:rsidP="000F2BA7">
            <w:pPr>
              <w:pStyle w:val="Tabletext"/>
              <w:keepNext/>
              <w:jc w:val="center"/>
              <w:rPr>
                <w:lang w:val="en-US"/>
              </w:rPr>
            </w:pPr>
            <w:r w:rsidRPr="00BD6197">
              <w:rPr>
                <w:rStyle w:val="ArialNarrow12pt0pt"/>
                <w:rFonts w:ascii="Times New Roman" w:hAnsi="Times New Roman" w:cs="Times New Roman"/>
                <w:sz w:val="20"/>
                <w:lang w:val="en-US"/>
              </w:rPr>
              <w:t>1</w:t>
            </w:r>
          </w:p>
        </w:tc>
        <w:tc>
          <w:tcPr>
            <w:tcW w:w="4471" w:type="dxa"/>
            <w:shd w:val="clear" w:color="auto" w:fill="FFFFFF"/>
            <w:vAlign w:val="center"/>
          </w:tcPr>
          <w:p w:rsidR="0069427A" w:rsidRPr="00BD6197" w:rsidRDefault="0069427A" w:rsidP="000F2BA7">
            <w:pPr>
              <w:pStyle w:val="Tabletext"/>
              <w:keepNext/>
              <w:jc w:val="center"/>
              <w:rPr>
                <w:lang w:val="en-US"/>
              </w:rPr>
            </w:pPr>
            <w:r w:rsidRPr="00BD6197">
              <w:rPr>
                <w:rStyle w:val="ArialNarrow12pt0pt"/>
                <w:rFonts w:ascii="Times New Roman" w:hAnsi="Times New Roman" w:cs="Times New Roman"/>
                <w:sz w:val="20"/>
                <w:lang w:val="en-US"/>
              </w:rPr>
              <w:t xml:space="preserve">The Dagestan Republic </w:t>
            </w:r>
          </w:p>
        </w:tc>
        <w:tc>
          <w:tcPr>
            <w:tcW w:w="1417" w:type="dxa"/>
            <w:shd w:val="clear" w:color="auto" w:fill="FFFFFF"/>
            <w:vAlign w:val="center"/>
          </w:tcPr>
          <w:p w:rsidR="0069427A" w:rsidRPr="00BD6197" w:rsidRDefault="0069427A" w:rsidP="000F2BA7">
            <w:pPr>
              <w:pStyle w:val="Tabletext"/>
              <w:keepNext/>
              <w:jc w:val="center"/>
              <w:rPr>
                <w:rStyle w:val="ArialNarrow12pt0pt"/>
                <w:rFonts w:ascii="Times New Roman" w:hAnsi="Times New Roman" w:cs="Times New Roman"/>
                <w:sz w:val="20"/>
                <w:lang w:val="en-US"/>
              </w:rPr>
            </w:pPr>
            <w:r w:rsidRPr="00BD6197">
              <w:rPr>
                <w:lang w:val="en-US" w:eastAsia="zh-CN"/>
              </w:rPr>
              <w:t xml:space="preserve">2×15 </w:t>
            </w:r>
            <w:r w:rsidRPr="00BD6197">
              <w:rPr>
                <w:lang w:val="en-US"/>
              </w:rPr>
              <w:t>MHz</w:t>
            </w:r>
          </w:p>
        </w:tc>
        <w:tc>
          <w:tcPr>
            <w:tcW w:w="1403" w:type="dxa"/>
            <w:shd w:val="clear" w:color="auto" w:fill="FFFFFF"/>
            <w:vAlign w:val="center"/>
          </w:tcPr>
          <w:p w:rsidR="0069427A" w:rsidRPr="00BD6197" w:rsidRDefault="0069427A" w:rsidP="000F2BA7">
            <w:pPr>
              <w:pStyle w:val="Tabletext"/>
              <w:keepNext/>
              <w:jc w:val="center"/>
              <w:rPr>
                <w:lang w:val="en-US"/>
              </w:rPr>
            </w:pPr>
            <w:r w:rsidRPr="00BD6197">
              <w:rPr>
                <w:rStyle w:val="ArialNarrow12pt0pt"/>
                <w:rFonts w:ascii="Times New Roman" w:hAnsi="Times New Roman" w:cs="Times New Roman"/>
                <w:sz w:val="20"/>
                <w:lang w:val="en-US"/>
              </w:rPr>
              <w:t>240.4</w:t>
            </w:r>
          </w:p>
        </w:tc>
        <w:tc>
          <w:tcPr>
            <w:tcW w:w="1715" w:type="dxa"/>
            <w:shd w:val="clear" w:color="auto" w:fill="FFFFFF"/>
            <w:vAlign w:val="center"/>
          </w:tcPr>
          <w:p w:rsidR="0069427A" w:rsidRPr="00BD6197" w:rsidRDefault="0069427A" w:rsidP="000F2BA7">
            <w:pPr>
              <w:pStyle w:val="Tabletext"/>
              <w:keepNext/>
              <w:jc w:val="center"/>
              <w:rPr>
                <w:lang w:val="en-US"/>
              </w:rPr>
            </w:pPr>
            <w:r w:rsidRPr="00BD6197">
              <w:rPr>
                <w:rStyle w:val="ArialNarrow12pt0pt"/>
                <w:rFonts w:ascii="Times New Roman" w:hAnsi="Times New Roman" w:cs="Times New Roman"/>
                <w:sz w:val="20"/>
                <w:lang w:val="en-US"/>
              </w:rPr>
              <w:t>1 060.164</w:t>
            </w:r>
          </w:p>
        </w:tc>
      </w:tr>
      <w:tr w:rsidR="0069427A" w:rsidRPr="00BD6197" w:rsidTr="000F2BA7">
        <w:trPr>
          <w:trHeight w:hRule="exact" w:val="662"/>
        </w:trPr>
        <w:tc>
          <w:tcPr>
            <w:tcW w:w="774"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2</w:t>
            </w:r>
          </w:p>
        </w:tc>
        <w:tc>
          <w:tcPr>
            <w:tcW w:w="4471"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The Karachay-Cherkess Republic</w:t>
            </w:r>
            <w:r w:rsidRPr="00BD6197" w:rsidDel="002C365A">
              <w:rPr>
                <w:rStyle w:val="ArialNarrow12pt0pt"/>
                <w:rFonts w:ascii="Times New Roman" w:hAnsi="Times New Roman" w:cs="Times New Roman"/>
                <w:sz w:val="20"/>
                <w:lang w:val="en-US"/>
              </w:rPr>
              <w:t xml:space="preserve"> </w:t>
            </w:r>
          </w:p>
        </w:tc>
        <w:tc>
          <w:tcPr>
            <w:tcW w:w="1417" w:type="dxa"/>
            <w:shd w:val="clear" w:color="auto" w:fill="FFFFFF"/>
            <w:vAlign w:val="center"/>
          </w:tcPr>
          <w:p w:rsidR="0069427A" w:rsidRPr="00BD6197" w:rsidRDefault="0069427A" w:rsidP="000F2BA7">
            <w:pPr>
              <w:pStyle w:val="Tabletext"/>
              <w:jc w:val="center"/>
              <w:rPr>
                <w:rStyle w:val="ArialNarrow12pt0pt"/>
                <w:rFonts w:ascii="Times New Roman" w:hAnsi="Times New Roman" w:cs="Times New Roman"/>
                <w:sz w:val="20"/>
                <w:lang w:val="en-US"/>
              </w:rPr>
            </w:pPr>
            <w:r w:rsidRPr="00BD6197">
              <w:rPr>
                <w:lang w:val="en-US" w:eastAsia="zh-CN"/>
              </w:rPr>
              <w:t>2×13</w:t>
            </w:r>
            <w:r w:rsidRPr="00BD6197">
              <w:rPr>
                <w:lang w:val="en-US"/>
              </w:rPr>
              <w:t>.</w:t>
            </w:r>
            <w:r w:rsidRPr="00BD6197">
              <w:rPr>
                <w:lang w:val="en-US" w:eastAsia="zh-CN"/>
              </w:rPr>
              <w:t xml:space="preserve">8 </w:t>
            </w:r>
            <w:r w:rsidRPr="00BD6197">
              <w:rPr>
                <w:lang w:val="en-US"/>
              </w:rPr>
              <w:t>MHz</w:t>
            </w:r>
          </w:p>
        </w:tc>
        <w:tc>
          <w:tcPr>
            <w:tcW w:w="1403"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31.6</w:t>
            </w:r>
          </w:p>
        </w:tc>
        <w:tc>
          <w:tcPr>
            <w:tcW w:w="1715"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200.344</w:t>
            </w:r>
          </w:p>
        </w:tc>
      </w:tr>
      <w:tr w:rsidR="0069427A" w:rsidRPr="00BD6197" w:rsidTr="000F2BA7">
        <w:trPr>
          <w:trHeight w:hRule="exact" w:val="659"/>
        </w:trPr>
        <w:tc>
          <w:tcPr>
            <w:tcW w:w="774"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3</w:t>
            </w:r>
          </w:p>
        </w:tc>
        <w:tc>
          <w:tcPr>
            <w:tcW w:w="4471"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 xml:space="preserve">The North Ossetia-Alania Republic </w:t>
            </w:r>
          </w:p>
        </w:tc>
        <w:tc>
          <w:tcPr>
            <w:tcW w:w="1417" w:type="dxa"/>
            <w:shd w:val="clear" w:color="auto" w:fill="FFFFFF"/>
            <w:vAlign w:val="center"/>
          </w:tcPr>
          <w:p w:rsidR="0069427A" w:rsidRPr="00BD6197" w:rsidRDefault="0069427A" w:rsidP="000F2BA7">
            <w:pPr>
              <w:pStyle w:val="Tabletext"/>
              <w:jc w:val="center"/>
              <w:rPr>
                <w:lang w:val="en-US"/>
              </w:rPr>
            </w:pPr>
            <w:r w:rsidRPr="00BD6197">
              <w:rPr>
                <w:lang w:val="en-US"/>
              </w:rPr>
              <w:t>2×6.8 MHz</w:t>
            </w:r>
          </w:p>
          <w:p w:rsidR="0069427A" w:rsidRPr="00BD6197" w:rsidRDefault="0069427A" w:rsidP="000F2BA7">
            <w:pPr>
              <w:pStyle w:val="Tabletext"/>
              <w:jc w:val="center"/>
              <w:rPr>
                <w:rStyle w:val="ArialNarrow12pt0pt"/>
                <w:rFonts w:ascii="Times New Roman" w:hAnsi="Times New Roman" w:cs="Times New Roman"/>
                <w:sz w:val="20"/>
                <w:lang w:val="en-US"/>
              </w:rPr>
            </w:pPr>
            <w:r w:rsidRPr="00BD6197">
              <w:rPr>
                <w:lang w:val="en-US" w:eastAsia="zh-CN"/>
              </w:rPr>
              <w:t>2×5</w:t>
            </w:r>
            <w:r w:rsidRPr="00BD6197">
              <w:rPr>
                <w:lang w:val="en-US"/>
              </w:rPr>
              <w:t>.</w:t>
            </w:r>
            <w:r w:rsidRPr="00BD6197">
              <w:rPr>
                <w:lang w:val="en-US" w:eastAsia="zh-CN"/>
              </w:rPr>
              <w:t xml:space="preserve">2 </w:t>
            </w:r>
            <w:r w:rsidRPr="00BD6197">
              <w:rPr>
                <w:lang w:val="en-US"/>
              </w:rPr>
              <w:t>MHz</w:t>
            </w:r>
          </w:p>
        </w:tc>
        <w:tc>
          <w:tcPr>
            <w:tcW w:w="1403"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47.0</w:t>
            </w:r>
          </w:p>
        </w:tc>
        <w:tc>
          <w:tcPr>
            <w:tcW w:w="1715"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275.890</w:t>
            </w:r>
          </w:p>
        </w:tc>
      </w:tr>
      <w:tr w:rsidR="0069427A" w:rsidRPr="00BD6197" w:rsidTr="000F2BA7">
        <w:trPr>
          <w:trHeight w:hRule="exact" w:val="659"/>
        </w:trPr>
        <w:tc>
          <w:tcPr>
            <w:tcW w:w="774"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4</w:t>
            </w:r>
          </w:p>
        </w:tc>
        <w:tc>
          <w:tcPr>
            <w:tcW w:w="4471"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 xml:space="preserve">Stavropol Krai </w:t>
            </w:r>
          </w:p>
        </w:tc>
        <w:tc>
          <w:tcPr>
            <w:tcW w:w="1417" w:type="dxa"/>
            <w:shd w:val="clear" w:color="auto" w:fill="FFFFFF"/>
            <w:vAlign w:val="center"/>
          </w:tcPr>
          <w:p w:rsidR="0069427A" w:rsidRPr="00BD6197" w:rsidRDefault="0069427A" w:rsidP="000F2BA7">
            <w:pPr>
              <w:pStyle w:val="Tabletext"/>
              <w:jc w:val="center"/>
              <w:rPr>
                <w:rStyle w:val="ArialNarrow12pt0pt"/>
                <w:rFonts w:ascii="Times New Roman" w:hAnsi="Times New Roman" w:cs="Times New Roman"/>
                <w:sz w:val="20"/>
                <w:lang w:val="en-US"/>
              </w:rPr>
            </w:pPr>
            <w:r w:rsidRPr="00BD6197">
              <w:rPr>
                <w:lang w:val="en-US" w:eastAsia="zh-CN"/>
              </w:rPr>
              <w:t>2×13</w:t>
            </w:r>
            <w:r w:rsidRPr="00BD6197">
              <w:rPr>
                <w:lang w:val="en-US"/>
              </w:rPr>
              <w:t>.</w:t>
            </w:r>
            <w:r w:rsidRPr="00BD6197">
              <w:rPr>
                <w:lang w:val="en-US" w:eastAsia="zh-CN"/>
              </w:rPr>
              <w:t xml:space="preserve">7 </w:t>
            </w:r>
            <w:r w:rsidRPr="00BD6197">
              <w:rPr>
                <w:lang w:val="en-US"/>
              </w:rPr>
              <w:t>MHz</w:t>
            </w:r>
          </w:p>
        </w:tc>
        <w:tc>
          <w:tcPr>
            <w:tcW w:w="1403"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210.3</w:t>
            </w:r>
          </w:p>
        </w:tc>
        <w:tc>
          <w:tcPr>
            <w:tcW w:w="1715"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1 701.327</w:t>
            </w:r>
          </w:p>
        </w:tc>
      </w:tr>
      <w:tr w:rsidR="0069427A" w:rsidRPr="00BD6197" w:rsidTr="000F2BA7">
        <w:trPr>
          <w:trHeight w:hRule="exact" w:val="655"/>
        </w:trPr>
        <w:tc>
          <w:tcPr>
            <w:tcW w:w="774"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5</w:t>
            </w:r>
          </w:p>
        </w:tc>
        <w:tc>
          <w:tcPr>
            <w:tcW w:w="4471"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Orenburg Oblast</w:t>
            </w:r>
            <w:r w:rsidRPr="00BD6197">
              <w:rPr>
                <w:b/>
                <w:bCs/>
                <w:color w:val="1061BD"/>
                <w:shd w:val="clear" w:color="auto" w:fill="FFFFFF"/>
                <w:lang w:val="en-US"/>
              </w:rPr>
              <w:t xml:space="preserve"> </w:t>
            </w:r>
          </w:p>
        </w:tc>
        <w:tc>
          <w:tcPr>
            <w:tcW w:w="1417" w:type="dxa"/>
            <w:shd w:val="clear" w:color="auto" w:fill="FFFFFF"/>
            <w:vAlign w:val="center"/>
          </w:tcPr>
          <w:p w:rsidR="0069427A" w:rsidRPr="00BD6197" w:rsidRDefault="0069427A" w:rsidP="000F2BA7">
            <w:pPr>
              <w:pStyle w:val="Tabletext"/>
              <w:jc w:val="center"/>
              <w:rPr>
                <w:lang w:val="en-US"/>
              </w:rPr>
            </w:pPr>
            <w:r w:rsidRPr="00BD6197">
              <w:rPr>
                <w:lang w:val="en-US"/>
              </w:rPr>
              <w:t>2×2.8 MHz</w:t>
            </w:r>
          </w:p>
          <w:p w:rsidR="0069427A" w:rsidRPr="00BD6197" w:rsidRDefault="0069427A" w:rsidP="000F2BA7">
            <w:pPr>
              <w:pStyle w:val="Tabletext"/>
              <w:jc w:val="center"/>
              <w:rPr>
                <w:rStyle w:val="ArialNarrow12pt0pt"/>
                <w:rFonts w:ascii="Times New Roman" w:hAnsi="Times New Roman" w:cs="Times New Roman"/>
                <w:sz w:val="20"/>
                <w:lang w:val="en-US"/>
              </w:rPr>
            </w:pPr>
            <w:r w:rsidRPr="00BD6197">
              <w:rPr>
                <w:lang w:val="en-US" w:eastAsia="zh-CN"/>
              </w:rPr>
              <w:t>2×6</w:t>
            </w:r>
            <w:r w:rsidRPr="00BD6197">
              <w:rPr>
                <w:lang w:val="en-US"/>
              </w:rPr>
              <w:t>.</w:t>
            </w:r>
            <w:r w:rsidRPr="00BD6197">
              <w:rPr>
                <w:lang w:val="en-US" w:eastAsia="zh-CN"/>
              </w:rPr>
              <w:t xml:space="preserve">6 </w:t>
            </w:r>
            <w:r w:rsidRPr="00BD6197">
              <w:rPr>
                <w:lang w:val="en-US"/>
              </w:rPr>
              <w:t>MHz</w:t>
            </w:r>
          </w:p>
        </w:tc>
        <w:tc>
          <w:tcPr>
            <w:tcW w:w="1403"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66.7</w:t>
            </w:r>
          </w:p>
        </w:tc>
        <w:tc>
          <w:tcPr>
            <w:tcW w:w="1715"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587.627</w:t>
            </w:r>
          </w:p>
        </w:tc>
      </w:tr>
      <w:tr w:rsidR="0069427A" w:rsidRPr="00BD6197" w:rsidTr="000F2BA7">
        <w:trPr>
          <w:trHeight w:hRule="exact" w:val="990"/>
        </w:trPr>
        <w:tc>
          <w:tcPr>
            <w:tcW w:w="774"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6</w:t>
            </w:r>
          </w:p>
        </w:tc>
        <w:tc>
          <w:tcPr>
            <w:tcW w:w="4471"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Perm Krai except Komi-Permyatski Okrug</w:t>
            </w:r>
          </w:p>
        </w:tc>
        <w:tc>
          <w:tcPr>
            <w:tcW w:w="1417" w:type="dxa"/>
            <w:shd w:val="clear" w:color="auto" w:fill="FFFFFF"/>
            <w:vAlign w:val="center"/>
          </w:tcPr>
          <w:p w:rsidR="0069427A" w:rsidRPr="00BD6197" w:rsidRDefault="0069427A" w:rsidP="000F2BA7">
            <w:pPr>
              <w:pStyle w:val="Tabletext"/>
              <w:jc w:val="center"/>
              <w:rPr>
                <w:lang w:val="en-US"/>
              </w:rPr>
            </w:pPr>
            <w:r w:rsidRPr="00BD6197">
              <w:rPr>
                <w:lang w:val="en-US"/>
              </w:rPr>
              <w:t>2×8 MHz</w:t>
            </w:r>
          </w:p>
          <w:p w:rsidR="0069427A" w:rsidRPr="00BD6197" w:rsidRDefault="0069427A" w:rsidP="000F2BA7">
            <w:pPr>
              <w:pStyle w:val="Tabletext"/>
              <w:jc w:val="center"/>
              <w:rPr>
                <w:lang w:val="en-US"/>
              </w:rPr>
            </w:pPr>
            <w:r w:rsidRPr="00BD6197">
              <w:rPr>
                <w:lang w:val="en-US"/>
              </w:rPr>
              <w:t>2×1.8 MHz</w:t>
            </w:r>
          </w:p>
          <w:p w:rsidR="0069427A" w:rsidRPr="00BD6197" w:rsidRDefault="0069427A" w:rsidP="000F2BA7">
            <w:pPr>
              <w:pStyle w:val="Tabletext"/>
              <w:jc w:val="center"/>
              <w:rPr>
                <w:rStyle w:val="ArialNarrow12pt0pt"/>
                <w:rFonts w:ascii="Times New Roman" w:hAnsi="Times New Roman" w:cs="Times New Roman"/>
                <w:sz w:val="20"/>
                <w:lang w:val="en-US"/>
              </w:rPr>
            </w:pPr>
            <w:r w:rsidRPr="00BD6197">
              <w:rPr>
                <w:lang w:val="en-US" w:eastAsia="zh-CN"/>
              </w:rPr>
              <w:t xml:space="preserve">2×1 </w:t>
            </w:r>
            <w:r w:rsidRPr="00BD6197">
              <w:rPr>
                <w:lang w:val="en-US"/>
              </w:rPr>
              <w:t>MHz</w:t>
            </w:r>
          </w:p>
        </w:tc>
        <w:tc>
          <w:tcPr>
            <w:tcW w:w="1403"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183.4</w:t>
            </w:r>
          </w:p>
        </w:tc>
        <w:tc>
          <w:tcPr>
            <w:tcW w:w="1715"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744.604</w:t>
            </w:r>
          </w:p>
        </w:tc>
      </w:tr>
      <w:tr w:rsidR="0069427A" w:rsidRPr="00BD6197" w:rsidTr="000F2BA7">
        <w:trPr>
          <w:trHeight w:hRule="exact" w:val="331"/>
        </w:trPr>
        <w:tc>
          <w:tcPr>
            <w:tcW w:w="774"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7</w:t>
            </w:r>
          </w:p>
        </w:tc>
        <w:tc>
          <w:tcPr>
            <w:tcW w:w="4471"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Samara Oblast</w:t>
            </w:r>
          </w:p>
        </w:tc>
        <w:tc>
          <w:tcPr>
            <w:tcW w:w="1417" w:type="dxa"/>
            <w:shd w:val="clear" w:color="auto" w:fill="FFFFFF"/>
            <w:vAlign w:val="center"/>
          </w:tcPr>
          <w:p w:rsidR="0069427A" w:rsidRPr="00BD6197" w:rsidRDefault="0069427A" w:rsidP="000F2BA7">
            <w:pPr>
              <w:pStyle w:val="Tabletext"/>
              <w:jc w:val="center"/>
              <w:rPr>
                <w:rStyle w:val="ArialNarrow12pt0pt"/>
                <w:rFonts w:ascii="Times New Roman" w:hAnsi="Times New Roman" w:cs="Times New Roman"/>
                <w:sz w:val="20"/>
                <w:lang w:val="en-US"/>
              </w:rPr>
            </w:pPr>
            <w:r w:rsidRPr="00BD6197">
              <w:rPr>
                <w:lang w:val="en-US" w:eastAsia="zh-CN"/>
              </w:rPr>
              <w:t>2×7</w:t>
            </w:r>
            <w:r w:rsidRPr="00BD6197">
              <w:rPr>
                <w:lang w:val="en-US"/>
              </w:rPr>
              <w:t>.</w:t>
            </w:r>
            <w:r w:rsidRPr="00BD6197">
              <w:rPr>
                <w:lang w:val="en-US" w:eastAsia="zh-CN"/>
              </w:rPr>
              <w:t xml:space="preserve">6 </w:t>
            </w:r>
            <w:r w:rsidRPr="00BD6197">
              <w:rPr>
                <w:lang w:val="en-US"/>
              </w:rPr>
              <w:t>MHz</w:t>
            </w:r>
          </w:p>
        </w:tc>
        <w:tc>
          <w:tcPr>
            <w:tcW w:w="1403"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101.2</w:t>
            </w:r>
          </w:p>
        </w:tc>
        <w:tc>
          <w:tcPr>
            <w:tcW w:w="1715"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1 082.840</w:t>
            </w:r>
          </w:p>
        </w:tc>
      </w:tr>
      <w:tr w:rsidR="0069427A" w:rsidRPr="00BD6197" w:rsidTr="000F2BA7">
        <w:trPr>
          <w:trHeight w:hRule="exact" w:val="659"/>
        </w:trPr>
        <w:tc>
          <w:tcPr>
            <w:tcW w:w="774"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8</w:t>
            </w:r>
          </w:p>
        </w:tc>
        <w:tc>
          <w:tcPr>
            <w:tcW w:w="4471"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Komi-Permyatski Okrug, Perm Krai</w:t>
            </w:r>
          </w:p>
        </w:tc>
        <w:tc>
          <w:tcPr>
            <w:tcW w:w="1417" w:type="dxa"/>
            <w:shd w:val="clear" w:color="auto" w:fill="FFFFFF"/>
            <w:vAlign w:val="center"/>
          </w:tcPr>
          <w:p w:rsidR="0069427A" w:rsidRPr="00BD6197" w:rsidRDefault="0069427A" w:rsidP="000F2BA7">
            <w:pPr>
              <w:pStyle w:val="Tabletext"/>
              <w:jc w:val="center"/>
              <w:rPr>
                <w:rStyle w:val="ArialNarrow12pt0pt"/>
                <w:rFonts w:ascii="Times New Roman" w:hAnsi="Times New Roman" w:cs="Times New Roman"/>
                <w:sz w:val="20"/>
                <w:lang w:val="en-US"/>
              </w:rPr>
            </w:pPr>
            <w:r w:rsidRPr="00BD6197">
              <w:rPr>
                <w:lang w:val="en-US" w:eastAsia="zh-CN"/>
              </w:rPr>
              <w:t xml:space="preserve">2×1 </w:t>
            </w:r>
            <w:r w:rsidRPr="00BD6197">
              <w:rPr>
                <w:lang w:val="en-US"/>
              </w:rPr>
              <w:t>MHz</w:t>
            </w:r>
          </w:p>
        </w:tc>
        <w:tc>
          <w:tcPr>
            <w:tcW w:w="1403"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0.5</w:t>
            </w:r>
          </w:p>
        </w:tc>
        <w:tc>
          <w:tcPr>
            <w:tcW w:w="1715"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0.545</w:t>
            </w:r>
          </w:p>
        </w:tc>
      </w:tr>
      <w:tr w:rsidR="0069427A" w:rsidRPr="00BD6197" w:rsidTr="000F2BA7">
        <w:trPr>
          <w:trHeight w:hRule="exact" w:val="655"/>
        </w:trPr>
        <w:tc>
          <w:tcPr>
            <w:tcW w:w="774"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9</w:t>
            </w:r>
          </w:p>
        </w:tc>
        <w:tc>
          <w:tcPr>
            <w:tcW w:w="4471"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 xml:space="preserve">The Buryatia Republic </w:t>
            </w:r>
          </w:p>
        </w:tc>
        <w:tc>
          <w:tcPr>
            <w:tcW w:w="1417" w:type="dxa"/>
            <w:shd w:val="clear" w:color="auto" w:fill="FFFFFF"/>
            <w:vAlign w:val="center"/>
          </w:tcPr>
          <w:p w:rsidR="0069427A" w:rsidRPr="00BD6197" w:rsidRDefault="0069427A" w:rsidP="000F2BA7">
            <w:pPr>
              <w:pStyle w:val="Tabletext"/>
              <w:jc w:val="center"/>
              <w:rPr>
                <w:lang w:val="en-US"/>
              </w:rPr>
            </w:pPr>
            <w:r w:rsidRPr="00BD6197">
              <w:rPr>
                <w:lang w:val="en-US"/>
              </w:rPr>
              <w:t>2×3.6 MHz</w:t>
            </w:r>
          </w:p>
          <w:p w:rsidR="0069427A" w:rsidRPr="00BD6197" w:rsidRDefault="0069427A" w:rsidP="000F2BA7">
            <w:pPr>
              <w:pStyle w:val="Tabletext"/>
              <w:jc w:val="center"/>
              <w:rPr>
                <w:rStyle w:val="ArialNarrow12pt0pt"/>
                <w:rFonts w:ascii="Times New Roman" w:hAnsi="Times New Roman" w:cs="Times New Roman"/>
                <w:sz w:val="20"/>
                <w:lang w:val="en-US"/>
              </w:rPr>
            </w:pPr>
            <w:r w:rsidRPr="00BD6197">
              <w:rPr>
                <w:lang w:val="en-US" w:eastAsia="zh-CN"/>
              </w:rPr>
              <w:t>2×0</w:t>
            </w:r>
            <w:r w:rsidRPr="00BD6197">
              <w:rPr>
                <w:lang w:val="en-US"/>
              </w:rPr>
              <w:t>.</w:t>
            </w:r>
            <w:r w:rsidRPr="00BD6197">
              <w:rPr>
                <w:lang w:val="en-US" w:eastAsia="zh-CN"/>
              </w:rPr>
              <w:t xml:space="preserve">4 </w:t>
            </w:r>
            <w:r w:rsidRPr="00BD6197">
              <w:rPr>
                <w:lang w:val="en-US"/>
              </w:rPr>
              <w:t>MHz</w:t>
            </w:r>
          </w:p>
        </w:tc>
        <w:tc>
          <w:tcPr>
            <w:tcW w:w="1403"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83.4</w:t>
            </w:r>
          </w:p>
        </w:tc>
        <w:tc>
          <w:tcPr>
            <w:tcW w:w="1715"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326.094</w:t>
            </w:r>
          </w:p>
        </w:tc>
      </w:tr>
      <w:tr w:rsidR="0069427A" w:rsidRPr="00BD6197" w:rsidTr="000F2BA7">
        <w:trPr>
          <w:trHeight w:hRule="exact" w:val="655"/>
        </w:trPr>
        <w:tc>
          <w:tcPr>
            <w:tcW w:w="774"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10</w:t>
            </w:r>
          </w:p>
        </w:tc>
        <w:tc>
          <w:tcPr>
            <w:tcW w:w="4471"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Amur Oblast</w:t>
            </w:r>
          </w:p>
        </w:tc>
        <w:tc>
          <w:tcPr>
            <w:tcW w:w="1417" w:type="dxa"/>
            <w:shd w:val="clear" w:color="auto" w:fill="FFFFFF"/>
            <w:vAlign w:val="center"/>
          </w:tcPr>
          <w:p w:rsidR="0069427A" w:rsidRPr="00BD6197" w:rsidRDefault="0069427A" w:rsidP="000F2BA7">
            <w:pPr>
              <w:pStyle w:val="Tabletext"/>
              <w:jc w:val="center"/>
              <w:rPr>
                <w:lang w:val="en-US"/>
              </w:rPr>
            </w:pPr>
            <w:r w:rsidRPr="00BD6197">
              <w:rPr>
                <w:lang w:val="en-US"/>
              </w:rPr>
              <w:t>2×4.6 MHz</w:t>
            </w:r>
          </w:p>
          <w:p w:rsidR="0069427A" w:rsidRPr="00BD6197" w:rsidRDefault="0069427A" w:rsidP="000F2BA7">
            <w:pPr>
              <w:pStyle w:val="Tabletext"/>
              <w:jc w:val="center"/>
              <w:rPr>
                <w:rStyle w:val="ArialNarrow12pt0pt"/>
                <w:rFonts w:ascii="Times New Roman" w:hAnsi="Times New Roman" w:cs="Times New Roman"/>
                <w:sz w:val="20"/>
                <w:lang w:val="en-US"/>
              </w:rPr>
            </w:pPr>
            <w:r w:rsidRPr="00BD6197">
              <w:rPr>
                <w:lang w:val="en-US" w:eastAsia="zh-CN"/>
              </w:rPr>
              <w:t>2×8</w:t>
            </w:r>
            <w:r w:rsidRPr="00BD6197">
              <w:rPr>
                <w:lang w:val="en-US"/>
              </w:rPr>
              <w:t>.</w:t>
            </w:r>
            <w:r w:rsidRPr="00BD6197">
              <w:rPr>
                <w:lang w:val="en-US" w:eastAsia="zh-CN"/>
              </w:rPr>
              <w:t xml:space="preserve">6 </w:t>
            </w:r>
            <w:r w:rsidRPr="00BD6197">
              <w:rPr>
                <w:lang w:val="en-US"/>
              </w:rPr>
              <w:t>MHz</w:t>
            </w:r>
          </w:p>
        </w:tc>
        <w:tc>
          <w:tcPr>
            <w:tcW w:w="1403"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69.1</w:t>
            </w:r>
          </w:p>
        </w:tc>
        <w:tc>
          <w:tcPr>
            <w:tcW w:w="1715" w:type="dxa"/>
            <w:shd w:val="clear" w:color="auto" w:fill="FFFFFF"/>
            <w:vAlign w:val="center"/>
          </w:tcPr>
          <w:p w:rsidR="0069427A" w:rsidRPr="00BD6197" w:rsidRDefault="0069427A" w:rsidP="000F2BA7">
            <w:pPr>
              <w:pStyle w:val="Tabletext"/>
              <w:jc w:val="center"/>
              <w:rPr>
                <w:lang w:val="en-US"/>
              </w:rPr>
            </w:pPr>
            <w:r w:rsidRPr="00BD6197">
              <w:rPr>
                <w:rStyle w:val="ArialNarrow12pt0pt"/>
                <w:rFonts w:ascii="Times New Roman" w:hAnsi="Times New Roman" w:cs="Times New Roman"/>
                <w:sz w:val="20"/>
                <w:lang w:val="en-US"/>
              </w:rPr>
              <w:t>303.349</w:t>
            </w:r>
          </w:p>
        </w:tc>
      </w:tr>
    </w:tbl>
    <w:p w:rsidR="0069427A" w:rsidRPr="00BD6197" w:rsidRDefault="0069427A" w:rsidP="0069427A">
      <w:pPr>
        <w:spacing w:before="240"/>
        <w:rPr>
          <w:szCs w:val="24"/>
          <w:lang w:val="en-US"/>
        </w:rPr>
      </w:pPr>
      <w:r w:rsidRPr="00BD6197">
        <w:rPr>
          <w:szCs w:val="24"/>
          <w:lang w:val="en-US"/>
        </w:rPr>
        <w:t>The winning bidder, in accordance with the relevant auction documentation, is required to:</w:t>
      </w:r>
    </w:p>
    <w:p w:rsidR="0069427A" w:rsidRPr="00BD6197" w:rsidRDefault="0069427A" w:rsidP="00424B3C">
      <w:pPr>
        <w:pStyle w:val="enumlev1"/>
        <w:rPr>
          <w:szCs w:val="24"/>
          <w:lang w:val="en-US"/>
        </w:rPr>
      </w:pPr>
      <w:r w:rsidRPr="00BD6197">
        <w:rPr>
          <w:szCs w:val="24"/>
          <w:lang w:val="en-US"/>
        </w:rPr>
        <w:t>–</w:t>
      </w:r>
      <w:r w:rsidRPr="00BD6197">
        <w:rPr>
          <w:szCs w:val="24"/>
          <w:lang w:val="en-US"/>
        </w:rPr>
        <w:tab/>
        <w:t xml:space="preserve">provide services for those living in cities and settlements with populations of at least 2 000 people, following a timetable set by the Government Decision on establishing conditions for the use of frequency bands by radio systems of the land mobile service used for civil purposes to provide communication services in settlements of the Russian Federation (Table </w:t>
      </w:r>
      <w:r w:rsidR="00424B3C">
        <w:rPr>
          <w:szCs w:val="24"/>
          <w:lang w:val="en-US"/>
        </w:rPr>
        <w:t>16</w:t>
      </w:r>
      <w:r w:rsidRPr="00BD6197">
        <w:rPr>
          <w:szCs w:val="24"/>
          <w:lang w:val="en-US"/>
        </w:rPr>
        <w:t>) approved in December 2013;</w:t>
      </w:r>
    </w:p>
    <w:p w:rsidR="0069427A" w:rsidRPr="00BD6197" w:rsidRDefault="0069427A" w:rsidP="0069427A">
      <w:pPr>
        <w:pStyle w:val="enumlev1"/>
        <w:rPr>
          <w:szCs w:val="24"/>
          <w:lang w:val="en-US"/>
        </w:rPr>
      </w:pPr>
      <w:r w:rsidRPr="00BD6197">
        <w:rPr>
          <w:szCs w:val="24"/>
          <w:lang w:val="en-US"/>
        </w:rPr>
        <w:t>–</w:t>
      </w:r>
      <w:r w:rsidRPr="00BD6197">
        <w:rPr>
          <w:szCs w:val="24"/>
          <w:lang w:val="en-US"/>
        </w:rPr>
        <w:tab/>
        <w:t>use radio systems with the characteristics set out in Annex 2 to the Government Decision of 13 October 2014 concerning allotment of frequency bands 1 710</w:t>
      </w:r>
      <w:r w:rsidRPr="00BD6197">
        <w:rPr>
          <w:szCs w:val="24"/>
          <w:lang w:val="en-US"/>
        </w:rPr>
        <w:noBreakHyphen/>
        <w:t>1 785 MHz and 1 805</w:t>
      </w:r>
      <w:r w:rsidRPr="00BD6197">
        <w:rPr>
          <w:szCs w:val="24"/>
          <w:lang w:val="en-US"/>
        </w:rPr>
        <w:noBreakHyphen/>
        <w:t>1 880 MHz for radio systems in communication networks of standards GSM, LTE and subsequent modifications in subject territories of the Russian Federation.</w:t>
      </w:r>
    </w:p>
    <w:p w:rsidR="0069427A" w:rsidRPr="00BD6197" w:rsidRDefault="00424B3C" w:rsidP="00424B3C">
      <w:pPr>
        <w:pStyle w:val="TableNo"/>
        <w:rPr>
          <w:lang w:val="en-US"/>
        </w:rPr>
      </w:pPr>
      <w:r w:rsidRPr="00BD6197">
        <w:rPr>
          <w:lang w:val="en-US"/>
        </w:rPr>
        <w:lastRenderedPageBreak/>
        <w:t>TABLE</w:t>
      </w:r>
      <w:r w:rsidR="0069427A" w:rsidRPr="00BD6197">
        <w:rPr>
          <w:lang w:val="en-US"/>
        </w:rPr>
        <w:t xml:space="preserve"> </w:t>
      </w:r>
      <w:r>
        <w:rPr>
          <w:lang w:val="en-US"/>
        </w:rPr>
        <w:t>16</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626"/>
        <w:gridCol w:w="3633"/>
        <w:gridCol w:w="2552"/>
      </w:tblGrid>
      <w:tr w:rsidR="0069427A" w:rsidRPr="00BD6197" w:rsidTr="000F2BA7">
        <w:tc>
          <w:tcPr>
            <w:tcW w:w="1795" w:type="dxa"/>
            <w:shd w:val="clear" w:color="auto" w:fill="auto"/>
            <w:vAlign w:val="center"/>
          </w:tcPr>
          <w:p w:rsidR="0069427A" w:rsidRPr="00BD6197" w:rsidRDefault="0069427A" w:rsidP="000F2BA7">
            <w:pPr>
              <w:pStyle w:val="Tablehead"/>
              <w:rPr>
                <w:lang w:val="en-US"/>
              </w:rPr>
            </w:pPr>
            <w:r w:rsidRPr="00BD6197">
              <w:rPr>
                <w:lang w:val="en-US"/>
              </w:rPr>
              <w:t>Frequency band used</w:t>
            </w:r>
          </w:p>
        </w:tc>
        <w:tc>
          <w:tcPr>
            <w:tcW w:w="1626" w:type="dxa"/>
            <w:shd w:val="clear" w:color="auto" w:fill="auto"/>
            <w:vAlign w:val="center"/>
          </w:tcPr>
          <w:p w:rsidR="0069427A" w:rsidRPr="00BD6197" w:rsidRDefault="0069427A" w:rsidP="000F2BA7">
            <w:pPr>
              <w:pStyle w:val="Tablehead"/>
              <w:rPr>
                <w:lang w:val="en-US"/>
              </w:rPr>
            </w:pPr>
            <w:r w:rsidRPr="00BD6197">
              <w:rPr>
                <w:lang w:val="en-US"/>
              </w:rPr>
              <w:t>Population of settlements</w:t>
            </w:r>
          </w:p>
        </w:tc>
        <w:tc>
          <w:tcPr>
            <w:tcW w:w="3633" w:type="dxa"/>
            <w:shd w:val="clear" w:color="auto" w:fill="auto"/>
            <w:vAlign w:val="center"/>
          </w:tcPr>
          <w:p w:rsidR="0069427A" w:rsidRPr="00BD6197" w:rsidRDefault="0069427A" w:rsidP="000F2BA7">
            <w:pPr>
              <w:pStyle w:val="Tablehead"/>
              <w:rPr>
                <w:lang w:val="en-US"/>
              </w:rPr>
            </w:pPr>
            <w:r w:rsidRPr="00BD6197">
              <w:rPr>
                <w:lang w:val="en-US"/>
              </w:rPr>
              <w:t>Condition of provision of service</w:t>
            </w:r>
            <w:r w:rsidRPr="00BD6197">
              <w:rPr>
                <w:lang w:val="en-US"/>
              </w:rPr>
              <w:br/>
              <w:t>by an operator</w:t>
            </w:r>
          </w:p>
        </w:tc>
        <w:tc>
          <w:tcPr>
            <w:tcW w:w="2552" w:type="dxa"/>
            <w:shd w:val="clear" w:color="auto" w:fill="auto"/>
            <w:vAlign w:val="center"/>
          </w:tcPr>
          <w:p w:rsidR="0069427A" w:rsidRPr="00BD6197" w:rsidRDefault="0069427A" w:rsidP="000F2BA7">
            <w:pPr>
              <w:pStyle w:val="Tablehead"/>
              <w:rPr>
                <w:lang w:val="en-US"/>
              </w:rPr>
            </w:pPr>
            <w:r w:rsidRPr="00BD6197">
              <w:rPr>
                <w:lang w:val="en-US"/>
              </w:rPr>
              <w:t>Timetable</w:t>
            </w:r>
          </w:p>
        </w:tc>
      </w:tr>
      <w:tr w:rsidR="0069427A" w:rsidRPr="00D17B5B" w:rsidTr="000F2BA7">
        <w:tc>
          <w:tcPr>
            <w:tcW w:w="1795" w:type="dxa"/>
            <w:shd w:val="clear" w:color="auto" w:fill="auto"/>
          </w:tcPr>
          <w:p w:rsidR="0069427A" w:rsidRPr="00BD6197" w:rsidRDefault="0069427A" w:rsidP="00424B3C">
            <w:pPr>
              <w:pStyle w:val="Tabletext"/>
              <w:keepNext/>
              <w:keepLines/>
              <w:rPr>
                <w:lang w:val="en-US"/>
              </w:rPr>
            </w:pPr>
            <w:r w:rsidRPr="00BD6197">
              <w:rPr>
                <w:lang w:val="en-US"/>
              </w:rPr>
              <w:t xml:space="preserve">Below 1 GHz </w:t>
            </w:r>
          </w:p>
        </w:tc>
        <w:tc>
          <w:tcPr>
            <w:tcW w:w="1626" w:type="dxa"/>
            <w:shd w:val="clear" w:color="auto" w:fill="auto"/>
          </w:tcPr>
          <w:p w:rsidR="0069427A" w:rsidRPr="00BD6197" w:rsidRDefault="0069427A" w:rsidP="00424B3C">
            <w:pPr>
              <w:pStyle w:val="Tabletext"/>
              <w:keepNext/>
              <w:keepLines/>
              <w:rPr>
                <w:lang w:val="en-US"/>
              </w:rPr>
            </w:pPr>
            <w:r w:rsidRPr="00BD6197">
              <w:rPr>
                <w:lang w:val="en-US"/>
              </w:rPr>
              <w:t>1 000 or more inhabitants</w:t>
            </w:r>
          </w:p>
        </w:tc>
        <w:tc>
          <w:tcPr>
            <w:tcW w:w="3633" w:type="dxa"/>
            <w:vMerge w:val="restart"/>
            <w:shd w:val="clear" w:color="auto" w:fill="auto"/>
          </w:tcPr>
          <w:p w:rsidR="0069427A" w:rsidRPr="00BD6197" w:rsidRDefault="0069427A" w:rsidP="00424B3C">
            <w:pPr>
              <w:pStyle w:val="Tabletext"/>
              <w:keepNext/>
              <w:keepLines/>
              <w:rPr>
                <w:lang w:val="en-US"/>
              </w:rPr>
            </w:pPr>
            <w:r w:rsidRPr="00BD6197">
              <w:rPr>
                <w:lang w:val="en-US"/>
              </w:rPr>
              <w:t>Mobile services have to be provided in all settlements where there is a possibility to connect operator’s mobile network to the core network by means of the existing links with relevant capacity</w:t>
            </w:r>
          </w:p>
        </w:tc>
        <w:tc>
          <w:tcPr>
            <w:tcW w:w="2552" w:type="dxa"/>
            <w:vMerge w:val="restart"/>
            <w:shd w:val="clear" w:color="auto" w:fill="auto"/>
          </w:tcPr>
          <w:p w:rsidR="0069427A" w:rsidRPr="00BD6197" w:rsidRDefault="0069427A" w:rsidP="000F2BA7">
            <w:pPr>
              <w:pStyle w:val="Tabletext"/>
              <w:keepNext/>
              <w:keepLines/>
              <w:rPr>
                <w:lang w:val="en-US"/>
              </w:rPr>
            </w:pPr>
            <w:r w:rsidRPr="00BD6197">
              <w:rPr>
                <w:lang w:val="en-US"/>
              </w:rPr>
              <w:t>Within one year – at least 10% of settlements</w:t>
            </w:r>
          </w:p>
          <w:p w:rsidR="0069427A" w:rsidRPr="00BD6197" w:rsidRDefault="0069427A" w:rsidP="000F2BA7">
            <w:pPr>
              <w:pStyle w:val="Tabletext"/>
              <w:keepNext/>
              <w:keepLines/>
              <w:rPr>
                <w:lang w:val="en-US"/>
              </w:rPr>
            </w:pPr>
            <w:r w:rsidRPr="00BD6197">
              <w:rPr>
                <w:lang w:val="en-US"/>
              </w:rPr>
              <w:t>Within two years – 25%</w:t>
            </w:r>
          </w:p>
          <w:p w:rsidR="0069427A" w:rsidRPr="00BD6197" w:rsidRDefault="0069427A" w:rsidP="000F2BA7">
            <w:pPr>
              <w:pStyle w:val="Tabletext"/>
              <w:keepNext/>
              <w:keepLines/>
              <w:rPr>
                <w:lang w:val="en-US"/>
              </w:rPr>
            </w:pPr>
            <w:r w:rsidRPr="00BD6197">
              <w:rPr>
                <w:lang w:val="en-US"/>
              </w:rPr>
              <w:t xml:space="preserve">Within three years  – 40% </w:t>
            </w:r>
          </w:p>
          <w:p w:rsidR="0069427A" w:rsidRPr="00BD6197" w:rsidRDefault="0069427A" w:rsidP="000F2BA7">
            <w:pPr>
              <w:pStyle w:val="Tabletext"/>
              <w:keepNext/>
              <w:keepLines/>
              <w:rPr>
                <w:lang w:val="en-US"/>
              </w:rPr>
            </w:pPr>
            <w:r w:rsidRPr="00BD6197">
              <w:rPr>
                <w:lang w:val="en-US"/>
              </w:rPr>
              <w:t>Within four years – 65%</w:t>
            </w:r>
          </w:p>
          <w:p w:rsidR="0069427A" w:rsidRPr="00BD6197" w:rsidRDefault="0069427A" w:rsidP="000F2BA7">
            <w:pPr>
              <w:pStyle w:val="Tabletext"/>
              <w:keepNext/>
              <w:keepLines/>
              <w:rPr>
                <w:lang w:val="en-US"/>
              </w:rPr>
            </w:pPr>
            <w:r w:rsidRPr="00BD6197">
              <w:rPr>
                <w:lang w:val="en-US"/>
              </w:rPr>
              <w:t>Within five years – 85%</w:t>
            </w:r>
          </w:p>
          <w:p w:rsidR="0069427A" w:rsidRPr="00BD6197" w:rsidRDefault="0069427A" w:rsidP="000F2BA7">
            <w:pPr>
              <w:pStyle w:val="Tabletext"/>
              <w:keepNext/>
              <w:keepLines/>
              <w:rPr>
                <w:lang w:val="en-US"/>
              </w:rPr>
            </w:pPr>
            <w:r w:rsidRPr="00BD6197">
              <w:rPr>
                <w:lang w:val="en-US"/>
              </w:rPr>
              <w:t>Within six years – 95%</w:t>
            </w:r>
          </w:p>
          <w:p w:rsidR="0069427A" w:rsidRPr="00BD6197" w:rsidRDefault="0069427A" w:rsidP="000F2BA7">
            <w:pPr>
              <w:pStyle w:val="Tabletext"/>
              <w:keepNext/>
              <w:keepLines/>
              <w:rPr>
                <w:lang w:val="en-US"/>
              </w:rPr>
            </w:pPr>
            <w:r w:rsidRPr="00BD6197">
              <w:rPr>
                <w:lang w:val="en-US"/>
              </w:rPr>
              <w:t>Within seven years – 99.9%.</w:t>
            </w:r>
          </w:p>
        </w:tc>
      </w:tr>
      <w:tr w:rsidR="0069427A" w:rsidRPr="00BD6197" w:rsidTr="000F2BA7">
        <w:tc>
          <w:tcPr>
            <w:tcW w:w="1795" w:type="dxa"/>
            <w:shd w:val="clear" w:color="auto" w:fill="auto"/>
          </w:tcPr>
          <w:p w:rsidR="0069427A" w:rsidRPr="00BD6197" w:rsidRDefault="0069427A" w:rsidP="00424B3C">
            <w:pPr>
              <w:pStyle w:val="Tabletext"/>
              <w:keepNext/>
              <w:keepLines/>
              <w:rPr>
                <w:lang w:val="en-US"/>
              </w:rPr>
            </w:pPr>
            <w:r w:rsidRPr="00BD6197">
              <w:rPr>
                <w:lang w:val="en-US"/>
              </w:rPr>
              <w:t>1-2.2 GHz</w:t>
            </w:r>
          </w:p>
        </w:tc>
        <w:tc>
          <w:tcPr>
            <w:tcW w:w="1626" w:type="dxa"/>
            <w:shd w:val="clear" w:color="auto" w:fill="auto"/>
          </w:tcPr>
          <w:p w:rsidR="0069427A" w:rsidRPr="00BD6197" w:rsidRDefault="0069427A" w:rsidP="00424B3C">
            <w:pPr>
              <w:pStyle w:val="Tabletext"/>
              <w:keepNext/>
              <w:keepLines/>
              <w:rPr>
                <w:lang w:val="en-US"/>
              </w:rPr>
            </w:pPr>
            <w:r w:rsidRPr="00BD6197">
              <w:rPr>
                <w:lang w:val="en-US"/>
              </w:rPr>
              <w:t>2 000 or more inhabitants</w:t>
            </w:r>
          </w:p>
        </w:tc>
        <w:tc>
          <w:tcPr>
            <w:tcW w:w="3633" w:type="dxa"/>
            <w:vMerge/>
            <w:shd w:val="clear" w:color="auto" w:fill="auto"/>
          </w:tcPr>
          <w:p w:rsidR="0069427A" w:rsidRPr="00BD6197" w:rsidRDefault="0069427A" w:rsidP="00424B3C">
            <w:pPr>
              <w:pStyle w:val="Tabletext"/>
              <w:keepNext/>
              <w:keepLines/>
              <w:rPr>
                <w:lang w:val="en-US"/>
              </w:rPr>
            </w:pPr>
          </w:p>
        </w:tc>
        <w:tc>
          <w:tcPr>
            <w:tcW w:w="2552" w:type="dxa"/>
            <w:vMerge/>
            <w:shd w:val="clear" w:color="auto" w:fill="auto"/>
          </w:tcPr>
          <w:p w:rsidR="0069427A" w:rsidRPr="00BD6197" w:rsidRDefault="0069427A" w:rsidP="000F2BA7">
            <w:pPr>
              <w:pStyle w:val="Tabletext"/>
              <w:keepNext/>
              <w:keepLines/>
              <w:rPr>
                <w:lang w:val="en-US"/>
              </w:rPr>
            </w:pPr>
          </w:p>
        </w:tc>
      </w:tr>
      <w:tr w:rsidR="0069427A" w:rsidRPr="00BD6197" w:rsidTr="000F2BA7">
        <w:tc>
          <w:tcPr>
            <w:tcW w:w="1795" w:type="dxa"/>
            <w:shd w:val="clear" w:color="auto" w:fill="auto"/>
          </w:tcPr>
          <w:p w:rsidR="0069427A" w:rsidRPr="00BD6197" w:rsidRDefault="0069427A" w:rsidP="00424B3C">
            <w:pPr>
              <w:pStyle w:val="Tabletext"/>
              <w:keepNext/>
              <w:keepLines/>
              <w:rPr>
                <w:lang w:val="en-US"/>
              </w:rPr>
            </w:pPr>
            <w:r w:rsidRPr="00BD6197">
              <w:rPr>
                <w:lang w:val="en-US"/>
              </w:rPr>
              <w:t>2.2-3 GHz</w:t>
            </w:r>
          </w:p>
        </w:tc>
        <w:tc>
          <w:tcPr>
            <w:tcW w:w="1626" w:type="dxa"/>
            <w:shd w:val="clear" w:color="auto" w:fill="auto"/>
          </w:tcPr>
          <w:p w:rsidR="0069427A" w:rsidRPr="00BD6197" w:rsidRDefault="0069427A" w:rsidP="00424B3C">
            <w:pPr>
              <w:pStyle w:val="Tabletext"/>
              <w:keepNext/>
              <w:keepLines/>
              <w:rPr>
                <w:lang w:val="en-US"/>
              </w:rPr>
            </w:pPr>
            <w:r w:rsidRPr="00BD6197">
              <w:rPr>
                <w:lang w:val="en-US"/>
              </w:rPr>
              <w:t xml:space="preserve">10 000 or more inhabitants </w:t>
            </w:r>
          </w:p>
        </w:tc>
        <w:tc>
          <w:tcPr>
            <w:tcW w:w="3633" w:type="dxa"/>
            <w:shd w:val="clear" w:color="auto" w:fill="auto"/>
          </w:tcPr>
          <w:p w:rsidR="0069427A" w:rsidRPr="00BD6197" w:rsidRDefault="0069427A" w:rsidP="00424B3C">
            <w:pPr>
              <w:pStyle w:val="Tabletext"/>
              <w:keepNext/>
              <w:keepLines/>
              <w:rPr>
                <w:lang w:val="en-US"/>
              </w:rPr>
            </w:pPr>
            <w:r w:rsidRPr="00BD6197">
              <w:rPr>
                <w:lang w:val="en-US"/>
              </w:rPr>
              <w:t>–</w:t>
            </w:r>
          </w:p>
        </w:tc>
        <w:tc>
          <w:tcPr>
            <w:tcW w:w="2552" w:type="dxa"/>
            <w:vMerge/>
            <w:shd w:val="clear" w:color="auto" w:fill="auto"/>
          </w:tcPr>
          <w:p w:rsidR="0069427A" w:rsidRPr="00BD6197" w:rsidRDefault="0069427A" w:rsidP="000F2BA7">
            <w:pPr>
              <w:pStyle w:val="Tabletext"/>
              <w:keepNext/>
              <w:keepLines/>
              <w:rPr>
                <w:lang w:val="en-US"/>
              </w:rPr>
            </w:pPr>
          </w:p>
        </w:tc>
      </w:tr>
      <w:tr w:rsidR="0069427A" w:rsidRPr="00D17B5B" w:rsidTr="000F2BA7">
        <w:tc>
          <w:tcPr>
            <w:tcW w:w="1795" w:type="dxa"/>
            <w:shd w:val="clear" w:color="auto" w:fill="auto"/>
          </w:tcPr>
          <w:p w:rsidR="0069427A" w:rsidRPr="00BD6197" w:rsidRDefault="0069427A" w:rsidP="00424B3C">
            <w:pPr>
              <w:pStyle w:val="Tabletext"/>
              <w:keepNext/>
              <w:keepLines/>
              <w:rPr>
                <w:lang w:val="en-US"/>
              </w:rPr>
            </w:pPr>
            <w:r w:rsidRPr="00BD6197">
              <w:rPr>
                <w:lang w:val="en-US"/>
              </w:rPr>
              <w:t>Any</w:t>
            </w:r>
          </w:p>
        </w:tc>
        <w:tc>
          <w:tcPr>
            <w:tcW w:w="1626" w:type="dxa"/>
            <w:shd w:val="clear" w:color="auto" w:fill="auto"/>
          </w:tcPr>
          <w:p w:rsidR="0069427A" w:rsidRPr="00BD6197" w:rsidRDefault="0069427A" w:rsidP="00424B3C">
            <w:pPr>
              <w:pStyle w:val="Tabletext"/>
              <w:keepNext/>
              <w:keepLines/>
              <w:rPr>
                <w:lang w:val="en-US"/>
              </w:rPr>
            </w:pPr>
            <w:r w:rsidRPr="00BD6197">
              <w:rPr>
                <w:lang w:val="en-US"/>
              </w:rPr>
              <w:t>10 000 or more inhabitants</w:t>
            </w:r>
          </w:p>
        </w:tc>
        <w:tc>
          <w:tcPr>
            <w:tcW w:w="3633" w:type="dxa"/>
            <w:shd w:val="clear" w:color="auto" w:fill="auto"/>
          </w:tcPr>
          <w:p w:rsidR="0069427A" w:rsidRPr="00BD6197" w:rsidRDefault="0069427A" w:rsidP="00424B3C">
            <w:pPr>
              <w:pStyle w:val="Tabletext"/>
              <w:keepNext/>
              <w:keepLines/>
              <w:rPr>
                <w:lang w:val="en-US"/>
              </w:rPr>
            </w:pPr>
            <w:r w:rsidRPr="00BD6197">
              <w:rPr>
                <w:lang w:val="en-US"/>
              </w:rPr>
              <w:t>Use of frequency bands with modern technologies not referred to in earlier decisions on allotment of frequency bands</w:t>
            </w:r>
          </w:p>
        </w:tc>
        <w:tc>
          <w:tcPr>
            <w:tcW w:w="2552" w:type="dxa"/>
            <w:vMerge/>
            <w:shd w:val="clear" w:color="auto" w:fill="auto"/>
          </w:tcPr>
          <w:p w:rsidR="0069427A" w:rsidRPr="00BD6197" w:rsidRDefault="0069427A" w:rsidP="000F2BA7">
            <w:pPr>
              <w:pStyle w:val="Tabletext"/>
              <w:keepNext/>
              <w:keepLines/>
              <w:rPr>
                <w:lang w:val="en-US"/>
              </w:rPr>
            </w:pPr>
          </w:p>
        </w:tc>
      </w:tr>
    </w:tbl>
    <w:p w:rsidR="0069427A" w:rsidRDefault="0069427A" w:rsidP="0069427A">
      <w:pPr>
        <w:pStyle w:val="Tablefin"/>
      </w:pPr>
    </w:p>
    <w:p w:rsidR="0069427A" w:rsidRPr="00BD6197" w:rsidRDefault="0069427A" w:rsidP="00424B3C">
      <w:pPr>
        <w:rPr>
          <w:szCs w:val="24"/>
          <w:lang w:val="en-US"/>
        </w:rPr>
      </w:pPr>
      <w:r w:rsidRPr="00BD6197">
        <w:rPr>
          <w:szCs w:val="24"/>
          <w:lang w:val="en-US"/>
        </w:rPr>
        <w:t>In February 2016, the second frequency auction was held in the Russian Federation. A total of 82 licenses for mobile radiotelephony services, data transmission, and telematics services using radiocommunication systems based on LTE and its subsequent modifications, and using spectrum in the band 2 500</w:t>
      </w:r>
      <w:r w:rsidRPr="00BD6197">
        <w:rPr>
          <w:szCs w:val="24"/>
          <w:lang w:val="en-US"/>
        </w:rPr>
        <w:noBreakHyphen/>
        <w:t xml:space="preserve">2 690 MHz were put up for auction. This included one federal license and 81 regional licenses. Table </w:t>
      </w:r>
      <w:r w:rsidR="00424B3C">
        <w:rPr>
          <w:szCs w:val="24"/>
          <w:lang w:val="en-US"/>
        </w:rPr>
        <w:t>17</w:t>
      </w:r>
      <w:r w:rsidRPr="00BD6197">
        <w:rPr>
          <w:szCs w:val="24"/>
          <w:lang w:val="en-US"/>
        </w:rPr>
        <w:t xml:space="preserve"> shows the reserve prices and lot prices based on the outcome of the bids.</w:t>
      </w:r>
    </w:p>
    <w:p w:rsidR="0069427A" w:rsidRPr="00BD6197" w:rsidRDefault="00424B3C" w:rsidP="00424B3C">
      <w:pPr>
        <w:pStyle w:val="TableNo"/>
        <w:rPr>
          <w:lang w:val="en-US"/>
        </w:rPr>
      </w:pPr>
      <w:r w:rsidRPr="00BD6197">
        <w:rPr>
          <w:lang w:val="en-US"/>
        </w:rPr>
        <w:t>TABLE</w:t>
      </w:r>
      <w:r w:rsidR="0069427A" w:rsidRPr="00BD6197">
        <w:rPr>
          <w:lang w:val="en-US"/>
        </w:rPr>
        <w:t xml:space="preserve"> </w:t>
      </w:r>
      <w:r>
        <w:rPr>
          <w:lang w:val="en-US"/>
        </w:rPr>
        <w:t>17</w:t>
      </w:r>
    </w:p>
    <w:tbl>
      <w:tblPr>
        <w:tblW w:w="9771" w:type="dxa"/>
        <w:tblInd w:w="-34" w:type="dxa"/>
        <w:tblLook w:val="04A0" w:firstRow="1" w:lastRow="0" w:firstColumn="1" w:lastColumn="0" w:noHBand="0" w:noVBand="1"/>
      </w:tblPr>
      <w:tblGrid>
        <w:gridCol w:w="840"/>
        <w:gridCol w:w="4122"/>
        <w:gridCol w:w="1701"/>
        <w:gridCol w:w="1511"/>
        <w:gridCol w:w="1597"/>
      </w:tblGrid>
      <w:tr w:rsidR="0069427A" w:rsidRPr="00D17B5B" w:rsidTr="000F2BA7">
        <w:trPr>
          <w:cantSplit/>
          <w:tblHeader/>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27A" w:rsidRPr="00BD6197" w:rsidRDefault="0069427A" w:rsidP="000F2BA7">
            <w:pPr>
              <w:pStyle w:val="Tablehead"/>
              <w:rPr>
                <w:lang w:val="en-US"/>
              </w:rPr>
            </w:pPr>
            <w:r w:rsidRPr="00BD6197">
              <w:rPr>
                <w:lang w:val="en-US"/>
              </w:rPr>
              <w:t>Lot No.</w:t>
            </w:r>
          </w:p>
        </w:tc>
        <w:tc>
          <w:tcPr>
            <w:tcW w:w="4122" w:type="dxa"/>
            <w:tcBorders>
              <w:top w:val="single" w:sz="4" w:space="0" w:color="auto"/>
              <w:left w:val="nil"/>
              <w:bottom w:val="single" w:sz="4" w:space="0" w:color="auto"/>
              <w:right w:val="single" w:sz="4" w:space="0" w:color="auto"/>
            </w:tcBorders>
            <w:shd w:val="clear" w:color="auto" w:fill="auto"/>
            <w:vAlign w:val="center"/>
            <w:hideMark/>
          </w:tcPr>
          <w:p w:rsidR="0069427A" w:rsidRPr="00BD6197" w:rsidRDefault="0069427A" w:rsidP="000F2BA7">
            <w:pPr>
              <w:pStyle w:val="Tablehead"/>
              <w:rPr>
                <w:lang w:val="en-US"/>
              </w:rPr>
            </w:pPr>
            <w:r w:rsidRPr="00BD6197">
              <w:rPr>
                <w:lang w:val="en-US"/>
              </w:rPr>
              <w:t>Territory of the Russian Federation</w:t>
            </w:r>
          </w:p>
        </w:tc>
        <w:tc>
          <w:tcPr>
            <w:tcW w:w="1701" w:type="dxa"/>
            <w:tcBorders>
              <w:top w:val="single" w:sz="4" w:space="0" w:color="auto"/>
              <w:left w:val="nil"/>
              <w:bottom w:val="single" w:sz="4" w:space="0" w:color="auto"/>
              <w:right w:val="single" w:sz="4" w:space="0" w:color="auto"/>
            </w:tcBorders>
            <w:vAlign w:val="center"/>
          </w:tcPr>
          <w:p w:rsidR="0069427A" w:rsidRPr="00BD6197" w:rsidRDefault="0069427A" w:rsidP="000F2BA7">
            <w:pPr>
              <w:pStyle w:val="Tablehead"/>
              <w:rPr>
                <w:lang w:val="en-US"/>
              </w:rPr>
            </w:pPr>
            <w:r w:rsidRPr="00BD6197">
              <w:rPr>
                <w:lang w:val="en-US"/>
              </w:rPr>
              <w:t>Block size (MHz)</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69427A" w:rsidRPr="00BD6197" w:rsidRDefault="0069427A" w:rsidP="000F2BA7">
            <w:pPr>
              <w:pStyle w:val="Tablehead"/>
              <w:rPr>
                <w:lang w:val="en-US"/>
              </w:rPr>
            </w:pPr>
            <w:r w:rsidRPr="00BD6197">
              <w:rPr>
                <w:lang w:val="en-US"/>
              </w:rPr>
              <w:t>Reserve price (million rubles)</w:t>
            </w:r>
          </w:p>
        </w:tc>
        <w:tc>
          <w:tcPr>
            <w:tcW w:w="1597" w:type="dxa"/>
            <w:tcBorders>
              <w:top w:val="single" w:sz="4" w:space="0" w:color="auto"/>
              <w:left w:val="nil"/>
              <w:bottom w:val="single" w:sz="4" w:space="0" w:color="auto"/>
              <w:right w:val="single" w:sz="4" w:space="0" w:color="auto"/>
            </w:tcBorders>
            <w:vAlign w:val="center"/>
          </w:tcPr>
          <w:p w:rsidR="0069427A" w:rsidRPr="00BD6197" w:rsidRDefault="0069427A" w:rsidP="000F2BA7">
            <w:pPr>
              <w:pStyle w:val="Tablehead"/>
              <w:rPr>
                <w:lang w:val="en-US"/>
              </w:rPr>
            </w:pPr>
            <w:r w:rsidRPr="00BD6197">
              <w:rPr>
                <w:lang w:val="en-US"/>
              </w:rPr>
              <w:t>Lot price based on bidding results (million rubles)</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vAlign w:val="center"/>
            <w:hideMark/>
          </w:tcPr>
          <w:p w:rsidR="0069427A" w:rsidRPr="00BD6197" w:rsidRDefault="0069427A" w:rsidP="000F2BA7">
            <w:pPr>
              <w:pStyle w:val="Tabletext"/>
              <w:jc w:val="center"/>
              <w:rPr>
                <w:lang w:val="en-US"/>
              </w:rPr>
            </w:pPr>
            <w:r w:rsidRPr="00BD6197">
              <w:rPr>
                <w:lang w:val="en-US"/>
              </w:rPr>
              <w:t>1</w:t>
            </w:r>
          </w:p>
        </w:tc>
        <w:tc>
          <w:tcPr>
            <w:tcW w:w="4122" w:type="dxa"/>
            <w:tcBorders>
              <w:top w:val="nil"/>
              <w:left w:val="nil"/>
              <w:bottom w:val="single" w:sz="4" w:space="0" w:color="auto"/>
              <w:right w:val="single" w:sz="4" w:space="0" w:color="auto"/>
            </w:tcBorders>
            <w:shd w:val="clear" w:color="auto" w:fill="auto"/>
            <w:vAlign w:val="center"/>
            <w:hideMark/>
          </w:tcPr>
          <w:p w:rsidR="0069427A" w:rsidRPr="00BD6197" w:rsidRDefault="0069427A" w:rsidP="000F2BA7">
            <w:pPr>
              <w:pStyle w:val="Tabletext"/>
              <w:jc w:val="center"/>
              <w:rPr>
                <w:lang w:val="en-US"/>
              </w:rPr>
            </w:pPr>
            <w:r w:rsidRPr="00BD6197">
              <w:rPr>
                <w:lang w:val="en-US"/>
              </w:rPr>
              <w:t xml:space="preserve">Territory of the Russian Federation </w:t>
            </w:r>
          </w:p>
        </w:tc>
        <w:tc>
          <w:tcPr>
            <w:tcW w:w="1701" w:type="dxa"/>
            <w:tcBorders>
              <w:top w:val="single" w:sz="4" w:space="0" w:color="auto"/>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vAlign w:val="center"/>
            <w:hideMark/>
          </w:tcPr>
          <w:p w:rsidR="0069427A" w:rsidRPr="00BD6197" w:rsidRDefault="0069427A" w:rsidP="000F2BA7">
            <w:pPr>
              <w:pStyle w:val="Tabletext"/>
              <w:jc w:val="center"/>
              <w:rPr>
                <w:lang w:val="en-US"/>
              </w:rPr>
            </w:pPr>
            <w:r w:rsidRPr="00BD6197">
              <w:rPr>
                <w:lang w:val="en-US"/>
              </w:rPr>
              <w:t>2 939.4</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3 968.19</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 xml:space="preserve">Altai Krai </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49.7</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57.155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3</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Amur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19.6</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20.58</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4</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Archangelsk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28.3</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32.545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5</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Astrakhan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22.3</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25.645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6</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 xml:space="preserve">Belgorod Oblast  </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34.6</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38.06</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7</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Bryansk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27.1</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36.585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8</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Vladimir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31.3</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35.995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9</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Volgograd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58.1</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69.72</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10</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 xml:space="preserve">Vologoda Oblast </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26.5</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27.825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11</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Voronezh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51.4</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69.39</w:t>
            </w:r>
          </w:p>
        </w:tc>
      </w:tr>
    </w:tbl>
    <w:p w:rsidR="00797FED" w:rsidRDefault="00797FED">
      <w:r>
        <w:br w:type="page"/>
      </w:r>
    </w:p>
    <w:p w:rsidR="00797FED" w:rsidRPr="00BD6197" w:rsidRDefault="00797FED" w:rsidP="00797FED">
      <w:pPr>
        <w:pStyle w:val="TableNo"/>
        <w:rPr>
          <w:lang w:val="en-US"/>
        </w:rPr>
      </w:pPr>
      <w:r w:rsidRPr="00BD6197">
        <w:rPr>
          <w:lang w:val="en-US"/>
        </w:rPr>
        <w:lastRenderedPageBreak/>
        <w:t xml:space="preserve">TABLE </w:t>
      </w:r>
      <w:r>
        <w:rPr>
          <w:lang w:val="en-US"/>
        </w:rPr>
        <w:t>17 (</w:t>
      </w:r>
      <w:r>
        <w:rPr>
          <w:i/>
          <w:iCs/>
          <w:lang w:val="en-US"/>
        </w:rPr>
        <w:t>continued</w:t>
      </w:r>
      <w:r>
        <w:rPr>
          <w:lang w:val="en-US"/>
        </w:rPr>
        <w:t>)</w:t>
      </w:r>
    </w:p>
    <w:tbl>
      <w:tblPr>
        <w:tblW w:w="9771" w:type="dxa"/>
        <w:tblInd w:w="-34" w:type="dxa"/>
        <w:tblLook w:val="04A0" w:firstRow="1" w:lastRow="0" w:firstColumn="1" w:lastColumn="0" w:noHBand="0" w:noVBand="1"/>
      </w:tblPr>
      <w:tblGrid>
        <w:gridCol w:w="840"/>
        <w:gridCol w:w="4122"/>
        <w:gridCol w:w="1701"/>
        <w:gridCol w:w="1511"/>
        <w:gridCol w:w="1597"/>
      </w:tblGrid>
      <w:tr w:rsidR="00797FED" w:rsidRPr="00D17B5B" w:rsidTr="0091356A">
        <w:trPr>
          <w:cantSplit/>
          <w:tblHeader/>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FED" w:rsidRPr="00BD6197" w:rsidRDefault="00797FED" w:rsidP="0091356A">
            <w:pPr>
              <w:pStyle w:val="Tablehead"/>
              <w:rPr>
                <w:lang w:val="en-US"/>
              </w:rPr>
            </w:pPr>
            <w:r w:rsidRPr="00BD6197">
              <w:rPr>
                <w:lang w:val="en-US"/>
              </w:rPr>
              <w:t>Lot No.</w:t>
            </w:r>
          </w:p>
        </w:tc>
        <w:tc>
          <w:tcPr>
            <w:tcW w:w="4122" w:type="dxa"/>
            <w:tcBorders>
              <w:top w:val="single" w:sz="4" w:space="0" w:color="auto"/>
              <w:left w:val="nil"/>
              <w:bottom w:val="single" w:sz="4" w:space="0" w:color="auto"/>
              <w:right w:val="single" w:sz="4" w:space="0" w:color="auto"/>
            </w:tcBorders>
            <w:shd w:val="clear" w:color="auto" w:fill="auto"/>
            <w:vAlign w:val="center"/>
            <w:hideMark/>
          </w:tcPr>
          <w:p w:rsidR="00797FED" w:rsidRPr="00BD6197" w:rsidRDefault="00797FED" w:rsidP="0091356A">
            <w:pPr>
              <w:pStyle w:val="Tablehead"/>
              <w:rPr>
                <w:lang w:val="en-US"/>
              </w:rPr>
            </w:pPr>
            <w:r w:rsidRPr="00BD6197">
              <w:rPr>
                <w:lang w:val="en-US"/>
              </w:rPr>
              <w:t>Territory of the Russian Federation</w:t>
            </w:r>
          </w:p>
        </w:tc>
        <w:tc>
          <w:tcPr>
            <w:tcW w:w="1701" w:type="dxa"/>
            <w:tcBorders>
              <w:top w:val="single" w:sz="4" w:space="0" w:color="auto"/>
              <w:left w:val="nil"/>
              <w:bottom w:val="single" w:sz="4" w:space="0" w:color="auto"/>
              <w:right w:val="single" w:sz="4" w:space="0" w:color="auto"/>
            </w:tcBorders>
            <w:vAlign w:val="center"/>
          </w:tcPr>
          <w:p w:rsidR="00797FED" w:rsidRPr="00BD6197" w:rsidRDefault="00797FED" w:rsidP="0091356A">
            <w:pPr>
              <w:pStyle w:val="Tablehead"/>
              <w:rPr>
                <w:lang w:val="en-US"/>
              </w:rPr>
            </w:pPr>
            <w:r w:rsidRPr="00BD6197">
              <w:rPr>
                <w:lang w:val="en-US"/>
              </w:rPr>
              <w:t>Block size (MHz)</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FED" w:rsidRPr="00BD6197" w:rsidRDefault="00797FED" w:rsidP="0091356A">
            <w:pPr>
              <w:pStyle w:val="Tablehead"/>
              <w:rPr>
                <w:lang w:val="en-US"/>
              </w:rPr>
            </w:pPr>
            <w:r w:rsidRPr="00BD6197">
              <w:rPr>
                <w:lang w:val="en-US"/>
              </w:rPr>
              <w:t>Reserve price (million rubles)</w:t>
            </w:r>
          </w:p>
        </w:tc>
        <w:tc>
          <w:tcPr>
            <w:tcW w:w="1597" w:type="dxa"/>
            <w:tcBorders>
              <w:top w:val="single" w:sz="4" w:space="0" w:color="auto"/>
              <w:left w:val="nil"/>
              <w:bottom w:val="single" w:sz="4" w:space="0" w:color="auto"/>
              <w:right w:val="single" w:sz="4" w:space="0" w:color="auto"/>
            </w:tcBorders>
            <w:vAlign w:val="center"/>
          </w:tcPr>
          <w:p w:rsidR="00797FED" w:rsidRPr="00BD6197" w:rsidRDefault="00797FED" w:rsidP="0091356A">
            <w:pPr>
              <w:pStyle w:val="Tablehead"/>
              <w:rPr>
                <w:lang w:val="en-US"/>
              </w:rPr>
            </w:pPr>
            <w:r w:rsidRPr="00BD6197">
              <w:rPr>
                <w:lang w:val="en-US"/>
              </w:rPr>
              <w:t>Lot price based on bidding results (million rubles)</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12</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 xml:space="preserve">St Petersburg </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134.3</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456.62</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13</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The Jewish Autonomous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3.8</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14</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Zabaykalsky Krai</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24.9</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26.145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15</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Ivanovo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23.2</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25.52</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16</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Irkutsk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56.4</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64.86</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17</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The Kabardino-Balkar Republic</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16.5</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18.975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18</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Kaliningrad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22.1</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25.415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19</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 xml:space="preserve">Kaluga Oblast </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23.2</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26.680</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20</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Kamchatka Krai</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9.6</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10.08</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21</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The Karachay-Cherkess Republic</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8.5</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9.35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22</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 xml:space="preserve">Kemerovo Oblast </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68.0</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81.6</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23</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Kirov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29.6</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38.48</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24</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Kostroma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13.8</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15.87</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25</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Krasnodar Krai</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126.2</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170.37</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26</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Krasnoyarsk Krai</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70.5</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84.6</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27</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Kurgan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20.4</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43.86</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28</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Kursk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24.3</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31.59</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29</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Leningrad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46.1</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53.015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30</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Lipetsk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25.2</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32.76</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31</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Magadan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5.2</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32</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Murmansk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20.9</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21.945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33</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Nenets Autonomous Okrug</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1.1</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1.155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34</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Nizhny Novgorod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83.6</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112.86</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35</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Novgorod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13.9</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14.595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36</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Novosibirsk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66.7</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93.38</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37</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Omsk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45.6</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61.56</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38</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Orenburg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43.4</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56.42</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39</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Oryol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16.2</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17.82</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40</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Penza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30.9</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33.99</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41</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Perm Krai</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66.3</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89.505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42</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Primorsky Krai</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50.1</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55.11</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43</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 xml:space="preserve">Pskov Oblast </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13.8</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15.87</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44</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 xml:space="preserve">The Adygea Republic (Adygea) </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9.0</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9.9</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45</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The Altai Republic</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3.4</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3.74</w:t>
            </w:r>
          </w:p>
        </w:tc>
      </w:tr>
    </w:tbl>
    <w:p w:rsidR="00797FED" w:rsidRDefault="00797FED">
      <w:r>
        <w:br w:type="page"/>
      </w:r>
    </w:p>
    <w:p w:rsidR="00797FED" w:rsidRPr="00BD6197" w:rsidRDefault="00797FED" w:rsidP="00797FED">
      <w:pPr>
        <w:pStyle w:val="TableNo"/>
        <w:rPr>
          <w:lang w:val="en-US"/>
        </w:rPr>
      </w:pPr>
      <w:r w:rsidRPr="00BD6197">
        <w:rPr>
          <w:lang w:val="en-US"/>
        </w:rPr>
        <w:lastRenderedPageBreak/>
        <w:t xml:space="preserve">TABLE </w:t>
      </w:r>
      <w:r>
        <w:rPr>
          <w:lang w:val="en-US"/>
        </w:rPr>
        <w:t>17 (</w:t>
      </w:r>
      <w:r w:rsidRPr="00797FED">
        <w:rPr>
          <w:i/>
          <w:iCs/>
          <w:lang w:val="en-US"/>
        </w:rPr>
        <w:t>continued</w:t>
      </w:r>
      <w:r>
        <w:rPr>
          <w:lang w:val="en-US"/>
        </w:rPr>
        <w:t>)</w:t>
      </w:r>
    </w:p>
    <w:tbl>
      <w:tblPr>
        <w:tblW w:w="9771" w:type="dxa"/>
        <w:tblInd w:w="-34" w:type="dxa"/>
        <w:tblLook w:val="04A0" w:firstRow="1" w:lastRow="0" w:firstColumn="1" w:lastColumn="0" w:noHBand="0" w:noVBand="1"/>
      </w:tblPr>
      <w:tblGrid>
        <w:gridCol w:w="840"/>
        <w:gridCol w:w="4122"/>
        <w:gridCol w:w="1701"/>
        <w:gridCol w:w="1511"/>
        <w:gridCol w:w="1597"/>
      </w:tblGrid>
      <w:tr w:rsidR="00797FED" w:rsidRPr="00D17B5B" w:rsidTr="0091356A">
        <w:trPr>
          <w:cantSplit/>
          <w:tblHeader/>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FED" w:rsidRPr="00BD6197" w:rsidRDefault="00797FED" w:rsidP="0091356A">
            <w:pPr>
              <w:pStyle w:val="Tablehead"/>
              <w:rPr>
                <w:lang w:val="en-US"/>
              </w:rPr>
            </w:pPr>
            <w:r w:rsidRPr="00BD6197">
              <w:rPr>
                <w:lang w:val="en-US"/>
              </w:rPr>
              <w:t>Lot No.</w:t>
            </w:r>
          </w:p>
        </w:tc>
        <w:tc>
          <w:tcPr>
            <w:tcW w:w="4122" w:type="dxa"/>
            <w:tcBorders>
              <w:top w:val="single" w:sz="4" w:space="0" w:color="auto"/>
              <w:left w:val="nil"/>
              <w:bottom w:val="single" w:sz="4" w:space="0" w:color="auto"/>
              <w:right w:val="single" w:sz="4" w:space="0" w:color="auto"/>
            </w:tcBorders>
            <w:shd w:val="clear" w:color="auto" w:fill="auto"/>
            <w:vAlign w:val="center"/>
            <w:hideMark/>
          </w:tcPr>
          <w:p w:rsidR="00797FED" w:rsidRPr="00BD6197" w:rsidRDefault="00797FED" w:rsidP="0091356A">
            <w:pPr>
              <w:pStyle w:val="Tablehead"/>
              <w:rPr>
                <w:lang w:val="en-US"/>
              </w:rPr>
            </w:pPr>
            <w:r w:rsidRPr="00BD6197">
              <w:rPr>
                <w:lang w:val="en-US"/>
              </w:rPr>
              <w:t>Territory of the Russian Federation</w:t>
            </w:r>
          </w:p>
        </w:tc>
        <w:tc>
          <w:tcPr>
            <w:tcW w:w="1701" w:type="dxa"/>
            <w:tcBorders>
              <w:top w:val="single" w:sz="4" w:space="0" w:color="auto"/>
              <w:left w:val="nil"/>
              <w:bottom w:val="single" w:sz="4" w:space="0" w:color="auto"/>
              <w:right w:val="single" w:sz="4" w:space="0" w:color="auto"/>
            </w:tcBorders>
            <w:vAlign w:val="center"/>
          </w:tcPr>
          <w:p w:rsidR="00797FED" w:rsidRPr="00BD6197" w:rsidRDefault="00797FED" w:rsidP="0091356A">
            <w:pPr>
              <w:pStyle w:val="Tablehead"/>
              <w:rPr>
                <w:lang w:val="en-US"/>
              </w:rPr>
            </w:pPr>
            <w:r w:rsidRPr="00BD6197">
              <w:rPr>
                <w:lang w:val="en-US"/>
              </w:rPr>
              <w:t>Block size (MHz)</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FED" w:rsidRPr="00BD6197" w:rsidRDefault="00797FED" w:rsidP="0091356A">
            <w:pPr>
              <w:pStyle w:val="Tablehead"/>
              <w:rPr>
                <w:lang w:val="en-US"/>
              </w:rPr>
            </w:pPr>
            <w:r w:rsidRPr="00BD6197">
              <w:rPr>
                <w:lang w:val="en-US"/>
              </w:rPr>
              <w:t>Reserve price (million rubles)</w:t>
            </w:r>
          </w:p>
        </w:tc>
        <w:tc>
          <w:tcPr>
            <w:tcW w:w="1597" w:type="dxa"/>
            <w:tcBorders>
              <w:top w:val="single" w:sz="4" w:space="0" w:color="auto"/>
              <w:left w:val="nil"/>
              <w:bottom w:val="single" w:sz="4" w:space="0" w:color="auto"/>
              <w:right w:val="single" w:sz="4" w:space="0" w:color="auto"/>
            </w:tcBorders>
            <w:vAlign w:val="center"/>
          </w:tcPr>
          <w:p w:rsidR="00797FED" w:rsidRPr="00BD6197" w:rsidRDefault="00797FED" w:rsidP="0091356A">
            <w:pPr>
              <w:pStyle w:val="Tablehead"/>
              <w:rPr>
                <w:lang w:val="en-US"/>
              </w:rPr>
            </w:pPr>
            <w:r w:rsidRPr="00BD6197">
              <w:rPr>
                <w:lang w:val="en-US"/>
              </w:rPr>
              <w:t>Lot price based on bidding results (million rubles)</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46</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The Bashkortostan Republic</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90.1</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121.635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47</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The Buryatia Republic</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22.0</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23.1</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48</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The Dagestan Republic</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59.9</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74.875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49</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The Ingushetia Republic</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8.1</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8.91</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50</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The Kalmykia Republic</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5.1</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5.61</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51</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The Karelia Republic</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14.6</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16.06</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52</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The Komi Republic</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22.8</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23.94</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53</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The Mari El Republic</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14.9</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15.645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54</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The Mordovia Republic</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17.2</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18.92</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55</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The Sakha Republic (Yakutia)</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26.9</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29.59</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56</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The North Ossetia-Alania Republic</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14.6</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16.06</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57</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The Tatarstan Republic (Tatarstan)</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100.0</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155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58</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The Tuva Republic</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6.2</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6.51</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59</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The Khakassia Republic</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11.9</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12.495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60</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Rostov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95.8</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134.12</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61</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Ryazan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25.0</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27.5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62</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Samara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81.5</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110.025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63</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Saratov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57.2</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68.64</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64</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Sakhalin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15.9</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17.49</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65</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Sverdlovsk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122.9</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356.41</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66</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Smolensk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21.1</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24.265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67</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Stavropol Krai</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57.4</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66.01</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68</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Tambov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23.7</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26.07</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69</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Tver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28.9</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31.79</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70</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Tomsk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24.4</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28.06</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71</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Tula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34.4</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39.56</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72</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Tyumen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34.2</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97.47</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73</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The Udmurt Republic</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32.1</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38.52</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74</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Ulyanovsk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29.7</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32.67</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75</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Khabarovsk Krai</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35.1</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36.855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76</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Khanty-Mansi Autonomous Okrug Yugra</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51.8</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119.14</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77</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Chelyabinsk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87.2</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117.72</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78</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The Chechen Republic</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24.5</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50.225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79</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The Chuvash Republic (Chuvashia)</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26.0</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29.9</w:t>
            </w:r>
          </w:p>
        </w:tc>
      </w:tr>
    </w:tbl>
    <w:p w:rsidR="00797FED" w:rsidRDefault="00797FED">
      <w:r>
        <w:br w:type="page"/>
      </w:r>
    </w:p>
    <w:p w:rsidR="00797FED" w:rsidRPr="00BD6197" w:rsidRDefault="00797FED" w:rsidP="00797FED">
      <w:pPr>
        <w:pStyle w:val="TableNo"/>
        <w:rPr>
          <w:lang w:val="en-US"/>
        </w:rPr>
      </w:pPr>
      <w:r w:rsidRPr="00BD6197">
        <w:rPr>
          <w:lang w:val="en-US"/>
        </w:rPr>
        <w:lastRenderedPageBreak/>
        <w:t xml:space="preserve">TABLE </w:t>
      </w:r>
      <w:r>
        <w:rPr>
          <w:lang w:val="en-US"/>
        </w:rPr>
        <w:t>17 (</w:t>
      </w:r>
      <w:r w:rsidRPr="00797FED">
        <w:rPr>
          <w:i/>
          <w:iCs/>
          <w:lang w:val="en-US"/>
        </w:rPr>
        <w:t>end</w:t>
      </w:r>
      <w:r>
        <w:rPr>
          <w:lang w:val="en-US"/>
        </w:rPr>
        <w:t>)</w:t>
      </w:r>
    </w:p>
    <w:tbl>
      <w:tblPr>
        <w:tblW w:w="9771" w:type="dxa"/>
        <w:tblInd w:w="-34" w:type="dxa"/>
        <w:tblLook w:val="04A0" w:firstRow="1" w:lastRow="0" w:firstColumn="1" w:lastColumn="0" w:noHBand="0" w:noVBand="1"/>
      </w:tblPr>
      <w:tblGrid>
        <w:gridCol w:w="840"/>
        <w:gridCol w:w="4122"/>
        <w:gridCol w:w="1701"/>
        <w:gridCol w:w="1511"/>
        <w:gridCol w:w="1597"/>
      </w:tblGrid>
      <w:tr w:rsidR="00797FED" w:rsidRPr="00D17B5B" w:rsidTr="0091356A">
        <w:trPr>
          <w:cantSplit/>
          <w:tblHeader/>
        </w:trPr>
        <w:tc>
          <w:tcPr>
            <w:tcW w:w="8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FED" w:rsidRPr="00BD6197" w:rsidRDefault="00797FED" w:rsidP="0091356A">
            <w:pPr>
              <w:pStyle w:val="Tablehead"/>
              <w:rPr>
                <w:lang w:val="en-US"/>
              </w:rPr>
            </w:pPr>
            <w:r w:rsidRPr="00BD6197">
              <w:rPr>
                <w:lang w:val="en-US"/>
              </w:rPr>
              <w:t>Lot No.</w:t>
            </w:r>
          </w:p>
        </w:tc>
        <w:tc>
          <w:tcPr>
            <w:tcW w:w="4122" w:type="dxa"/>
            <w:tcBorders>
              <w:top w:val="single" w:sz="4" w:space="0" w:color="auto"/>
              <w:left w:val="nil"/>
              <w:bottom w:val="single" w:sz="4" w:space="0" w:color="auto"/>
              <w:right w:val="single" w:sz="4" w:space="0" w:color="auto"/>
            </w:tcBorders>
            <w:shd w:val="clear" w:color="auto" w:fill="auto"/>
            <w:vAlign w:val="center"/>
            <w:hideMark/>
          </w:tcPr>
          <w:p w:rsidR="00797FED" w:rsidRPr="00BD6197" w:rsidRDefault="00797FED" w:rsidP="0091356A">
            <w:pPr>
              <w:pStyle w:val="Tablehead"/>
              <w:rPr>
                <w:lang w:val="en-US"/>
              </w:rPr>
            </w:pPr>
            <w:r w:rsidRPr="00BD6197">
              <w:rPr>
                <w:lang w:val="en-US"/>
              </w:rPr>
              <w:t>Territory of the Russian Federation</w:t>
            </w:r>
          </w:p>
        </w:tc>
        <w:tc>
          <w:tcPr>
            <w:tcW w:w="1701" w:type="dxa"/>
            <w:tcBorders>
              <w:top w:val="single" w:sz="4" w:space="0" w:color="auto"/>
              <w:left w:val="nil"/>
              <w:bottom w:val="single" w:sz="4" w:space="0" w:color="auto"/>
              <w:right w:val="single" w:sz="4" w:space="0" w:color="auto"/>
            </w:tcBorders>
            <w:vAlign w:val="center"/>
          </w:tcPr>
          <w:p w:rsidR="00797FED" w:rsidRPr="00BD6197" w:rsidRDefault="00797FED" w:rsidP="0091356A">
            <w:pPr>
              <w:pStyle w:val="Tablehead"/>
              <w:rPr>
                <w:lang w:val="en-US"/>
              </w:rPr>
            </w:pPr>
            <w:r w:rsidRPr="00BD6197">
              <w:rPr>
                <w:lang w:val="en-US"/>
              </w:rPr>
              <w:t>Block size (MHz)</w:t>
            </w:r>
          </w:p>
        </w:tc>
        <w:tc>
          <w:tcPr>
            <w:tcW w:w="151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97FED" w:rsidRPr="00BD6197" w:rsidRDefault="00797FED" w:rsidP="0091356A">
            <w:pPr>
              <w:pStyle w:val="Tablehead"/>
              <w:rPr>
                <w:lang w:val="en-US"/>
              </w:rPr>
            </w:pPr>
            <w:r w:rsidRPr="00BD6197">
              <w:rPr>
                <w:lang w:val="en-US"/>
              </w:rPr>
              <w:t>Reserve price (million rubles)</w:t>
            </w:r>
          </w:p>
        </w:tc>
        <w:tc>
          <w:tcPr>
            <w:tcW w:w="1597" w:type="dxa"/>
            <w:tcBorders>
              <w:top w:val="single" w:sz="4" w:space="0" w:color="auto"/>
              <w:left w:val="nil"/>
              <w:bottom w:val="single" w:sz="4" w:space="0" w:color="auto"/>
              <w:right w:val="single" w:sz="4" w:space="0" w:color="auto"/>
            </w:tcBorders>
            <w:vAlign w:val="center"/>
          </w:tcPr>
          <w:p w:rsidR="00797FED" w:rsidRPr="00BD6197" w:rsidRDefault="00797FED" w:rsidP="0091356A">
            <w:pPr>
              <w:pStyle w:val="Tablehead"/>
              <w:rPr>
                <w:lang w:val="en-US"/>
              </w:rPr>
            </w:pPr>
            <w:r w:rsidRPr="00BD6197">
              <w:rPr>
                <w:lang w:val="en-US"/>
              </w:rPr>
              <w:t>Lot price based on bidding results (million rubles)</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80</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Chukotka Autonomous Okrug</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1.7</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1.785</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81</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Yamalo-Nenets Autonomous Okrug</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19.6</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47.04</w:t>
            </w:r>
          </w:p>
        </w:tc>
      </w:tr>
      <w:tr w:rsidR="0069427A" w:rsidRPr="00BD6197" w:rsidTr="000F2BA7">
        <w:trPr>
          <w:cantSplit/>
        </w:trPr>
        <w:tc>
          <w:tcPr>
            <w:tcW w:w="840"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82</w:t>
            </w:r>
          </w:p>
        </w:tc>
        <w:tc>
          <w:tcPr>
            <w:tcW w:w="4122" w:type="dxa"/>
            <w:tcBorders>
              <w:top w:val="nil"/>
              <w:left w:val="nil"/>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Yaroslavl Oblast</w:t>
            </w:r>
          </w:p>
        </w:tc>
        <w:tc>
          <w:tcPr>
            <w:tcW w:w="1701" w:type="dxa"/>
            <w:tcBorders>
              <w:top w:val="single" w:sz="4" w:space="0" w:color="auto"/>
              <w:left w:val="nil"/>
              <w:bottom w:val="single" w:sz="4" w:space="0" w:color="auto"/>
              <w:right w:val="single" w:sz="4" w:space="0" w:color="auto"/>
            </w:tcBorders>
          </w:tcPr>
          <w:p w:rsidR="0069427A" w:rsidRPr="00BD6197" w:rsidRDefault="0069427A" w:rsidP="000F2BA7">
            <w:pPr>
              <w:pStyle w:val="Tabletext"/>
              <w:jc w:val="center"/>
              <w:rPr>
                <w:lang w:val="en-US"/>
              </w:rPr>
            </w:pPr>
            <w:r w:rsidRPr="00BD6197">
              <w:rPr>
                <w:lang w:val="en-US"/>
              </w:rPr>
              <w:t>1×25 MHz</w:t>
            </w:r>
          </w:p>
        </w:tc>
        <w:tc>
          <w:tcPr>
            <w:tcW w:w="1511" w:type="dxa"/>
            <w:tcBorders>
              <w:top w:val="nil"/>
              <w:left w:val="single" w:sz="4" w:space="0" w:color="auto"/>
              <w:bottom w:val="single" w:sz="4" w:space="0" w:color="auto"/>
              <w:right w:val="single" w:sz="4" w:space="0" w:color="auto"/>
            </w:tcBorders>
            <w:shd w:val="clear" w:color="auto" w:fill="auto"/>
            <w:noWrap/>
            <w:vAlign w:val="center"/>
            <w:hideMark/>
          </w:tcPr>
          <w:p w:rsidR="0069427A" w:rsidRPr="00BD6197" w:rsidRDefault="0069427A" w:rsidP="000F2BA7">
            <w:pPr>
              <w:pStyle w:val="Tabletext"/>
              <w:jc w:val="center"/>
              <w:rPr>
                <w:lang w:val="en-US"/>
              </w:rPr>
            </w:pPr>
            <w:r w:rsidRPr="00BD6197">
              <w:rPr>
                <w:lang w:val="en-US"/>
              </w:rPr>
              <w:t>29.4</w:t>
            </w:r>
          </w:p>
        </w:tc>
        <w:tc>
          <w:tcPr>
            <w:tcW w:w="1597" w:type="dxa"/>
            <w:tcBorders>
              <w:top w:val="nil"/>
              <w:left w:val="nil"/>
              <w:bottom w:val="single" w:sz="4" w:space="0" w:color="auto"/>
              <w:right w:val="single" w:sz="4" w:space="0" w:color="auto"/>
            </w:tcBorders>
            <w:vAlign w:val="center"/>
          </w:tcPr>
          <w:p w:rsidR="0069427A" w:rsidRPr="00BD6197" w:rsidRDefault="0069427A" w:rsidP="000F2BA7">
            <w:pPr>
              <w:pStyle w:val="Tabletext"/>
              <w:jc w:val="center"/>
              <w:rPr>
                <w:lang w:val="en-US"/>
              </w:rPr>
            </w:pPr>
            <w:r w:rsidRPr="00BD6197">
              <w:rPr>
                <w:lang w:val="en-US"/>
              </w:rPr>
              <w:t>33.81</w:t>
            </w:r>
          </w:p>
        </w:tc>
      </w:tr>
    </w:tbl>
    <w:p w:rsidR="0069427A" w:rsidRPr="00A01420" w:rsidRDefault="0069427A" w:rsidP="0069427A">
      <w:pPr>
        <w:pStyle w:val="Headingb"/>
        <w:rPr>
          <w:lang w:val="en-US"/>
        </w:rPr>
      </w:pPr>
      <w:bookmarkStart w:id="1869" w:name="_Toc454284964"/>
      <w:bookmarkStart w:id="1870" w:name="_Toc462234133"/>
      <w:r w:rsidRPr="00A01420">
        <w:rPr>
          <w:lang w:val="en-US"/>
        </w:rPr>
        <w:t>Winning bidders of the second auction have to pay compensation to MMDS operators holding licenses in the auctioned frequency band.</w:t>
      </w:r>
      <w:r w:rsidR="0091356A">
        <w:rPr>
          <w:lang w:val="en-US"/>
        </w:rPr>
        <w:t xml:space="preserve"> </w:t>
      </w:r>
      <w:r w:rsidRPr="00A01420">
        <w:rPr>
          <w:lang w:val="en-US"/>
        </w:rPr>
        <w:t>Analysis of the results of competitions and auctions</w:t>
      </w:r>
      <w:bookmarkEnd w:id="1869"/>
      <w:bookmarkEnd w:id="1870"/>
    </w:p>
    <w:p w:rsidR="0069427A" w:rsidRPr="00BD6197" w:rsidRDefault="0069427A" w:rsidP="00797FED">
      <w:pPr>
        <w:rPr>
          <w:lang w:val="en-US"/>
        </w:rPr>
      </w:pPr>
      <w:r w:rsidRPr="00BD6197">
        <w:rPr>
          <w:szCs w:val="24"/>
          <w:lang w:val="en-US"/>
        </w:rPr>
        <w:t xml:space="preserve">Table </w:t>
      </w:r>
      <w:r w:rsidR="00797FED">
        <w:rPr>
          <w:szCs w:val="24"/>
          <w:lang w:val="en-US"/>
        </w:rPr>
        <w:t>18</w:t>
      </w:r>
      <w:r w:rsidRPr="00BD6197">
        <w:rPr>
          <w:szCs w:val="24"/>
          <w:lang w:val="en-US"/>
        </w:rPr>
        <w:t xml:space="preserve"> compares conditions of licensing mobile communication services in the 1 800 MHz band in Amur Oblast based on the results of an auction and competition.</w:t>
      </w:r>
    </w:p>
    <w:p w:rsidR="0069427A" w:rsidRPr="00BD6197" w:rsidRDefault="00797FED" w:rsidP="00797FED">
      <w:pPr>
        <w:pStyle w:val="TableNo"/>
        <w:rPr>
          <w:lang w:val="en-US"/>
        </w:rPr>
      </w:pPr>
      <w:r w:rsidRPr="00BD6197">
        <w:rPr>
          <w:lang w:val="en-US"/>
        </w:rPr>
        <w:t>TABLE</w:t>
      </w:r>
      <w:r w:rsidR="0069427A" w:rsidRPr="00BD6197">
        <w:rPr>
          <w:lang w:val="en-US"/>
        </w:rPr>
        <w:t xml:space="preserve"> </w:t>
      </w:r>
      <w:r>
        <w:rPr>
          <w:lang w:val="en-US"/>
        </w:rPr>
        <w:t>18</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36"/>
        <w:gridCol w:w="2835"/>
        <w:gridCol w:w="3119"/>
      </w:tblGrid>
      <w:tr w:rsidR="0069427A" w:rsidRPr="00BD6197" w:rsidTr="000F2BA7">
        <w:tc>
          <w:tcPr>
            <w:tcW w:w="3936" w:type="dxa"/>
            <w:shd w:val="clear" w:color="auto" w:fill="auto"/>
          </w:tcPr>
          <w:p w:rsidR="0069427A" w:rsidRPr="00BD6197" w:rsidRDefault="0069427A" w:rsidP="000F2BA7">
            <w:pPr>
              <w:pStyle w:val="Tablehead"/>
              <w:tabs>
                <w:tab w:val="left" w:pos="1871"/>
              </w:tabs>
              <w:rPr>
                <w:lang w:val="en-US"/>
              </w:rPr>
            </w:pPr>
            <w:r w:rsidRPr="00BD6197">
              <w:rPr>
                <w:lang w:val="en-US"/>
              </w:rPr>
              <w:t>Parameter for comparison</w:t>
            </w:r>
          </w:p>
        </w:tc>
        <w:tc>
          <w:tcPr>
            <w:tcW w:w="2835" w:type="dxa"/>
            <w:shd w:val="clear" w:color="auto" w:fill="auto"/>
          </w:tcPr>
          <w:p w:rsidR="0069427A" w:rsidRPr="00BD6197" w:rsidRDefault="0069427A" w:rsidP="000F2BA7">
            <w:pPr>
              <w:pStyle w:val="Tablehead"/>
              <w:tabs>
                <w:tab w:val="left" w:pos="1871"/>
              </w:tabs>
              <w:rPr>
                <w:lang w:val="en-US"/>
              </w:rPr>
            </w:pPr>
            <w:r w:rsidRPr="00BD6197">
              <w:rPr>
                <w:lang w:val="en-US"/>
              </w:rPr>
              <w:t>Competition</w:t>
            </w:r>
          </w:p>
        </w:tc>
        <w:tc>
          <w:tcPr>
            <w:tcW w:w="3119" w:type="dxa"/>
            <w:shd w:val="clear" w:color="auto" w:fill="auto"/>
          </w:tcPr>
          <w:p w:rsidR="0069427A" w:rsidRPr="00BD6197" w:rsidRDefault="0069427A" w:rsidP="000F2BA7">
            <w:pPr>
              <w:pStyle w:val="Tablehead"/>
              <w:tabs>
                <w:tab w:val="left" w:pos="1871"/>
              </w:tabs>
              <w:rPr>
                <w:lang w:val="en-US"/>
              </w:rPr>
            </w:pPr>
            <w:r w:rsidRPr="00BD6197">
              <w:rPr>
                <w:lang w:val="en-US"/>
              </w:rPr>
              <w:t>Auction</w:t>
            </w:r>
          </w:p>
        </w:tc>
      </w:tr>
      <w:tr w:rsidR="0069427A" w:rsidRPr="00BD6197" w:rsidTr="000F2BA7">
        <w:tc>
          <w:tcPr>
            <w:tcW w:w="3936" w:type="dxa"/>
            <w:shd w:val="clear" w:color="auto" w:fill="auto"/>
          </w:tcPr>
          <w:p w:rsidR="0069427A" w:rsidRPr="00BD6197" w:rsidRDefault="0069427A" w:rsidP="000F2BA7">
            <w:pPr>
              <w:pStyle w:val="Tabletext"/>
              <w:tabs>
                <w:tab w:val="left" w:pos="1871"/>
              </w:tabs>
              <w:rPr>
                <w:lang w:val="en-US"/>
              </w:rPr>
            </w:pPr>
            <w:r w:rsidRPr="00BD6197">
              <w:rPr>
                <w:lang w:val="en-US"/>
              </w:rPr>
              <w:t>Frequency band</w:t>
            </w:r>
          </w:p>
        </w:tc>
        <w:tc>
          <w:tcPr>
            <w:tcW w:w="2835" w:type="dxa"/>
            <w:shd w:val="clear" w:color="auto" w:fill="auto"/>
          </w:tcPr>
          <w:p w:rsidR="0069427A" w:rsidRPr="00BD6197" w:rsidRDefault="0069427A" w:rsidP="000F2BA7">
            <w:pPr>
              <w:pStyle w:val="Tabletext"/>
              <w:tabs>
                <w:tab w:val="left" w:pos="1871"/>
              </w:tabs>
              <w:jc w:val="center"/>
              <w:rPr>
                <w:lang w:val="en-US"/>
              </w:rPr>
            </w:pPr>
            <w:r w:rsidRPr="00BD6197">
              <w:rPr>
                <w:lang w:val="en-US"/>
              </w:rPr>
              <w:t>1 800 MHz</w:t>
            </w:r>
          </w:p>
        </w:tc>
        <w:tc>
          <w:tcPr>
            <w:tcW w:w="3119" w:type="dxa"/>
            <w:shd w:val="clear" w:color="auto" w:fill="auto"/>
          </w:tcPr>
          <w:p w:rsidR="0069427A" w:rsidRPr="00BD6197" w:rsidRDefault="0069427A" w:rsidP="000F2BA7">
            <w:pPr>
              <w:pStyle w:val="Tabletext"/>
              <w:tabs>
                <w:tab w:val="left" w:pos="1871"/>
              </w:tabs>
              <w:jc w:val="center"/>
              <w:rPr>
                <w:lang w:val="en-US"/>
              </w:rPr>
            </w:pPr>
            <w:r w:rsidRPr="00BD6197">
              <w:rPr>
                <w:lang w:val="en-US"/>
              </w:rPr>
              <w:t>1 800 MHz</w:t>
            </w:r>
          </w:p>
        </w:tc>
      </w:tr>
      <w:tr w:rsidR="0069427A" w:rsidRPr="00BD6197" w:rsidTr="000F2BA7">
        <w:tc>
          <w:tcPr>
            <w:tcW w:w="3936" w:type="dxa"/>
            <w:shd w:val="clear" w:color="auto" w:fill="auto"/>
          </w:tcPr>
          <w:p w:rsidR="0069427A" w:rsidRPr="00BD6197" w:rsidRDefault="0069427A" w:rsidP="000F2BA7">
            <w:pPr>
              <w:pStyle w:val="Tabletext"/>
              <w:tabs>
                <w:tab w:val="left" w:pos="1871"/>
              </w:tabs>
              <w:rPr>
                <w:lang w:val="en-US"/>
              </w:rPr>
            </w:pPr>
            <w:r w:rsidRPr="00BD6197">
              <w:rPr>
                <w:lang w:val="en-US"/>
              </w:rPr>
              <w:t>Technology</w:t>
            </w:r>
          </w:p>
        </w:tc>
        <w:tc>
          <w:tcPr>
            <w:tcW w:w="2835" w:type="dxa"/>
            <w:shd w:val="clear" w:color="auto" w:fill="auto"/>
          </w:tcPr>
          <w:p w:rsidR="0069427A" w:rsidRPr="00BD6197" w:rsidRDefault="0069427A" w:rsidP="000F2BA7">
            <w:pPr>
              <w:pStyle w:val="Tabletext"/>
              <w:tabs>
                <w:tab w:val="left" w:pos="1871"/>
              </w:tabs>
              <w:jc w:val="center"/>
              <w:rPr>
                <w:lang w:val="en-US"/>
              </w:rPr>
            </w:pPr>
            <w:r w:rsidRPr="00BD6197">
              <w:rPr>
                <w:lang w:val="en-US"/>
              </w:rPr>
              <w:t>GSM</w:t>
            </w:r>
          </w:p>
        </w:tc>
        <w:tc>
          <w:tcPr>
            <w:tcW w:w="3119" w:type="dxa"/>
            <w:shd w:val="clear" w:color="auto" w:fill="auto"/>
          </w:tcPr>
          <w:p w:rsidR="0069427A" w:rsidRPr="00BD6197" w:rsidRDefault="0069427A" w:rsidP="000F2BA7">
            <w:pPr>
              <w:pStyle w:val="Tabletext"/>
              <w:tabs>
                <w:tab w:val="left" w:pos="1871"/>
              </w:tabs>
              <w:jc w:val="center"/>
              <w:rPr>
                <w:lang w:val="en-US"/>
              </w:rPr>
            </w:pPr>
            <w:r w:rsidRPr="00BD6197">
              <w:rPr>
                <w:bCs/>
                <w:lang w:val="en-US"/>
              </w:rPr>
              <w:t>GSM, LTE and subsequent modifications</w:t>
            </w:r>
          </w:p>
        </w:tc>
      </w:tr>
      <w:tr w:rsidR="0069427A" w:rsidRPr="00BD6197" w:rsidTr="000F2BA7">
        <w:tc>
          <w:tcPr>
            <w:tcW w:w="3936" w:type="dxa"/>
            <w:shd w:val="clear" w:color="auto" w:fill="auto"/>
          </w:tcPr>
          <w:p w:rsidR="0069427A" w:rsidRPr="00BD6197" w:rsidRDefault="0069427A" w:rsidP="000F2BA7">
            <w:pPr>
              <w:pStyle w:val="Tabletext"/>
              <w:tabs>
                <w:tab w:val="left" w:pos="1871"/>
              </w:tabs>
              <w:rPr>
                <w:lang w:val="en-US"/>
              </w:rPr>
            </w:pPr>
            <w:r w:rsidRPr="00BD6197">
              <w:rPr>
                <w:lang w:val="en-US"/>
              </w:rPr>
              <w:t>Region</w:t>
            </w:r>
          </w:p>
        </w:tc>
        <w:tc>
          <w:tcPr>
            <w:tcW w:w="2835" w:type="dxa"/>
            <w:shd w:val="clear" w:color="auto" w:fill="auto"/>
          </w:tcPr>
          <w:p w:rsidR="0069427A" w:rsidRPr="00BD6197" w:rsidRDefault="0069427A" w:rsidP="000F2BA7">
            <w:pPr>
              <w:pStyle w:val="Tabletext"/>
              <w:tabs>
                <w:tab w:val="left" w:pos="1871"/>
              </w:tabs>
              <w:jc w:val="center"/>
              <w:rPr>
                <w:lang w:val="en-US"/>
              </w:rPr>
            </w:pPr>
            <w:r w:rsidRPr="00BD6197">
              <w:rPr>
                <w:lang w:val="en-US"/>
              </w:rPr>
              <w:t>Amur Oblast</w:t>
            </w:r>
          </w:p>
        </w:tc>
        <w:tc>
          <w:tcPr>
            <w:tcW w:w="3119" w:type="dxa"/>
            <w:shd w:val="clear" w:color="auto" w:fill="auto"/>
          </w:tcPr>
          <w:p w:rsidR="0069427A" w:rsidRPr="00BD6197" w:rsidRDefault="0069427A" w:rsidP="000F2BA7">
            <w:pPr>
              <w:pStyle w:val="Tabletext"/>
              <w:tabs>
                <w:tab w:val="left" w:pos="1871"/>
              </w:tabs>
              <w:jc w:val="center"/>
              <w:rPr>
                <w:lang w:val="en-US"/>
              </w:rPr>
            </w:pPr>
            <w:r w:rsidRPr="00BD6197">
              <w:rPr>
                <w:lang w:val="en-US"/>
              </w:rPr>
              <w:t>Amur Oblast</w:t>
            </w:r>
          </w:p>
        </w:tc>
      </w:tr>
      <w:tr w:rsidR="0069427A" w:rsidRPr="00BD6197" w:rsidTr="000F2BA7">
        <w:tc>
          <w:tcPr>
            <w:tcW w:w="3936" w:type="dxa"/>
            <w:shd w:val="clear" w:color="auto" w:fill="auto"/>
          </w:tcPr>
          <w:p w:rsidR="0069427A" w:rsidRPr="00BD6197" w:rsidRDefault="0069427A" w:rsidP="000F2BA7">
            <w:pPr>
              <w:pStyle w:val="Tabletext"/>
              <w:tabs>
                <w:tab w:val="left" w:pos="1871"/>
              </w:tabs>
              <w:rPr>
                <w:lang w:val="en-US"/>
              </w:rPr>
            </w:pPr>
            <w:r w:rsidRPr="00BD6197">
              <w:rPr>
                <w:lang w:val="en-US"/>
              </w:rPr>
              <w:t>Licence fee (×1 000 rubles)</w:t>
            </w:r>
          </w:p>
        </w:tc>
        <w:tc>
          <w:tcPr>
            <w:tcW w:w="2835" w:type="dxa"/>
            <w:shd w:val="clear" w:color="auto" w:fill="auto"/>
            <w:vAlign w:val="center"/>
          </w:tcPr>
          <w:p w:rsidR="0069427A" w:rsidRPr="00BD6197" w:rsidRDefault="0069427A" w:rsidP="000F2BA7">
            <w:pPr>
              <w:pStyle w:val="Tabletext"/>
              <w:tabs>
                <w:tab w:val="left" w:pos="1871"/>
              </w:tabs>
              <w:jc w:val="center"/>
              <w:rPr>
                <w:lang w:val="en-US"/>
              </w:rPr>
            </w:pPr>
            <w:r w:rsidRPr="00BD6197">
              <w:rPr>
                <w:lang w:val="en-US"/>
              </w:rPr>
              <w:t>45</w:t>
            </w:r>
          </w:p>
        </w:tc>
        <w:tc>
          <w:tcPr>
            <w:tcW w:w="3119" w:type="dxa"/>
            <w:shd w:val="clear" w:color="auto" w:fill="auto"/>
            <w:vAlign w:val="center"/>
          </w:tcPr>
          <w:p w:rsidR="0069427A" w:rsidRPr="00BD6197" w:rsidRDefault="0069427A" w:rsidP="000F2BA7">
            <w:pPr>
              <w:pStyle w:val="Tabletext"/>
              <w:tabs>
                <w:tab w:val="left" w:pos="1871"/>
              </w:tabs>
              <w:jc w:val="center"/>
              <w:rPr>
                <w:lang w:val="en-US"/>
              </w:rPr>
            </w:pPr>
            <w:r w:rsidRPr="00BD6197">
              <w:rPr>
                <w:lang w:val="en-US"/>
              </w:rPr>
              <w:t>303 349</w:t>
            </w:r>
            <w:r w:rsidRPr="000106B7">
              <w:rPr>
                <w:rStyle w:val="FootnoteReference"/>
                <w:lang w:val="en-US"/>
              </w:rPr>
              <w:footnoteReference w:id="12"/>
            </w:r>
          </w:p>
        </w:tc>
      </w:tr>
      <w:tr w:rsidR="0069427A" w:rsidRPr="00BD6197" w:rsidTr="000F2BA7">
        <w:tc>
          <w:tcPr>
            <w:tcW w:w="3936" w:type="dxa"/>
            <w:shd w:val="clear" w:color="auto" w:fill="auto"/>
          </w:tcPr>
          <w:p w:rsidR="0069427A" w:rsidRPr="00BD6197" w:rsidRDefault="0069427A" w:rsidP="000F2BA7">
            <w:pPr>
              <w:pStyle w:val="Tabletext"/>
              <w:tabs>
                <w:tab w:val="left" w:pos="1871"/>
              </w:tabs>
              <w:rPr>
                <w:lang w:val="en-US"/>
              </w:rPr>
            </w:pPr>
            <w:r w:rsidRPr="00BD6197">
              <w:rPr>
                <w:lang w:val="en-US"/>
              </w:rPr>
              <w:t>One-off payment for use of frequencies</w:t>
            </w:r>
          </w:p>
        </w:tc>
        <w:tc>
          <w:tcPr>
            <w:tcW w:w="2835" w:type="dxa"/>
            <w:shd w:val="clear" w:color="auto" w:fill="auto"/>
            <w:vAlign w:val="center"/>
          </w:tcPr>
          <w:p w:rsidR="0069427A" w:rsidRPr="00BD6197" w:rsidRDefault="0069427A" w:rsidP="000F2BA7">
            <w:pPr>
              <w:pStyle w:val="Tabletext"/>
              <w:tabs>
                <w:tab w:val="left" w:pos="1871"/>
              </w:tabs>
              <w:jc w:val="center"/>
              <w:rPr>
                <w:lang w:val="en-US"/>
              </w:rPr>
            </w:pPr>
            <w:r w:rsidRPr="00BD6197">
              <w:rPr>
                <w:lang w:val="en-US"/>
              </w:rPr>
              <w:t>Yes</w:t>
            </w:r>
          </w:p>
        </w:tc>
        <w:tc>
          <w:tcPr>
            <w:tcW w:w="3119" w:type="dxa"/>
            <w:shd w:val="clear" w:color="auto" w:fill="auto"/>
            <w:vAlign w:val="center"/>
          </w:tcPr>
          <w:p w:rsidR="0069427A" w:rsidRPr="00BD6197" w:rsidRDefault="0069427A" w:rsidP="000F2BA7">
            <w:pPr>
              <w:pStyle w:val="Tabletext"/>
              <w:tabs>
                <w:tab w:val="left" w:pos="1871"/>
              </w:tabs>
              <w:jc w:val="center"/>
              <w:rPr>
                <w:lang w:val="en-US"/>
              </w:rPr>
            </w:pPr>
            <w:r w:rsidRPr="00BD6197">
              <w:rPr>
                <w:lang w:val="en-US"/>
              </w:rPr>
              <w:t>No</w:t>
            </w:r>
          </w:p>
        </w:tc>
      </w:tr>
      <w:tr w:rsidR="0069427A" w:rsidRPr="00BD6197" w:rsidTr="000F2BA7">
        <w:tc>
          <w:tcPr>
            <w:tcW w:w="3936" w:type="dxa"/>
            <w:shd w:val="clear" w:color="auto" w:fill="auto"/>
          </w:tcPr>
          <w:p w:rsidR="0069427A" w:rsidRPr="00BD6197" w:rsidRDefault="0069427A" w:rsidP="000F2BA7">
            <w:pPr>
              <w:pStyle w:val="Tabletext"/>
              <w:tabs>
                <w:tab w:val="left" w:pos="1871"/>
              </w:tabs>
              <w:rPr>
                <w:lang w:val="en-US"/>
              </w:rPr>
            </w:pPr>
            <w:r w:rsidRPr="00BD6197">
              <w:rPr>
                <w:lang w:val="en-US"/>
              </w:rPr>
              <w:t>Annual payment for use of frequencies</w:t>
            </w:r>
            <w:r w:rsidRPr="000106B7">
              <w:rPr>
                <w:rStyle w:val="FootnoteReference"/>
                <w:szCs w:val="18"/>
                <w:lang w:val="en-US"/>
              </w:rPr>
              <w:footnoteReference w:id="13"/>
            </w:r>
          </w:p>
        </w:tc>
        <w:tc>
          <w:tcPr>
            <w:tcW w:w="2835" w:type="dxa"/>
            <w:shd w:val="clear" w:color="auto" w:fill="auto"/>
            <w:vAlign w:val="center"/>
          </w:tcPr>
          <w:p w:rsidR="0069427A" w:rsidRPr="00BD6197" w:rsidRDefault="0069427A" w:rsidP="000F2BA7">
            <w:pPr>
              <w:pStyle w:val="Tabletext"/>
              <w:tabs>
                <w:tab w:val="left" w:pos="1871"/>
              </w:tabs>
              <w:jc w:val="center"/>
              <w:rPr>
                <w:lang w:val="en-US"/>
              </w:rPr>
            </w:pPr>
            <w:r w:rsidRPr="00BD6197">
              <w:rPr>
                <w:lang w:val="en-US"/>
              </w:rPr>
              <w:t>Yes</w:t>
            </w:r>
          </w:p>
        </w:tc>
        <w:tc>
          <w:tcPr>
            <w:tcW w:w="3119" w:type="dxa"/>
            <w:shd w:val="clear" w:color="auto" w:fill="auto"/>
            <w:vAlign w:val="center"/>
          </w:tcPr>
          <w:p w:rsidR="0069427A" w:rsidRPr="00BD6197" w:rsidRDefault="0069427A" w:rsidP="000F2BA7">
            <w:pPr>
              <w:pStyle w:val="Tabletext"/>
              <w:tabs>
                <w:tab w:val="left" w:pos="1871"/>
              </w:tabs>
              <w:jc w:val="center"/>
              <w:rPr>
                <w:lang w:val="en-US"/>
              </w:rPr>
            </w:pPr>
            <w:r w:rsidRPr="00BD6197">
              <w:rPr>
                <w:lang w:val="en-US"/>
              </w:rPr>
              <w:t>Yes</w:t>
            </w:r>
          </w:p>
        </w:tc>
      </w:tr>
      <w:tr w:rsidR="0069427A" w:rsidRPr="00BD6197" w:rsidTr="000F2BA7">
        <w:tc>
          <w:tcPr>
            <w:tcW w:w="3936" w:type="dxa"/>
            <w:shd w:val="clear" w:color="auto" w:fill="auto"/>
          </w:tcPr>
          <w:p w:rsidR="0069427A" w:rsidRPr="00BD6197" w:rsidRDefault="0069427A" w:rsidP="000F2BA7">
            <w:pPr>
              <w:pStyle w:val="Tabletext"/>
              <w:tabs>
                <w:tab w:val="left" w:pos="1871"/>
              </w:tabs>
              <w:rPr>
                <w:lang w:val="en-US"/>
              </w:rPr>
            </w:pPr>
            <w:r w:rsidRPr="00BD6197">
              <w:rPr>
                <w:lang w:val="en-US"/>
              </w:rPr>
              <w:t>Obligations of winner:</w:t>
            </w:r>
          </w:p>
        </w:tc>
        <w:tc>
          <w:tcPr>
            <w:tcW w:w="2835" w:type="dxa"/>
            <w:shd w:val="clear" w:color="auto" w:fill="auto"/>
            <w:vAlign w:val="center"/>
          </w:tcPr>
          <w:p w:rsidR="0069427A" w:rsidRPr="00BD6197" w:rsidRDefault="0069427A" w:rsidP="000F2BA7">
            <w:pPr>
              <w:pStyle w:val="Tabletext"/>
              <w:tabs>
                <w:tab w:val="left" w:pos="1871"/>
              </w:tabs>
              <w:jc w:val="center"/>
              <w:rPr>
                <w:lang w:val="en-US"/>
              </w:rPr>
            </w:pPr>
          </w:p>
        </w:tc>
        <w:tc>
          <w:tcPr>
            <w:tcW w:w="3119" w:type="dxa"/>
            <w:shd w:val="clear" w:color="auto" w:fill="auto"/>
            <w:vAlign w:val="center"/>
          </w:tcPr>
          <w:p w:rsidR="0069427A" w:rsidRPr="00BD6197" w:rsidRDefault="0069427A" w:rsidP="000F2BA7">
            <w:pPr>
              <w:pStyle w:val="Tabletext"/>
              <w:tabs>
                <w:tab w:val="left" w:pos="1871"/>
              </w:tabs>
              <w:jc w:val="center"/>
              <w:rPr>
                <w:lang w:val="en-US"/>
              </w:rPr>
            </w:pPr>
          </w:p>
        </w:tc>
      </w:tr>
      <w:tr w:rsidR="0069427A" w:rsidRPr="00BD6197" w:rsidTr="000F2BA7">
        <w:tc>
          <w:tcPr>
            <w:tcW w:w="3936" w:type="dxa"/>
            <w:shd w:val="clear" w:color="auto" w:fill="auto"/>
          </w:tcPr>
          <w:p w:rsidR="0069427A" w:rsidRPr="00BD6197" w:rsidRDefault="0069427A" w:rsidP="000F2BA7">
            <w:pPr>
              <w:pStyle w:val="Tabletext"/>
              <w:tabs>
                <w:tab w:val="left" w:pos="1871"/>
              </w:tabs>
              <w:rPr>
                <w:lang w:val="en-US"/>
              </w:rPr>
            </w:pPr>
            <w:r w:rsidRPr="00BD6197">
              <w:rPr>
                <w:lang w:val="en-US"/>
              </w:rPr>
              <w:tab/>
              <w:t xml:space="preserve">Network investment </w:t>
            </w:r>
          </w:p>
        </w:tc>
        <w:tc>
          <w:tcPr>
            <w:tcW w:w="2835" w:type="dxa"/>
            <w:shd w:val="clear" w:color="auto" w:fill="auto"/>
            <w:vAlign w:val="center"/>
          </w:tcPr>
          <w:p w:rsidR="0069427A" w:rsidRPr="00BD6197" w:rsidRDefault="0069427A" w:rsidP="000F2BA7">
            <w:pPr>
              <w:pStyle w:val="Tabletext"/>
              <w:tabs>
                <w:tab w:val="left" w:pos="1871"/>
              </w:tabs>
              <w:jc w:val="center"/>
              <w:rPr>
                <w:lang w:val="en-US"/>
              </w:rPr>
            </w:pPr>
            <w:r w:rsidRPr="00BD6197">
              <w:rPr>
                <w:lang w:val="en-US"/>
              </w:rPr>
              <w:t>Yes</w:t>
            </w:r>
            <w:r w:rsidRPr="0091473E">
              <w:rPr>
                <w:rStyle w:val="FootnoteReference"/>
                <w:sz w:val="14"/>
                <w:szCs w:val="14"/>
                <w:lang w:val="en-US"/>
              </w:rPr>
              <w:footnoteReference w:id="14"/>
            </w:r>
          </w:p>
        </w:tc>
        <w:tc>
          <w:tcPr>
            <w:tcW w:w="3119" w:type="dxa"/>
            <w:shd w:val="clear" w:color="auto" w:fill="auto"/>
            <w:vAlign w:val="center"/>
          </w:tcPr>
          <w:p w:rsidR="0069427A" w:rsidRPr="00BD6197" w:rsidRDefault="0069427A" w:rsidP="000F2BA7">
            <w:pPr>
              <w:pStyle w:val="Tabletext"/>
              <w:tabs>
                <w:tab w:val="left" w:pos="1871"/>
              </w:tabs>
              <w:jc w:val="center"/>
              <w:rPr>
                <w:lang w:val="en-US"/>
              </w:rPr>
            </w:pPr>
            <w:r w:rsidRPr="00BD6197">
              <w:rPr>
                <w:lang w:val="en-US"/>
              </w:rPr>
              <w:t>No</w:t>
            </w:r>
          </w:p>
        </w:tc>
      </w:tr>
      <w:tr w:rsidR="0069427A" w:rsidRPr="00BD6197" w:rsidTr="000F2BA7">
        <w:tc>
          <w:tcPr>
            <w:tcW w:w="3936" w:type="dxa"/>
            <w:shd w:val="clear" w:color="auto" w:fill="auto"/>
          </w:tcPr>
          <w:p w:rsidR="0069427A" w:rsidRPr="00BD6197" w:rsidRDefault="0069427A" w:rsidP="008E7CC2">
            <w:pPr>
              <w:pStyle w:val="Tabletext"/>
              <w:tabs>
                <w:tab w:val="left" w:pos="1871"/>
              </w:tabs>
              <w:ind w:left="284" w:hanging="284"/>
              <w:rPr>
                <w:lang w:val="en-US"/>
              </w:rPr>
            </w:pPr>
            <w:r w:rsidRPr="00BD6197">
              <w:rPr>
                <w:lang w:val="en-US"/>
              </w:rPr>
              <w:tab/>
              <w:t>services for towns and settlements with a certain population</w:t>
            </w:r>
          </w:p>
        </w:tc>
        <w:tc>
          <w:tcPr>
            <w:tcW w:w="2835" w:type="dxa"/>
            <w:shd w:val="clear" w:color="auto" w:fill="auto"/>
            <w:vAlign w:val="center"/>
          </w:tcPr>
          <w:p w:rsidR="0069427A" w:rsidRPr="00BD6197" w:rsidRDefault="0069427A" w:rsidP="000F2BA7">
            <w:pPr>
              <w:pStyle w:val="Tabletext"/>
              <w:tabs>
                <w:tab w:val="left" w:pos="1871"/>
              </w:tabs>
              <w:jc w:val="center"/>
              <w:rPr>
                <w:lang w:val="en-US"/>
              </w:rPr>
            </w:pPr>
            <w:r w:rsidRPr="00BD6197">
              <w:rPr>
                <w:lang w:val="en-US"/>
              </w:rPr>
              <w:t>Yes</w:t>
            </w:r>
            <w:r w:rsidRPr="0091473E">
              <w:rPr>
                <w:rStyle w:val="FootnoteReference"/>
                <w:sz w:val="14"/>
                <w:szCs w:val="14"/>
                <w:lang w:val="en-US"/>
              </w:rPr>
              <w:footnoteReference w:id="15"/>
            </w:r>
          </w:p>
        </w:tc>
        <w:tc>
          <w:tcPr>
            <w:tcW w:w="3119" w:type="dxa"/>
            <w:shd w:val="clear" w:color="auto" w:fill="auto"/>
            <w:vAlign w:val="center"/>
          </w:tcPr>
          <w:p w:rsidR="0069427A" w:rsidRPr="00BD6197" w:rsidRDefault="0069427A" w:rsidP="000F2BA7">
            <w:pPr>
              <w:pStyle w:val="Tabletext"/>
              <w:tabs>
                <w:tab w:val="left" w:pos="1871"/>
              </w:tabs>
              <w:jc w:val="center"/>
              <w:rPr>
                <w:lang w:val="en-US"/>
              </w:rPr>
            </w:pPr>
            <w:r w:rsidRPr="00BD6197">
              <w:rPr>
                <w:lang w:val="en-US"/>
              </w:rPr>
              <w:t>Yes</w:t>
            </w:r>
            <w:r w:rsidRPr="000106B7">
              <w:rPr>
                <w:rStyle w:val="FootnoteReference"/>
                <w:szCs w:val="18"/>
                <w:lang w:val="en-US"/>
              </w:rPr>
              <w:footnoteReference w:id="16"/>
            </w:r>
          </w:p>
        </w:tc>
      </w:tr>
    </w:tbl>
    <w:p w:rsidR="0069427A" w:rsidRPr="00BD6197" w:rsidRDefault="0069427A" w:rsidP="009556CB">
      <w:pPr>
        <w:spacing w:before="240"/>
        <w:rPr>
          <w:szCs w:val="24"/>
          <w:lang w:val="en-US"/>
        </w:rPr>
      </w:pPr>
      <w:r w:rsidRPr="00BD6197">
        <w:rPr>
          <w:szCs w:val="24"/>
          <w:lang w:val="en-US"/>
        </w:rPr>
        <w:lastRenderedPageBreak/>
        <w:t xml:space="preserve">When analysing the data in Table </w:t>
      </w:r>
      <w:r w:rsidR="009556CB">
        <w:rPr>
          <w:szCs w:val="24"/>
          <w:lang w:val="en-US"/>
        </w:rPr>
        <w:t>18</w:t>
      </w:r>
      <w:r w:rsidRPr="00BD6197">
        <w:rPr>
          <w:szCs w:val="24"/>
          <w:lang w:val="en-US"/>
        </w:rPr>
        <w:t>, it should be borne in mind that under legislation currently in force, bidding processes for licenses to offer communication services using radio frequency spectrum are carried out only in the form of auctions. As a result, the analysis was based on data from a competition held in 2007.</w:t>
      </w:r>
    </w:p>
    <w:p w:rsidR="0069427A" w:rsidRPr="00BD6197" w:rsidRDefault="0069427A" w:rsidP="009556CB">
      <w:pPr>
        <w:rPr>
          <w:szCs w:val="24"/>
          <w:lang w:val="en-US"/>
        </w:rPr>
      </w:pPr>
      <w:r w:rsidRPr="00BD6197">
        <w:rPr>
          <w:szCs w:val="24"/>
          <w:lang w:val="en-US"/>
        </w:rPr>
        <w:t xml:space="preserve">The data in Table </w:t>
      </w:r>
      <w:r w:rsidR="009556CB">
        <w:rPr>
          <w:szCs w:val="24"/>
          <w:lang w:val="en-US"/>
        </w:rPr>
        <w:t>18</w:t>
      </w:r>
      <w:r w:rsidRPr="00BD6197">
        <w:rPr>
          <w:szCs w:val="24"/>
          <w:lang w:val="en-US"/>
        </w:rPr>
        <w:t xml:space="preserve"> show that when the bidding process takes the form of an auction, the revenue for the state budget is considerably higher than in the case of a competition.</w:t>
      </w:r>
    </w:p>
    <w:p w:rsidR="0069427A" w:rsidRPr="00A01420" w:rsidRDefault="0069427A" w:rsidP="0069427A">
      <w:pPr>
        <w:pStyle w:val="Headingb"/>
        <w:rPr>
          <w:rFonts w:ascii="Times" w:hAnsi="Times"/>
          <w:lang w:val="en-US"/>
        </w:rPr>
      </w:pPr>
      <w:bookmarkStart w:id="1871" w:name="_Toc497033199"/>
      <w:bookmarkStart w:id="1872" w:name="_Toc497033997"/>
      <w:bookmarkStart w:id="1873" w:name="_Toc459746729"/>
      <w:bookmarkStart w:id="1874" w:name="_Toc454284965"/>
      <w:bookmarkStart w:id="1875" w:name="_Toc462234134"/>
      <w:r w:rsidRPr="00A01420">
        <w:rPr>
          <w:lang w:val="en-US"/>
        </w:rPr>
        <w:t>A method for determining the minimum bid based on an evaluation of the “shadow price” of the radio</w:t>
      </w:r>
      <w:r w:rsidRPr="00A01420">
        <w:rPr>
          <w:lang w:val="en-US"/>
        </w:rPr>
        <w:noBreakHyphen/>
        <w:t>frequency spectrum</w:t>
      </w:r>
      <w:bookmarkEnd w:id="1871"/>
      <w:bookmarkEnd w:id="1872"/>
      <w:bookmarkEnd w:id="1873"/>
      <w:bookmarkEnd w:id="1874"/>
      <w:bookmarkEnd w:id="1875"/>
    </w:p>
    <w:p w:rsidR="0069427A" w:rsidRPr="00BD6197" w:rsidRDefault="0069427A" w:rsidP="005659BB">
      <w:pPr>
        <w:rPr>
          <w:lang w:val="en-US"/>
        </w:rPr>
      </w:pPr>
      <w:r w:rsidRPr="00BD6197">
        <w:rPr>
          <w:lang w:val="en-US"/>
        </w:rPr>
        <w:t>While the Russian Federation has not actually conducted an auction, the administration has developed a method for determining the minimum bid</w:t>
      </w:r>
      <w:r w:rsidR="005659BB">
        <w:rPr>
          <w:lang w:val="en-US"/>
        </w:rPr>
        <w:t xml:space="preserve"> [7]</w:t>
      </w:r>
      <w:r w:rsidRPr="00BD6197">
        <w:rPr>
          <w:lang w:val="en-US"/>
        </w:rPr>
        <w:t>. The proposed method hinges on an evaluation of the income index of the mobile communication network as a function of the system bandwidth. This income index provides a gauge of the annual effect of investment in the project with regard to a particular monetary unit, in this case USD 1.</w:t>
      </w:r>
    </w:p>
    <w:p w:rsidR="0069427A" w:rsidRPr="00BD6197" w:rsidRDefault="0069427A" w:rsidP="0069427A">
      <w:pPr>
        <w:rPr>
          <w:lang w:val="en-US"/>
        </w:rPr>
      </w:pPr>
      <w:r w:rsidRPr="00BD6197">
        <w:rPr>
          <w:lang w:val="en-US"/>
        </w:rPr>
        <w:t>The basic data required to carry out the analysis may be divided into three groups:</w:t>
      </w:r>
    </w:p>
    <w:p w:rsidR="0069427A" w:rsidRPr="00BD6197" w:rsidRDefault="0069427A" w:rsidP="0069427A">
      <w:pPr>
        <w:pStyle w:val="enumlev1"/>
        <w:rPr>
          <w:lang w:val="en-US"/>
        </w:rPr>
      </w:pPr>
      <w:r w:rsidRPr="00BD6197">
        <w:rPr>
          <w:lang w:val="en-US"/>
        </w:rPr>
        <w:t>–</w:t>
      </w:r>
      <w:r w:rsidRPr="00BD6197">
        <w:rPr>
          <w:lang w:val="en-US"/>
        </w:rPr>
        <w:tab/>
        <w:t>data pertaining to the network’s frequency plan;</w:t>
      </w:r>
    </w:p>
    <w:p w:rsidR="0069427A" w:rsidRPr="00BD6197" w:rsidRDefault="0069427A" w:rsidP="0069427A">
      <w:pPr>
        <w:pStyle w:val="enumlev1"/>
        <w:rPr>
          <w:lang w:val="en-US"/>
        </w:rPr>
      </w:pPr>
      <w:r w:rsidRPr="00BD6197">
        <w:rPr>
          <w:lang w:val="en-US"/>
        </w:rPr>
        <w:t>–</w:t>
      </w:r>
      <w:r w:rsidRPr="00BD6197">
        <w:rPr>
          <w:lang w:val="en-US"/>
        </w:rPr>
        <w:tab/>
        <w:t>parameters defining the required volume of investment to set up the network;</w:t>
      </w:r>
    </w:p>
    <w:p w:rsidR="0069427A" w:rsidRPr="00BD6197" w:rsidRDefault="0069427A" w:rsidP="0069427A">
      <w:pPr>
        <w:pStyle w:val="enumlev1"/>
        <w:rPr>
          <w:lang w:val="en-US"/>
        </w:rPr>
      </w:pPr>
      <w:r w:rsidRPr="00BD6197">
        <w:rPr>
          <w:lang w:val="en-US"/>
        </w:rPr>
        <w:t>–</w:t>
      </w:r>
      <w:r w:rsidRPr="00BD6197">
        <w:rPr>
          <w:lang w:val="en-US"/>
        </w:rPr>
        <w:tab/>
        <w:t>parameters defining income from operation of the network.</w:t>
      </w:r>
    </w:p>
    <w:p w:rsidR="0069427A" w:rsidRPr="00BD6197" w:rsidRDefault="0069427A" w:rsidP="0069427A">
      <w:pPr>
        <w:rPr>
          <w:lang w:val="en-US"/>
        </w:rPr>
      </w:pPr>
      <w:r w:rsidRPr="00BD6197">
        <w:rPr>
          <w:lang w:val="en-US"/>
        </w:rPr>
        <w:t>In the following example the technical parameters of a GSM cellular network are used. Nevertheless, the method can be applied to other cellular and trunking network standards.</w:t>
      </w:r>
    </w:p>
    <w:p w:rsidR="0069427A" w:rsidRPr="00BD6197" w:rsidRDefault="0069427A" w:rsidP="0069427A">
      <w:pPr>
        <w:pStyle w:val="enumlev1"/>
        <w:rPr>
          <w:lang w:val="en-US"/>
        </w:rPr>
      </w:pPr>
      <w:r w:rsidRPr="00BD6197">
        <w:rPr>
          <w:lang w:val="en-US"/>
        </w:rPr>
        <w:t>a)</w:t>
      </w:r>
      <w:r w:rsidRPr="00BD6197">
        <w:rPr>
          <w:lang w:val="en-US"/>
        </w:rPr>
        <w:tab/>
      </w:r>
      <w:r w:rsidRPr="00BD6197">
        <w:rPr>
          <w:i/>
          <w:iCs/>
          <w:lang w:val="en-US"/>
        </w:rPr>
        <w:t>Number of base stations (BS) in the mobile network as a function of the bandwidth</w:t>
      </w:r>
    </w:p>
    <w:p w:rsidR="0069427A" w:rsidRPr="00BD6197" w:rsidRDefault="0069427A" w:rsidP="009556CB">
      <w:pPr>
        <w:rPr>
          <w:lang w:val="en-US"/>
        </w:rPr>
      </w:pPr>
      <w:r w:rsidRPr="00BD6197">
        <w:rPr>
          <w:lang w:val="en-US"/>
        </w:rPr>
        <w:t>The first group of basic data includes the parameters shown in Table 1</w:t>
      </w:r>
      <w:r w:rsidR="009556CB">
        <w:rPr>
          <w:lang w:val="en-US"/>
        </w:rPr>
        <w:t>9</w:t>
      </w:r>
      <w:r w:rsidRPr="00BD6197">
        <w:rPr>
          <w:lang w:val="en-US"/>
        </w:rPr>
        <w:t>, which are used to determine the following key parameters of the mobile communication network:</w:t>
      </w:r>
    </w:p>
    <w:p w:rsidR="0069427A" w:rsidRPr="00BD6197" w:rsidRDefault="0069427A" w:rsidP="0069427A">
      <w:pPr>
        <w:pStyle w:val="enumlev1"/>
        <w:rPr>
          <w:lang w:val="en-US"/>
        </w:rPr>
      </w:pPr>
      <w:r w:rsidRPr="00BD6197">
        <w:rPr>
          <w:lang w:val="en-US"/>
        </w:rPr>
        <w:tab/>
      </w:r>
      <w:r w:rsidRPr="00BD6197">
        <w:rPr>
          <w:i/>
          <w:iCs/>
          <w:lang w:val="en-US"/>
        </w:rPr>
        <w:t>N</w:t>
      </w:r>
      <w:r w:rsidRPr="00BD6197">
        <w:rPr>
          <w:lang w:val="en-US"/>
        </w:rPr>
        <w:t>:</w:t>
      </w:r>
      <w:r w:rsidRPr="00BD6197">
        <w:rPr>
          <w:lang w:val="en-US"/>
        </w:rPr>
        <w:tab/>
        <w:t>cluster size</w:t>
      </w:r>
      <w:r>
        <w:rPr>
          <w:lang w:val="en-US"/>
        </w:rPr>
        <w:t>;</w:t>
      </w:r>
    </w:p>
    <w:p w:rsidR="0069427A" w:rsidRPr="00BD6197" w:rsidRDefault="0069427A" w:rsidP="0069427A">
      <w:pPr>
        <w:pStyle w:val="enumlev1"/>
        <w:rPr>
          <w:lang w:val="en-US"/>
        </w:rPr>
      </w:pPr>
      <w:r w:rsidRPr="00BD6197">
        <w:rPr>
          <w:lang w:val="en-US"/>
        </w:rPr>
        <w:tab/>
      </w:r>
      <w:r w:rsidRPr="00BD6197">
        <w:rPr>
          <w:i/>
          <w:iCs/>
          <w:lang w:val="en-US"/>
        </w:rPr>
        <w:t>C</w:t>
      </w:r>
      <w:r w:rsidRPr="00BD6197">
        <w:rPr>
          <w:lang w:val="en-US"/>
        </w:rPr>
        <w:t>:</w:t>
      </w:r>
      <w:r w:rsidRPr="00BD6197">
        <w:rPr>
          <w:lang w:val="en-US"/>
        </w:rPr>
        <w:tab/>
        <w:t>number of BS that have to be installed in a town</w:t>
      </w:r>
      <w:r>
        <w:rPr>
          <w:lang w:val="en-US"/>
        </w:rPr>
        <w:t>;</w:t>
      </w:r>
    </w:p>
    <w:p w:rsidR="0069427A" w:rsidRPr="00BD6197" w:rsidRDefault="0069427A" w:rsidP="0069427A">
      <w:pPr>
        <w:pStyle w:val="enumlev1"/>
        <w:rPr>
          <w:lang w:val="en-US"/>
        </w:rPr>
      </w:pPr>
      <w:r w:rsidRPr="00BD6197">
        <w:rPr>
          <w:lang w:val="en-US"/>
        </w:rPr>
        <w:tab/>
      </w:r>
      <w:r w:rsidRPr="00BD6197">
        <w:rPr>
          <w:i/>
          <w:iCs/>
          <w:lang w:val="en-US"/>
        </w:rPr>
        <w:t>n</w:t>
      </w:r>
      <w:r w:rsidRPr="00BD6197">
        <w:rPr>
          <w:i/>
          <w:iCs/>
          <w:position w:val="-4"/>
          <w:sz w:val="16"/>
          <w:lang w:val="en-US"/>
        </w:rPr>
        <w:t>c</w:t>
      </w:r>
      <w:r w:rsidRPr="00BD6197">
        <w:rPr>
          <w:lang w:val="en-US"/>
        </w:rPr>
        <w:t>:</w:t>
      </w:r>
      <w:r w:rsidRPr="00BD6197">
        <w:rPr>
          <w:lang w:val="en-US"/>
        </w:rPr>
        <w:tab/>
        <w:t>number of telephone channels.</w:t>
      </w:r>
    </w:p>
    <w:p w:rsidR="0069427A" w:rsidRPr="00BD6197" w:rsidRDefault="009556CB" w:rsidP="0069427A">
      <w:pPr>
        <w:pStyle w:val="TableNo"/>
        <w:rPr>
          <w:lang w:val="en-US"/>
        </w:rPr>
      </w:pPr>
      <w:r>
        <w:rPr>
          <w:lang w:val="en-US"/>
        </w:rPr>
        <w:t>TABLE 19</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006"/>
        <w:gridCol w:w="7070"/>
        <w:gridCol w:w="1563"/>
      </w:tblGrid>
      <w:tr w:rsidR="0069427A" w:rsidRPr="00BD6197" w:rsidTr="000F2BA7">
        <w:trPr>
          <w:cantSplit/>
          <w:jc w:val="center"/>
        </w:trPr>
        <w:tc>
          <w:tcPr>
            <w:tcW w:w="1006" w:type="dxa"/>
            <w:vAlign w:val="center"/>
          </w:tcPr>
          <w:p w:rsidR="0069427A" w:rsidRPr="00BD6197" w:rsidRDefault="0069427A" w:rsidP="000F2BA7">
            <w:pPr>
              <w:pStyle w:val="Tablehead"/>
              <w:rPr>
                <w:i/>
                <w:iCs/>
                <w:lang w:val="en-US"/>
              </w:rPr>
            </w:pPr>
            <w:r w:rsidRPr="00BD6197">
              <w:rPr>
                <w:lang w:val="en-US"/>
              </w:rPr>
              <w:t>Symbol</w:t>
            </w:r>
          </w:p>
        </w:tc>
        <w:tc>
          <w:tcPr>
            <w:tcW w:w="7070" w:type="dxa"/>
            <w:vAlign w:val="center"/>
          </w:tcPr>
          <w:p w:rsidR="0069427A" w:rsidRPr="00BD6197" w:rsidRDefault="0069427A" w:rsidP="000F2BA7">
            <w:pPr>
              <w:pStyle w:val="Tablehead"/>
              <w:rPr>
                <w:lang w:val="en-US"/>
              </w:rPr>
            </w:pPr>
            <w:r w:rsidRPr="00BD6197">
              <w:rPr>
                <w:lang w:val="en-US"/>
              </w:rPr>
              <w:t>Parameter</w:t>
            </w:r>
          </w:p>
        </w:tc>
        <w:tc>
          <w:tcPr>
            <w:tcW w:w="1563" w:type="dxa"/>
          </w:tcPr>
          <w:p w:rsidR="0069427A" w:rsidRPr="00BD6197" w:rsidRDefault="0069427A" w:rsidP="000F2BA7">
            <w:pPr>
              <w:pStyle w:val="Tablehead"/>
              <w:rPr>
                <w:lang w:val="en-US"/>
              </w:rPr>
            </w:pPr>
            <w:r w:rsidRPr="00BD6197">
              <w:rPr>
                <w:lang w:val="en-US"/>
              </w:rPr>
              <w:t>Calculated value</w:t>
            </w:r>
          </w:p>
        </w:tc>
      </w:tr>
      <w:tr w:rsidR="0069427A" w:rsidRPr="00BD6197" w:rsidTr="000F2BA7">
        <w:trPr>
          <w:cantSplit/>
          <w:jc w:val="center"/>
        </w:trPr>
        <w:tc>
          <w:tcPr>
            <w:tcW w:w="1006" w:type="dxa"/>
          </w:tcPr>
          <w:p w:rsidR="0069427A" w:rsidRPr="00BD6197" w:rsidRDefault="0069427A" w:rsidP="000F2BA7">
            <w:pPr>
              <w:pStyle w:val="Tabletext"/>
              <w:jc w:val="center"/>
              <w:rPr>
                <w:lang w:val="en-US"/>
              </w:rPr>
            </w:pPr>
            <w:r w:rsidRPr="00BD6197">
              <w:rPr>
                <w:i/>
                <w:iCs/>
                <w:szCs w:val="22"/>
                <w:lang w:val="en-US"/>
              </w:rPr>
              <w:t>F</w:t>
            </w:r>
          </w:p>
        </w:tc>
        <w:tc>
          <w:tcPr>
            <w:tcW w:w="7070" w:type="dxa"/>
          </w:tcPr>
          <w:p w:rsidR="0069427A" w:rsidRPr="00BD6197" w:rsidRDefault="0069427A" w:rsidP="000F2BA7">
            <w:pPr>
              <w:pStyle w:val="Tabletext"/>
              <w:rPr>
                <w:lang w:val="en-US"/>
              </w:rPr>
            </w:pPr>
            <w:r w:rsidRPr="00BD6197">
              <w:rPr>
                <w:lang w:val="en-US"/>
              </w:rPr>
              <w:t>Bandwidth for the mobile network in the service area</w:t>
            </w:r>
          </w:p>
        </w:tc>
        <w:tc>
          <w:tcPr>
            <w:tcW w:w="1563" w:type="dxa"/>
          </w:tcPr>
          <w:p w:rsidR="0069427A" w:rsidRPr="00BD6197" w:rsidRDefault="0069427A" w:rsidP="000F2BA7">
            <w:pPr>
              <w:pStyle w:val="Tabletext"/>
              <w:rPr>
                <w:lang w:val="en-US"/>
              </w:rPr>
            </w:pPr>
            <w:r w:rsidRPr="00BD6197">
              <w:rPr>
                <w:lang w:val="en-US"/>
              </w:rPr>
              <w:t>2-25 MHz</w:t>
            </w:r>
          </w:p>
        </w:tc>
      </w:tr>
      <w:tr w:rsidR="0069427A" w:rsidRPr="00BD6197" w:rsidTr="000F2BA7">
        <w:trPr>
          <w:cantSplit/>
          <w:jc w:val="center"/>
        </w:trPr>
        <w:tc>
          <w:tcPr>
            <w:tcW w:w="1006" w:type="dxa"/>
          </w:tcPr>
          <w:p w:rsidR="0069427A" w:rsidRPr="00BD6197" w:rsidRDefault="0069427A" w:rsidP="000F2BA7">
            <w:pPr>
              <w:pStyle w:val="Tabletext"/>
              <w:jc w:val="center"/>
              <w:rPr>
                <w:lang w:val="en-US"/>
              </w:rPr>
            </w:pPr>
            <w:r w:rsidRPr="00BD6197">
              <w:rPr>
                <w:i/>
                <w:iCs/>
                <w:szCs w:val="22"/>
                <w:lang w:val="en-US"/>
              </w:rPr>
              <w:t>F</w:t>
            </w:r>
            <w:r w:rsidRPr="00BD6197">
              <w:rPr>
                <w:i/>
                <w:iCs/>
                <w:szCs w:val="22"/>
                <w:vertAlign w:val="subscript"/>
                <w:lang w:val="en-US"/>
              </w:rPr>
              <w:t>k</w:t>
            </w:r>
          </w:p>
        </w:tc>
        <w:tc>
          <w:tcPr>
            <w:tcW w:w="7070" w:type="dxa"/>
          </w:tcPr>
          <w:p w:rsidR="0069427A" w:rsidRPr="00BD6197" w:rsidRDefault="0069427A" w:rsidP="000F2BA7">
            <w:pPr>
              <w:pStyle w:val="Tabletext"/>
              <w:rPr>
                <w:lang w:val="en-US"/>
              </w:rPr>
            </w:pPr>
            <w:r w:rsidRPr="00BD6197">
              <w:rPr>
                <w:lang w:val="en-US"/>
              </w:rPr>
              <w:t>Channel bandwidth of the mobile network system (for NMT, AMPS</w:t>
            </w:r>
            <w:r w:rsidRPr="00BD6197">
              <w:rPr>
                <w:lang w:val="en-US"/>
              </w:rPr>
              <w:noBreakHyphen/>
              <w:t xml:space="preserve">D and GSM systems, </w:t>
            </w:r>
            <w:r w:rsidRPr="00BD6197">
              <w:rPr>
                <w:i/>
                <w:iCs/>
                <w:lang w:val="en-US"/>
              </w:rPr>
              <w:t>F</w:t>
            </w:r>
            <w:r w:rsidRPr="00BD6197">
              <w:rPr>
                <w:i/>
                <w:iCs/>
                <w:vertAlign w:val="subscript"/>
                <w:lang w:val="en-US"/>
              </w:rPr>
              <w:t>k</w:t>
            </w:r>
            <w:r w:rsidRPr="00BD6197">
              <w:rPr>
                <w:lang w:val="en-US"/>
              </w:rPr>
              <w:t> = 25, 300 and 200 kHz, respectively)</w:t>
            </w:r>
          </w:p>
        </w:tc>
        <w:tc>
          <w:tcPr>
            <w:tcW w:w="1563" w:type="dxa"/>
          </w:tcPr>
          <w:p w:rsidR="0069427A" w:rsidRPr="00BD6197" w:rsidRDefault="0069427A" w:rsidP="000F2BA7">
            <w:pPr>
              <w:pStyle w:val="Tabletext"/>
              <w:rPr>
                <w:lang w:val="en-US"/>
              </w:rPr>
            </w:pPr>
            <w:r w:rsidRPr="00BD6197">
              <w:rPr>
                <w:lang w:val="en-US"/>
              </w:rPr>
              <w:t>0.2 MHz</w:t>
            </w:r>
          </w:p>
        </w:tc>
      </w:tr>
      <w:tr w:rsidR="0069427A" w:rsidRPr="00BD6197" w:rsidTr="000F2BA7">
        <w:trPr>
          <w:cantSplit/>
          <w:jc w:val="center"/>
        </w:trPr>
        <w:tc>
          <w:tcPr>
            <w:tcW w:w="1006" w:type="dxa"/>
          </w:tcPr>
          <w:p w:rsidR="0069427A" w:rsidRPr="00BD6197" w:rsidRDefault="0069427A" w:rsidP="000F2BA7">
            <w:pPr>
              <w:pStyle w:val="Tabletext"/>
              <w:jc w:val="center"/>
              <w:rPr>
                <w:i/>
                <w:iCs/>
                <w:lang w:val="en-US"/>
              </w:rPr>
            </w:pPr>
            <w:r w:rsidRPr="00BD6197">
              <w:rPr>
                <w:i/>
                <w:iCs/>
                <w:lang w:val="en-US"/>
              </w:rPr>
              <w:t>M</w:t>
            </w:r>
          </w:p>
        </w:tc>
        <w:tc>
          <w:tcPr>
            <w:tcW w:w="7070" w:type="dxa"/>
          </w:tcPr>
          <w:p w:rsidR="0069427A" w:rsidRPr="00BD6197" w:rsidRDefault="0069427A" w:rsidP="000F2BA7">
            <w:pPr>
              <w:pStyle w:val="Tabletext"/>
              <w:rPr>
                <w:lang w:val="en-US"/>
              </w:rPr>
            </w:pPr>
            <w:r w:rsidRPr="00BD6197">
              <w:rPr>
                <w:lang w:val="en-US"/>
              </w:rPr>
              <w:t>Number of sectors served in one cell (</w:t>
            </w:r>
            <w:r w:rsidRPr="00BD6197">
              <w:rPr>
                <w:i/>
                <w:iCs/>
                <w:lang w:val="en-US"/>
              </w:rPr>
              <w:t>M</w:t>
            </w:r>
            <w:r w:rsidRPr="00BD6197">
              <w:rPr>
                <w:lang w:val="en-US"/>
              </w:rPr>
              <w:t xml:space="preserve"> = 1 for </w:t>
            </w:r>
            <w:r w:rsidRPr="00BD6197">
              <w:rPr>
                <w:lang w:val="en-US"/>
              </w:rPr>
              <w:sym w:font="Symbol" w:char="F071"/>
            </w:r>
            <w:r w:rsidRPr="00BD6197">
              <w:rPr>
                <w:lang w:val="en-US"/>
              </w:rPr>
              <w:t> = 360</w:t>
            </w:r>
            <w:r w:rsidRPr="00BD6197">
              <w:rPr>
                <w:rFonts w:ascii="Symbol" w:hAnsi="Symbol"/>
                <w:lang w:val="en-US"/>
              </w:rPr>
              <w:t></w:t>
            </w:r>
            <w:r w:rsidRPr="00BD6197">
              <w:rPr>
                <w:lang w:val="en-US"/>
              </w:rPr>
              <w:t xml:space="preserve">; </w:t>
            </w:r>
            <w:r w:rsidRPr="00BD6197">
              <w:rPr>
                <w:i/>
                <w:iCs/>
                <w:lang w:val="en-US"/>
              </w:rPr>
              <w:t>M</w:t>
            </w:r>
            <w:r w:rsidRPr="00BD6197">
              <w:rPr>
                <w:lang w:val="en-US"/>
              </w:rPr>
              <w:t xml:space="preserve"> = 3 for </w:t>
            </w:r>
            <w:r w:rsidRPr="00BD6197">
              <w:rPr>
                <w:lang w:val="en-US"/>
              </w:rPr>
              <w:sym w:font="Symbol" w:char="F071"/>
            </w:r>
            <w:r w:rsidRPr="00BD6197">
              <w:rPr>
                <w:lang w:val="en-US"/>
              </w:rPr>
              <w:t> = 120</w:t>
            </w:r>
            <w:r w:rsidRPr="00BD6197">
              <w:rPr>
                <w:rFonts w:ascii="Symbol" w:hAnsi="Symbol"/>
                <w:lang w:val="en-US"/>
              </w:rPr>
              <w:t></w:t>
            </w:r>
            <w:r w:rsidRPr="00BD6197">
              <w:rPr>
                <w:lang w:val="en-US"/>
              </w:rPr>
              <w:t xml:space="preserve">; </w:t>
            </w:r>
            <w:r w:rsidRPr="00BD6197">
              <w:rPr>
                <w:i/>
                <w:iCs/>
                <w:lang w:val="en-US"/>
              </w:rPr>
              <w:t>M</w:t>
            </w:r>
            <w:r w:rsidRPr="00BD6197">
              <w:rPr>
                <w:lang w:val="en-US"/>
              </w:rPr>
              <w:t xml:space="preserve"> = 6 for </w:t>
            </w:r>
            <w:r w:rsidRPr="00BD6197">
              <w:rPr>
                <w:lang w:val="en-US"/>
              </w:rPr>
              <w:sym w:font="Symbol" w:char="F071"/>
            </w:r>
            <w:r w:rsidRPr="00BD6197">
              <w:rPr>
                <w:lang w:val="en-US"/>
              </w:rPr>
              <w:t> = 60</w:t>
            </w:r>
            <w:r w:rsidRPr="00BD6197">
              <w:rPr>
                <w:rFonts w:ascii="Symbol" w:hAnsi="Symbol"/>
                <w:lang w:val="en-US"/>
              </w:rPr>
              <w:t></w:t>
            </w:r>
            <w:r w:rsidRPr="00BD6197">
              <w:rPr>
                <w:lang w:val="en-US"/>
              </w:rPr>
              <w:t xml:space="preserve">, where </w:t>
            </w:r>
            <w:r w:rsidRPr="00BD6197">
              <w:rPr>
                <w:lang w:val="en-US"/>
              </w:rPr>
              <w:sym w:font="Symbol" w:char="F071"/>
            </w:r>
            <w:r w:rsidRPr="00BD6197">
              <w:rPr>
                <w:lang w:val="en-US"/>
              </w:rPr>
              <w:t xml:space="preserve"> is the width of the BS antenna radiation pattern)</w:t>
            </w:r>
          </w:p>
        </w:tc>
        <w:tc>
          <w:tcPr>
            <w:tcW w:w="1563" w:type="dxa"/>
          </w:tcPr>
          <w:p w:rsidR="0069427A" w:rsidRPr="00BD6197" w:rsidRDefault="0069427A" w:rsidP="000F2BA7">
            <w:pPr>
              <w:pStyle w:val="Tabletext"/>
              <w:rPr>
                <w:lang w:val="en-US"/>
              </w:rPr>
            </w:pPr>
            <w:r w:rsidRPr="00BD6197">
              <w:rPr>
                <w:lang w:val="en-US"/>
              </w:rPr>
              <w:t>1-6</w:t>
            </w:r>
          </w:p>
        </w:tc>
      </w:tr>
      <w:tr w:rsidR="0069427A" w:rsidRPr="00BD6197" w:rsidTr="000F2BA7">
        <w:trPr>
          <w:cantSplit/>
          <w:jc w:val="center"/>
        </w:trPr>
        <w:tc>
          <w:tcPr>
            <w:tcW w:w="1006" w:type="dxa"/>
          </w:tcPr>
          <w:p w:rsidR="0069427A" w:rsidRPr="00BD6197" w:rsidRDefault="0069427A" w:rsidP="000F2BA7">
            <w:pPr>
              <w:pStyle w:val="Tabletext"/>
              <w:jc w:val="center"/>
              <w:rPr>
                <w:i/>
                <w:iCs/>
                <w:lang w:val="en-US"/>
              </w:rPr>
            </w:pPr>
            <w:r w:rsidRPr="00BD6197">
              <w:rPr>
                <w:i/>
                <w:iCs/>
                <w:lang w:val="en-US"/>
              </w:rPr>
              <w:t>n</w:t>
            </w:r>
            <w:r w:rsidRPr="00BD6197">
              <w:rPr>
                <w:i/>
                <w:iCs/>
                <w:vertAlign w:val="subscript"/>
                <w:lang w:val="en-US"/>
              </w:rPr>
              <w:sym w:font="Symbol" w:char="F061"/>
            </w:r>
          </w:p>
        </w:tc>
        <w:tc>
          <w:tcPr>
            <w:tcW w:w="7070" w:type="dxa"/>
          </w:tcPr>
          <w:p w:rsidR="0069427A" w:rsidRPr="00BD6197" w:rsidRDefault="0069427A" w:rsidP="000F2BA7">
            <w:pPr>
              <w:pStyle w:val="Tabletext"/>
              <w:rPr>
                <w:lang w:val="en-US"/>
              </w:rPr>
            </w:pPr>
            <w:r w:rsidRPr="00BD6197">
              <w:rPr>
                <w:lang w:val="en-US"/>
              </w:rPr>
              <w:t>Number of subscribers that can use one frequency channel at the same time (for NMT, AMPS</w:t>
            </w:r>
            <w:r w:rsidRPr="00BD6197">
              <w:rPr>
                <w:lang w:val="en-US"/>
              </w:rPr>
              <w:noBreakHyphen/>
              <w:t xml:space="preserve">D and GSM systems, </w:t>
            </w:r>
            <w:r w:rsidRPr="00BD6197">
              <w:rPr>
                <w:i/>
                <w:iCs/>
                <w:lang w:val="en-US"/>
              </w:rPr>
              <w:t>n</w:t>
            </w:r>
            <w:r w:rsidRPr="00BD6197">
              <w:rPr>
                <w:iCs/>
                <w:vertAlign w:val="subscript"/>
                <w:lang w:val="en-US"/>
              </w:rPr>
              <w:sym w:font="Symbol" w:char="F061"/>
            </w:r>
            <w:r w:rsidRPr="00BD6197">
              <w:rPr>
                <w:lang w:val="en-US"/>
              </w:rPr>
              <w:t> = 1, 3 and 8, respectively)</w:t>
            </w:r>
          </w:p>
        </w:tc>
        <w:tc>
          <w:tcPr>
            <w:tcW w:w="1563" w:type="dxa"/>
          </w:tcPr>
          <w:p w:rsidR="0069427A" w:rsidRPr="00BD6197" w:rsidRDefault="0069427A" w:rsidP="000F2BA7">
            <w:pPr>
              <w:pStyle w:val="Tabletext"/>
              <w:rPr>
                <w:lang w:val="en-US"/>
              </w:rPr>
            </w:pPr>
            <w:r w:rsidRPr="00BD6197">
              <w:rPr>
                <w:lang w:val="en-US"/>
              </w:rPr>
              <w:t>8</w:t>
            </w:r>
          </w:p>
        </w:tc>
      </w:tr>
      <w:tr w:rsidR="0069427A" w:rsidRPr="00BD6197" w:rsidTr="000F2BA7">
        <w:trPr>
          <w:cantSplit/>
          <w:jc w:val="center"/>
        </w:trPr>
        <w:tc>
          <w:tcPr>
            <w:tcW w:w="1006" w:type="dxa"/>
          </w:tcPr>
          <w:p w:rsidR="0069427A" w:rsidRPr="00BD6197" w:rsidRDefault="0069427A" w:rsidP="000F2BA7">
            <w:pPr>
              <w:pStyle w:val="Tabletext"/>
              <w:jc w:val="center"/>
              <w:rPr>
                <w:i/>
                <w:iCs/>
                <w:lang w:val="en-US"/>
              </w:rPr>
            </w:pPr>
            <w:r w:rsidRPr="00BD6197">
              <w:rPr>
                <w:i/>
                <w:iCs/>
                <w:lang w:val="en-US"/>
              </w:rPr>
              <w:t>N</w:t>
            </w:r>
            <w:r w:rsidRPr="00BD6197">
              <w:rPr>
                <w:i/>
                <w:iCs/>
                <w:vertAlign w:val="subscript"/>
                <w:lang w:val="en-US"/>
              </w:rPr>
              <w:sym w:font="Symbol" w:char="F061"/>
            </w:r>
          </w:p>
        </w:tc>
        <w:tc>
          <w:tcPr>
            <w:tcW w:w="7070" w:type="dxa"/>
          </w:tcPr>
          <w:p w:rsidR="0069427A" w:rsidRPr="00BD6197" w:rsidRDefault="0069427A" w:rsidP="000F2BA7">
            <w:pPr>
              <w:pStyle w:val="Tabletext"/>
              <w:rPr>
                <w:lang w:val="en-US"/>
              </w:rPr>
            </w:pPr>
            <w:r w:rsidRPr="00BD6197">
              <w:rPr>
                <w:lang w:val="en-US"/>
              </w:rPr>
              <w:t>Number of subscribers to be served by the cellular mobile network in a town</w:t>
            </w:r>
          </w:p>
        </w:tc>
        <w:tc>
          <w:tcPr>
            <w:tcW w:w="1563" w:type="dxa"/>
          </w:tcPr>
          <w:p w:rsidR="0069427A" w:rsidRPr="00BD6197" w:rsidRDefault="0069427A" w:rsidP="000F2BA7">
            <w:pPr>
              <w:pStyle w:val="Tabletext"/>
              <w:rPr>
                <w:lang w:val="en-US"/>
              </w:rPr>
            </w:pPr>
            <w:r w:rsidRPr="00BD6197">
              <w:rPr>
                <w:lang w:val="en-US"/>
              </w:rPr>
              <w:t>10</w:t>
            </w:r>
            <w:r w:rsidRPr="00BD6197">
              <w:rPr>
                <w:rFonts w:ascii="Tms Rmn" w:hAnsi="Tms Rmn"/>
                <w:lang w:val="en-US"/>
              </w:rPr>
              <w:t> </w:t>
            </w:r>
            <w:r w:rsidRPr="00BD6197">
              <w:rPr>
                <w:lang w:val="en-US"/>
              </w:rPr>
              <w:t>000-150</w:t>
            </w:r>
            <w:r w:rsidRPr="00BD6197">
              <w:rPr>
                <w:rFonts w:ascii="Tms Rmn" w:hAnsi="Tms Rmn"/>
                <w:lang w:val="en-US"/>
              </w:rPr>
              <w:t> </w:t>
            </w:r>
            <w:r w:rsidRPr="00BD6197">
              <w:rPr>
                <w:lang w:val="en-US"/>
              </w:rPr>
              <w:t>000 people</w:t>
            </w:r>
          </w:p>
        </w:tc>
      </w:tr>
    </w:tbl>
    <w:p w:rsidR="009556CB" w:rsidRDefault="009556CB">
      <w:r>
        <w:br w:type="page"/>
      </w:r>
    </w:p>
    <w:p w:rsidR="009556CB" w:rsidRPr="00BD6197" w:rsidRDefault="009556CB" w:rsidP="009556CB">
      <w:pPr>
        <w:pStyle w:val="TableNo"/>
        <w:rPr>
          <w:lang w:val="en-US"/>
        </w:rPr>
      </w:pPr>
      <w:r>
        <w:rPr>
          <w:lang w:val="en-US"/>
        </w:rPr>
        <w:lastRenderedPageBreak/>
        <w:t>TABLE 19 (</w:t>
      </w:r>
      <w:r w:rsidRPr="009556CB">
        <w:rPr>
          <w:i/>
          <w:iCs/>
          <w:lang w:val="en-US"/>
        </w:rPr>
        <w:t>end</w:t>
      </w:r>
      <w:r>
        <w:rPr>
          <w:lang w:val="en-US"/>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006"/>
        <w:gridCol w:w="7070"/>
        <w:gridCol w:w="1563"/>
      </w:tblGrid>
      <w:tr w:rsidR="009556CB" w:rsidRPr="00BD6197" w:rsidTr="0091356A">
        <w:trPr>
          <w:cantSplit/>
          <w:jc w:val="center"/>
        </w:trPr>
        <w:tc>
          <w:tcPr>
            <w:tcW w:w="1006" w:type="dxa"/>
            <w:vAlign w:val="center"/>
          </w:tcPr>
          <w:p w:rsidR="009556CB" w:rsidRPr="00BD6197" w:rsidRDefault="009556CB" w:rsidP="0091356A">
            <w:pPr>
              <w:pStyle w:val="Tablehead"/>
              <w:rPr>
                <w:i/>
                <w:iCs/>
                <w:lang w:val="en-US"/>
              </w:rPr>
            </w:pPr>
            <w:r w:rsidRPr="00BD6197">
              <w:rPr>
                <w:lang w:val="en-US"/>
              </w:rPr>
              <w:t>Symbol</w:t>
            </w:r>
          </w:p>
        </w:tc>
        <w:tc>
          <w:tcPr>
            <w:tcW w:w="7070" w:type="dxa"/>
            <w:vAlign w:val="center"/>
          </w:tcPr>
          <w:p w:rsidR="009556CB" w:rsidRPr="00BD6197" w:rsidRDefault="009556CB" w:rsidP="0091356A">
            <w:pPr>
              <w:pStyle w:val="Tablehead"/>
              <w:rPr>
                <w:lang w:val="en-US"/>
              </w:rPr>
            </w:pPr>
            <w:r w:rsidRPr="00BD6197">
              <w:rPr>
                <w:lang w:val="en-US"/>
              </w:rPr>
              <w:t>Parameter</w:t>
            </w:r>
          </w:p>
        </w:tc>
        <w:tc>
          <w:tcPr>
            <w:tcW w:w="1563" w:type="dxa"/>
          </w:tcPr>
          <w:p w:rsidR="009556CB" w:rsidRPr="00BD6197" w:rsidRDefault="009556CB" w:rsidP="0091356A">
            <w:pPr>
              <w:pStyle w:val="Tablehead"/>
              <w:rPr>
                <w:lang w:val="en-US"/>
              </w:rPr>
            </w:pPr>
            <w:r w:rsidRPr="00BD6197">
              <w:rPr>
                <w:lang w:val="en-US"/>
              </w:rPr>
              <w:t>Calculated value</w:t>
            </w:r>
          </w:p>
        </w:tc>
      </w:tr>
      <w:tr w:rsidR="0069427A" w:rsidRPr="00BD6197" w:rsidTr="000F2BA7">
        <w:trPr>
          <w:cantSplit/>
          <w:jc w:val="center"/>
        </w:trPr>
        <w:tc>
          <w:tcPr>
            <w:tcW w:w="1006" w:type="dxa"/>
          </w:tcPr>
          <w:p w:rsidR="0069427A" w:rsidRPr="00BD6197" w:rsidRDefault="0069427A" w:rsidP="000F2BA7">
            <w:pPr>
              <w:pStyle w:val="Tabletext"/>
              <w:jc w:val="center"/>
              <w:rPr>
                <w:lang w:val="en-US"/>
              </w:rPr>
            </w:pPr>
            <w:r w:rsidRPr="00BD6197">
              <w:rPr>
                <w:lang w:val="en-US"/>
              </w:rPr>
              <w:sym w:font="Symbol" w:char="F062"/>
            </w:r>
          </w:p>
        </w:tc>
        <w:tc>
          <w:tcPr>
            <w:tcW w:w="7070" w:type="dxa"/>
          </w:tcPr>
          <w:p w:rsidR="0069427A" w:rsidRPr="00BD6197" w:rsidRDefault="0069427A" w:rsidP="000F2BA7">
            <w:pPr>
              <w:pStyle w:val="Tabletext"/>
              <w:rPr>
                <w:lang w:val="en-US"/>
              </w:rPr>
            </w:pPr>
            <w:r w:rsidRPr="00BD6197">
              <w:rPr>
                <w:lang w:val="en-US"/>
              </w:rPr>
              <w:t>Activity of one subscriber at peak traffic times</w:t>
            </w:r>
          </w:p>
        </w:tc>
        <w:tc>
          <w:tcPr>
            <w:tcW w:w="1563" w:type="dxa"/>
          </w:tcPr>
          <w:p w:rsidR="0069427A" w:rsidRPr="00BD6197" w:rsidRDefault="0069427A" w:rsidP="000F2BA7">
            <w:pPr>
              <w:pStyle w:val="Tabletext"/>
              <w:rPr>
                <w:lang w:val="en-US"/>
              </w:rPr>
            </w:pPr>
            <w:r w:rsidRPr="00BD6197">
              <w:rPr>
                <w:lang w:val="en-US"/>
              </w:rPr>
              <w:t>0.025 E</w:t>
            </w:r>
          </w:p>
        </w:tc>
      </w:tr>
      <w:tr w:rsidR="0069427A" w:rsidRPr="00BD6197" w:rsidTr="000F2BA7">
        <w:trPr>
          <w:cantSplit/>
          <w:jc w:val="center"/>
        </w:trPr>
        <w:tc>
          <w:tcPr>
            <w:tcW w:w="1006" w:type="dxa"/>
          </w:tcPr>
          <w:p w:rsidR="0069427A" w:rsidRPr="00BD6197" w:rsidRDefault="0069427A" w:rsidP="000F2BA7">
            <w:pPr>
              <w:pStyle w:val="Tabletext"/>
              <w:jc w:val="center"/>
              <w:rPr>
                <w:lang w:val="en-US"/>
              </w:rPr>
            </w:pPr>
            <w:r w:rsidRPr="00BD6197">
              <w:rPr>
                <w:i/>
                <w:iCs/>
                <w:lang w:val="en-US"/>
              </w:rPr>
              <w:t>P</w:t>
            </w:r>
            <w:r w:rsidRPr="00BD6197">
              <w:rPr>
                <w:vertAlign w:val="subscript"/>
                <w:lang w:val="en-US"/>
              </w:rPr>
              <w:sym w:font="Symbol" w:char="F061"/>
            </w:r>
          </w:p>
        </w:tc>
        <w:tc>
          <w:tcPr>
            <w:tcW w:w="7070" w:type="dxa"/>
          </w:tcPr>
          <w:p w:rsidR="0069427A" w:rsidRPr="00BD6197" w:rsidRDefault="0069427A" w:rsidP="000F2BA7">
            <w:pPr>
              <w:pStyle w:val="Tabletext"/>
              <w:rPr>
                <w:lang w:val="en-US"/>
              </w:rPr>
            </w:pPr>
            <w:r w:rsidRPr="00BD6197">
              <w:rPr>
                <w:lang w:val="en-US"/>
              </w:rPr>
              <w:t>Permissible probability of call blocking in the mobile network</w:t>
            </w:r>
          </w:p>
        </w:tc>
        <w:tc>
          <w:tcPr>
            <w:tcW w:w="1563" w:type="dxa"/>
          </w:tcPr>
          <w:p w:rsidR="0069427A" w:rsidRPr="00BD6197" w:rsidRDefault="0069427A" w:rsidP="000F2BA7">
            <w:pPr>
              <w:pStyle w:val="Tabletext"/>
              <w:rPr>
                <w:lang w:val="en-US"/>
              </w:rPr>
            </w:pPr>
            <w:r w:rsidRPr="00BD6197">
              <w:rPr>
                <w:lang w:val="en-US"/>
              </w:rPr>
              <w:t>0.1</w:t>
            </w:r>
          </w:p>
        </w:tc>
      </w:tr>
      <w:tr w:rsidR="0069427A" w:rsidRPr="00BD6197" w:rsidTr="000F2BA7">
        <w:trPr>
          <w:cantSplit/>
          <w:jc w:val="center"/>
        </w:trPr>
        <w:tc>
          <w:tcPr>
            <w:tcW w:w="1006" w:type="dxa"/>
          </w:tcPr>
          <w:p w:rsidR="0069427A" w:rsidRPr="00BD6197" w:rsidRDefault="0069427A" w:rsidP="000F2BA7">
            <w:pPr>
              <w:pStyle w:val="Tabletext"/>
              <w:jc w:val="center"/>
              <w:rPr>
                <w:lang w:val="en-US"/>
              </w:rPr>
            </w:pPr>
            <w:r w:rsidRPr="00BD6197">
              <w:rPr>
                <w:lang w:val="en-US"/>
              </w:rPr>
              <w:sym w:font="Symbol" w:char="F072"/>
            </w:r>
            <w:r w:rsidRPr="00BD6197">
              <w:rPr>
                <w:vertAlign w:val="subscript"/>
                <w:lang w:val="en-US"/>
              </w:rPr>
              <w:t>0</w:t>
            </w:r>
          </w:p>
        </w:tc>
        <w:tc>
          <w:tcPr>
            <w:tcW w:w="7070" w:type="dxa"/>
          </w:tcPr>
          <w:p w:rsidR="0069427A" w:rsidRPr="00BD6197" w:rsidRDefault="0069427A" w:rsidP="000F2BA7">
            <w:pPr>
              <w:pStyle w:val="Tabletext"/>
              <w:rPr>
                <w:lang w:val="en-US"/>
              </w:rPr>
            </w:pPr>
            <w:r w:rsidRPr="00BD6197">
              <w:rPr>
                <w:lang w:val="en-US"/>
              </w:rPr>
              <w:t>Required protection ratio for mobile network receivers (for NMT, AMPS</w:t>
            </w:r>
            <w:r w:rsidRPr="00BD6197">
              <w:rPr>
                <w:lang w:val="en-US"/>
              </w:rPr>
              <w:noBreakHyphen/>
              <w:t xml:space="preserve">D and GSM systems, </w:t>
            </w:r>
            <w:r w:rsidRPr="00BD6197">
              <w:rPr>
                <w:lang w:val="en-US"/>
              </w:rPr>
              <w:sym w:font="Symbol" w:char="F072"/>
            </w:r>
            <w:r w:rsidRPr="00BD6197">
              <w:rPr>
                <w:vertAlign w:val="subscript"/>
                <w:lang w:val="en-US"/>
              </w:rPr>
              <w:t>0</w:t>
            </w:r>
            <w:r w:rsidRPr="00BD6197">
              <w:rPr>
                <w:lang w:val="en-US"/>
              </w:rPr>
              <w:t> = 18.9 and 9 dB, respectively)</w:t>
            </w:r>
          </w:p>
        </w:tc>
        <w:tc>
          <w:tcPr>
            <w:tcW w:w="1563" w:type="dxa"/>
          </w:tcPr>
          <w:p w:rsidR="0069427A" w:rsidRPr="00BD6197" w:rsidRDefault="0069427A" w:rsidP="000F2BA7">
            <w:pPr>
              <w:pStyle w:val="Tabletext"/>
              <w:rPr>
                <w:lang w:val="en-US"/>
              </w:rPr>
            </w:pPr>
            <w:r w:rsidRPr="00BD6197">
              <w:rPr>
                <w:lang w:val="en-US"/>
              </w:rPr>
              <w:t>9 dB</w:t>
            </w:r>
          </w:p>
        </w:tc>
      </w:tr>
      <w:tr w:rsidR="0069427A" w:rsidRPr="00BD6197" w:rsidTr="000F2BA7">
        <w:trPr>
          <w:cantSplit/>
          <w:jc w:val="center"/>
        </w:trPr>
        <w:tc>
          <w:tcPr>
            <w:tcW w:w="1006" w:type="dxa"/>
          </w:tcPr>
          <w:p w:rsidR="0069427A" w:rsidRPr="00BD6197" w:rsidRDefault="0069427A" w:rsidP="000F2BA7">
            <w:pPr>
              <w:pStyle w:val="Tabletext"/>
              <w:jc w:val="center"/>
              <w:rPr>
                <w:i/>
                <w:iCs/>
                <w:lang w:val="en-US"/>
              </w:rPr>
            </w:pPr>
            <w:r w:rsidRPr="00BD6197">
              <w:rPr>
                <w:i/>
                <w:iCs/>
                <w:lang w:val="en-US"/>
              </w:rPr>
              <w:t>P</w:t>
            </w:r>
            <w:r w:rsidRPr="00BD6197">
              <w:rPr>
                <w:i/>
                <w:iCs/>
                <w:vertAlign w:val="subscript"/>
                <w:lang w:val="en-US"/>
              </w:rPr>
              <w:t>t</w:t>
            </w:r>
          </w:p>
        </w:tc>
        <w:tc>
          <w:tcPr>
            <w:tcW w:w="7070" w:type="dxa"/>
          </w:tcPr>
          <w:p w:rsidR="0069427A" w:rsidRPr="00BD6197" w:rsidRDefault="0069427A" w:rsidP="000F2BA7">
            <w:pPr>
              <w:pStyle w:val="Tabletext"/>
              <w:rPr>
                <w:lang w:val="en-US"/>
              </w:rPr>
            </w:pPr>
            <w:r w:rsidRPr="00BD6197">
              <w:rPr>
                <w:lang w:val="en-US"/>
              </w:rPr>
              <w:t xml:space="preserve">Percentage of time during which the signal/interference ratio at the input to the transmitter in the mobile network is allowed to fall below the protection ratio, </w:t>
            </w:r>
            <w:r w:rsidRPr="00BD6197">
              <w:rPr>
                <w:lang w:val="en-US"/>
              </w:rPr>
              <w:sym w:font="Symbol" w:char="F072"/>
            </w:r>
            <w:r w:rsidRPr="00BD6197">
              <w:rPr>
                <w:vertAlign w:val="subscript"/>
                <w:lang w:val="en-US"/>
              </w:rPr>
              <w:t>0</w:t>
            </w:r>
          </w:p>
        </w:tc>
        <w:tc>
          <w:tcPr>
            <w:tcW w:w="1563" w:type="dxa"/>
          </w:tcPr>
          <w:p w:rsidR="0069427A" w:rsidRPr="00BD6197" w:rsidRDefault="0069427A" w:rsidP="000F2BA7">
            <w:pPr>
              <w:pStyle w:val="Tabletext"/>
              <w:rPr>
                <w:lang w:val="en-US"/>
              </w:rPr>
            </w:pPr>
            <w:r w:rsidRPr="00BD6197">
              <w:rPr>
                <w:lang w:val="en-US"/>
              </w:rPr>
              <w:t>10%</w:t>
            </w:r>
          </w:p>
        </w:tc>
      </w:tr>
      <w:tr w:rsidR="0069427A" w:rsidRPr="00BD6197" w:rsidTr="000F2BA7">
        <w:trPr>
          <w:cantSplit/>
          <w:jc w:val="center"/>
        </w:trPr>
        <w:tc>
          <w:tcPr>
            <w:tcW w:w="1006" w:type="dxa"/>
          </w:tcPr>
          <w:p w:rsidR="0069427A" w:rsidRPr="00BD6197" w:rsidRDefault="0069427A" w:rsidP="000F2BA7">
            <w:pPr>
              <w:pStyle w:val="Tabletext"/>
              <w:jc w:val="center"/>
              <w:rPr>
                <w:lang w:val="en-US"/>
              </w:rPr>
            </w:pPr>
            <w:r w:rsidRPr="00BD6197">
              <w:rPr>
                <w:lang w:val="en-US"/>
              </w:rPr>
              <w:sym w:font="Symbol" w:char="F073"/>
            </w:r>
          </w:p>
        </w:tc>
        <w:tc>
          <w:tcPr>
            <w:tcW w:w="7070" w:type="dxa"/>
          </w:tcPr>
          <w:p w:rsidR="0069427A" w:rsidRPr="00BD6197" w:rsidRDefault="0069427A" w:rsidP="000F2BA7">
            <w:pPr>
              <w:pStyle w:val="Tabletext"/>
              <w:rPr>
                <w:lang w:val="en-US"/>
              </w:rPr>
            </w:pPr>
            <w:r w:rsidRPr="00BD6197">
              <w:rPr>
                <w:lang w:val="en-US"/>
              </w:rPr>
              <w:t xml:space="preserve">Parameter determining the range of random variations in the received signal level at the place of reception (for mobile network systems, </w:t>
            </w:r>
            <w:r w:rsidRPr="00BD6197">
              <w:rPr>
                <w:szCs w:val="22"/>
                <w:lang w:val="en-US"/>
              </w:rPr>
              <w:sym w:font="Symbol" w:char="F073"/>
            </w:r>
            <w:r w:rsidRPr="00BD6197">
              <w:rPr>
                <w:lang w:val="en-US"/>
              </w:rPr>
              <w:t> = 4–10 dB)</w:t>
            </w:r>
          </w:p>
        </w:tc>
        <w:tc>
          <w:tcPr>
            <w:tcW w:w="1563" w:type="dxa"/>
          </w:tcPr>
          <w:p w:rsidR="0069427A" w:rsidRPr="00BD6197" w:rsidRDefault="0069427A" w:rsidP="000F2BA7">
            <w:pPr>
              <w:pStyle w:val="Tabletext"/>
              <w:rPr>
                <w:lang w:val="en-US"/>
              </w:rPr>
            </w:pPr>
            <w:r w:rsidRPr="00BD6197">
              <w:rPr>
                <w:lang w:val="en-US"/>
              </w:rPr>
              <w:t>6 dB</w:t>
            </w:r>
          </w:p>
        </w:tc>
      </w:tr>
    </w:tbl>
    <w:p w:rsidR="0069427A" w:rsidRPr="00BD6197" w:rsidRDefault="0069427A" w:rsidP="0069427A">
      <w:pPr>
        <w:pStyle w:val="Tablefin"/>
        <w:rPr>
          <w:lang w:val="en-US"/>
        </w:rPr>
      </w:pPr>
    </w:p>
    <w:p w:rsidR="0069427A" w:rsidRPr="00BD6197" w:rsidRDefault="0069427A" w:rsidP="005659BB">
      <w:pPr>
        <w:rPr>
          <w:lang w:val="en-US"/>
        </w:rPr>
      </w:pPr>
      <w:r w:rsidRPr="00BD6197">
        <w:rPr>
          <w:lang w:val="en-US"/>
        </w:rPr>
        <w:t>A procedure</w:t>
      </w:r>
      <w:r w:rsidR="005659BB">
        <w:rPr>
          <w:lang w:val="en-US"/>
        </w:rPr>
        <w:t xml:space="preserve"> [8]</w:t>
      </w:r>
      <w:r w:rsidRPr="00BD6197">
        <w:rPr>
          <w:lang w:val="en-US"/>
        </w:rPr>
        <w:t xml:space="preserve"> for determining the basic parameters of a cellular mobile network is as follows:</w:t>
      </w:r>
    </w:p>
    <w:p w:rsidR="0069427A" w:rsidRPr="00BD6197" w:rsidRDefault="0069427A" w:rsidP="0069427A">
      <w:pPr>
        <w:pStyle w:val="enumlev1"/>
        <w:rPr>
          <w:lang w:val="en-US"/>
        </w:rPr>
      </w:pPr>
      <w:r w:rsidRPr="00BD6197">
        <w:rPr>
          <w:lang w:val="en-US"/>
        </w:rPr>
        <w:t>–</w:t>
      </w:r>
      <w:r w:rsidRPr="00BD6197">
        <w:rPr>
          <w:lang w:val="en-US"/>
        </w:rPr>
        <w:tab/>
        <w:t>Total number of frequency channels in a cellular mobile network in a town:</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i/>
          <w:iCs/>
          <w:lang w:val="en-US"/>
        </w:rPr>
        <w:tab/>
      </w:r>
      <w:r w:rsidRPr="00BD6197">
        <w:rPr>
          <w:i/>
          <w:iCs/>
          <w:lang w:val="en-US"/>
        </w:rPr>
        <w:tab/>
        <w:t>n</w:t>
      </w:r>
      <w:r w:rsidRPr="00BD6197">
        <w:rPr>
          <w:i/>
          <w:iCs/>
          <w:vertAlign w:val="subscript"/>
          <w:lang w:val="en-US"/>
        </w:rPr>
        <w:t>k</w:t>
      </w:r>
      <w:r w:rsidRPr="00BD6197">
        <w:rPr>
          <w:lang w:val="en-US"/>
        </w:rPr>
        <w:t xml:space="preserve">  =  int(</w:t>
      </w:r>
      <w:r w:rsidRPr="00BD6197">
        <w:rPr>
          <w:i/>
          <w:iCs/>
          <w:lang w:val="en-US"/>
        </w:rPr>
        <w:t>F</w:t>
      </w:r>
      <w:r w:rsidRPr="00BD6197">
        <w:rPr>
          <w:rFonts w:ascii="Tms Rmn" w:hAnsi="Tms Rmn"/>
          <w:i/>
          <w:iCs/>
          <w:sz w:val="4"/>
          <w:lang w:val="en-US"/>
        </w:rPr>
        <w:t> </w:t>
      </w:r>
      <w:r w:rsidRPr="00BD6197">
        <w:rPr>
          <w:lang w:val="en-US"/>
        </w:rPr>
        <w:t>/</w:t>
      </w:r>
      <w:r w:rsidRPr="00BD6197">
        <w:rPr>
          <w:rFonts w:ascii="Tms Rmn" w:hAnsi="Tms Rmn"/>
          <w:i/>
          <w:iCs/>
          <w:sz w:val="4"/>
          <w:lang w:val="en-US"/>
        </w:rPr>
        <w:t> </w:t>
      </w:r>
      <w:r w:rsidRPr="00BD6197">
        <w:rPr>
          <w:i/>
          <w:iCs/>
          <w:lang w:val="en-US"/>
        </w:rPr>
        <w:t>F</w:t>
      </w:r>
      <w:r w:rsidRPr="00BD6197">
        <w:rPr>
          <w:i/>
          <w:iCs/>
          <w:vertAlign w:val="subscript"/>
          <w:lang w:val="en-US"/>
        </w:rPr>
        <w:t>k</w:t>
      </w:r>
      <w:r w:rsidRPr="00BD6197">
        <w:rPr>
          <w:rFonts w:ascii="Tms Rmn" w:hAnsi="Tms Rmn"/>
          <w:i/>
          <w:iCs/>
          <w:sz w:val="4"/>
          <w:lang w:val="en-US"/>
        </w:rPr>
        <w:t> </w:t>
      </w:r>
      <w:r w:rsidRPr="00BD6197">
        <w:rPr>
          <w:lang w:val="en-US"/>
        </w:rPr>
        <w:t>)</w:t>
      </w:r>
    </w:p>
    <w:p w:rsidR="0069427A" w:rsidRPr="00BD6197" w:rsidRDefault="0069427A" w:rsidP="0069427A">
      <w:pPr>
        <w:pStyle w:val="Blanc"/>
        <w:rPr>
          <w:lang w:val="en-US"/>
        </w:rPr>
      </w:pPr>
    </w:p>
    <w:p w:rsidR="0069427A" w:rsidRPr="00BD6197" w:rsidRDefault="0069427A" w:rsidP="0069427A">
      <w:pPr>
        <w:pStyle w:val="enumlev1"/>
        <w:rPr>
          <w:lang w:val="en-US"/>
        </w:rPr>
      </w:pPr>
      <w:r w:rsidRPr="00BD6197">
        <w:rPr>
          <w:lang w:val="en-US"/>
        </w:rPr>
        <w:tab/>
        <w:t>where int(</w:t>
      </w:r>
      <w:r w:rsidRPr="00BD6197">
        <w:rPr>
          <w:i/>
          <w:iCs/>
          <w:lang w:val="en-US"/>
        </w:rPr>
        <w:t>x</w:t>
      </w:r>
      <w:r w:rsidRPr="00BD6197">
        <w:rPr>
          <w:lang w:val="en-US"/>
        </w:rPr>
        <w:t xml:space="preserve">) is the integer part of the number </w:t>
      </w:r>
      <w:r w:rsidRPr="00BD6197">
        <w:rPr>
          <w:i/>
          <w:iCs/>
          <w:lang w:val="en-US"/>
        </w:rPr>
        <w:t>x</w:t>
      </w:r>
      <w:r w:rsidRPr="00BD6197">
        <w:rPr>
          <w:lang w:val="en-US"/>
        </w:rPr>
        <w:t>.</w:t>
      </w:r>
    </w:p>
    <w:p w:rsidR="0069427A" w:rsidRPr="00BD6197" w:rsidRDefault="0069427A" w:rsidP="0069427A">
      <w:pPr>
        <w:pStyle w:val="enumlev1"/>
        <w:rPr>
          <w:lang w:val="en-US"/>
        </w:rPr>
      </w:pPr>
      <w:r w:rsidRPr="00BD6197">
        <w:rPr>
          <w:lang w:val="en-US"/>
        </w:rPr>
        <w:t>–</w:t>
      </w:r>
      <w:r w:rsidRPr="00BD6197">
        <w:rPr>
          <w:lang w:val="en-US"/>
        </w:rPr>
        <w:tab/>
        <w:t xml:space="preserve">Required cluster size for given values of </w:t>
      </w:r>
      <w:r w:rsidRPr="00BD6197">
        <w:rPr>
          <w:lang w:val="en-US"/>
        </w:rPr>
        <w:sym w:font="Symbol" w:char="F072"/>
      </w:r>
      <w:r w:rsidRPr="00BD6197">
        <w:rPr>
          <w:vertAlign w:val="subscript"/>
          <w:lang w:val="en-US"/>
        </w:rPr>
        <w:t>0</w:t>
      </w:r>
      <w:r w:rsidRPr="00BD6197">
        <w:rPr>
          <w:lang w:val="en-US"/>
        </w:rPr>
        <w:t xml:space="preserve"> and </w:t>
      </w:r>
      <w:r w:rsidRPr="00BD6197">
        <w:rPr>
          <w:i/>
          <w:iCs/>
          <w:lang w:val="en-US"/>
        </w:rPr>
        <w:t>P</w:t>
      </w:r>
      <w:r w:rsidRPr="00BD6197">
        <w:rPr>
          <w:i/>
          <w:iCs/>
          <w:vertAlign w:val="subscript"/>
          <w:lang w:val="en-US"/>
        </w:rPr>
        <w:t>T</w:t>
      </w:r>
      <w:r w:rsidRPr="00BD6197">
        <w:rPr>
          <w:lang w:val="en-US"/>
        </w:rPr>
        <w:t>:</w:t>
      </w:r>
    </w:p>
    <w:p w:rsidR="0069427A" w:rsidRPr="00BD6197" w:rsidRDefault="0069427A" w:rsidP="0069427A">
      <w:pPr>
        <w:pStyle w:val="Blanc"/>
        <w:rPr>
          <w:lang w:val="en-US"/>
        </w:rPr>
      </w:pPr>
    </w:p>
    <w:p w:rsidR="0069427A" w:rsidRPr="00BD6197" w:rsidRDefault="0069427A" w:rsidP="0069427A">
      <w:pPr>
        <w:pStyle w:val="Equation"/>
        <w:rPr>
          <w:position w:val="-58"/>
          <w:sz w:val="20"/>
          <w:lang w:val="en-US"/>
        </w:rPr>
      </w:pPr>
      <w:r w:rsidRPr="00BD6197">
        <w:rPr>
          <w:lang w:val="en-US"/>
        </w:rPr>
        <w:tab/>
      </w:r>
      <w:r w:rsidRPr="00BD6197">
        <w:rPr>
          <w:lang w:val="en-US"/>
        </w:rPr>
        <w:tab/>
      </w:r>
      <w:r w:rsidRPr="00BD6197">
        <w:rPr>
          <w:position w:val="-58"/>
          <w:sz w:val="20"/>
          <w:lang w:val="en-US"/>
        </w:rPr>
        <w:object w:dxaOrig="3300" w:dyaOrig="1180">
          <v:shape id="_x0000_i1083" type="#_x0000_t75" style="width:199.5pt;height:69pt" o:ole="" fillcolor="window">
            <v:imagedata r:id="rId140" o:title=""/>
          </v:shape>
          <o:OLEObject Type="Embed" ProgID="Equation.3" ShapeID="_x0000_i1083" DrawAspect="Content" ObjectID="_1604325037" r:id="rId141"/>
        </w:object>
      </w:r>
    </w:p>
    <w:p w:rsidR="0069427A" w:rsidRPr="00BD6197" w:rsidRDefault="0069427A" w:rsidP="0069427A">
      <w:pPr>
        <w:pStyle w:val="Blanc"/>
        <w:rPr>
          <w:lang w:val="en-US"/>
        </w:rPr>
      </w:pPr>
    </w:p>
    <w:p w:rsidR="0069427A" w:rsidRPr="00BD6197" w:rsidRDefault="0069427A" w:rsidP="0069427A">
      <w:pPr>
        <w:pStyle w:val="enumlev1"/>
        <w:rPr>
          <w:lang w:val="en-US"/>
        </w:rPr>
      </w:pPr>
      <w:r w:rsidRPr="00BD6197">
        <w:rPr>
          <w:lang w:val="en-US"/>
        </w:rPr>
        <w:tab/>
        <w:t xml:space="preserve">where </w:t>
      </w:r>
      <w:r w:rsidRPr="00BD6197">
        <w:rPr>
          <w:i/>
          <w:iCs/>
          <w:lang w:val="en-US"/>
        </w:rPr>
        <w:t>p</w:t>
      </w:r>
      <w:r w:rsidRPr="00BD6197">
        <w:rPr>
          <w:lang w:val="en-US"/>
        </w:rPr>
        <w:t>(</w:t>
      </w:r>
      <w:r w:rsidRPr="00BD6197">
        <w:rPr>
          <w:rFonts w:ascii="Tms Rmn" w:hAnsi="Tms Rmn"/>
          <w:i/>
          <w:iCs/>
          <w:sz w:val="4"/>
          <w:lang w:val="en-US"/>
        </w:rPr>
        <w:t> </w:t>
      </w:r>
      <w:r w:rsidRPr="00BD6197">
        <w:rPr>
          <w:i/>
          <w:iCs/>
          <w:lang w:val="en-US"/>
        </w:rPr>
        <w:t>N</w:t>
      </w:r>
      <w:r w:rsidRPr="00BD6197">
        <w:rPr>
          <w:rFonts w:ascii="Tms Rmn" w:hAnsi="Tms Rmn"/>
          <w:i/>
          <w:iCs/>
          <w:sz w:val="4"/>
          <w:lang w:val="en-US"/>
        </w:rPr>
        <w:t> </w:t>
      </w:r>
      <w:r w:rsidRPr="00BD6197">
        <w:rPr>
          <w:lang w:val="en-US"/>
        </w:rPr>
        <w:t xml:space="preserve">) is the percentage of time during which the signal/interference ratio at the mobile station receiver input falls below the protection ratio </w:t>
      </w:r>
      <w:r w:rsidRPr="00BD6197">
        <w:rPr>
          <w:lang w:val="en-US"/>
        </w:rPr>
        <w:sym w:font="Symbol" w:char="F072"/>
      </w:r>
      <w:r w:rsidRPr="00BD6197">
        <w:rPr>
          <w:vertAlign w:val="subscript"/>
          <w:lang w:val="en-US"/>
        </w:rPr>
        <w:t>0</w:t>
      </w:r>
      <w:r w:rsidRPr="00BD6197">
        <w:rPr>
          <w:lang w:val="en-US"/>
        </w:rPr>
        <w:t xml:space="preserve">. The values </w:t>
      </w:r>
      <w:r w:rsidRPr="00BD6197">
        <w:rPr>
          <w:lang w:val="en-US"/>
        </w:rPr>
        <w:sym w:font="Symbol" w:char="F062"/>
      </w:r>
      <w:r w:rsidRPr="00BD6197">
        <w:rPr>
          <w:i/>
          <w:iCs/>
          <w:vertAlign w:val="subscript"/>
          <w:lang w:val="en-US"/>
        </w:rPr>
        <w:t>e</w:t>
      </w:r>
      <w:r w:rsidRPr="00BD6197">
        <w:rPr>
          <w:lang w:val="en-US"/>
        </w:rPr>
        <w:t xml:space="preserve"> and </w:t>
      </w:r>
      <w:r w:rsidRPr="00BD6197">
        <w:rPr>
          <w:lang w:val="en-US"/>
        </w:rPr>
        <w:sym w:font="Symbol" w:char="F073"/>
      </w:r>
      <w:r w:rsidRPr="00BD6197">
        <w:rPr>
          <w:i/>
          <w:iCs/>
          <w:vertAlign w:val="subscript"/>
          <w:lang w:val="en-US"/>
        </w:rPr>
        <w:t>p</w:t>
      </w:r>
      <w:r w:rsidRPr="00BD6197">
        <w:rPr>
          <w:lang w:val="en-US"/>
        </w:rPr>
        <w:t xml:space="preserve"> depend on the parameters </w:t>
      </w:r>
      <w:r w:rsidRPr="00BD6197">
        <w:rPr>
          <w:position w:val="-10"/>
          <w:lang w:val="en-US"/>
        </w:rPr>
        <w:object w:dxaOrig="940" w:dyaOrig="380">
          <v:shape id="_x0000_i1084" type="#_x0000_t75" style="width:47.25pt;height:18.75pt" o:ole="">
            <v:imagedata r:id="rId142" o:title=""/>
          </v:shape>
          <o:OLEObject Type="Embed" ProgID="Equation.3" ShapeID="_x0000_i1084" DrawAspect="Content" ObjectID="_1604325038" r:id="rId143"/>
        </w:object>
      </w:r>
      <w:r w:rsidRPr="00BD6197">
        <w:rPr>
          <w:lang w:val="en-US"/>
        </w:rPr>
        <w:t xml:space="preserve"> </w:t>
      </w:r>
      <w:r w:rsidRPr="00BD6197">
        <w:rPr>
          <w:lang w:val="en-US"/>
        </w:rPr>
        <w:sym w:font="Symbol" w:char="F073"/>
      </w:r>
      <w:r w:rsidRPr="00BD6197">
        <w:rPr>
          <w:lang w:val="en-US"/>
        </w:rPr>
        <w:t xml:space="preserve"> and </w:t>
      </w:r>
      <w:r w:rsidRPr="00BD6197">
        <w:rPr>
          <w:i/>
          <w:iCs/>
          <w:lang w:val="en-US"/>
        </w:rPr>
        <w:t>M</w:t>
      </w:r>
      <w:r w:rsidRPr="00BD6197">
        <w:rPr>
          <w:lang w:val="en-US"/>
        </w:rPr>
        <w:t xml:space="preserve">. The value of </w:t>
      </w:r>
      <w:r w:rsidRPr="00BD6197">
        <w:rPr>
          <w:i/>
          <w:iCs/>
          <w:lang w:val="en-US"/>
        </w:rPr>
        <w:t>p</w:t>
      </w:r>
      <w:r w:rsidRPr="00BD6197">
        <w:rPr>
          <w:lang w:val="en-US"/>
        </w:rPr>
        <w:t>(</w:t>
      </w:r>
      <w:r w:rsidRPr="00BD6197">
        <w:rPr>
          <w:rFonts w:ascii="Tms Rmn" w:hAnsi="Tms Rmn"/>
          <w:i/>
          <w:iCs/>
          <w:sz w:val="4"/>
          <w:lang w:val="en-US"/>
        </w:rPr>
        <w:t> </w:t>
      </w:r>
      <w:r w:rsidRPr="00BD6197">
        <w:rPr>
          <w:i/>
          <w:iCs/>
          <w:lang w:val="en-US"/>
        </w:rPr>
        <w:t>N</w:t>
      </w:r>
      <w:r w:rsidRPr="00BD6197">
        <w:rPr>
          <w:rFonts w:ascii="Tms Rmn" w:hAnsi="Tms Rmn"/>
          <w:i/>
          <w:iCs/>
          <w:sz w:val="4"/>
          <w:lang w:val="en-US"/>
        </w:rPr>
        <w:t> </w:t>
      </w:r>
      <w:r w:rsidRPr="00BD6197">
        <w:rPr>
          <w:lang w:val="en-US"/>
        </w:rPr>
        <w:t xml:space="preserve">) decreases as </w:t>
      </w:r>
      <w:r w:rsidRPr="00BD6197">
        <w:rPr>
          <w:i/>
          <w:iCs/>
          <w:lang w:val="en-US"/>
        </w:rPr>
        <w:t>N</w:t>
      </w:r>
      <w:r w:rsidRPr="00BD6197">
        <w:rPr>
          <w:lang w:val="en-US"/>
        </w:rPr>
        <w:t xml:space="preserve"> increases. For given values of </w:t>
      </w:r>
      <w:r w:rsidRPr="00BD6197">
        <w:rPr>
          <w:lang w:val="en-US"/>
        </w:rPr>
        <w:sym w:font="Symbol" w:char="F072"/>
      </w:r>
      <w:r w:rsidRPr="00BD6197">
        <w:rPr>
          <w:vertAlign w:val="subscript"/>
          <w:lang w:val="en-US"/>
        </w:rPr>
        <w:t>0</w:t>
      </w:r>
      <w:r w:rsidRPr="00BD6197">
        <w:rPr>
          <w:lang w:val="en-US"/>
        </w:rPr>
        <w:t xml:space="preserve">, </w:t>
      </w:r>
      <w:r w:rsidRPr="00BD6197">
        <w:rPr>
          <w:lang w:val="en-US"/>
        </w:rPr>
        <w:sym w:font="Symbol" w:char="F073"/>
      </w:r>
      <w:r w:rsidRPr="00BD6197">
        <w:rPr>
          <w:lang w:val="en-US"/>
        </w:rPr>
        <w:t xml:space="preserve"> and M = 1, 3 and 6, values of </w:t>
      </w:r>
      <w:r w:rsidRPr="00BD6197">
        <w:rPr>
          <w:i/>
          <w:iCs/>
          <w:lang w:val="en-US"/>
        </w:rPr>
        <w:t>p</w:t>
      </w:r>
      <w:r w:rsidRPr="00BD6197">
        <w:rPr>
          <w:lang w:val="en-US"/>
        </w:rPr>
        <w:t>(</w:t>
      </w:r>
      <w:r w:rsidRPr="00BD6197">
        <w:rPr>
          <w:rFonts w:ascii="Tms Rmn" w:hAnsi="Tms Rmn"/>
          <w:i/>
          <w:iCs/>
          <w:sz w:val="4"/>
          <w:lang w:val="en-US"/>
        </w:rPr>
        <w:t> </w:t>
      </w:r>
      <w:r w:rsidRPr="00BD6197">
        <w:rPr>
          <w:i/>
          <w:iCs/>
          <w:lang w:val="en-US"/>
        </w:rPr>
        <w:t>N</w:t>
      </w:r>
      <w:r w:rsidRPr="00BD6197">
        <w:rPr>
          <w:rFonts w:ascii="Tms Rmn" w:hAnsi="Tms Rmn"/>
          <w:i/>
          <w:iCs/>
          <w:sz w:val="4"/>
          <w:lang w:val="en-US"/>
        </w:rPr>
        <w:t> </w:t>
      </w:r>
      <w:r w:rsidRPr="00BD6197">
        <w:rPr>
          <w:lang w:val="en-US"/>
        </w:rPr>
        <w:t xml:space="preserve">) are calculated for a number of values of </w:t>
      </w:r>
      <w:r w:rsidRPr="00BD6197">
        <w:rPr>
          <w:i/>
          <w:iCs/>
          <w:lang w:val="en-US"/>
        </w:rPr>
        <w:t>N</w:t>
      </w:r>
      <w:r w:rsidRPr="00BD6197">
        <w:rPr>
          <w:lang w:val="en-US"/>
        </w:rPr>
        <w:t xml:space="preserve"> (i.e.: </w:t>
      </w:r>
      <w:r w:rsidRPr="00BD6197">
        <w:rPr>
          <w:i/>
          <w:iCs/>
          <w:lang w:val="en-US"/>
        </w:rPr>
        <w:t>q</w:t>
      </w:r>
      <w:r w:rsidRPr="00BD6197">
        <w:rPr>
          <w:rFonts w:ascii="Tms Rmn" w:hAnsi="Tms Rmn"/>
          <w:sz w:val="4"/>
          <w:lang w:val="en-US"/>
        </w:rPr>
        <w:t> </w:t>
      </w:r>
      <w:r w:rsidRPr="00BD6197">
        <w:rPr>
          <w:lang w:val="en-US"/>
        </w:rPr>
        <w:t xml:space="preserve">). The value of </w:t>
      </w:r>
      <w:r w:rsidRPr="00BD6197">
        <w:rPr>
          <w:i/>
          <w:iCs/>
          <w:lang w:val="en-US"/>
        </w:rPr>
        <w:t>N</w:t>
      </w:r>
      <w:r w:rsidRPr="00BD6197">
        <w:rPr>
          <w:lang w:val="en-US"/>
        </w:rPr>
        <w:t xml:space="preserve"> for which the condition </w:t>
      </w:r>
      <w:r w:rsidRPr="00BD6197">
        <w:rPr>
          <w:i/>
          <w:iCs/>
          <w:lang w:val="en-US"/>
        </w:rPr>
        <w:t>p</w:t>
      </w:r>
      <w:r w:rsidRPr="00BD6197">
        <w:rPr>
          <w:lang w:val="en-US"/>
        </w:rPr>
        <w:t>(</w:t>
      </w:r>
      <w:r w:rsidRPr="00BD6197">
        <w:rPr>
          <w:rFonts w:ascii="Tms Rmn" w:hAnsi="Tms Rmn"/>
          <w:i/>
          <w:iCs/>
          <w:sz w:val="4"/>
          <w:lang w:val="en-US"/>
        </w:rPr>
        <w:t> </w:t>
      </w:r>
      <w:r w:rsidRPr="00BD6197">
        <w:rPr>
          <w:i/>
          <w:iCs/>
          <w:lang w:val="en-US"/>
        </w:rPr>
        <w:t>N</w:t>
      </w:r>
      <w:r w:rsidRPr="00BD6197">
        <w:rPr>
          <w:rFonts w:ascii="Tms Rmn" w:hAnsi="Tms Rmn"/>
          <w:i/>
          <w:iCs/>
          <w:sz w:val="4"/>
          <w:lang w:val="en-US"/>
        </w:rPr>
        <w:t> </w:t>
      </w:r>
      <w:r w:rsidRPr="00BD6197">
        <w:rPr>
          <w:lang w:val="en-US"/>
        </w:rPr>
        <w:t>) </w:t>
      </w:r>
      <w:r w:rsidRPr="00BD6197">
        <w:rPr>
          <w:rFonts w:ascii="Symbol" w:hAnsi="Symbol"/>
          <w:szCs w:val="24"/>
          <w:lang w:val="en-US"/>
        </w:rPr>
        <w:sym w:font="Symbol" w:char="F0A3"/>
      </w:r>
      <w:r w:rsidRPr="00BD6197">
        <w:rPr>
          <w:lang w:val="en-US"/>
        </w:rPr>
        <w:t> </w:t>
      </w:r>
      <w:r w:rsidRPr="00BD6197">
        <w:rPr>
          <w:i/>
          <w:iCs/>
          <w:lang w:val="en-US"/>
        </w:rPr>
        <w:t>P</w:t>
      </w:r>
      <w:r w:rsidRPr="00BD6197">
        <w:rPr>
          <w:i/>
          <w:iCs/>
          <w:vertAlign w:val="subscript"/>
          <w:lang w:val="en-US"/>
        </w:rPr>
        <w:t>t</w:t>
      </w:r>
      <w:r w:rsidRPr="00BD6197">
        <w:rPr>
          <w:lang w:val="en-US"/>
        </w:rPr>
        <w:t xml:space="preserve"> is fulfilled is taken as the cluster size for the mobile network.</w:t>
      </w:r>
    </w:p>
    <w:p w:rsidR="0069427A" w:rsidRPr="00BD6197" w:rsidRDefault="0069427A" w:rsidP="0069427A">
      <w:pPr>
        <w:rPr>
          <w:lang w:val="en-US"/>
        </w:rPr>
      </w:pPr>
      <w:r w:rsidRPr="00BD6197">
        <w:rPr>
          <w:lang w:val="en-US"/>
        </w:rPr>
        <w:t xml:space="preserve">The parameters </w:t>
      </w:r>
      <w:r w:rsidRPr="00BD6197">
        <w:rPr>
          <w:lang w:val="en-US"/>
        </w:rPr>
        <w:sym w:font="Symbol" w:char="F062"/>
      </w:r>
      <w:r w:rsidRPr="00BD6197">
        <w:rPr>
          <w:i/>
          <w:iCs/>
          <w:vertAlign w:val="subscript"/>
          <w:lang w:val="en-US"/>
        </w:rPr>
        <w:t>e</w:t>
      </w:r>
      <w:r w:rsidRPr="00BD6197">
        <w:rPr>
          <w:lang w:val="en-US"/>
        </w:rPr>
        <w:t xml:space="preserve"> and </w:t>
      </w:r>
      <w:r w:rsidRPr="00BD6197">
        <w:rPr>
          <w:lang w:val="en-US"/>
        </w:rPr>
        <w:sym w:font="Symbol" w:char="F073"/>
      </w:r>
      <w:r w:rsidRPr="00BD6197">
        <w:rPr>
          <w:i/>
          <w:iCs/>
          <w:vertAlign w:val="subscript"/>
          <w:lang w:val="en-US"/>
        </w:rPr>
        <w:t>p</w:t>
      </w:r>
      <w:r w:rsidRPr="00BD6197">
        <w:rPr>
          <w:lang w:val="en-US"/>
        </w:rPr>
        <w:t xml:space="preserve"> used in the equation for </w:t>
      </w:r>
      <w:r w:rsidRPr="00BD6197">
        <w:rPr>
          <w:i/>
          <w:iCs/>
          <w:lang w:val="en-US"/>
        </w:rPr>
        <w:t>p</w:t>
      </w:r>
      <w:r w:rsidRPr="00BD6197">
        <w:rPr>
          <w:lang w:val="en-US"/>
        </w:rPr>
        <w:t>(</w:t>
      </w:r>
      <w:r w:rsidRPr="00BD6197">
        <w:rPr>
          <w:rFonts w:ascii="Tms Rmn" w:hAnsi="Tms Rmn"/>
          <w:i/>
          <w:iCs/>
          <w:sz w:val="4"/>
          <w:lang w:val="en-US"/>
        </w:rPr>
        <w:t> </w:t>
      </w:r>
      <w:r w:rsidRPr="00BD6197">
        <w:rPr>
          <w:i/>
          <w:iCs/>
          <w:lang w:val="en-US"/>
        </w:rPr>
        <w:t>N</w:t>
      </w:r>
      <w:r w:rsidRPr="00BD6197">
        <w:rPr>
          <w:rFonts w:ascii="Tms Rmn" w:hAnsi="Tms Rmn"/>
          <w:i/>
          <w:iCs/>
          <w:sz w:val="4"/>
          <w:lang w:val="en-US"/>
        </w:rPr>
        <w:t> </w:t>
      </w:r>
      <w:r w:rsidRPr="00BD6197">
        <w:rPr>
          <w:lang w:val="en-US"/>
        </w:rPr>
        <w:t>) are determined using the following expressions:</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lang w:val="en-US"/>
        </w:rPr>
        <w:tab/>
      </w:r>
      <w:r w:rsidRPr="00BD6197">
        <w:rPr>
          <w:lang w:val="en-US"/>
        </w:rPr>
        <w:tab/>
      </w:r>
      <w:r w:rsidRPr="00BD6197">
        <w:rPr>
          <w:position w:val="-12"/>
          <w:lang w:val="en-US"/>
        </w:rPr>
        <w:object w:dxaOrig="1500" w:dyaOrig="420">
          <v:shape id="_x0000_i1085" type="#_x0000_t75" style="width:73.5pt;height:21.75pt" o:ole="">
            <v:imagedata r:id="rId144" o:title=""/>
          </v:shape>
          <o:OLEObject Type="Embed" ProgID="Equation.3" ShapeID="_x0000_i1085" DrawAspect="Content" ObjectID="_1604325039" r:id="rId145"/>
        </w:object>
      </w:r>
    </w:p>
    <w:p w:rsidR="0069427A" w:rsidRPr="00BD6197" w:rsidRDefault="0069427A" w:rsidP="0069427A">
      <w:pPr>
        <w:pStyle w:val="Equation"/>
        <w:rPr>
          <w:lang w:val="en-US"/>
        </w:rPr>
      </w:pPr>
      <w:r w:rsidRPr="00BD6197">
        <w:rPr>
          <w:lang w:val="en-US"/>
        </w:rPr>
        <w:tab/>
      </w:r>
      <w:r w:rsidRPr="00BD6197">
        <w:rPr>
          <w:lang w:val="en-US"/>
        </w:rPr>
        <w:tab/>
      </w:r>
      <w:r w:rsidRPr="00BD6197">
        <w:rPr>
          <w:position w:val="-84"/>
          <w:sz w:val="20"/>
          <w:lang w:val="en-US"/>
        </w:rPr>
        <w:object w:dxaOrig="3720" w:dyaOrig="1800">
          <v:shape id="_x0000_i1086" type="#_x0000_t75" style="width:212.25pt;height:90.75pt" o:ole="" fillcolor="window">
            <v:imagedata r:id="rId146" o:title=""/>
          </v:shape>
          <o:OLEObject Type="Embed" ProgID="Equation.3" ShapeID="_x0000_i1086" DrawAspect="Content" ObjectID="_1604325040" r:id="rId147"/>
        </w:objec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lang w:val="en-US"/>
        </w:rPr>
        <w:tab/>
      </w:r>
      <w:r w:rsidRPr="00BD6197">
        <w:rPr>
          <w:lang w:val="en-US"/>
        </w:rPr>
        <w:tab/>
      </w:r>
      <w:r w:rsidRPr="00BD6197">
        <w:rPr>
          <w:position w:val="-36"/>
          <w:sz w:val="20"/>
          <w:lang w:val="en-US"/>
        </w:rPr>
        <w:object w:dxaOrig="3200" w:dyaOrig="840">
          <v:shape id="_x0000_i1087" type="#_x0000_t75" style="width:157.5pt;height:39pt" o:ole="" fillcolor="window">
            <v:imagedata r:id="rId148" o:title=""/>
          </v:shape>
          <o:OLEObject Type="Embed" ProgID="Equation.3" ShapeID="_x0000_i1087" DrawAspect="Content" ObjectID="_1604325041" r:id="rId149"/>
        </w:object>
      </w:r>
    </w:p>
    <w:p w:rsidR="0069427A" w:rsidRPr="00BD6197" w:rsidRDefault="0069427A" w:rsidP="0069427A">
      <w:pPr>
        <w:pStyle w:val="Blanc"/>
        <w:keepNext w:val="0"/>
        <w:keepLines w:val="0"/>
        <w:rPr>
          <w:lang w:val="en-US"/>
        </w:rPr>
      </w:pPr>
    </w:p>
    <w:p w:rsidR="0069427A" w:rsidRPr="00BD6197" w:rsidRDefault="0069427A" w:rsidP="0069427A">
      <w:pPr>
        <w:keepNext/>
        <w:keepLines/>
        <w:rPr>
          <w:lang w:val="en-US"/>
        </w:rPr>
      </w:pPr>
      <w:r w:rsidRPr="00BD6197">
        <w:rPr>
          <w:lang w:val="en-US"/>
        </w:rPr>
        <w:t xml:space="preserve">Here, </w:t>
      </w:r>
      <w:r w:rsidRPr="00BD6197">
        <w:rPr>
          <w:lang w:val="en-US"/>
        </w:rPr>
        <w:sym w:font="Symbol" w:char="F06C"/>
      </w:r>
      <w:r w:rsidRPr="00BD6197">
        <w:rPr>
          <w:lang w:val="en-US"/>
        </w:rPr>
        <w:t xml:space="preserve"> = (0,1 ln(10)) and the values </w:t>
      </w:r>
      <w:r w:rsidRPr="00BD6197">
        <w:rPr>
          <w:lang w:val="en-US"/>
        </w:rPr>
        <w:sym w:font="Symbol" w:char="F06C"/>
      </w:r>
      <w:r w:rsidRPr="00BD6197">
        <w:rPr>
          <w:lang w:val="en-US"/>
        </w:rPr>
        <w:t xml:space="preserve"> and </w:t>
      </w:r>
      <w:r w:rsidRPr="00BD6197">
        <w:rPr>
          <w:lang w:val="en-US"/>
        </w:rPr>
        <w:sym w:font="Symbol" w:char="F062"/>
      </w:r>
      <w:r w:rsidRPr="00BD6197">
        <w:rPr>
          <w:i/>
          <w:iCs/>
          <w:vertAlign w:val="subscript"/>
          <w:lang w:val="en-US"/>
        </w:rPr>
        <w:t>i</w:t>
      </w:r>
      <w:r w:rsidRPr="00BD6197">
        <w:rPr>
          <w:lang w:val="en-US"/>
        </w:rPr>
        <w:t xml:space="preserve"> depend on </w:t>
      </w:r>
      <w:r w:rsidRPr="00BD6197">
        <w:rPr>
          <w:i/>
          <w:iCs/>
          <w:lang w:val="en-US"/>
        </w:rPr>
        <w:t>M</w:t>
      </w:r>
      <w:r w:rsidRPr="00BD6197">
        <w:rPr>
          <w:lang w:val="en-US"/>
        </w:rPr>
        <w:t xml:space="preserve"> and may be found using the following formulae:</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lang w:val="en-US"/>
        </w:rPr>
        <w:tab/>
      </w:r>
      <w:r w:rsidRPr="00BD6197">
        <w:rPr>
          <w:position w:val="-60"/>
          <w:sz w:val="20"/>
          <w:lang w:val="en-US"/>
        </w:rPr>
        <w:object w:dxaOrig="7880" w:dyaOrig="1320">
          <v:shape id="_x0000_i1088" type="#_x0000_t75" style="width:394.5pt;height:66pt" o:ole="" fillcolor="window">
            <v:imagedata r:id="rId150" o:title=""/>
          </v:shape>
          <o:OLEObject Type="Embed" ProgID="Equation.3" ShapeID="_x0000_i1088" DrawAspect="Content" ObjectID="_1604325042" r:id="rId151"/>
        </w:object>
      </w:r>
    </w:p>
    <w:p w:rsidR="0069427A" w:rsidRPr="00BD6197" w:rsidRDefault="0069427A" w:rsidP="0069427A">
      <w:pPr>
        <w:pStyle w:val="enumlev1"/>
        <w:rPr>
          <w:lang w:val="en-US"/>
        </w:rPr>
      </w:pPr>
      <w:r w:rsidRPr="00BD6197">
        <w:rPr>
          <w:lang w:val="en-US"/>
        </w:rPr>
        <w:tab/>
        <w:t>where:</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lang w:val="en-US"/>
        </w:rPr>
        <w:tab/>
      </w:r>
      <w:r w:rsidRPr="00BD6197">
        <w:rPr>
          <w:lang w:val="en-US"/>
        </w:rPr>
        <w:tab/>
      </w:r>
      <w:r w:rsidRPr="00BD6197">
        <w:rPr>
          <w:position w:val="-10"/>
          <w:lang w:val="en-US"/>
        </w:rPr>
        <w:object w:dxaOrig="1080" w:dyaOrig="380">
          <v:shape id="_x0000_i1089" type="#_x0000_t75" style="width:52.5pt;height:18.75pt" o:ole="">
            <v:imagedata r:id="rId152" o:title=""/>
          </v:shape>
          <o:OLEObject Type="Embed" ProgID="Equation.3" ShapeID="_x0000_i1089" DrawAspect="Content" ObjectID="_1604325043" r:id="rId153"/>
        </w:object>
      </w:r>
    </w:p>
    <w:p w:rsidR="0069427A" w:rsidRPr="00BD6197" w:rsidRDefault="0069427A" w:rsidP="0069427A">
      <w:pPr>
        <w:pStyle w:val="Blanc"/>
        <w:rPr>
          <w:lang w:val="en-US"/>
        </w:rPr>
      </w:pPr>
    </w:p>
    <w:p w:rsidR="0069427A" w:rsidRPr="00BD6197" w:rsidRDefault="0069427A" w:rsidP="0069427A">
      <w:pPr>
        <w:pStyle w:val="enumlev1"/>
        <w:rPr>
          <w:lang w:val="en-US"/>
        </w:rPr>
      </w:pPr>
      <w:r w:rsidRPr="00BD6197">
        <w:rPr>
          <w:lang w:val="en-US"/>
        </w:rPr>
        <w:t>–</w:t>
      </w:r>
      <w:r w:rsidRPr="00BD6197">
        <w:rPr>
          <w:lang w:val="en-US"/>
        </w:rPr>
        <w:tab/>
        <w:t xml:space="preserve">Number of frequency, </w:t>
      </w:r>
      <w:r w:rsidRPr="00BD6197">
        <w:rPr>
          <w:i/>
          <w:iCs/>
          <w:lang w:val="en-US"/>
        </w:rPr>
        <w:t>n</w:t>
      </w:r>
      <w:r w:rsidRPr="00BD6197">
        <w:rPr>
          <w:i/>
          <w:iCs/>
          <w:vertAlign w:val="subscript"/>
          <w:lang w:val="en-US"/>
        </w:rPr>
        <w:t>s</w:t>
      </w:r>
      <w:r w:rsidRPr="00BD6197">
        <w:rPr>
          <w:lang w:val="en-US"/>
        </w:rPr>
        <w:t xml:space="preserve">, and telephone, </w:t>
      </w:r>
      <w:r w:rsidRPr="00BD6197">
        <w:rPr>
          <w:i/>
          <w:iCs/>
          <w:lang w:val="en-US"/>
        </w:rPr>
        <w:t>n</w:t>
      </w:r>
      <w:r w:rsidRPr="00BD6197">
        <w:rPr>
          <w:i/>
          <w:iCs/>
          <w:vertAlign w:val="subscript"/>
          <w:lang w:val="en-US"/>
        </w:rPr>
        <w:t>c</w:t>
      </w:r>
      <w:r w:rsidRPr="00BD6197">
        <w:rPr>
          <w:lang w:val="en-US"/>
        </w:rPr>
        <w:t>, channels used to serve subscribers in one sector of one cell:</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lang w:val="en-US"/>
        </w:rPr>
        <w:tab/>
      </w:r>
      <w:r w:rsidRPr="00BD6197">
        <w:rPr>
          <w:lang w:val="en-US"/>
        </w:rPr>
        <w:tab/>
      </w:r>
      <w:r w:rsidRPr="00BD6197">
        <w:rPr>
          <w:position w:val="-12"/>
          <w:lang w:val="en-US"/>
        </w:rPr>
        <w:object w:dxaOrig="1860" w:dyaOrig="360">
          <v:shape id="_x0000_i1090" type="#_x0000_t75" style="width:93pt;height:19.5pt" o:ole="">
            <v:imagedata r:id="rId154" o:title=""/>
          </v:shape>
          <o:OLEObject Type="Embed" ProgID="Equation.3" ShapeID="_x0000_i1090" DrawAspect="Content" ObjectID="_1604325044" r:id="rId155"/>
        </w:object>
      </w:r>
    </w:p>
    <w:p w:rsidR="0069427A" w:rsidRPr="00BD6197" w:rsidRDefault="0069427A" w:rsidP="0069427A">
      <w:pPr>
        <w:pStyle w:val="Equation"/>
        <w:rPr>
          <w:lang w:val="en-US"/>
        </w:rPr>
      </w:pPr>
      <w:r w:rsidRPr="00BD6197">
        <w:rPr>
          <w:lang w:val="en-US"/>
        </w:rPr>
        <w:tab/>
      </w:r>
      <w:r w:rsidRPr="00BD6197">
        <w:rPr>
          <w:lang w:val="en-US"/>
        </w:rPr>
        <w:tab/>
      </w:r>
      <w:r w:rsidRPr="00BD6197">
        <w:rPr>
          <w:position w:val="-12"/>
          <w:lang w:val="en-US"/>
        </w:rPr>
        <w:object w:dxaOrig="1260" w:dyaOrig="360">
          <v:shape id="_x0000_i1091" type="#_x0000_t75" style="width:62.25pt;height:19.5pt" o:ole="">
            <v:imagedata r:id="rId156" o:title=""/>
          </v:shape>
          <o:OLEObject Type="Embed" ProgID="Equation.3" ShapeID="_x0000_i1091" DrawAspect="Content" ObjectID="_1604325045" r:id="rId157"/>
        </w:object>
      </w:r>
    </w:p>
    <w:p w:rsidR="0069427A" w:rsidRPr="00BD6197" w:rsidRDefault="0069427A" w:rsidP="0069427A">
      <w:pPr>
        <w:pStyle w:val="Blanc"/>
        <w:rPr>
          <w:lang w:val="en-US"/>
        </w:rPr>
      </w:pPr>
    </w:p>
    <w:p w:rsidR="0069427A" w:rsidRPr="00BD6197" w:rsidRDefault="0069427A" w:rsidP="0069427A">
      <w:pPr>
        <w:pStyle w:val="enumlev1"/>
        <w:rPr>
          <w:lang w:val="en-US"/>
        </w:rPr>
      </w:pPr>
      <w:r w:rsidRPr="00BD6197">
        <w:rPr>
          <w:lang w:val="en-US"/>
        </w:rPr>
        <w:t>–</w:t>
      </w:r>
      <w:r w:rsidRPr="00BD6197">
        <w:rPr>
          <w:lang w:val="en-US"/>
        </w:rPr>
        <w:tab/>
        <w:t>Admissible telephone traffic in one sector of one cell (E):</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lang w:val="en-US"/>
        </w:rPr>
        <w:tab/>
      </w:r>
      <w:r w:rsidRPr="00BD6197">
        <w:rPr>
          <w:lang w:val="en-US"/>
        </w:rPr>
        <w:tab/>
      </w:r>
      <w:r w:rsidRPr="00BD6197">
        <w:rPr>
          <w:position w:val="-52"/>
          <w:sz w:val="20"/>
          <w:lang w:val="en-US"/>
        </w:rPr>
        <w:object w:dxaOrig="7180" w:dyaOrig="1160">
          <v:shape id="_x0000_i1092" type="#_x0000_t75" style="width:353.25pt;height:58.5pt" o:ole="" fillcolor="window">
            <v:imagedata r:id="rId158" o:title=""/>
          </v:shape>
          <o:OLEObject Type="Embed" ProgID="Equation.3" ShapeID="_x0000_i1092" DrawAspect="Content" ObjectID="_1604325046" r:id="rId159"/>
        </w:object>
      </w:r>
    </w:p>
    <w:p w:rsidR="0069427A" w:rsidRPr="00BD6197" w:rsidRDefault="0069427A" w:rsidP="0069427A">
      <w:pPr>
        <w:pStyle w:val="Blanc"/>
        <w:rPr>
          <w:lang w:val="en-US"/>
        </w:rPr>
      </w:pPr>
    </w:p>
    <w:p w:rsidR="0069427A" w:rsidRPr="00BD6197" w:rsidRDefault="0069427A" w:rsidP="0069427A">
      <w:pPr>
        <w:pStyle w:val="enumlev1"/>
        <w:rPr>
          <w:lang w:val="en-US"/>
        </w:rPr>
      </w:pPr>
      <w:r w:rsidRPr="00BD6197">
        <w:rPr>
          <w:lang w:val="en-US"/>
        </w:rPr>
        <w:t>–</w:t>
      </w:r>
      <w:r w:rsidRPr="00BD6197">
        <w:rPr>
          <w:lang w:val="en-US"/>
        </w:rPr>
        <w:tab/>
        <w:t>Number of subscribers served by one BS for a given value of blocking probability:</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lang w:val="en-US"/>
        </w:rPr>
        <w:tab/>
      </w:r>
      <w:r w:rsidRPr="00BD6197">
        <w:rPr>
          <w:lang w:val="en-US"/>
        </w:rPr>
        <w:tab/>
      </w:r>
      <w:r w:rsidRPr="00BD6197">
        <w:rPr>
          <w:position w:val="-12"/>
          <w:lang w:val="en-US"/>
        </w:rPr>
        <w:object w:dxaOrig="2100" w:dyaOrig="360">
          <v:shape id="_x0000_i1093" type="#_x0000_t75" style="width:105.75pt;height:19.5pt" o:ole="">
            <v:imagedata r:id="rId160" o:title=""/>
          </v:shape>
          <o:OLEObject Type="Embed" ProgID="Equation.3" ShapeID="_x0000_i1093" DrawAspect="Content" ObjectID="_1604325047" r:id="rId161"/>
        </w:object>
      </w:r>
    </w:p>
    <w:p w:rsidR="0069427A" w:rsidRPr="00BD6197" w:rsidRDefault="0069427A" w:rsidP="0069427A">
      <w:pPr>
        <w:pStyle w:val="Blanc"/>
        <w:rPr>
          <w:lang w:val="en-US"/>
        </w:rPr>
      </w:pPr>
    </w:p>
    <w:p w:rsidR="0069427A" w:rsidRPr="00BD6197" w:rsidRDefault="0069427A" w:rsidP="0069427A">
      <w:pPr>
        <w:pStyle w:val="enumlev1"/>
        <w:rPr>
          <w:lang w:val="en-US"/>
        </w:rPr>
      </w:pPr>
      <w:r w:rsidRPr="00BD6197">
        <w:rPr>
          <w:lang w:val="en-US"/>
        </w:rPr>
        <w:t>–</w:t>
      </w:r>
      <w:r w:rsidRPr="00BD6197">
        <w:rPr>
          <w:lang w:val="en-US"/>
        </w:rPr>
        <w:tab/>
        <w:t>The number of BS in the cellular network is determined as follows:</w:t>
      </w:r>
    </w:p>
    <w:p w:rsidR="0069427A" w:rsidRPr="00BD6197" w:rsidRDefault="0069427A" w:rsidP="0069427A">
      <w:pPr>
        <w:pStyle w:val="Blanc"/>
        <w:rPr>
          <w:lang w:val="en-US"/>
        </w:rPr>
      </w:pPr>
    </w:p>
    <w:p w:rsidR="0069427A" w:rsidRPr="00BD6197" w:rsidRDefault="0069427A" w:rsidP="0069427A">
      <w:pPr>
        <w:pStyle w:val="Equation"/>
        <w:rPr>
          <w:lang w:val="en-US"/>
        </w:rPr>
      </w:pPr>
      <w:r w:rsidRPr="00BD6197">
        <w:rPr>
          <w:lang w:val="en-US"/>
        </w:rPr>
        <w:tab/>
      </w:r>
      <w:r w:rsidRPr="00BD6197">
        <w:rPr>
          <w:lang w:val="en-US"/>
        </w:rPr>
        <w:tab/>
      </w:r>
      <w:r w:rsidRPr="00BD6197">
        <w:rPr>
          <w:position w:val="-12"/>
          <w:lang w:val="en-US"/>
        </w:rPr>
        <w:object w:dxaOrig="2240" w:dyaOrig="360">
          <v:shape id="_x0000_i1094" type="#_x0000_t75" style="width:111.75pt;height:19.5pt" o:ole="">
            <v:imagedata r:id="rId162" o:title=""/>
          </v:shape>
          <o:OLEObject Type="Embed" ProgID="Equation.3" ShapeID="_x0000_i1094" DrawAspect="Content" ObjectID="_1604325048" r:id="rId163"/>
        </w:object>
      </w:r>
    </w:p>
    <w:p w:rsidR="0069427A" w:rsidRPr="00BD6197" w:rsidRDefault="0069427A" w:rsidP="0069427A">
      <w:pPr>
        <w:rPr>
          <w:lang w:val="en-US"/>
        </w:rPr>
      </w:pPr>
      <w:r w:rsidRPr="00BD6197">
        <w:rPr>
          <w:lang w:val="en-US"/>
        </w:rPr>
        <w:t>Thus, the proposed method enables the calculation of the required number of base stations and number of channels for a given network’s performance parameters and a given projected number of subscribers.</w:t>
      </w:r>
    </w:p>
    <w:p w:rsidR="0069427A" w:rsidRPr="00BD6197" w:rsidRDefault="0069427A" w:rsidP="0069427A">
      <w:pPr>
        <w:pStyle w:val="enumlev1"/>
        <w:rPr>
          <w:lang w:val="en-US"/>
        </w:rPr>
      </w:pPr>
      <w:r w:rsidRPr="00BD6197">
        <w:rPr>
          <w:lang w:val="en-US"/>
        </w:rPr>
        <w:t>b)</w:t>
      </w:r>
      <w:r w:rsidRPr="00BD6197">
        <w:rPr>
          <w:lang w:val="en-US"/>
        </w:rPr>
        <w:tab/>
      </w:r>
      <w:r w:rsidRPr="00BD6197">
        <w:rPr>
          <w:i/>
          <w:iCs/>
          <w:lang w:val="en-US"/>
        </w:rPr>
        <w:t>Determination of expenditures for establishment of a mobile network</w:t>
      </w:r>
    </w:p>
    <w:p w:rsidR="0069427A" w:rsidRPr="00BD6197" w:rsidRDefault="0069427A" w:rsidP="003F76DB">
      <w:pPr>
        <w:rPr>
          <w:lang w:val="en-US"/>
        </w:rPr>
      </w:pPr>
      <w:r w:rsidRPr="00BD6197">
        <w:rPr>
          <w:lang w:val="en-US"/>
        </w:rPr>
        <w:t>The basic data in the second group are shown in Table </w:t>
      </w:r>
      <w:r w:rsidR="003F76DB">
        <w:rPr>
          <w:lang w:val="en-US"/>
        </w:rPr>
        <w:t>20</w:t>
      </w:r>
      <w:r w:rsidRPr="00BD6197">
        <w:rPr>
          <w:lang w:val="en-US"/>
        </w:rPr>
        <w:t>.</w:t>
      </w:r>
    </w:p>
    <w:p w:rsidR="008E2005" w:rsidRPr="00BD6197" w:rsidRDefault="008E2005" w:rsidP="003F76DB">
      <w:pPr>
        <w:pStyle w:val="TableNo"/>
        <w:rPr>
          <w:lang w:val="en-US"/>
        </w:rPr>
      </w:pPr>
      <w:r w:rsidRPr="00BD6197">
        <w:rPr>
          <w:lang w:val="en-US"/>
        </w:rPr>
        <w:lastRenderedPageBreak/>
        <w:t xml:space="preserve">TABLE </w:t>
      </w:r>
      <w:r w:rsidR="003F76DB">
        <w:rPr>
          <w:lang w:val="en-US"/>
        </w:rPr>
        <w:t>20</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134"/>
        <w:gridCol w:w="4536"/>
        <w:gridCol w:w="3969"/>
      </w:tblGrid>
      <w:tr w:rsidR="008E2005" w:rsidRPr="00BD6197" w:rsidTr="000F2BA7">
        <w:trPr>
          <w:jc w:val="center"/>
        </w:trPr>
        <w:tc>
          <w:tcPr>
            <w:tcW w:w="1134" w:type="dxa"/>
          </w:tcPr>
          <w:p w:rsidR="008E2005" w:rsidRPr="00BD6197" w:rsidRDefault="008E2005" w:rsidP="000F2BA7">
            <w:pPr>
              <w:pStyle w:val="Tablehead"/>
              <w:rPr>
                <w:lang w:val="en-US"/>
              </w:rPr>
            </w:pPr>
            <w:r w:rsidRPr="00BD6197">
              <w:rPr>
                <w:lang w:val="en-US"/>
              </w:rPr>
              <w:t>Symbol</w:t>
            </w:r>
          </w:p>
        </w:tc>
        <w:tc>
          <w:tcPr>
            <w:tcW w:w="4536" w:type="dxa"/>
          </w:tcPr>
          <w:p w:rsidR="008E2005" w:rsidRPr="00BD6197" w:rsidRDefault="008E2005" w:rsidP="000F2BA7">
            <w:pPr>
              <w:pStyle w:val="Tablehead"/>
              <w:rPr>
                <w:lang w:val="en-US"/>
              </w:rPr>
            </w:pPr>
            <w:r w:rsidRPr="00BD6197">
              <w:rPr>
                <w:lang w:val="en-US"/>
              </w:rPr>
              <w:t>Parameter</w:t>
            </w:r>
          </w:p>
        </w:tc>
        <w:tc>
          <w:tcPr>
            <w:tcW w:w="3969" w:type="dxa"/>
          </w:tcPr>
          <w:p w:rsidR="008E2005" w:rsidRPr="00BD6197" w:rsidRDefault="008E2005" w:rsidP="000F2BA7">
            <w:pPr>
              <w:pStyle w:val="Tablehead"/>
              <w:rPr>
                <w:lang w:val="en-US"/>
              </w:rPr>
            </w:pPr>
            <w:r w:rsidRPr="00BD6197">
              <w:rPr>
                <w:lang w:val="en-US"/>
              </w:rPr>
              <w:t>Calculation value</w:t>
            </w:r>
          </w:p>
        </w:tc>
      </w:tr>
      <w:tr w:rsidR="008E2005" w:rsidRPr="00BD6197" w:rsidTr="000F2BA7">
        <w:trPr>
          <w:jc w:val="center"/>
        </w:trPr>
        <w:tc>
          <w:tcPr>
            <w:tcW w:w="1134" w:type="dxa"/>
          </w:tcPr>
          <w:p w:rsidR="008E2005" w:rsidRPr="00BD6197" w:rsidRDefault="008E2005" w:rsidP="000F2BA7">
            <w:pPr>
              <w:pStyle w:val="Tabletext"/>
              <w:keepNext/>
              <w:keepLines/>
              <w:jc w:val="center"/>
              <w:rPr>
                <w:i/>
                <w:iCs/>
                <w:lang w:val="en-US"/>
              </w:rPr>
            </w:pPr>
            <w:r w:rsidRPr="00BD6197">
              <w:rPr>
                <w:i/>
                <w:iCs/>
                <w:lang w:val="en-US"/>
              </w:rPr>
              <w:t>K</w:t>
            </w:r>
            <w:r w:rsidRPr="00BD6197">
              <w:rPr>
                <w:i/>
                <w:iCs/>
                <w:vertAlign w:val="subscript"/>
                <w:lang w:val="en-US"/>
              </w:rPr>
              <w:t>h</w:t>
            </w:r>
          </w:p>
        </w:tc>
        <w:tc>
          <w:tcPr>
            <w:tcW w:w="4536" w:type="dxa"/>
          </w:tcPr>
          <w:p w:rsidR="008E2005" w:rsidRPr="00BD6197" w:rsidRDefault="008E2005" w:rsidP="003F76DB">
            <w:pPr>
              <w:pStyle w:val="Tabletext"/>
              <w:keepNext/>
              <w:keepLines/>
              <w:rPr>
                <w:lang w:val="en-US"/>
              </w:rPr>
            </w:pPr>
            <w:r w:rsidRPr="00BD6197">
              <w:rPr>
                <w:lang w:val="en-US"/>
              </w:rPr>
              <w:t>Average hourly rate of an installer</w:t>
            </w:r>
          </w:p>
        </w:tc>
        <w:tc>
          <w:tcPr>
            <w:tcW w:w="3969" w:type="dxa"/>
          </w:tcPr>
          <w:p w:rsidR="008E2005" w:rsidRPr="00BD6197" w:rsidRDefault="008E2005" w:rsidP="003F76DB">
            <w:pPr>
              <w:pStyle w:val="Tabletext"/>
              <w:keepNext/>
              <w:keepLines/>
              <w:rPr>
                <w:lang w:val="en-US"/>
              </w:rPr>
            </w:pPr>
            <w:r w:rsidRPr="00BD6197">
              <w:rPr>
                <w:lang w:val="en-US"/>
              </w:rPr>
              <w:t>3 (USD/h)</w:t>
            </w:r>
          </w:p>
        </w:tc>
      </w:tr>
      <w:tr w:rsidR="008E2005" w:rsidRPr="00BD6197" w:rsidTr="000F2BA7">
        <w:trPr>
          <w:jc w:val="center"/>
        </w:trPr>
        <w:tc>
          <w:tcPr>
            <w:tcW w:w="1134" w:type="dxa"/>
          </w:tcPr>
          <w:p w:rsidR="008E2005" w:rsidRPr="00BD6197" w:rsidRDefault="008E2005" w:rsidP="000F2BA7">
            <w:pPr>
              <w:pStyle w:val="Tabletext"/>
              <w:keepNext/>
              <w:keepLines/>
              <w:jc w:val="center"/>
              <w:rPr>
                <w:lang w:val="en-US"/>
              </w:rPr>
            </w:pPr>
            <w:r w:rsidRPr="00BD6197">
              <w:rPr>
                <w:i/>
                <w:iCs/>
                <w:lang w:val="en-US"/>
              </w:rPr>
              <w:t>K</w:t>
            </w:r>
            <w:r w:rsidRPr="00BD6197">
              <w:rPr>
                <w:i/>
                <w:iCs/>
                <w:vertAlign w:val="subscript"/>
                <w:lang w:val="en-US"/>
              </w:rPr>
              <w:t>BS</w:t>
            </w:r>
          </w:p>
        </w:tc>
        <w:tc>
          <w:tcPr>
            <w:tcW w:w="4536" w:type="dxa"/>
          </w:tcPr>
          <w:p w:rsidR="008E2005" w:rsidRPr="00BD6197" w:rsidRDefault="008E2005" w:rsidP="003F76DB">
            <w:pPr>
              <w:pStyle w:val="Tabletext"/>
              <w:keepNext/>
              <w:keepLines/>
              <w:rPr>
                <w:lang w:val="en-US"/>
              </w:rPr>
            </w:pPr>
            <w:r w:rsidRPr="00BD6197">
              <w:rPr>
                <w:lang w:val="en-US"/>
              </w:rPr>
              <w:t>Price of a typical single-channel BS installation</w:t>
            </w:r>
          </w:p>
        </w:tc>
        <w:tc>
          <w:tcPr>
            <w:tcW w:w="3969" w:type="dxa"/>
          </w:tcPr>
          <w:p w:rsidR="008E2005" w:rsidRPr="00BD6197" w:rsidRDefault="008E2005" w:rsidP="003F76DB">
            <w:pPr>
              <w:pStyle w:val="Tabletext"/>
              <w:keepNext/>
              <w:keepLines/>
              <w:rPr>
                <w:lang w:val="en-US"/>
              </w:rPr>
            </w:pPr>
            <w:r w:rsidRPr="00BD6197">
              <w:rPr>
                <w:lang w:val="en-US"/>
              </w:rPr>
              <w:t>USD 230</w:t>
            </w:r>
            <w:r w:rsidRPr="00BD6197">
              <w:rPr>
                <w:rFonts w:ascii="Tms Rmn" w:hAnsi="Tms Rmn"/>
                <w:lang w:val="en-US"/>
              </w:rPr>
              <w:t> </w:t>
            </w:r>
            <w:r w:rsidRPr="00BD6197">
              <w:rPr>
                <w:lang w:val="en-US"/>
              </w:rPr>
              <w:t>000</w:t>
            </w:r>
          </w:p>
        </w:tc>
      </w:tr>
      <w:tr w:rsidR="008E2005" w:rsidRPr="00BD6197" w:rsidTr="000F2BA7">
        <w:trPr>
          <w:jc w:val="center"/>
        </w:trPr>
        <w:tc>
          <w:tcPr>
            <w:tcW w:w="1134" w:type="dxa"/>
          </w:tcPr>
          <w:p w:rsidR="008E2005" w:rsidRPr="00BD6197" w:rsidRDefault="008E2005" w:rsidP="000F2BA7">
            <w:pPr>
              <w:pStyle w:val="Tabletext"/>
              <w:keepNext/>
              <w:keepLines/>
              <w:jc w:val="center"/>
              <w:rPr>
                <w:lang w:val="en-US"/>
              </w:rPr>
            </w:pPr>
            <w:r w:rsidRPr="00BD6197">
              <w:rPr>
                <w:i/>
                <w:iCs/>
                <w:lang w:val="en-US"/>
              </w:rPr>
              <w:t>K</w:t>
            </w:r>
            <w:r w:rsidRPr="00BD6197">
              <w:rPr>
                <w:i/>
                <w:iCs/>
                <w:vertAlign w:val="subscript"/>
                <w:lang w:val="en-US"/>
              </w:rPr>
              <w:t>E</w:t>
            </w:r>
          </w:p>
        </w:tc>
        <w:tc>
          <w:tcPr>
            <w:tcW w:w="4536" w:type="dxa"/>
          </w:tcPr>
          <w:p w:rsidR="008E2005" w:rsidRPr="00BD6197" w:rsidRDefault="008E2005" w:rsidP="003F76DB">
            <w:pPr>
              <w:pStyle w:val="Tabletext"/>
              <w:keepNext/>
              <w:keepLines/>
              <w:rPr>
                <w:lang w:val="en-US"/>
              </w:rPr>
            </w:pPr>
            <w:r w:rsidRPr="00BD6197">
              <w:rPr>
                <w:lang w:val="en-US"/>
              </w:rPr>
              <w:t>Cost of one receiving/transmitting unit</w:t>
            </w:r>
          </w:p>
        </w:tc>
        <w:tc>
          <w:tcPr>
            <w:tcW w:w="3969" w:type="dxa"/>
          </w:tcPr>
          <w:p w:rsidR="008E2005" w:rsidRPr="00BD6197" w:rsidRDefault="008E2005" w:rsidP="003F76DB">
            <w:pPr>
              <w:pStyle w:val="Tabletext"/>
              <w:keepNext/>
              <w:keepLines/>
              <w:rPr>
                <w:lang w:val="en-US"/>
              </w:rPr>
            </w:pPr>
            <w:r w:rsidRPr="00BD6197">
              <w:rPr>
                <w:lang w:val="en-US"/>
              </w:rPr>
              <w:t>USD 11</w:t>
            </w:r>
            <w:r w:rsidRPr="00BD6197">
              <w:rPr>
                <w:rFonts w:ascii="Tms Rmn" w:hAnsi="Tms Rmn"/>
                <w:lang w:val="en-US"/>
              </w:rPr>
              <w:t> </w:t>
            </w:r>
            <w:r w:rsidRPr="00BD6197">
              <w:rPr>
                <w:lang w:val="en-US"/>
              </w:rPr>
              <w:t>000</w:t>
            </w:r>
          </w:p>
        </w:tc>
      </w:tr>
      <w:tr w:rsidR="008E2005" w:rsidRPr="00BD6197" w:rsidTr="000F2BA7">
        <w:trPr>
          <w:jc w:val="center"/>
        </w:trPr>
        <w:tc>
          <w:tcPr>
            <w:tcW w:w="1134" w:type="dxa"/>
          </w:tcPr>
          <w:p w:rsidR="008E2005" w:rsidRPr="00BD6197" w:rsidRDefault="008E2005" w:rsidP="000F2BA7">
            <w:pPr>
              <w:pStyle w:val="Tabletext"/>
              <w:keepNext/>
              <w:keepLines/>
              <w:jc w:val="center"/>
              <w:rPr>
                <w:lang w:val="en-US"/>
              </w:rPr>
            </w:pPr>
            <w:r w:rsidRPr="00BD6197">
              <w:rPr>
                <w:lang w:val="en-US"/>
              </w:rPr>
              <w:br/>
            </w:r>
          </w:p>
          <w:p w:rsidR="008E2005" w:rsidRPr="00BD6197" w:rsidRDefault="008E2005" w:rsidP="000F2BA7">
            <w:pPr>
              <w:pStyle w:val="Tabletext"/>
              <w:keepNext/>
              <w:keepLines/>
              <w:jc w:val="center"/>
              <w:rPr>
                <w:lang w:val="en-US"/>
              </w:rPr>
            </w:pPr>
            <w:r w:rsidRPr="00BD6197">
              <w:rPr>
                <w:i/>
                <w:iCs/>
                <w:lang w:val="en-US"/>
              </w:rPr>
              <w:t>A</w:t>
            </w:r>
            <w:r w:rsidRPr="00BD6197">
              <w:rPr>
                <w:vertAlign w:val="subscript"/>
                <w:lang w:val="en-US"/>
              </w:rPr>
              <w:t>1</w:t>
            </w:r>
          </w:p>
          <w:p w:rsidR="008E2005" w:rsidRPr="00BD6197" w:rsidRDefault="008E2005" w:rsidP="000F2BA7">
            <w:pPr>
              <w:pStyle w:val="Tabletext"/>
              <w:keepNext/>
              <w:keepLines/>
              <w:jc w:val="center"/>
              <w:rPr>
                <w:lang w:val="en-US"/>
              </w:rPr>
            </w:pPr>
            <w:r w:rsidRPr="00BD6197">
              <w:rPr>
                <w:i/>
                <w:iCs/>
                <w:lang w:val="en-US"/>
              </w:rPr>
              <w:t>A</w:t>
            </w:r>
            <w:r w:rsidRPr="00BD6197">
              <w:rPr>
                <w:vertAlign w:val="subscript"/>
                <w:lang w:val="en-US"/>
              </w:rPr>
              <w:t>2</w:t>
            </w:r>
          </w:p>
        </w:tc>
        <w:tc>
          <w:tcPr>
            <w:tcW w:w="4536" w:type="dxa"/>
          </w:tcPr>
          <w:p w:rsidR="008E2005" w:rsidRPr="00BD6197" w:rsidRDefault="008E2005" w:rsidP="003F76DB">
            <w:pPr>
              <w:pStyle w:val="Tabletext"/>
              <w:keepNext/>
              <w:keepLines/>
              <w:rPr>
                <w:lang w:val="en-US"/>
              </w:rPr>
            </w:pPr>
            <w:r w:rsidRPr="00BD6197">
              <w:rPr>
                <w:lang w:val="en-US"/>
              </w:rPr>
              <w:t>Fixed portion of cost of connection links, independent of link length</w:t>
            </w:r>
          </w:p>
        </w:tc>
        <w:tc>
          <w:tcPr>
            <w:tcW w:w="3969" w:type="dxa"/>
          </w:tcPr>
          <w:p w:rsidR="008E2005" w:rsidRPr="00BD6197" w:rsidRDefault="008E2005" w:rsidP="003F76DB">
            <w:pPr>
              <w:pStyle w:val="Tabletext"/>
              <w:keepNext/>
              <w:keepLines/>
              <w:rPr>
                <w:lang w:val="en-US"/>
              </w:rPr>
            </w:pPr>
            <w:r w:rsidRPr="00BD6197">
              <w:rPr>
                <w:lang w:val="en-US"/>
              </w:rPr>
              <w:t>For digital radio-relay</w:t>
            </w:r>
            <w:r w:rsidRPr="00BD6197">
              <w:rPr>
                <w:lang w:val="en-US"/>
              </w:rPr>
              <w:br/>
            </w:r>
          </w:p>
          <w:p w:rsidR="008E2005" w:rsidRPr="00BD6197" w:rsidRDefault="008E2005" w:rsidP="003F76DB">
            <w:pPr>
              <w:pStyle w:val="Tabletext"/>
              <w:keepNext/>
              <w:keepLines/>
              <w:rPr>
                <w:lang w:val="en-US"/>
              </w:rPr>
            </w:pPr>
            <w:r w:rsidRPr="00BD6197">
              <w:rPr>
                <w:lang w:val="en-US"/>
              </w:rPr>
              <w:t>USD 351/channel</w:t>
            </w:r>
          </w:p>
          <w:p w:rsidR="008E2005" w:rsidRPr="00BD6197" w:rsidRDefault="008E2005" w:rsidP="003F76DB">
            <w:pPr>
              <w:pStyle w:val="Tabletext"/>
              <w:keepNext/>
              <w:keepLines/>
              <w:rPr>
                <w:lang w:val="en-US"/>
              </w:rPr>
            </w:pPr>
            <w:r w:rsidRPr="00BD6197">
              <w:rPr>
                <w:lang w:val="en-US"/>
              </w:rPr>
              <w:t>USD 176/channel</w:t>
            </w:r>
          </w:p>
        </w:tc>
      </w:tr>
      <w:tr w:rsidR="008E2005" w:rsidRPr="00BD6197" w:rsidTr="000F2BA7">
        <w:trPr>
          <w:jc w:val="center"/>
        </w:trPr>
        <w:tc>
          <w:tcPr>
            <w:tcW w:w="1134" w:type="dxa"/>
          </w:tcPr>
          <w:p w:rsidR="008E2005" w:rsidRPr="00BD6197" w:rsidRDefault="008E2005" w:rsidP="000F2BA7">
            <w:pPr>
              <w:pStyle w:val="Tabletext"/>
              <w:keepNext/>
              <w:keepLines/>
              <w:jc w:val="center"/>
              <w:rPr>
                <w:lang w:val="en-US"/>
              </w:rPr>
            </w:pPr>
            <w:r w:rsidRPr="00BD6197">
              <w:rPr>
                <w:lang w:val="en-US"/>
              </w:rPr>
              <w:br/>
            </w:r>
          </w:p>
          <w:p w:rsidR="008E2005" w:rsidRPr="00BD6197" w:rsidRDefault="008E2005" w:rsidP="000F2BA7">
            <w:pPr>
              <w:pStyle w:val="Tabletext"/>
              <w:keepNext/>
              <w:keepLines/>
              <w:jc w:val="center"/>
              <w:rPr>
                <w:lang w:val="en-US"/>
              </w:rPr>
            </w:pPr>
            <w:r w:rsidRPr="00BD6197">
              <w:rPr>
                <w:i/>
                <w:iCs/>
                <w:lang w:val="en-US"/>
              </w:rPr>
              <w:t>B</w:t>
            </w:r>
            <w:r w:rsidRPr="00BD6197">
              <w:rPr>
                <w:vertAlign w:val="subscript"/>
                <w:lang w:val="en-US"/>
              </w:rPr>
              <w:t>1</w:t>
            </w:r>
          </w:p>
          <w:p w:rsidR="008E2005" w:rsidRPr="00BD6197" w:rsidRDefault="008E2005" w:rsidP="000F2BA7">
            <w:pPr>
              <w:pStyle w:val="Tabletext"/>
              <w:keepNext/>
              <w:keepLines/>
              <w:jc w:val="center"/>
              <w:rPr>
                <w:lang w:val="en-US"/>
              </w:rPr>
            </w:pPr>
            <w:r w:rsidRPr="00BD6197">
              <w:rPr>
                <w:i/>
                <w:iCs/>
                <w:lang w:val="en-US"/>
              </w:rPr>
              <w:t>B</w:t>
            </w:r>
            <w:r w:rsidRPr="00BD6197">
              <w:rPr>
                <w:vertAlign w:val="subscript"/>
                <w:lang w:val="en-US"/>
              </w:rPr>
              <w:t>2</w:t>
            </w:r>
          </w:p>
        </w:tc>
        <w:tc>
          <w:tcPr>
            <w:tcW w:w="4536" w:type="dxa"/>
          </w:tcPr>
          <w:p w:rsidR="008E2005" w:rsidRPr="00BD6197" w:rsidRDefault="008E2005" w:rsidP="003F76DB">
            <w:pPr>
              <w:pStyle w:val="Tabletext"/>
              <w:keepNext/>
              <w:keepLines/>
              <w:rPr>
                <w:lang w:val="en-US"/>
              </w:rPr>
            </w:pPr>
            <w:r w:rsidRPr="00BD6197">
              <w:rPr>
                <w:lang w:val="en-US"/>
              </w:rPr>
              <w:t>Variable portion of cost of connection links dependent on link length</w:t>
            </w:r>
          </w:p>
        </w:tc>
        <w:tc>
          <w:tcPr>
            <w:tcW w:w="3969" w:type="dxa"/>
          </w:tcPr>
          <w:p w:rsidR="008E2005" w:rsidRPr="00BD6197" w:rsidRDefault="008E2005" w:rsidP="003F76DB">
            <w:pPr>
              <w:pStyle w:val="Tabletext"/>
              <w:keepNext/>
              <w:keepLines/>
              <w:rPr>
                <w:lang w:val="en-US"/>
              </w:rPr>
            </w:pPr>
            <w:r w:rsidRPr="00BD6197">
              <w:rPr>
                <w:lang w:val="en-US"/>
              </w:rPr>
              <w:t>For digital radio-relay</w:t>
            </w:r>
            <w:r w:rsidRPr="00BD6197">
              <w:rPr>
                <w:lang w:val="en-US"/>
              </w:rPr>
              <w:br/>
            </w:r>
          </w:p>
          <w:p w:rsidR="008E2005" w:rsidRPr="00BD6197" w:rsidRDefault="008E2005" w:rsidP="003F76DB">
            <w:pPr>
              <w:pStyle w:val="Tabletext"/>
              <w:keepNext/>
              <w:keepLines/>
              <w:rPr>
                <w:lang w:val="en-US"/>
              </w:rPr>
            </w:pPr>
            <w:r w:rsidRPr="00BD6197">
              <w:rPr>
                <w:lang w:val="en-US"/>
              </w:rPr>
              <w:t>USD 23/channel km</w:t>
            </w:r>
          </w:p>
          <w:p w:rsidR="008E2005" w:rsidRPr="00BD6197" w:rsidRDefault="008E2005" w:rsidP="003F76DB">
            <w:pPr>
              <w:pStyle w:val="Tabletext"/>
              <w:keepNext/>
              <w:keepLines/>
              <w:rPr>
                <w:lang w:val="en-US"/>
              </w:rPr>
            </w:pPr>
            <w:r w:rsidRPr="00BD6197">
              <w:rPr>
                <w:lang w:val="en-US"/>
              </w:rPr>
              <w:t>USD 12/channel km</w:t>
            </w:r>
          </w:p>
        </w:tc>
      </w:tr>
    </w:tbl>
    <w:p w:rsidR="008E2005" w:rsidRPr="00BD6197" w:rsidRDefault="008E2005" w:rsidP="008E2005">
      <w:pPr>
        <w:pStyle w:val="Tablefin"/>
        <w:rPr>
          <w:lang w:val="en-US"/>
        </w:rPr>
      </w:pPr>
    </w:p>
    <w:p w:rsidR="008E2005" w:rsidRPr="00BD6197" w:rsidRDefault="008E2005" w:rsidP="008E2005">
      <w:pPr>
        <w:rPr>
          <w:lang w:val="en-US"/>
        </w:rPr>
      </w:pPr>
      <w:r w:rsidRPr="00BD6197">
        <w:rPr>
          <w:lang w:val="en-US"/>
        </w:rPr>
        <w:t>Expenditures</w:t>
      </w:r>
      <w:r w:rsidRPr="00BD6197">
        <w:rPr>
          <w:b/>
          <w:lang w:val="en-US"/>
        </w:rPr>
        <w:t xml:space="preserve"> </w:t>
      </w:r>
      <w:r w:rsidRPr="00BD6197">
        <w:rPr>
          <w:lang w:val="en-US"/>
        </w:rPr>
        <w:t>comprise five components and are determined as follows:</w:t>
      </w:r>
    </w:p>
    <w:p w:rsidR="008E2005" w:rsidRPr="00BD6197" w:rsidRDefault="008E2005" w:rsidP="008E2005">
      <w:pPr>
        <w:pStyle w:val="Blanc"/>
        <w:rPr>
          <w:lang w:val="en-US"/>
        </w:rPr>
      </w:pPr>
    </w:p>
    <w:p w:rsidR="008E2005" w:rsidRPr="00BD6197" w:rsidRDefault="008E2005" w:rsidP="008E2005">
      <w:pPr>
        <w:pStyle w:val="Equation"/>
        <w:rPr>
          <w:lang w:val="en-US"/>
        </w:rPr>
      </w:pPr>
      <w:r w:rsidRPr="00BD6197">
        <w:rPr>
          <w:lang w:val="en-US"/>
        </w:rPr>
        <w:tab/>
      </w:r>
      <w:r w:rsidRPr="00BD6197">
        <w:rPr>
          <w:lang w:val="en-US"/>
        </w:rPr>
        <w:tab/>
      </w:r>
      <w:r w:rsidRPr="00BD6197">
        <w:rPr>
          <w:position w:val="-12"/>
          <w:lang w:val="en-US"/>
        </w:rPr>
        <w:object w:dxaOrig="3140" w:dyaOrig="360">
          <v:shape id="_x0000_i1095" type="#_x0000_t75" style="width:157.5pt;height:19.5pt" o:ole="">
            <v:imagedata r:id="rId164" o:title=""/>
          </v:shape>
          <o:OLEObject Type="Embed" ProgID="Equation.3" ShapeID="_x0000_i1095" DrawAspect="Content" ObjectID="_1604325049" r:id="rId165"/>
        </w:object>
      </w:r>
    </w:p>
    <w:p w:rsidR="008E2005" w:rsidRPr="00BD6197" w:rsidRDefault="008E2005" w:rsidP="008E2005">
      <w:pPr>
        <w:rPr>
          <w:lang w:val="en-US"/>
        </w:rPr>
      </w:pPr>
      <w:r w:rsidRPr="00BD6197">
        <w:rPr>
          <w:lang w:val="en-US"/>
        </w:rPr>
        <w:t>where:</w:t>
      </w:r>
    </w:p>
    <w:p w:rsidR="008E2005" w:rsidRPr="00BD6197" w:rsidRDefault="008E2005" w:rsidP="008E2005">
      <w:pPr>
        <w:pStyle w:val="Equationlegend"/>
      </w:pPr>
      <w:r w:rsidRPr="00BD6197">
        <w:tab/>
      </w:r>
      <w:r w:rsidRPr="00BD6197">
        <w:rPr>
          <w:i/>
          <w:iCs/>
        </w:rPr>
        <w:t>K</w:t>
      </w:r>
      <w:r w:rsidRPr="00BD6197">
        <w:rPr>
          <w:vertAlign w:val="subscript"/>
        </w:rPr>
        <w:t>1</w:t>
      </w:r>
      <w:r w:rsidRPr="00BD6197">
        <w:rPr>
          <w:rFonts w:ascii="Tms Rmn" w:hAnsi="Tms Rmn"/>
          <w:sz w:val="12"/>
        </w:rPr>
        <w:t> </w:t>
      </w:r>
      <w:r w:rsidRPr="00BD6197">
        <w:rPr>
          <w:rFonts w:ascii="Tms Rmn" w:hAnsi="Tms Rmn"/>
        </w:rPr>
        <w:t>:</w:t>
      </w:r>
      <w:r w:rsidRPr="00BD6197">
        <w:rPr>
          <w:rFonts w:ascii="Tms Rmn" w:hAnsi="Tms Rmn"/>
        </w:rPr>
        <w:tab/>
      </w:r>
      <w:r w:rsidRPr="00BD6197">
        <w:t>cost of construction and assembly work</w:t>
      </w:r>
      <w:r>
        <w:t>;</w:t>
      </w:r>
    </w:p>
    <w:p w:rsidR="008E2005" w:rsidRPr="00BD6197" w:rsidRDefault="008E2005" w:rsidP="008E2005">
      <w:pPr>
        <w:pStyle w:val="Equationlegend"/>
      </w:pPr>
      <w:r w:rsidRPr="00BD6197">
        <w:tab/>
      </w:r>
      <w:r w:rsidRPr="00BD6197">
        <w:rPr>
          <w:i/>
          <w:iCs/>
        </w:rPr>
        <w:t>K</w:t>
      </w:r>
      <w:r w:rsidRPr="00BD6197">
        <w:rPr>
          <w:vertAlign w:val="subscript"/>
        </w:rPr>
        <w:t>2</w:t>
      </w:r>
      <w:r w:rsidRPr="00BD6197">
        <w:rPr>
          <w:rFonts w:ascii="Tms Rmn" w:hAnsi="Tms Rmn"/>
          <w:sz w:val="12"/>
        </w:rPr>
        <w:t> </w:t>
      </w:r>
      <w:r w:rsidRPr="00BD6197">
        <w:rPr>
          <w:rFonts w:ascii="Tms Rmn" w:hAnsi="Tms Rmn"/>
        </w:rPr>
        <w:t>:</w:t>
      </w:r>
      <w:r w:rsidRPr="00BD6197">
        <w:rPr>
          <w:rFonts w:ascii="Tms Rmn" w:hAnsi="Tms Rmn"/>
        </w:rPr>
        <w:tab/>
      </w:r>
      <w:r w:rsidRPr="00BD6197">
        <w:t>cost of BS equipment</w:t>
      </w:r>
      <w:r>
        <w:t>;</w:t>
      </w:r>
    </w:p>
    <w:p w:rsidR="008E2005" w:rsidRPr="00BD6197" w:rsidRDefault="008E2005" w:rsidP="008E2005">
      <w:pPr>
        <w:pStyle w:val="Equationlegend"/>
      </w:pPr>
      <w:r w:rsidRPr="00BD6197">
        <w:tab/>
      </w:r>
      <w:r w:rsidRPr="00BD6197">
        <w:rPr>
          <w:i/>
          <w:iCs/>
        </w:rPr>
        <w:t>K</w:t>
      </w:r>
      <w:r w:rsidRPr="00BD6197">
        <w:rPr>
          <w:vertAlign w:val="subscript"/>
        </w:rPr>
        <w:t>3</w:t>
      </w:r>
      <w:r w:rsidRPr="00BD6197">
        <w:rPr>
          <w:rFonts w:ascii="Tms Rmn" w:hAnsi="Tms Rmn"/>
          <w:sz w:val="12"/>
        </w:rPr>
        <w:t> </w:t>
      </w:r>
      <w:r w:rsidRPr="00BD6197">
        <w:rPr>
          <w:rFonts w:ascii="Tms Rmn" w:hAnsi="Tms Rmn"/>
        </w:rPr>
        <w:t>:</w:t>
      </w:r>
      <w:r w:rsidRPr="00BD6197">
        <w:rPr>
          <w:rFonts w:ascii="Tms Rmn" w:hAnsi="Tms Rmn"/>
        </w:rPr>
        <w:tab/>
      </w:r>
      <w:r w:rsidRPr="00BD6197">
        <w:t>cost of establishing a switching centre (SC)</w:t>
      </w:r>
      <w:r>
        <w:t>;</w:t>
      </w:r>
    </w:p>
    <w:p w:rsidR="008E2005" w:rsidRPr="00BD6197" w:rsidRDefault="008E2005" w:rsidP="008E2005">
      <w:pPr>
        <w:pStyle w:val="Equationlegend"/>
      </w:pPr>
      <w:r w:rsidRPr="00BD6197">
        <w:tab/>
      </w:r>
      <w:r w:rsidRPr="00BD6197">
        <w:rPr>
          <w:i/>
          <w:iCs/>
        </w:rPr>
        <w:t>K</w:t>
      </w:r>
      <w:r w:rsidRPr="00BD6197">
        <w:rPr>
          <w:vertAlign w:val="subscript"/>
        </w:rPr>
        <w:t>4</w:t>
      </w:r>
      <w:r w:rsidRPr="00BD6197">
        <w:rPr>
          <w:rFonts w:ascii="Tms Rmn" w:hAnsi="Tms Rmn"/>
          <w:sz w:val="12"/>
        </w:rPr>
        <w:t> </w:t>
      </w:r>
      <w:r w:rsidRPr="00BD6197">
        <w:rPr>
          <w:rFonts w:ascii="Tms Rmn" w:hAnsi="Tms Rmn"/>
        </w:rPr>
        <w:t>:</w:t>
      </w:r>
      <w:r w:rsidRPr="00BD6197">
        <w:rPr>
          <w:rFonts w:ascii="Tms Rmn" w:hAnsi="Tms Rmn"/>
        </w:rPr>
        <w:tab/>
      </w:r>
      <w:r w:rsidRPr="00BD6197">
        <w:t>expenditure for purchasing software and technical facilities for billing systems</w:t>
      </w:r>
      <w:r>
        <w:t>;</w:t>
      </w:r>
    </w:p>
    <w:p w:rsidR="008E2005" w:rsidRPr="00BD6197" w:rsidRDefault="008E2005" w:rsidP="008E2005">
      <w:pPr>
        <w:pStyle w:val="Equationlegend"/>
      </w:pPr>
      <w:r w:rsidRPr="00BD6197">
        <w:tab/>
      </w:r>
      <w:r w:rsidRPr="00BD6197">
        <w:rPr>
          <w:i/>
          <w:iCs/>
        </w:rPr>
        <w:t>K</w:t>
      </w:r>
      <w:r w:rsidRPr="00BD6197">
        <w:rPr>
          <w:vertAlign w:val="subscript"/>
        </w:rPr>
        <w:t>5</w:t>
      </w:r>
      <w:r w:rsidRPr="00BD6197">
        <w:rPr>
          <w:rFonts w:ascii="Tms Rmn" w:hAnsi="Tms Rmn"/>
          <w:sz w:val="12"/>
        </w:rPr>
        <w:t> </w:t>
      </w:r>
      <w:r w:rsidRPr="00BD6197">
        <w:rPr>
          <w:rFonts w:ascii="Tms Rmn" w:hAnsi="Tms Rmn"/>
        </w:rPr>
        <w:t>:</w:t>
      </w:r>
      <w:r w:rsidRPr="00BD6197">
        <w:rPr>
          <w:rFonts w:ascii="Tms Rmn" w:hAnsi="Tms Rmn"/>
        </w:rPr>
        <w:tab/>
      </w:r>
      <w:r w:rsidRPr="00BD6197">
        <w:t>cost of establishing communication links between BS and SC.</w:t>
      </w:r>
    </w:p>
    <w:p w:rsidR="008E2005" w:rsidRPr="00BD6197" w:rsidRDefault="008E2005" w:rsidP="008E2005">
      <w:pPr>
        <w:rPr>
          <w:lang w:val="en-US"/>
        </w:rPr>
      </w:pPr>
      <w:r w:rsidRPr="00BD6197">
        <w:rPr>
          <w:lang w:val="en-US"/>
        </w:rPr>
        <w:t xml:space="preserve">Construction and assembly costs, </w:t>
      </w:r>
      <w:r w:rsidRPr="00BD6197">
        <w:rPr>
          <w:i/>
          <w:iCs/>
          <w:lang w:val="en-US"/>
        </w:rPr>
        <w:t>K</w:t>
      </w:r>
      <w:r w:rsidRPr="00BD6197">
        <w:rPr>
          <w:vertAlign w:val="subscript"/>
          <w:lang w:val="en-US"/>
        </w:rPr>
        <w:t>1</w:t>
      </w:r>
      <w:r w:rsidRPr="00BD6197">
        <w:rPr>
          <w:lang w:val="en-US"/>
        </w:rPr>
        <w:t xml:space="preserve">, are determined on the basis of statistical data [Boucher, 1992 and 1995] on the labour consumption of the various stages of work. These costs are proportional to </w:t>
      </w:r>
      <w:r w:rsidRPr="00BD6197">
        <w:rPr>
          <w:i/>
          <w:iCs/>
          <w:lang w:val="en-US"/>
        </w:rPr>
        <w:t>C</w:t>
      </w:r>
      <w:r w:rsidRPr="00BD6197">
        <w:rPr>
          <w:lang w:val="en-US"/>
        </w:rPr>
        <w:t>, which is the number of BS in the mobile network, and may be determined by the equation:</w:t>
      </w:r>
    </w:p>
    <w:p w:rsidR="008E2005" w:rsidRPr="00BD6197" w:rsidRDefault="008E2005" w:rsidP="008E2005">
      <w:pPr>
        <w:pStyle w:val="Blanc"/>
        <w:rPr>
          <w:lang w:val="en-US"/>
        </w:rPr>
      </w:pPr>
    </w:p>
    <w:p w:rsidR="008E2005" w:rsidRPr="00BD6197" w:rsidRDefault="008E2005" w:rsidP="008E2005">
      <w:pPr>
        <w:pStyle w:val="Equation"/>
        <w:rPr>
          <w:lang w:val="en-US"/>
        </w:rPr>
      </w:pPr>
      <w:r w:rsidRPr="00BD6197">
        <w:rPr>
          <w:lang w:val="en-US"/>
        </w:rPr>
        <w:tab/>
      </w:r>
      <w:r w:rsidRPr="00BD6197">
        <w:rPr>
          <w:lang w:val="en-US"/>
        </w:rPr>
        <w:tab/>
      </w:r>
      <w:r w:rsidRPr="00BD6197">
        <w:rPr>
          <w:position w:val="-48"/>
          <w:lang w:val="en-US"/>
        </w:rPr>
        <w:object w:dxaOrig="4860" w:dyaOrig="1080">
          <v:shape id="_x0000_i1096" type="#_x0000_t75" style="width:243pt;height:52.5pt" o:ole="" fillcolor="window">
            <v:imagedata r:id="rId166" o:title=""/>
          </v:shape>
          <o:OLEObject Type="Embed" ProgID="Equation.3" ShapeID="_x0000_i1096" DrawAspect="Content" ObjectID="_1604325050" r:id="rId167"/>
        </w:object>
      </w:r>
    </w:p>
    <w:p w:rsidR="008E2005" w:rsidRPr="00BD6197" w:rsidRDefault="008E2005" w:rsidP="008E2005">
      <w:pPr>
        <w:pStyle w:val="Blanc"/>
        <w:rPr>
          <w:lang w:val="en-US"/>
        </w:rPr>
      </w:pPr>
    </w:p>
    <w:p w:rsidR="008E2005" w:rsidRPr="00BD6197" w:rsidRDefault="008E2005" w:rsidP="008E2005">
      <w:pPr>
        <w:rPr>
          <w:lang w:val="en-US"/>
        </w:rPr>
      </w:pPr>
      <w:r w:rsidRPr="00BD6197">
        <w:rPr>
          <w:lang w:val="en-US"/>
        </w:rPr>
        <w:t>Capital costs for BS equipment are determined by the equation:</w:t>
      </w:r>
    </w:p>
    <w:p w:rsidR="008E2005" w:rsidRPr="00BD6197" w:rsidRDefault="008E2005" w:rsidP="008E2005">
      <w:pPr>
        <w:pStyle w:val="Blanc"/>
        <w:rPr>
          <w:lang w:val="en-US"/>
        </w:rPr>
      </w:pPr>
    </w:p>
    <w:p w:rsidR="008E2005" w:rsidRPr="00BD6197" w:rsidRDefault="008E2005" w:rsidP="008E2005">
      <w:pPr>
        <w:pStyle w:val="Equation"/>
        <w:rPr>
          <w:lang w:val="en-US"/>
        </w:rPr>
      </w:pPr>
      <w:r w:rsidRPr="00BD6197">
        <w:rPr>
          <w:lang w:val="en-US"/>
        </w:rPr>
        <w:tab/>
      </w:r>
      <w:r w:rsidRPr="00BD6197">
        <w:rPr>
          <w:lang w:val="en-US"/>
        </w:rPr>
        <w:tab/>
      </w:r>
      <w:r w:rsidRPr="00BD6197">
        <w:rPr>
          <w:position w:val="-12"/>
          <w:lang w:val="en-US"/>
        </w:rPr>
        <w:object w:dxaOrig="3180" w:dyaOrig="360">
          <v:shape id="_x0000_i1097" type="#_x0000_t75" style="width:159pt;height:19.5pt" o:ole="">
            <v:imagedata r:id="rId168" o:title=""/>
          </v:shape>
          <o:OLEObject Type="Embed" ProgID="Equation.3" ShapeID="_x0000_i1097" DrawAspect="Content" ObjectID="_1604325051" r:id="rId169"/>
        </w:object>
      </w:r>
    </w:p>
    <w:p w:rsidR="008E2005" w:rsidRPr="00BD6197" w:rsidRDefault="008E2005" w:rsidP="008E2005">
      <w:pPr>
        <w:rPr>
          <w:lang w:val="en-US"/>
        </w:rPr>
      </w:pPr>
      <w:r w:rsidRPr="00BD6197">
        <w:rPr>
          <w:lang w:val="en-US"/>
        </w:rPr>
        <w:t>where (</w:t>
      </w:r>
      <w:r w:rsidRPr="00BD6197">
        <w:rPr>
          <w:rFonts w:ascii="Symbol" w:hAnsi="Symbol"/>
          <w:i/>
          <w:iCs/>
          <w:lang w:val="en-US"/>
        </w:rPr>
        <w:t></w:t>
      </w:r>
      <w:r w:rsidRPr="00BD6197">
        <w:rPr>
          <w:lang w:val="en-US"/>
        </w:rPr>
        <w:t xml:space="preserve"> </w:t>
      </w:r>
      <w:r w:rsidRPr="00BD6197">
        <w:rPr>
          <w:rFonts w:ascii="Symbol" w:hAnsi="Symbol"/>
          <w:lang w:val="en-US"/>
        </w:rPr>
        <w:t></w:t>
      </w:r>
      <w:r w:rsidRPr="00BD6197">
        <w:rPr>
          <w:lang w:val="en-US"/>
        </w:rPr>
        <w:t xml:space="preserve"> </w:t>
      </w:r>
      <w:r w:rsidRPr="00BD6197">
        <w:rPr>
          <w:i/>
          <w:iCs/>
          <w:lang w:val="en-US"/>
        </w:rPr>
        <w:t>n</w:t>
      </w:r>
      <w:r w:rsidRPr="00BD6197">
        <w:rPr>
          <w:i/>
          <w:iCs/>
          <w:vertAlign w:val="subscript"/>
          <w:lang w:val="en-US"/>
        </w:rPr>
        <w:t>s</w:t>
      </w:r>
      <w:r w:rsidRPr="00BD6197">
        <w:rPr>
          <w:lang w:val="en-US"/>
        </w:rPr>
        <w:t>) is the number of frequency channels in one cell.</w:t>
      </w:r>
    </w:p>
    <w:p w:rsidR="008E2005" w:rsidRPr="00BD6197" w:rsidRDefault="008E2005" w:rsidP="003F76DB">
      <w:pPr>
        <w:rPr>
          <w:lang w:val="en-US"/>
        </w:rPr>
      </w:pPr>
      <w:r w:rsidRPr="00BD6197">
        <w:rPr>
          <w:lang w:val="en-US"/>
        </w:rPr>
        <w:t xml:space="preserve">The cost, </w:t>
      </w:r>
      <w:r w:rsidRPr="00BD6197">
        <w:rPr>
          <w:i/>
          <w:iCs/>
          <w:lang w:val="en-US"/>
        </w:rPr>
        <w:t>K</w:t>
      </w:r>
      <w:r w:rsidRPr="00BD6197">
        <w:rPr>
          <w:vertAlign w:val="subscript"/>
          <w:lang w:val="en-US"/>
        </w:rPr>
        <w:t>3</w:t>
      </w:r>
      <w:r w:rsidRPr="00BD6197">
        <w:rPr>
          <w:lang w:val="en-US"/>
        </w:rPr>
        <w:t>, of establishing the SC of a mobile network is determined from the data in Table </w:t>
      </w:r>
      <w:r w:rsidR="003F76DB">
        <w:rPr>
          <w:lang w:val="en-US"/>
        </w:rPr>
        <w:t>21</w:t>
      </w:r>
      <w:r w:rsidRPr="00BD6197">
        <w:rPr>
          <w:lang w:val="en-US"/>
        </w:rPr>
        <w:t xml:space="preserve"> on the basis of the number of subscribers in the network.</w:t>
      </w:r>
    </w:p>
    <w:p w:rsidR="008E2005" w:rsidRPr="00BD6197" w:rsidRDefault="008E2005" w:rsidP="003F76DB">
      <w:pPr>
        <w:pStyle w:val="TableNo"/>
        <w:rPr>
          <w:lang w:val="en-US"/>
        </w:rPr>
      </w:pPr>
      <w:r w:rsidRPr="00BD6197">
        <w:rPr>
          <w:lang w:val="en-US"/>
        </w:rPr>
        <w:lastRenderedPageBreak/>
        <w:t xml:space="preserve">TABLE </w:t>
      </w:r>
      <w:r w:rsidR="003F76DB">
        <w:rPr>
          <w:lang w:val="en-US"/>
        </w:rPr>
        <w:t>21</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268"/>
        <w:gridCol w:w="2268"/>
      </w:tblGrid>
      <w:tr w:rsidR="008E2005" w:rsidRPr="00D17B5B" w:rsidTr="000F2BA7">
        <w:trPr>
          <w:jc w:val="center"/>
        </w:trPr>
        <w:tc>
          <w:tcPr>
            <w:tcW w:w="2835" w:type="dxa"/>
            <w:vMerge w:val="restart"/>
            <w:vAlign w:val="center"/>
          </w:tcPr>
          <w:p w:rsidR="008E2005" w:rsidRPr="00BD6197" w:rsidRDefault="008E2005" w:rsidP="000F2BA7">
            <w:pPr>
              <w:pStyle w:val="Tablehead"/>
              <w:rPr>
                <w:lang w:val="en-US"/>
              </w:rPr>
            </w:pPr>
            <w:r w:rsidRPr="00BD6197">
              <w:rPr>
                <w:lang w:val="en-US"/>
              </w:rPr>
              <w:t>Required number of telephone channels in the network</w:t>
            </w:r>
          </w:p>
        </w:tc>
        <w:tc>
          <w:tcPr>
            <w:tcW w:w="4536" w:type="dxa"/>
            <w:gridSpan w:val="2"/>
            <w:vAlign w:val="center"/>
          </w:tcPr>
          <w:p w:rsidR="008E2005" w:rsidRPr="00BD6197" w:rsidRDefault="008E2005" w:rsidP="000F2BA7">
            <w:pPr>
              <w:pStyle w:val="Tablehead"/>
              <w:rPr>
                <w:lang w:val="en-US"/>
              </w:rPr>
            </w:pPr>
            <w:r w:rsidRPr="00BD6197">
              <w:rPr>
                <w:lang w:val="en-US"/>
              </w:rPr>
              <w:t xml:space="preserve">Switching centre costs </w:t>
            </w:r>
            <w:r w:rsidRPr="00BD6197">
              <w:rPr>
                <w:i/>
                <w:iCs/>
                <w:lang w:val="en-US"/>
              </w:rPr>
              <w:t>K</w:t>
            </w:r>
            <w:r w:rsidRPr="00BD6197">
              <w:rPr>
                <w:iCs/>
                <w:vertAlign w:val="subscript"/>
                <w:lang w:val="en-US"/>
              </w:rPr>
              <w:t>3</w:t>
            </w:r>
            <w:r w:rsidRPr="00BD6197">
              <w:rPr>
                <w:lang w:val="en-US"/>
              </w:rPr>
              <w:br/>
              <w:t>(USD)</w:t>
            </w:r>
          </w:p>
        </w:tc>
      </w:tr>
      <w:tr w:rsidR="008E2005" w:rsidRPr="00BD6197" w:rsidTr="000F2BA7">
        <w:trPr>
          <w:jc w:val="center"/>
        </w:trPr>
        <w:tc>
          <w:tcPr>
            <w:tcW w:w="2835" w:type="dxa"/>
            <w:vMerge/>
            <w:vAlign w:val="center"/>
          </w:tcPr>
          <w:p w:rsidR="008E2005" w:rsidRPr="00BD6197" w:rsidRDefault="008E2005" w:rsidP="000F2BA7">
            <w:pPr>
              <w:pStyle w:val="Tablehead"/>
              <w:rPr>
                <w:lang w:val="en-US"/>
              </w:rPr>
            </w:pPr>
          </w:p>
        </w:tc>
        <w:tc>
          <w:tcPr>
            <w:tcW w:w="2268" w:type="dxa"/>
            <w:vAlign w:val="center"/>
          </w:tcPr>
          <w:p w:rsidR="008E2005" w:rsidRPr="00BD6197" w:rsidRDefault="008E2005" w:rsidP="000F2BA7">
            <w:pPr>
              <w:pStyle w:val="Tablehead"/>
              <w:rPr>
                <w:lang w:val="en-US"/>
              </w:rPr>
            </w:pPr>
            <w:r w:rsidRPr="00BD6197">
              <w:rPr>
                <w:lang w:val="en-US"/>
              </w:rPr>
              <w:t>Analogue</w:t>
            </w:r>
          </w:p>
        </w:tc>
        <w:tc>
          <w:tcPr>
            <w:tcW w:w="2268" w:type="dxa"/>
            <w:vAlign w:val="center"/>
          </w:tcPr>
          <w:p w:rsidR="008E2005" w:rsidRPr="00BD6197" w:rsidRDefault="008E2005" w:rsidP="000F2BA7">
            <w:pPr>
              <w:pStyle w:val="Tablehead"/>
              <w:rPr>
                <w:lang w:val="en-US"/>
              </w:rPr>
            </w:pPr>
            <w:r w:rsidRPr="00BD6197">
              <w:rPr>
                <w:lang w:val="en-US"/>
              </w:rPr>
              <w:t>Digital</w:t>
            </w:r>
          </w:p>
        </w:tc>
      </w:tr>
      <w:tr w:rsidR="008E2005" w:rsidRPr="00BD6197" w:rsidTr="000F2BA7">
        <w:trPr>
          <w:jc w:val="center"/>
        </w:trPr>
        <w:tc>
          <w:tcPr>
            <w:tcW w:w="2835" w:type="dxa"/>
          </w:tcPr>
          <w:p w:rsidR="008E2005" w:rsidRPr="00BD6197" w:rsidRDefault="008E2005" w:rsidP="000F2BA7">
            <w:pPr>
              <w:pStyle w:val="Tabletext"/>
              <w:keepNext/>
              <w:keepLines/>
              <w:jc w:val="center"/>
              <w:rPr>
                <w:lang w:val="en-US"/>
              </w:rPr>
            </w:pPr>
            <w:r w:rsidRPr="00BD6197">
              <w:rPr>
                <w:i/>
                <w:iCs/>
                <w:szCs w:val="22"/>
                <w:lang w:val="en-US"/>
              </w:rPr>
              <w:t>N</w:t>
            </w:r>
            <w:r w:rsidRPr="00BD6197">
              <w:rPr>
                <w:i/>
                <w:iCs/>
                <w:vertAlign w:val="subscript"/>
                <w:lang w:val="en-US"/>
              </w:rPr>
              <w:t>a</w:t>
            </w:r>
            <w:r w:rsidRPr="00BD6197">
              <w:rPr>
                <w:szCs w:val="22"/>
                <w:lang w:val="en-US"/>
              </w:rPr>
              <w:t xml:space="preserve"> </w:t>
            </w:r>
            <w:r w:rsidRPr="00BD6197">
              <w:rPr>
                <w:rFonts w:ascii="Tms Rmn" w:hAnsi="Tms Rmn"/>
                <w:szCs w:val="22"/>
                <w:lang w:val="en-US"/>
              </w:rPr>
              <w:t> </w:t>
            </w:r>
            <w:r w:rsidRPr="00BD6197">
              <w:rPr>
                <w:rFonts w:ascii="Symbol" w:hAnsi="Symbol"/>
                <w:szCs w:val="22"/>
                <w:lang w:val="en-US"/>
              </w:rPr>
              <w:sym w:font="Symbol" w:char="F0A3"/>
            </w:r>
            <w:r w:rsidRPr="00BD6197">
              <w:rPr>
                <w:szCs w:val="22"/>
                <w:lang w:val="en-US"/>
              </w:rPr>
              <w:t> </w:t>
            </w:r>
            <w:r w:rsidRPr="00BD6197">
              <w:rPr>
                <w:szCs w:val="22"/>
                <w:lang w:val="en-US"/>
              </w:rPr>
              <w:t> </w:t>
            </w:r>
            <w:r w:rsidRPr="00BD6197">
              <w:rPr>
                <w:szCs w:val="22"/>
                <w:lang w:val="en-US"/>
              </w:rPr>
              <w:t>500</w:t>
            </w:r>
          </w:p>
        </w:tc>
        <w:tc>
          <w:tcPr>
            <w:tcW w:w="2268" w:type="dxa"/>
          </w:tcPr>
          <w:p w:rsidR="008E2005" w:rsidRPr="00BD6197" w:rsidRDefault="008E2005" w:rsidP="000F2BA7">
            <w:pPr>
              <w:pStyle w:val="Tabletext"/>
              <w:keepNext/>
              <w:keepLines/>
              <w:jc w:val="center"/>
              <w:rPr>
                <w:lang w:val="en-US"/>
              </w:rPr>
            </w:pPr>
            <w:r w:rsidRPr="00BD6197">
              <w:rPr>
                <w:szCs w:val="22"/>
                <w:lang w:val="en-US"/>
              </w:rPr>
              <w:t>300</w:t>
            </w:r>
            <w:r w:rsidRPr="00BD6197">
              <w:rPr>
                <w:rFonts w:ascii="Tms Rmn" w:hAnsi="Tms Rmn"/>
                <w:szCs w:val="22"/>
                <w:lang w:val="en-US"/>
              </w:rPr>
              <w:t> </w:t>
            </w:r>
            <w:r w:rsidRPr="00BD6197">
              <w:rPr>
                <w:szCs w:val="22"/>
                <w:lang w:val="en-US"/>
              </w:rPr>
              <w:t>000</w:t>
            </w:r>
          </w:p>
        </w:tc>
        <w:tc>
          <w:tcPr>
            <w:tcW w:w="2268" w:type="dxa"/>
          </w:tcPr>
          <w:p w:rsidR="008E2005" w:rsidRPr="00BD6197" w:rsidRDefault="008E2005" w:rsidP="000F2BA7">
            <w:pPr>
              <w:pStyle w:val="Tabletext"/>
              <w:keepNext/>
              <w:keepLines/>
              <w:jc w:val="center"/>
              <w:rPr>
                <w:lang w:val="en-US"/>
              </w:rPr>
            </w:pPr>
            <w:r w:rsidRPr="00BD6197">
              <w:rPr>
                <w:szCs w:val="22"/>
                <w:lang w:val="en-US"/>
              </w:rPr>
              <w:t>3</w:t>
            </w:r>
            <w:r w:rsidRPr="00BD6197">
              <w:rPr>
                <w:rFonts w:ascii="Tms Rmn" w:hAnsi="Tms Rmn"/>
                <w:szCs w:val="22"/>
                <w:lang w:val="en-US"/>
              </w:rPr>
              <w:t> </w:t>
            </w:r>
            <w:r w:rsidRPr="00BD6197">
              <w:rPr>
                <w:szCs w:val="22"/>
                <w:lang w:val="en-US"/>
              </w:rPr>
              <w:t>500</w:t>
            </w:r>
            <w:r w:rsidRPr="00BD6197">
              <w:rPr>
                <w:rFonts w:ascii="Tms Rmn" w:hAnsi="Tms Rmn"/>
                <w:szCs w:val="22"/>
                <w:lang w:val="en-US"/>
              </w:rPr>
              <w:t> </w:t>
            </w:r>
            <w:r w:rsidRPr="00BD6197">
              <w:rPr>
                <w:szCs w:val="22"/>
                <w:lang w:val="en-US"/>
              </w:rPr>
              <w:t>000</w:t>
            </w:r>
          </w:p>
        </w:tc>
      </w:tr>
      <w:tr w:rsidR="008E2005" w:rsidRPr="00BD6197" w:rsidTr="000F2BA7">
        <w:trPr>
          <w:jc w:val="center"/>
        </w:trPr>
        <w:tc>
          <w:tcPr>
            <w:tcW w:w="2835" w:type="dxa"/>
          </w:tcPr>
          <w:p w:rsidR="008E2005" w:rsidRPr="00BD6197" w:rsidRDefault="008E2005" w:rsidP="000F2BA7">
            <w:pPr>
              <w:pStyle w:val="Tabletext"/>
              <w:keepNext/>
              <w:keepLines/>
              <w:jc w:val="center"/>
              <w:rPr>
                <w:lang w:val="en-US"/>
              </w:rPr>
            </w:pPr>
            <w:r w:rsidRPr="00BD6197">
              <w:rPr>
                <w:i/>
                <w:iCs/>
                <w:szCs w:val="22"/>
                <w:lang w:val="en-US"/>
              </w:rPr>
              <w:t>N</w:t>
            </w:r>
            <w:r w:rsidRPr="00BD6197">
              <w:rPr>
                <w:i/>
                <w:iCs/>
                <w:vertAlign w:val="subscript"/>
                <w:lang w:val="en-US"/>
              </w:rPr>
              <w:t>a</w:t>
            </w:r>
            <w:r w:rsidRPr="00BD6197">
              <w:rPr>
                <w:szCs w:val="22"/>
                <w:lang w:val="en-US"/>
              </w:rPr>
              <w:t xml:space="preserve"> </w:t>
            </w:r>
            <w:r w:rsidRPr="00BD6197">
              <w:rPr>
                <w:rFonts w:ascii="Tms Rmn" w:hAnsi="Tms Rmn"/>
                <w:szCs w:val="22"/>
                <w:lang w:val="en-US"/>
              </w:rPr>
              <w:t> </w:t>
            </w:r>
            <w:r w:rsidRPr="00BD6197">
              <w:rPr>
                <w:rFonts w:ascii="Symbol" w:hAnsi="Symbol"/>
                <w:szCs w:val="22"/>
                <w:lang w:val="en-US"/>
              </w:rPr>
              <w:t></w:t>
            </w:r>
            <w:r w:rsidRPr="00BD6197">
              <w:rPr>
                <w:rFonts w:ascii="Symbol" w:hAnsi="Symbol"/>
                <w:szCs w:val="22"/>
                <w:lang w:val="en-US"/>
              </w:rPr>
              <w:sym w:font="Symbol" w:char="F0A3"/>
            </w:r>
            <w:r w:rsidRPr="00BD6197">
              <w:rPr>
                <w:szCs w:val="22"/>
                <w:lang w:val="en-US"/>
              </w:rPr>
              <w:t xml:space="preserve"> </w:t>
            </w:r>
            <w:r w:rsidRPr="00BD6197">
              <w:rPr>
                <w:szCs w:val="22"/>
                <w:lang w:val="en-US"/>
              </w:rPr>
              <w:t> </w:t>
            </w:r>
            <w:r w:rsidRPr="00BD6197">
              <w:rPr>
                <w:rFonts w:ascii="Tms Rmn" w:hAnsi="Tms Rmn"/>
                <w:szCs w:val="22"/>
                <w:lang w:val="en-US"/>
              </w:rPr>
              <w:t> </w:t>
            </w:r>
            <w:r w:rsidRPr="00BD6197">
              <w:rPr>
                <w:szCs w:val="22"/>
                <w:lang w:val="en-US"/>
              </w:rPr>
              <w:t>2</w:t>
            </w:r>
            <w:r w:rsidRPr="00BD6197">
              <w:rPr>
                <w:rFonts w:ascii="Tms Rmn" w:hAnsi="Tms Rmn"/>
                <w:szCs w:val="22"/>
                <w:lang w:val="en-US"/>
              </w:rPr>
              <w:t> </w:t>
            </w:r>
            <w:r w:rsidRPr="00BD6197">
              <w:rPr>
                <w:szCs w:val="22"/>
                <w:lang w:val="en-US"/>
              </w:rPr>
              <w:t>000</w:t>
            </w:r>
          </w:p>
        </w:tc>
        <w:tc>
          <w:tcPr>
            <w:tcW w:w="2268" w:type="dxa"/>
          </w:tcPr>
          <w:p w:rsidR="008E2005" w:rsidRPr="00BD6197" w:rsidRDefault="008E2005" w:rsidP="000F2BA7">
            <w:pPr>
              <w:pStyle w:val="Tabletext"/>
              <w:keepNext/>
              <w:keepLines/>
              <w:jc w:val="center"/>
              <w:rPr>
                <w:lang w:val="en-US"/>
              </w:rPr>
            </w:pPr>
            <w:r w:rsidRPr="00BD6197">
              <w:rPr>
                <w:szCs w:val="22"/>
                <w:lang w:val="en-US"/>
              </w:rPr>
              <w:t>500</w:t>
            </w:r>
            <w:r w:rsidRPr="00BD6197">
              <w:rPr>
                <w:rFonts w:ascii="Tms Rmn" w:hAnsi="Tms Rmn"/>
                <w:szCs w:val="22"/>
                <w:lang w:val="en-US"/>
              </w:rPr>
              <w:t> </w:t>
            </w:r>
            <w:r w:rsidRPr="00BD6197">
              <w:rPr>
                <w:szCs w:val="22"/>
                <w:lang w:val="en-US"/>
              </w:rPr>
              <w:t>000</w:t>
            </w:r>
          </w:p>
        </w:tc>
        <w:tc>
          <w:tcPr>
            <w:tcW w:w="2268" w:type="dxa"/>
          </w:tcPr>
          <w:p w:rsidR="008E2005" w:rsidRPr="00BD6197" w:rsidRDefault="008E2005" w:rsidP="000F2BA7">
            <w:pPr>
              <w:pStyle w:val="Tabletext"/>
              <w:keepNext/>
              <w:keepLines/>
              <w:jc w:val="center"/>
              <w:rPr>
                <w:lang w:val="en-US"/>
              </w:rPr>
            </w:pPr>
            <w:r w:rsidRPr="00BD6197">
              <w:rPr>
                <w:szCs w:val="22"/>
                <w:lang w:val="en-US"/>
              </w:rPr>
              <w:t>3</w:t>
            </w:r>
            <w:r w:rsidRPr="00BD6197">
              <w:rPr>
                <w:rFonts w:ascii="Tms Rmn" w:hAnsi="Tms Rmn"/>
                <w:szCs w:val="22"/>
                <w:lang w:val="en-US"/>
              </w:rPr>
              <w:t> </w:t>
            </w:r>
            <w:r w:rsidRPr="00BD6197">
              <w:rPr>
                <w:szCs w:val="22"/>
                <w:lang w:val="en-US"/>
              </w:rPr>
              <w:t>600</w:t>
            </w:r>
            <w:r w:rsidRPr="00BD6197">
              <w:rPr>
                <w:rFonts w:ascii="Tms Rmn" w:hAnsi="Tms Rmn"/>
                <w:szCs w:val="22"/>
                <w:lang w:val="en-US"/>
              </w:rPr>
              <w:t> </w:t>
            </w:r>
            <w:r w:rsidRPr="00BD6197">
              <w:rPr>
                <w:szCs w:val="22"/>
                <w:lang w:val="en-US"/>
              </w:rPr>
              <w:t>000</w:t>
            </w:r>
          </w:p>
        </w:tc>
      </w:tr>
      <w:tr w:rsidR="008E2005" w:rsidRPr="00BD6197" w:rsidTr="000F2BA7">
        <w:trPr>
          <w:jc w:val="center"/>
        </w:trPr>
        <w:tc>
          <w:tcPr>
            <w:tcW w:w="2835" w:type="dxa"/>
          </w:tcPr>
          <w:p w:rsidR="008E2005" w:rsidRPr="00BD6197" w:rsidRDefault="008E2005" w:rsidP="000F2BA7">
            <w:pPr>
              <w:pStyle w:val="Tabletext"/>
              <w:keepNext/>
              <w:keepLines/>
              <w:jc w:val="center"/>
              <w:rPr>
                <w:lang w:val="en-US"/>
              </w:rPr>
            </w:pPr>
            <w:r w:rsidRPr="00BD6197">
              <w:rPr>
                <w:i/>
                <w:iCs/>
                <w:szCs w:val="22"/>
                <w:lang w:val="en-US"/>
              </w:rPr>
              <w:t>N</w:t>
            </w:r>
            <w:r w:rsidRPr="00BD6197">
              <w:rPr>
                <w:i/>
                <w:iCs/>
                <w:vertAlign w:val="subscript"/>
                <w:lang w:val="en-US"/>
              </w:rPr>
              <w:t>a</w:t>
            </w:r>
            <w:r w:rsidRPr="00BD6197">
              <w:rPr>
                <w:szCs w:val="22"/>
                <w:lang w:val="en-US"/>
              </w:rPr>
              <w:t xml:space="preserve"> </w:t>
            </w:r>
            <w:r w:rsidRPr="00BD6197">
              <w:rPr>
                <w:rFonts w:ascii="Tms Rmn" w:hAnsi="Tms Rmn"/>
                <w:szCs w:val="22"/>
                <w:lang w:val="en-US"/>
              </w:rPr>
              <w:t> </w:t>
            </w:r>
            <w:r w:rsidRPr="00BD6197">
              <w:rPr>
                <w:rFonts w:ascii="Symbol" w:hAnsi="Symbol"/>
                <w:szCs w:val="22"/>
                <w:lang w:val="en-US"/>
              </w:rPr>
              <w:t></w:t>
            </w:r>
            <w:r w:rsidRPr="00BD6197">
              <w:rPr>
                <w:rFonts w:ascii="Symbol" w:hAnsi="Symbol"/>
                <w:szCs w:val="22"/>
                <w:lang w:val="en-US"/>
              </w:rPr>
              <w:sym w:font="Symbol" w:char="F0A3"/>
            </w:r>
            <w:r w:rsidRPr="00BD6197">
              <w:rPr>
                <w:szCs w:val="22"/>
                <w:lang w:val="en-US"/>
              </w:rPr>
              <w:t xml:space="preserve"> </w:t>
            </w:r>
            <w:r w:rsidRPr="00BD6197">
              <w:rPr>
                <w:rFonts w:ascii="Tms Rmn" w:hAnsi="Tms Rmn"/>
                <w:szCs w:val="22"/>
                <w:lang w:val="en-US"/>
              </w:rPr>
              <w:t> </w:t>
            </w:r>
            <w:r w:rsidRPr="00BD6197">
              <w:rPr>
                <w:szCs w:val="22"/>
                <w:lang w:val="en-US"/>
              </w:rPr>
              <w:t>10</w:t>
            </w:r>
            <w:r w:rsidRPr="00BD6197">
              <w:rPr>
                <w:rFonts w:ascii="Tms Rmn" w:hAnsi="Tms Rmn"/>
                <w:szCs w:val="22"/>
                <w:lang w:val="en-US"/>
              </w:rPr>
              <w:t> </w:t>
            </w:r>
            <w:r w:rsidRPr="00BD6197">
              <w:rPr>
                <w:szCs w:val="22"/>
                <w:lang w:val="en-US"/>
              </w:rPr>
              <w:t>000</w:t>
            </w:r>
          </w:p>
        </w:tc>
        <w:tc>
          <w:tcPr>
            <w:tcW w:w="2268" w:type="dxa"/>
          </w:tcPr>
          <w:p w:rsidR="008E2005" w:rsidRPr="00BD6197" w:rsidRDefault="008E2005" w:rsidP="000F2BA7">
            <w:pPr>
              <w:pStyle w:val="Tabletext"/>
              <w:keepNext/>
              <w:keepLines/>
              <w:jc w:val="center"/>
              <w:rPr>
                <w:lang w:val="en-US"/>
              </w:rPr>
            </w:pPr>
            <w:r w:rsidRPr="00BD6197">
              <w:rPr>
                <w:szCs w:val="22"/>
                <w:lang w:val="en-US"/>
              </w:rPr>
              <w:t>1</w:t>
            </w:r>
            <w:r w:rsidRPr="00BD6197">
              <w:rPr>
                <w:rFonts w:ascii="Tms Rmn" w:hAnsi="Tms Rmn"/>
                <w:szCs w:val="22"/>
                <w:lang w:val="en-US"/>
              </w:rPr>
              <w:t> </w:t>
            </w:r>
            <w:r w:rsidRPr="00BD6197">
              <w:rPr>
                <w:szCs w:val="22"/>
                <w:lang w:val="en-US"/>
              </w:rPr>
              <w:t>300</w:t>
            </w:r>
            <w:r w:rsidRPr="00BD6197">
              <w:rPr>
                <w:rFonts w:ascii="Tms Rmn" w:hAnsi="Tms Rmn"/>
                <w:szCs w:val="22"/>
                <w:lang w:val="en-US"/>
              </w:rPr>
              <w:t> </w:t>
            </w:r>
            <w:r w:rsidRPr="00BD6197">
              <w:rPr>
                <w:szCs w:val="22"/>
                <w:lang w:val="en-US"/>
              </w:rPr>
              <w:t>000</w:t>
            </w:r>
          </w:p>
        </w:tc>
        <w:tc>
          <w:tcPr>
            <w:tcW w:w="2268" w:type="dxa"/>
          </w:tcPr>
          <w:p w:rsidR="008E2005" w:rsidRPr="00BD6197" w:rsidRDefault="008E2005" w:rsidP="000F2BA7">
            <w:pPr>
              <w:pStyle w:val="Tabletext"/>
              <w:keepNext/>
              <w:keepLines/>
              <w:jc w:val="center"/>
              <w:rPr>
                <w:lang w:val="en-US"/>
              </w:rPr>
            </w:pPr>
            <w:r w:rsidRPr="00BD6197">
              <w:rPr>
                <w:szCs w:val="22"/>
                <w:lang w:val="en-US"/>
              </w:rPr>
              <w:t>4</w:t>
            </w:r>
            <w:r w:rsidRPr="00BD6197">
              <w:rPr>
                <w:rFonts w:ascii="Tms Rmn" w:hAnsi="Tms Rmn"/>
                <w:szCs w:val="22"/>
                <w:lang w:val="en-US"/>
              </w:rPr>
              <w:t> </w:t>
            </w:r>
            <w:r w:rsidRPr="00BD6197">
              <w:rPr>
                <w:szCs w:val="22"/>
                <w:lang w:val="en-US"/>
              </w:rPr>
              <w:t>000</w:t>
            </w:r>
            <w:r w:rsidRPr="00BD6197">
              <w:rPr>
                <w:rFonts w:ascii="Tms Rmn" w:hAnsi="Tms Rmn"/>
                <w:szCs w:val="22"/>
                <w:lang w:val="en-US"/>
              </w:rPr>
              <w:t> </w:t>
            </w:r>
            <w:r w:rsidRPr="00BD6197">
              <w:rPr>
                <w:szCs w:val="22"/>
                <w:lang w:val="en-US"/>
              </w:rPr>
              <w:t>000</w:t>
            </w:r>
          </w:p>
        </w:tc>
      </w:tr>
      <w:tr w:rsidR="008E2005" w:rsidRPr="00BD6197" w:rsidTr="000F2BA7">
        <w:trPr>
          <w:jc w:val="center"/>
        </w:trPr>
        <w:tc>
          <w:tcPr>
            <w:tcW w:w="2835" w:type="dxa"/>
          </w:tcPr>
          <w:p w:rsidR="008E2005" w:rsidRPr="00BD6197" w:rsidRDefault="008E2005" w:rsidP="000F2BA7">
            <w:pPr>
              <w:pStyle w:val="Tabletext"/>
              <w:keepNext/>
              <w:keepLines/>
              <w:jc w:val="center"/>
              <w:rPr>
                <w:lang w:val="en-US"/>
              </w:rPr>
            </w:pPr>
            <w:r w:rsidRPr="00BD6197">
              <w:rPr>
                <w:i/>
                <w:iCs/>
                <w:szCs w:val="22"/>
                <w:lang w:val="en-US"/>
              </w:rPr>
              <w:t>N</w:t>
            </w:r>
            <w:r w:rsidRPr="00BD6197">
              <w:rPr>
                <w:i/>
                <w:iCs/>
                <w:vertAlign w:val="subscript"/>
                <w:lang w:val="en-US"/>
              </w:rPr>
              <w:t>a</w:t>
            </w:r>
            <w:r w:rsidRPr="00BD6197">
              <w:rPr>
                <w:szCs w:val="22"/>
                <w:lang w:val="en-US"/>
              </w:rPr>
              <w:t xml:space="preserve"> </w:t>
            </w:r>
            <w:r w:rsidRPr="00BD6197">
              <w:rPr>
                <w:rFonts w:ascii="Tms Rmn" w:hAnsi="Tms Rmn"/>
                <w:szCs w:val="22"/>
                <w:lang w:val="en-US"/>
              </w:rPr>
              <w:t> </w:t>
            </w:r>
            <w:r w:rsidRPr="00BD6197">
              <w:rPr>
                <w:rFonts w:ascii="Symbol" w:hAnsi="Symbol"/>
                <w:szCs w:val="22"/>
                <w:lang w:val="en-US"/>
              </w:rPr>
              <w:t></w:t>
            </w:r>
            <w:r w:rsidRPr="00BD6197">
              <w:rPr>
                <w:rFonts w:ascii="Symbol" w:hAnsi="Symbol"/>
                <w:szCs w:val="22"/>
                <w:lang w:val="en-US"/>
              </w:rPr>
              <w:sym w:font="Symbol" w:char="F0A3"/>
            </w:r>
            <w:r w:rsidRPr="00BD6197">
              <w:rPr>
                <w:szCs w:val="22"/>
                <w:lang w:val="en-US"/>
              </w:rPr>
              <w:t xml:space="preserve"> </w:t>
            </w:r>
            <w:r w:rsidRPr="00BD6197">
              <w:rPr>
                <w:rFonts w:ascii="Tms Rmn" w:hAnsi="Tms Rmn"/>
                <w:szCs w:val="22"/>
                <w:lang w:val="en-US"/>
              </w:rPr>
              <w:t> </w:t>
            </w:r>
            <w:r w:rsidRPr="00BD6197">
              <w:rPr>
                <w:szCs w:val="22"/>
                <w:lang w:val="en-US"/>
              </w:rPr>
              <w:t>50</w:t>
            </w:r>
            <w:r w:rsidRPr="00BD6197">
              <w:rPr>
                <w:rFonts w:ascii="Tms Rmn" w:hAnsi="Tms Rmn"/>
                <w:szCs w:val="22"/>
                <w:lang w:val="en-US"/>
              </w:rPr>
              <w:t> </w:t>
            </w:r>
            <w:r w:rsidRPr="00BD6197">
              <w:rPr>
                <w:szCs w:val="22"/>
                <w:lang w:val="en-US"/>
              </w:rPr>
              <w:t>000</w:t>
            </w:r>
          </w:p>
        </w:tc>
        <w:tc>
          <w:tcPr>
            <w:tcW w:w="2268" w:type="dxa"/>
          </w:tcPr>
          <w:p w:rsidR="008E2005" w:rsidRPr="00BD6197" w:rsidRDefault="008E2005" w:rsidP="000F2BA7">
            <w:pPr>
              <w:pStyle w:val="Tabletext"/>
              <w:keepNext/>
              <w:keepLines/>
              <w:jc w:val="center"/>
              <w:rPr>
                <w:lang w:val="en-US"/>
              </w:rPr>
            </w:pPr>
            <w:r w:rsidRPr="00BD6197">
              <w:rPr>
                <w:szCs w:val="22"/>
                <w:lang w:val="en-US"/>
              </w:rPr>
              <w:t>3</w:t>
            </w:r>
            <w:r w:rsidRPr="00BD6197">
              <w:rPr>
                <w:rFonts w:ascii="Tms Rmn" w:hAnsi="Tms Rmn"/>
                <w:szCs w:val="22"/>
                <w:lang w:val="en-US"/>
              </w:rPr>
              <w:t> </w:t>
            </w:r>
            <w:r w:rsidRPr="00BD6197">
              <w:rPr>
                <w:szCs w:val="22"/>
                <w:lang w:val="en-US"/>
              </w:rPr>
              <w:t>000</w:t>
            </w:r>
            <w:r w:rsidRPr="00BD6197">
              <w:rPr>
                <w:rFonts w:ascii="Tms Rmn" w:hAnsi="Tms Rmn"/>
                <w:szCs w:val="22"/>
                <w:lang w:val="en-US"/>
              </w:rPr>
              <w:t> </w:t>
            </w:r>
            <w:r w:rsidRPr="00BD6197">
              <w:rPr>
                <w:szCs w:val="22"/>
                <w:lang w:val="en-US"/>
              </w:rPr>
              <w:t>000</w:t>
            </w:r>
          </w:p>
        </w:tc>
        <w:tc>
          <w:tcPr>
            <w:tcW w:w="2268" w:type="dxa"/>
          </w:tcPr>
          <w:p w:rsidR="008E2005" w:rsidRPr="00BD6197" w:rsidRDefault="008E2005" w:rsidP="000F2BA7">
            <w:pPr>
              <w:pStyle w:val="Tabletext"/>
              <w:keepNext/>
              <w:keepLines/>
              <w:jc w:val="center"/>
              <w:rPr>
                <w:lang w:val="en-US"/>
              </w:rPr>
            </w:pPr>
            <w:r w:rsidRPr="00BD6197">
              <w:rPr>
                <w:szCs w:val="22"/>
                <w:lang w:val="en-US"/>
              </w:rPr>
              <w:t>5</w:t>
            </w:r>
            <w:r w:rsidRPr="00BD6197">
              <w:rPr>
                <w:rFonts w:ascii="Tms Rmn" w:hAnsi="Tms Rmn"/>
                <w:szCs w:val="22"/>
                <w:lang w:val="en-US"/>
              </w:rPr>
              <w:t> </w:t>
            </w:r>
            <w:r w:rsidRPr="00BD6197">
              <w:rPr>
                <w:szCs w:val="22"/>
                <w:lang w:val="en-US"/>
              </w:rPr>
              <w:t>000</w:t>
            </w:r>
            <w:r w:rsidRPr="00BD6197">
              <w:rPr>
                <w:rFonts w:ascii="Tms Rmn" w:hAnsi="Tms Rmn"/>
                <w:szCs w:val="22"/>
                <w:lang w:val="en-US"/>
              </w:rPr>
              <w:t> </w:t>
            </w:r>
            <w:r w:rsidRPr="00BD6197">
              <w:rPr>
                <w:szCs w:val="22"/>
                <w:lang w:val="en-US"/>
              </w:rPr>
              <w:t>000</w:t>
            </w:r>
          </w:p>
        </w:tc>
      </w:tr>
    </w:tbl>
    <w:p w:rsidR="008E2005" w:rsidRPr="00BD6197" w:rsidRDefault="008E2005" w:rsidP="008E2005">
      <w:pPr>
        <w:pStyle w:val="Tablefin"/>
        <w:rPr>
          <w:lang w:val="en-US"/>
        </w:rPr>
      </w:pPr>
    </w:p>
    <w:p w:rsidR="008E2005" w:rsidRPr="00BD6197" w:rsidRDefault="008E2005" w:rsidP="003F76DB">
      <w:pPr>
        <w:rPr>
          <w:lang w:val="en-US"/>
        </w:rPr>
      </w:pPr>
      <w:r w:rsidRPr="00BD6197">
        <w:rPr>
          <w:lang w:val="en-US"/>
        </w:rPr>
        <w:t xml:space="preserve">The cost </w:t>
      </w:r>
      <w:r w:rsidRPr="00BD6197">
        <w:rPr>
          <w:i/>
          <w:iCs/>
          <w:lang w:val="en-US"/>
        </w:rPr>
        <w:t>K</w:t>
      </w:r>
      <w:r w:rsidRPr="00BD6197">
        <w:rPr>
          <w:vertAlign w:val="subscript"/>
          <w:lang w:val="en-US"/>
        </w:rPr>
        <w:t>4</w:t>
      </w:r>
      <w:r w:rsidRPr="00BD6197">
        <w:rPr>
          <w:lang w:val="en-US"/>
        </w:rPr>
        <w:t xml:space="preserve"> is determined from the data in Table </w:t>
      </w:r>
      <w:r w:rsidR="003F76DB">
        <w:rPr>
          <w:lang w:val="en-US"/>
        </w:rPr>
        <w:t>22</w:t>
      </w:r>
      <w:r w:rsidRPr="00BD6197">
        <w:rPr>
          <w:lang w:val="en-US"/>
        </w:rPr>
        <w:t>. Calculations are made for the case in which the mobile network uses a very simple billing system for 10</w:t>
      </w:r>
      <w:r w:rsidRPr="00BD6197">
        <w:rPr>
          <w:rFonts w:ascii="Tms Rmn" w:hAnsi="Tms Rmn"/>
          <w:sz w:val="12"/>
          <w:lang w:val="en-US"/>
        </w:rPr>
        <w:t> </w:t>
      </w:r>
      <w:r w:rsidRPr="00BD6197">
        <w:rPr>
          <w:lang w:val="en-US"/>
        </w:rPr>
        <w:t>000 subscribers that can be expanded as required as the number of subscribers increases.</w:t>
      </w:r>
    </w:p>
    <w:p w:rsidR="008E2005" w:rsidRPr="00BD6197" w:rsidRDefault="008E2005" w:rsidP="003F76DB">
      <w:pPr>
        <w:pStyle w:val="TableNo"/>
        <w:rPr>
          <w:lang w:val="en-US"/>
        </w:rPr>
      </w:pPr>
      <w:r w:rsidRPr="00BD6197">
        <w:rPr>
          <w:lang w:val="en-US"/>
        </w:rPr>
        <w:t xml:space="preserve">TABLE </w:t>
      </w:r>
      <w:r w:rsidR="003F76DB">
        <w:rPr>
          <w:lang w:val="en-US"/>
        </w:rPr>
        <w:t>22</w:t>
      </w:r>
    </w:p>
    <w:tbl>
      <w:tblPr>
        <w:tblW w:w="0" w:type="auto"/>
        <w:jc w:val="center"/>
        <w:tblLayout w:type="fixed"/>
        <w:tblLook w:val="0000" w:firstRow="0" w:lastRow="0" w:firstColumn="0" w:lastColumn="0" w:noHBand="0" w:noVBand="0"/>
      </w:tblPr>
      <w:tblGrid>
        <w:gridCol w:w="5954"/>
        <w:gridCol w:w="2268"/>
      </w:tblGrid>
      <w:tr w:rsidR="008E2005" w:rsidRPr="00BD6197" w:rsidTr="000F2BA7">
        <w:trPr>
          <w:jc w:val="center"/>
        </w:trPr>
        <w:tc>
          <w:tcPr>
            <w:tcW w:w="5954" w:type="dxa"/>
            <w:tcBorders>
              <w:top w:val="single" w:sz="6" w:space="0" w:color="auto"/>
              <w:left w:val="single" w:sz="6" w:space="0" w:color="auto"/>
              <w:bottom w:val="single" w:sz="4" w:space="0" w:color="auto"/>
              <w:right w:val="single" w:sz="6" w:space="0" w:color="auto"/>
            </w:tcBorders>
            <w:vAlign w:val="center"/>
          </w:tcPr>
          <w:p w:rsidR="008E2005" w:rsidRPr="00BD6197" w:rsidRDefault="008E2005" w:rsidP="000F2BA7">
            <w:pPr>
              <w:pStyle w:val="Tablehead"/>
              <w:rPr>
                <w:lang w:val="en-US"/>
              </w:rPr>
            </w:pPr>
            <w:r w:rsidRPr="00BD6197">
              <w:rPr>
                <w:lang w:val="en-US"/>
              </w:rPr>
              <w:t>Type of system</w:t>
            </w:r>
          </w:p>
        </w:tc>
        <w:tc>
          <w:tcPr>
            <w:tcW w:w="2268" w:type="dxa"/>
            <w:tcBorders>
              <w:top w:val="single" w:sz="6" w:space="0" w:color="auto"/>
              <w:left w:val="single" w:sz="6" w:space="0" w:color="auto"/>
              <w:bottom w:val="single" w:sz="4" w:space="0" w:color="auto"/>
              <w:right w:val="single" w:sz="6" w:space="0" w:color="auto"/>
            </w:tcBorders>
            <w:vAlign w:val="center"/>
          </w:tcPr>
          <w:p w:rsidR="008E2005" w:rsidRPr="00BD6197" w:rsidRDefault="008E2005" w:rsidP="000F2BA7">
            <w:pPr>
              <w:pStyle w:val="Tablehead"/>
              <w:rPr>
                <w:lang w:val="en-US"/>
              </w:rPr>
            </w:pPr>
            <w:r w:rsidRPr="00BD6197">
              <w:rPr>
                <w:lang w:val="en-US"/>
              </w:rPr>
              <w:t xml:space="preserve">Cost </w:t>
            </w:r>
            <w:r w:rsidRPr="00BD6197">
              <w:rPr>
                <w:bCs/>
                <w:i/>
                <w:iCs/>
                <w:lang w:val="en-US"/>
              </w:rPr>
              <w:t>K</w:t>
            </w:r>
            <w:r w:rsidRPr="00BD6197">
              <w:rPr>
                <w:vertAlign w:val="subscript"/>
                <w:lang w:val="en-US"/>
              </w:rPr>
              <w:t>4</w:t>
            </w:r>
            <w:r w:rsidRPr="00BD6197">
              <w:rPr>
                <w:lang w:val="en-US"/>
              </w:rPr>
              <w:br/>
              <w:t>(USD)</w:t>
            </w:r>
          </w:p>
        </w:tc>
      </w:tr>
      <w:tr w:rsidR="008E2005" w:rsidRPr="00BD6197" w:rsidTr="000F2BA7">
        <w:trPr>
          <w:jc w:val="center"/>
        </w:trPr>
        <w:tc>
          <w:tcPr>
            <w:tcW w:w="5954"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rPr>
                <w:lang w:val="en-US"/>
              </w:rPr>
            </w:pPr>
            <w:r w:rsidRPr="00BD6197">
              <w:rPr>
                <w:lang w:val="en-US"/>
              </w:rPr>
              <w:t>Simple system for 5</w:t>
            </w:r>
            <w:r w:rsidRPr="00BD6197">
              <w:rPr>
                <w:rFonts w:ascii="Tms Rmn" w:hAnsi="Tms Rmn"/>
                <w:lang w:val="en-US"/>
              </w:rPr>
              <w:t> </w:t>
            </w:r>
            <w:r w:rsidRPr="00BD6197">
              <w:rPr>
                <w:lang w:val="en-US"/>
              </w:rPr>
              <w:t>000 subscribers</w:t>
            </w:r>
          </w:p>
        </w:tc>
        <w:tc>
          <w:tcPr>
            <w:tcW w:w="2268"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jc w:val="center"/>
              <w:rPr>
                <w:lang w:val="en-US"/>
              </w:rPr>
            </w:pPr>
            <w:r w:rsidRPr="00BD6197">
              <w:rPr>
                <w:szCs w:val="22"/>
                <w:lang w:val="en-US"/>
              </w:rPr>
              <w:t>130</w:t>
            </w:r>
            <w:r w:rsidRPr="00BD6197">
              <w:rPr>
                <w:rFonts w:ascii="Tms Rmn" w:hAnsi="Tms Rmn"/>
                <w:szCs w:val="22"/>
                <w:lang w:val="en-US"/>
              </w:rPr>
              <w:t> </w:t>
            </w:r>
            <w:r w:rsidRPr="00BD6197">
              <w:rPr>
                <w:szCs w:val="22"/>
                <w:lang w:val="en-US"/>
              </w:rPr>
              <w:t>000</w:t>
            </w:r>
          </w:p>
        </w:tc>
      </w:tr>
      <w:tr w:rsidR="008E2005" w:rsidRPr="00BD6197" w:rsidTr="000F2BA7">
        <w:trPr>
          <w:jc w:val="center"/>
        </w:trPr>
        <w:tc>
          <w:tcPr>
            <w:tcW w:w="5954"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rPr>
                <w:lang w:val="en-US"/>
              </w:rPr>
            </w:pPr>
            <w:r w:rsidRPr="00BD6197">
              <w:rPr>
                <w:lang w:val="en-US"/>
              </w:rPr>
              <w:t>Simple billing system for 10</w:t>
            </w:r>
            <w:r w:rsidRPr="00BD6197">
              <w:rPr>
                <w:rFonts w:ascii="Tms Rmn" w:hAnsi="Tms Rmn"/>
                <w:lang w:val="en-US"/>
              </w:rPr>
              <w:t> </w:t>
            </w:r>
            <w:r w:rsidRPr="00BD6197">
              <w:rPr>
                <w:lang w:val="en-US"/>
              </w:rPr>
              <w:t>000 subscribers</w:t>
            </w:r>
          </w:p>
        </w:tc>
        <w:tc>
          <w:tcPr>
            <w:tcW w:w="2268"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jc w:val="center"/>
              <w:rPr>
                <w:lang w:val="en-US"/>
              </w:rPr>
            </w:pPr>
            <w:r w:rsidRPr="00BD6197">
              <w:rPr>
                <w:szCs w:val="22"/>
                <w:lang w:val="en-US"/>
              </w:rPr>
              <w:t>240</w:t>
            </w:r>
            <w:r w:rsidRPr="00BD6197">
              <w:rPr>
                <w:rFonts w:ascii="Tms Rmn" w:hAnsi="Tms Rmn"/>
                <w:szCs w:val="22"/>
                <w:lang w:val="en-US"/>
              </w:rPr>
              <w:t> </w:t>
            </w:r>
            <w:r w:rsidRPr="00BD6197">
              <w:rPr>
                <w:szCs w:val="22"/>
                <w:lang w:val="en-US"/>
              </w:rPr>
              <w:t>000</w:t>
            </w:r>
          </w:p>
        </w:tc>
      </w:tr>
      <w:tr w:rsidR="008E2005" w:rsidRPr="00BD6197" w:rsidTr="000F2BA7">
        <w:trPr>
          <w:jc w:val="center"/>
        </w:trPr>
        <w:tc>
          <w:tcPr>
            <w:tcW w:w="5954"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rPr>
                <w:lang w:val="en-US"/>
              </w:rPr>
            </w:pPr>
            <w:r w:rsidRPr="00BD6197">
              <w:rPr>
                <w:lang w:val="en-US"/>
              </w:rPr>
              <w:t>System with additional capabilities up to 10</w:t>
            </w:r>
            <w:r w:rsidRPr="00BD6197">
              <w:rPr>
                <w:rFonts w:ascii="Tms Rmn" w:hAnsi="Tms Rmn"/>
                <w:lang w:val="en-US"/>
              </w:rPr>
              <w:t> </w:t>
            </w:r>
            <w:r w:rsidRPr="00BD6197">
              <w:rPr>
                <w:lang w:val="en-US"/>
              </w:rPr>
              <w:t>000 subscribers</w:t>
            </w:r>
          </w:p>
        </w:tc>
        <w:tc>
          <w:tcPr>
            <w:tcW w:w="2268"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jc w:val="center"/>
              <w:rPr>
                <w:lang w:val="en-US"/>
              </w:rPr>
            </w:pPr>
            <w:r w:rsidRPr="00BD6197">
              <w:rPr>
                <w:szCs w:val="22"/>
                <w:lang w:val="en-US"/>
              </w:rPr>
              <w:t>750</w:t>
            </w:r>
            <w:r w:rsidRPr="00BD6197">
              <w:rPr>
                <w:rFonts w:ascii="Tms Rmn" w:hAnsi="Tms Rmn"/>
                <w:szCs w:val="22"/>
                <w:lang w:val="en-US"/>
              </w:rPr>
              <w:t> </w:t>
            </w:r>
            <w:r w:rsidRPr="00BD6197">
              <w:rPr>
                <w:szCs w:val="22"/>
                <w:lang w:val="en-US"/>
              </w:rPr>
              <w:t>000</w:t>
            </w:r>
          </w:p>
        </w:tc>
      </w:tr>
      <w:tr w:rsidR="008E2005" w:rsidRPr="00BD6197" w:rsidTr="000F2BA7">
        <w:trPr>
          <w:jc w:val="center"/>
        </w:trPr>
        <w:tc>
          <w:tcPr>
            <w:tcW w:w="5954"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rPr>
                <w:lang w:val="en-US"/>
              </w:rPr>
            </w:pPr>
            <w:r w:rsidRPr="00BD6197">
              <w:rPr>
                <w:lang w:val="en-US"/>
              </w:rPr>
              <w:t>System with additional capabilities up to 100</w:t>
            </w:r>
            <w:r w:rsidRPr="00BD6197">
              <w:rPr>
                <w:rFonts w:ascii="Tms Rmn" w:hAnsi="Tms Rmn"/>
                <w:lang w:val="en-US"/>
              </w:rPr>
              <w:t> </w:t>
            </w:r>
            <w:r w:rsidRPr="00BD6197">
              <w:rPr>
                <w:lang w:val="en-US"/>
              </w:rPr>
              <w:t>000 subscribers</w:t>
            </w:r>
          </w:p>
        </w:tc>
        <w:tc>
          <w:tcPr>
            <w:tcW w:w="2268"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jc w:val="center"/>
              <w:rPr>
                <w:lang w:val="en-US"/>
              </w:rPr>
            </w:pPr>
            <w:r w:rsidRPr="00BD6197">
              <w:rPr>
                <w:szCs w:val="22"/>
                <w:lang w:val="en-US"/>
              </w:rPr>
              <w:t>1</w:t>
            </w:r>
            <w:r w:rsidRPr="00BD6197">
              <w:rPr>
                <w:rFonts w:ascii="Tms Rmn" w:hAnsi="Tms Rmn"/>
                <w:szCs w:val="22"/>
                <w:lang w:val="en-US"/>
              </w:rPr>
              <w:t> </w:t>
            </w:r>
            <w:r w:rsidRPr="00BD6197">
              <w:rPr>
                <w:szCs w:val="22"/>
                <w:lang w:val="en-US"/>
              </w:rPr>
              <w:t>400</w:t>
            </w:r>
            <w:r w:rsidRPr="00BD6197">
              <w:rPr>
                <w:rFonts w:ascii="Tms Rmn" w:hAnsi="Tms Rmn"/>
                <w:szCs w:val="22"/>
                <w:lang w:val="en-US"/>
              </w:rPr>
              <w:t> </w:t>
            </w:r>
            <w:r w:rsidRPr="00BD6197">
              <w:rPr>
                <w:szCs w:val="22"/>
                <w:lang w:val="en-US"/>
              </w:rPr>
              <w:t>000</w:t>
            </w:r>
          </w:p>
        </w:tc>
      </w:tr>
    </w:tbl>
    <w:p w:rsidR="008E2005" w:rsidRPr="00BD6197" w:rsidRDefault="008E2005" w:rsidP="008E2005">
      <w:pPr>
        <w:pStyle w:val="Tablefin"/>
        <w:rPr>
          <w:lang w:val="en-US"/>
        </w:rPr>
      </w:pPr>
    </w:p>
    <w:p w:rsidR="008E2005" w:rsidRPr="00BD6197" w:rsidRDefault="008E2005" w:rsidP="008E2005">
      <w:pPr>
        <w:rPr>
          <w:lang w:val="en-US"/>
        </w:rPr>
      </w:pPr>
      <w:r w:rsidRPr="00BD6197">
        <w:rPr>
          <w:lang w:val="en-US"/>
        </w:rPr>
        <w:t xml:space="preserve">For determining the costs of establishing communication links between the BS and SC, the number of communication links, </w:t>
      </w:r>
      <w:r w:rsidRPr="00BD6197">
        <w:rPr>
          <w:i/>
          <w:iCs/>
          <w:lang w:val="en-US"/>
        </w:rPr>
        <w:t>N</w:t>
      </w:r>
      <w:r w:rsidRPr="00BD6197">
        <w:rPr>
          <w:i/>
          <w:iCs/>
          <w:vertAlign w:val="subscript"/>
          <w:lang w:val="en-US"/>
        </w:rPr>
        <w:t>ck</w:t>
      </w:r>
      <w:r w:rsidRPr="00BD6197">
        <w:rPr>
          <w:lang w:val="en-US"/>
        </w:rPr>
        <w:t>, needed to connect one BS to the SC can be calculated. In cellular mobile networks, two types of communication links can be used, with a capacity of 60 or 30 telephone channels (with a transmission speed of 2 or 4 Mbit/s). The required number of communication links with a capacity of 30 telephone channels is as follows:</w:t>
      </w:r>
    </w:p>
    <w:p w:rsidR="008E2005" w:rsidRPr="00BD6197" w:rsidRDefault="008E2005" w:rsidP="008E2005">
      <w:pPr>
        <w:pStyle w:val="Blanc"/>
        <w:rPr>
          <w:lang w:val="en-US"/>
        </w:rPr>
      </w:pPr>
    </w:p>
    <w:p w:rsidR="008E2005" w:rsidRPr="00BD6197" w:rsidRDefault="008E2005" w:rsidP="008E2005">
      <w:pPr>
        <w:pStyle w:val="Equation"/>
        <w:rPr>
          <w:lang w:val="en-US"/>
        </w:rPr>
      </w:pPr>
      <w:r w:rsidRPr="00BD6197">
        <w:rPr>
          <w:lang w:val="en-US"/>
        </w:rPr>
        <w:tab/>
      </w:r>
      <w:r w:rsidRPr="00BD6197">
        <w:rPr>
          <w:lang w:val="en-US"/>
        </w:rPr>
        <w:tab/>
      </w:r>
      <w:r w:rsidRPr="00BD6197">
        <w:rPr>
          <w:position w:val="-12"/>
          <w:lang w:val="en-US"/>
        </w:rPr>
        <w:object w:dxaOrig="2740" w:dyaOrig="360">
          <v:shape id="_x0000_i1098" type="#_x0000_t75" style="width:135pt;height:19.5pt" o:ole="">
            <v:imagedata r:id="rId170" o:title=""/>
          </v:shape>
          <o:OLEObject Type="Embed" ProgID="Equation.3" ShapeID="_x0000_i1098" DrawAspect="Content" ObjectID="_1604325052" r:id="rId171"/>
        </w:object>
      </w:r>
    </w:p>
    <w:p w:rsidR="008E2005" w:rsidRPr="00BD6197" w:rsidRDefault="008E2005" w:rsidP="008E2005">
      <w:pPr>
        <w:pStyle w:val="Blanc"/>
        <w:rPr>
          <w:lang w:val="en-US"/>
        </w:rPr>
      </w:pPr>
    </w:p>
    <w:p w:rsidR="008E2005" w:rsidRPr="00BD6197" w:rsidRDefault="008E2005" w:rsidP="008E2005">
      <w:pPr>
        <w:rPr>
          <w:lang w:val="en-US"/>
        </w:rPr>
      </w:pPr>
      <w:r w:rsidRPr="00BD6197">
        <w:rPr>
          <w:lang w:val="en-US"/>
        </w:rPr>
        <w:t>In order to reduce the capital outlay for BS-SC connections, communication links of Type 1 should be used as much as possible. The number of such links will be:</w:t>
      </w:r>
    </w:p>
    <w:p w:rsidR="008E2005" w:rsidRPr="00BD6197" w:rsidRDefault="008E2005" w:rsidP="008E2005">
      <w:pPr>
        <w:pStyle w:val="Blanc"/>
        <w:rPr>
          <w:lang w:val="en-US"/>
        </w:rPr>
      </w:pPr>
    </w:p>
    <w:p w:rsidR="008E2005" w:rsidRPr="00BD6197" w:rsidRDefault="008E2005" w:rsidP="008E2005">
      <w:pPr>
        <w:pStyle w:val="Equation"/>
        <w:rPr>
          <w:lang w:val="en-US"/>
        </w:rPr>
      </w:pPr>
      <w:r w:rsidRPr="00BD6197">
        <w:rPr>
          <w:lang w:val="en-US"/>
        </w:rPr>
        <w:tab/>
      </w:r>
      <w:r w:rsidRPr="00BD6197">
        <w:rPr>
          <w:lang w:val="en-US"/>
        </w:rPr>
        <w:tab/>
      </w:r>
      <w:r w:rsidRPr="00BD6197">
        <w:rPr>
          <w:position w:val="-12"/>
          <w:lang w:val="en-US"/>
        </w:rPr>
        <w:object w:dxaOrig="1780" w:dyaOrig="360">
          <v:shape id="_x0000_i1099" type="#_x0000_t75" style="width:88.5pt;height:19.5pt" o:ole="">
            <v:imagedata r:id="rId172" o:title=""/>
          </v:shape>
          <o:OLEObject Type="Embed" ProgID="Equation.3" ShapeID="_x0000_i1099" DrawAspect="Content" ObjectID="_1604325053" r:id="rId173"/>
        </w:object>
      </w:r>
    </w:p>
    <w:p w:rsidR="008E2005" w:rsidRPr="00BD6197" w:rsidRDefault="008E2005" w:rsidP="008E2005">
      <w:pPr>
        <w:rPr>
          <w:lang w:val="en-US"/>
        </w:rPr>
      </w:pPr>
      <w:r w:rsidRPr="00BD6197">
        <w:rPr>
          <w:lang w:val="en-US"/>
        </w:rPr>
        <w:t xml:space="preserve">If </w:t>
      </w:r>
      <w:r w:rsidRPr="00BD6197">
        <w:rPr>
          <w:i/>
          <w:iCs/>
          <w:lang w:val="en-US"/>
        </w:rPr>
        <w:t>N</w:t>
      </w:r>
      <w:r w:rsidRPr="00BD6197">
        <w:rPr>
          <w:vertAlign w:val="subscript"/>
          <w:lang w:val="en-US"/>
        </w:rPr>
        <w:t>30</w:t>
      </w:r>
      <w:r w:rsidRPr="00BD6197">
        <w:rPr>
          <w:lang w:val="en-US"/>
        </w:rPr>
        <w:t xml:space="preserve"> is an even number, then the given number of type 1 communication links is sufficient for BS</w:t>
      </w:r>
      <w:r w:rsidRPr="00BD6197">
        <w:rPr>
          <w:lang w:val="en-US"/>
        </w:rPr>
        <w:noBreakHyphen/>
        <w:t xml:space="preserve">SC connections. If it is an odd number, one more communication link with a capacity of 30 telephone channels is required. Thus, for BS-SC connections, </w:t>
      </w:r>
      <w:r w:rsidRPr="00BD6197">
        <w:rPr>
          <w:i/>
          <w:iCs/>
          <w:lang w:val="en-US"/>
        </w:rPr>
        <w:t>N</w:t>
      </w:r>
      <w:r w:rsidRPr="00BD6197">
        <w:rPr>
          <w:vertAlign w:val="subscript"/>
          <w:lang w:val="en-US"/>
        </w:rPr>
        <w:t>1</w:t>
      </w:r>
      <w:r w:rsidRPr="00BD6197">
        <w:rPr>
          <w:lang w:val="en-US"/>
        </w:rPr>
        <w:t xml:space="preserve"> communication links of Type 1 and </w:t>
      </w:r>
      <w:r w:rsidRPr="00BD6197">
        <w:rPr>
          <w:i/>
          <w:iCs/>
          <w:lang w:val="en-US"/>
        </w:rPr>
        <w:t>N</w:t>
      </w:r>
      <w:r w:rsidRPr="00BD6197">
        <w:rPr>
          <w:vertAlign w:val="subscript"/>
          <w:lang w:val="en-US"/>
        </w:rPr>
        <w:t>2</w:t>
      </w:r>
      <w:r w:rsidRPr="00BD6197">
        <w:rPr>
          <w:lang w:val="en-US"/>
        </w:rPr>
        <w:t xml:space="preserve"> communication links of Type 2 are required.</w:t>
      </w:r>
    </w:p>
    <w:p w:rsidR="008E2005" w:rsidRPr="00BD6197" w:rsidRDefault="008E2005" w:rsidP="008E2005">
      <w:pPr>
        <w:keepNext/>
        <w:rPr>
          <w:lang w:val="en-US"/>
        </w:rPr>
      </w:pPr>
      <w:r w:rsidRPr="00BD6197">
        <w:rPr>
          <w:lang w:val="en-US"/>
        </w:rPr>
        <w:t xml:space="preserve">Unit costs for one telephone channel with Type 1 or Type 2 links of length </w:t>
      </w:r>
      <w:r w:rsidRPr="00BD6197">
        <w:rPr>
          <w:i/>
          <w:iCs/>
          <w:lang w:val="en-US"/>
        </w:rPr>
        <w:t>L</w:t>
      </w:r>
      <w:r w:rsidRPr="00BD6197">
        <w:rPr>
          <w:i/>
          <w:iCs/>
          <w:position w:val="-4"/>
          <w:sz w:val="16"/>
          <w:lang w:val="en-US"/>
        </w:rPr>
        <w:t>i</w:t>
      </w:r>
      <w:r w:rsidRPr="00BD6197">
        <w:rPr>
          <w:lang w:val="en-US"/>
        </w:rPr>
        <w:t xml:space="preserve"> are determined by the equation:</w:t>
      </w:r>
    </w:p>
    <w:p w:rsidR="008E2005" w:rsidRPr="00BD6197" w:rsidRDefault="008E2005" w:rsidP="008E2005">
      <w:pPr>
        <w:pStyle w:val="Blanc"/>
        <w:rPr>
          <w:lang w:val="en-US"/>
        </w:rPr>
      </w:pPr>
    </w:p>
    <w:p w:rsidR="008E2005" w:rsidRPr="00BD6197" w:rsidRDefault="008E2005" w:rsidP="008E2005">
      <w:pPr>
        <w:pStyle w:val="Equation"/>
        <w:rPr>
          <w:lang w:val="en-US"/>
        </w:rPr>
      </w:pPr>
      <w:r w:rsidRPr="00BD6197">
        <w:rPr>
          <w:lang w:val="en-US"/>
        </w:rPr>
        <w:tab/>
      </w:r>
      <w:r w:rsidRPr="00BD6197">
        <w:rPr>
          <w:lang w:val="en-US"/>
        </w:rPr>
        <w:tab/>
      </w:r>
      <w:r w:rsidRPr="00BD6197">
        <w:rPr>
          <w:position w:val="-12"/>
          <w:lang w:val="en-US"/>
        </w:rPr>
        <w:object w:dxaOrig="1820" w:dyaOrig="360">
          <v:shape id="_x0000_i1100" type="#_x0000_t75" style="width:89.25pt;height:19.5pt" o:ole="">
            <v:imagedata r:id="rId174" o:title=""/>
          </v:shape>
          <o:OLEObject Type="Embed" ProgID="Equation.3" ShapeID="_x0000_i1100" DrawAspect="Content" ObjectID="_1604325054" r:id="rId175"/>
        </w:object>
      </w:r>
    </w:p>
    <w:p w:rsidR="008E2005" w:rsidRPr="00BD6197" w:rsidRDefault="008E2005" w:rsidP="008E2005">
      <w:pPr>
        <w:pStyle w:val="Equation"/>
        <w:rPr>
          <w:lang w:val="en-US"/>
        </w:rPr>
      </w:pPr>
      <w:r w:rsidRPr="00BD6197">
        <w:rPr>
          <w:lang w:val="en-US"/>
        </w:rPr>
        <w:tab/>
      </w:r>
      <w:r w:rsidRPr="00BD6197">
        <w:rPr>
          <w:lang w:val="en-US"/>
        </w:rPr>
        <w:tab/>
      </w:r>
      <w:r w:rsidRPr="00BD6197">
        <w:rPr>
          <w:position w:val="-12"/>
          <w:lang w:val="en-US"/>
        </w:rPr>
        <w:object w:dxaOrig="1920" w:dyaOrig="360">
          <v:shape id="_x0000_i1101" type="#_x0000_t75" style="width:93.75pt;height:19.5pt" o:ole="">
            <v:imagedata r:id="rId176" o:title=""/>
          </v:shape>
          <o:OLEObject Type="Embed" ProgID="Equation.3" ShapeID="_x0000_i1101" DrawAspect="Content" ObjectID="_1604325055" r:id="rId177"/>
        </w:object>
      </w:r>
    </w:p>
    <w:p w:rsidR="008E2005" w:rsidRPr="00BD6197" w:rsidRDefault="008E2005" w:rsidP="008E2005">
      <w:pPr>
        <w:pStyle w:val="Blanc"/>
        <w:keepNext w:val="0"/>
        <w:keepLines w:val="0"/>
        <w:rPr>
          <w:lang w:val="en-US"/>
        </w:rPr>
      </w:pPr>
    </w:p>
    <w:p w:rsidR="008E2005" w:rsidRPr="00BD6197" w:rsidRDefault="008E2005" w:rsidP="008E2005">
      <w:pPr>
        <w:rPr>
          <w:lang w:val="en-US"/>
        </w:rPr>
      </w:pPr>
      <w:r w:rsidRPr="00BD6197">
        <w:rPr>
          <w:lang w:val="en-US"/>
        </w:rPr>
        <w:lastRenderedPageBreak/>
        <w:t xml:space="preserve">where </w:t>
      </w:r>
      <w:r w:rsidRPr="00BD6197">
        <w:rPr>
          <w:i/>
          <w:iCs/>
          <w:lang w:val="en-US"/>
        </w:rPr>
        <w:t>A</w:t>
      </w:r>
      <w:r w:rsidRPr="00BD6197">
        <w:rPr>
          <w:vertAlign w:val="subscript"/>
          <w:lang w:val="en-US"/>
        </w:rPr>
        <w:t>1</w:t>
      </w:r>
      <w:r w:rsidRPr="00BD6197">
        <w:rPr>
          <w:lang w:val="en-US"/>
        </w:rPr>
        <w:t xml:space="preserve">, </w:t>
      </w:r>
      <w:r w:rsidRPr="00BD6197">
        <w:rPr>
          <w:i/>
          <w:iCs/>
          <w:lang w:val="en-US"/>
        </w:rPr>
        <w:t>B</w:t>
      </w:r>
      <w:r w:rsidRPr="00BD6197">
        <w:rPr>
          <w:vertAlign w:val="subscript"/>
          <w:lang w:val="en-US"/>
        </w:rPr>
        <w:t>1</w:t>
      </w:r>
      <w:r w:rsidRPr="00BD6197">
        <w:rPr>
          <w:lang w:val="en-US"/>
        </w:rPr>
        <w:t xml:space="preserve">, </w:t>
      </w:r>
      <w:r w:rsidRPr="00BD6197">
        <w:rPr>
          <w:i/>
          <w:iCs/>
          <w:lang w:val="en-US"/>
        </w:rPr>
        <w:t>A</w:t>
      </w:r>
      <w:r w:rsidRPr="00BD6197">
        <w:rPr>
          <w:vertAlign w:val="subscript"/>
          <w:lang w:val="en-US"/>
        </w:rPr>
        <w:t>2</w:t>
      </w:r>
      <w:r w:rsidRPr="00BD6197">
        <w:rPr>
          <w:lang w:val="en-US"/>
        </w:rPr>
        <w:t xml:space="preserve"> and </w:t>
      </w:r>
      <w:r w:rsidRPr="00BD6197">
        <w:rPr>
          <w:i/>
          <w:iCs/>
          <w:lang w:val="en-US"/>
        </w:rPr>
        <w:t>B</w:t>
      </w:r>
      <w:r w:rsidRPr="00BD6197">
        <w:rPr>
          <w:vertAlign w:val="subscript"/>
          <w:lang w:val="en-US"/>
        </w:rPr>
        <w:t>2</w:t>
      </w:r>
      <w:r w:rsidRPr="00BD6197">
        <w:rPr>
          <w:lang w:val="en-US"/>
        </w:rPr>
        <w:t xml:space="preserve"> for cable, optical and radio-relay links may be determined on the basis of statistical data.</w:t>
      </w:r>
    </w:p>
    <w:p w:rsidR="008E2005" w:rsidRPr="00BD6197" w:rsidRDefault="008E2005" w:rsidP="008E2005">
      <w:pPr>
        <w:rPr>
          <w:lang w:val="en-US"/>
        </w:rPr>
      </w:pPr>
      <w:r w:rsidRPr="00BD6197">
        <w:rPr>
          <w:lang w:val="en-US"/>
        </w:rPr>
        <w:t xml:space="preserve">The cost of establishing communication links between the </w:t>
      </w:r>
      <w:r w:rsidRPr="00BD6197">
        <w:rPr>
          <w:i/>
          <w:iCs/>
          <w:lang w:val="en-US"/>
        </w:rPr>
        <w:t>i</w:t>
      </w:r>
      <w:r w:rsidRPr="00BD6197">
        <w:rPr>
          <w:lang w:val="en-US"/>
        </w:rPr>
        <w:t>-th BS and the SC is:</w:t>
      </w:r>
    </w:p>
    <w:p w:rsidR="008E2005" w:rsidRPr="00BD6197" w:rsidRDefault="008E2005" w:rsidP="008E2005">
      <w:pPr>
        <w:pStyle w:val="Blanc"/>
        <w:rPr>
          <w:lang w:val="en-US"/>
        </w:rPr>
      </w:pPr>
    </w:p>
    <w:p w:rsidR="008E2005" w:rsidRPr="00BD6197" w:rsidRDefault="008E2005" w:rsidP="008E2005">
      <w:pPr>
        <w:pStyle w:val="Equation"/>
        <w:rPr>
          <w:lang w:val="en-US"/>
        </w:rPr>
      </w:pPr>
      <w:r w:rsidRPr="00BD6197">
        <w:rPr>
          <w:lang w:val="en-US"/>
        </w:rPr>
        <w:tab/>
      </w:r>
      <w:r w:rsidRPr="00BD6197">
        <w:rPr>
          <w:lang w:val="en-US"/>
        </w:rPr>
        <w:tab/>
      </w:r>
      <w:r w:rsidRPr="00BD6197">
        <w:rPr>
          <w:position w:val="-12"/>
          <w:lang w:val="en-US"/>
        </w:rPr>
        <w:object w:dxaOrig="4760" w:dyaOrig="360">
          <v:shape id="_x0000_i1102" type="#_x0000_t75" style="width:233.25pt;height:19.5pt" o:ole="">
            <v:imagedata r:id="rId178" o:title=""/>
          </v:shape>
          <o:OLEObject Type="Embed" ProgID="Equation.3" ShapeID="_x0000_i1102" DrawAspect="Content" ObjectID="_1604325056" r:id="rId179"/>
        </w:object>
      </w:r>
    </w:p>
    <w:p w:rsidR="008E2005" w:rsidRPr="00BD6197" w:rsidRDefault="008E2005" w:rsidP="008E2005">
      <w:pPr>
        <w:pStyle w:val="Equation"/>
        <w:rPr>
          <w:lang w:val="en-US"/>
        </w:rPr>
      </w:pPr>
      <w:r w:rsidRPr="00BD6197">
        <w:rPr>
          <w:lang w:val="en-US"/>
        </w:rPr>
        <w:t>where:</w:t>
      </w:r>
    </w:p>
    <w:p w:rsidR="008E2005" w:rsidRPr="00BD6197" w:rsidRDefault="008E2005" w:rsidP="008E2005">
      <w:pPr>
        <w:pStyle w:val="Blanc"/>
        <w:rPr>
          <w:lang w:val="en-US"/>
        </w:rPr>
      </w:pPr>
    </w:p>
    <w:p w:rsidR="008E2005" w:rsidRPr="00BD6197" w:rsidRDefault="008E2005" w:rsidP="008E2005">
      <w:pPr>
        <w:pStyle w:val="Equation"/>
        <w:rPr>
          <w:lang w:val="en-US"/>
        </w:rPr>
      </w:pPr>
      <w:r w:rsidRPr="00BD6197">
        <w:rPr>
          <w:lang w:val="en-US"/>
        </w:rPr>
        <w:tab/>
      </w:r>
      <w:r w:rsidRPr="00BD6197">
        <w:rPr>
          <w:lang w:val="en-US"/>
        </w:rPr>
        <w:tab/>
      </w:r>
      <w:r w:rsidRPr="00BD6197">
        <w:rPr>
          <w:position w:val="-10"/>
          <w:lang w:val="en-US"/>
        </w:rPr>
        <w:object w:dxaOrig="7220" w:dyaOrig="340">
          <v:shape id="_x0000_i1103" type="#_x0000_t75" style="width:357pt;height:17.25pt" o:ole="">
            <v:imagedata r:id="rId180" o:title=""/>
          </v:shape>
          <o:OLEObject Type="Embed" ProgID="Equation.3" ShapeID="_x0000_i1103" DrawAspect="Content" ObjectID="_1604325057" r:id="rId181"/>
        </w:object>
      </w:r>
    </w:p>
    <w:p w:rsidR="008E2005" w:rsidRPr="00BD6197" w:rsidRDefault="008E2005" w:rsidP="008E2005">
      <w:pPr>
        <w:pStyle w:val="Blanc"/>
        <w:rPr>
          <w:lang w:val="en-US"/>
        </w:rPr>
      </w:pPr>
    </w:p>
    <w:p w:rsidR="008E2005" w:rsidRPr="00BD6197" w:rsidRDefault="008E2005" w:rsidP="008E2005">
      <w:pPr>
        <w:rPr>
          <w:lang w:val="en-US"/>
        </w:rPr>
      </w:pPr>
      <w:r w:rsidRPr="00BD6197">
        <w:rPr>
          <w:lang w:val="en-US"/>
        </w:rPr>
        <w:t>The total cost of establishing communication links to connect all base stations to the switching centre may be determined by the following equation:</w:t>
      </w:r>
    </w:p>
    <w:p w:rsidR="008E2005" w:rsidRPr="00BD6197" w:rsidRDefault="008E2005" w:rsidP="008E2005">
      <w:pPr>
        <w:pStyle w:val="Blanc"/>
        <w:rPr>
          <w:lang w:val="en-US"/>
        </w:rPr>
      </w:pPr>
    </w:p>
    <w:p w:rsidR="008E2005" w:rsidRPr="00BD6197" w:rsidRDefault="008E2005" w:rsidP="008E2005">
      <w:pPr>
        <w:pStyle w:val="Equation"/>
        <w:rPr>
          <w:lang w:val="en-US"/>
        </w:rPr>
      </w:pPr>
      <w:r w:rsidRPr="00BD6197">
        <w:rPr>
          <w:lang w:val="en-US"/>
        </w:rPr>
        <w:tab/>
      </w:r>
      <w:r w:rsidRPr="00BD6197">
        <w:rPr>
          <w:lang w:val="en-US"/>
        </w:rPr>
        <w:tab/>
      </w:r>
      <w:r w:rsidRPr="00BD6197">
        <w:rPr>
          <w:position w:val="-32"/>
          <w:sz w:val="20"/>
          <w:lang w:val="en-US"/>
        </w:rPr>
        <w:object w:dxaOrig="3200" w:dyaOrig="760">
          <v:shape id="_x0000_i1104" type="#_x0000_t75" style="width:160.5pt;height:38.25pt" o:ole="" fillcolor="window">
            <v:imagedata r:id="rId182" o:title=""/>
          </v:shape>
          <o:OLEObject Type="Embed" ProgID="Equation.3" ShapeID="_x0000_i1104" DrawAspect="Content" ObjectID="_1604325058" r:id="rId183"/>
        </w:object>
      </w:r>
    </w:p>
    <w:p w:rsidR="008E2005" w:rsidRPr="00BD6197" w:rsidRDefault="008E2005" w:rsidP="008E2005">
      <w:pPr>
        <w:rPr>
          <w:lang w:val="en-US"/>
        </w:rPr>
      </w:pPr>
      <w:r w:rsidRPr="00BD6197">
        <w:rPr>
          <w:lang w:val="en-US"/>
        </w:rPr>
        <w:t xml:space="preserve">where </w:t>
      </w:r>
      <w:r w:rsidRPr="00BD6197">
        <w:rPr>
          <w:position w:val="-24"/>
          <w:lang w:val="en-US"/>
        </w:rPr>
        <w:object w:dxaOrig="1540" w:dyaOrig="600">
          <v:shape id="_x0000_i1105" type="#_x0000_t75" style="width:75pt;height:30pt" o:ole="" fillcolor="window">
            <v:imagedata r:id="rId184" o:title=""/>
          </v:shape>
          <o:OLEObject Type="Embed" ProgID="Equation.3" ShapeID="_x0000_i1105" DrawAspect="Content" ObjectID="_1604325059" r:id="rId185"/>
        </w:object>
      </w:r>
      <w:r w:rsidRPr="00BD6197">
        <w:rPr>
          <w:lang w:val="en-US"/>
        </w:rPr>
        <w:t xml:space="preserve"> is the average length of all BS-SC connection links. The length of these links may vary from 5 to 25 km. If the mobile network’s coverage area is assumed to be a circle and base stations are uniformly distributed throughout this area, then:</w:t>
      </w:r>
    </w:p>
    <w:p w:rsidR="008E2005" w:rsidRPr="00BD6197" w:rsidRDefault="008E2005" w:rsidP="008E2005">
      <w:pPr>
        <w:pStyle w:val="Blanc"/>
        <w:rPr>
          <w:lang w:val="en-US"/>
        </w:rPr>
      </w:pPr>
    </w:p>
    <w:p w:rsidR="008E2005" w:rsidRPr="00BD6197" w:rsidRDefault="008E2005" w:rsidP="008E2005">
      <w:pPr>
        <w:pStyle w:val="Equation"/>
        <w:rPr>
          <w:lang w:val="en-US"/>
        </w:rPr>
      </w:pPr>
      <w:r w:rsidRPr="00BD6197">
        <w:rPr>
          <w:lang w:val="en-US"/>
        </w:rPr>
        <w:tab/>
      </w:r>
      <w:r w:rsidRPr="00BD6197">
        <w:rPr>
          <w:lang w:val="en-US"/>
        </w:rPr>
        <w:tab/>
      </w:r>
      <w:r w:rsidRPr="00BD6197">
        <w:rPr>
          <w:position w:val="-12"/>
          <w:lang w:val="en-US"/>
        </w:rPr>
        <w:object w:dxaOrig="3840" w:dyaOrig="420">
          <v:shape id="_x0000_i1106" type="#_x0000_t75" style="width:189.75pt;height:21.75pt" o:ole="">
            <v:imagedata r:id="rId186" o:title=""/>
          </v:shape>
          <o:OLEObject Type="Embed" ProgID="Equation.3" ShapeID="_x0000_i1106" DrawAspect="Content" ObjectID="_1604325060" r:id="rId187"/>
        </w:object>
      </w:r>
    </w:p>
    <w:p w:rsidR="008E2005" w:rsidRPr="00BD6197" w:rsidRDefault="008E2005" w:rsidP="008E2005">
      <w:pPr>
        <w:pStyle w:val="Blanc"/>
        <w:rPr>
          <w:lang w:val="en-US"/>
        </w:rPr>
      </w:pPr>
    </w:p>
    <w:p w:rsidR="008E2005" w:rsidRPr="00BD6197" w:rsidRDefault="005659BB" w:rsidP="008E2005">
      <w:pPr>
        <w:rPr>
          <w:lang w:val="en-US"/>
        </w:rPr>
      </w:pPr>
      <w:r>
        <w:rPr>
          <w:lang w:val="en-US"/>
        </w:rPr>
        <w:t>Figure 12</w:t>
      </w:r>
      <w:r w:rsidR="008E2005" w:rsidRPr="00BD6197">
        <w:rPr>
          <w:lang w:val="en-US"/>
        </w:rPr>
        <w:t xml:space="preserve"> shows capital expenditure </w:t>
      </w:r>
      <w:r w:rsidR="008E2005" w:rsidRPr="00BD6197">
        <w:rPr>
          <w:i/>
          <w:iCs/>
          <w:lang w:val="en-US"/>
        </w:rPr>
        <w:t>K</w:t>
      </w:r>
      <w:r w:rsidR="008E2005" w:rsidRPr="00BD6197">
        <w:rPr>
          <w:vertAlign w:val="subscript"/>
          <w:lang w:val="en-US"/>
        </w:rPr>
        <w:sym w:font="Symbol" w:char="F053"/>
      </w:r>
      <w:r w:rsidR="008E2005" w:rsidRPr="00BD6197">
        <w:rPr>
          <w:lang w:val="en-US"/>
        </w:rPr>
        <w:t xml:space="preserve"> as a function of the bandwidth, </w:t>
      </w:r>
      <w:r w:rsidR="008E2005" w:rsidRPr="00BD6197">
        <w:rPr>
          <w:i/>
          <w:iCs/>
          <w:lang w:val="en-US"/>
        </w:rPr>
        <w:t>F</w:t>
      </w:r>
      <w:r w:rsidR="008E2005" w:rsidRPr="00BD6197">
        <w:rPr>
          <w:lang w:val="en-US"/>
        </w:rPr>
        <w:t>, and the number of subscribers to be served, </w:t>
      </w:r>
      <w:r w:rsidR="008E2005" w:rsidRPr="00BD6197">
        <w:rPr>
          <w:i/>
          <w:iCs/>
          <w:lang w:val="en-US"/>
        </w:rPr>
        <w:t>N</w:t>
      </w:r>
      <w:r w:rsidR="008E2005" w:rsidRPr="00BD6197">
        <w:rPr>
          <w:i/>
          <w:iCs/>
          <w:vertAlign w:val="subscript"/>
          <w:lang w:val="en-US"/>
        </w:rPr>
        <w:t>a</w:t>
      </w:r>
      <w:r w:rsidR="008E2005" w:rsidRPr="00BD6197">
        <w:rPr>
          <w:lang w:val="en-US"/>
        </w:rPr>
        <w:t>. It reveals that the operator can reduce the necessary expenditure for the establishment of a network quite significantly by using a wider bandwidth, i.e. making less efficient use of the spectrum.</w:t>
      </w:r>
    </w:p>
    <w:p w:rsidR="008E2005" w:rsidRPr="00BD6197" w:rsidRDefault="008E2005" w:rsidP="005659BB">
      <w:pPr>
        <w:pStyle w:val="FigureNo"/>
        <w:rPr>
          <w:lang w:val="en-US"/>
        </w:rPr>
      </w:pPr>
      <w:r w:rsidRPr="00BD6197">
        <w:rPr>
          <w:lang w:val="en-US"/>
        </w:rPr>
        <w:lastRenderedPageBreak/>
        <w:t>Figure 1</w:t>
      </w:r>
      <w:r w:rsidR="005659BB">
        <w:rPr>
          <w:lang w:val="en-US"/>
        </w:rPr>
        <w:t>2</w:t>
      </w:r>
    </w:p>
    <w:p w:rsidR="008E2005" w:rsidRPr="00BD6197" w:rsidRDefault="008E2005" w:rsidP="008E2005">
      <w:pPr>
        <w:pStyle w:val="Figuretitle"/>
        <w:rPr>
          <w:lang w:val="en-US"/>
        </w:rPr>
      </w:pPr>
      <w:r w:rsidRPr="00BD6197">
        <w:rPr>
          <w:lang w:val="en-US"/>
        </w:rPr>
        <w:t>Capital investment vs. bandwidth</w:t>
      </w:r>
    </w:p>
    <w:p w:rsidR="008E2005" w:rsidRPr="00BD6197" w:rsidRDefault="008E2005" w:rsidP="008E2005">
      <w:pPr>
        <w:pStyle w:val="Figure"/>
        <w:rPr>
          <w:lang w:val="en-US"/>
        </w:rPr>
      </w:pPr>
      <w:r w:rsidRPr="00BD6197">
        <w:rPr>
          <w:lang w:val="en-US"/>
        </w:rPr>
        <w:object w:dxaOrig="6618" w:dyaOrig="9055">
          <v:shape id="_x0000_i1107" type="#_x0000_t75" style="width:332.25pt;height:453pt" o:ole="">
            <v:imagedata r:id="rId188" o:title=""/>
          </v:shape>
          <o:OLEObject Type="Embed" ProgID="CorelDRAW.Graphic.14" ShapeID="_x0000_i1107" DrawAspect="Content" ObjectID="_1604325061" r:id="rId189"/>
        </w:object>
      </w:r>
    </w:p>
    <w:p w:rsidR="008E2005" w:rsidRPr="00BD6197" w:rsidRDefault="008E2005" w:rsidP="008E2005">
      <w:pPr>
        <w:pStyle w:val="enumlev1"/>
        <w:rPr>
          <w:lang w:val="en-US"/>
        </w:rPr>
      </w:pPr>
      <w:r w:rsidRPr="00BD6197">
        <w:rPr>
          <w:lang w:val="en-US"/>
        </w:rPr>
        <w:t>c)</w:t>
      </w:r>
      <w:r w:rsidRPr="00BD6197">
        <w:rPr>
          <w:lang w:val="en-US"/>
        </w:rPr>
        <w:tab/>
      </w:r>
      <w:r w:rsidRPr="00BD6197">
        <w:rPr>
          <w:i/>
          <w:iCs/>
          <w:lang w:val="en-US"/>
        </w:rPr>
        <w:t>Determination of the discounted income index of a mobile network project</w:t>
      </w:r>
    </w:p>
    <w:p w:rsidR="008E2005" w:rsidRPr="00BD6197" w:rsidRDefault="008E2005" w:rsidP="003F76DB">
      <w:pPr>
        <w:rPr>
          <w:lang w:val="en-US"/>
        </w:rPr>
      </w:pPr>
      <w:r w:rsidRPr="00BD6197">
        <w:rPr>
          <w:lang w:val="en-US"/>
        </w:rPr>
        <w:t xml:space="preserve">Table </w:t>
      </w:r>
      <w:r w:rsidR="003F76DB">
        <w:rPr>
          <w:lang w:val="en-US"/>
        </w:rPr>
        <w:t>23</w:t>
      </w:r>
      <w:r w:rsidRPr="00BD6197">
        <w:rPr>
          <w:lang w:val="en-US"/>
        </w:rPr>
        <w:t xml:space="preserve"> shows a set of calculation parameters based on statistical data and standards used in the Russian Federation:</w:t>
      </w:r>
    </w:p>
    <w:p w:rsidR="008E2005" w:rsidRPr="00BD6197" w:rsidRDefault="008E2005" w:rsidP="008E2005">
      <w:pPr>
        <w:tabs>
          <w:tab w:val="clear" w:pos="794"/>
          <w:tab w:val="clear" w:pos="1191"/>
          <w:tab w:val="clear" w:pos="1588"/>
          <w:tab w:val="clear" w:pos="1985"/>
        </w:tabs>
        <w:overflowPunct/>
        <w:autoSpaceDE/>
        <w:autoSpaceDN/>
        <w:adjustRightInd/>
        <w:spacing w:before="0"/>
        <w:textAlignment w:val="auto"/>
        <w:rPr>
          <w:lang w:val="en-US"/>
        </w:rPr>
      </w:pPr>
      <w:r w:rsidRPr="00BD6197">
        <w:rPr>
          <w:lang w:val="en-US"/>
        </w:rPr>
        <w:br w:type="page"/>
      </w:r>
    </w:p>
    <w:p w:rsidR="008E2005" w:rsidRPr="00BD6197" w:rsidRDefault="008E2005" w:rsidP="003F76DB">
      <w:pPr>
        <w:pStyle w:val="TableNo"/>
        <w:rPr>
          <w:lang w:val="en-US"/>
        </w:rPr>
      </w:pPr>
      <w:r w:rsidRPr="00BD6197">
        <w:rPr>
          <w:lang w:val="en-US"/>
        </w:rPr>
        <w:lastRenderedPageBreak/>
        <w:t xml:space="preserve">TABLE </w:t>
      </w:r>
      <w:r w:rsidR="003F76DB">
        <w:rPr>
          <w:lang w:val="en-US"/>
        </w:rPr>
        <w:t>23</w:t>
      </w:r>
    </w:p>
    <w:tbl>
      <w:tblPr>
        <w:tblW w:w="9639" w:type="dxa"/>
        <w:jc w:val="center"/>
        <w:tblBorders>
          <w:top w:val="single" w:sz="2"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134"/>
        <w:gridCol w:w="5103"/>
        <w:gridCol w:w="3402"/>
      </w:tblGrid>
      <w:tr w:rsidR="008E2005" w:rsidRPr="00BD6197" w:rsidTr="000F2BA7">
        <w:trPr>
          <w:jc w:val="center"/>
        </w:trPr>
        <w:tc>
          <w:tcPr>
            <w:tcW w:w="1134" w:type="dxa"/>
            <w:tcBorders>
              <w:bottom w:val="single" w:sz="4" w:space="0" w:color="auto"/>
            </w:tcBorders>
          </w:tcPr>
          <w:p w:rsidR="008E2005" w:rsidRPr="00BD6197" w:rsidRDefault="008E2005" w:rsidP="000F2BA7">
            <w:pPr>
              <w:pStyle w:val="Tablehead"/>
              <w:rPr>
                <w:szCs w:val="22"/>
                <w:lang w:val="en-US"/>
              </w:rPr>
            </w:pPr>
            <w:r w:rsidRPr="00BD6197">
              <w:rPr>
                <w:szCs w:val="22"/>
                <w:lang w:val="en-US"/>
              </w:rPr>
              <w:t>Symbol</w:t>
            </w:r>
          </w:p>
        </w:tc>
        <w:tc>
          <w:tcPr>
            <w:tcW w:w="5103" w:type="dxa"/>
            <w:tcBorders>
              <w:bottom w:val="single" w:sz="4" w:space="0" w:color="auto"/>
            </w:tcBorders>
          </w:tcPr>
          <w:p w:rsidR="008E2005" w:rsidRPr="00BD6197" w:rsidRDefault="008E2005" w:rsidP="000F2BA7">
            <w:pPr>
              <w:pStyle w:val="Tablehead"/>
              <w:rPr>
                <w:szCs w:val="22"/>
                <w:lang w:val="en-US"/>
              </w:rPr>
            </w:pPr>
            <w:r w:rsidRPr="00BD6197">
              <w:rPr>
                <w:szCs w:val="22"/>
                <w:lang w:val="en-US"/>
              </w:rPr>
              <w:t>Parameter</w:t>
            </w:r>
          </w:p>
        </w:tc>
        <w:tc>
          <w:tcPr>
            <w:tcW w:w="3402" w:type="dxa"/>
            <w:tcBorders>
              <w:bottom w:val="single" w:sz="4" w:space="0" w:color="auto"/>
            </w:tcBorders>
          </w:tcPr>
          <w:p w:rsidR="008E2005" w:rsidRPr="00BD6197" w:rsidRDefault="008E2005" w:rsidP="000F2BA7">
            <w:pPr>
              <w:pStyle w:val="Tablehead"/>
              <w:rPr>
                <w:szCs w:val="22"/>
                <w:lang w:val="en-US"/>
              </w:rPr>
            </w:pPr>
            <w:r w:rsidRPr="00BD6197">
              <w:rPr>
                <w:szCs w:val="22"/>
                <w:lang w:val="en-US"/>
              </w:rPr>
              <w:t>Calculation value</w:t>
            </w:r>
          </w:p>
        </w:tc>
      </w:tr>
      <w:tr w:rsidR="008E2005" w:rsidRPr="00BD6197" w:rsidTr="000F2BA7">
        <w:trPr>
          <w:jc w:val="center"/>
        </w:trPr>
        <w:tc>
          <w:tcPr>
            <w:tcW w:w="1134"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jc w:val="center"/>
              <w:rPr>
                <w:lang w:val="en-US"/>
              </w:rPr>
            </w:pPr>
            <w:r w:rsidRPr="00BD6197">
              <w:rPr>
                <w:i/>
                <w:iCs/>
                <w:lang w:val="en-US"/>
              </w:rPr>
              <w:t>N</w:t>
            </w:r>
            <w:r w:rsidRPr="00BD6197">
              <w:rPr>
                <w:vertAlign w:val="subscript"/>
                <w:lang w:val="en-US"/>
              </w:rPr>
              <w:t>0</w:t>
            </w:r>
          </w:p>
        </w:tc>
        <w:tc>
          <w:tcPr>
            <w:tcW w:w="5103" w:type="dxa"/>
            <w:tcBorders>
              <w:top w:val="single" w:sz="4" w:space="0" w:color="auto"/>
              <w:left w:val="single" w:sz="4" w:space="0" w:color="auto"/>
              <w:bottom w:val="single" w:sz="4" w:space="0" w:color="auto"/>
              <w:right w:val="single" w:sz="4" w:space="0" w:color="auto"/>
            </w:tcBorders>
          </w:tcPr>
          <w:p w:rsidR="008E2005" w:rsidRPr="00BD6197" w:rsidRDefault="008E2005" w:rsidP="003F76DB">
            <w:pPr>
              <w:pStyle w:val="Tabletext"/>
              <w:rPr>
                <w:lang w:val="en-US"/>
              </w:rPr>
            </w:pPr>
            <w:r w:rsidRPr="00BD6197">
              <w:rPr>
                <w:lang w:val="en-US"/>
              </w:rPr>
              <w:t>Initial number of subscribers in the mobile network</w:t>
            </w:r>
          </w:p>
        </w:tc>
        <w:tc>
          <w:tcPr>
            <w:tcW w:w="3402"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rPr>
                <w:lang w:val="en-US"/>
              </w:rPr>
            </w:pPr>
            <w:r w:rsidRPr="00BD6197">
              <w:rPr>
                <w:lang w:val="en-US"/>
              </w:rPr>
              <w:t>300 subscribers</w:t>
            </w:r>
          </w:p>
        </w:tc>
      </w:tr>
      <w:tr w:rsidR="008E2005" w:rsidRPr="00BD6197" w:rsidTr="000F2BA7">
        <w:trPr>
          <w:jc w:val="center"/>
        </w:trPr>
        <w:tc>
          <w:tcPr>
            <w:tcW w:w="1134"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jc w:val="center"/>
              <w:rPr>
                <w:lang w:val="en-US"/>
              </w:rPr>
            </w:pPr>
            <w:r w:rsidRPr="00BD6197">
              <w:rPr>
                <w:i/>
                <w:iCs/>
                <w:lang w:val="en-US"/>
              </w:rPr>
              <w:t>T</w:t>
            </w:r>
            <w:r w:rsidRPr="00BD6197">
              <w:rPr>
                <w:vertAlign w:val="subscript"/>
                <w:lang w:val="en-US"/>
              </w:rPr>
              <w:t>1</w:t>
            </w:r>
          </w:p>
        </w:tc>
        <w:tc>
          <w:tcPr>
            <w:tcW w:w="5103" w:type="dxa"/>
            <w:tcBorders>
              <w:top w:val="single" w:sz="4" w:space="0" w:color="auto"/>
              <w:left w:val="single" w:sz="4" w:space="0" w:color="auto"/>
              <w:bottom w:val="single" w:sz="4" w:space="0" w:color="auto"/>
              <w:right w:val="single" w:sz="4" w:space="0" w:color="auto"/>
            </w:tcBorders>
          </w:tcPr>
          <w:p w:rsidR="008E2005" w:rsidRPr="00BD6197" w:rsidRDefault="008E2005" w:rsidP="003F76DB">
            <w:pPr>
              <w:pStyle w:val="Tabletext"/>
              <w:rPr>
                <w:lang w:val="en-US"/>
              </w:rPr>
            </w:pPr>
            <w:r w:rsidRPr="00BD6197">
              <w:rPr>
                <w:lang w:val="en-US"/>
              </w:rPr>
              <w:t>Tariff per minute for the lease of a channel in the public network</w:t>
            </w:r>
          </w:p>
        </w:tc>
        <w:tc>
          <w:tcPr>
            <w:tcW w:w="3402"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rPr>
                <w:lang w:val="en-US"/>
              </w:rPr>
            </w:pPr>
            <w:r w:rsidRPr="00BD6197">
              <w:rPr>
                <w:lang w:val="en-US"/>
              </w:rPr>
              <w:t>USD 0.05/min</w:t>
            </w:r>
          </w:p>
        </w:tc>
      </w:tr>
      <w:tr w:rsidR="008E2005" w:rsidRPr="00BD6197" w:rsidTr="000F2BA7">
        <w:trPr>
          <w:jc w:val="center"/>
        </w:trPr>
        <w:tc>
          <w:tcPr>
            <w:tcW w:w="1134"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jc w:val="center"/>
              <w:rPr>
                <w:lang w:val="en-US"/>
              </w:rPr>
            </w:pPr>
            <w:r w:rsidRPr="00BD6197">
              <w:rPr>
                <w:i/>
                <w:iCs/>
                <w:lang w:val="en-US"/>
              </w:rPr>
              <w:t>X</w:t>
            </w:r>
          </w:p>
        </w:tc>
        <w:tc>
          <w:tcPr>
            <w:tcW w:w="5103" w:type="dxa"/>
            <w:tcBorders>
              <w:top w:val="single" w:sz="4" w:space="0" w:color="auto"/>
              <w:left w:val="single" w:sz="4" w:space="0" w:color="auto"/>
              <w:bottom w:val="single" w:sz="4" w:space="0" w:color="auto"/>
              <w:right w:val="single" w:sz="4" w:space="0" w:color="auto"/>
            </w:tcBorders>
          </w:tcPr>
          <w:p w:rsidR="008E2005" w:rsidRPr="00BD6197" w:rsidRDefault="008E2005" w:rsidP="003F76DB">
            <w:pPr>
              <w:pStyle w:val="Tabletext"/>
              <w:rPr>
                <w:lang w:val="en-US"/>
              </w:rPr>
            </w:pPr>
            <w:r w:rsidRPr="00BD6197">
              <w:rPr>
                <w:lang w:val="en-US"/>
              </w:rPr>
              <w:t>Coefficient characterizing the proportion of calls entering the public network</w:t>
            </w:r>
          </w:p>
        </w:tc>
        <w:tc>
          <w:tcPr>
            <w:tcW w:w="3402"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rPr>
                <w:lang w:val="en-US"/>
              </w:rPr>
            </w:pPr>
            <w:r w:rsidRPr="00BD6197">
              <w:rPr>
                <w:lang w:val="en-US"/>
              </w:rPr>
              <w:t>0.7</w:t>
            </w:r>
          </w:p>
        </w:tc>
      </w:tr>
      <w:tr w:rsidR="008E2005" w:rsidRPr="00BD6197" w:rsidTr="000F2BA7">
        <w:trPr>
          <w:jc w:val="center"/>
        </w:trPr>
        <w:tc>
          <w:tcPr>
            <w:tcW w:w="1134"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jc w:val="center"/>
              <w:rPr>
                <w:lang w:val="en-US"/>
              </w:rPr>
            </w:pPr>
            <w:r w:rsidRPr="00BD6197">
              <w:rPr>
                <w:i/>
                <w:iCs/>
                <w:lang w:val="en-US"/>
              </w:rPr>
              <w:t>K</w:t>
            </w:r>
            <w:r w:rsidRPr="00BD6197">
              <w:rPr>
                <w:i/>
                <w:iCs/>
                <w:vertAlign w:val="subscript"/>
                <w:lang w:val="en-US"/>
              </w:rPr>
              <w:t>PH</w:t>
            </w:r>
          </w:p>
        </w:tc>
        <w:tc>
          <w:tcPr>
            <w:tcW w:w="5103" w:type="dxa"/>
            <w:tcBorders>
              <w:top w:val="single" w:sz="4" w:space="0" w:color="auto"/>
              <w:left w:val="single" w:sz="4" w:space="0" w:color="auto"/>
              <w:bottom w:val="single" w:sz="4" w:space="0" w:color="auto"/>
              <w:right w:val="single" w:sz="4" w:space="0" w:color="auto"/>
            </w:tcBorders>
          </w:tcPr>
          <w:p w:rsidR="008E2005" w:rsidRPr="00BD6197" w:rsidRDefault="008E2005" w:rsidP="003F76DB">
            <w:pPr>
              <w:pStyle w:val="Tabletext"/>
              <w:rPr>
                <w:lang w:val="en-US"/>
              </w:rPr>
            </w:pPr>
            <w:r w:rsidRPr="00BD6197">
              <w:rPr>
                <w:lang w:val="en-US"/>
              </w:rPr>
              <w:t>Traffic concentration coefficient characterizing the proportion of average daily traffic occurring during the busy hour; this is the ratio of busy-hour call time and mean daily call time</w:t>
            </w:r>
          </w:p>
        </w:tc>
        <w:tc>
          <w:tcPr>
            <w:tcW w:w="3402"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rPr>
                <w:lang w:val="en-US"/>
              </w:rPr>
            </w:pPr>
            <w:r w:rsidRPr="00BD6197">
              <w:rPr>
                <w:lang w:val="en-US"/>
              </w:rPr>
              <w:t>0.18</w:t>
            </w:r>
          </w:p>
        </w:tc>
      </w:tr>
      <w:tr w:rsidR="008E2005" w:rsidRPr="00BD6197" w:rsidTr="000F2BA7">
        <w:trPr>
          <w:jc w:val="center"/>
        </w:trPr>
        <w:tc>
          <w:tcPr>
            <w:tcW w:w="1134"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jc w:val="center"/>
              <w:rPr>
                <w:lang w:val="en-US"/>
              </w:rPr>
            </w:pPr>
            <w:r w:rsidRPr="00BD6197">
              <w:rPr>
                <w:lang w:val="en-US"/>
              </w:rPr>
              <w:sym w:font="Symbol" w:char="F062"/>
            </w:r>
          </w:p>
        </w:tc>
        <w:tc>
          <w:tcPr>
            <w:tcW w:w="5103" w:type="dxa"/>
            <w:tcBorders>
              <w:top w:val="single" w:sz="4" w:space="0" w:color="auto"/>
              <w:left w:val="single" w:sz="4" w:space="0" w:color="auto"/>
              <w:bottom w:val="single" w:sz="4" w:space="0" w:color="auto"/>
              <w:right w:val="single" w:sz="4" w:space="0" w:color="auto"/>
            </w:tcBorders>
          </w:tcPr>
          <w:p w:rsidR="008E2005" w:rsidRPr="00BD6197" w:rsidRDefault="008E2005" w:rsidP="003F76DB">
            <w:pPr>
              <w:pStyle w:val="Tabletext"/>
              <w:rPr>
                <w:lang w:val="en-US"/>
              </w:rPr>
            </w:pPr>
            <w:r w:rsidRPr="00BD6197">
              <w:rPr>
                <w:lang w:val="en-US"/>
              </w:rPr>
              <w:t>Activity of the subscriber during the busy hour</w:t>
            </w:r>
          </w:p>
        </w:tc>
        <w:tc>
          <w:tcPr>
            <w:tcW w:w="3402"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rPr>
                <w:lang w:val="en-US"/>
              </w:rPr>
            </w:pPr>
            <w:r w:rsidRPr="00BD6197">
              <w:rPr>
                <w:lang w:val="en-US"/>
              </w:rPr>
              <w:t>0.025</w:t>
            </w:r>
          </w:p>
        </w:tc>
      </w:tr>
      <w:tr w:rsidR="008E2005" w:rsidRPr="00BD6197" w:rsidTr="000F2BA7">
        <w:trPr>
          <w:jc w:val="center"/>
        </w:trPr>
        <w:tc>
          <w:tcPr>
            <w:tcW w:w="1134"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jc w:val="center"/>
              <w:rPr>
                <w:lang w:val="en-US"/>
              </w:rPr>
            </w:pPr>
            <w:r w:rsidRPr="00BD6197">
              <w:rPr>
                <w:i/>
                <w:iCs/>
                <w:lang w:val="en-US"/>
              </w:rPr>
              <w:t>P</w:t>
            </w:r>
            <w:r w:rsidRPr="00BD6197">
              <w:rPr>
                <w:vertAlign w:val="subscript"/>
                <w:lang w:val="en-US"/>
              </w:rPr>
              <w:t>1</w:t>
            </w:r>
          </w:p>
        </w:tc>
        <w:tc>
          <w:tcPr>
            <w:tcW w:w="5103" w:type="dxa"/>
            <w:tcBorders>
              <w:top w:val="single" w:sz="4" w:space="0" w:color="auto"/>
              <w:left w:val="single" w:sz="4" w:space="0" w:color="auto"/>
              <w:bottom w:val="single" w:sz="4" w:space="0" w:color="auto"/>
              <w:right w:val="single" w:sz="4" w:space="0" w:color="auto"/>
            </w:tcBorders>
          </w:tcPr>
          <w:p w:rsidR="008E2005" w:rsidRPr="00BD6197" w:rsidRDefault="008E2005" w:rsidP="003F76DB">
            <w:pPr>
              <w:pStyle w:val="Tabletext"/>
              <w:rPr>
                <w:lang w:val="en-US"/>
              </w:rPr>
            </w:pPr>
            <w:r w:rsidRPr="00BD6197">
              <w:rPr>
                <w:lang w:val="en-US"/>
              </w:rPr>
              <w:t>Mean one-time payment for connection to the network</w:t>
            </w:r>
          </w:p>
        </w:tc>
        <w:tc>
          <w:tcPr>
            <w:tcW w:w="3402"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rPr>
                <w:lang w:val="en-US"/>
              </w:rPr>
            </w:pPr>
            <w:r w:rsidRPr="00BD6197">
              <w:rPr>
                <w:lang w:val="en-US"/>
              </w:rPr>
              <w:t>USD 200</w:t>
            </w:r>
          </w:p>
        </w:tc>
      </w:tr>
      <w:tr w:rsidR="008E2005" w:rsidRPr="00BD6197" w:rsidTr="000F2BA7">
        <w:trPr>
          <w:jc w:val="center"/>
        </w:trPr>
        <w:tc>
          <w:tcPr>
            <w:tcW w:w="1134"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jc w:val="center"/>
              <w:rPr>
                <w:lang w:val="en-US"/>
              </w:rPr>
            </w:pPr>
            <w:r w:rsidRPr="00BD6197">
              <w:rPr>
                <w:i/>
                <w:iCs/>
                <w:lang w:val="en-US"/>
              </w:rPr>
              <w:t>P</w:t>
            </w:r>
            <w:r w:rsidRPr="00BD6197">
              <w:rPr>
                <w:vertAlign w:val="subscript"/>
                <w:lang w:val="en-US"/>
              </w:rPr>
              <w:t>2</w:t>
            </w:r>
          </w:p>
        </w:tc>
        <w:tc>
          <w:tcPr>
            <w:tcW w:w="5103" w:type="dxa"/>
            <w:tcBorders>
              <w:top w:val="single" w:sz="4" w:space="0" w:color="auto"/>
              <w:left w:val="single" w:sz="4" w:space="0" w:color="auto"/>
              <w:bottom w:val="single" w:sz="4" w:space="0" w:color="auto"/>
              <w:right w:val="single" w:sz="4" w:space="0" w:color="auto"/>
            </w:tcBorders>
          </w:tcPr>
          <w:p w:rsidR="008E2005" w:rsidRPr="00BD6197" w:rsidRDefault="008E2005" w:rsidP="003F76DB">
            <w:pPr>
              <w:pStyle w:val="Tabletext"/>
              <w:rPr>
                <w:lang w:val="en-US"/>
              </w:rPr>
            </w:pPr>
            <w:r w:rsidRPr="00BD6197">
              <w:rPr>
                <w:lang w:val="en-US"/>
              </w:rPr>
              <w:t>Mean monthly subscription fee</w:t>
            </w:r>
          </w:p>
        </w:tc>
        <w:tc>
          <w:tcPr>
            <w:tcW w:w="3402"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rPr>
                <w:lang w:val="en-US"/>
              </w:rPr>
            </w:pPr>
            <w:r w:rsidRPr="00BD6197">
              <w:rPr>
                <w:lang w:val="en-US"/>
              </w:rPr>
              <w:t>USD 50/month</w:t>
            </w:r>
          </w:p>
        </w:tc>
      </w:tr>
      <w:tr w:rsidR="008E2005" w:rsidRPr="00BD6197" w:rsidTr="000F2BA7">
        <w:trPr>
          <w:jc w:val="center"/>
        </w:trPr>
        <w:tc>
          <w:tcPr>
            <w:tcW w:w="1134"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jc w:val="center"/>
              <w:rPr>
                <w:lang w:val="en-US"/>
              </w:rPr>
            </w:pPr>
            <w:r w:rsidRPr="00BD6197">
              <w:rPr>
                <w:i/>
                <w:iCs/>
                <w:lang w:val="en-US"/>
              </w:rPr>
              <w:t>P</w:t>
            </w:r>
            <w:r w:rsidRPr="00BD6197">
              <w:rPr>
                <w:vertAlign w:val="subscript"/>
                <w:lang w:val="en-US"/>
              </w:rPr>
              <w:t>3</w:t>
            </w:r>
          </w:p>
        </w:tc>
        <w:tc>
          <w:tcPr>
            <w:tcW w:w="5103" w:type="dxa"/>
            <w:tcBorders>
              <w:top w:val="single" w:sz="4" w:space="0" w:color="auto"/>
              <w:left w:val="single" w:sz="4" w:space="0" w:color="auto"/>
              <w:bottom w:val="single" w:sz="4" w:space="0" w:color="auto"/>
              <w:right w:val="single" w:sz="4" w:space="0" w:color="auto"/>
            </w:tcBorders>
          </w:tcPr>
          <w:p w:rsidR="008E2005" w:rsidRPr="00BD6197" w:rsidRDefault="008E2005" w:rsidP="003F76DB">
            <w:pPr>
              <w:pStyle w:val="Tabletext"/>
              <w:rPr>
                <w:lang w:val="en-US"/>
              </w:rPr>
            </w:pPr>
            <w:r w:rsidRPr="00BD6197">
              <w:rPr>
                <w:lang w:val="en-US"/>
              </w:rPr>
              <w:t>Mean call rate</w:t>
            </w:r>
          </w:p>
        </w:tc>
        <w:tc>
          <w:tcPr>
            <w:tcW w:w="3402"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rPr>
                <w:lang w:val="en-US"/>
              </w:rPr>
            </w:pPr>
            <w:r w:rsidRPr="00BD6197">
              <w:rPr>
                <w:lang w:val="en-US"/>
              </w:rPr>
              <w:t>USD 0.35/min</w:t>
            </w:r>
          </w:p>
        </w:tc>
      </w:tr>
      <w:tr w:rsidR="008E2005" w:rsidRPr="00BD6197" w:rsidTr="000F2BA7">
        <w:trPr>
          <w:jc w:val="center"/>
        </w:trPr>
        <w:tc>
          <w:tcPr>
            <w:tcW w:w="1134"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jc w:val="center"/>
              <w:rPr>
                <w:lang w:val="en-US"/>
              </w:rPr>
            </w:pPr>
            <w:r w:rsidRPr="00BD6197">
              <w:rPr>
                <w:i/>
                <w:iCs/>
                <w:lang w:val="en-US"/>
              </w:rPr>
              <w:t>n</w:t>
            </w:r>
          </w:p>
        </w:tc>
        <w:tc>
          <w:tcPr>
            <w:tcW w:w="5103" w:type="dxa"/>
            <w:tcBorders>
              <w:top w:val="single" w:sz="4" w:space="0" w:color="auto"/>
              <w:left w:val="single" w:sz="4" w:space="0" w:color="auto"/>
              <w:bottom w:val="single" w:sz="4" w:space="0" w:color="auto"/>
              <w:right w:val="single" w:sz="4" w:space="0" w:color="auto"/>
            </w:tcBorders>
          </w:tcPr>
          <w:p w:rsidR="008E2005" w:rsidRPr="00BD6197" w:rsidRDefault="008E2005" w:rsidP="003F76DB">
            <w:pPr>
              <w:pStyle w:val="Tabletext"/>
              <w:rPr>
                <w:lang w:val="en-US"/>
              </w:rPr>
            </w:pPr>
            <w:r w:rsidRPr="00BD6197">
              <w:rPr>
                <w:lang w:val="en-US"/>
              </w:rPr>
              <w:t>Licence period</w:t>
            </w:r>
          </w:p>
        </w:tc>
        <w:tc>
          <w:tcPr>
            <w:tcW w:w="3402"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rPr>
                <w:lang w:val="en-US"/>
              </w:rPr>
            </w:pPr>
            <w:r w:rsidRPr="00BD6197">
              <w:rPr>
                <w:lang w:val="en-US"/>
              </w:rPr>
              <w:t>10 years</w:t>
            </w:r>
          </w:p>
        </w:tc>
      </w:tr>
      <w:tr w:rsidR="008E2005" w:rsidRPr="00BD6197" w:rsidTr="000F2BA7">
        <w:trPr>
          <w:jc w:val="center"/>
        </w:trPr>
        <w:tc>
          <w:tcPr>
            <w:tcW w:w="1134"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jc w:val="center"/>
              <w:rPr>
                <w:lang w:val="en-US"/>
              </w:rPr>
            </w:pPr>
            <w:r w:rsidRPr="00BD6197">
              <w:rPr>
                <w:lang w:val="en-US"/>
              </w:rPr>
              <w:sym w:font="Symbol" w:char="F064"/>
            </w:r>
          </w:p>
        </w:tc>
        <w:tc>
          <w:tcPr>
            <w:tcW w:w="5103" w:type="dxa"/>
            <w:tcBorders>
              <w:top w:val="single" w:sz="4" w:space="0" w:color="auto"/>
              <w:left w:val="single" w:sz="4" w:space="0" w:color="auto"/>
              <w:bottom w:val="single" w:sz="4" w:space="0" w:color="auto"/>
              <w:right w:val="single" w:sz="4" w:space="0" w:color="auto"/>
            </w:tcBorders>
          </w:tcPr>
          <w:p w:rsidR="008E2005" w:rsidRPr="00BD6197" w:rsidRDefault="008E2005" w:rsidP="003F76DB">
            <w:pPr>
              <w:pStyle w:val="Tabletext"/>
              <w:rPr>
                <w:lang w:val="en-US"/>
              </w:rPr>
            </w:pPr>
            <w:r w:rsidRPr="00BD6197">
              <w:rPr>
                <w:lang w:val="en-US"/>
              </w:rPr>
              <w:t>Rate of national profit tax</w:t>
            </w:r>
          </w:p>
        </w:tc>
        <w:tc>
          <w:tcPr>
            <w:tcW w:w="3402"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rPr>
                <w:lang w:val="en-US"/>
              </w:rPr>
            </w:pPr>
            <w:r w:rsidRPr="00BD6197">
              <w:rPr>
                <w:lang w:val="en-US"/>
              </w:rPr>
              <w:t>0.38</w:t>
            </w:r>
          </w:p>
        </w:tc>
      </w:tr>
      <w:tr w:rsidR="008E2005" w:rsidRPr="00BD6197" w:rsidTr="000F2BA7">
        <w:trPr>
          <w:jc w:val="center"/>
        </w:trPr>
        <w:tc>
          <w:tcPr>
            <w:tcW w:w="1134"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jc w:val="center"/>
              <w:rPr>
                <w:lang w:val="en-US"/>
              </w:rPr>
            </w:pPr>
            <w:r w:rsidRPr="00BD6197">
              <w:rPr>
                <w:i/>
                <w:iCs/>
                <w:lang w:val="en-US"/>
              </w:rPr>
              <w:t>E</w:t>
            </w:r>
            <w:r w:rsidRPr="00BD6197">
              <w:rPr>
                <w:i/>
                <w:iCs/>
                <w:vertAlign w:val="subscript"/>
                <w:lang w:val="en-US"/>
              </w:rPr>
              <w:t>n</w:t>
            </w:r>
          </w:p>
        </w:tc>
        <w:tc>
          <w:tcPr>
            <w:tcW w:w="5103" w:type="dxa"/>
            <w:tcBorders>
              <w:top w:val="single" w:sz="4" w:space="0" w:color="auto"/>
              <w:left w:val="single" w:sz="4" w:space="0" w:color="auto"/>
              <w:bottom w:val="single" w:sz="4" w:space="0" w:color="auto"/>
              <w:right w:val="single" w:sz="4" w:space="0" w:color="auto"/>
            </w:tcBorders>
          </w:tcPr>
          <w:p w:rsidR="008E2005" w:rsidRPr="00BD6197" w:rsidRDefault="008E2005" w:rsidP="003F76DB">
            <w:pPr>
              <w:pStyle w:val="Tabletext"/>
              <w:rPr>
                <w:lang w:val="en-US"/>
              </w:rPr>
            </w:pPr>
            <w:r w:rsidRPr="00BD6197">
              <w:rPr>
                <w:lang w:val="en-US"/>
              </w:rPr>
              <w:t>Discount rate, equal to the average annual bank rate</w:t>
            </w:r>
          </w:p>
        </w:tc>
        <w:tc>
          <w:tcPr>
            <w:tcW w:w="3402" w:type="dxa"/>
            <w:tcBorders>
              <w:top w:val="single" w:sz="4" w:space="0" w:color="auto"/>
              <w:left w:val="single" w:sz="4" w:space="0" w:color="auto"/>
              <w:bottom w:val="single" w:sz="4" w:space="0" w:color="auto"/>
              <w:right w:val="single" w:sz="4" w:space="0" w:color="auto"/>
            </w:tcBorders>
          </w:tcPr>
          <w:p w:rsidR="008E2005" w:rsidRPr="00BD6197" w:rsidRDefault="008E2005" w:rsidP="000F2BA7">
            <w:pPr>
              <w:pStyle w:val="Tabletext"/>
              <w:rPr>
                <w:lang w:val="en-US"/>
              </w:rPr>
            </w:pPr>
            <w:r w:rsidRPr="00BD6197">
              <w:rPr>
                <w:lang w:val="en-US"/>
              </w:rPr>
              <w:t>0.1</w:t>
            </w:r>
          </w:p>
        </w:tc>
      </w:tr>
    </w:tbl>
    <w:p w:rsidR="008E2005" w:rsidRPr="00BD6197" w:rsidRDefault="008E2005" w:rsidP="008E2005">
      <w:pPr>
        <w:pStyle w:val="Tablefin"/>
        <w:rPr>
          <w:lang w:val="en-US"/>
        </w:rPr>
      </w:pPr>
    </w:p>
    <w:p w:rsidR="008E2005" w:rsidRPr="00BD6197" w:rsidRDefault="008E2005" w:rsidP="008E2005">
      <w:pPr>
        <w:rPr>
          <w:lang w:val="en-US"/>
        </w:rPr>
      </w:pPr>
      <w:r w:rsidRPr="00BD6197">
        <w:rPr>
          <w:lang w:val="en-US"/>
        </w:rPr>
        <w:t xml:space="preserve">When determining the operator’s income and annual expenditure, it must be borne in mind that the number of network subscribers constantly varies through time according to a specific equation, </w:t>
      </w:r>
      <w:r w:rsidRPr="00BD6197">
        <w:rPr>
          <w:i/>
          <w:iCs/>
          <w:lang w:val="en-US"/>
        </w:rPr>
        <w:t>N</w:t>
      </w:r>
      <w:r w:rsidRPr="00BD6197">
        <w:rPr>
          <w:i/>
          <w:iCs/>
          <w:vertAlign w:val="subscript"/>
          <w:lang w:val="en-US"/>
        </w:rPr>
        <w:t>a</w:t>
      </w:r>
      <w:r w:rsidRPr="00BD6197">
        <w:rPr>
          <w:lang w:val="en-US"/>
        </w:rPr>
        <w:t>(</w:t>
      </w:r>
      <w:r w:rsidRPr="00BD6197">
        <w:rPr>
          <w:i/>
          <w:iCs/>
          <w:lang w:val="en-US"/>
        </w:rPr>
        <w:t>t</w:t>
      </w:r>
      <w:r w:rsidRPr="00BD6197">
        <w:rPr>
          <w:rFonts w:ascii="Tms Rmn" w:hAnsi="Tms Rmn"/>
          <w:sz w:val="2"/>
          <w:lang w:val="en-US"/>
        </w:rPr>
        <w:t> </w:t>
      </w:r>
      <w:r w:rsidRPr="00BD6197">
        <w:rPr>
          <w:lang w:val="en-US"/>
        </w:rPr>
        <w:t>), which may be calculated based on statistical data on the development of mobile networks. For cellular mobile networks being developed in the Russian Federation, this may be expressed as follows:</w:t>
      </w:r>
    </w:p>
    <w:p w:rsidR="008E2005" w:rsidRPr="00BD6197" w:rsidRDefault="008E2005" w:rsidP="008E2005">
      <w:pPr>
        <w:pStyle w:val="Blanc"/>
        <w:rPr>
          <w:lang w:val="en-US"/>
        </w:rPr>
      </w:pPr>
    </w:p>
    <w:p w:rsidR="008E2005" w:rsidRPr="00BD6197" w:rsidRDefault="008E2005" w:rsidP="008E2005">
      <w:pPr>
        <w:pStyle w:val="Equation"/>
        <w:rPr>
          <w:lang w:val="en-US"/>
        </w:rPr>
      </w:pPr>
      <w:r w:rsidRPr="00BD6197">
        <w:rPr>
          <w:lang w:val="en-US"/>
        </w:rPr>
        <w:tab/>
      </w:r>
      <w:r w:rsidRPr="00BD6197">
        <w:rPr>
          <w:lang w:val="en-US"/>
        </w:rPr>
        <w:tab/>
      </w:r>
      <w:r w:rsidRPr="00BD6197">
        <w:rPr>
          <w:position w:val="-12"/>
          <w:lang w:val="en-US"/>
        </w:rPr>
        <w:object w:dxaOrig="6399" w:dyaOrig="360">
          <v:shape id="_x0000_i1108" type="#_x0000_t75" style="width:315.75pt;height:19.5pt" o:ole="">
            <v:imagedata r:id="rId190" o:title=""/>
          </v:shape>
          <o:OLEObject Type="Embed" ProgID="Equation.3" ShapeID="_x0000_i1108" DrawAspect="Content" ObjectID="_1604325062" r:id="rId191"/>
        </w:object>
      </w:r>
    </w:p>
    <w:p w:rsidR="008E2005" w:rsidRPr="00BD6197" w:rsidRDefault="008E2005" w:rsidP="008E2005">
      <w:pPr>
        <w:pStyle w:val="Blanc"/>
        <w:rPr>
          <w:lang w:val="en-US"/>
        </w:rPr>
      </w:pPr>
    </w:p>
    <w:p w:rsidR="008E2005" w:rsidRPr="00BD6197" w:rsidRDefault="008E2005" w:rsidP="00AA04B2">
      <w:pPr>
        <w:rPr>
          <w:lang w:val="en-US"/>
        </w:rPr>
      </w:pPr>
      <w:r w:rsidRPr="00BD6197">
        <w:rPr>
          <w:lang w:val="en-US"/>
        </w:rPr>
        <w:t xml:space="preserve">Table </w:t>
      </w:r>
      <w:r w:rsidR="00AA04B2">
        <w:rPr>
          <w:lang w:val="en-US"/>
        </w:rPr>
        <w:t>24</w:t>
      </w:r>
      <w:r w:rsidRPr="00BD6197">
        <w:rPr>
          <w:lang w:val="en-US"/>
        </w:rPr>
        <w:t xml:space="preserve"> gives data on the evolution in the number of subscribers to GSM standard networks in the Russian Federation, together with the correspondingly calculated values of </w:t>
      </w:r>
      <w:r w:rsidRPr="00BD6197">
        <w:rPr>
          <w:rFonts w:ascii="Symbol" w:hAnsi="Symbol"/>
          <w:lang w:val="en-US"/>
        </w:rPr>
        <w:t></w:t>
      </w:r>
      <w:r w:rsidRPr="00BD6197">
        <w:rPr>
          <w:i/>
          <w:iCs/>
          <w:vertAlign w:val="subscript"/>
          <w:lang w:val="en-US"/>
        </w:rPr>
        <w:t>k</w:t>
      </w:r>
      <w:r w:rsidRPr="00BD6197">
        <w:rPr>
          <w:lang w:val="en-US"/>
        </w:rPr>
        <w:t>:</w:t>
      </w:r>
    </w:p>
    <w:p w:rsidR="008E2005" w:rsidRPr="00BD6197" w:rsidRDefault="008E2005" w:rsidP="00AA04B2">
      <w:pPr>
        <w:pStyle w:val="TableNo"/>
        <w:rPr>
          <w:lang w:val="en-US"/>
        </w:rPr>
      </w:pPr>
      <w:r w:rsidRPr="00BD6197">
        <w:rPr>
          <w:lang w:val="en-US"/>
        </w:rPr>
        <w:t xml:space="preserve">TABLE </w:t>
      </w:r>
      <w:r w:rsidR="00AA04B2">
        <w:rPr>
          <w:lang w:val="en-US"/>
        </w:rPr>
        <w:t>24</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474"/>
        <w:gridCol w:w="1474"/>
        <w:gridCol w:w="1474"/>
        <w:gridCol w:w="1474"/>
        <w:gridCol w:w="1474"/>
        <w:gridCol w:w="1474"/>
      </w:tblGrid>
      <w:tr w:rsidR="008E2005" w:rsidRPr="00BD6197" w:rsidTr="000F2BA7">
        <w:trPr>
          <w:jc w:val="center"/>
        </w:trPr>
        <w:tc>
          <w:tcPr>
            <w:tcW w:w="1474" w:type="dxa"/>
          </w:tcPr>
          <w:p w:rsidR="008E2005" w:rsidRPr="00BD6197" w:rsidRDefault="008E2005" w:rsidP="000F2BA7">
            <w:pPr>
              <w:pStyle w:val="Tablehead"/>
              <w:rPr>
                <w:lang w:val="en-US"/>
              </w:rPr>
            </w:pPr>
            <w:r w:rsidRPr="00BD6197">
              <w:rPr>
                <w:lang w:val="en-US"/>
              </w:rPr>
              <w:t>Year</w:t>
            </w:r>
          </w:p>
        </w:tc>
        <w:tc>
          <w:tcPr>
            <w:tcW w:w="1474" w:type="dxa"/>
          </w:tcPr>
          <w:p w:rsidR="008E2005" w:rsidRPr="00BD6197" w:rsidRDefault="008E2005" w:rsidP="000F2BA7">
            <w:pPr>
              <w:pStyle w:val="Tablehead"/>
              <w:rPr>
                <w:lang w:val="en-US"/>
              </w:rPr>
            </w:pPr>
            <w:r w:rsidRPr="00BD6197">
              <w:rPr>
                <w:lang w:val="en-US"/>
              </w:rPr>
              <w:t>1994</w:t>
            </w:r>
          </w:p>
        </w:tc>
        <w:tc>
          <w:tcPr>
            <w:tcW w:w="1474" w:type="dxa"/>
          </w:tcPr>
          <w:p w:rsidR="008E2005" w:rsidRPr="00BD6197" w:rsidRDefault="008E2005" w:rsidP="000F2BA7">
            <w:pPr>
              <w:pStyle w:val="Tablehead"/>
              <w:rPr>
                <w:lang w:val="en-US"/>
              </w:rPr>
            </w:pPr>
            <w:r w:rsidRPr="00BD6197">
              <w:rPr>
                <w:lang w:val="en-US"/>
              </w:rPr>
              <w:t>1995</w:t>
            </w:r>
          </w:p>
        </w:tc>
        <w:tc>
          <w:tcPr>
            <w:tcW w:w="1474" w:type="dxa"/>
          </w:tcPr>
          <w:p w:rsidR="008E2005" w:rsidRPr="00BD6197" w:rsidRDefault="008E2005" w:rsidP="000F2BA7">
            <w:pPr>
              <w:pStyle w:val="Tablehead"/>
              <w:rPr>
                <w:lang w:val="en-US"/>
              </w:rPr>
            </w:pPr>
            <w:r w:rsidRPr="00BD6197">
              <w:rPr>
                <w:lang w:val="en-US"/>
              </w:rPr>
              <w:t>1996</w:t>
            </w:r>
          </w:p>
        </w:tc>
        <w:tc>
          <w:tcPr>
            <w:tcW w:w="1474" w:type="dxa"/>
          </w:tcPr>
          <w:p w:rsidR="008E2005" w:rsidRPr="00BD6197" w:rsidRDefault="008E2005" w:rsidP="000F2BA7">
            <w:pPr>
              <w:pStyle w:val="Tablehead"/>
              <w:rPr>
                <w:lang w:val="en-US"/>
              </w:rPr>
            </w:pPr>
            <w:r w:rsidRPr="00BD6197">
              <w:rPr>
                <w:lang w:val="en-US"/>
              </w:rPr>
              <w:t>1997</w:t>
            </w:r>
          </w:p>
        </w:tc>
        <w:tc>
          <w:tcPr>
            <w:tcW w:w="1474" w:type="dxa"/>
          </w:tcPr>
          <w:p w:rsidR="008E2005" w:rsidRPr="00BD6197" w:rsidRDefault="008E2005" w:rsidP="000F2BA7">
            <w:pPr>
              <w:pStyle w:val="Tablehead"/>
              <w:rPr>
                <w:lang w:val="en-US"/>
              </w:rPr>
            </w:pPr>
            <w:r w:rsidRPr="00BD6197">
              <w:rPr>
                <w:lang w:val="en-US"/>
              </w:rPr>
              <w:t>1998-2005</w:t>
            </w:r>
          </w:p>
        </w:tc>
      </w:tr>
      <w:tr w:rsidR="008E2005" w:rsidRPr="00BD6197" w:rsidTr="000F2BA7">
        <w:trPr>
          <w:jc w:val="center"/>
        </w:trPr>
        <w:tc>
          <w:tcPr>
            <w:tcW w:w="1474" w:type="dxa"/>
          </w:tcPr>
          <w:p w:rsidR="008E2005" w:rsidRPr="00BD6197" w:rsidRDefault="008E2005" w:rsidP="000F2BA7">
            <w:pPr>
              <w:pStyle w:val="Tabletext"/>
              <w:rPr>
                <w:lang w:val="en-US"/>
              </w:rPr>
            </w:pPr>
            <w:r w:rsidRPr="00BD6197">
              <w:rPr>
                <w:i/>
                <w:iCs/>
                <w:lang w:val="en-US"/>
              </w:rPr>
              <w:t>k</w:t>
            </w:r>
          </w:p>
        </w:tc>
        <w:tc>
          <w:tcPr>
            <w:tcW w:w="1474" w:type="dxa"/>
          </w:tcPr>
          <w:p w:rsidR="008E2005" w:rsidRPr="00BD6197" w:rsidRDefault="008E2005" w:rsidP="000F2BA7">
            <w:pPr>
              <w:pStyle w:val="Tabletext"/>
              <w:jc w:val="center"/>
              <w:rPr>
                <w:lang w:val="en-US"/>
              </w:rPr>
            </w:pPr>
            <w:r w:rsidRPr="00BD6197">
              <w:rPr>
                <w:lang w:val="en-US"/>
              </w:rPr>
              <w:t>0</w:t>
            </w:r>
          </w:p>
        </w:tc>
        <w:tc>
          <w:tcPr>
            <w:tcW w:w="1474" w:type="dxa"/>
          </w:tcPr>
          <w:p w:rsidR="008E2005" w:rsidRPr="00BD6197" w:rsidRDefault="008E2005" w:rsidP="000F2BA7">
            <w:pPr>
              <w:pStyle w:val="Tabletext"/>
              <w:jc w:val="center"/>
              <w:rPr>
                <w:lang w:val="en-US"/>
              </w:rPr>
            </w:pPr>
            <w:r w:rsidRPr="00BD6197">
              <w:rPr>
                <w:lang w:val="en-US"/>
              </w:rPr>
              <w:t>1</w:t>
            </w:r>
          </w:p>
        </w:tc>
        <w:tc>
          <w:tcPr>
            <w:tcW w:w="1474" w:type="dxa"/>
          </w:tcPr>
          <w:p w:rsidR="008E2005" w:rsidRPr="00BD6197" w:rsidRDefault="008E2005" w:rsidP="000F2BA7">
            <w:pPr>
              <w:pStyle w:val="Tabletext"/>
              <w:jc w:val="center"/>
              <w:rPr>
                <w:lang w:val="en-US"/>
              </w:rPr>
            </w:pPr>
            <w:r w:rsidRPr="00BD6197">
              <w:rPr>
                <w:lang w:val="en-US"/>
              </w:rPr>
              <w:t>2</w:t>
            </w:r>
          </w:p>
        </w:tc>
        <w:tc>
          <w:tcPr>
            <w:tcW w:w="1474" w:type="dxa"/>
          </w:tcPr>
          <w:p w:rsidR="008E2005" w:rsidRPr="00BD6197" w:rsidRDefault="008E2005" w:rsidP="000F2BA7">
            <w:pPr>
              <w:pStyle w:val="Tabletext"/>
              <w:jc w:val="center"/>
              <w:rPr>
                <w:lang w:val="en-US"/>
              </w:rPr>
            </w:pPr>
            <w:r w:rsidRPr="00BD6197">
              <w:rPr>
                <w:lang w:val="en-US"/>
              </w:rPr>
              <w:t>3</w:t>
            </w:r>
          </w:p>
        </w:tc>
        <w:tc>
          <w:tcPr>
            <w:tcW w:w="1474" w:type="dxa"/>
          </w:tcPr>
          <w:p w:rsidR="008E2005" w:rsidRPr="00BD6197" w:rsidRDefault="008E2005" w:rsidP="000F2BA7">
            <w:pPr>
              <w:pStyle w:val="Tabletext"/>
              <w:jc w:val="center"/>
              <w:rPr>
                <w:lang w:val="en-US"/>
              </w:rPr>
            </w:pPr>
            <w:r w:rsidRPr="00BD6197">
              <w:rPr>
                <w:lang w:val="en-US"/>
              </w:rPr>
              <w:t>4-11</w:t>
            </w:r>
          </w:p>
        </w:tc>
      </w:tr>
      <w:tr w:rsidR="008E2005" w:rsidRPr="00BD6197" w:rsidTr="000F2BA7">
        <w:trPr>
          <w:jc w:val="center"/>
        </w:trPr>
        <w:tc>
          <w:tcPr>
            <w:tcW w:w="1474" w:type="dxa"/>
          </w:tcPr>
          <w:p w:rsidR="008E2005" w:rsidRPr="00BD6197" w:rsidRDefault="008E2005" w:rsidP="000F2BA7">
            <w:pPr>
              <w:pStyle w:val="Tabletext"/>
              <w:rPr>
                <w:lang w:val="en-US"/>
              </w:rPr>
            </w:pPr>
            <w:r w:rsidRPr="00BD6197">
              <w:rPr>
                <w:i/>
                <w:iCs/>
                <w:lang w:val="en-US"/>
              </w:rPr>
              <w:t>N</w:t>
            </w:r>
            <w:r w:rsidRPr="00BD6197">
              <w:rPr>
                <w:i/>
                <w:iCs/>
                <w:vertAlign w:val="subscript"/>
                <w:lang w:val="en-US"/>
              </w:rPr>
              <w:t>ak</w:t>
            </w:r>
            <w:r w:rsidRPr="00BD6197">
              <w:rPr>
                <w:vertAlign w:val="subscript"/>
                <w:lang w:val="en-US"/>
              </w:rPr>
              <w:t> </w:t>
            </w:r>
            <w:r w:rsidRPr="00BD6197">
              <w:rPr>
                <w:rFonts w:ascii="Symbol" w:hAnsi="Symbol"/>
                <w:lang w:val="en-US"/>
              </w:rPr>
              <w:t></w:t>
            </w:r>
            <w:r w:rsidRPr="00BD6197">
              <w:rPr>
                <w:lang w:val="en-US"/>
              </w:rPr>
              <w:t> </w:t>
            </w:r>
            <w:r w:rsidRPr="00BD6197">
              <w:rPr>
                <w:i/>
                <w:iCs/>
                <w:lang w:val="en-US"/>
              </w:rPr>
              <w:t>N</w:t>
            </w:r>
            <w:r w:rsidRPr="00BD6197">
              <w:rPr>
                <w:i/>
                <w:iCs/>
                <w:vertAlign w:val="subscript"/>
                <w:lang w:val="en-US"/>
              </w:rPr>
              <w:t>a</w:t>
            </w:r>
            <w:r w:rsidRPr="00BD6197">
              <w:rPr>
                <w:lang w:val="en-US"/>
              </w:rPr>
              <w:t>(</w:t>
            </w:r>
            <w:r w:rsidRPr="00BD6197">
              <w:rPr>
                <w:i/>
                <w:iCs/>
                <w:lang w:val="en-US"/>
              </w:rPr>
              <w:t>k</w:t>
            </w:r>
            <w:r w:rsidRPr="00BD6197">
              <w:rPr>
                <w:rFonts w:ascii="Tms Rmn" w:hAnsi="Tms Rmn"/>
                <w:i/>
                <w:iCs/>
                <w:lang w:val="en-US"/>
              </w:rPr>
              <w:t> </w:t>
            </w:r>
            <w:r w:rsidRPr="00BD6197">
              <w:rPr>
                <w:lang w:val="en-US"/>
              </w:rPr>
              <w:t>)</w:t>
            </w:r>
          </w:p>
        </w:tc>
        <w:tc>
          <w:tcPr>
            <w:tcW w:w="1474" w:type="dxa"/>
          </w:tcPr>
          <w:p w:rsidR="008E2005" w:rsidRPr="00BD6197" w:rsidRDefault="008E2005" w:rsidP="000F2BA7">
            <w:pPr>
              <w:pStyle w:val="Tabletext"/>
              <w:jc w:val="center"/>
              <w:rPr>
                <w:lang w:val="en-US"/>
              </w:rPr>
            </w:pPr>
            <w:r w:rsidRPr="00BD6197">
              <w:rPr>
                <w:lang w:val="en-US"/>
              </w:rPr>
              <w:t>2 × 10</w:t>
            </w:r>
            <w:r w:rsidRPr="00BD6197">
              <w:rPr>
                <w:vertAlign w:val="superscript"/>
                <w:lang w:val="en-US"/>
              </w:rPr>
              <w:t>3</w:t>
            </w:r>
          </w:p>
        </w:tc>
        <w:tc>
          <w:tcPr>
            <w:tcW w:w="1474" w:type="dxa"/>
          </w:tcPr>
          <w:p w:rsidR="008E2005" w:rsidRPr="00BD6197" w:rsidRDefault="008E2005" w:rsidP="000F2BA7">
            <w:pPr>
              <w:pStyle w:val="Tabletext"/>
              <w:jc w:val="center"/>
              <w:rPr>
                <w:lang w:val="en-US"/>
              </w:rPr>
            </w:pPr>
            <w:r w:rsidRPr="00BD6197">
              <w:rPr>
                <w:lang w:val="en-US"/>
              </w:rPr>
              <w:t>13 × 10</w:t>
            </w:r>
            <w:r w:rsidRPr="00BD6197">
              <w:rPr>
                <w:vertAlign w:val="superscript"/>
                <w:lang w:val="en-US"/>
              </w:rPr>
              <w:t>3</w:t>
            </w:r>
          </w:p>
        </w:tc>
        <w:tc>
          <w:tcPr>
            <w:tcW w:w="1474" w:type="dxa"/>
          </w:tcPr>
          <w:p w:rsidR="008E2005" w:rsidRPr="00BD6197" w:rsidRDefault="008E2005" w:rsidP="000F2BA7">
            <w:pPr>
              <w:pStyle w:val="Tabletext"/>
              <w:jc w:val="center"/>
              <w:rPr>
                <w:lang w:val="en-US"/>
              </w:rPr>
            </w:pPr>
            <w:r w:rsidRPr="00BD6197">
              <w:rPr>
                <w:lang w:val="en-US"/>
              </w:rPr>
              <w:t>53 × 10</w:t>
            </w:r>
            <w:r w:rsidRPr="00BD6197">
              <w:rPr>
                <w:vertAlign w:val="superscript"/>
                <w:lang w:val="en-US"/>
              </w:rPr>
              <w:t>3</w:t>
            </w:r>
          </w:p>
        </w:tc>
        <w:tc>
          <w:tcPr>
            <w:tcW w:w="1474" w:type="dxa"/>
          </w:tcPr>
          <w:p w:rsidR="008E2005" w:rsidRPr="00BD6197" w:rsidRDefault="008E2005" w:rsidP="000F2BA7">
            <w:pPr>
              <w:pStyle w:val="Tabletext"/>
              <w:jc w:val="center"/>
              <w:rPr>
                <w:lang w:val="en-US"/>
              </w:rPr>
            </w:pPr>
            <w:r w:rsidRPr="00BD6197">
              <w:rPr>
                <w:lang w:val="en-US"/>
              </w:rPr>
              <w:t>132 × 10</w:t>
            </w:r>
            <w:r w:rsidRPr="00BD6197">
              <w:rPr>
                <w:vertAlign w:val="superscript"/>
                <w:lang w:val="en-US"/>
              </w:rPr>
              <w:t>3</w:t>
            </w:r>
          </w:p>
        </w:tc>
        <w:tc>
          <w:tcPr>
            <w:tcW w:w="1474" w:type="dxa"/>
          </w:tcPr>
          <w:p w:rsidR="008E2005" w:rsidRPr="00BD6197" w:rsidRDefault="008E2005" w:rsidP="000F2BA7">
            <w:pPr>
              <w:pStyle w:val="Tabletext"/>
              <w:jc w:val="center"/>
              <w:rPr>
                <w:lang w:val="en-US"/>
              </w:rPr>
            </w:pPr>
            <w:r w:rsidRPr="00BD6197">
              <w:rPr>
                <w:i/>
                <w:iCs/>
                <w:lang w:val="en-US"/>
              </w:rPr>
              <w:t>N</w:t>
            </w:r>
            <w:r w:rsidRPr="00BD6197">
              <w:rPr>
                <w:i/>
                <w:iCs/>
                <w:vertAlign w:val="subscript"/>
                <w:lang w:val="en-US"/>
              </w:rPr>
              <w:t>a</w:t>
            </w:r>
            <w:r w:rsidRPr="00BD6197">
              <w:rPr>
                <w:vertAlign w:val="subscript"/>
                <w:lang w:val="en-US"/>
              </w:rPr>
              <w:t>11</w:t>
            </w:r>
            <w:r w:rsidRPr="00BD6197">
              <w:rPr>
                <w:lang w:val="en-US"/>
              </w:rPr>
              <w:t> </w:t>
            </w:r>
            <w:r w:rsidRPr="00BD6197">
              <w:rPr>
                <w:rFonts w:ascii="Symbol" w:hAnsi="Symbol"/>
                <w:lang w:val="en-US"/>
              </w:rPr>
              <w:t></w:t>
            </w:r>
            <w:r w:rsidRPr="00BD6197">
              <w:rPr>
                <w:lang w:val="en-US"/>
              </w:rPr>
              <w:t> 2 × 10</w:t>
            </w:r>
            <w:r w:rsidRPr="00BD6197">
              <w:rPr>
                <w:vertAlign w:val="superscript"/>
                <w:lang w:val="en-US"/>
              </w:rPr>
              <w:t>6</w:t>
            </w:r>
          </w:p>
        </w:tc>
      </w:tr>
      <w:tr w:rsidR="008E2005" w:rsidRPr="00BD6197" w:rsidTr="000F2BA7">
        <w:trPr>
          <w:jc w:val="center"/>
        </w:trPr>
        <w:tc>
          <w:tcPr>
            <w:tcW w:w="1474" w:type="dxa"/>
          </w:tcPr>
          <w:p w:rsidR="008E2005" w:rsidRPr="00BD6197" w:rsidRDefault="008E2005" w:rsidP="000F2BA7">
            <w:pPr>
              <w:pStyle w:val="Tabletext"/>
              <w:rPr>
                <w:lang w:val="en-US"/>
              </w:rPr>
            </w:pPr>
            <w:r w:rsidRPr="00BD6197">
              <w:rPr>
                <w:rFonts w:ascii="Symbol" w:hAnsi="Symbol"/>
                <w:lang w:val="en-US"/>
              </w:rPr>
              <w:t></w:t>
            </w:r>
            <w:r w:rsidRPr="00BD6197">
              <w:rPr>
                <w:i/>
                <w:iCs/>
                <w:vertAlign w:val="subscript"/>
                <w:lang w:val="en-US"/>
              </w:rPr>
              <w:t>k</w:t>
            </w:r>
          </w:p>
        </w:tc>
        <w:tc>
          <w:tcPr>
            <w:tcW w:w="1474" w:type="dxa"/>
          </w:tcPr>
          <w:p w:rsidR="008E2005" w:rsidRPr="00BD6197" w:rsidRDefault="008E2005" w:rsidP="000F2BA7">
            <w:pPr>
              <w:pStyle w:val="Tabletext"/>
              <w:jc w:val="center"/>
              <w:rPr>
                <w:lang w:val="en-US"/>
              </w:rPr>
            </w:pPr>
            <w:r w:rsidRPr="00BD6197">
              <w:rPr>
                <w:lang w:val="en-US"/>
              </w:rPr>
              <w:t>0</w:t>
            </w:r>
          </w:p>
        </w:tc>
        <w:tc>
          <w:tcPr>
            <w:tcW w:w="1474" w:type="dxa"/>
          </w:tcPr>
          <w:p w:rsidR="008E2005" w:rsidRPr="00BD6197" w:rsidRDefault="008E2005" w:rsidP="000F2BA7">
            <w:pPr>
              <w:pStyle w:val="Tabletext"/>
              <w:jc w:val="center"/>
              <w:rPr>
                <w:lang w:val="en-US"/>
              </w:rPr>
            </w:pPr>
            <w:r w:rsidRPr="00BD6197">
              <w:rPr>
                <w:lang w:val="en-US"/>
              </w:rPr>
              <w:t>1.87</w:t>
            </w:r>
          </w:p>
        </w:tc>
        <w:tc>
          <w:tcPr>
            <w:tcW w:w="1474" w:type="dxa"/>
          </w:tcPr>
          <w:p w:rsidR="008E2005" w:rsidRPr="00BD6197" w:rsidRDefault="008E2005" w:rsidP="000F2BA7">
            <w:pPr>
              <w:pStyle w:val="Tabletext"/>
              <w:jc w:val="center"/>
              <w:rPr>
                <w:lang w:val="en-US"/>
              </w:rPr>
            </w:pPr>
            <w:r w:rsidRPr="00BD6197">
              <w:rPr>
                <w:lang w:val="en-US"/>
              </w:rPr>
              <w:t>1.48</w:t>
            </w:r>
          </w:p>
        </w:tc>
        <w:tc>
          <w:tcPr>
            <w:tcW w:w="1474" w:type="dxa"/>
          </w:tcPr>
          <w:p w:rsidR="008E2005" w:rsidRPr="00BD6197" w:rsidRDefault="008E2005" w:rsidP="000F2BA7">
            <w:pPr>
              <w:pStyle w:val="Tabletext"/>
              <w:jc w:val="center"/>
              <w:rPr>
                <w:lang w:val="en-US"/>
              </w:rPr>
            </w:pPr>
            <w:r w:rsidRPr="00BD6197">
              <w:rPr>
                <w:lang w:val="en-US"/>
              </w:rPr>
              <w:t>0.92</w:t>
            </w:r>
          </w:p>
        </w:tc>
        <w:tc>
          <w:tcPr>
            <w:tcW w:w="1474" w:type="dxa"/>
          </w:tcPr>
          <w:p w:rsidR="008E2005" w:rsidRPr="00BD6197" w:rsidRDefault="008E2005" w:rsidP="000F2BA7">
            <w:pPr>
              <w:pStyle w:val="Tabletext"/>
              <w:jc w:val="center"/>
              <w:rPr>
                <w:lang w:val="en-US"/>
              </w:rPr>
            </w:pPr>
            <w:r w:rsidRPr="00BD6197">
              <w:rPr>
                <w:lang w:val="en-US"/>
              </w:rPr>
              <w:t>0.34</w:t>
            </w:r>
          </w:p>
        </w:tc>
      </w:tr>
    </w:tbl>
    <w:p w:rsidR="008E2005" w:rsidRPr="00BD6197" w:rsidRDefault="008E2005" w:rsidP="008E2005">
      <w:pPr>
        <w:pStyle w:val="Tablefin"/>
        <w:rPr>
          <w:lang w:val="en-US"/>
        </w:rPr>
      </w:pPr>
    </w:p>
    <w:p w:rsidR="008E2005" w:rsidRPr="00BD6197" w:rsidRDefault="008E2005" w:rsidP="008E2005">
      <w:pPr>
        <w:keepNext/>
        <w:keepLines/>
        <w:rPr>
          <w:lang w:val="en-US"/>
        </w:rPr>
      </w:pPr>
      <w:r w:rsidRPr="00BD6197">
        <w:rPr>
          <w:lang w:val="en-US"/>
        </w:rPr>
        <w:lastRenderedPageBreak/>
        <w:t xml:space="preserve">Current annual expenditure, </w:t>
      </w:r>
      <w:r w:rsidRPr="00BD6197">
        <w:rPr>
          <w:i/>
          <w:iCs/>
          <w:lang w:val="en-US"/>
        </w:rPr>
        <w:t>Z</w:t>
      </w:r>
      <w:r w:rsidRPr="00BD6197">
        <w:rPr>
          <w:vertAlign w:val="subscript"/>
          <w:lang w:val="en-US"/>
        </w:rPr>
        <w:sym w:font="Symbol" w:char="F053"/>
      </w:r>
      <w:r w:rsidRPr="00BD6197">
        <w:rPr>
          <w:i/>
          <w:iCs/>
          <w:vertAlign w:val="subscript"/>
          <w:lang w:val="en-US"/>
        </w:rPr>
        <w:t>k</w:t>
      </w:r>
      <w:r w:rsidRPr="00BD6197">
        <w:rPr>
          <w:lang w:val="en-US"/>
        </w:rPr>
        <w:t>, comprises three components:</w:t>
      </w:r>
    </w:p>
    <w:p w:rsidR="008E2005" w:rsidRPr="00BD6197" w:rsidRDefault="008E2005" w:rsidP="008E2005">
      <w:pPr>
        <w:pStyle w:val="Blanc"/>
        <w:rPr>
          <w:lang w:val="en-US"/>
        </w:rPr>
      </w:pPr>
    </w:p>
    <w:p w:rsidR="008E2005" w:rsidRPr="00BD6197" w:rsidRDefault="008E2005" w:rsidP="008E2005">
      <w:pPr>
        <w:pStyle w:val="Equation"/>
        <w:keepNext/>
        <w:keepLines/>
        <w:rPr>
          <w:lang w:val="en-US"/>
        </w:rPr>
      </w:pPr>
      <w:r w:rsidRPr="00BD6197">
        <w:rPr>
          <w:lang w:val="en-US"/>
        </w:rPr>
        <w:tab/>
      </w:r>
      <w:r w:rsidRPr="00BD6197">
        <w:rPr>
          <w:lang w:val="en-US"/>
        </w:rPr>
        <w:tab/>
      </w:r>
      <w:r w:rsidRPr="00BD6197">
        <w:rPr>
          <w:position w:val="-12"/>
          <w:lang w:val="en-US"/>
        </w:rPr>
        <w:object w:dxaOrig="2360" w:dyaOrig="360">
          <v:shape id="_x0000_i1109" type="#_x0000_t75" style="width:117.75pt;height:19.5pt" o:ole="">
            <v:imagedata r:id="rId192" o:title=""/>
          </v:shape>
          <o:OLEObject Type="Embed" ProgID="Equation.3" ShapeID="_x0000_i1109" DrawAspect="Content" ObjectID="_1604325063" r:id="rId193"/>
        </w:object>
      </w:r>
    </w:p>
    <w:p w:rsidR="008E2005" w:rsidRPr="00BD6197" w:rsidRDefault="008E2005" w:rsidP="008E2005">
      <w:pPr>
        <w:keepNext/>
        <w:keepLines/>
        <w:rPr>
          <w:lang w:val="en-US"/>
        </w:rPr>
      </w:pPr>
      <w:r w:rsidRPr="00BD6197">
        <w:rPr>
          <w:lang w:val="en-US"/>
        </w:rPr>
        <w:t>where:</w:t>
      </w:r>
    </w:p>
    <w:p w:rsidR="008E2005" w:rsidRPr="00BD6197" w:rsidRDefault="008E2005" w:rsidP="008E2005">
      <w:pPr>
        <w:pStyle w:val="Equationlegend"/>
        <w:keepNext/>
        <w:keepLines/>
      </w:pPr>
      <w:r w:rsidRPr="00BD6197">
        <w:tab/>
      </w:r>
      <w:r w:rsidRPr="00BD6197">
        <w:rPr>
          <w:i/>
          <w:iCs/>
        </w:rPr>
        <w:t>Z</w:t>
      </w:r>
      <w:r w:rsidRPr="00BD6197">
        <w:rPr>
          <w:vertAlign w:val="subscript"/>
        </w:rPr>
        <w:t>1</w:t>
      </w:r>
      <w:r w:rsidRPr="00BD6197">
        <w:rPr>
          <w:i/>
          <w:iCs/>
          <w:vertAlign w:val="subscript"/>
        </w:rPr>
        <w:t>k</w:t>
      </w:r>
      <w:r w:rsidRPr="00BD6197">
        <w:rPr>
          <w:rFonts w:ascii="Tms Rmn" w:hAnsi="Tms Rmn"/>
          <w:sz w:val="12"/>
        </w:rPr>
        <w:t> </w:t>
      </w:r>
      <w:r w:rsidRPr="00BD6197">
        <w:t>:</w:t>
      </w:r>
      <w:r w:rsidRPr="00BD6197">
        <w:rPr>
          <w:rFonts w:ascii="Tms Rmn" w:hAnsi="Tms Rmn"/>
        </w:rPr>
        <w:tab/>
      </w:r>
      <w:r w:rsidRPr="00BD6197">
        <w:t>annual expenditure for operation, amortization, equipment maintenance, administrative costs, salaries, share dividends or interest on loans, payments for public utilities, land rental. On the basis of statistical data, the following approximation may be used:</w:t>
      </w:r>
    </w:p>
    <w:p w:rsidR="008E2005" w:rsidRPr="00BD6197" w:rsidRDefault="008E2005" w:rsidP="008E2005">
      <w:pPr>
        <w:pStyle w:val="Equation"/>
        <w:rPr>
          <w:lang w:val="en-US"/>
        </w:rPr>
      </w:pPr>
      <w:r w:rsidRPr="00BD6197">
        <w:rPr>
          <w:lang w:val="en-US"/>
        </w:rPr>
        <w:tab/>
      </w:r>
      <w:r w:rsidRPr="00BD6197">
        <w:rPr>
          <w:lang w:val="en-US"/>
        </w:rPr>
        <w:tab/>
      </w:r>
      <w:r w:rsidRPr="00BD6197">
        <w:rPr>
          <w:position w:val="-12"/>
          <w:lang w:val="en-US"/>
        </w:rPr>
        <w:object w:dxaOrig="1740" w:dyaOrig="360">
          <v:shape id="_x0000_i1110" type="#_x0000_t75" style="width:85.5pt;height:19.5pt" o:ole="">
            <v:imagedata r:id="rId194" o:title=""/>
          </v:shape>
          <o:OLEObject Type="Embed" ProgID="Equation.3" ShapeID="_x0000_i1110" DrawAspect="Content" ObjectID="_1604325064" r:id="rId195"/>
        </w:object>
      </w:r>
    </w:p>
    <w:p w:rsidR="008E2005" w:rsidRPr="00BD6197" w:rsidRDefault="008E2005" w:rsidP="008E2005">
      <w:pPr>
        <w:pStyle w:val="Equationlegend"/>
      </w:pPr>
      <w:r w:rsidRPr="00BD6197">
        <w:tab/>
      </w:r>
      <w:r w:rsidRPr="00BD6197">
        <w:rPr>
          <w:i/>
          <w:iCs/>
        </w:rPr>
        <w:t>Z</w:t>
      </w:r>
      <w:r w:rsidRPr="00BD6197">
        <w:rPr>
          <w:vertAlign w:val="subscript"/>
        </w:rPr>
        <w:t>2</w:t>
      </w:r>
      <w:r w:rsidRPr="00BD6197">
        <w:rPr>
          <w:i/>
          <w:iCs/>
          <w:vertAlign w:val="subscript"/>
        </w:rPr>
        <w:t>k</w:t>
      </w:r>
      <w:r w:rsidRPr="00BD6197">
        <w:rPr>
          <w:rFonts w:ascii="Tms Rmn" w:hAnsi="Tms Rmn"/>
          <w:sz w:val="12"/>
        </w:rPr>
        <w:t> </w:t>
      </w:r>
      <w:r w:rsidRPr="00BD6197">
        <w:t>:</w:t>
      </w:r>
      <w:r w:rsidRPr="00BD6197">
        <w:rPr>
          <w:rFonts w:ascii="Tms Rmn" w:hAnsi="Tms Rmn"/>
        </w:rPr>
        <w:tab/>
      </w:r>
      <w:r w:rsidRPr="00BD6197">
        <w:t>annual expenditure for maintenance of the billing system, which may be taken as:</w:t>
      </w:r>
    </w:p>
    <w:p w:rsidR="008E2005" w:rsidRPr="00BD6197" w:rsidRDefault="008E2005" w:rsidP="008E2005">
      <w:pPr>
        <w:pStyle w:val="Equation"/>
        <w:rPr>
          <w:lang w:val="en-US"/>
        </w:rPr>
      </w:pPr>
      <w:r w:rsidRPr="00BD6197">
        <w:rPr>
          <w:lang w:val="en-US"/>
        </w:rPr>
        <w:tab/>
      </w:r>
      <w:r w:rsidRPr="00BD6197">
        <w:rPr>
          <w:lang w:val="en-US"/>
        </w:rPr>
        <w:tab/>
      </w:r>
      <w:r w:rsidRPr="00BD6197">
        <w:rPr>
          <w:position w:val="-10"/>
          <w:lang w:val="en-US"/>
        </w:rPr>
        <w:object w:dxaOrig="1920" w:dyaOrig="340">
          <v:shape id="_x0000_i1111" type="#_x0000_t75" style="width:93.75pt;height:17.25pt" o:ole="">
            <v:imagedata r:id="rId196" o:title=""/>
          </v:shape>
          <o:OLEObject Type="Embed" ProgID="Equation.3" ShapeID="_x0000_i1111" DrawAspect="Content" ObjectID="_1604325065" r:id="rId197"/>
        </w:object>
      </w:r>
    </w:p>
    <w:p w:rsidR="008E2005" w:rsidRPr="00BD6197" w:rsidRDefault="008E2005" w:rsidP="008E2005">
      <w:pPr>
        <w:pStyle w:val="Equationlegend"/>
      </w:pPr>
      <w:r w:rsidRPr="00BD6197">
        <w:tab/>
      </w:r>
      <w:r w:rsidRPr="00BD6197">
        <w:rPr>
          <w:i/>
          <w:iCs/>
        </w:rPr>
        <w:t>Z</w:t>
      </w:r>
      <w:r w:rsidRPr="00BD6197">
        <w:rPr>
          <w:vertAlign w:val="subscript"/>
        </w:rPr>
        <w:t>3</w:t>
      </w:r>
      <w:r w:rsidRPr="00BD6197">
        <w:rPr>
          <w:i/>
          <w:iCs/>
          <w:vertAlign w:val="subscript"/>
        </w:rPr>
        <w:t>k</w:t>
      </w:r>
      <w:r w:rsidRPr="00BD6197">
        <w:rPr>
          <w:rFonts w:ascii="Tms Rmn" w:hAnsi="Tms Rmn"/>
          <w:sz w:val="12"/>
        </w:rPr>
        <w:t> </w:t>
      </w:r>
      <w:r w:rsidRPr="00BD6197">
        <w:t>:</w:t>
      </w:r>
      <w:r w:rsidRPr="00BD6197">
        <w:rPr>
          <w:rFonts w:ascii="Tms Rmn" w:hAnsi="Tms Rmn"/>
        </w:rPr>
        <w:tab/>
      </w:r>
      <w:r w:rsidRPr="00BD6197">
        <w:t>annual expenditure for the lease of public network channels for one year (12 months):</w:t>
      </w:r>
    </w:p>
    <w:p w:rsidR="008E2005" w:rsidRPr="00BD6197" w:rsidRDefault="008E2005" w:rsidP="008E2005">
      <w:pPr>
        <w:pStyle w:val="Equation"/>
        <w:rPr>
          <w:lang w:val="en-US"/>
        </w:rPr>
      </w:pPr>
      <w:r w:rsidRPr="00BD6197">
        <w:rPr>
          <w:lang w:val="en-US"/>
        </w:rPr>
        <w:tab/>
      </w:r>
      <w:r w:rsidRPr="00BD6197">
        <w:rPr>
          <w:lang w:val="en-US"/>
        </w:rPr>
        <w:tab/>
      </w:r>
      <w:r w:rsidRPr="00BD6197">
        <w:rPr>
          <w:position w:val="-10"/>
          <w:lang w:val="en-US"/>
        </w:rPr>
        <w:object w:dxaOrig="2740" w:dyaOrig="320">
          <v:shape id="_x0000_i1112" type="#_x0000_t75" style="width:135pt;height:16.5pt" o:ole="">
            <v:imagedata r:id="rId198" o:title=""/>
          </v:shape>
          <o:OLEObject Type="Embed" ProgID="Equation.3" ShapeID="_x0000_i1112" DrawAspect="Content" ObjectID="_1604325066" r:id="rId199"/>
        </w:object>
      </w:r>
    </w:p>
    <w:p w:rsidR="008E2005" w:rsidRPr="00BD6197" w:rsidRDefault="008E2005" w:rsidP="008E2005">
      <w:pPr>
        <w:rPr>
          <w:lang w:val="en-US"/>
        </w:rPr>
      </w:pPr>
      <w:r w:rsidRPr="00BD6197">
        <w:rPr>
          <w:lang w:val="en-US"/>
        </w:rPr>
        <w:t xml:space="preserve">The value of </w:t>
      </w:r>
      <w:r w:rsidRPr="00BD6197">
        <w:rPr>
          <w:i/>
          <w:iCs/>
          <w:lang w:val="en-US"/>
        </w:rPr>
        <w:t>Y</w:t>
      </w:r>
      <w:r w:rsidRPr="00BD6197">
        <w:rPr>
          <w:i/>
          <w:iCs/>
          <w:vertAlign w:val="subscript"/>
          <w:lang w:val="en-US"/>
        </w:rPr>
        <w:t>M</w:t>
      </w:r>
      <w:r w:rsidRPr="00BD6197">
        <w:rPr>
          <w:lang w:val="en-US"/>
        </w:rPr>
        <w:t>, the monthly traffic for one subscriber, is the number of minutes per month during which a subscriber occupies a communication channel, and is determined by the equation:</w:t>
      </w:r>
    </w:p>
    <w:p w:rsidR="008E2005" w:rsidRPr="00BD6197" w:rsidRDefault="008E2005" w:rsidP="008E2005">
      <w:pPr>
        <w:pStyle w:val="Blanc"/>
        <w:rPr>
          <w:lang w:val="en-US"/>
        </w:rPr>
      </w:pPr>
    </w:p>
    <w:p w:rsidR="008E2005" w:rsidRPr="00BD6197" w:rsidRDefault="008E2005" w:rsidP="008E2005">
      <w:pPr>
        <w:pStyle w:val="Equation"/>
        <w:rPr>
          <w:lang w:val="en-US"/>
        </w:rPr>
      </w:pPr>
      <w:r w:rsidRPr="00BD6197">
        <w:rPr>
          <w:lang w:val="en-US"/>
        </w:rPr>
        <w:tab/>
      </w:r>
      <w:r w:rsidRPr="00BD6197">
        <w:rPr>
          <w:lang w:val="en-US"/>
        </w:rPr>
        <w:tab/>
      </w:r>
      <w:r w:rsidRPr="00BD6197">
        <w:rPr>
          <w:position w:val="-10"/>
          <w:lang w:val="en-US"/>
        </w:rPr>
        <w:object w:dxaOrig="2079" w:dyaOrig="340">
          <v:shape id="_x0000_i1113" type="#_x0000_t75" style="width:105.75pt;height:17.25pt" o:ole="">
            <v:imagedata r:id="rId200" o:title=""/>
          </v:shape>
          <o:OLEObject Type="Embed" ProgID="Equation.3" ShapeID="_x0000_i1113" DrawAspect="Content" ObjectID="_1604325067" r:id="rId201"/>
        </w:object>
      </w:r>
    </w:p>
    <w:p w:rsidR="008E2005" w:rsidRPr="00BD6197" w:rsidRDefault="008E2005" w:rsidP="008E2005">
      <w:pPr>
        <w:pStyle w:val="Blanc"/>
        <w:rPr>
          <w:lang w:val="en-US"/>
        </w:rPr>
      </w:pPr>
    </w:p>
    <w:p w:rsidR="008E2005" w:rsidRPr="00BD6197" w:rsidRDefault="008E2005" w:rsidP="008E2005">
      <w:pPr>
        <w:rPr>
          <w:lang w:val="en-US"/>
        </w:rPr>
      </w:pPr>
      <w:r w:rsidRPr="00BD6197">
        <w:rPr>
          <w:lang w:val="en-US"/>
        </w:rPr>
        <w:t xml:space="preserve">Income from operation of a mobile network varies with the number of subscribers using the network’s services. It is calculated by the following equation for </w:t>
      </w:r>
      <w:r w:rsidRPr="00BD6197">
        <w:rPr>
          <w:i/>
          <w:iCs/>
          <w:lang w:val="en-US"/>
        </w:rPr>
        <w:t>k</w:t>
      </w:r>
      <w:r w:rsidRPr="00BD6197">
        <w:rPr>
          <w:lang w:val="en-US"/>
        </w:rPr>
        <w:t xml:space="preserve"> years of operation:</w:t>
      </w:r>
    </w:p>
    <w:p w:rsidR="008E2005" w:rsidRPr="00BD6197" w:rsidRDefault="008E2005" w:rsidP="008E2005">
      <w:pPr>
        <w:pStyle w:val="Blanc"/>
        <w:rPr>
          <w:lang w:val="en-US"/>
        </w:rPr>
      </w:pPr>
    </w:p>
    <w:p w:rsidR="008E2005" w:rsidRPr="00BD6197" w:rsidRDefault="008E2005" w:rsidP="008E2005">
      <w:pPr>
        <w:pStyle w:val="Equation"/>
        <w:rPr>
          <w:lang w:val="en-US"/>
        </w:rPr>
      </w:pPr>
      <w:r w:rsidRPr="00BD6197">
        <w:rPr>
          <w:lang w:val="en-US"/>
        </w:rPr>
        <w:tab/>
      </w:r>
      <w:r w:rsidRPr="00BD6197">
        <w:rPr>
          <w:lang w:val="en-US"/>
        </w:rPr>
        <w:tab/>
      </w:r>
      <w:r w:rsidRPr="00BD6197">
        <w:rPr>
          <w:position w:val="-10"/>
          <w:lang w:val="en-US"/>
        </w:rPr>
        <w:object w:dxaOrig="2280" w:dyaOrig="320">
          <v:shape id="_x0000_i1114" type="#_x0000_t75" style="width:114pt;height:16.5pt" o:ole="">
            <v:imagedata r:id="rId202" o:title=""/>
          </v:shape>
          <o:OLEObject Type="Embed" ProgID="Equation.3" ShapeID="_x0000_i1114" DrawAspect="Content" ObjectID="_1604325068" r:id="rId203"/>
        </w:object>
      </w:r>
    </w:p>
    <w:p w:rsidR="008E2005" w:rsidRPr="00BD6197" w:rsidRDefault="008E2005" w:rsidP="008E2005">
      <w:pPr>
        <w:rPr>
          <w:lang w:val="en-US"/>
        </w:rPr>
      </w:pPr>
      <w:r w:rsidRPr="00BD6197">
        <w:rPr>
          <w:lang w:val="en-US"/>
        </w:rPr>
        <w:t>where:</w:t>
      </w:r>
    </w:p>
    <w:p w:rsidR="008E2005" w:rsidRPr="00BD6197" w:rsidRDefault="008E2005" w:rsidP="008E2005">
      <w:pPr>
        <w:pStyle w:val="Equationlegend"/>
      </w:pPr>
      <w:r w:rsidRPr="00BD6197">
        <w:tab/>
      </w:r>
      <w:r w:rsidRPr="00BD6197">
        <w:rPr>
          <w:i/>
          <w:iCs/>
        </w:rPr>
        <w:t>D</w:t>
      </w:r>
      <w:r w:rsidRPr="00BD6197">
        <w:rPr>
          <w:position w:val="-4"/>
          <w:sz w:val="16"/>
        </w:rPr>
        <w:t>1</w:t>
      </w:r>
      <w:r w:rsidRPr="00BD6197">
        <w:rPr>
          <w:i/>
          <w:iCs/>
          <w:position w:val="-4"/>
          <w:sz w:val="16"/>
        </w:rPr>
        <w:t>k</w:t>
      </w:r>
      <w:r w:rsidRPr="00BD6197">
        <w:rPr>
          <w:rFonts w:ascii="Tms Rmn" w:hAnsi="Tms Rmn"/>
          <w:sz w:val="12"/>
        </w:rPr>
        <w:t> </w:t>
      </w:r>
      <w:r w:rsidRPr="00BD6197">
        <w:t>:</w:t>
      </w:r>
      <w:r w:rsidRPr="00BD6197">
        <w:rPr>
          <w:rFonts w:ascii="Tms Rmn" w:hAnsi="Tms Rmn"/>
        </w:rPr>
        <w:tab/>
      </w:r>
      <w:r w:rsidRPr="00BD6197">
        <w:t xml:space="preserve">income from one-time payments for connection to the mobile network for </w:t>
      </w:r>
      <w:r w:rsidRPr="00BD6197">
        <w:rPr>
          <w:i/>
          <w:iCs/>
        </w:rPr>
        <w:t>k</w:t>
      </w:r>
      <w:r w:rsidRPr="00BD6197">
        <w:t xml:space="preserve"> years of operation, which directly includes: connection fee, guarantee deposit, access number, use of local public network operator’s line, sales mark-up for subscriber equipment, as follows:</w:t>
      </w:r>
    </w:p>
    <w:p w:rsidR="008E2005" w:rsidRPr="00BD6197" w:rsidRDefault="008E2005" w:rsidP="008E2005">
      <w:pPr>
        <w:pStyle w:val="Equation"/>
        <w:rPr>
          <w:lang w:val="en-US"/>
        </w:rPr>
      </w:pPr>
      <w:r w:rsidRPr="00BD6197">
        <w:rPr>
          <w:lang w:val="en-US"/>
        </w:rPr>
        <w:tab/>
      </w:r>
      <w:r w:rsidRPr="00BD6197">
        <w:rPr>
          <w:lang w:val="en-US"/>
        </w:rPr>
        <w:tab/>
      </w:r>
      <w:r w:rsidRPr="00BD6197">
        <w:rPr>
          <w:position w:val="-12"/>
          <w:lang w:val="en-US"/>
        </w:rPr>
        <w:object w:dxaOrig="1620" w:dyaOrig="360">
          <v:shape id="_x0000_i1115" type="#_x0000_t75" style="width:81pt;height:19.5pt" o:ole="">
            <v:imagedata r:id="rId204" o:title=""/>
          </v:shape>
          <o:OLEObject Type="Embed" ProgID="Equation.3" ShapeID="_x0000_i1115" DrawAspect="Content" ObjectID="_1604325069" r:id="rId205"/>
        </w:object>
      </w:r>
    </w:p>
    <w:p w:rsidR="008E2005" w:rsidRPr="00BD6197" w:rsidRDefault="008E2005" w:rsidP="008E2005">
      <w:pPr>
        <w:ind w:left="1985" w:hanging="1985"/>
        <w:rPr>
          <w:lang w:val="en-US"/>
        </w:rPr>
      </w:pPr>
      <w:r w:rsidRPr="00BD6197">
        <w:rPr>
          <w:lang w:val="en-US"/>
        </w:rPr>
        <w:tab/>
      </w:r>
      <w:r w:rsidRPr="00BD6197">
        <w:rPr>
          <w:lang w:val="en-US"/>
        </w:rPr>
        <w:tab/>
      </w:r>
      <w:r w:rsidRPr="00BD6197">
        <w:rPr>
          <w:lang w:val="en-US"/>
        </w:rPr>
        <w:tab/>
      </w:r>
      <w:r w:rsidRPr="00BD6197">
        <w:rPr>
          <w:lang w:val="en-US"/>
        </w:rPr>
        <w:tab/>
        <w:t xml:space="preserve">It should be noted that the operator receives income, </w:t>
      </w:r>
      <w:r w:rsidRPr="00BD6197">
        <w:rPr>
          <w:i/>
          <w:iCs/>
          <w:lang w:val="en-US"/>
        </w:rPr>
        <w:t>D</w:t>
      </w:r>
      <w:r w:rsidRPr="00BD6197">
        <w:rPr>
          <w:vertAlign w:val="subscript"/>
          <w:lang w:val="en-US"/>
        </w:rPr>
        <w:t>1</w:t>
      </w:r>
      <w:r w:rsidRPr="00BD6197">
        <w:rPr>
          <w:i/>
          <w:iCs/>
          <w:vertAlign w:val="subscript"/>
          <w:lang w:val="en-US"/>
        </w:rPr>
        <w:t>k</w:t>
      </w:r>
      <w:r w:rsidRPr="00BD6197">
        <w:rPr>
          <w:lang w:val="en-US"/>
        </w:rPr>
        <w:t>, from network subscribers in a single payment.</w:t>
      </w:r>
    </w:p>
    <w:p w:rsidR="008E2005" w:rsidRPr="00BD6197" w:rsidRDefault="008E2005" w:rsidP="008E2005">
      <w:pPr>
        <w:pStyle w:val="Equationlegend"/>
      </w:pPr>
      <w:r w:rsidRPr="00BD6197">
        <w:tab/>
      </w:r>
      <w:r w:rsidRPr="00BD6197">
        <w:rPr>
          <w:i/>
          <w:iCs/>
        </w:rPr>
        <w:t>D</w:t>
      </w:r>
      <w:r w:rsidRPr="00BD6197">
        <w:rPr>
          <w:vertAlign w:val="subscript"/>
        </w:rPr>
        <w:t>2</w:t>
      </w:r>
      <w:r w:rsidRPr="00BD6197">
        <w:rPr>
          <w:i/>
          <w:iCs/>
          <w:vertAlign w:val="subscript"/>
        </w:rPr>
        <w:t>k</w:t>
      </w:r>
      <w:r w:rsidRPr="00BD6197">
        <w:rPr>
          <w:rFonts w:ascii="Tms Rmn" w:hAnsi="Tms Rmn"/>
          <w:i/>
          <w:iCs/>
          <w:position w:val="-4"/>
          <w:sz w:val="12"/>
        </w:rPr>
        <w:t> </w:t>
      </w:r>
      <w:r w:rsidRPr="00BD6197">
        <w:t>:</w:t>
      </w:r>
      <w:r w:rsidRPr="00BD6197">
        <w:tab/>
        <w:t>income from monthly subscription fees</w:t>
      </w:r>
    </w:p>
    <w:p w:rsidR="008E2005" w:rsidRPr="00BD6197" w:rsidRDefault="008E2005" w:rsidP="008E2005">
      <w:pPr>
        <w:pStyle w:val="Equationlegend"/>
      </w:pPr>
      <w:r w:rsidRPr="00BD6197">
        <w:tab/>
      </w:r>
      <w:r w:rsidRPr="00BD6197">
        <w:rPr>
          <w:i/>
          <w:iCs/>
        </w:rPr>
        <w:t>D</w:t>
      </w:r>
      <w:r w:rsidRPr="00BD6197">
        <w:rPr>
          <w:vertAlign w:val="subscript"/>
        </w:rPr>
        <w:t>3</w:t>
      </w:r>
      <w:r w:rsidRPr="00BD6197">
        <w:rPr>
          <w:i/>
          <w:iCs/>
          <w:vertAlign w:val="subscript"/>
        </w:rPr>
        <w:t>k</w:t>
      </w:r>
      <w:r w:rsidRPr="00BD6197">
        <w:rPr>
          <w:rFonts w:ascii="Tms Rmn" w:hAnsi="Tms Rmn"/>
          <w:i/>
          <w:iCs/>
          <w:position w:val="-4"/>
          <w:sz w:val="12"/>
        </w:rPr>
        <w:t> </w:t>
      </w:r>
      <w:r w:rsidRPr="00BD6197">
        <w:t>:</w:t>
      </w:r>
      <w:r w:rsidRPr="00BD6197">
        <w:tab/>
        <w:t>income from monthly call fees.</w:t>
      </w:r>
    </w:p>
    <w:p w:rsidR="008E2005" w:rsidRPr="00BD6197" w:rsidRDefault="008E2005" w:rsidP="008E2005">
      <w:pPr>
        <w:rPr>
          <w:lang w:val="en-US"/>
        </w:rPr>
      </w:pPr>
      <w:r w:rsidRPr="00BD6197">
        <w:rPr>
          <w:lang w:val="en-US"/>
        </w:rPr>
        <w:t xml:space="preserve">Using the above relationship, </w:t>
      </w:r>
      <w:r w:rsidRPr="00BD6197">
        <w:rPr>
          <w:i/>
          <w:iCs/>
          <w:lang w:val="en-US"/>
        </w:rPr>
        <w:t>N</w:t>
      </w:r>
      <w:r w:rsidRPr="00BD6197">
        <w:rPr>
          <w:i/>
          <w:iCs/>
          <w:vertAlign w:val="subscript"/>
          <w:lang w:val="en-US"/>
        </w:rPr>
        <w:t>a</w:t>
      </w:r>
      <w:r w:rsidRPr="00BD6197">
        <w:rPr>
          <w:lang w:val="en-US"/>
        </w:rPr>
        <w:t>(</w:t>
      </w:r>
      <w:r w:rsidRPr="00BD6197">
        <w:rPr>
          <w:i/>
          <w:iCs/>
          <w:lang w:val="en-US"/>
        </w:rPr>
        <w:t>t</w:t>
      </w:r>
      <w:r w:rsidRPr="00BD6197">
        <w:rPr>
          <w:rFonts w:ascii="Tms Rmn" w:hAnsi="Tms Rmn"/>
          <w:i/>
          <w:iCs/>
          <w:sz w:val="2"/>
          <w:lang w:val="en-US"/>
        </w:rPr>
        <w:t> </w:t>
      </w:r>
      <w:r w:rsidRPr="00BD6197">
        <w:rPr>
          <w:lang w:val="en-US"/>
        </w:rPr>
        <w:t xml:space="preserve">), we determine </w:t>
      </w:r>
      <w:r w:rsidRPr="00BD6197">
        <w:rPr>
          <w:i/>
          <w:iCs/>
          <w:lang w:val="en-US"/>
        </w:rPr>
        <w:t>D</w:t>
      </w:r>
      <w:r w:rsidRPr="00BD6197">
        <w:rPr>
          <w:vertAlign w:val="subscript"/>
          <w:lang w:val="en-US"/>
        </w:rPr>
        <w:t>2</w:t>
      </w:r>
      <w:r w:rsidRPr="00BD6197">
        <w:rPr>
          <w:i/>
          <w:iCs/>
          <w:vertAlign w:val="subscript"/>
          <w:lang w:val="en-US"/>
        </w:rPr>
        <w:t>k</w:t>
      </w:r>
      <w:r w:rsidRPr="00BD6197">
        <w:rPr>
          <w:lang w:val="en-US"/>
        </w:rPr>
        <w:t xml:space="preserve"> and </w:t>
      </w:r>
      <w:r w:rsidRPr="00BD6197">
        <w:rPr>
          <w:i/>
          <w:iCs/>
          <w:lang w:val="en-US"/>
        </w:rPr>
        <w:t>D</w:t>
      </w:r>
      <w:r w:rsidRPr="00BD6197">
        <w:rPr>
          <w:vertAlign w:val="subscript"/>
          <w:lang w:val="en-US"/>
        </w:rPr>
        <w:t>3</w:t>
      </w:r>
      <w:r w:rsidRPr="00BD6197">
        <w:rPr>
          <w:i/>
          <w:iCs/>
          <w:vertAlign w:val="subscript"/>
          <w:lang w:val="en-US"/>
        </w:rPr>
        <w:t>k</w:t>
      </w:r>
      <w:r w:rsidRPr="00BD6197">
        <w:rPr>
          <w:lang w:val="en-US"/>
        </w:rPr>
        <w:t xml:space="preserve"> as follows:</w:t>
      </w:r>
    </w:p>
    <w:p w:rsidR="008E2005" w:rsidRPr="00BD6197" w:rsidRDefault="008E2005" w:rsidP="008E2005">
      <w:pPr>
        <w:pStyle w:val="Blanc"/>
        <w:rPr>
          <w:lang w:val="en-US"/>
        </w:rPr>
      </w:pPr>
    </w:p>
    <w:p w:rsidR="008E2005" w:rsidRPr="00BD6197" w:rsidRDefault="008E2005" w:rsidP="008E2005">
      <w:pPr>
        <w:pStyle w:val="Equation"/>
        <w:rPr>
          <w:lang w:val="en-US"/>
        </w:rPr>
      </w:pPr>
      <w:r w:rsidRPr="00BD6197">
        <w:rPr>
          <w:lang w:val="en-US"/>
        </w:rPr>
        <w:tab/>
      </w:r>
      <w:r w:rsidRPr="00BD6197">
        <w:rPr>
          <w:lang w:val="en-US"/>
        </w:rPr>
        <w:tab/>
      </w:r>
      <w:r w:rsidRPr="00BD6197">
        <w:rPr>
          <w:position w:val="-36"/>
          <w:sz w:val="20"/>
          <w:lang w:val="en-US"/>
        </w:rPr>
        <w:object w:dxaOrig="7320" w:dyaOrig="840">
          <v:shape id="_x0000_i1116" type="#_x0000_t75" style="width:366pt;height:42pt" o:ole="" fillcolor="window">
            <v:imagedata r:id="rId206" o:title=""/>
          </v:shape>
          <o:OLEObject Type="Embed" ProgID="Equation.3" ShapeID="_x0000_i1116" DrawAspect="Content" ObjectID="_1604325070" r:id="rId207"/>
        </w:object>
      </w:r>
    </w:p>
    <w:p w:rsidR="008E2005" w:rsidRPr="00BD6197" w:rsidRDefault="008E2005" w:rsidP="008E2005">
      <w:pPr>
        <w:pStyle w:val="Equation"/>
        <w:rPr>
          <w:lang w:val="en-US"/>
        </w:rPr>
      </w:pPr>
      <w:r w:rsidRPr="00BD6197">
        <w:rPr>
          <w:lang w:val="en-US"/>
        </w:rPr>
        <w:tab/>
      </w:r>
      <w:r w:rsidRPr="00BD6197">
        <w:rPr>
          <w:lang w:val="en-US"/>
        </w:rPr>
        <w:tab/>
      </w:r>
      <w:r w:rsidRPr="00BD6197">
        <w:rPr>
          <w:position w:val="-32"/>
          <w:sz w:val="20"/>
          <w:lang w:val="en-US"/>
        </w:rPr>
        <w:object w:dxaOrig="5420" w:dyaOrig="760">
          <v:shape id="_x0000_i1117" type="#_x0000_t75" style="width:270.75pt;height:38.25pt" o:ole="" fillcolor="window">
            <v:imagedata r:id="rId208" o:title=""/>
          </v:shape>
          <o:OLEObject Type="Embed" ProgID="Equation.3" ShapeID="_x0000_i1117" DrawAspect="Content" ObjectID="_1604325071" r:id="rId209"/>
        </w:object>
      </w:r>
    </w:p>
    <w:p w:rsidR="008E2005" w:rsidRPr="00BD6197" w:rsidRDefault="008E2005" w:rsidP="008E2005">
      <w:pPr>
        <w:spacing w:before="240"/>
        <w:rPr>
          <w:lang w:val="en-US"/>
        </w:rPr>
      </w:pPr>
      <w:r w:rsidRPr="00BD6197">
        <w:rPr>
          <w:lang w:val="en-US"/>
        </w:rPr>
        <w:lastRenderedPageBreak/>
        <w:t xml:space="preserve">In order to evaluate the economic efficiency of the operation of a mobile network, the discounted income index, </w:t>
      </w:r>
      <w:r w:rsidRPr="00BD6197">
        <w:rPr>
          <w:i/>
          <w:iCs/>
          <w:lang w:val="en-US"/>
        </w:rPr>
        <w:t>I</w:t>
      </w:r>
      <w:r w:rsidRPr="00BD6197">
        <w:rPr>
          <w:i/>
          <w:iCs/>
          <w:vertAlign w:val="subscript"/>
          <w:lang w:val="en-US"/>
        </w:rPr>
        <w:t>D</w:t>
      </w:r>
      <w:r w:rsidRPr="00BD6197">
        <w:rPr>
          <w:lang w:val="en-US"/>
        </w:rPr>
        <w:t>, is calculated as the ratio of the sum of discounted net profit of the project to overall capital expenditure.</w:t>
      </w:r>
    </w:p>
    <w:p w:rsidR="008E2005" w:rsidRPr="00BD6197" w:rsidRDefault="008E2005" w:rsidP="008E2005">
      <w:pPr>
        <w:rPr>
          <w:lang w:val="en-US"/>
        </w:rPr>
      </w:pPr>
      <w:r w:rsidRPr="00BD6197">
        <w:rPr>
          <w:lang w:val="en-US"/>
        </w:rPr>
        <w:t>The current worth of future income is determined using the discounting index (1 </w:t>
      </w:r>
      <w:r w:rsidRPr="00BD6197">
        <w:rPr>
          <w:rFonts w:ascii="Symbol" w:hAnsi="Symbol"/>
          <w:lang w:val="en-US"/>
        </w:rPr>
        <w:t></w:t>
      </w:r>
      <w:r w:rsidRPr="00BD6197">
        <w:rPr>
          <w:lang w:val="en-US"/>
        </w:rPr>
        <w:t> </w:t>
      </w:r>
      <w:r w:rsidRPr="00BD6197">
        <w:rPr>
          <w:i/>
          <w:iCs/>
          <w:lang w:val="en-US"/>
        </w:rPr>
        <w:t>E</w:t>
      </w:r>
      <w:r w:rsidRPr="00BD6197">
        <w:rPr>
          <w:i/>
          <w:iCs/>
          <w:vertAlign w:val="subscript"/>
          <w:lang w:val="en-US"/>
        </w:rPr>
        <w:t>n</w:t>
      </w:r>
      <w:r w:rsidRPr="00BD6197">
        <w:rPr>
          <w:lang w:val="en-US"/>
        </w:rPr>
        <w:t xml:space="preserve">), where the value of </w:t>
      </w:r>
      <w:r w:rsidRPr="00BD6197">
        <w:rPr>
          <w:i/>
          <w:iCs/>
          <w:lang w:val="en-US"/>
        </w:rPr>
        <w:t>E</w:t>
      </w:r>
      <w:r w:rsidRPr="00BD6197">
        <w:rPr>
          <w:i/>
          <w:iCs/>
          <w:vertAlign w:val="subscript"/>
          <w:lang w:val="en-US"/>
        </w:rPr>
        <w:t>n</w:t>
      </w:r>
      <w:r w:rsidRPr="00BD6197">
        <w:rPr>
          <w:lang w:val="en-US"/>
        </w:rPr>
        <w:t xml:space="preserve"> is taken as the mean annual bank rate. Thus:</w:t>
      </w:r>
    </w:p>
    <w:p w:rsidR="008E2005" w:rsidRPr="00BD6197" w:rsidRDefault="008E2005" w:rsidP="008E2005">
      <w:pPr>
        <w:pStyle w:val="Blanc"/>
        <w:rPr>
          <w:lang w:val="en-US"/>
        </w:rPr>
      </w:pPr>
    </w:p>
    <w:p w:rsidR="008E2005" w:rsidRPr="00BD6197" w:rsidRDefault="008E2005" w:rsidP="008E2005">
      <w:pPr>
        <w:pStyle w:val="Equation"/>
        <w:rPr>
          <w:lang w:val="en-US"/>
        </w:rPr>
      </w:pPr>
      <w:r w:rsidRPr="00BD6197">
        <w:rPr>
          <w:lang w:val="en-US"/>
        </w:rPr>
        <w:tab/>
      </w:r>
      <w:r w:rsidRPr="00BD6197">
        <w:rPr>
          <w:lang w:val="en-US"/>
        </w:rPr>
        <w:tab/>
      </w:r>
      <w:r w:rsidRPr="00BD6197">
        <w:rPr>
          <w:position w:val="-36"/>
          <w:sz w:val="20"/>
          <w:lang w:val="en-US"/>
        </w:rPr>
        <w:object w:dxaOrig="4760" w:dyaOrig="800">
          <v:shape id="_x0000_i1118" type="#_x0000_t75" style="width:233.25pt;height:40.5pt" o:ole="" fillcolor="window">
            <v:imagedata r:id="rId210" o:title=""/>
          </v:shape>
          <o:OLEObject Type="Embed" ProgID="Equation.3" ShapeID="_x0000_i1118" DrawAspect="Content" ObjectID="_1604325072" r:id="rId211"/>
        </w:object>
      </w:r>
    </w:p>
    <w:p w:rsidR="008E2005" w:rsidRPr="00BD6197" w:rsidRDefault="008E2005" w:rsidP="008E2005">
      <w:pPr>
        <w:pStyle w:val="Blanc"/>
        <w:rPr>
          <w:lang w:val="en-US"/>
        </w:rPr>
      </w:pPr>
    </w:p>
    <w:p w:rsidR="008E2005" w:rsidRPr="00BD6197" w:rsidRDefault="008E2005" w:rsidP="008E2005">
      <w:pPr>
        <w:rPr>
          <w:lang w:val="en-US"/>
        </w:rPr>
      </w:pPr>
      <w:r w:rsidRPr="00BD6197">
        <w:rPr>
          <w:lang w:val="en-US"/>
        </w:rPr>
        <w:t>On the basis of the results obtained, the discount rate for the project may be calculated:</w:t>
      </w:r>
    </w:p>
    <w:p w:rsidR="008E2005" w:rsidRPr="00BD6197" w:rsidRDefault="008E2005" w:rsidP="008E2005">
      <w:pPr>
        <w:pStyle w:val="Blanc"/>
        <w:rPr>
          <w:lang w:val="en-US"/>
        </w:rPr>
      </w:pPr>
    </w:p>
    <w:p w:rsidR="008E2005" w:rsidRPr="00BD6197" w:rsidRDefault="008E2005" w:rsidP="008E2005">
      <w:pPr>
        <w:pStyle w:val="Equation"/>
        <w:rPr>
          <w:lang w:val="en-US"/>
        </w:rPr>
      </w:pPr>
      <w:r w:rsidRPr="00BD6197">
        <w:rPr>
          <w:lang w:val="en-US"/>
        </w:rPr>
        <w:tab/>
      </w:r>
      <w:r w:rsidRPr="00BD6197">
        <w:rPr>
          <w:lang w:val="en-US"/>
        </w:rPr>
        <w:tab/>
      </w:r>
      <w:r w:rsidRPr="00BD6197">
        <w:rPr>
          <w:position w:val="-14"/>
          <w:sz w:val="20"/>
          <w:lang w:val="en-US"/>
        </w:rPr>
        <w:object w:dxaOrig="1240" w:dyaOrig="400">
          <v:shape id="_x0000_i1119" type="#_x0000_t75" style="width:62.25pt;height:21pt" o:ole="" fillcolor="window">
            <v:imagedata r:id="rId212" o:title=""/>
          </v:shape>
          <o:OLEObject Type="Embed" ProgID="Equation.3" ShapeID="_x0000_i1119" DrawAspect="Content" ObjectID="_1604325073" r:id="rId213"/>
        </w:object>
      </w:r>
    </w:p>
    <w:p w:rsidR="008E2005" w:rsidRPr="00BD6197" w:rsidRDefault="008E2005" w:rsidP="008E2005">
      <w:pPr>
        <w:pStyle w:val="Blanc"/>
        <w:rPr>
          <w:lang w:val="en-US"/>
        </w:rPr>
      </w:pPr>
    </w:p>
    <w:p w:rsidR="008E2005" w:rsidRPr="00BD6197" w:rsidRDefault="008E2005" w:rsidP="008E2005">
      <w:pPr>
        <w:rPr>
          <w:lang w:val="en-US"/>
        </w:rPr>
      </w:pPr>
      <w:r w:rsidRPr="00BD6197">
        <w:rPr>
          <w:lang w:val="en-US"/>
        </w:rPr>
        <w:t>Discounted income is calculated as an annual amount relative to one dollar of investment in the project.</w:t>
      </w:r>
    </w:p>
    <w:p w:rsidR="008E2005" w:rsidRPr="00BD6197" w:rsidRDefault="008E2005" w:rsidP="005659BB">
      <w:pPr>
        <w:rPr>
          <w:lang w:val="en-US"/>
        </w:rPr>
      </w:pPr>
      <w:r w:rsidRPr="00BD6197">
        <w:rPr>
          <w:lang w:val="en-US"/>
        </w:rPr>
        <w:t xml:space="preserve">The relationship between a cellular mobile network operator’s discounted standard profit and bandwidth </w:t>
      </w:r>
      <w:r w:rsidRPr="00BD6197">
        <w:rPr>
          <w:i/>
          <w:iCs/>
          <w:lang w:val="en-US"/>
        </w:rPr>
        <w:t>F</w:t>
      </w:r>
      <w:r w:rsidRPr="00BD6197">
        <w:rPr>
          <w:lang w:val="en-US"/>
        </w:rPr>
        <w:t xml:space="preserve">, the number of subscribers served, </w:t>
      </w:r>
      <w:r w:rsidRPr="00BD6197">
        <w:rPr>
          <w:i/>
          <w:iCs/>
          <w:lang w:val="en-US"/>
        </w:rPr>
        <w:t>N</w:t>
      </w:r>
      <w:r w:rsidRPr="00BD6197">
        <w:rPr>
          <w:i/>
          <w:iCs/>
          <w:vertAlign w:val="subscript"/>
          <w:lang w:val="en-US"/>
        </w:rPr>
        <w:t>a</w:t>
      </w:r>
      <w:r w:rsidRPr="00BD6197">
        <w:rPr>
          <w:lang w:val="en-US"/>
        </w:rPr>
        <w:t xml:space="preserve">, and the number of sectors served, </w:t>
      </w:r>
      <w:r w:rsidRPr="00BD6197">
        <w:rPr>
          <w:i/>
          <w:iCs/>
          <w:lang w:val="en-US"/>
        </w:rPr>
        <w:t>M</w:t>
      </w:r>
      <w:r w:rsidRPr="00BD6197">
        <w:rPr>
          <w:lang w:val="en-US"/>
        </w:rPr>
        <w:t>, is shown in Fig. 1</w:t>
      </w:r>
      <w:r w:rsidR="005659BB">
        <w:rPr>
          <w:lang w:val="en-US"/>
        </w:rPr>
        <w:t>3</w:t>
      </w:r>
      <w:r w:rsidRPr="00BD6197">
        <w:rPr>
          <w:lang w:val="en-US"/>
        </w:rPr>
        <w:t>. The graph reveals that an operator can make additional profit by using additional bandwidth. When determining the minimum bid, one fundamental principle must be to give operators an incentive to make more efficient use of the radio</w:t>
      </w:r>
      <w:r w:rsidRPr="00BD6197">
        <w:rPr>
          <w:lang w:val="en-US"/>
        </w:rPr>
        <w:noBreakHyphen/>
        <w:t>frequency spectrum.</w:t>
      </w:r>
    </w:p>
    <w:p w:rsidR="008E2005" w:rsidRPr="00BD6197" w:rsidRDefault="008E2005" w:rsidP="008E2005">
      <w:pPr>
        <w:pStyle w:val="enumlev1"/>
        <w:rPr>
          <w:lang w:val="en-US"/>
        </w:rPr>
      </w:pPr>
      <w:r w:rsidRPr="00BD6197">
        <w:rPr>
          <w:lang w:val="en-US"/>
        </w:rPr>
        <w:t>d)</w:t>
      </w:r>
      <w:r w:rsidRPr="00BD6197">
        <w:rPr>
          <w:lang w:val="en-US"/>
        </w:rPr>
        <w:tab/>
      </w:r>
      <w:r w:rsidRPr="00BD6197">
        <w:rPr>
          <w:i/>
          <w:iCs/>
          <w:lang w:val="en-US"/>
        </w:rPr>
        <w:t>Calculation of the minimum bid</w:t>
      </w:r>
    </w:p>
    <w:p w:rsidR="008E2005" w:rsidRPr="00BD6197" w:rsidRDefault="008E2005" w:rsidP="00AA04B2">
      <w:pPr>
        <w:rPr>
          <w:lang w:val="en-US"/>
        </w:rPr>
      </w:pPr>
      <w:r w:rsidRPr="00BD6197">
        <w:rPr>
          <w:lang w:val="en-US"/>
        </w:rPr>
        <w:t>Table 2</w:t>
      </w:r>
      <w:r w:rsidR="00AA04B2">
        <w:rPr>
          <w:lang w:val="en-US"/>
        </w:rPr>
        <w:t>5</w:t>
      </w:r>
      <w:r w:rsidRPr="00BD6197">
        <w:rPr>
          <w:lang w:val="en-US"/>
        </w:rPr>
        <w:t xml:space="preserve"> gives values of minimum bids for GSM cellular mobile network operators calculated according to the described method. It should be pointed out that this example is given as an illustration. In the calculations, the profit standard for an operator set by the State for mobile communication enterprises is </w:t>
      </w:r>
      <w:r w:rsidRPr="00BD6197">
        <w:rPr>
          <w:i/>
          <w:iCs/>
          <w:lang w:val="en-US"/>
        </w:rPr>
        <w:t>E</w:t>
      </w:r>
      <w:r w:rsidRPr="00BD6197">
        <w:rPr>
          <w:i/>
          <w:iCs/>
          <w:vertAlign w:val="subscript"/>
          <w:lang w:val="en-US"/>
        </w:rPr>
        <w:t>r</w:t>
      </w:r>
      <w:r w:rsidRPr="00BD6197">
        <w:rPr>
          <w:lang w:val="en-US"/>
        </w:rPr>
        <w:t> </w:t>
      </w:r>
      <w:r w:rsidRPr="00BD6197">
        <w:rPr>
          <w:rFonts w:ascii="Symbol" w:hAnsi="Symbol"/>
          <w:lang w:val="en-US"/>
        </w:rPr>
        <w:t></w:t>
      </w:r>
      <w:r w:rsidRPr="00BD6197">
        <w:rPr>
          <w:lang w:val="en-US"/>
        </w:rPr>
        <w:t> 1.25; and six sector antennas are used in each network. It is assumed that operators are allocated a bandwidth of 5 or 10 MHz.</w:t>
      </w:r>
    </w:p>
    <w:p w:rsidR="008E2005" w:rsidRPr="00BD6197" w:rsidRDefault="008E2005" w:rsidP="008E2005">
      <w:pPr>
        <w:keepNext/>
        <w:keepLines/>
        <w:rPr>
          <w:lang w:val="en-US"/>
        </w:rPr>
      </w:pPr>
      <w:r w:rsidRPr="00BD6197">
        <w:rPr>
          <w:lang w:val="en-US"/>
        </w:rPr>
        <w:t>The minimum bid is calculated by the equation:</w:t>
      </w:r>
    </w:p>
    <w:p w:rsidR="008E2005" w:rsidRPr="00BD6197" w:rsidRDefault="008E2005" w:rsidP="008E2005">
      <w:pPr>
        <w:pStyle w:val="Blanc"/>
        <w:rPr>
          <w:lang w:val="en-US"/>
        </w:rPr>
      </w:pPr>
    </w:p>
    <w:p w:rsidR="008E2005" w:rsidRPr="00BD6197" w:rsidRDefault="008E2005" w:rsidP="008E2005">
      <w:pPr>
        <w:pStyle w:val="Equation"/>
        <w:keepNext/>
        <w:keepLines/>
        <w:rPr>
          <w:lang w:val="en-US"/>
        </w:rPr>
      </w:pPr>
      <w:r w:rsidRPr="00BD6197">
        <w:rPr>
          <w:position w:val="-14"/>
          <w:lang w:val="en-US"/>
        </w:rPr>
        <w:tab/>
      </w:r>
      <w:r w:rsidRPr="00BD6197">
        <w:rPr>
          <w:position w:val="-14"/>
          <w:lang w:val="en-US"/>
        </w:rPr>
        <w:tab/>
      </w:r>
      <w:r w:rsidRPr="00BD6197">
        <w:rPr>
          <w:position w:val="-14"/>
          <w:lang w:val="en-US"/>
        </w:rPr>
        <w:object w:dxaOrig="2160" w:dyaOrig="360">
          <v:shape id="_x0000_i1120" type="#_x0000_t75" style="width:108pt;height:19.5pt" o:ole="">
            <v:imagedata r:id="rId214" o:title=""/>
          </v:shape>
          <o:OLEObject Type="Embed" ProgID="Equation.3" ShapeID="_x0000_i1120" DrawAspect="Content" ObjectID="_1604325074" r:id="rId215"/>
        </w:object>
      </w:r>
    </w:p>
    <w:p w:rsidR="008E2005" w:rsidRPr="00BD6197" w:rsidRDefault="008E2005" w:rsidP="008E2005">
      <w:pPr>
        <w:pStyle w:val="Blanc"/>
        <w:rPr>
          <w:lang w:val="en-US"/>
        </w:rPr>
      </w:pPr>
    </w:p>
    <w:p w:rsidR="008E2005" w:rsidRPr="00BD6197" w:rsidRDefault="008E2005" w:rsidP="008E2005">
      <w:pPr>
        <w:keepNext/>
        <w:keepLines/>
        <w:rPr>
          <w:lang w:val="en-US"/>
        </w:rPr>
      </w:pPr>
      <w:r w:rsidRPr="00BD6197">
        <w:rPr>
          <w:lang w:val="en-US"/>
        </w:rPr>
        <w:t xml:space="preserve">where </w:t>
      </w:r>
      <w:r w:rsidRPr="00BD6197">
        <w:rPr>
          <w:i/>
          <w:iCs/>
          <w:lang w:val="en-US"/>
        </w:rPr>
        <w:t>D</w:t>
      </w:r>
      <w:r w:rsidRPr="00BD6197">
        <w:rPr>
          <w:i/>
          <w:iCs/>
          <w:vertAlign w:val="subscript"/>
          <w:lang w:val="en-US"/>
        </w:rPr>
        <w:t>pr</w:t>
      </w:r>
      <w:r w:rsidRPr="00BD6197">
        <w:rPr>
          <w:lang w:val="en-US"/>
        </w:rPr>
        <w:t xml:space="preserve"> is the net profit of the operator during the licence term.</w:t>
      </w:r>
    </w:p>
    <w:p w:rsidR="008E2005" w:rsidRPr="00BD6197" w:rsidRDefault="008E2005" w:rsidP="00AA04B2">
      <w:pPr>
        <w:pStyle w:val="TableNo"/>
        <w:rPr>
          <w:lang w:val="en-US"/>
        </w:rPr>
      </w:pPr>
      <w:r w:rsidRPr="00BD6197">
        <w:rPr>
          <w:lang w:val="en-US"/>
        </w:rPr>
        <w:t>TABLE 2</w:t>
      </w:r>
      <w:r w:rsidR="00AA04B2">
        <w:rPr>
          <w:lang w:val="en-US"/>
        </w:rPr>
        <w:t>5</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851"/>
        <w:gridCol w:w="851"/>
        <w:gridCol w:w="851"/>
        <w:gridCol w:w="851"/>
        <w:gridCol w:w="851"/>
        <w:gridCol w:w="851"/>
      </w:tblGrid>
      <w:tr w:rsidR="008E2005" w:rsidRPr="00BD6197" w:rsidTr="000F2BA7">
        <w:trPr>
          <w:jc w:val="center"/>
        </w:trPr>
        <w:tc>
          <w:tcPr>
            <w:tcW w:w="3402" w:type="dxa"/>
            <w:tcBorders>
              <w:bottom w:val="single" w:sz="2" w:space="0" w:color="auto"/>
            </w:tcBorders>
            <w:vAlign w:val="center"/>
          </w:tcPr>
          <w:p w:rsidR="008E2005" w:rsidRPr="00BD6197" w:rsidRDefault="008E2005" w:rsidP="000F2BA7">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rPr>
            </w:pPr>
            <w:r w:rsidRPr="00BD6197">
              <w:rPr>
                <w:lang w:val="en-US"/>
              </w:rPr>
              <w:t xml:space="preserve">Number of subscribers in network, </w:t>
            </w:r>
            <w:r w:rsidRPr="00BD6197">
              <w:rPr>
                <w:i/>
                <w:iCs/>
                <w:lang w:val="en-US"/>
              </w:rPr>
              <w:t>N</w:t>
            </w:r>
            <w:r w:rsidRPr="00BD6197">
              <w:rPr>
                <w:bCs/>
                <w:i/>
                <w:vertAlign w:val="subscript"/>
                <w:lang w:val="en-US"/>
              </w:rPr>
              <w:t>a</w:t>
            </w:r>
            <w:r w:rsidRPr="00BD6197">
              <w:rPr>
                <w:i/>
                <w:iCs/>
                <w:vertAlign w:val="subscript"/>
                <w:lang w:val="en-US"/>
              </w:rPr>
              <w:t xml:space="preserve"> </w:t>
            </w:r>
            <w:r w:rsidRPr="00BD6197">
              <w:rPr>
                <w:lang w:val="en-US"/>
              </w:rPr>
              <w:t>(persons)</w:t>
            </w:r>
          </w:p>
        </w:tc>
        <w:tc>
          <w:tcPr>
            <w:tcW w:w="1702" w:type="dxa"/>
            <w:gridSpan w:val="2"/>
            <w:tcBorders>
              <w:bottom w:val="single" w:sz="2" w:space="0" w:color="auto"/>
            </w:tcBorders>
            <w:vAlign w:val="center"/>
          </w:tcPr>
          <w:p w:rsidR="008E2005" w:rsidRPr="00BD6197" w:rsidRDefault="008E2005" w:rsidP="000F2BA7">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rPr>
            </w:pPr>
            <w:r w:rsidRPr="00BD6197">
              <w:rPr>
                <w:lang w:val="en-US"/>
              </w:rPr>
              <w:t>75 000</w:t>
            </w:r>
          </w:p>
        </w:tc>
        <w:tc>
          <w:tcPr>
            <w:tcW w:w="1702" w:type="dxa"/>
            <w:gridSpan w:val="2"/>
            <w:tcBorders>
              <w:bottom w:val="single" w:sz="2" w:space="0" w:color="auto"/>
            </w:tcBorders>
            <w:vAlign w:val="center"/>
          </w:tcPr>
          <w:p w:rsidR="008E2005" w:rsidRPr="00BD6197" w:rsidRDefault="008E2005" w:rsidP="000F2BA7">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rPr>
            </w:pPr>
            <w:r w:rsidRPr="00BD6197">
              <w:rPr>
                <w:lang w:val="en-US"/>
              </w:rPr>
              <w:t>150 000</w:t>
            </w:r>
          </w:p>
        </w:tc>
        <w:tc>
          <w:tcPr>
            <w:tcW w:w="1702" w:type="dxa"/>
            <w:gridSpan w:val="2"/>
            <w:tcBorders>
              <w:bottom w:val="single" w:sz="2" w:space="0" w:color="auto"/>
            </w:tcBorders>
            <w:vAlign w:val="center"/>
          </w:tcPr>
          <w:p w:rsidR="008E2005" w:rsidRPr="00BD6197" w:rsidRDefault="008E2005" w:rsidP="000F2BA7">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en-US"/>
              </w:rPr>
            </w:pPr>
            <w:r w:rsidRPr="00BD6197">
              <w:rPr>
                <w:lang w:val="en-US"/>
              </w:rPr>
              <w:t>300 000</w:t>
            </w:r>
          </w:p>
        </w:tc>
      </w:tr>
      <w:tr w:rsidR="008E2005" w:rsidRPr="00BD6197" w:rsidTr="000F2BA7">
        <w:trPr>
          <w:jc w:val="center"/>
        </w:trPr>
        <w:tc>
          <w:tcPr>
            <w:tcW w:w="3402" w:type="dxa"/>
            <w:tcBorders>
              <w:top w:val="single" w:sz="2" w:space="0" w:color="auto"/>
              <w:left w:val="single" w:sz="2" w:space="0" w:color="auto"/>
              <w:bottom w:val="single" w:sz="2" w:space="0" w:color="auto"/>
              <w:right w:val="single" w:sz="2" w:space="0" w:color="auto"/>
            </w:tcBorders>
          </w:tcPr>
          <w:p w:rsidR="008E2005" w:rsidRPr="00BD6197" w:rsidRDefault="008E2005" w:rsidP="000F2BA7">
            <w:pPr>
              <w:pStyle w:val="Tabletext"/>
              <w:rPr>
                <w:lang w:val="en-US"/>
              </w:rPr>
            </w:pPr>
            <w:r w:rsidRPr="00BD6197">
              <w:rPr>
                <w:lang w:val="en-US"/>
              </w:rPr>
              <w:t>Bandwidth (MHz)</w:t>
            </w:r>
          </w:p>
        </w:tc>
        <w:tc>
          <w:tcPr>
            <w:tcW w:w="851" w:type="dxa"/>
            <w:tcBorders>
              <w:top w:val="single" w:sz="2" w:space="0" w:color="auto"/>
              <w:left w:val="single" w:sz="2" w:space="0" w:color="auto"/>
              <w:bottom w:val="single" w:sz="2" w:space="0" w:color="auto"/>
              <w:right w:val="single" w:sz="2" w:space="0" w:color="auto"/>
            </w:tcBorders>
          </w:tcPr>
          <w:p w:rsidR="008E2005" w:rsidRPr="00BD6197" w:rsidRDefault="008E2005" w:rsidP="000F2BA7">
            <w:pPr>
              <w:pStyle w:val="Tabletext"/>
              <w:jc w:val="center"/>
              <w:rPr>
                <w:lang w:val="en-US"/>
              </w:rPr>
            </w:pPr>
            <w:r w:rsidRPr="00BD6197">
              <w:rPr>
                <w:szCs w:val="22"/>
                <w:lang w:val="en-US"/>
              </w:rPr>
              <w:t>5</w:t>
            </w:r>
          </w:p>
        </w:tc>
        <w:tc>
          <w:tcPr>
            <w:tcW w:w="851" w:type="dxa"/>
            <w:tcBorders>
              <w:top w:val="single" w:sz="2" w:space="0" w:color="auto"/>
              <w:left w:val="single" w:sz="2" w:space="0" w:color="auto"/>
              <w:bottom w:val="single" w:sz="2" w:space="0" w:color="auto"/>
              <w:right w:val="single" w:sz="2" w:space="0" w:color="auto"/>
            </w:tcBorders>
          </w:tcPr>
          <w:p w:rsidR="008E2005" w:rsidRPr="00BD6197" w:rsidRDefault="008E2005" w:rsidP="000F2BA7">
            <w:pPr>
              <w:pStyle w:val="Tabletext"/>
              <w:jc w:val="center"/>
              <w:rPr>
                <w:lang w:val="en-US"/>
              </w:rPr>
            </w:pPr>
            <w:r w:rsidRPr="00BD6197">
              <w:rPr>
                <w:szCs w:val="22"/>
                <w:lang w:val="en-US"/>
              </w:rPr>
              <w:t>10</w:t>
            </w:r>
          </w:p>
        </w:tc>
        <w:tc>
          <w:tcPr>
            <w:tcW w:w="851" w:type="dxa"/>
            <w:tcBorders>
              <w:top w:val="single" w:sz="2" w:space="0" w:color="auto"/>
              <w:left w:val="single" w:sz="2" w:space="0" w:color="auto"/>
              <w:bottom w:val="single" w:sz="2" w:space="0" w:color="auto"/>
              <w:right w:val="single" w:sz="2" w:space="0" w:color="auto"/>
            </w:tcBorders>
          </w:tcPr>
          <w:p w:rsidR="008E2005" w:rsidRPr="00BD6197" w:rsidRDefault="008E2005" w:rsidP="000F2BA7">
            <w:pPr>
              <w:pStyle w:val="Tabletext"/>
              <w:jc w:val="center"/>
              <w:rPr>
                <w:lang w:val="en-US"/>
              </w:rPr>
            </w:pPr>
            <w:r w:rsidRPr="00BD6197">
              <w:rPr>
                <w:szCs w:val="22"/>
                <w:lang w:val="en-US"/>
              </w:rPr>
              <w:t>5</w:t>
            </w:r>
          </w:p>
        </w:tc>
        <w:tc>
          <w:tcPr>
            <w:tcW w:w="851" w:type="dxa"/>
            <w:tcBorders>
              <w:top w:val="single" w:sz="2" w:space="0" w:color="auto"/>
              <w:left w:val="single" w:sz="2" w:space="0" w:color="auto"/>
              <w:bottom w:val="single" w:sz="2" w:space="0" w:color="auto"/>
              <w:right w:val="single" w:sz="2" w:space="0" w:color="auto"/>
            </w:tcBorders>
          </w:tcPr>
          <w:p w:rsidR="008E2005" w:rsidRPr="00BD6197" w:rsidRDefault="008E2005" w:rsidP="000F2BA7">
            <w:pPr>
              <w:pStyle w:val="Tabletext"/>
              <w:jc w:val="center"/>
              <w:rPr>
                <w:lang w:val="en-US"/>
              </w:rPr>
            </w:pPr>
            <w:r w:rsidRPr="00BD6197">
              <w:rPr>
                <w:szCs w:val="22"/>
                <w:lang w:val="en-US"/>
              </w:rPr>
              <w:t>10</w:t>
            </w:r>
          </w:p>
        </w:tc>
        <w:tc>
          <w:tcPr>
            <w:tcW w:w="851" w:type="dxa"/>
            <w:tcBorders>
              <w:top w:val="single" w:sz="2" w:space="0" w:color="auto"/>
              <w:left w:val="single" w:sz="2" w:space="0" w:color="auto"/>
              <w:bottom w:val="single" w:sz="2" w:space="0" w:color="auto"/>
              <w:right w:val="single" w:sz="2" w:space="0" w:color="auto"/>
            </w:tcBorders>
          </w:tcPr>
          <w:p w:rsidR="008E2005" w:rsidRPr="00BD6197" w:rsidRDefault="008E2005" w:rsidP="000F2BA7">
            <w:pPr>
              <w:pStyle w:val="Tabletext"/>
              <w:jc w:val="center"/>
              <w:rPr>
                <w:lang w:val="en-US"/>
              </w:rPr>
            </w:pPr>
            <w:r w:rsidRPr="00BD6197">
              <w:rPr>
                <w:szCs w:val="22"/>
                <w:lang w:val="en-US"/>
              </w:rPr>
              <w:t>5</w:t>
            </w:r>
          </w:p>
        </w:tc>
        <w:tc>
          <w:tcPr>
            <w:tcW w:w="851" w:type="dxa"/>
            <w:tcBorders>
              <w:top w:val="single" w:sz="2" w:space="0" w:color="auto"/>
              <w:left w:val="single" w:sz="2" w:space="0" w:color="auto"/>
              <w:bottom w:val="single" w:sz="2" w:space="0" w:color="auto"/>
              <w:right w:val="single" w:sz="2" w:space="0" w:color="auto"/>
            </w:tcBorders>
          </w:tcPr>
          <w:p w:rsidR="008E2005" w:rsidRPr="00BD6197" w:rsidRDefault="008E2005" w:rsidP="000F2BA7">
            <w:pPr>
              <w:pStyle w:val="Tabletext"/>
              <w:jc w:val="center"/>
              <w:rPr>
                <w:lang w:val="en-US"/>
              </w:rPr>
            </w:pPr>
            <w:r w:rsidRPr="00BD6197">
              <w:rPr>
                <w:szCs w:val="22"/>
                <w:lang w:val="en-US"/>
              </w:rPr>
              <w:t>10</w:t>
            </w:r>
          </w:p>
        </w:tc>
      </w:tr>
      <w:tr w:rsidR="008E2005" w:rsidRPr="00BD6197" w:rsidTr="000F2BA7">
        <w:trPr>
          <w:jc w:val="center"/>
        </w:trPr>
        <w:tc>
          <w:tcPr>
            <w:tcW w:w="3402" w:type="dxa"/>
            <w:tcBorders>
              <w:top w:val="single" w:sz="2" w:space="0" w:color="auto"/>
              <w:left w:val="single" w:sz="2" w:space="0" w:color="auto"/>
              <w:bottom w:val="single" w:sz="2" w:space="0" w:color="auto"/>
              <w:right w:val="single" w:sz="2" w:space="0" w:color="auto"/>
            </w:tcBorders>
          </w:tcPr>
          <w:p w:rsidR="008E2005" w:rsidRPr="00BD6197" w:rsidRDefault="008E2005" w:rsidP="000F2BA7">
            <w:pPr>
              <w:pStyle w:val="Tabletext"/>
              <w:rPr>
                <w:lang w:val="en-US"/>
              </w:rPr>
            </w:pPr>
            <w:r w:rsidRPr="00BD6197">
              <w:rPr>
                <w:i/>
                <w:iCs/>
                <w:lang w:val="en-US"/>
              </w:rPr>
              <w:t>T</w:t>
            </w:r>
            <w:r w:rsidRPr="00BD6197">
              <w:rPr>
                <w:lang w:val="en-US"/>
              </w:rPr>
              <w:t xml:space="preserve"> (millions of USD)</w:t>
            </w:r>
          </w:p>
        </w:tc>
        <w:tc>
          <w:tcPr>
            <w:tcW w:w="851" w:type="dxa"/>
            <w:tcBorders>
              <w:top w:val="single" w:sz="2" w:space="0" w:color="auto"/>
              <w:left w:val="single" w:sz="2" w:space="0" w:color="auto"/>
              <w:bottom w:val="single" w:sz="2" w:space="0" w:color="auto"/>
              <w:right w:val="single" w:sz="2" w:space="0" w:color="auto"/>
            </w:tcBorders>
          </w:tcPr>
          <w:p w:rsidR="008E2005" w:rsidRPr="00BD6197" w:rsidRDefault="008E2005" w:rsidP="000F2BA7">
            <w:pPr>
              <w:pStyle w:val="Tabletext"/>
              <w:jc w:val="center"/>
              <w:rPr>
                <w:lang w:val="en-US"/>
              </w:rPr>
            </w:pPr>
            <w:r w:rsidRPr="00BD6197">
              <w:rPr>
                <w:szCs w:val="22"/>
                <w:lang w:val="en-US"/>
              </w:rPr>
              <w:t>1.08</w:t>
            </w:r>
          </w:p>
        </w:tc>
        <w:tc>
          <w:tcPr>
            <w:tcW w:w="851" w:type="dxa"/>
            <w:tcBorders>
              <w:top w:val="single" w:sz="2" w:space="0" w:color="auto"/>
              <w:left w:val="single" w:sz="2" w:space="0" w:color="auto"/>
              <w:bottom w:val="single" w:sz="2" w:space="0" w:color="auto"/>
              <w:right w:val="single" w:sz="2" w:space="0" w:color="auto"/>
            </w:tcBorders>
          </w:tcPr>
          <w:p w:rsidR="008E2005" w:rsidRPr="00BD6197" w:rsidRDefault="008E2005" w:rsidP="000F2BA7">
            <w:pPr>
              <w:pStyle w:val="Tabletext"/>
              <w:jc w:val="center"/>
              <w:rPr>
                <w:lang w:val="en-US"/>
              </w:rPr>
            </w:pPr>
            <w:r w:rsidRPr="00BD6197">
              <w:rPr>
                <w:szCs w:val="22"/>
                <w:lang w:val="en-US"/>
              </w:rPr>
              <w:t>1.68</w:t>
            </w:r>
          </w:p>
        </w:tc>
        <w:tc>
          <w:tcPr>
            <w:tcW w:w="851" w:type="dxa"/>
            <w:tcBorders>
              <w:top w:val="single" w:sz="2" w:space="0" w:color="auto"/>
              <w:left w:val="single" w:sz="2" w:space="0" w:color="auto"/>
              <w:bottom w:val="single" w:sz="2" w:space="0" w:color="auto"/>
              <w:right w:val="single" w:sz="2" w:space="0" w:color="auto"/>
            </w:tcBorders>
          </w:tcPr>
          <w:p w:rsidR="008E2005" w:rsidRPr="00BD6197" w:rsidRDefault="008E2005" w:rsidP="000F2BA7">
            <w:pPr>
              <w:pStyle w:val="Tabletext"/>
              <w:jc w:val="center"/>
              <w:rPr>
                <w:lang w:val="en-US"/>
              </w:rPr>
            </w:pPr>
            <w:r w:rsidRPr="00BD6197">
              <w:rPr>
                <w:szCs w:val="22"/>
                <w:lang w:val="en-US"/>
              </w:rPr>
              <w:t>0.93</w:t>
            </w:r>
          </w:p>
        </w:tc>
        <w:tc>
          <w:tcPr>
            <w:tcW w:w="851" w:type="dxa"/>
            <w:tcBorders>
              <w:top w:val="single" w:sz="2" w:space="0" w:color="auto"/>
              <w:left w:val="single" w:sz="2" w:space="0" w:color="auto"/>
              <w:bottom w:val="single" w:sz="2" w:space="0" w:color="auto"/>
              <w:right w:val="single" w:sz="2" w:space="0" w:color="auto"/>
            </w:tcBorders>
          </w:tcPr>
          <w:p w:rsidR="008E2005" w:rsidRPr="00BD6197" w:rsidRDefault="008E2005" w:rsidP="000F2BA7">
            <w:pPr>
              <w:pStyle w:val="Tabletext"/>
              <w:jc w:val="center"/>
              <w:rPr>
                <w:lang w:val="en-US"/>
              </w:rPr>
            </w:pPr>
            <w:r w:rsidRPr="00BD6197">
              <w:rPr>
                <w:szCs w:val="22"/>
                <w:lang w:val="en-US"/>
              </w:rPr>
              <w:t>2.1</w:t>
            </w:r>
          </w:p>
        </w:tc>
        <w:tc>
          <w:tcPr>
            <w:tcW w:w="851" w:type="dxa"/>
            <w:tcBorders>
              <w:top w:val="single" w:sz="2" w:space="0" w:color="auto"/>
              <w:left w:val="single" w:sz="2" w:space="0" w:color="auto"/>
              <w:bottom w:val="single" w:sz="2" w:space="0" w:color="auto"/>
              <w:right w:val="single" w:sz="2" w:space="0" w:color="auto"/>
            </w:tcBorders>
          </w:tcPr>
          <w:p w:rsidR="008E2005" w:rsidRPr="00BD6197" w:rsidRDefault="008E2005" w:rsidP="000F2BA7">
            <w:pPr>
              <w:pStyle w:val="Tabletext"/>
              <w:jc w:val="center"/>
              <w:rPr>
                <w:lang w:val="en-US"/>
              </w:rPr>
            </w:pPr>
            <w:r w:rsidRPr="00BD6197">
              <w:rPr>
                <w:szCs w:val="22"/>
                <w:lang w:val="en-US"/>
              </w:rPr>
              <w:t>0</w:t>
            </w:r>
          </w:p>
        </w:tc>
        <w:tc>
          <w:tcPr>
            <w:tcW w:w="851" w:type="dxa"/>
            <w:tcBorders>
              <w:top w:val="single" w:sz="2" w:space="0" w:color="auto"/>
              <w:left w:val="single" w:sz="2" w:space="0" w:color="auto"/>
              <w:bottom w:val="single" w:sz="2" w:space="0" w:color="auto"/>
              <w:right w:val="single" w:sz="2" w:space="0" w:color="auto"/>
            </w:tcBorders>
          </w:tcPr>
          <w:p w:rsidR="008E2005" w:rsidRPr="00BD6197" w:rsidRDefault="008E2005" w:rsidP="000F2BA7">
            <w:pPr>
              <w:pStyle w:val="Tabletext"/>
              <w:jc w:val="center"/>
              <w:rPr>
                <w:lang w:val="en-US"/>
              </w:rPr>
            </w:pPr>
            <w:r w:rsidRPr="00BD6197">
              <w:rPr>
                <w:szCs w:val="22"/>
                <w:lang w:val="en-US"/>
              </w:rPr>
              <w:t>1.73</w:t>
            </w:r>
          </w:p>
        </w:tc>
      </w:tr>
      <w:tr w:rsidR="008E2005" w:rsidRPr="00D17B5B" w:rsidTr="000F2B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508" w:type="dxa"/>
            <w:gridSpan w:val="7"/>
            <w:tcBorders>
              <w:top w:val="single" w:sz="2" w:space="0" w:color="auto"/>
            </w:tcBorders>
          </w:tcPr>
          <w:p w:rsidR="008E2005" w:rsidRPr="0016412E" w:rsidRDefault="008E2005" w:rsidP="00AA04B2">
            <w:pPr>
              <w:pStyle w:val="Tablelegend"/>
              <w:ind w:left="0" w:firstLine="0"/>
              <w:rPr>
                <w:lang w:val="en-US"/>
              </w:rPr>
            </w:pPr>
            <w:r w:rsidRPr="0016412E">
              <w:rPr>
                <w:lang w:val="en-US"/>
              </w:rPr>
              <w:t>NOTE 1 – The values of minimum bids should be refined on the basis of a market analysis for each specific case.</w:t>
            </w:r>
          </w:p>
        </w:tc>
      </w:tr>
    </w:tbl>
    <w:p w:rsidR="008E2005" w:rsidRPr="00BD6197" w:rsidRDefault="008E2005" w:rsidP="008E2005">
      <w:pPr>
        <w:pStyle w:val="Tablefin"/>
        <w:rPr>
          <w:lang w:val="en-US"/>
        </w:rPr>
      </w:pPr>
    </w:p>
    <w:p w:rsidR="008E2005" w:rsidRPr="00BD6197" w:rsidRDefault="008E2005" w:rsidP="005659BB">
      <w:pPr>
        <w:pStyle w:val="FigureNo"/>
        <w:rPr>
          <w:lang w:val="en-US"/>
        </w:rPr>
      </w:pPr>
      <w:r w:rsidRPr="00BD6197">
        <w:rPr>
          <w:lang w:val="en-US"/>
        </w:rPr>
        <w:lastRenderedPageBreak/>
        <w:t>figure 1</w:t>
      </w:r>
      <w:r w:rsidR="005659BB">
        <w:rPr>
          <w:lang w:val="en-US"/>
        </w:rPr>
        <w:t>3</w:t>
      </w:r>
    </w:p>
    <w:p w:rsidR="008E2005" w:rsidRPr="00BD6197" w:rsidRDefault="008E2005" w:rsidP="008E2005">
      <w:pPr>
        <w:pStyle w:val="Figuretitle"/>
        <w:rPr>
          <w:lang w:val="en-US"/>
        </w:rPr>
      </w:pPr>
      <w:r w:rsidRPr="00BD6197">
        <w:rPr>
          <w:lang w:val="en-US"/>
        </w:rPr>
        <w:t>Profitability index vs. bandwidth</w:t>
      </w:r>
    </w:p>
    <w:p w:rsidR="008E2005" w:rsidRPr="00BD6197" w:rsidRDefault="008E2005" w:rsidP="008E2005">
      <w:pPr>
        <w:pStyle w:val="Figure"/>
        <w:rPr>
          <w:lang w:val="en-US"/>
        </w:rPr>
      </w:pPr>
      <w:r w:rsidRPr="00BD6197">
        <w:rPr>
          <w:lang w:val="en-US"/>
        </w:rPr>
        <w:object w:dxaOrig="6814" w:dyaOrig="9598">
          <v:shape id="_x0000_i1121" type="#_x0000_t75" style="width:346.5pt;height:489pt" o:ole="">
            <v:imagedata r:id="rId216" o:title=""/>
          </v:shape>
          <o:OLEObject Type="Embed" ProgID="CorelDRAW.Graphic.14" ShapeID="_x0000_i1121" DrawAspect="Content" ObjectID="_1604325075" r:id="rId217"/>
        </w:object>
      </w:r>
    </w:p>
    <w:p w:rsidR="008E2005" w:rsidRPr="00BD6197" w:rsidRDefault="008E2005" w:rsidP="008E2005">
      <w:pPr>
        <w:pStyle w:val="Heading3"/>
        <w:rPr>
          <w:lang w:val="en-US"/>
        </w:rPr>
      </w:pPr>
      <w:bookmarkStart w:id="1876" w:name="_Toc459746730"/>
      <w:bookmarkStart w:id="1877" w:name="_Toc459792660"/>
      <w:bookmarkStart w:id="1878" w:name="_Toc459793826"/>
      <w:bookmarkStart w:id="1879" w:name="_Toc459793968"/>
      <w:bookmarkStart w:id="1880" w:name="_Toc459970429"/>
      <w:bookmarkStart w:id="1881" w:name="_Toc497033200"/>
      <w:bookmarkStart w:id="1882" w:name="_Toc497033998"/>
      <w:bookmarkStart w:id="1883" w:name="_Toc289868858"/>
      <w:bookmarkStart w:id="1884" w:name="_Toc289869018"/>
      <w:bookmarkStart w:id="1885" w:name="_Toc289932326"/>
      <w:bookmarkStart w:id="1886" w:name="_Toc289933372"/>
      <w:bookmarkStart w:id="1887" w:name="_Toc291852935"/>
      <w:bookmarkStart w:id="1888" w:name="_Toc392515919"/>
      <w:bookmarkStart w:id="1889" w:name="_Toc462234135"/>
      <w:bookmarkStart w:id="1890" w:name="_Toc518394254"/>
      <w:r w:rsidRPr="00BD6197">
        <w:rPr>
          <w:lang w:val="en-US"/>
        </w:rPr>
        <w:t>5.1.4</w:t>
      </w:r>
      <w:r w:rsidRPr="00BD6197">
        <w:rPr>
          <w:lang w:val="en-US"/>
        </w:rPr>
        <w:tab/>
        <w:t>New Zealand</w:t>
      </w:r>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p>
    <w:p w:rsidR="008E2005" w:rsidRPr="00BD6197" w:rsidRDefault="008E2005" w:rsidP="008E2005">
      <w:pPr>
        <w:rPr>
          <w:lang w:val="en-US"/>
        </w:rPr>
      </w:pPr>
      <w:r w:rsidRPr="00BD6197">
        <w:rPr>
          <w:lang w:val="en-US"/>
        </w:rPr>
        <w:t>Most administrations that have begun applying market based approaches continue to allocate spectrum based on consideration of national priorities, and have applied market approaches only to licensing within an agreed allocation. New Zealand, however, has applied a broader market based approach to use of some frequency bands where the impact is limited to a national, rather than an international, scale.</w:t>
      </w:r>
    </w:p>
    <w:p w:rsidR="008E2005" w:rsidRPr="00BD6197" w:rsidRDefault="008E2005" w:rsidP="00AA04B2">
      <w:pPr>
        <w:rPr>
          <w:lang w:val="en-US"/>
        </w:rPr>
      </w:pPr>
      <w:r w:rsidRPr="00BD6197">
        <w:rPr>
          <w:lang w:val="en-US"/>
        </w:rPr>
        <w:t>The Radiocommunications Act 1989 heralded a new era for the management of the radio spectrum in New Zealand. This Act enabled the creation of property rights for spectrum and also the use of market driven allocation mechanisms for the distribution of the newly created rights. The Act does not specific any particular allocation mechanism. Radio spectrum was initially sold using second price then first price tender systems; however in 1996 an Internet based computer system was developed for the sale of spectrum by auction.</w:t>
      </w:r>
    </w:p>
    <w:p w:rsidR="008E2005" w:rsidRPr="00BD6197" w:rsidRDefault="008E2005" w:rsidP="00AA04B2">
      <w:pPr>
        <w:rPr>
          <w:lang w:val="en-US"/>
        </w:rPr>
      </w:pPr>
      <w:r w:rsidRPr="00BD6197">
        <w:rPr>
          <w:lang w:val="en-US"/>
        </w:rPr>
        <w:lastRenderedPageBreak/>
        <w:t>The auction process currently used by the Ministry is a simultaneous ascending auction. This type of auction involves making all lots available for bidding at the same time. The auction takes place over a number of rounds of a specific duration (say 30 min), until no further bidding takes place on the lots being offered. This type of auction allows bidders who wish to purchase specific combination of lots to take a part in the auction. Advantages of this type of auction are that bidders obtain full market information and are able to determine their level of success on any combination of lots at any time during the auction. In developing the auction mechanism, the Ministry contracted a private company to help develop software that would allow the operation of radio spectrum auctions over the Internet. Use of the Internet allows bidders to purchase radio spectrum from their own offices using current web browser technology. The Ministry has produced the report Spectrum Auction Design in New Zealand. The report outlines how New Zealand has competitively allocated radio spectrum, factors pertinent to auction design and alternative options for competitive allocation. The Ministry will take into account the findings of the report when designing future auctions.</w:t>
      </w:r>
    </w:p>
    <w:p w:rsidR="008E2005" w:rsidRPr="00BD6197" w:rsidRDefault="008E2005" w:rsidP="008E2005">
      <w:pPr>
        <w:pStyle w:val="Heading3"/>
        <w:rPr>
          <w:lang w:val="en-US"/>
        </w:rPr>
      </w:pPr>
      <w:bookmarkStart w:id="1891" w:name="_Toc459746731"/>
      <w:bookmarkStart w:id="1892" w:name="_Toc459792661"/>
      <w:bookmarkStart w:id="1893" w:name="_Toc459793827"/>
      <w:bookmarkStart w:id="1894" w:name="_Toc459793969"/>
      <w:bookmarkStart w:id="1895" w:name="_Toc459970430"/>
      <w:bookmarkStart w:id="1896" w:name="_Toc497033201"/>
      <w:bookmarkStart w:id="1897" w:name="_Toc497033999"/>
      <w:bookmarkStart w:id="1898" w:name="_Toc289868859"/>
      <w:bookmarkStart w:id="1899" w:name="_Toc289869019"/>
      <w:bookmarkStart w:id="1900" w:name="_Toc289932327"/>
      <w:bookmarkStart w:id="1901" w:name="_Toc289933373"/>
      <w:bookmarkStart w:id="1902" w:name="_Toc291852936"/>
      <w:bookmarkStart w:id="1903" w:name="_Toc392515920"/>
      <w:bookmarkStart w:id="1904" w:name="_Toc462234136"/>
      <w:bookmarkStart w:id="1905" w:name="_Toc518394255"/>
      <w:r w:rsidRPr="00BD6197">
        <w:rPr>
          <w:lang w:val="en-US"/>
        </w:rPr>
        <w:t>5.1.5</w:t>
      </w:r>
      <w:r w:rsidRPr="00BD6197">
        <w:rPr>
          <w:lang w:val="en-US"/>
        </w:rPr>
        <w:tab/>
        <w:t>United States</w:t>
      </w:r>
      <w:bookmarkEnd w:id="1891"/>
      <w:bookmarkEnd w:id="1892"/>
      <w:bookmarkEnd w:id="1893"/>
      <w:bookmarkEnd w:id="1894"/>
      <w:bookmarkEnd w:id="1895"/>
      <w:bookmarkEnd w:id="1896"/>
      <w:bookmarkEnd w:id="1897"/>
      <w:r w:rsidRPr="00BD6197">
        <w:rPr>
          <w:lang w:val="en-US"/>
        </w:rPr>
        <w:t xml:space="preserve"> of America</w:t>
      </w:r>
      <w:bookmarkEnd w:id="1898"/>
      <w:bookmarkEnd w:id="1899"/>
      <w:bookmarkEnd w:id="1900"/>
      <w:bookmarkEnd w:id="1901"/>
      <w:bookmarkEnd w:id="1902"/>
      <w:bookmarkEnd w:id="1903"/>
      <w:bookmarkEnd w:id="1904"/>
      <w:bookmarkEnd w:id="1905"/>
    </w:p>
    <w:p w:rsidR="008E2005" w:rsidRPr="00BD6197" w:rsidRDefault="008E2005" w:rsidP="008E2005">
      <w:pPr>
        <w:pStyle w:val="Heading4"/>
        <w:rPr>
          <w:lang w:val="en-US"/>
        </w:rPr>
      </w:pPr>
      <w:bookmarkStart w:id="1906" w:name="_Toc391269579"/>
      <w:bookmarkStart w:id="1907" w:name="_Toc459746732"/>
      <w:bookmarkStart w:id="1908" w:name="_Toc497033202"/>
      <w:bookmarkStart w:id="1909" w:name="_Toc497034000"/>
      <w:r w:rsidRPr="00BD6197">
        <w:rPr>
          <w:lang w:val="en-US"/>
        </w:rPr>
        <w:t>5.1.5.1</w:t>
      </w:r>
      <w:r w:rsidRPr="00BD6197">
        <w:rPr>
          <w:lang w:val="en-US"/>
        </w:rPr>
        <w:tab/>
        <w:t>Authority</w:t>
      </w:r>
      <w:bookmarkEnd w:id="1906"/>
      <w:bookmarkEnd w:id="1907"/>
      <w:bookmarkEnd w:id="1908"/>
      <w:bookmarkEnd w:id="1909"/>
    </w:p>
    <w:p w:rsidR="008E2005" w:rsidRPr="00BD6197" w:rsidRDefault="008E2005" w:rsidP="008E2005">
      <w:pPr>
        <w:rPr>
          <w:lang w:val="en-US"/>
        </w:rPr>
      </w:pPr>
      <w:r w:rsidRPr="00BD6197">
        <w:rPr>
          <w:lang w:val="en-US"/>
        </w:rPr>
        <w:t xml:space="preserve">In the United States of America, spectrum management functions are divided between the Federal Communications Commission (FCC) and the National Telecommunications and Information Administration (NTIA). The FCC is tasked with managing non-Federal Government use of spectrum, including use by the private sector and local and state governments. The NTIA is authorized to manage Federal Government agencies’ spectrum use, including the military. The U.S. Congress gave the FCC authority to issue licences via auctions in 1993. This authority is limited to using competitive bidding in instances where mutually exclusive applications have been received and where the principal use of the spectrum is reasonably likely to involve the receipt by the licensee of fees from subscribers in return for enabling those subscribers to receive or transmit communications signals. In granting the FCC auction authority the U.S. Congress sought to promote the following objectives: </w:t>
      </w:r>
    </w:p>
    <w:p w:rsidR="008E2005" w:rsidRPr="00BD6197" w:rsidRDefault="008E2005" w:rsidP="008E2005">
      <w:pPr>
        <w:pStyle w:val="enumlev1"/>
        <w:rPr>
          <w:lang w:val="en-US"/>
        </w:rPr>
      </w:pPr>
      <w:r w:rsidRPr="00BD6197">
        <w:rPr>
          <w:lang w:val="en-US"/>
        </w:rPr>
        <w:t>“(1)</w:t>
      </w:r>
      <w:r w:rsidRPr="00BD6197">
        <w:rPr>
          <w:lang w:val="en-US"/>
        </w:rPr>
        <w:tab/>
        <w:t>the development and rapid deployment of new technologies, products, and services for the benefit of the public, including those residing in rural areas, without administrative or judicial delays;</w:t>
      </w:r>
    </w:p>
    <w:p w:rsidR="008E2005" w:rsidRPr="00BD6197" w:rsidRDefault="008E2005" w:rsidP="008E2005">
      <w:pPr>
        <w:pStyle w:val="enumlev1"/>
        <w:rPr>
          <w:lang w:val="en-US"/>
        </w:rPr>
      </w:pPr>
      <w:r w:rsidRPr="00BD6197">
        <w:rPr>
          <w:lang w:val="en-US"/>
        </w:rPr>
        <w:t>(2)</w:t>
      </w:r>
      <w:r w:rsidRPr="00BD6197">
        <w:rPr>
          <w:lang w:val="en-US"/>
        </w:rPr>
        <w:tab/>
        <w:t>promoting economic opportunity and competition and ensuring that new and innovative technologies are readily accessible to the American people by avoiding excessive concentration of licences and by disseminating licences among a wide variety of applicants, including small businesses, rural telephone companies, and businesses owned by members of minority groups and women;</w:t>
      </w:r>
    </w:p>
    <w:p w:rsidR="008E2005" w:rsidRPr="00BD6197" w:rsidRDefault="008E2005" w:rsidP="008E2005">
      <w:pPr>
        <w:pStyle w:val="enumlev1"/>
        <w:rPr>
          <w:lang w:val="en-US"/>
        </w:rPr>
      </w:pPr>
      <w:r w:rsidRPr="00BD6197">
        <w:rPr>
          <w:lang w:val="en-US"/>
        </w:rPr>
        <w:t>(3)</w:t>
      </w:r>
      <w:r w:rsidRPr="00BD6197">
        <w:rPr>
          <w:lang w:val="en-US"/>
        </w:rPr>
        <w:tab/>
        <w:t xml:space="preserve">recovery for the public of a portion of the value of the public spectrum resource made available for commercial use and avoidance of unjust enrichment through the methods employed to award uses of that resource; </w:t>
      </w:r>
    </w:p>
    <w:p w:rsidR="008E2005" w:rsidRPr="00BD6197" w:rsidRDefault="008E2005" w:rsidP="008E2005">
      <w:pPr>
        <w:pStyle w:val="enumlev1"/>
        <w:rPr>
          <w:lang w:val="en-US"/>
        </w:rPr>
      </w:pPr>
      <w:r w:rsidRPr="00BD6197">
        <w:rPr>
          <w:lang w:val="en-US"/>
        </w:rPr>
        <w:t>(4)</w:t>
      </w:r>
      <w:r w:rsidRPr="00BD6197">
        <w:rPr>
          <w:lang w:val="en-US"/>
        </w:rPr>
        <w:tab/>
        <w:t>efficient and intensive use of the electromagnetic spectrum.”</w:t>
      </w:r>
    </w:p>
    <w:p w:rsidR="008E2005" w:rsidRPr="00BD6197" w:rsidRDefault="008E2005" w:rsidP="008E2005">
      <w:pPr>
        <w:rPr>
          <w:lang w:val="en-US"/>
        </w:rPr>
      </w:pPr>
      <w:r w:rsidRPr="00BD6197">
        <w:rPr>
          <w:lang w:val="en-US"/>
        </w:rPr>
        <w:t>In granting authority to use competitive bidding, the U.S. Congress also specified that the use of competitive bidding:</w:t>
      </w:r>
    </w:p>
    <w:p w:rsidR="008E2005" w:rsidRPr="00BD6197" w:rsidRDefault="008E2005" w:rsidP="008E2005">
      <w:pPr>
        <w:pStyle w:val="enumlev1"/>
        <w:rPr>
          <w:lang w:val="en-US"/>
        </w:rPr>
      </w:pPr>
      <w:r w:rsidRPr="00BD6197">
        <w:rPr>
          <w:lang w:val="en-US"/>
        </w:rPr>
        <w:t>“(1)</w:t>
      </w:r>
      <w:r w:rsidRPr="00BD6197">
        <w:rPr>
          <w:lang w:val="en-US"/>
        </w:rPr>
        <w:tab/>
        <w:t>shall not alter spectrum allocation criteria and procedures;</w:t>
      </w:r>
    </w:p>
    <w:p w:rsidR="008E2005" w:rsidRPr="00BD6197" w:rsidRDefault="008E2005" w:rsidP="008E2005">
      <w:pPr>
        <w:pStyle w:val="enumlev1"/>
        <w:rPr>
          <w:lang w:val="en-US"/>
        </w:rPr>
      </w:pPr>
      <w:r w:rsidRPr="00BD6197">
        <w:rPr>
          <w:lang w:val="en-US"/>
        </w:rPr>
        <w:t>(2)</w:t>
      </w:r>
      <w:r w:rsidRPr="00BD6197">
        <w:rPr>
          <w:lang w:val="en-US"/>
        </w:rPr>
        <w:tab/>
        <w:t>shall not be construed to relieve the FCC of the obligation in the public interest to continue to use engineering solutions, negotiation, threshold qualifications, service regulations, and other means in order to avoid mutual exclusivity in application and licensing proceedings.”</w:t>
      </w:r>
    </w:p>
    <w:p w:rsidR="008E2005" w:rsidRPr="00BD6197" w:rsidRDefault="008E2005" w:rsidP="008E2005">
      <w:pPr>
        <w:rPr>
          <w:lang w:val="en-US"/>
        </w:rPr>
      </w:pPr>
      <w:r w:rsidRPr="00BD6197">
        <w:rPr>
          <w:lang w:val="en-US"/>
        </w:rPr>
        <w:t>The U.S. Congress further specified that the FCC cannot make allocation or service decisions based on the expectation of public revenue from auctions.</w:t>
      </w:r>
    </w:p>
    <w:p w:rsidR="008E2005" w:rsidRPr="00BD6197" w:rsidRDefault="008E2005" w:rsidP="008E2005">
      <w:pPr>
        <w:rPr>
          <w:lang w:val="en-US"/>
        </w:rPr>
      </w:pPr>
      <w:r w:rsidRPr="00BD6197">
        <w:rPr>
          <w:lang w:val="en-US"/>
        </w:rPr>
        <w:lastRenderedPageBreak/>
        <w:t>The majority of the proceeds from auctions conducted by the FCC are deposited in the general U.S. treasury. The FCC is permitted to retain only that portion of the auction proceeds necessary to pay for the cost of holding the auctions. This portion is well under 1% of the revenues generated by auctions. Generally, the licences that have been issued pursuant to auction are for a ten-year period, and it is intended that after this period the licence would be renewed if the licensee has complied with applicable FCC rules and has provided substantial service.</w:t>
      </w:r>
    </w:p>
    <w:p w:rsidR="008E2005" w:rsidRPr="00BD6197" w:rsidRDefault="008E2005" w:rsidP="008E2005">
      <w:pPr>
        <w:rPr>
          <w:lang w:val="en-US"/>
        </w:rPr>
      </w:pPr>
      <w:r w:rsidRPr="00BD6197">
        <w:rPr>
          <w:lang w:val="en-US"/>
        </w:rPr>
        <w:t>The following are services that have been licensed in the United States of America pursuant to auctions. The complete listing inclusive of the aforementioned auctions may be found at:</w:t>
      </w:r>
    </w:p>
    <w:p w:rsidR="008E2005" w:rsidRPr="00BD6197" w:rsidRDefault="003C5F80" w:rsidP="008E2005">
      <w:pPr>
        <w:rPr>
          <w:lang w:val="en-US"/>
        </w:rPr>
      </w:pPr>
      <w:hyperlink r:id="rId218" w:history="1">
        <w:r w:rsidR="008E2005" w:rsidRPr="00BD6197">
          <w:rPr>
            <w:rStyle w:val="Hyperlink"/>
            <w:lang w:val="en-US"/>
          </w:rPr>
          <w:t>http://wireless.fcc.gov/auctions/default.htm?job=auctions_all</w:t>
        </w:r>
      </w:hyperlink>
    </w:p>
    <w:p w:rsidR="008E2005" w:rsidRPr="00BD6197" w:rsidRDefault="008E2005" w:rsidP="008E2005">
      <w:pPr>
        <w:pStyle w:val="Heading4"/>
        <w:rPr>
          <w:lang w:val="en-US"/>
        </w:rPr>
      </w:pPr>
      <w:bookmarkStart w:id="1910" w:name="_Toc391269580"/>
      <w:bookmarkStart w:id="1911" w:name="_Toc459746733"/>
      <w:bookmarkStart w:id="1912" w:name="_Toc497033203"/>
      <w:bookmarkStart w:id="1913" w:name="_Toc497034001"/>
      <w:r w:rsidRPr="00BD6197">
        <w:rPr>
          <w:lang w:val="en-US"/>
        </w:rPr>
        <w:t>5.1.5.2</w:t>
      </w:r>
      <w:r w:rsidRPr="00BD6197">
        <w:rPr>
          <w:lang w:val="en-US"/>
        </w:rPr>
        <w:tab/>
        <w:t>Personal communications services</w:t>
      </w:r>
      <w:bookmarkEnd w:id="1910"/>
      <w:bookmarkEnd w:id="1911"/>
      <w:bookmarkEnd w:id="1912"/>
      <w:bookmarkEnd w:id="1913"/>
    </w:p>
    <w:p w:rsidR="008E2005" w:rsidRPr="00BD6197" w:rsidRDefault="008E2005" w:rsidP="008E2005">
      <w:pPr>
        <w:rPr>
          <w:lang w:val="en-US"/>
        </w:rPr>
      </w:pPr>
      <w:r w:rsidRPr="00BD6197">
        <w:rPr>
          <w:lang w:val="en-US"/>
        </w:rPr>
        <w:t>Personal communications services (PCS) providers are expected to give the public new communications capabilities by providing a variety of mobile services to compete with existing cellular, paging and other land mobile services. These services will be provided via a new generation of communications devices with two-way voice, data and/or message capabilities. These devices include small, lightweight, multi-function wireless phones, portable facsimiles and other devices. PCS is composed of several distinct categories, two of which are narrow-band PCS and broadband PCS.</w:t>
      </w:r>
    </w:p>
    <w:p w:rsidR="008E2005" w:rsidRPr="00BD6197" w:rsidRDefault="008E2005" w:rsidP="008E2005">
      <w:pPr>
        <w:rPr>
          <w:lang w:val="en-US"/>
        </w:rPr>
      </w:pPr>
      <w:r w:rsidRPr="00BD6197">
        <w:rPr>
          <w:lang w:val="en-US"/>
        </w:rPr>
        <w:t>The FCC held its first auction in July 1994, auctioning 11 nationwide licences to provide narrow</w:t>
      </w:r>
      <w:r w:rsidRPr="00BD6197">
        <w:rPr>
          <w:lang w:val="en-US"/>
        </w:rPr>
        <w:noBreakHyphen/>
        <w:t>band PCS in the 900 MHz band. Narrow-band PCS can be used to provide new services such as voice message paging, two-way acknowledgment paging in which a subscriber can receive a message and transmit a response back to the sender, and other data services. Licences for narrow</w:t>
      </w:r>
      <w:r w:rsidRPr="00BD6197">
        <w:rPr>
          <w:lang w:val="en-US"/>
        </w:rPr>
        <w:noBreakHyphen/>
        <w:t>band PCS may cover the entire nation (nationwide licence), large regions (regional licence), or smaller areas. Of the nationwide licences, five are 50/50 kHz paired, three are 50/12.5 kHz paired, and three are 50 kHz unpaired.</w:t>
      </w:r>
    </w:p>
    <w:p w:rsidR="008E2005" w:rsidRPr="00BD6197" w:rsidRDefault="008E2005" w:rsidP="008E2005">
      <w:pPr>
        <w:rPr>
          <w:lang w:val="en-US"/>
        </w:rPr>
      </w:pPr>
      <w:r w:rsidRPr="00BD6197">
        <w:rPr>
          <w:lang w:val="en-US"/>
        </w:rPr>
        <w:t>From 26 October through 8 November, 1994, the FCC auctioned 30 regional narrow-band PCS licences: six licences in each of five regions of the United States of America. Two licences in each region are 50/50 kHz paired and the remaining four are 50/12.5 kHz paired.</w:t>
      </w:r>
    </w:p>
    <w:p w:rsidR="008E2005" w:rsidRPr="00BD6197" w:rsidRDefault="008E2005" w:rsidP="008E2005">
      <w:pPr>
        <w:rPr>
          <w:lang w:val="en-US"/>
        </w:rPr>
      </w:pPr>
      <w:r w:rsidRPr="00BD6197">
        <w:rPr>
          <w:lang w:val="en-US"/>
        </w:rPr>
        <w:t>In December 1994, the FCC held its first auction of licences to provide broadband PCS in the 2 GHz (1</w:t>
      </w:r>
      <w:r w:rsidRPr="00BD6197">
        <w:rPr>
          <w:rFonts w:ascii="Tms Rmn" w:hAnsi="Tms Rmn"/>
          <w:sz w:val="12"/>
          <w:lang w:val="en-US"/>
        </w:rPr>
        <w:t> </w:t>
      </w:r>
      <w:r w:rsidRPr="00BD6197">
        <w:rPr>
          <w:lang w:val="en-US"/>
        </w:rPr>
        <w:t>850</w:t>
      </w:r>
      <w:r w:rsidRPr="00BD6197">
        <w:rPr>
          <w:lang w:val="en-US"/>
        </w:rPr>
        <w:noBreakHyphen/>
        <w:t>1</w:t>
      </w:r>
      <w:r w:rsidRPr="00BD6197">
        <w:rPr>
          <w:rFonts w:ascii="Tms Rmn" w:hAnsi="Tms Rmn"/>
          <w:sz w:val="12"/>
          <w:lang w:val="en-US"/>
        </w:rPr>
        <w:t> </w:t>
      </w:r>
      <w:r w:rsidRPr="00BD6197">
        <w:rPr>
          <w:lang w:val="en-US"/>
        </w:rPr>
        <w:t>990 MHz) band. Broadband PCS encompasses a variety of mobile and/or portable radio services, using such devices as small lightweight, multifunction portable phones, portable facsimile machines, and advanced devices with two-way data capabilities that are expected to compete with existing cellular, paging and other land mobile services.</w:t>
      </w:r>
    </w:p>
    <w:p w:rsidR="008E2005" w:rsidRPr="00BD6197" w:rsidRDefault="008E2005" w:rsidP="008E2005">
      <w:pPr>
        <w:rPr>
          <w:lang w:val="en-US"/>
        </w:rPr>
      </w:pPr>
      <w:r w:rsidRPr="00BD6197">
        <w:rPr>
          <w:lang w:val="en-US"/>
        </w:rPr>
        <w:t>The 1</w:t>
      </w:r>
      <w:r w:rsidRPr="00BD6197">
        <w:rPr>
          <w:rFonts w:ascii="Tms Rmn" w:hAnsi="Tms Rmn"/>
          <w:sz w:val="12"/>
          <w:lang w:val="en-US"/>
        </w:rPr>
        <w:t> </w:t>
      </w:r>
      <w:r w:rsidRPr="00BD6197">
        <w:rPr>
          <w:lang w:val="en-US"/>
        </w:rPr>
        <w:t>850-1</w:t>
      </w:r>
      <w:r w:rsidRPr="00BD6197">
        <w:rPr>
          <w:rFonts w:ascii="Tms Rmn" w:hAnsi="Tms Rmn"/>
          <w:sz w:val="12"/>
          <w:lang w:val="en-US"/>
        </w:rPr>
        <w:t> </w:t>
      </w:r>
      <w:r w:rsidRPr="00BD6197">
        <w:rPr>
          <w:lang w:val="en-US"/>
        </w:rPr>
        <w:t>990 MHz band was divided into six licence blocks. Licence blocks A, B, and C are each for 30 MHz of spectrum (two paired 15 MHz-wide segments). Licence blocks D, E, and F are each for 10 MHz of spectrum (two paired 5 MHz-wide segments). (Note that all six blocks combined contain 120 MHz of spectrum. The other 20 MHz (1</w:t>
      </w:r>
      <w:r w:rsidRPr="00BD6197">
        <w:rPr>
          <w:rFonts w:ascii="Tms Rmn" w:hAnsi="Tms Rmn"/>
          <w:sz w:val="12"/>
          <w:lang w:val="en-US"/>
        </w:rPr>
        <w:t> </w:t>
      </w:r>
      <w:r w:rsidRPr="00BD6197">
        <w:rPr>
          <w:lang w:val="en-US"/>
        </w:rPr>
        <w:t>910–1</w:t>
      </w:r>
      <w:r w:rsidRPr="00BD6197">
        <w:rPr>
          <w:rFonts w:ascii="Tms Rmn" w:hAnsi="Tms Rmn"/>
          <w:sz w:val="12"/>
          <w:lang w:val="en-US"/>
        </w:rPr>
        <w:t> </w:t>
      </w:r>
      <w:r w:rsidRPr="00BD6197">
        <w:rPr>
          <w:lang w:val="en-US"/>
        </w:rPr>
        <w:t>930 MHz) in the 1</w:t>
      </w:r>
      <w:r w:rsidRPr="00BD6197">
        <w:rPr>
          <w:rFonts w:ascii="Tms Rmn" w:hAnsi="Tms Rmn"/>
          <w:sz w:val="12"/>
          <w:lang w:val="en-US"/>
        </w:rPr>
        <w:t> </w:t>
      </w:r>
      <w:r w:rsidRPr="00BD6197">
        <w:rPr>
          <w:lang w:val="en-US"/>
        </w:rPr>
        <w:t>850</w:t>
      </w:r>
      <w:r w:rsidRPr="00BD6197">
        <w:rPr>
          <w:lang w:val="en-US"/>
        </w:rPr>
        <w:noBreakHyphen/>
        <w:t>1</w:t>
      </w:r>
      <w:r w:rsidRPr="00BD6197">
        <w:rPr>
          <w:rFonts w:ascii="Tms Rmn" w:hAnsi="Tms Rmn"/>
          <w:sz w:val="12"/>
          <w:lang w:val="en-US"/>
        </w:rPr>
        <w:t> </w:t>
      </w:r>
      <w:r w:rsidRPr="00BD6197">
        <w:rPr>
          <w:lang w:val="en-US"/>
        </w:rPr>
        <w:t>990 MHz band is used by unlicensed PCS services.)</w:t>
      </w:r>
    </w:p>
    <w:p w:rsidR="008E2005" w:rsidRPr="00BD6197" w:rsidRDefault="008E2005" w:rsidP="008E2005">
      <w:pPr>
        <w:rPr>
          <w:lang w:val="en-US"/>
        </w:rPr>
      </w:pPr>
      <w:r w:rsidRPr="00BD6197">
        <w:rPr>
          <w:lang w:val="en-US"/>
        </w:rPr>
        <w:t>Licences for blocks A and B cover regional major trading areas (MTAs). There are 51 MTAs that, combined, cover the entire United States of America and its territories. Licences for blocks C, D, E, and F cover basic trading areas (BTAs). BTAs are components of MTAs, and there are 493 BTAs that combine to cover the entire United States of America and its territories. MTAs and BTAs are economic trading areas based on designations contained in the Rand McNally Commercial Atlas and Marketing Guide.</w:t>
      </w:r>
    </w:p>
    <w:p w:rsidR="008E2005" w:rsidRPr="00BD6197" w:rsidRDefault="008E2005" w:rsidP="008E2005">
      <w:pPr>
        <w:rPr>
          <w:lang w:val="en-US"/>
        </w:rPr>
      </w:pPr>
      <w:r w:rsidRPr="00BD6197">
        <w:rPr>
          <w:lang w:val="en-US"/>
        </w:rPr>
        <w:t xml:space="preserve">In the auction beginning in December 1994, the FCC auctioned licences in both frequency blocks A and B in 48 MTAs. In the other three MTAs, only the block B licence was auctioned. In those three MTAs (New York, Los Angeles, and Washington-Baltimore), the block A licence was previously awarded under the FCC’s pioneer’s preference rules. Thus, a total of 99 licences were auctioned. </w:t>
      </w:r>
      <w:r w:rsidRPr="00BD6197">
        <w:rPr>
          <w:lang w:val="en-US"/>
        </w:rPr>
        <w:lastRenderedPageBreak/>
        <w:t>Thirty bidders qualified to bid in the auction and the auction lasted more than 112 rounds before concluding in March 1995.</w:t>
      </w:r>
    </w:p>
    <w:p w:rsidR="008E2005" w:rsidRPr="00BD6197" w:rsidRDefault="008E2005" w:rsidP="008E2005">
      <w:pPr>
        <w:rPr>
          <w:lang w:val="en-US"/>
        </w:rPr>
      </w:pPr>
      <w:r w:rsidRPr="00BD6197">
        <w:rPr>
          <w:lang w:val="en-US"/>
        </w:rPr>
        <w:t>The FCC began auctioning licences for broadband PCS block C in the 493 BTAs in December 1995. Unlike the MTA auction, bidding credits and instalment payment plans were available to small entities for Block C. The auction concluded in May 1996 after 184 rounds. Auctioning for broadband PCS blocks D, E and F began in August 1996 for 153 bidders who qualified to participate for 1</w:t>
      </w:r>
      <w:r w:rsidRPr="00BD6197">
        <w:rPr>
          <w:rFonts w:ascii="Tms Rmn" w:hAnsi="Tms Rmn"/>
          <w:sz w:val="12"/>
          <w:lang w:val="en-US"/>
        </w:rPr>
        <w:t> </w:t>
      </w:r>
      <w:r w:rsidRPr="00BD6197">
        <w:rPr>
          <w:lang w:val="en-US"/>
        </w:rPr>
        <w:t>479 different licences. Bidding credits and instalment payment plans were available for block F only. The auction concluded in January 1997 after 276 rounds.</w:t>
      </w:r>
    </w:p>
    <w:p w:rsidR="008E2005" w:rsidRPr="00BD6197" w:rsidRDefault="008E2005" w:rsidP="008E2005">
      <w:pPr>
        <w:rPr>
          <w:lang w:val="en-US"/>
        </w:rPr>
      </w:pPr>
      <w:r w:rsidRPr="00BD6197">
        <w:rPr>
          <w:lang w:val="en-US"/>
        </w:rPr>
        <w:t>Although PCS is a new service, the spectrum that it occupies was previously allocated and licensed to a variety of fixed service (point-to-point) microwave users, including public safety services. Therefore, it is necessary either to move the incumbent microwave systems to another frequency band or to provide for their communications needs through some alternative means, such as cable. In establishing the PCS service, the FCC determined that the fastest and fairest way to make this transition was to have the new PCS licensees pay to move the microwave users out of the band. The FCC therefore established a procedure whereby the new PCS licensees and the incumbent microwave users have a certain period to negotiate the terms of the re-accommodation. In any event, however, the microwave users must vacate the band as of a certain date and cannot therefore prevent implementation of the new services.</w:t>
      </w:r>
    </w:p>
    <w:p w:rsidR="008E2005" w:rsidRPr="00BD6197" w:rsidRDefault="008E2005" w:rsidP="008E2005">
      <w:pPr>
        <w:pStyle w:val="Heading4"/>
        <w:rPr>
          <w:lang w:val="en-US"/>
        </w:rPr>
      </w:pPr>
      <w:bookmarkStart w:id="1914" w:name="_Toc391269581"/>
      <w:bookmarkStart w:id="1915" w:name="_Toc459746734"/>
      <w:bookmarkStart w:id="1916" w:name="_Toc497033204"/>
      <w:bookmarkStart w:id="1917" w:name="_Toc497034002"/>
      <w:r w:rsidRPr="00BD6197">
        <w:rPr>
          <w:lang w:val="en-US"/>
        </w:rPr>
        <w:t>5.1.5.3</w:t>
      </w:r>
      <w:r w:rsidRPr="00BD6197">
        <w:rPr>
          <w:lang w:val="en-US"/>
        </w:rPr>
        <w:tab/>
        <w:t>Interactive video data service</w:t>
      </w:r>
      <w:bookmarkEnd w:id="1914"/>
      <w:bookmarkEnd w:id="1915"/>
      <w:bookmarkEnd w:id="1916"/>
      <w:bookmarkEnd w:id="1917"/>
    </w:p>
    <w:p w:rsidR="008E2005" w:rsidRPr="00BD6197" w:rsidRDefault="008E2005" w:rsidP="008E2005">
      <w:pPr>
        <w:rPr>
          <w:lang w:val="en-US"/>
        </w:rPr>
      </w:pPr>
      <w:r w:rsidRPr="00BD6197">
        <w:rPr>
          <w:lang w:val="en-US"/>
        </w:rPr>
        <w:t>The FCC held its second auction, for 594 interactive video data service (IVDS) licences, during July 1994. IVDS is a two</w:t>
      </w:r>
      <w:r w:rsidRPr="00BD6197">
        <w:rPr>
          <w:lang w:val="en-US"/>
        </w:rPr>
        <w:noBreakHyphen/>
        <w:t>way communications service in the 218-219 MHz band. Licences are for a ten-year period, and consist of two 500 kHz licences in each of 297 metropolitan statistical areas (MSAs), which are essentially the urbanized areas of the United States of America. In each market, both licences were available for auction at the same time, with the highest bidder given a choice between the two available licences and the second highest bidder winning the remaining licence. The FCC auctioned all 594 licences within two days.</w:t>
      </w:r>
    </w:p>
    <w:p w:rsidR="008E2005" w:rsidRPr="00BD6197" w:rsidRDefault="008E2005" w:rsidP="008E2005">
      <w:pPr>
        <w:pStyle w:val="Heading4"/>
        <w:rPr>
          <w:lang w:val="en-US"/>
        </w:rPr>
      </w:pPr>
      <w:bookmarkStart w:id="1918" w:name="_Toc391269582"/>
      <w:bookmarkStart w:id="1919" w:name="_Toc459746735"/>
      <w:bookmarkStart w:id="1920" w:name="_Toc497033205"/>
      <w:bookmarkStart w:id="1921" w:name="_Toc497034003"/>
      <w:r w:rsidRPr="00BD6197">
        <w:rPr>
          <w:lang w:val="en-US"/>
        </w:rPr>
        <w:t>5.1.5.4</w:t>
      </w:r>
      <w:r w:rsidRPr="00BD6197">
        <w:rPr>
          <w:lang w:val="en-US"/>
        </w:rPr>
        <w:tab/>
        <w:t>Specialized mobile radio service</w:t>
      </w:r>
      <w:bookmarkEnd w:id="1918"/>
      <w:bookmarkEnd w:id="1919"/>
      <w:bookmarkEnd w:id="1920"/>
      <w:bookmarkEnd w:id="1921"/>
    </w:p>
    <w:p w:rsidR="008E2005" w:rsidRPr="00BD6197" w:rsidRDefault="008E2005" w:rsidP="008E2005">
      <w:pPr>
        <w:rPr>
          <w:lang w:val="en-US"/>
        </w:rPr>
      </w:pPr>
      <w:r w:rsidRPr="00BD6197">
        <w:rPr>
          <w:lang w:val="en-US"/>
        </w:rPr>
        <w:t>The specialized mobile radio (SMR) service is a land mobile radio service that provides dispatch, voice, and data services to commercial businesses and specialized users, although licensees are also permitted to provide service to the general public. The SMR service operates in both the 800 MHz and 900 MHz bands.</w:t>
      </w:r>
    </w:p>
    <w:p w:rsidR="008E2005" w:rsidRPr="00BD6197" w:rsidRDefault="008E2005" w:rsidP="008E2005">
      <w:pPr>
        <w:rPr>
          <w:lang w:val="en-US"/>
        </w:rPr>
      </w:pPr>
      <w:r w:rsidRPr="00BD6197">
        <w:rPr>
          <w:lang w:val="en-US"/>
        </w:rPr>
        <w:t>The FCC established the SMR service in the 800 MHz band in 1974 as a private land mobile radio service intended as a spectrally efficient method to provide dispatch radio service to businesses and other users that qualified as private radio users. Originally, applicants were limited to a relatively small number of channels to be located at a single base station. Coverage and service options were therefore limited. These licences were issued on a first-come, first-served basis, with a lottery used to resolve instances of mutual exclusivity. Over the years, however, the demand for this service increased and the rules limiting eligibility and licensing were gradually reduced. SMR providers today offer a range of services from traditional radio dispatch for local customers to more sophisticated voice and data transmissions for customers over large geographic areas. SMR licensees, in recent years, have been authorized to expand the geographic scope of their services and aggregate large numbers of channels to provide service more directly comparable to cellular radio and PCS. In October 1994, the FCC proposed to issue 800 MHz SMR licences based on FCC</w:t>
      </w:r>
      <w:r w:rsidRPr="00BD6197">
        <w:rPr>
          <w:lang w:val="en-US"/>
        </w:rPr>
        <w:noBreakHyphen/>
        <w:t>defined service areas and subject to competitive bidding. The 800 MHz band will be the subject of a future auction.</w:t>
      </w:r>
    </w:p>
    <w:p w:rsidR="008E2005" w:rsidRPr="00BD6197" w:rsidRDefault="008E2005" w:rsidP="008E2005">
      <w:pPr>
        <w:rPr>
          <w:lang w:val="en-US"/>
        </w:rPr>
      </w:pPr>
      <w:r w:rsidRPr="00BD6197">
        <w:rPr>
          <w:lang w:val="en-US"/>
        </w:rPr>
        <w:t xml:space="preserve">The 900 MHz SMR service consists of 5 MHz of spectrum divided into twenty 10-channel blocks in each MTA. Assignments in the 900 MHz SMR service offer the potential for such competitive services as wireless data, specialized dispatch, two-way paging, and interconnected voice </w:t>
      </w:r>
      <w:r w:rsidRPr="00BD6197">
        <w:rPr>
          <w:lang w:val="en-US"/>
        </w:rPr>
        <w:lastRenderedPageBreak/>
        <w:t>transmission. Licences for this service were initially issued for single transmitter sites in the 50 largest cities in the United States of America with licensees selected by lottery. Licensing, however, was suspended for a number of years, and the FCC recently restructured the service to issue area-wide licences pursuant to competitive bidding. Original licensees are protected from interference from new licensees; however, they can expand their operations only by obtaining a new licence.</w:t>
      </w:r>
    </w:p>
    <w:p w:rsidR="008E2005" w:rsidRPr="00BD6197" w:rsidRDefault="008E2005" w:rsidP="008E2005">
      <w:pPr>
        <w:pStyle w:val="Heading4"/>
        <w:rPr>
          <w:lang w:val="en-US"/>
        </w:rPr>
      </w:pPr>
      <w:bookmarkStart w:id="1922" w:name="_Toc391269583"/>
      <w:bookmarkStart w:id="1923" w:name="_Toc459746736"/>
      <w:bookmarkStart w:id="1924" w:name="_Toc497033206"/>
      <w:bookmarkStart w:id="1925" w:name="_Toc497034004"/>
      <w:r w:rsidRPr="00BD6197">
        <w:rPr>
          <w:lang w:val="en-US"/>
        </w:rPr>
        <w:t>5.1.5.5</w:t>
      </w:r>
      <w:r w:rsidRPr="00BD6197">
        <w:rPr>
          <w:lang w:val="en-US"/>
        </w:rPr>
        <w:tab/>
        <w:t>Multichannel multipoint distribution s</w:t>
      </w:r>
      <w:bookmarkEnd w:id="1922"/>
      <w:bookmarkEnd w:id="1923"/>
      <w:bookmarkEnd w:id="1924"/>
      <w:bookmarkEnd w:id="1925"/>
      <w:r w:rsidRPr="00BD6197">
        <w:rPr>
          <w:lang w:val="en-US"/>
        </w:rPr>
        <w:t>ystem</w:t>
      </w:r>
    </w:p>
    <w:p w:rsidR="008E2005" w:rsidRPr="00BD6197" w:rsidRDefault="008E2005" w:rsidP="008E2005">
      <w:pPr>
        <w:rPr>
          <w:lang w:val="en-US"/>
        </w:rPr>
      </w:pPr>
      <w:r w:rsidRPr="00BD6197">
        <w:rPr>
          <w:lang w:val="en-US"/>
        </w:rPr>
        <w:t>Multichannel multipoint distribution system (MMDS) is often referred to as “wireless cable”. It offers delivery of video programming to subscribers using MMDS and/or instructional television fixed service (ITFS) channels. Only MMDS channels at 2</w:t>
      </w:r>
      <w:r w:rsidRPr="00BD6197">
        <w:rPr>
          <w:rFonts w:ascii="Tms Rmn" w:hAnsi="Tms Rmn"/>
          <w:sz w:val="12"/>
          <w:lang w:val="en-US"/>
        </w:rPr>
        <w:t> </w:t>
      </w:r>
      <w:r w:rsidRPr="00BD6197">
        <w:rPr>
          <w:lang w:val="en-US"/>
        </w:rPr>
        <w:t>150-2</w:t>
      </w:r>
      <w:r w:rsidRPr="00BD6197">
        <w:rPr>
          <w:rFonts w:ascii="Tms Rmn" w:hAnsi="Tms Rmn"/>
          <w:sz w:val="12"/>
          <w:lang w:val="en-US"/>
        </w:rPr>
        <w:t> </w:t>
      </w:r>
      <w:r w:rsidRPr="00BD6197">
        <w:rPr>
          <w:lang w:val="en-US"/>
        </w:rPr>
        <w:t>160 MHz and 2</w:t>
      </w:r>
      <w:r w:rsidRPr="00BD6197">
        <w:rPr>
          <w:rFonts w:ascii="Tms Rmn" w:hAnsi="Tms Rmn"/>
          <w:sz w:val="12"/>
          <w:lang w:val="en-US"/>
        </w:rPr>
        <w:t> </w:t>
      </w:r>
      <w:r w:rsidRPr="00BD6197">
        <w:rPr>
          <w:lang w:val="en-US"/>
        </w:rPr>
        <w:t>596</w:t>
      </w:r>
      <w:r w:rsidRPr="00BD6197">
        <w:rPr>
          <w:lang w:val="en-US"/>
        </w:rPr>
        <w:noBreakHyphen/>
        <w:t>2</w:t>
      </w:r>
      <w:r w:rsidRPr="00BD6197">
        <w:rPr>
          <w:rFonts w:ascii="Tms Rmn" w:hAnsi="Tms Rmn"/>
          <w:sz w:val="12"/>
          <w:lang w:val="en-US"/>
        </w:rPr>
        <w:t> </w:t>
      </w:r>
      <w:r w:rsidRPr="00BD6197">
        <w:rPr>
          <w:lang w:val="en-US"/>
        </w:rPr>
        <w:t>680 MHz have been auctioned. MMDS resembles cable television, but instead of coaxial cable, “wireless cable” uses microwave transmission and signals. In the past, MMDS licences have been issued for specific coordinates at which the central transmitter was located. However, the FCC recently revised the MMDS licensing procedures so that all licensees will be authorized to operate throughout particular BTAs. New licensees will be required to avoid interference within the protected area of existing MMDS operations (a 35-mile radius). The FCC stated that mutually exclusive applications that are filed for a particular BTA will be processed using competitive bidding.</w:t>
      </w:r>
    </w:p>
    <w:p w:rsidR="008E2005" w:rsidRPr="00BD6197" w:rsidRDefault="008E2005" w:rsidP="008E2005">
      <w:pPr>
        <w:pStyle w:val="Heading4"/>
        <w:rPr>
          <w:lang w:val="en-US"/>
        </w:rPr>
      </w:pPr>
      <w:bookmarkStart w:id="1926" w:name="_Toc391269584"/>
      <w:bookmarkStart w:id="1927" w:name="_Toc459746737"/>
      <w:bookmarkStart w:id="1928" w:name="_Toc497033207"/>
      <w:bookmarkStart w:id="1929" w:name="_Toc497034005"/>
      <w:r w:rsidRPr="00BD6197">
        <w:rPr>
          <w:lang w:val="en-US"/>
        </w:rPr>
        <w:t>5.1.5.6</w:t>
      </w:r>
      <w:r w:rsidRPr="00BD6197">
        <w:rPr>
          <w:lang w:val="en-US"/>
        </w:rPr>
        <w:tab/>
        <w:t>Direct broadcast satellite</w:t>
      </w:r>
      <w:bookmarkEnd w:id="1926"/>
      <w:bookmarkEnd w:id="1927"/>
      <w:bookmarkEnd w:id="1928"/>
      <w:bookmarkEnd w:id="1929"/>
      <w:r w:rsidRPr="00BD6197">
        <w:rPr>
          <w:lang w:val="en-US"/>
        </w:rPr>
        <w:t xml:space="preserve"> </w:t>
      </w:r>
    </w:p>
    <w:p w:rsidR="008E2005" w:rsidRPr="00BD6197" w:rsidRDefault="008E2005" w:rsidP="008E2005">
      <w:pPr>
        <w:rPr>
          <w:lang w:val="en-US"/>
        </w:rPr>
      </w:pPr>
      <w:r w:rsidRPr="00BD6197">
        <w:rPr>
          <w:lang w:val="en-US"/>
        </w:rPr>
        <w:t>The direct broadcast satellite (DBS) service is a radiocommunication service in which signals transmitted or retransmitted by space stations are intended for direct reception by the general public. This includes direct reception by both individuals and the community. The FCC held a very limited DBS auction for two orbital slots in January 1996. In adopting auction procedures, the FCC noted that there are characteristics of a national broadcast satellite service, such as the footprint of the satellite falling within the United States of America, that make DBS different from many other satellite services. One winning bidder received a construction permit for 28 channels and the second winning bidder received a construction permit for use of 24 channels.</w:t>
      </w:r>
    </w:p>
    <w:p w:rsidR="008E2005" w:rsidRPr="00BD6197" w:rsidRDefault="008E2005" w:rsidP="008E2005">
      <w:pPr>
        <w:pStyle w:val="Heading4"/>
        <w:rPr>
          <w:lang w:val="en-US"/>
        </w:rPr>
      </w:pPr>
      <w:bookmarkStart w:id="1930" w:name="_Toc391269585"/>
      <w:bookmarkStart w:id="1931" w:name="_Toc459746738"/>
      <w:bookmarkStart w:id="1932" w:name="_Toc497033208"/>
      <w:bookmarkStart w:id="1933" w:name="_Toc497034006"/>
      <w:r w:rsidRPr="00BD6197">
        <w:rPr>
          <w:lang w:val="en-US"/>
        </w:rPr>
        <w:t>5.1.5.7</w:t>
      </w:r>
      <w:r w:rsidRPr="00BD6197">
        <w:rPr>
          <w:lang w:val="en-US"/>
        </w:rPr>
        <w:tab/>
        <w:t>Satellite digital audio radio</w:t>
      </w:r>
      <w:bookmarkEnd w:id="1930"/>
      <w:bookmarkEnd w:id="1931"/>
      <w:bookmarkEnd w:id="1932"/>
      <w:bookmarkEnd w:id="1933"/>
      <w:r w:rsidRPr="00BD6197">
        <w:rPr>
          <w:lang w:val="en-US"/>
        </w:rPr>
        <w:t xml:space="preserve"> </w:t>
      </w:r>
    </w:p>
    <w:p w:rsidR="008E2005" w:rsidRPr="00BD6197" w:rsidRDefault="008E2005" w:rsidP="008E2005">
      <w:pPr>
        <w:rPr>
          <w:lang w:val="en-US"/>
        </w:rPr>
      </w:pPr>
      <w:r w:rsidRPr="00BD6197">
        <w:rPr>
          <w:lang w:val="en-US"/>
        </w:rPr>
        <w:t>The satellite digital audio radio (DAR) service is a broadcasting-satellite (sound) radiocommunication service located in the 2</w:t>
      </w:r>
      <w:r w:rsidRPr="00BD6197">
        <w:rPr>
          <w:rFonts w:ascii="Tms Rmn" w:hAnsi="Tms Rmn"/>
          <w:sz w:val="12"/>
          <w:lang w:val="en-US"/>
        </w:rPr>
        <w:t> </w:t>
      </w:r>
      <w:r w:rsidRPr="00BD6197">
        <w:rPr>
          <w:lang w:val="en-US"/>
        </w:rPr>
        <w:t>320-2</w:t>
      </w:r>
      <w:r w:rsidRPr="00BD6197">
        <w:rPr>
          <w:rFonts w:ascii="Tms Rmn" w:hAnsi="Tms Rmn"/>
          <w:sz w:val="12"/>
          <w:lang w:val="en-US"/>
        </w:rPr>
        <w:t> </w:t>
      </w:r>
      <w:r w:rsidRPr="00BD6197">
        <w:rPr>
          <w:lang w:val="en-US"/>
        </w:rPr>
        <w:t>345 MHz band, in which high-quality audio signals are transmitted to the Earth by satellite, either to subscribers or to the general public. The FCC held a satellite DAR service auction for two 12.5 MHz licences in April 1997. Both winning bidders plan to offer subscription-based services. Licences are for an eight-year period.</w:t>
      </w:r>
    </w:p>
    <w:p w:rsidR="008E2005" w:rsidRPr="00BD6197" w:rsidRDefault="008E2005" w:rsidP="008E2005">
      <w:pPr>
        <w:pStyle w:val="Heading4"/>
        <w:rPr>
          <w:lang w:val="en-US"/>
        </w:rPr>
      </w:pPr>
      <w:bookmarkStart w:id="1934" w:name="_Toc391269586"/>
      <w:bookmarkStart w:id="1935" w:name="_Toc459746739"/>
      <w:bookmarkStart w:id="1936" w:name="_Toc497033209"/>
      <w:bookmarkStart w:id="1937" w:name="_Toc497034007"/>
      <w:r w:rsidRPr="00BD6197">
        <w:rPr>
          <w:lang w:val="en-US"/>
        </w:rPr>
        <w:t>5.1.5.8</w:t>
      </w:r>
      <w:r w:rsidRPr="00BD6197">
        <w:rPr>
          <w:lang w:val="en-US"/>
        </w:rPr>
        <w:tab/>
        <w:t>Wireless communications</w:t>
      </w:r>
      <w:bookmarkEnd w:id="1934"/>
      <w:bookmarkEnd w:id="1935"/>
      <w:bookmarkEnd w:id="1936"/>
      <w:bookmarkEnd w:id="1937"/>
    </w:p>
    <w:p w:rsidR="008E2005" w:rsidRPr="00BD6197" w:rsidRDefault="008E2005" w:rsidP="008E2005">
      <w:pPr>
        <w:rPr>
          <w:lang w:val="en-US"/>
        </w:rPr>
      </w:pPr>
      <w:r w:rsidRPr="00BD6197">
        <w:rPr>
          <w:lang w:val="en-US"/>
        </w:rPr>
        <w:t>The wireless communications service (WCS) is a radiocommunication service located in the 2</w:t>
      </w:r>
      <w:r w:rsidRPr="00BD6197">
        <w:rPr>
          <w:rFonts w:ascii="Tms Rmn" w:hAnsi="Tms Rmn"/>
          <w:sz w:val="12"/>
          <w:lang w:val="en-US"/>
        </w:rPr>
        <w:t> </w:t>
      </w:r>
      <w:r w:rsidRPr="00BD6197">
        <w:rPr>
          <w:lang w:val="en-US"/>
        </w:rPr>
        <w:t>305</w:t>
      </w:r>
      <w:r w:rsidRPr="00BD6197">
        <w:rPr>
          <w:lang w:val="en-US"/>
        </w:rPr>
        <w:noBreakHyphen/>
        <w:t>2</w:t>
      </w:r>
      <w:r w:rsidRPr="00BD6197">
        <w:rPr>
          <w:rFonts w:ascii="Tms Rmn" w:hAnsi="Tms Rmn"/>
          <w:sz w:val="12"/>
          <w:lang w:val="en-US"/>
        </w:rPr>
        <w:t> </w:t>
      </w:r>
      <w:r w:rsidRPr="00BD6197">
        <w:rPr>
          <w:lang w:val="en-US"/>
        </w:rPr>
        <w:t>320 MHz and 2</w:t>
      </w:r>
      <w:r w:rsidRPr="00BD6197">
        <w:rPr>
          <w:rFonts w:ascii="Tms Rmn" w:hAnsi="Tms Rmn"/>
          <w:sz w:val="12"/>
          <w:lang w:val="en-US"/>
        </w:rPr>
        <w:t> </w:t>
      </w:r>
      <w:r w:rsidRPr="00BD6197">
        <w:rPr>
          <w:lang w:val="en-US"/>
        </w:rPr>
        <w:t>345</w:t>
      </w:r>
      <w:r w:rsidRPr="00BD6197">
        <w:rPr>
          <w:lang w:val="en-US"/>
        </w:rPr>
        <w:noBreakHyphen/>
        <w:t>2</w:t>
      </w:r>
      <w:r w:rsidRPr="00BD6197">
        <w:rPr>
          <w:rFonts w:ascii="Tms Rmn" w:hAnsi="Tms Rmn"/>
          <w:sz w:val="12"/>
          <w:lang w:val="en-US"/>
        </w:rPr>
        <w:t> </w:t>
      </w:r>
      <w:r w:rsidRPr="00BD6197">
        <w:rPr>
          <w:lang w:val="en-US"/>
        </w:rPr>
        <w:t>360 MHz bands. WCS licensees have the flexibility to offer a variety of fixed, mobile, radiolocation, and broadcasting-satellite (sound) services, except that broadcasting-satellite (sound) and aeronautical mobile services may not be offered at 2</w:t>
      </w:r>
      <w:r w:rsidRPr="00BD6197">
        <w:rPr>
          <w:rFonts w:ascii="Tms Rmn" w:hAnsi="Tms Rmn"/>
          <w:sz w:val="12"/>
          <w:lang w:val="en-US"/>
        </w:rPr>
        <w:t> </w:t>
      </w:r>
      <w:r w:rsidRPr="00BD6197">
        <w:rPr>
          <w:lang w:val="en-US"/>
        </w:rPr>
        <w:t>305</w:t>
      </w:r>
      <w:r w:rsidRPr="00BD6197">
        <w:rPr>
          <w:lang w:val="en-US"/>
        </w:rPr>
        <w:noBreakHyphen/>
        <w:t>2</w:t>
      </w:r>
      <w:r w:rsidRPr="00BD6197">
        <w:rPr>
          <w:rFonts w:ascii="Tms Rmn" w:hAnsi="Tms Rmn"/>
          <w:sz w:val="12"/>
          <w:lang w:val="en-US"/>
        </w:rPr>
        <w:t> </w:t>
      </w:r>
      <w:r w:rsidRPr="00BD6197">
        <w:rPr>
          <w:lang w:val="en-US"/>
        </w:rPr>
        <w:t>310 MHz. The FCC held a WCS auction for two 10 MHz licences for each of 52 major economic areas (MEAs) and two 5 MHz licences for each of 12 regional economic area groupings (REAGs) in April 1997. MEAs and REAGs consist of groupings of smaller economic areas, as defined by the U.S. Department of Commerce. There are 176 economic areas that cover the United States of America and its territories. A large variety of companies won licences in the WCS auction. Licences are for a ten-year period.</w:t>
      </w:r>
    </w:p>
    <w:p w:rsidR="008E2005" w:rsidRPr="00BD6197" w:rsidRDefault="008E2005" w:rsidP="008E2005">
      <w:pPr>
        <w:pStyle w:val="Heading2"/>
        <w:rPr>
          <w:lang w:val="en-US"/>
        </w:rPr>
      </w:pPr>
      <w:bookmarkStart w:id="1938" w:name="_Toc394385984"/>
      <w:bookmarkStart w:id="1939" w:name="_Toc394386071"/>
      <w:bookmarkStart w:id="1940" w:name="_Toc395503175"/>
      <w:bookmarkStart w:id="1941" w:name="_Toc459746740"/>
      <w:bookmarkStart w:id="1942" w:name="_Toc459792662"/>
      <w:bookmarkStart w:id="1943" w:name="_Toc459793828"/>
      <w:bookmarkStart w:id="1944" w:name="_Toc459793970"/>
      <w:bookmarkStart w:id="1945" w:name="_Toc459970431"/>
      <w:bookmarkStart w:id="1946" w:name="_Toc497033210"/>
      <w:bookmarkStart w:id="1947" w:name="_Toc497034008"/>
      <w:bookmarkStart w:id="1948" w:name="_Toc289868860"/>
      <w:bookmarkStart w:id="1949" w:name="_Toc289869020"/>
      <w:bookmarkStart w:id="1950" w:name="_Toc289932328"/>
      <w:bookmarkStart w:id="1951" w:name="_Toc289933374"/>
      <w:bookmarkStart w:id="1952" w:name="_Toc291852937"/>
      <w:bookmarkStart w:id="1953" w:name="_Toc392515921"/>
      <w:bookmarkStart w:id="1954" w:name="_Toc462234137"/>
      <w:bookmarkStart w:id="1955" w:name="_Toc518394256"/>
      <w:r w:rsidRPr="00BD6197">
        <w:rPr>
          <w:lang w:val="en-US"/>
        </w:rPr>
        <w:lastRenderedPageBreak/>
        <w:t>5.2</w:t>
      </w:r>
      <w:r w:rsidRPr="00BD6197">
        <w:rPr>
          <w:lang w:val="en-US"/>
        </w:rPr>
        <w:tab/>
        <w:t>Experience with fees</w:t>
      </w:r>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p>
    <w:p w:rsidR="008E2005" w:rsidRPr="00BD6197" w:rsidRDefault="008E2005" w:rsidP="008E2005">
      <w:pPr>
        <w:pStyle w:val="Heading3"/>
        <w:rPr>
          <w:lang w:val="en-US"/>
        </w:rPr>
      </w:pPr>
      <w:bookmarkStart w:id="1956" w:name="_Toc459746741"/>
      <w:bookmarkStart w:id="1957" w:name="_Toc459792663"/>
      <w:bookmarkStart w:id="1958" w:name="_Toc459793829"/>
      <w:bookmarkStart w:id="1959" w:name="_Toc459793971"/>
      <w:bookmarkStart w:id="1960" w:name="_Toc459970432"/>
      <w:bookmarkStart w:id="1961" w:name="_Toc497033211"/>
      <w:bookmarkStart w:id="1962" w:name="_Toc497034009"/>
      <w:bookmarkStart w:id="1963" w:name="_Toc289868861"/>
      <w:bookmarkStart w:id="1964" w:name="_Toc289869021"/>
      <w:bookmarkStart w:id="1965" w:name="_Toc289932329"/>
      <w:bookmarkStart w:id="1966" w:name="_Toc289933375"/>
      <w:bookmarkStart w:id="1967" w:name="_Toc291852938"/>
      <w:bookmarkStart w:id="1968" w:name="_Toc392515922"/>
      <w:bookmarkStart w:id="1969" w:name="_Toc462234138"/>
      <w:bookmarkStart w:id="1970" w:name="_Toc518394257"/>
      <w:r w:rsidRPr="00BD6197">
        <w:rPr>
          <w:lang w:val="en-US"/>
        </w:rPr>
        <w:t>5.2.1</w:t>
      </w:r>
      <w:r w:rsidRPr="00BD6197">
        <w:rPr>
          <w:lang w:val="en-US"/>
        </w:rPr>
        <w:tab/>
        <w:t>Australia’s experience with licence fees</w:t>
      </w:r>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p>
    <w:p w:rsidR="008E2005" w:rsidRPr="00BD6197" w:rsidRDefault="008E2005" w:rsidP="008E2005">
      <w:pPr>
        <w:rPr>
          <w:lang w:val="en-US"/>
        </w:rPr>
      </w:pPr>
      <w:r w:rsidRPr="00BD6197">
        <w:rPr>
          <w:lang w:val="en-US"/>
        </w:rPr>
        <w:t>In addition to conducting spectrum auctions and implementing a limited system of property rights, the Australian Communications and Media Authority (ACMA) has attempted to improve the efficiency of the traditional system of licensing. Underpinning the ACMA’s approach has been a fundamental restructuring of radiocommunications apparatus licence fees. In April 1995, then Spectrum Management Agency (now ACMA), in consultation with industry, moved from a traditional, service-based methodology of charging for spectrum usage, to a system which charges on the basis of the amount of spectrum that a particular service denies to other users. Thus, licence fees are calculated in a more consistent and transparent manner, as opposed to the somewhat arbitrary approach that focused predominantly on the characteristics of the radiocommunications service being licensed.</w:t>
      </w:r>
    </w:p>
    <w:p w:rsidR="008E2005" w:rsidRPr="00BD6197" w:rsidRDefault="008E2005" w:rsidP="008E2005">
      <w:pPr>
        <w:rPr>
          <w:lang w:val="en-US"/>
        </w:rPr>
      </w:pPr>
      <w:r w:rsidRPr="00BD6197">
        <w:rPr>
          <w:lang w:val="en-US"/>
        </w:rPr>
        <w:t>Under the new apparatus licence fee structure, each licence fee generally consists of three identifiable components:</w:t>
      </w:r>
    </w:p>
    <w:p w:rsidR="008E2005" w:rsidRPr="00BD6197" w:rsidRDefault="008E2005" w:rsidP="008E2005">
      <w:pPr>
        <w:pStyle w:val="enumlev1"/>
        <w:rPr>
          <w:lang w:val="en-US"/>
        </w:rPr>
      </w:pPr>
      <w:r w:rsidRPr="00BD6197">
        <w:rPr>
          <w:lang w:val="en-US"/>
        </w:rPr>
        <w:t>–</w:t>
      </w:r>
      <w:r w:rsidRPr="00BD6197">
        <w:rPr>
          <w:lang w:val="en-US"/>
        </w:rPr>
        <w:tab/>
        <w:t>an issue or renewal component, reflecting the cost of issuing or renewing the licence;</w:t>
      </w:r>
    </w:p>
    <w:p w:rsidR="008E2005" w:rsidRPr="00BD6197" w:rsidRDefault="008E2005" w:rsidP="008E2005">
      <w:pPr>
        <w:pStyle w:val="enumlev1"/>
        <w:rPr>
          <w:lang w:val="en-US"/>
        </w:rPr>
      </w:pPr>
      <w:r w:rsidRPr="00BD6197">
        <w:rPr>
          <w:lang w:val="en-US"/>
        </w:rPr>
        <w:t>–</w:t>
      </w:r>
      <w:r w:rsidRPr="00BD6197">
        <w:rPr>
          <w:lang w:val="en-US"/>
        </w:rPr>
        <w:tab/>
        <w:t>a spectrum maintenance component, reflecting the ongoing cost of managing the spectrum, including protection from interference (a fixed percentage of the spectrum access tax (SAT) described below);</w:t>
      </w:r>
    </w:p>
    <w:p w:rsidR="008E2005" w:rsidRPr="00BD6197" w:rsidRDefault="008E2005" w:rsidP="008E2005">
      <w:pPr>
        <w:pStyle w:val="enumlev1"/>
        <w:rPr>
          <w:lang w:val="en-US"/>
        </w:rPr>
      </w:pPr>
      <w:r w:rsidRPr="00BD6197">
        <w:rPr>
          <w:lang w:val="en-US"/>
        </w:rPr>
        <w:t>–</w:t>
      </w:r>
      <w:r w:rsidRPr="00BD6197">
        <w:rPr>
          <w:lang w:val="en-US"/>
        </w:rPr>
        <w:tab/>
        <w:t>a SAT, which represents a return to the government for use of a community resource, and is based on a formula involving spectrum location, geographic location, channel bandwidth, and communications coverage area.</w:t>
      </w:r>
    </w:p>
    <w:p w:rsidR="008E2005" w:rsidRPr="00BD6197" w:rsidRDefault="008E2005" w:rsidP="008E2005">
      <w:pPr>
        <w:rPr>
          <w:lang w:val="en-US"/>
        </w:rPr>
      </w:pPr>
      <w:r w:rsidRPr="00BD6197">
        <w:rPr>
          <w:lang w:val="en-US"/>
        </w:rPr>
        <w:t>The calculation of the SAT represents a market demand based pricing strategy in so far as services operating in higher dem</w:t>
      </w:r>
      <w:r w:rsidR="00AA04B2">
        <w:rPr>
          <w:lang w:val="en-US"/>
        </w:rPr>
        <w:t>and areas of the spectrum (i.e.</w:t>
      </w:r>
      <w:r w:rsidRPr="00BD6197">
        <w:rPr>
          <w:lang w:val="en-US"/>
        </w:rPr>
        <w:t xml:space="preserve"> UHF/VHF) or more densely p</w:t>
      </w:r>
      <w:r w:rsidR="00AA04B2">
        <w:rPr>
          <w:lang w:val="en-US"/>
        </w:rPr>
        <w:t>opulated geographic areas (i.e.</w:t>
      </w:r>
      <w:r w:rsidRPr="00BD6197">
        <w:rPr>
          <w:lang w:val="en-US"/>
        </w:rPr>
        <w:t xml:space="preserve"> major capital cities) attract a higher licence fee than those operating in lower spectrum demand or geographic demand areas. Furthermore, in accordance with the spectrum denial methodology, services with larger operating bandwidths attract a higher licence fee than more spectrum efficient services, thereby encouraging users to seek more technically advanced equipment that utilizes narrower operating bandwidths, or alternatively encouraging users to operate in segments of the spectrum that are in greater supply.</w:t>
      </w:r>
    </w:p>
    <w:p w:rsidR="008E2005" w:rsidRPr="00BD6197" w:rsidRDefault="008E2005" w:rsidP="008E2005">
      <w:pPr>
        <w:rPr>
          <w:lang w:val="en-US"/>
        </w:rPr>
      </w:pPr>
      <w:r w:rsidRPr="00BD6197">
        <w:rPr>
          <w:lang w:val="en-US"/>
        </w:rPr>
        <w:t>The ACMA has also introduced measures which allow greater flexibility and certaint</w:t>
      </w:r>
      <w:r w:rsidR="00AA04B2">
        <w:rPr>
          <w:lang w:val="en-US"/>
        </w:rPr>
        <w:t>y for users in the radiocommuni</w:t>
      </w:r>
      <w:r w:rsidRPr="00BD6197">
        <w:rPr>
          <w:lang w:val="en-US"/>
        </w:rPr>
        <w:t>cations market. Flexibility has been achieved by allowing licensees to transfer their apparatus licences to third parties, while greater certainty has been accomplished by permitting licensees to acquire licences for periods of up to five years.</w:t>
      </w:r>
    </w:p>
    <w:p w:rsidR="008E2005" w:rsidRPr="00BD6197" w:rsidRDefault="008E2005" w:rsidP="008E2005">
      <w:pPr>
        <w:pStyle w:val="Heading3"/>
        <w:rPr>
          <w:lang w:val="en-US"/>
        </w:rPr>
      </w:pPr>
      <w:bookmarkStart w:id="1971" w:name="_Toc459746742"/>
      <w:bookmarkStart w:id="1972" w:name="_Toc459792664"/>
      <w:bookmarkStart w:id="1973" w:name="_Toc459793830"/>
      <w:bookmarkStart w:id="1974" w:name="_Toc459793972"/>
      <w:bookmarkStart w:id="1975" w:name="_Toc459970433"/>
      <w:bookmarkStart w:id="1976" w:name="_Toc497033212"/>
      <w:bookmarkStart w:id="1977" w:name="_Toc497034010"/>
      <w:bookmarkStart w:id="1978" w:name="_Toc289868862"/>
      <w:bookmarkStart w:id="1979" w:name="_Toc289869022"/>
      <w:bookmarkStart w:id="1980" w:name="_Toc289932330"/>
      <w:bookmarkStart w:id="1981" w:name="_Toc289933376"/>
      <w:bookmarkStart w:id="1982" w:name="_Toc291852939"/>
      <w:bookmarkStart w:id="1983" w:name="_Toc392515923"/>
      <w:bookmarkStart w:id="1984" w:name="_Toc462234139"/>
      <w:bookmarkStart w:id="1985" w:name="_Toc518394258"/>
      <w:r w:rsidRPr="00BD6197">
        <w:rPr>
          <w:lang w:val="en-US"/>
        </w:rPr>
        <w:t>5.2.2</w:t>
      </w:r>
      <w:r w:rsidRPr="00BD6197">
        <w:rPr>
          <w:lang w:val="en-US"/>
        </w:rPr>
        <w:tab/>
        <w:t>Canada’s experience with licence fees</w:t>
      </w:r>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p>
    <w:p w:rsidR="008E2005" w:rsidRPr="00BD6197" w:rsidRDefault="008E2005" w:rsidP="008E2005">
      <w:pPr>
        <w:rPr>
          <w:szCs w:val="24"/>
          <w:lang w:val="en-US"/>
        </w:rPr>
      </w:pPr>
      <w:bookmarkStart w:id="1986" w:name="_Toc459746743"/>
      <w:bookmarkStart w:id="1987" w:name="_Toc459792665"/>
      <w:bookmarkStart w:id="1988" w:name="_Toc459793831"/>
      <w:bookmarkStart w:id="1989" w:name="_Toc459793973"/>
      <w:bookmarkStart w:id="1990" w:name="_Toc459970434"/>
      <w:bookmarkStart w:id="1991" w:name="_Toc497033213"/>
      <w:bookmarkStart w:id="1992" w:name="_Toc497034011"/>
      <w:r w:rsidRPr="00BD6197">
        <w:rPr>
          <w:szCs w:val="24"/>
          <w:lang w:val="en-US"/>
        </w:rPr>
        <w:t xml:space="preserve">Industry Canada’s policy objective in managing the spectrum, as reflected in the 2007 </w:t>
      </w:r>
      <w:r w:rsidRPr="00BD6197">
        <w:rPr>
          <w:i/>
          <w:szCs w:val="24"/>
          <w:lang w:val="en-US"/>
        </w:rPr>
        <w:t>Spectrum Policy Framework for Canada</w:t>
      </w:r>
      <w:r w:rsidRPr="00BD6197">
        <w:rPr>
          <w:szCs w:val="24"/>
          <w:lang w:val="en-US"/>
        </w:rPr>
        <w:t xml:space="preserve">, is to maximize the economic and social benefits that Canadians derive from the use of this resource. The Policy Framework also includes enabling guidelines that call for increased reliance on market forces, implementation of flexibility in spectrum management, and minimization of administrative burden. </w:t>
      </w:r>
    </w:p>
    <w:p w:rsidR="008E2005" w:rsidRPr="00BD6197" w:rsidRDefault="008E2005" w:rsidP="008E2005">
      <w:pPr>
        <w:rPr>
          <w:szCs w:val="24"/>
          <w:lang w:val="en-US"/>
        </w:rPr>
      </w:pPr>
      <w:r w:rsidRPr="00BD6197">
        <w:rPr>
          <w:szCs w:val="24"/>
          <w:lang w:val="en-US"/>
        </w:rPr>
        <w:t>In accordance with these enabling guidelines, the department has been moving in the direction of increased reliance on market forces as a means of carrying out its policy objective. This includes relying on technology and service neutral licences, auctions and fees that promote the efficient use of the spectrum resource and earn a fair return to Canadians for its use. For a number of years, Industry Canada has been issuing spectrum licences for new services that are technology neutral, tradable and have ten year terms.</w:t>
      </w:r>
    </w:p>
    <w:p w:rsidR="008E2005" w:rsidRPr="00BD6197" w:rsidRDefault="008E2005" w:rsidP="008E2005">
      <w:pPr>
        <w:rPr>
          <w:szCs w:val="24"/>
          <w:lang w:val="en-US"/>
        </w:rPr>
      </w:pPr>
      <w:r w:rsidRPr="00BD6197">
        <w:rPr>
          <w:szCs w:val="24"/>
          <w:lang w:val="en-US"/>
        </w:rPr>
        <w:lastRenderedPageBreak/>
        <w:t>Currently, Industry Canada is studying the development of a fee model based on spectrum consumption in three dimensions: bandwidth, geographic coverage, and exclusive use. Although this model has not been implemented, its methodology and recommendations remain under consideration for future licensing regime modifications.</w:t>
      </w:r>
    </w:p>
    <w:p w:rsidR="008E2005" w:rsidRPr="00BD6197" w:rsidRDefault="008E2005" w:rsidP="008E2005">
      <w:pPr>
        <w:pStyle w:val="Heading3"/>
        <w:rPr>
          <w:lang w:val="en-US"/>
        </w:rPr>
      </w:pPr>
      <w:bookmarkStart w:id="1993" w:name="_Toc289868863"/>
      <w:bookmarkStart w:id="1994" w:name="_Toc289869023"/>
      <w:bookmarkStart w:id="1995" w:name="_Toc289932331"/>
      <w:bookmarkStart w:id="1996" w:name="_Toc289933377"/>
      <w:bookmarkStart w:id="1997" w:name="_Toc291852940"/>
      <w:bookmarkStart w:id="1998" w:name="_Toc392515924"/>
      <w:bookmarkStart w:id="1999" w:name="_Toc462234140"/>
      <w:bookmarkStart w:id="2000" w:name="_Toc518394259"/>
      <w:r w:rsidRPr="00BD6197">
        <w:rPr>
          <w:lang w:val="en-US"/>
        </w:rPr>
        <w:t>5.2.3</w:t>
      </w:r>
      <w:r w:rsidRPr="00BD6197">
        <w:rPr>
          <w:lang w:val="en-US"/>
        </w:rPr>
        <w:tab/>
        <w:t>China’s experience with licence fees</w:t>
      </w:r>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p>
    <w:p w:rsidR="008E2005" w:rsidRPr="00BD6197" w:rsidRDefault="008E2005" w:rsidP="008E2005">
      <w:pPr>
        <w:rPr>
          <w:lang w:val="en-US" w:eastAsia="zh-CN"/>
        </w:rPr>
      </w:pPr>
      <w:bookmarkStart w:id="2001" w:name="_Toc459746747"/>
      <w:bookmarkStart w:id="2002" w:name="_Toc459792666"/>
      <w:bookmarkStart w:id="2003" w:name="_Toc459793832"/>
      <w:bookmarkStart w:id="2004" w:name="_Toc459793974"/>
      <w:bookmarkStart w:id="2005" w:name="_Toc459970435"/>
      <w:r w:rsidRPr="00BD6197">
        <w:rPr>
          <w:lang w:val="en-US"/>
        </w:rPr>
        <w:t>In 1989, the Radio Regulatory Department (the former Office of State Radio Regulatory Commission) of China began collecting licence fees, most of which were spent on spectrum management facilities. This spending has improved spectrum management and has contributed to the deployment of radio services. In 1998, the fee mechanism was adjusted to make fee collection formulas simpler, in order to avoid ambiguity and reduce the cost of fee collecting.</w:t>
      </w:r>
      <w:bookmarkStart w:id="2006" w:name="_Toc459746744"/>
      <w:r w:rsidRPr="00BD6197">
        <w:rPr>
          <w:lang w:val="en-US"/>
        </w:rPr>
        <w:t xml:space="preserve"> </w:t>
      </w:r>
      <w:r w:rsidRPr="00BD6197">
        <w:rPr>
          <w:lang w:val="en-US" w:eastAsia="zh-CN"/>
        </w:rPr>
        <w:t xml:space="preserve">In the period of </w:t>
      </w:r>
      <w:r w:rsidRPr="00BD6197">
        <w:rPr>
          <w:lang w:val="en-US"/>
        </w:rPr>
        <w:t>2009</w:t>
      </w:r>
      <w:r w:rsidRPr="00BD6197">
        <w:rPr>
          <w:lang w:val="en-US" w:eastAsia="zh-CN"/>
        </w:rPr>
        <w:t xml:space="preserve"> to </w:t>
      </w:r>
      <w:r w:rsidRPr="00BD6197">
        <w:rPr>
          <w:lang w:val="en-US"/>
        </w:rPr>
        <w:t>2012, the Radio Regulatory Department</w:t>
      </w:r>
      <w:r w:rsidRPr="00BD6197">
        <w:rPr>
          <w:lang w:val="en-US" w:eastAsia="zh-CN"/>
        </w:rPr>
        <w:t xml:space="preserve"> has published legislations continuously as follows:&lt;</w:t>
      </w:r>
      <w:r w:rsidRPr="00BD6197">
        <w:rPr>
          <w:lang w:val="en-US"/>
        </w:rPr>
        <w:t xml:space="preserve"> </w:t>
      </w:r>
      <w:r w:rsidRPr="00BD6197">
        <w:rPr>
          <w:lang w:val="en-US" w:eastAsia="zh-CN"/>
        </w:rPr>
        <w:t>Measures for the Administration of the Radio Frequency Occupation Fee &gt;,&lt;</w:t>
      </w:r>
      <w:r w:rsidRPr="00BD6197">
        <w:rPr>
          <w:lang w:val="en-US"/>
        </w:rPr>
        <w:t xml:space="preserve"> </w:t>
      </w:r>
      <w:r w:rsidRPr="00BD6197">
        <w:rPr>
          <w:lang w:val="en-US" w:eastAsia="zh-CN"/>
        </w:rPr>
        <w:t>Radio Frequency Allocation of the Peopleʼs Republic of China (2010) &gt;. The spectrum management policy and spectrum fees policy are continuously promoted to convergence well.</w:t>
      </w:r>
    </w:p>
    <w:p w:rsidR="008E2005" w:rsidRPr="00BD6197" w:rsidRDefault="008E2005" w:rsidP="008E2005">
      <w:pPr>
        <w:rPr>
          <w:lang w:val="en-US"/>
        </w:rPr>
      </w:pPr>
      <w:r w:rsidRPr="00BD6197">
        <w:rPr>
          <w:rFonts w:ascii="TimesNewRoman" w:hAnsi="TimesNewRoman" w:cs="TimesNewRoman"/>
          <w:szCs w:val="24"/>
          <w:lang w:val="en-US" w:eastAsia="zh-CN"/>
        </w:rPr>
        <w:t>Fee collecting in China is not only regarded as a source of revenue but also an effective means of increasing the efficiency of spectrum management.</w:t>
      </w:r>
      <w:r w:rsidRPr="00BD6197">
        <w:rPr>
          <w:lang w:val="en-US"/>
        </w:rPr>
        <w:t xml:space="preserve"> </w:t>
      </w:r>
      <w:r w:rsidRPr="00BD6197">
        <w:rPr>
          <w:rFonts w:ascii="TimesNewRoman" w:hAnsi="TimesNewRoman" w:cs="TimesNewRoman"/>
          <w:szCs w:val="24"/>
          <w:lang w:val="en-US" w:eastAsia="zh-CN"/>
        </w:rPr>
        <w:t>At present, Chinaʼs charging policy takes the mode of charge and expenditure management by different government departments. The following factors are taken into consideration when setting fee levels:</w:t>
      </w:r>
    </w:p>
    <w:p w:rsidR="008E2005" w:rsidRPr="00BD6197" w:rsidRDefault="008E2005" w:rsidP="008E2005">
      <w:pPr>
        <w:pStyle w:val="enumlev1"/>
        <w:rPr>
          <w:lang w:val="en-US"/>
        </w:rPr>
      </w:pPr>
      <w:r w:rsidRPr="00BD6197">
        <w:rPr>
          <w:lang w:val="en-US"/>
        </w:rPr>
        <w:t>–</w:t>
      </w:r>
      <w:r w:rsidRPr="00BD6197">
        <w:rPr>
          <w:lang w:val="en-US"/>
        </w:rPr>
        <w:tab/>
      </w:r>
      <w:r w:rsidRPr="00BD6197">
        <w:rPr>
          <w:i/>
          <w:iCs/>
          <w:lang w:val="en-US"/>
        </w:rPr>
        <w:t>Bandwidth used</w:t>
      </w:r>
      <w:bookmarkEnd w:id="2006"/>
      <w:r w:rsidRPr="00BD6197">
        <w:rPr>
          <w:lang w:val="en-US"/>
        </w:rPr>
        <w:t>: Setting the fee level according to the amount of spectrum a user receives encourages the applicant to apply for only the necessary amount of spectrum, thus reducing hoarding.</w:t>
      </w:r>
    </w:p>
    <w:p w:rsidR="008E2005" w:rsidRPr="00BD6197" w:rsidRDefault="008E2005" w:rsidP="008E2005">
      <w:pPr>
        <w:pStyle w:val="enumlev1"/>
        <w:rPr>
          <w:lang w:val="en-US"/>
        </w:rPr>
      </w:pPr>
      <w:bookmarkStart w:id="2007" w:name="_Toc459746745"/>
      <w:r w:rsidRPr="00BD6197">
        <w:rPr>
          <w:lang w:val="en-US"/>
        </w:rPr>
        <w:t>–</w:t>
      </w:r>
      <w:r w:rsidRPr="00BD6197">
        <w:rPr>
          <w:lang w:val="en-US"/>
        </w:rPr>
        <w:tab/>
      </w:r>
      <w:r w:rsidRPr="00BD6197">
        <w:rPr>
          <w:i/>
          <w:iCs/>
          <w:lang w:val="en-US"/>
        </w:rPr>
        <w:t>Coverage area</w:t>
      </w:r>
      <w:bookmarkEnd w:id="2007"/>
      <w:r w:rsidRPr="00BD6197">
        <w:rPr>
          <w:lang w:val="en-US"/>
        </w:rPr>
        <w:t>: The coverage area may be a city, a province or more than one province. For each type of coverage area, there is a different fee level.</w:t>
      </w:r>
    </w:p>
    <w:p w:rsidR="008E2005" w:rsidRPr="00BD6197" w:rsidRDefault="008E2005" w:rsidP="008E2005">
      <w:pPr>
        <w:pStyle w:val="enumlev1"/>
        <w:rPr>
          <w:lang w:val="en-US"/>
        </w:rPr>
      </w:pPr>
      <w:bookmarkStart w:id="2008" w:name="_Toc459746746"/>
      <w:r w:rsidRPr="00BD6197">
        <w:rPr>
          <w:lang w:val="en-US"/>
        </w:rPr>
        <w:t>–</w:t>
      </w:r>
      <w:r w:rsidRPr="00BD6197">
        <w:rPr>
          <w:lang w:val="en-US"/>
        </w:rPr>
        <w:tab/>
      </w:r>
      <w:r w:rsidRPr="00BD6197">
        <w:rPr>
          <w:i/>
          <w:iCs/>
          <w:lang w:val="en-US"/>
        </w:rPr>
        <w:t>Frequency</w:t>
      </w:r>
      <w:bookmarkEnd w:id="2008"/>
      <w:r w:rsidRPr="00BD6197">
        <w:rPr>
          <w:lang w:val="en-US"/>
        </w:rPr>
        <w:t xml:space="preserve">: For the same service, different fees are charged, depending on the frequency band. For example, the fee per MHz for a microwave station operating above 10 GHz is only half as much as for a station operating below 10 GHz. Thus, the fee structure encourages service operators to introduce new services in less congested parts of the spectrum. </w:t>
      </w:r>
    </w:p>
    <w:p w:rsidR="008E2005" w:rsidRPr="00BD6197" w:rsidRDefault="008E2005" w:rsidP="008E2005">
      <w:pPr>
        <w:widowControl w:val="0"/>
        <w:overflowPunct/>
        <w:textAlignment w:val="auto"/>
        <w:rPr>
          <w:rFonts w:ascii="TimesNewRoman" w:hAnsi="TimesNewRoman" w:cs="TimesNewRoman"/>
          <w:szCs w:val="24"/>
          <w:lang w:val="en-US" w:eastAsia="zh-CN"/>
        </w:rPr>
      </w:pPr>
      <w:r w:rsidRPr="00BD6197">
        <w:rPr>
          <w:rFonts w:ascii="TimesNewRoman" w:hAnsi="TimesNewRoman" w:cs="TimesNewRoman"/>
          <w:szCs w:val="24"/>
          <w:lang w:val="en-US" w:eastAsia="zh-CN"/>
        </w:rPr>
        <w:t>The following factors are taken into consideration when setting expenses levels:</w:t>
      </w:r>
    </w:p>
    <w:p w:rsidR="008E2005" w:rsidRPr="00BD6197" w:rsidRDefault="008E2005" w:rsidP="008E2005">
      <w:pPr>
        <w:pStyle w:val="enumlev1"/>
        <w:rPr>
          <w:lang w:val="en-US" w:eastAsia="zh-CN"/>
        </w:rPr>
      </w:pPr>
      <w:r w:rsidRPr="00BD6197">
        <w:rPr>
          <w:lang w:val="en-US" w:eastAsia="zh-CN"/>
        </w:rPr>
        <w:t>–</w:t>
      </w:r>
      <w:r w:rsidRPr="00BD6197">
        <w:rPr>
          <w:lang w:val="en-US" w:eastAsia="zh-CN"/>
        </w:rPr>
        <w:tab/>
      </w:r>
      <w:r w:rsidRPr="00BD6197">
        <w:rPr>
          <w:i/>
          <w:iCs/>
          <w:lang w:val="en-US" w:eastAsia="zh-CN"/>
        </w:rPr>
        <w:t>Base factor</w:t>
      </w:r>
      <w:r w:rsidRPr="00BD6197">
        <w:rPr>
          <w:lang w:val="en-US" w:eastAsia="zh-CN"/>
        </w:rPr>
        <w:t>:</w:t>
      </w:r>
      <w:r w:rsidRPr="00BD6197">
        <w:rPr>
          <w:lang w:val="en-US"/>
        </w:rPr>
        <w:t xml:space="preserve"> </w:t>
      </w:r>
      <w:r w:rsidRPr="00BD6197">
        <w:rPr>
          <w:lang w:val="en-US" w:eastAsia="zh-CN"/>
        </w:rPr>
        <w:t>Calculated in accordance with the value of houses and buildings, vehicles, specified equipments of radio management.</w:t>
      </w:r>
    </w:p>
    <w:p w:rsidR="008E2005" w:rsidRPr="00BD6197" w:rsidRDefault="008E2005" w:rsidP="008E2005">
      <w:pPr>
        <w:pStyle w:val="enumlev1"/>
        <w:rPr>
          <w:b/>
          <w:bCs/>
          <w:lang w:val="en-US" w:eastAsia="zh-CN"/>
        </w:rPr>
      </w:pPr>
      <w:r w:rsidRPr="00BD6197">
        <w:rPr>
          <w:lang w:val="en-US" w:eastAsia="zh-CN"/>
        </w:rPr>
        <w:t>–</w:t>
      </w:r>
      <w:r w:rsidRPr="00BD6197">
        <w:rPr>
          <w:lang w:val="en-US" w:eastAsia="zh-CN"/>
        </w:rPr>
        <w:tab/>
      </w:r>
      <w:r w:rsidRPr="00BD6197">
        <w:rPr>
          <w:i/>
          <w:iCs/>
          <w:lang w:val="en-US" w:eastAsia="zh-CN"/>
        </w:rPr>
        <w:t>Dynamic factor</w:t>
      </w:r>
      <w:r w:rsidRPr="00BD6197">
        <w:rPr>
          <w:lang w:val="en-US" w:eastAsia="zh-CN"/>
        </w:rPr>
        <w:t>:</w:t>
      </w:r>
      <w:r w:rsidRPr="00BD6197">
        <w:rPr>
          <w:lang w:val="en-US"/>
        </w:rPr>
        <w:t xml:space="preserve"> </w:t>
      </w:r>
      <w:r w:rsidRPr="00BD6197">
        <w:rPr>
          <w:lang w:val="en-US" w:eastAsia="zh-CN"/>
        </w:rPr>
        <w:t>Consideration by the number of management areas, radio stations, plan and investment of management facilities construction.</w:t>
      </w:r>
    </w:p>
    <w:p w:rsidR="008E2005" w:rsidRPr="00BD6197" w:rsidRDefault="008E2005" w:rsidP="008E2005">
      <w:pPr>
        <w:pStyle w:val="enumlev1"/>
        <w:rPr>
          <w:lang w:val="en-US"/>
        </w:rPr>
      </w:pPr>
      <w:r w:rsidRPr="00BD6197">
        <w:rPr>
          <w:lang w:val="en-US" w:eastAsia="zh-CN"/>
        </w:rPr>
        <w:t>–</w:t>
      </w:r>
      <w:r w:rsidRPr="00BD6197">
        <w:rPr>
          <w:lang w:val="en-US" w:eastAsia="zh-CN"/>
        </w:rPr>
        <w:tab/>
      </w:r>
      <w:r w:rsidRPr="00BD6197">
        <w:rPr>
          <w:i/>
          <w:iCs/>
          <w:lang w:val="en-US" w:eastAsia="zh-CN"/>
        </w:rPr>
        <w:t>Other factor</w:t>
      </w:r>
      <w:r w:rsidRPr="00BD6197">
        <w:rPr>
          <w:lang w:val="en-US" w:eastAsia="zh-CN"/>
        </w:rPr>
        <w:t>:</w:t>
      </w:r>
      <w:r w:rsidRPr="00BD6197">
        <w:rPr>
          <w:lang w:val="en-US"/>
        </w:rPr>
        <w:t xml:space="preserve"> </w:t>
      </w:r>
      <w:r w:rsidRPr="00BD6197">
        <w:rPr>
          <w:lang w:val="en-US" w:eastAsia="zh-CN"/>
        </w:rPr>
        <w:t>Consideration by others such as major events, radio technology and equipment research and development, communication support and other factors.</w:t>
      </w:r>
    </w:p>
    <w:p w:rsidR="008E2005" w:rsidRPr="00BD6197" w:rsidRDefault="008E2005" w:rsidP="008E2005">
      <w:pPr>
        <w:rPr>
          <w:lang w:val="en-US"/>
        </w:rPr>
      </w:pPr>
      <w:r w:rsidRPr="00BD6197">
        <w:rPr>
          <w:lang w:val="en-US"/>
        </w:rPr>
        <w:t>According to factors mentioned above, China’s license fees policies are implemented in two ways. The first one is that fees are collected according to the bandwidth of assigned spectrum. For example, mobile communication operators apply for many frequency spectrum</w:t>
      </w:r>
      <w:r w:rsidRPr="00BD6197">
        <w:rPr>
          <w:lang w:val="en-US" w:eastAsia="zh-CN"/>
        </w:rPr>
        <w:t>s</w:t>
      </w:r>
      <w:r w:rsidRPr="00BD6197">
        <w:rPr>
          <w:lang w:val="en-US"/>
        </w:rPr>
        <w:t xml:space="preserve"> to construct their networks. In order to encourage operators to make full use of spectrum and to provide more convenient service for the public, license fees of mobile communication networks are charged according to the </w:t>
      </w:r>
      <w:r w:rsidRPr="00BD6197">
        <w:rPr>
          <w:lang w:val="en-US" w:eastAsia="zh-CN"/>
        </w:rPr>
        <w:t xml:space="preserve">total </w:t>
      </w:r>
      <w:r w:rsidRPr="00BD6197">
        <w:rPr>
          <w:lang w:val="en-US"/>
        </w:rPr>
        <w:t>width</w:t>
      </w:r>
      <w:r w:rsidRPr="00BD6197">
        <w:rPr>
          <w:lang w:val="en-US" w:eastAsia="zh-CN"/>
        </w:rPr>
        <w:t xml:space="preserve"> of spectrums which allocated to the network</w:t>
      </w:r>
      <w:r w:rsidRPr="00BD6197">
        <w:rPr>
          <w:lang w:val="en-US"/>
        </w:rPr>
        <w:t xml:space="preserve">, but not levied for every station in the network. Meanwhile, as radio waves in different frequency bands have different characteristics, the license fee policy (price for spectrums) varies in different bands used by mobile communication. For example, compared with radio waves in 1 800 MHz band, those in 900 MHz band have better propagation characteristics and larger coverage. Therefore, the price of spectrum in 900 MHz band is higher than that of in 1 800 MHz band by 13.3%. The second way of license fee charging is that services operators pay for every station that has been assigned frequencies, such as earth station, microwave station. </w:t>
      </w:r>
    </w:p>
    <w:p w:rsidR="008E2005" w:rsidRPr="00BD6197" w:rsidRDefault="008E2005" w:rsidP="008E2005">
      <w:pPr>
        <w:rPr>
          <w:lang w:val="en-US"/>
        </w:rPr>
      </w:pPr>
      <w:r w:rsidRPr="00BD6197">
        <w:rPr>
          <w:lang w:val="en-US"/>
        </w:rPr>
        <w:lastRenderedPageBreak/>
        <w:t>In additional, there’re some favorable policies. For instance, stations meet with the followed situation can be exempt from license fees:</w:t>
      </w:r>
    </w:p>
    <w:p w:rsidR="008E2005" w:rsidRPr="00BD6197" w:rsidRDefault="008E2005" w:rsidP="008E2005">
      <w:pPr>
        <w:pStyle w:val="enumlev1"/>
        <w:rPr>
          <w:lang w:val="en-US"/>
        </w:rPr>
      </w:pPr>
      <w:r w:rsidRPr="00BD6197">
        <w:rPr>
          <w:lang w:val="en-US"/>
        </w:rPr>
        <w:t>1.</w:t>
      </w:r>
      <w:r w:rsidRPr="00BD6197">
        <w:rPr>
          <w:lang w:val="en-US"/>
        </w:rPr>
        <w:tab/>
        <w:t>Stations set up by government for official business.</w:t>
      </w:r>
    </w:p>
    <w:p w:rsidR="008E2005" w:rsidRPr="00BD6197" w:rsidRDefault="008E2005" w:rsidP="008E2005">
      <w:pPr>
        <w:pStyle w:val="enumlev1"/>
        <w:rPr>
          <w:lang w:val="en-US"/>
        </w:rPr>
      </w:pPr>
      <w:r w:rsidRPr="00BD6197">
        <w:rPr>
          <w:lang w:val="en-US"/>
        </w:rPr>
        <w:t>2.</w:t>
      </w:r>
      <w:r w:rsidRPr="00BD6197">
        <w:rPr>
          <w:lang w:val="en-US"/>
        </w:rPr>
        <w:tab/>
        <w:t>Special stations for national defense.</w:t>
      </w:r>
    </w:p>
    <w:p w:rsidR="008E2005" w:rsidRPr="00BD6197" w:rsidRDefault="008E2005" w:rsidP="008E2005">
      <w:pPr>
        <w:pStyle w:val="enumlev1"/>
        <w:rPr>
          <w:lang w:val="en-US"/>
        </w:rPr>
      </w:pPr>
      <w:r w:rsidRPr="00BD6197">
        <w:rPr>
          <w:lang w:val="en-US"/>
        </w:rPr>
        <w:t>3.</w:t>
      </w:r>
      <w:r w:rsidRPr="00BD6197">
        <w:rPr>
          <w:lang w:val="en-US"/>
        </w:rPr>
        <w:tab/>
        <w:t>Official business stations owned by police, security department, justice organs, penitentiary, fishery administration.</w:t>
      </w:r>
    </w:p>
    <w:p w:rsidR="008E2005" w:rsidRPr="00BD6197" w:rsidRDefault="008E2005" w:rsidP="008E2005">
      <w:pPr>
        <w:pStyle w:val="enumlev1"/>
        <w:rPr>
          <w:lang w:val="en-US"/>
        </w:rPr>
      </w:pPr>
      <w:r w:rsidRPr="00BD6197">
        <w:rPr>
          <w:lang w:val="en-US"/>
        </w:rPr>
        <w:t>4.</w:t>
      </w:r>
      <w:r w:rsidRPr="00BD6197">
        <w:rPr>
          <w:lang w:val="en-US"/>
        </w:rPr>
        <w:tab/>
        <w:t>Emergency rescue and disaster relief work stations, maritime distress stations on guard, safety information delivery stations, safety navigation stations.</w:t>
      </w:r>
    </w:p>
    <w:p w:rsidR="008E2005" w:rsidRPr="00BD6197" w:rsidRDefault="008E2005" w:rsidP="008E2005">
      <w:pPr>
        <w:pStyle w:val="enumlev1"/>
        <w:rPr>
          <w:lang w:val="en-US"/>
        </w:rPr>
      </w:pPr>
      <w:r w:rsidRPr="00BD6197">
        <w:rPr>
          <w:lang w:val="en-US"/>
        </w:rPr>
        <w:t>5.</w:t>
      </w:r>
      <w:r w:rsidRPr="00BD6197">
        <w:rPr>
          <w:lang w:val="en-US"/>
        </w:rPr>
        <w:tab/>
        <w:t>Experimental stations installed by broadcasting authorities, stations for foreign radio and TV broadcasting.</w:t>
      </w:r>
    </w:p>
    <w:p w:rsidR="008E2005" w:rsidRPr="00BD6197" w:rsidRDefault="008E2005" w:rsidP="008E2005">
      <w:pPr>
        <w:pStyle w:val="enumlev1"/>
        <w:rPr>
          <w:lang w:val="en-US"/>
        </w:rPr>
      </w:pPr>
      <w:r w:rsidRPr="00BD6197">
        <w:rPr>
          <w:lang w:val="en-US"/>
        </w:rPr>
        <w:t>6.</w:t>
      </w:r>
      <w:r w:rsidRPr="00BD6197">
        <w:rPr>
          <w:lang w:val="en-US"/>
        </w:rPr>
        <w:tab/>
        <w:t>Amateur station.</w:t>
      </w:r>
    </w:p>
    <w:p w:rsidR="008E2005" w:rsidRPr="00BD6197" w:rsidRDefault="008E2005" w:rsidP="008E2005">
      <w:pPr>
        <w:pStyle w:val="enumlev1"/>
        <w:rPr>
          <w:lang w:val="en-US"/>
        </w:rPr>
      </w:pPr>
      <w:r w:rsidRPr="00BD6197">
        <w:rPr>
          <w:lang w:val="en-US"/>
        </w:rPr>
        <w:t>7.</w:t>
      </w:r>
      <w:r w:rsidRPr="00BD6197">
        <w:rPr>
          <w:lang w:val="en-US"/>
        </w:rPr>
        <w:tab/>
        <w:t>TV transposing stations set up by the peasant through funding.</w:t>
      </w:r>
    </w:p>
    <w:p w:rsidR="008E2005" w:rsidRPr="00BD6197" w:rsidRDefault="008E2005" w:rsidP="008E2005">
      <w:pPr>
        <w:rPr>
          <w:lang w:val="en-US" w:eastAsia="zh-CN"/>
        </w:rPr>
      </w:pPr>
      <w:r w:rsidRPr="00BD6197">
        <w:rPr>
          <w:lang w:val="en-US"/>
        </w:rPr>
        <w:t xml:space="preserve">The policy of license fee exemption mentioned above was carried out within the first license fee collection rule in 1998. In 2006, another favorable policy about license fees was made which primarily prompts communication and broadcast services for farmers in rural area. In a lot of rural area, economy develops correspondingly slow. In order to provide universal communication and broadcast services, the government launched a special project to set up communication and broadcast establishments in rural area, which facilitates farmers in every village of China to communicate with others and receive radio and TV broadcasting programs. To support this project, the government brings out a favorable policy which reduces or exempts the license fee of stations. In this favorable policy, the operator of any station of analog wireless access system, MMDS and SCDMA could pay the license fee at half price of normal, and the license fee of earth station, radio and TV transposing station are totally exempted. The objective of above favorable policy is to ensure people in countryside to get necessary and guaranteed radio services with low cost. </w:t>
      </w:r>
    </w:p>
    <w:p w:rsidR="008E2005" w:rsidRPr="00BD6197" w:rsidRDefault="008E2005" w:rsidP="008E2005">
      <w:pPr>
        <w:pStyle w:val="Heading3"/>
        <w:rPr>
          <w:lang w:val="en-US"/>
        </w:rPr>
      </w:pPr>
      <w:bookmarkStart w:id="2009" w:name="_Toc497033214"/>
      <w:bookmarkStart w:id="2010" w:name="_Toc497034012"/>
      <w:bookmarkStart w:id="2011" w:name="_Toc289868864"/>
      <w:bookmarkStart w:id="2012" w:name="_Toc289869024"/>
      <w:bookmarkStart w:id="2013" w:name="_Toc289932332"/>
      <w:bookmarkStart w:id="2014" w:name="_Toc289933378"/>
      <w:bookmarkStart w:id="2015" w:name="_Toc291852941"/>
      <w:bookmarkStart w:id="2016" w:name="_Toc392515925"/>
      <w:bookmarkStart w:id="2017" w:name="_Toc462234141"/>
      <w:bookmarkStart w:id="2018" w:name="_Toc518394260"/>
      <w:r w:rsidRPr="00BD6197">
        <w:rPr>
          <w:lang w:val="en-US"/>
        </w:rPr>
        <w:t>5.2.4</w:t>
      </w:r>
      <w:r w:rsidRPr="00BD6197">
        <w:rPr>
          <w:lang w:val="en-US"/>
        </w:rPr>
        <w:tab/>
        <w:t>Germany’s experience with spectrum usage fees</w:t>
      </w:r>
      <w:bookmarkEnd w:id="2001"/>
      <w:bookmarkEnd w:id="2002"/>
      <w:bookmarkEnd w:id="2003"/>
      <w:bookmarkEnd w:id="2004"/>
      <w:bookmarkEnd w:id="2005"/>
      <w:bookmarkEnd w:id="2009"/>
      <w:bookmarkEnd w:id="2010"/>
      <w:bookmarkEnd w:id="2011"/>
      <w:bookmarkEnd w:id="2012"/>
      <w:bookmarkEnd w:id="2013"/>
      <w:bookmarkEnd w:id="2014"/>
      <w:bookmarkEnd w:id="2015"/>
      <w:bookmarkEnd w:id="2016"/>
      <w:bookmarkEnd w:id="2017"/>
      <w:bookmarkEnd w:id="2018"/>
    </w:p>
    <w:p w:rsidR="008E2005" w:rsidRPr="00BD6197" w:rsidRDefault="008E2005" w:rsidP="008E2005">
      <w:pPr>
        <w:rPr>
          <w:lang w:val="en-US"/>
        </w:rPr>
      </w:pPr>
      <w:bookmarkStart w:id="2019" w:name="_Toc459746762"/>
      <w:bookmarkStart w:id="2020" w:name="_Toc459792672"/>
      <w:bookmarkStart w:id="2021" w:name="_Toc459793836"/>
      <w:bookmarkStart w:id="2022" w:name="_Toc459793978"/>
      <w:bookmarkStart w:id="2023" w:name="_Toc459970436"/>
      <w:r w:rsidRPr="00BD6197">
        <w:rPr>
          <w:lang w:val="en-US"/>
        </w:rPr>
        <w:t>The telecommunications sector in Germany is subject to the Telecommunications Act of 22 June 2004. The purpose of the Act is, through technology-neutral regulation, to promote competition and efficient infrastructures in telecommunications and to guarantee appropriate and adequate services throughout the Federal Republic of Germany.</w:t>
      </w:r>
    </w:p>
    <w:p w:rsidR="008E2005" w:rsidRPr="00BD6197" w:rsidRDefault="008E2005" w:rsidP="008E2005">
      <w:pPr>
        <w:rPr>
          <w:lang w:val="en-US"/>
        </w:rPr>
      </w:pPr>
      <w:r w:rsidRPr="00BD6197">
        <w:rPr>
          <w:lang w:val="en-US"/>
        </w:rPr>
        <w:t>The Federal Network Agency for Electricity, Gas, Telecommunications, Post and Railway is a separate higher federal authority within the scope of business of the German Federal Ministry of Economics and Technology, and has its headquarters in Bonn. On 13 July 2005 the Regulatory Authority for Telecommunications and Posts which superseded the Federal Ministry of Posts and Telecommunications (BMPT) and the Federal Office for Posts and Telecommunications (BAPT), was renamed Federal Network Agency. The Federal Network Agency's task is to provide, by liberalization and deregulation, for the further development of the electricity, gas, telecommunications and postal markets and, as from 1 January 2006, also of the railway infrastructure market.</w:t>
      </w:r>
    </w:p>
    <w:p w:rsidR="008E2005" w:rsidRPr="00BD6197" w:rsidRDefault="008E2005" w:rsidP="008E2005">
      <w:pPr>
        <w:rPr>
          <w:lang w:val="en-US"/>
        </w:rPr>
      </w:pPr>
      <w:r w:rsidRPr="00BD6197">
        <w:rPr>
          <w:lang w:val="en-US"/>
        </w:rPr>
        <w:t>Frequency regulation is based on a national table of frequency band allocations, frequency usage plans and frequency assignment procedures.</w:t>
      </w:r>
    </w:p>
    <w:p w:rsidR="008E2005" w:rsidRPr="00BD6197" w:rsidRDefault="008E2005" w:rsidP="008E2005">
      <w:pPr>
        <w:rPr>
          <w:lang w:val="en-US"/>
        </w:rPr>
      </w:pPr>
      <w:r w:rsidRPr="00BD6197">
        <w:rPr>
          <w:lang w:val="en-US"/>
        </w:rPr>
        <w:t>Frequency assignment fees and frequency usage contribution charges are regulated by the Telecommunications Act and ordinances having the force of law.</w:t>
      </w:r>
    </w:p>
    <w:p w:rsidR="008E2005" w:rsidRPr="00BD6197" w:rsidRDefault="008E2005" w:rsidP="008E2005">
      <w:pPr>
        <w:pStyle w:val="Heading4"/>
        <w:rPr>
          <w:lang w:val="en-US"/>
        </w:rPr>
      </w:pPr>
      <w:bookmarkStart w:id="2024" w:name="_Toc459746751"/>
      <w:bookmarkStart w:id="2025" w:name="_Toc459792667"/>
      <w:bookmarkStart w:id="2026" w:name="_Toc459793833"/>
      <w:bookmarkStart w:id="2027" w:name="_Toc459793975"/>
      <w:bookmarkStart w:id="2028" w:name="_Toc497033215"/>
      <w:bookmarkStart w:id="2029" w:name="_Toc497034013"/>
      <w:r w:rsidRPr="00BD6197">
        <w:rPr>
          <w:lang w:val="en-US"/>
        </w:rPr>
        <w:lastRenderedPageBreak/>
        <w:t>5.2.4.1</w:t>
      </w:r>
      <w:r w:rsidRPr="00BD6197">
        <w:rPr>
          <w:lang w:val="en-US"/>
        </w:rPr>
        <w:tab/>
        <w:t>Frequency assignment and frequency assignment fees</w:t>
      </w:r>
    </w:p>
    <w:p w:rsidR="008E2005" w:rsidRPr="00BD6197" w:rsidRDefault="008E2005" w:rsidP="008E2005">
      <w:pPr>
        <w:rPr>
          <w:lang w:val="en-US"/>
        </w:rPr>
      </w:pPr>
      <w:r w:rsidRPr="00BD6197">
        <w:rPr>
          <w:lang w:val="en-US"/>
        </w:rPr>
        <w:t>Each frequency usage requires prior assignment by the Federal Network Agency. Frequencies are assigned for a particular purpose in accordance with the frequency usage plan in a non</w:t>
      </w:r>
      <w:r w:rsidRPr="00BD6197">
        <w:rPr>
          <w:lang w:val="en-US"/>
        </w:rPr>
        <w:noBreakHyphen/>
        <w:t xml:space="preserve">discriminatory manner on the basis of transparent and objective procedures. </w:t>
      </w:r>
    </w:p>
    <w:p w:rsidR="008E2005" w:rsidRPr="00BD6197" w:rsidRDefault="008E2005" w:rsidP="008E2005">
      <w:pPr>
        <w:rPr>
          <w:lang w:val="en-US"/>
        </w:rPr>
      </w:pPr>
      <w:r w:rsidRPr="00BD6197">
        <w:rPr>
          <w:lang w:val="en-US"/>
        </w:rPr>
        <w:t>Frequencies are typically assigned ex officio by the Federal Network Agency as general assignments for the use of particular frequencies by the general public or a group of persons defined or capable of being defined by general characteristics. Where general assignment is not possible, frequencies for particular usages are assigned by the Regulatory Authority upon written application, as individual assignments.</w:t>
      </w:r>
    </w:p>
    <w:p w:rsidR="008E2005" w:rsidRPr="00BD6197" w:rsidRDefault="008E2005" w:rsidP="008E2005">
      <w:pPr>
        <w:rPr>
          <w:lang w:val="en-US"/>
        </w:rPr>
      </w:pPr>
      <w:r w:rsidRPr="00BD6197">
        <w:rPr>
          <w:lang w:val="en-US"/>
        </w:rPr>
        <w:t>The Federal Network Agency</w:t>
      </w:r>
      <w:r w:rsidRPr="00BD6197" w:rsidDel="00C87164">
        <w:rPr>
          <w:lang w:val="en-US"/>
        </w:rPr>
        <w:t xml:space="preserve"> </w:t>
      </w:r>
      <w:r w:rsidRPr="00BD6197">
        <w:rPr>
          <w:lang w:val="en-US"/>
        </w:rPr>
        <w:t xml:space="preserve">shall charge fees for the decisions on the grant of rights of use for frequencies. The fee scales are to be calculated in such a way as to recover the costs incurred by the official acts. In addition the fees payable for decisions on the grant of rights of use for frequencies may be determined in such a way that they serve as a steering mechanism to secure optimal and efficient use. </w:t>
      </w:r>
    </w:p>
    <w:p w:rsidR="008E2005" w:rsidRPr="00BD6197" w:rsidRDefault="008E2005" w:rsidP="008E2005">
      <w:pPr>
        <w:pStyle w:val="Heading4"/>
        <w:rPr>
          <w:rFonts w:ascii="Arial" w:hAnsi="Arial" w:cs="Arial"/>
          <w:sz w:val="20"/>
          <w:lang w:val="en-US"/>
        </w:rPr>
      </w:pPr>
      <w:r w:rsidRPr="00BD6197">
        <w:rPr>
          <w:lang w:val="en-US"/>
        </w:rPr>
        <w:t>5.2.4.2</w:t>
      </w:r>
      <w:r w:rsidRPr="00BD6197">
        <w:rPr>
          <w:lang w:val="en-US"/>
        </w:rPr>
        <w:tab/>
        <w:t>Frequency usage contribution charges</w:t>
      </w:r>
    </w:p>
    <w:p w:rsidR="008E2005" w:rsidRPr="00BD6197" w:rsidRDefault="008E2005" w:rsidP="008E2005">
      <w:pPr>
        <w:rPr>
          <w:lang w:val="en-US"/>
        </w:rPr>
      </w:pPr>
      <w:r w:rsidRPr="00BD6197">
        <w:rPr>
          <w:lang w:val="en-US"/>
        </w:rPr>
        <w:t>The Federal Network Agency shall levy annual contribution charges to recover costs it incurs for the management, control and enforcement of general assignments and rights of use for spectrum usage. This includes, in particular, costs incurred by the Federal Network Agency for the following activities:</w:t>
      </w:r>
    </w:p>
    <w:p w:rsidR="008E2005" w:rsidRPr="00BD6197" w:rsidRDefault="008E2005" w:rsidP="008E2005">
      <w:pPr>
        <w:pStyle w:val="enumlev1"/>
        <w:rPr>
          <w:lang w:val="en-US"/>
        </w:rPr>
      </w:pPr>
      <w:r w:rsidRPr="00BD6197">
        <w:rPr>
          <w:lang w:val="en-US"/>
        </w:rPr>
        <w:t>1.</w:t>
      </w:r>
      <w:r w:rsidRPr="00BD6197">
        <w:rPr>
          <w:lang w:val="en-US"/>
        </w:rPr>
        <w:tab/>
        <w:t>the planning and further development of frequency usages, including the necessary measurements, tests and compatibility studies to secure efficient and interference-free use of frequencies;</w:t>
      </w:r>
    </w:p>
    <w:p w:rsidR="008E2005" w:rsidRPr="00BD6197" w:rsidRDefault="008E2005" w:rsidP="008E2005">
      <w:pPr>
        <w:pStyle w:val="enumlev1"/>
        <w:rPr>
          <w:lang w:val="en-US"/>
        </w:rPr>
      </w:pPr>
      <w:r w:rsidRPr="00BD6197">
        <w:rPr>
          <w:lang w:val="en-US"/>
        </w:rPr>
        <w:t>2.</w:t>
      </w:r>
      <w:r w:rsidRPr="00BD6197">
        <w:rPr>
          <w:lang w:val="en-US"/>
        </w:rPr>
        <w:tab/>
        <w:t>international cooperation, harmonization and standardization.</w:t>
      </w:r>
    </w:p>
    <w:p w:rsidR="008E2005" w:rsidRPr="00BD6197" w:rsidRDefault="008E2005" w:rsidP="008E2005">
      <w:pPr>
        <w:rPr>
          <w:lang w:val="en-US"/>
        </w:rPr>
      </w:pPr>
      <w:r w:rsidRPr="00BD6197">
        <w:rPr>
          <w:lang w:val="en-US"/>
        </w:rPr>
        <w:t xml:space="preserve">Liable to make contributions are all those who have been assigned frequencies. The share of the costs shall be allocated to the separate user groups produced by frequency allocation, as far as possible on an expenditure-related basis. Within these groups, the costs shall be split in accordance with the use of frequencies. </w:t>
      </w:r>
    </w:p>
    <w:p w:rsidR="008E2005" w:rsidRPr="00BD6197" w:rsidRDefault="008E2005" w:rsidP="008E2005">
      <w:pPr>
        <w:pStyle w:val="Heading4"/>
        <w:rPr>
          <w:lang w:val="en-US"/>
        </w:rPr>
      </w:pPr>
      <w:r w:rsidRPr="00BD6197">
        <w:rPr>
          <w:lang w:val="en-US"/>
        </w:rPr>
        <w:t>5.2.4.3</w:t>
      </w:r>
      <w:r w:rsidRPr="00BD6197">
        <w:rPr>
          <w:lang w:val="en-US"/>
        </w:rPr>
        <w:tab/>
        <w:t>Current procedure for calculation of frequency assignment fees and frequency usage contribution charges</w:t>
      </w:r>
    </w:p>
    <w:p w:rsidR="008E2005" w:rsidRPr="00BD6197" w:rsidRDefault="008E2005" w:rsidP="008E2005">
      <w:pPr>
        <w:rPr>
          <w:lang w:val="en-US"/>
        </w:rPr>
      </w:pPr>
      <w:r w:rsidRPr="00BD6197">
        <w:rPr>
          <w:lang w:val="en-US"/>
        </w:rPr>
        <w:t>In 1994 the former Reg TP introduced a performance and accounting system (known by the acronym KLR) with the intention of establishing a recording system and a controlling instrument for the calculation of frequency assignment fees and contribution-related costs (staff costs and other expenditure). The idea – based on the new German telecommunication legislation – was to develop a tool which offers the possibility to carry out real calculations instead of estimations in terms of fees and contributions. With the introduction of the KLR a step was made towards the development of performance and cost transparency within the Federal Network Agency. The definition of cost units (e.g. user groups) as the smallest unit in the performance structure of the Federal Network Agency is the basic element of the whole KLR concept. A module called “expense record” was developed which allows the direct assignment of upcoming costs with regard to the most important categories of staff costs, costs for measurement equipment as well as costs for cars for individual transport and for vans of the monitoring service. The expense record is carried out by using an electronic aided worksheet which has to be filled in by the employees who worked in the relevant performance range. The expense record contains on a daily basis precisely (accuracy-limit of time is equal to half an hour) the duration of the period needed for the accomplishment of the specified tasks in the framework of a monthly evaluation.</w:t>
      </w:r>
    </w:p>
    <w:p w:rsidR="008E2005" w:rsidRPr="00BD6197" w:rsidRDefault="008E2005" w:rsidP="008E2005">
      <w:pPr>
        <w:pStyle w:val="Heading4"/>
        <w:rPr>
          <w:lang w:val="en-US"/>
        </w:rPr>
      </w:pPr>
      <w:r w:rsidRPr="00BD6197">
        <w:rPr>
          <w:lang w:val="en-US"/>
        </w:rPr>
        <w:lastRenderedPageBreak/>
        <w:t>5.2.4.4</w:t>
      </w:r>
      <w:r w:rsidRPr="00BD6197">
        <w:rPr>
          <w:lang w:val="en-US"/>
        </w:rPr>
        <w:tab/>
        <w:t>Calculation of frequency assignment fees</w:t>
      </w:r>
    </w:p>
    <w:p w:rsidR="008E2005" w:rsidRPr="00BD6197" w:rsidRDefault="008E2005" w:rsidP="008E2005">
      <w:pPr>
        <w:rPr>
          <w:lang w:val="en-US"/>
        </w:rPr>
      </w:pPr>
      <w:r w:rsidRPr="00BD6197">
        <w:rPr>
          <w:lang w:val="en-US"/>
        </w:rPr>
        <w:t>Frequency assignment fees are calculated on the basis of firstly the costs according to the cost accounting data and secondly statistical data (e.g. number of new frequency assignment applications, changes in frequency assignments, frequency assignment waivers). Under the cost accounting method, all fee-related costs (staff costs and other expenditure) are recorded and allocated according to service and user group on a daily basis.</w:t>
      </w:r>
    </w:p>
    <w:p w:rsidR="008E2005" w:rsidRPr="00BD6197" w:rsidRDefault="008E2005" w:rsidP="008E2005">
      <w:pPr>
        <w:rPr>
          <w:lang w:val="en-US"/>
        </w:rPr>
      </w:pPr>
      <w:r w:rsidRPr="00BD6197">
        <w:rPr>
          <w:lang w:val="en-US"/>
        </w:rPr>
        <w:t>A number of spectrum management functions carried out by the Federal Network Agency</w:t>
      </w:r>
      <w:r w:rsidRPr="00BD6197" w:rsidDel="00C87164">
        <w:rPr>
          <w:lang w:val="en-US"/>
        </w:rPr>
        <w:t xml:space="preserve"> </w:t>
      </w:r>
      <w:r w:rsidRPr="00BD6197">
        <w:rPr>
          <w:lang w:val="en-US"/>
        </w:rPr>
        <w:t>do not lead to an income. For this reason the cost coverage cannot be 100%. However, the record and the evaluation of the free-cost spectrum management functions (specified in the Ordinance of frequency usage contributions) and for other authorities (e.g. Ministry of Defence) provides the necessary transparency of the fee and the reasons for not being able to achieve full cost recovery.</w:t>
      </w:r>
    </w:p>
    <w:p w:rsidR="008E2005" w:rsidRPr="00BD6197" w:rsidRDefault="008E2005" w:rsidP="008E2005">
      <w:pPr>
        <w:pStyle w:val="Heading4"/>
        <w:rPr>
          <w:lang w:val="en-US"/>
        </w:rPr>
      </w:pPr>
      <w:r w:rsidRPr="00BD6197">
        <w:rPr>
          <w:lang w:val="en-US"/>
        </w:rPr>
        <w:t>5.2.4.5</w:t>
      </w:r>
      <w:r w:rsidRPr="00BD6197">
        <w:rPr>
          <w:lang w:val="en-US"/>
        </w:rPr>
        <w:tab/>
        <w:t>Calculation of frequency usage contribution charges</w:t>
      </w:r>
    </w:p>
    <w:p w:rsidR="008E2005" w:rsidRPr="00BD6197" w:rsidRDefault="008E2005" w:rsidP="008E2005">
      <w:pPr>
        <w:rPr>
          <w:lang w:val="en-US"/>
        </w:rPr>
      </w:pPr>
      <w:r w:rsidRPr="00BD6197">
        <w:rPr>
          <w:lang w:val="en-US"/>
        </w:rPr>
        <w:t>Frequency usage contributions are also calculated on the basis of all the contribution-related costs according to the cost accounting data. As with the fee-related costs, the contribution-related costs (staff costs and other expenditure) are recorded and allocated according to service and user group on a daily basis. The contribution per user group is calculated taking account of the number of frequencies assigned to each user group. The principle of solidarity applies within each user group, i.e. all user groups under the same service group pay, although one individual user group may have a financial advantage.</w:t>
      </w:r>
    </w:p>
    <w:p w:rsidR="008E2005" w:rsidRPr="00BD6197" w:rsidRDefault="008E2005" w:rsidP="008E2005">
      <w:pPr>
        <w:rPr>
          <w:rFonts w:ascii="TimesNewRoman,Bold" w:hAnsi="TimesNewRoman,Bold" w:cs="TimesNewRoman,Bold"/>
          <w:sz w:val="20"/>
          <w:lang w:val="en-US"/>
        </w:rPr>
      </w:pPr>
      <w:r w:rsidRPr="00BD6197">
        <w:rPr>
          <w:lang w:val="en-US"/>
        </w:rPr>
        <w:t>The annual contribution must be recalculated annually on a cost-recovery basis in relation to each user group. The underlying principle in the calculation of frequency assignment fees and frequency usage contributions is that the fees and contributions must cover the staff costs and other expenditure associated with the activity in question. However, the cost-accounting method applied in Germany forms the basis for calculation.</w:t>
      </w:r>
    </w:p>
    <w:p w:rsidR="008E2005" w:rsidRPr="00BD6197" w:rsidRDefault="008E2005" w:rsidP="008E2005">
      <w:pPr>
        <w:pStyle w:val="Heading3"/>
        <w:rPr>
          <w:lang w:val="en-US"/>
        </w:rPr>
      </w:pPr>
      <w:bookmarkStart w:id="2030" w:name="_Toc497033218"/>
      <w:bookmarkStart w:id="2031" w:name="_Toc497034016"/>
      <w:bookmarkStart w:id="2032" w:name="_Toc289868865"/>
      <w:bookmarkStart w:id="2033" w:name="_Toc289869025"/>
      <w:bookmarkStart w:id="2034" w:name="_Toc289932333"/>
      <w:bookmarkStart w:id="2035" w:name="_Toc289933379"/>
      <w:bookmarkStart w:id="2036" w:name="_Toc291852942"/>
      <w:bookmarkStart w:id="2037" w:name="_Toc392515926"/>
      <w:bookmarkStart w:id="2038" w:name="_Toc462234142"/>
      <w:bookmarkStart w:id="2039" w:name="_Toc518394261"/>
      <w:bookmarkEnd w:id="2024"/>
      <w:bookmarkEnd w:id="2025"/>
      <w:bookmarkEnd w:id="2026"/>
      <w:bookmarkEnd w:id="2027"/>
      <w:bookmarkEnd w:id="2028"/>
      <w:bookmarkEnd w:id="2029"/>
      <w:r w:rsidRPr="00BD6197">
        <w:rPr>
          <w:lang w:val="en-US"/>
        </w:rPr>
        <w:t>5.2.5</w:t>
      </w:r>
      <w:r w:rsidRPr="00BD6197">
        <w:rPr>
          <w:lang w:val="en-US"/>
        </w:rPr>
        <w:tab/>
        <w:t>Israel’s experience with licence fees</w:t>
      </w:r>
      <w:bookmarkEnd w:id="2019"/>
      <w:bookmarkEnd w:id="2020"/>
      <w:bookmarkEnd w:id="2021"/>
      <w:bookmarkEnd w:id="2022"/>
      <w:bookmarkEnd w:id="2023"/>
      <w:bookmarkEnd w:id="2030"/>
      <w:bookmarkEnd w:id="2031"/>
      <w:bookmarkEnd w:id="2032"/>
      <w:bookmarkEnd w:id="2033"/>
      <w:bookmarkEnd w:id="2034"/>
      <w:bookmarkEnd w:id="2035"/>
      <w:bookmarkEnd w:id="2036"/>
      <w:bookmarkEnd w:id="2037"/>
      <w:bookmarkEnd w:id="2038"/>
      <w:bookmarkEnd w:id="2039"/>
    </w:p>
    <w:p w:rsidR="008E2005" w:rsidRPr="00BD6197" w:rsidRDefault="008E2005" w:rsidP="008E2005">
      <w:pPr>
        <w:rPr>
          <w:lang w:val="en-US"/>
        </w:rPr>
      </w:pPr>
      <w:r w:rsidRPr="00BD6197">
        <w:rPr>
          <w:lang w:val="en-US"/>
        </w:rPr>
        <w:t>The Ministry of Communications of the State of Israel has established a few licence mechanisms:</w:t>
      </w:r>
    </w:p>
    <w:p w:rsidR="008E2005" w:rsidRPr="00BD6197" w:rsidRDefault="008E2005" w:rsidP="008E2005">
      <w:pPr>
        <w:pStyle w:val="enumlev1"/>
        <w:rPr>
          <w:lang w:val="en-US"/>
        </w:rPr>
      </w:pPr>
      <w:r w:rsidRPr="00BD6197">
        <w:rPr>
          <w:lang w:val="en-US"/>
        </w:rPr>
        <w:t>–</w:t>
      </w:r>
      <w:r w:rsidRPr="00BD6197">
        <w:rPr>
          <w:lang w:val="en-US"/>
        </w:rPr>
        <w:tab/>
        <w:t>one time payment for submittal of application for telecommunication service providing;</w:t>
      </w:r>
    </w:p>
    <w:p w:rsidR="008E2005" w:rsidRPr="00BD6197" w:rsidRDefault="008E2005" w:rsidP="008E2005">
      <w:pPr>
        <w:pStyle w:val="enumlev1"/>
        <w:rPr>
          <w:lang w:val="en-US"/>
        </w:rPr>
      </w:pPr>
      <w:r w:rsidRPr="00BD6197">
        <w:rPr>
          <w:lang w:val="en-US"/>
        </w:rPr>
        <w:t>–</w:t>
      </w:r>
      <w:r w:rsidRPr="00BD6197">
        <w:rPr>
          <w:lang w:val="en-US"/>
        </w:rPr>
        <w:tab/>
        <w:t>annual fee for usage of the frequency spectrum;</w:t>
      </w:r>
    </w:p>
    <w:p w:rsidR="008E2005" w:rsidRPr="00BD6197" w:rsidRDefault="008E2005" w:rsidP="008E2005">
      <w:pPr>
        <w:pStyle w:val="enumlev1"/>
        <w:rPr>
          <w:lang w:val="en-US"/>
        </w:rPr>
      </w:pPr>
      <w:r w:rsidRPr="00BD6197">
        <w:rPr>
          <w:lang w:val="en-US"/>
        </w:rPr>
        <w:t>–</w:t>
      </w:r>
      <w:r w:rsidRPr="00BD6197">
        <w:rPr>
          <w:lang w:val="en-US"/>
        </w:rPr>
        <w:tab/>
        <w:t>annual royalties, which are a percentage of the income, for telecommunications service provider;</w:t>
      </w:r>
    </w:p>
    <w:p w:rsidR="008E2005" w:rsidRPr="00BD6197" w:rsidRDefault="008E2005" w:rsidP="008E2005">
      <w:pPr>
        <w:pStyle w:val="enumlev1"/>
        <w:rPr>
          <w:lang w:val="en-US"/>
        </w:rPr>
      </w:pPr>
      <w:r w:rsidRPr="00BD6197">
        <w:rPr>
          <w:lang w:val="en-US"/>
        </w:rPr>
        <w:t>–</w:t>
      </w:r>
      <w:r w:rsidRPr="00BD6197">
        <w:rPr>
          <w:lang w:val="en-US"/>
        </w:rPr>
        <w:tab/>
        <w:t>one time payment, paid by a winner of an auction.</w:t>
      </w:r>
    </w:p>
    <w:p w:rsidR="008E2005" w:rsidRPr="00A01420" w:rsidRDefault="008E2005" w:rsidP="008E2005">
      <w:pPr>
        <w:pStyle w:val="Headingb"/>
        <w:rPr>
          <w:lang w:val="en-US"/>
        </w:rPr>
      </w:pPr>
      <w:bookmarkStart w:id="2040" w:name="_Toc289868866"/>
      <w:bookmarkStart w:id="2041" w:name="_Toc289869026"/>
      <w:bookmarkStart w:id="2042" w:name="_Toc454284974"/>
      <w:bookmarkStart w:id="2043" w:name="_Toc462234143"/>
      <w:r w:rsidRPr="00A01420">
        <w:rPr>
          <w:lang w:val="en-US"/>
        </w:rPr>
        <w:t>Annual spectrum fees</w:t>
      </w:r>
      <w:bookmarkEnd w:id="2040"/>
      <w:bookmarkEnd w:id="2041"/>
      <w:bookmarkEnd w:id="2042"/>
      <w:bookmarkEnd w:id="2043"/>
    </w:p>
    <w:p w:rsidR="008E2005" w:rsidRPr="00BD6197" w:rsidRDefault="008E2005" w:rsidP="008E2005">
      <w:pPr>
        <w:rPr>
          <w:lang w:val="en-US"/>
        </w:rPr>
      </w:pPr>
      <w:r w:rsidRPr="00BD6197">
        <w:rPr>
          <w:lang w:val="en-US"/>
        </w:rPr>
        <w:t>As an amendment to the Wireless Telegraph Order, the Administration of Israel started annual spectrum fees in January 1995, in order to persuade operators and private users to pursue more efficient spectrum use. The Ministry of Communications may modify, once a year, the structure or the value of a specific fee. This is done through the Financial Committee of the Kneset (The Israeli Parliament), and any service provider or a private user of the spectrum who may be affected by those modifications, has the right to present his case to the Committee.</w:t>
      </w:r>
    </w:p>
    <w:p w:rsidR="008E2005" w:rsidRPr="00BD6197" w:rsidRDefault="008E2005" w:rsidP="008E2005">
      <w:pPr>
        <w:rPr>
          <w:lang w:val="en-US"/>
        </w:rPr>
      </w:pPr>
      <w:r w:rsidRPr="00BD6197">
        <w:rPr>
          <w:lang w:val="en-US"/>
        </w:rPr>
        <w:t>Because the fee decreases with frequencies above 960 MHz, the use of a higher frequency is encouraged. Below 960 MHz, the spectrum fee is about USD 170</w:t>
      </w:r>
      <w:r w:rsidRPr="00BD6197">
        <w:rPr>
          <w:rFonts w:ascii="Tms Rmn" w:hAnsi="Tms Rmn"/>
          <w:sz w:val="12"/>
          <w:lang w:val="en-US"/>
        </w:rPr>
        <w:t> </w:t>
      </w:r>
      <w:r w:rsidRPr="00BD6197">
        <w:rPr>
          <w:lang w:val="en-US"/>
        </w:rPr>
        <w:t>000 per 1 MHz. This approach has been taken to encourage the use of less occupied bands and to encourage spectrum users to take advantage of the higher frequency reuse associated with high attenuation and lower antenna side-lobes at higher frequencies.</w:t>
      </w:r>
    </w:p>
    <w:p w:rsidR="008E2005" w:rsidRPr="00BD6197" w:rsidRDefault="008E2005" w:rsidP="008E2005">
      <w:pPr>
        <w:keepNext/>
        <w:rPr>
          <w:lang w:val="en-US"/>
        </w:rPr>
      </w:pPr>
      <w:r w:rsidRPr="00BD6197">
        <w:rPr>
          <w:lang w:val="en-US"/>
        </w:rPr>
        <w:lastRenderedPageBreak/>
        <w:t>The frequencies spectrum fees are categorized to different services, such as:</w:t>
      </w:r>
    </w:p>
    <w:p w:rsidR="008E2005" w:rsidRPr="00BD6197" w:rsidRDefault="008E2005" w:rsidP="008E2005">
      <w:pPr>
        <w:pStyle w:val="enumlev1"/>
        <w:rPr>
          <w:lang w:val="en-US"/>
        </w:rPr>
      </w:pPr>
      <w:r w:rsidRPr="00BD6197">
        <w:rPr>
          <w:lang w:val="en-US"/>
        </w:rPr>
        <w:t>–</w:t>
      </w:r>
      <w:r w:rsidRPr="00BD6197">
        <w:rPr>
          <w:lang w:val="en-US"/>
        </w:rPr>
        <w:tab/>
        <w:t>Private mobile radio.</w:t>
      </w:r>
    </w:p>
    <w:p w:rsidR="008E2005" w:rsidRPr="00BD6197" w:rsidRDefault="008E2005" w:rsidP="008E2005">
      <w:pPr>
        <w:pStyle w:val="enumlev1"/>
        <w:rPr>
          <w:lang w:val="en-US"/>
        </w:rPr>
      </w:pPr>
      <w:r w:rsidRPr="00BD6197">
        <w:rPr>
          <w:lang w:val="en-US"/>
        </w:rPr>
        <w:t>–</w:t>
      </w:r>
      <w:r w:rsidRPr="00BD6197">
        <w:rPr>
          <w:lang w:val="en-US"/>
        </w:rPr>
        <w:tab/>
        <w:t>Trunking mobile radio service providers.</w:t>
      </w:r>
    </w:p>
    <w:p w:rsidR="008E2005" w:rsidRPr="00BD6197" w:rsidRDefault="008E2005" w:rsidP="008E2005">
      <w:pPr>
        <w:pStyle w:val="enumlev1"/>
        <w:rPr>
          <w:lang w:val="en-US"/>
        </w:rPr>
      </w:pPr>
      <w:r w:rsidRPr="00BD6197">
        <w:rPr>
          <w:lang w:val="en-US"/>
        </w:rPr>
        <w:t>–</w:t>
      </w:r>
      <w:r w:rsidRPr="00BD6197">
        <w:rPr>
          <w:lang w:val="en-US"/>
        </w:rPr>
        <w:tab/>
        <w:t>Cellular service providers.</w:t>
      </w:r>
    </w:p>
    <w:p w:rsidR="008E2005" w:rsidRPr="00BD6197" w:rsidRDefault="008E2005" w:rsidP="008E2005">
      <w:pPr>
        <w:pStyle w:val="enumlev1"/>
        <w:rPr>
          <w:lang w:val="en-US"/>
        </w:rPr>
      </w:pPr>
      <w:r w:rsidRPr="00BD6197">
        <w:rPr>
          <w:lang w:val="en-US"/>
        </w:rPr>
        <w:t>–</w:t>
      </w:r>
      <w:r w:rsidRPr="00BD6197">
        <w:rPr>
          <w:lang w:val="en-US"/>
        </w:rPr>
        <w:tab/>
        <w:t>TV and radio broadcasting.</w:t>
      </w:r>
    </w:p>
    <w:p w:rsidR="008E2005" w:rsidRPr="00BD6197" w:rsidRDefault="008E2005" w:rsidP="008E2005">
      <w:pPr>
        <w:pStyle w:val="enumlev1"/>
        <w:rPr>
          <w:lang w:val="en-US"/>
        </w:rPr>
      </w:pPr>
      <w:r w:rsidRPr="00BD6197">
        <w:rPr>
          <w:lang w:val="en-US"/>
        </w:rPr>
        <w:t>–</w:t>
      </w:r>
      <w:r w:rsidRPr="00BD6197">
        <w:rPr>
          <w:lang w:val="en-US"/>
        </w:rPr>
        <w:tab/>
        <w:t>Microwave point-to-point link.</w:t>
      </w:r>
    </w:p>
    <w:p w:rsidR="008E2005" w:rsidRPr="00BD6197" w:rsidRDefault="008E2005" w:rsidP="008E2005">
      <w:pPr>
        <w:pStyle w:val="enumlev1"/>
        <w:rPr>
          <w:lang w:val="en-US"/>
        </w:rPr>
      </w:pPr>
      <w:r w:rsidRPr="00BD6197">
        <w:rPr>
          <w:lang w:val="en-US"/>
        </w:rPr>
        <w:t>–</w:t>
      </w:r>
      <w:r w:rsidRPr="00BD6197">
        <w:rPr>
          <w:lang w:val="en-US"/>
        </w:rPr>
        <w:tab/>
        <w:t>Fixed wireless access.</w:t>
      </w:r>
    </w:p>
    <w:p w:rsidR="008E2005" w:rsidRPr="00BD6197" w:rsidRDefault="008E2005" w:rsidP="008E2005">
      <w:pPr>
        <w:pStyle w:val="enumlev1"/>
        <w:rPr>
          <w:lang w:val="en-US"/>
        </w:rPr>
      </w:pPr>
      <w:r w:rsidRPr="00BD6197">
        <w:rPr>
          <w:lang w:val="en-US"/>
        </w:rPr>
        <w:t>–</w:t>
      </w:r>
      <w:r w:rsidRPr="00BD6197">
        <w:rPr>
          <w:lang w:val="en-US"/>
        </w:rPr>
        <w:tab/>
        <w:t>Satellite communication (private and commercial users).</w:t>
      </w:r>
    </w:p>
    <w:p w:rsidR="008E2005" w:rsidRPr="00BD6197" w:rsidRDefault="008E2005" w:rsidP="008E2005">
      <w:pPr>
        <w:pStyle w:val="enumlev1"/>
        <w:rPr>
          <w:lang w:val="en-US"/>
        </w:rPr>
      </w:pPr>
      <w:r w:rsidRPr="00BD6197">
        <w:rPr>
          <w:lang w:val="en-US"/>
        </w:rPr>
        <w:t>–</w:t>
      </w:r>
      <w:r w:rsidRPr="00BD6197">
        <w:rPr>
          <w:lang w:val="en-US"/>
        </w:rPr>
        <w:tab/>
        <w:t>Radio amateurs.</w:t>
      </w:r>
    </w:p>
    <w:p w:rsidR="008E2005" w:rsidRPr="00BD6197" w:rsidRDefault="008E2005" w:rsidP="008E2005">
      <w:pPr>
        <w:pStyle w:val="enumlev1"/>
        <w:rPr>
          <w:lang w:val="en-US"/>
        </w:rPr>
      </w:pPr>
      <w:r w:rsidRPr="00BD6197">
        <w:rPr>
          <w:lang w:val="en-US"/>
        </w:rPr>
        <w:t>–</w:t>
      </w:r>
      <w:r w:rsidRPr="00BD6197">
        <w:rPr>
          <w:lang w:val="en-US"/>
        </w:rPr>
        <w:tab/>
        <w:t>Aeronautical and maritime services.</w:t>
      </w:r>
    </w:p>
    <w:p w:rsidR="008E2005" w:rsidRPr="00BD6197" w:rsidRDefault="008E2005" w:rsidP="008E2005">
      <w:pPr>
        <w:pStyle w:val="enumlev1"/>
        <w:rPr>
          <w:lang w:val="en-US"/>
        </w:rPr>
      </w:pPr>
      <w:r w:rsidRPr="00BD6197">
        <w:rPr>
          <w:lang w:val="en-US"/>
        </w:rPr>
        <w:t>–</w:t>
      </w:r>
      <w:r w:rsidRPr="00BD6197">
        <w:rPr>
          <w:lang w:val="en-US"/>
        </w:rPr>
        <w:tab/>
        <w:t>Temporary licences for tests or demonstrations.</w:t>
      </w:r>
    </w:p>
    <w:p w:rsidR="008E2005" w:rsidRPr="00BD6197" w:rsidRDefault="008E2005" w:rsidP="008E2005">
      <w:pPr>
        <w:rPr>
          <w:lang w:val="en-US"/>
        </w:rPr>
      </w:pPr>
      <w:r w:rsidRPr="00BD6197">
        <w:rPr>
          <w:lang w:val="en-US"/>
        </w:rPr>
        <w:t>The fee system has some measures to encourage better and higher reuse of frequencies. Some examples are:</w:t>
      </w:r>
    </w:p>
    <w:p w:rsidR="008E2005" w:rsidRPr="00BD6197" w:rsidRDefault="008E2005" w:rsidP="008E2005">
      <w:pPr>
        <w:pStyle w:val="enumlev1"/>
        <w:rPr>
          <w:lang w:val="en-US"/>
        </w:rPr>
      </w:pPr>
      <w:r w:rsidRPr="00BD6197">
        <w:rPr>
          <w:lang w:val="en-US"/>
        </w:rPr>
        <w:t>–</w:t>
      </w:r>
      <w:r w:rsidRPr="00BD6197">
        <w:rPr>
          <w:lang w:val="en-US"/>
        </w:rPr>
        <w:tab/>
        <w:t>Lower fee for lower transmission power, for TV and radio broadcasters.</w:t>
      </w:r>
    </w:p>
    <w:p w:rsidR="008E2005" w:rsidRPr="00BD6197" w:rsidRDefault="008E2005" w:rsidP="008E2005">
      <w:pPr>
        <w:pStyle w:val="enumlev1"/>
        <w:rPr>
          <w:lang w:val="en-US"/>
        </w:rPr>
      </w:pPr>
      <w:r w:rsidRPr="00BD6197">
        <w:rPr>
          <w:lang w:val="en-US"/>
        </w:rPr>
        <w:t>–</w:t>
      </w:r>
      <w:r w:rsidRPr="00BD6197">
        <w:rPr>
          <w:lang w:val="en-US"/>
        </w:rPr>
        <w:tab/>
        <w:t>Discount for TV broadcasters which reuse the same frequency in different locations.</w:t>
      </w:r>
    </w:p>
    <w:p w:rsidR="008E2005" w:rsidRPr="00BD6197" w:rsidRDefault="008E2005" w:rsidP="008E2005">
      <w:pPr>
        <w:pStyle w:val="enumlev1"/>
        <w:rPr>
          <w:lang w:val="en-US"/>
        </w:rPr>
      </w:pPr>
      <w:r w:rsidRPr="00BD6197">
        <w:rPr>
          <w:lang w:val="en-US"/>
        </w:rPr>
        <w:t>–</w:t>
      </w:r>
      <w:r w:rsidRPr="00BD6197">
        <w:rPr>
          <w:lang w:val="en-US"/>
        </w:rPr>
        <w:tab/>
        <w:t>No charge for radio broadcasters that reuse the same frequency in additional locations.</w:t>
      </w:r>
    </w:p>
    <w:p w:rsidR="008E2005" w:rsidRPr="00BD6197" w:rsidRDefault="008E2005" w:rsidP="008E2005">
      <w:pPr>
        <w:pStyle w:val="enumlev1"/>
        <w:rPr>
          <w:lang w:val="en-US"/>
        </w:rPr>
      </w:pPr>
      <w:r w:rsidRPr="00BD6197">
        <w:rPr>
          <w:lang w:val="en-US"/>
        </w:rPr>
        <w:t>–</w:t>
      </w:r>
      <w:r w:rsidRPr="00BD6197">
        <w:rPr>
          <w:lang w:val="en-US"/>
        </w:rPr>
        <w:tab/>
        <w:t>Discount for telecom service providers which reuse the same frequency for multiple point-to-point microwave links.</w:t>
      </w:r>
    </w:p>
    <w:p w:rsidR="008E2005" w:rsidRPr="00BD6197" w:rsidRDefault="008E2005" w:rsidP="008E2005">
      <w:pPr>
        <w:rPr>
          <w:lang w:val="en-US"/>
        </w:rPr>
      </w:pPr>
      <w:r w:rsidRPr="00BD6197">
        <w:rPr>
          <w:lang w:val="en-US"/>
        </w:rPr>
        <w:t>Some examples from Israel’s short experience of the last few years, utilizing incentive fees:</w:t>
      </w:r>
    </w:p>
    <w:p w:rsidR="008E2005" w:rsidRPr="00BD6197" w:rsidRDefault="008E2005" w:rsidP="008E2005">
      <w:pPr>
        <w:pStyle w:val="enumlev1"/>
        <w:rPr>
          <w:lang w:val="en-US"/>
        </w:rPr>
      </w:pPr>
      <w:r w:rsidRPr="00BD6197">
        <w:rPr>
          <w:lang w:val="en-US"/>
        </w:rPr>
        <w:t>–</w:t>
      </w:r>
      <w:r w:rsidRPr="00BD6197">
        <w:rPr>
          <w:lang w:val="en-US"/>
        </w:rPr>
        <w:tab/>
        <w:t>Within two years all point-to-point links on frequencies below 960 MHz (about 100), were relocated to higher frequencies.</w:t>
      </w:r>
    </w:p>
    <w:p w:rsidR="008E2005" w:rsidRPr="00BD6197" w:rsidRDefault="008E2005" w:rsidP="008E2005">
      <w:pPr>
        <w:pStyle w:val="enumlev1"/>
        <w:rPr>
          <w:lang w:val="en-US"/>
        </w:rPr>
      </w:pPr>
      <w:r w:rsidRPr="00BD6197">
        <w:rPr>
          <w:lang w:val="en-US"/>
        </w:rPr>
        <w:t>–</w:t>
      </w:r>
      <w:r w:rsidRPr="00BD6197">
        <w:rPr>
          <w:lang w:val="en-US"/>
        </w:rPr>
        <w:tab/>
        <w:t>An agreement with TV broadcasters to modify frequencies, to obtain more efficient use of the spectrum.</w:t>
      </w:r>
    </w:p>
    <w:p w:rsidR="008E2005" w:rsidRPr="00BD6197" w:rsidRDefault="008E2005" w:rsidP="008E2005">
      <w:pPr>
        <w:pStyle w:val="enumlev1"/>
        <w:rPr>
          <w:lang w:val="en-US"/>
        </w:rPr>
      </w:pPr>
      <w:r w:rsidRPr="00BD6197">
        <w:rPr>
          <w:lang w:val="en-US"/>
        </w:rPr>
        <w:t>–</w:t>
      </w:r>
      <w:r w:rsidRPr="00BD6197">
        <w:rPr>
          <w:lang w:val="en-US"/>
        </w:rPr>
        <w:tab/>
        <w:t>Migration of different systems from frequencies below 1 GHz, to clear bandwidth for a third cellular operator in the GSM band.</w:t>
      </w:r>
    </w:p>
    <w:p w:rsidR="008E2005" w:rsidRPr="00BD6197" w:rsidRDefault="008E2005" w:rsidP="008E2005">
      <w:pPr>
        <w:pStyle w:val="enumlev1"/>
        <w:rPr>
          <w:lang w:val="en-US"/>
        </w:rPr>
      </w:pPr>
      <w:r w:rsidRPr="00BD6197">
        <w:rPr>
          <w:lang w:val="en-US"/>
        </w:rPr>
        <w:t>–</w:t>
      </w:r>
      <w:r w:rsidRPr="00BD6197">
        <w:rPr>
          <w:lang w:val="en-US"/>
        </w:rPr>
        <w:tab/>
        <w:t>Some of the operators have been paid to move their systems, and the cost of this migration was covered by the licence fee advanced payment paid by the new entrant to the Government (not directly to the existing user of that spectrum).</w:t>
      </w:r>
    </w:p>
    <w:p w:rsidR="008E2005" w:rsidRPr="00BD6197" w:rsidRDefault="008E2005" w:rsidP="008E2005">
      <w:pPr>
        <w:pStyle w:val="Heading3"/>
        <w:rPr>
          <w:lang w:val="en-US"/>
        </w:rPr>
      </w:pPr>
      <w:bookmarkStart w:id="2044" w:name="_Toc459746763"/>
      <w:bookmarkStart w:id="2045" w:name="_Toc459792673"/>
      <w:bookmarkStart w:id="2046" w:name="_Toc459793837"/>
      <w:bookmarkStart w:id="2047" w:name="_Toc459793979"/>
      <w:bookmarkStart w:id="2048" w:name="_Toc459970437"/>
      <w:bookmarkStart w:id="2049" w:name="_Toc497033219"/>
      <w:bookmarkStart w:id="2050" w:name="_Toc497034017"/>
      <w:bookmarkStart w:id="2051" w:name="_Toc289868867"/>
      <w:bookmarkStart w:id="2052" w:name="_Toc289869027"/>
      <w:bookmarkStart w:id="2053" w:name="_Toc289932334"/>
      <w:bookmarkStart w:id="2054" w:name="_Toc289933380"/>
      <w:bookmarkStart w:id="2055" w:name="_Toc291852943"/>
      <w:bookmarkStart w:id="2056" w:name="_Toc392515927"/>
      <w:bookmarkStart w:id="2057" w:name="_Toc462234144"/>
      <w:bookmarkStart w:id="2058" w:name="_Toc518394262"/>
      <w:r w:rsidRPr="00BD6197">
        <w:rPr>
          <w:lang w:val="en-US"/>
        </w:rPr>
        <w:t>5.2.6</w:t>
      </w:r>
      <w:r w:rsidRPr="00BD6197">
        <w:rPr>
          <w:lang w:val="en-US"/>
        </w:rPr>
        <w:tab/>
        <w:t>Experience of the Kyrgyz Republic on application of licence fees</w:t>
      </w:r>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p>
    <w:p w:rsidR="008E2005" w:rsidRPr="00BD6197" w:rsidRDefault="008E2005" w:rsidP="008E2005">
      <w:pPr>
        <w:rPr>
          <w:lang w:val="en-US"/>
        </w:rPr>
      </w:pPr>
      <w:r w:rsidRPr="00BD6197">
        <w:rPr>
          <w:lang w:val="en-US"/>
        </w:rPr>
        <w:t>In 1997 in the Kyrgyz Republic, the independent regulating body of communications, the National Communications Agency (NCA), was established. According to the Law of the Kyrgyz Republic on “Postal and Telecommunications”, accepted in 1998, spectrum management began.</w:t>
      </w:r>
    </w:p>
    <w:p w:rsidR="008E2005" w:rsidRPr="00BD6197" w:rsidRDefault="008E2005" w:rsidP="008E2005">
      <w:pPr>
        <w:rPr>
          <w:lang w:val="en-US"/>
        </w:rPr>
      </w:pPr>
      <w:r w:rsidRPr="00BD6197">
        <w:rPr>
          <w:lang w:val="en-US"/>
        </w:rPr>
        <w:t>In 1998 the NCA created a licence fee model. The purpose of this model was to increase spectrum efficiency, introduce a non-discriminatory approach to various categories of users, stimulate the use of unused frequency ranges, develop radiocommunications services throughout the Republic, and cover the cost of spectrum management.</w:t>
      </w:r>
    </w:p>
    <w:p w:rsidR="008E2005" w:rsidRPr="00BD6197" w:rsidRDefault="008E2005" w:rsidP="008E2005">
      <w:pPr>
        <w:rPr>
          <w:lang w:val="en-US"/>
        </w:rPr>
      </w:pPr>
      <w:r w:rsidRPr="00BD6197">
        <w:rPr>
          <w:lang w:val="en-US"/>
        </w:rPr>
        <w:t>The model determines the value of annual payment for the spectrum and contains the following basic elements:</w:t>
      </w:r>
    </w:p>
    <w:p w:rsidR="008E2005" w:rsidRPr="00BD6197" w:rsidRDefault="008E2005" w:rsidP="008E2005">
      <w:pPr>
        <w:pStyle w:val="enumlev1"/>
        <w:rPr>
          <w:lang w:val="en-US"/>
        </w:rPr>
      </w:pPr>
      <w:r w:rsidRPr="00BD6197">
        <w:rPr>
          <w:lang w:val="en-US"/>
        </w:rPr>
        <w:t>–</w:t>
      </w:r>
      <w:r w:rsidRPr="00BD6197">
        <w:rPr>
          <w:lang w:val="en-US"/>
        </w:rPr>
        <w:tab/>
        <w:t>radio-frequency resource, used in the Republic, representing all frequency assignments stored in the national database, is determined on an annual basis. For each frequency assignment this resource is determined in view of the band used and the coordination area;</w:t>
      </w:r>
    </w:p>
    <w:p w:rsidR="008E2005" w:rsidRPr="00BD6197" w:rsidRDefault="008E2005" w:rsidP="008E2005">
      <w:pPr>
        <w:pStyle w:val="enumlev1"/>
        <w:rPr>
          <w:lang w:val="en-US"/>
        </w:rPr>
      </w:pPr>
      <w:r w:rsidRPr="00BD6197">
        <w:rPr>
          <w:lang w:val="en-US"/>
        </w:rPr>
        <w:t>–</w:t>
      </w:r>
      <w:r w:rsidRPr="00BD6197">
        <w:rPr>
          <w:lang w:val="en-US"/>
        </w:rPr>
        <w:tab/>
        <w:t>the annual cost of spectrum management;</w:t>
      </w:r>
    </w:p>
    <w:p w:rsidR="008E2005" w:rsidRPr="00BD6197" w:rsidRDefault="008E2005" w:rsidP="008E2005">
      <w:pPr>
        <w:pStyle w:val="enumlev1"/>
        <w:rPr>
          <w:lang w:val="en-US"/>
        </w:rPr>
      </w:pPr>
      <w:r w:rsidRPr="00BD6197">
        <w:rPr>
          <w:lang w:val="en-US"/>
        </w:rPr>
        <w:lastRenderedPageBreak/>
        <w:t>–</w:t>
      </w:r>
      <w:r w:rsidRPr="00BD6197">
        <w:rPr>
          <w:lang w:val="en-US"/>
        </w:rPr>
        <w:tab/>
        <w:t>the average price for the unit of the frequency resource used is determined from the above values;</w:t>
      </w:r>
    </w:p>
    <w:p w:rsidR="008E2005" w:rsidRPr="00BD6197" w:rsidRDefault="008E2005" w:rsidP="008E2005">
      <w:pPr>
        <w:pStyle w:val="enumlev1"/>
        <w:rPr>
          <w:lang w:val="en-US"/>
        </w:rPr>
      </w:pPr>
      <w:r w:rsidRPr="00BD6197">
        <w:rPr>
          <w:lang w:val="en-US"/>
        </w:rPr>
        <w:t>–</w:t>
      </w:r>
      <w:r w:rsidRPr="00BD6197">
        <w:rPr>
          <w:lang w:val="en-US"/>
        </w:rPr>
        <w:tab/>
        <w:t>the annual payment of a specific user is determined from the value of the frequency resource used.</w:t>
      </w:r>
    </w:p>
    <w:p w:rsidR="008E2005" w:rsidRPr="00BD6197" w:rsidRDefault="008E2005" w:rsidP="008E2005">
      <w:pPr>
        <w:rPr>
          <w:lang w:val="en-US"/>
        </w:rPr>
      </w:pPr>
      <w:r w:rsidRPr="00BD6197">
        <w:rPr>
          <w:lang w:val="en-US"/>
        </w:rPr>
        <w:t>A number of incentive factors are entered in the formula, so the payment depends not only on the bandwidth used and coverage area, but also on geographical location of the station, population density in the coverage area, social factors, exclusivity, type of radiocommunications service, spectrum employment, and spectrum monitoring complexity.</w:t>
      </w:r>
    </w:p>
    <w:p w:rsidR="008E2005" w:rsidRPr="00BD6197" w:rsidRDefault="008E2005" w:rsidP="008E2005">
      <w:pPr>
        <w:rPr>
          <w:lang w:val="en-US"/>
        </w:rPr>
      </w:pPr>
      <w:r w:rsidRPr="00BD6197">
        <w:rPr>
          <w:lang w:val="en-US"/>
        </w:rPr>
        <w:t>The developed software allows the user at any moment to determine the value of the annual payment for the spectrum and also renders the model transparent and accessible to all users.</w:t>
      </w:r>
    </w:p>
    <w:p w:rsidR="008E2005" w:rsidRPr="00BD6197" w:rsidRDefault="008E2005" w:rsidP="008E2005">
      <w:pPr>
        <w:rPr>
          <w:lang w:val="en-US"/>
        </w:rPr>
      </w:pPr>
      <w:r w:rsidRPr="00BD6197">
        <w:rPr>
          <w:lang w:val="en-US"/>
        </w:rPr>
        <w:t>Thus, for the user the greater the bandwidth and the more populated the geographical area, the larger the payment. This encourages the use of more modern equipment, new frequency ranges and expansion of coverage to rural and remote areas.</w:t>
      </w:r>
    </w:p>
    <w:p w:rsidR="008E2005" w:rsidRPr="00BD6197" w:rsidRDefault="008E2005" w:rsidP="00C26A17">
      <w:pPr>
        <w:keepNext/>
        <w:keepLines/>
        <w:rPr>
          <w:lang w:val="en-US"/>
        </w:rPr>
      </w:pPr>
      <w:r w:rsidRPr="00BD6197">
        <w:rPr>
          <w:lang w:val="en-US"/>
        </w:rPr>
        <w:t xml:space="preserve">The NCA has adopted licence terms of up to </w:t>
      </w:r>
      <w:r w:rsidR="00C26A17">
        <w:rPr>
          <w:lang w:val="en-US"/>
        </w:rPr>
        <w:t>seven</w:t>
      </w:r>
      <w:r w:rsidRPr="00BD6197">
        <w:rPr>
          <w:lang w:val="en-US"/>
        </w:rPr>
        <w:t xml:space="preserve"> years. Determination of the spectrum payment algorithm includes the determination of:</w:t>
      </w:r>
    </w:p>
    <w:p w:rsidR="008E2005" w:rsidRPr="00BD6197" w:rsidRDefault="008E2005" w:rsidP="008E2005">
      <w:pPr>
        <w:pStyle w:val="enumlev1"/>
        <w:rPr>
          <w:lang w:val="en-US"/>
        </w:rPr>
      </w:pPr>
      <w:r w:rsidRPr="00BD6197">
        <w:rPr>
          <w:lang w:val="en-US"/>
        </w:rPr>
        <w:t>–</w:t>
      </w:r>
      <w:r w:rsidRPr="00BD6197">
        <w:rPr>
          <w:lang w:val="en-US"/>
        </w:rPr>
        <w:tab/>
        <w:t>the annual expenditures of the State on management of radio-frequency resource use and determination on this basis of the common value of the annual payment for all radio</w:t>
      </w:r>
      <w:r w:rsidRPr="00BD6197">
        <w:rPr>
          <w:lang w:val="en-US"/>
        </w:rPr>
        <w:noBreakHyphen/>
        <w:t>frequency resources;</w:t>
      </w:r>
    </w:p>
    <w:p w:rsidR="008E2005" w:rsidRPr="00BD6197" w:rsidRDefault="008E2005" w:rsidP="008E2005">
      <w:pPr>
        <w:pStyle w:val="enumlev1"/>
        <w:rPr>
          <w:lang w:val="en-US"/>
        </w:rPr>
      </w:pPr>
      <w:r w:rsidRPr="00BD6197">
        <w:rPr>
          <w:lang w:val="en-US"/>
        </w:rPr>
        <w:t>–</w:t>
      </w:r>
      <w:r w:rsidRPr="00BD6197">
        <w:rPr>
          <w:lang w:val="en-US"/>
        </w:rPr>
        <w:tab/>
        <w:t>the value of the radio-frequency resource;</w:t>
      </w:r>
    </w:p>
    <w:p w:rsidR="008E2005" w:rsidRPr="00BD6197" w:rsidRDefault="008E2005" w:rsidP="008E2005">
      <w:pPr>
        <w:pStyle w:val="enumlev1"/>
        <w:rPr>
          <w:lang w:val="en-US"/>
        </w:rPr>
      </w:pPr>
      <w:r w:rsidRPr="00BD6197">
        <w:rPr>
          <w:lang w:val="en-US"/>
        </w:rPr>
        <w:t>–</w:t>
      </w:r>
      <w:r w:rsidRPr="00BD6197">
        <w:rPr>
          <w:lang w:val="en-US"/>
        </w:rPr>
        <w:tab/>
        <w:t>the price for a unit of the radio-frequency resource;</w:t>
      </w:r>
    </w:p>
    <w:p w:rsidR="008E2005" w:rsidRPr="00BD6197" w:rsidRDefault="008E2005" w:rsidP="008E2005">
      <w:pPr>
        <w:pStyle w:val="enumlev1"/>
        <w:rPr>
          <w:lang w:val="en-US"/>
        </w:rPr>
      </w:pPr>
      <w:r w:rsidRPr="00BD6197">
        <w:rPr>
          <w:lang w:val="en-US"/>
        </w:rPr>
        <w:t>–</w:t>
      </w:r>
      <w:r w:rsidRPr="00BD6197">
        <w:rPr>
          <w:lang w:val="en-US"/>
        </w:rPr>
        <w:tab/>
        <w:t>the annual payment for a specific user on a differential and non-discriminatory basis, determined from the value of the frequency resource and the unit price of this resource.</w:t>
      </w:r>
    </w:p>
    <w:p w:rsidR="008E2005" w:rsidRPr="00BD6197" w:rsidRDefault="008E2005" w:rsidP="008E2005">
      <w:pPr>
        <w:pStyle w:val="Heading4"/>
        <w:rPr>
          <w:lang w:val="en-US"/>
        </w:rPr>
      </w:pPr>
      <w:bookmarkStart w:id="2059" w:name="_Toc459792674"/>
      <w:bookmarkStart w:id="2060" w:name="_Toc459793838"/>
      <w:bookmarkStart w:id="2061" w:name="_Toc459793980"/>
      <w:bookmarkStart w:id="2062" w:name="_Toc497033220"/>
      <w:bookmarkStart w:id="2063" w:name="_Toc497034018"/>
      <w:r w:rsidRPr="00BD6197">
        <w:rPr>
          <w:lang w:val="en-US"/>
        </w:rPr>
        <w:t>5.2.6.1</w:t>
      </w:r>
      <w:r w:rsidRPr="00BD6197">
        <w:rPr>
          <w:lang w:val="en-US"/>
        </w:rPr>
        <w:tab/>
        <w:t>Expenditures and income of the State on spectrum management</w:t>
      </w:r>
      <w:bookmarkEnd w:id="2059"/>
      <w:bookmarkEnd w:id="2060"/>
      <w:bookmarkEnd w:id="2061"/>
      <w:bookmarkEnd w:id="2062"/>
      <w:bookmarkEnd w:id="2063"/>
    </w:p>
    <w:p w:rsidR="008E2005" w:rsidRPr="00BD6197" w:rsidRDefault="008E2005" w:rsidP="008E2005">
      <w:pPr>
        <w:keepNext/>
        <w:keepLines/>
        <w:rPr>
          <w:lang w:val="en-US"/>
        </w:rPr>
      </w:pPr>
      <w:r w:rsidRPr="00BD6197">
        <w:rPr>
          <w:lang w:val="en-US"/>
        </w:rPr>
        <w:t xml:space="preserve">The total amount of the annual payments for spectrum, </w:t>
      </w:r>
      <w:r w:rsidRPr="00BD6197">
        <w:rPr>
          <w:i/>
          <w:iCs/>
          <w:lang w:val="en-US"/>
        </w:rPr>
        <w:t>C</w:t>
      </w:r>
      <w:r w:rsidRPr="00BD6197">
        <w:rPr>
          <w:i/>
          <w:iCs/>
          <w:vertAlign w:val="subscript"/>
          <w:lang w:val="en-US"/>
        </w:rPr>
        <w:t>ann</w:t>
      </w:r>
      <w:r w:rsidRPr="00BD6197">
        <w:rPr>
          <w:lang w:val="en-US"/>
        </w:rPr>
        <w:t>, collected from all users, can be submitted as:</w:t>
      </w:r>
    </w:p>
    <w:p w:rsidR="008E2005" w:rsidRPr="00BD6197" w:rsidRDefault="008E2005" w:rsidP="008E2005">
      <w:pPr>
        <w:pStyle w:val="Blanc"/>
        <w:rPr>
          <w:lang w:val="en-US"/>
        </w:rPr>
      </w:pPr>
    </w:p>
    <w:p w:rsidR="008E2005" w:rsidRPr="00BD6197" w:rsidRDefault="008E2005" w:rsidP="00C26A17">
      <w:pPr>
        <w:pStyle w:val="Equation"/>
        <w:keepNext/>
        <w:keepLines/>
        <w:rPr>
          <w:lang w:val="en-US"/>
        </w:rPr>
      </w:pPr>
      <w:r w:rsidRPr="00BD6197">
        <w:rPr>
          <w:lang w:val="en-US"/>
        </w:rPr>
        <w:tab/>
      </w:r>
      <w:r w:rsidRPr="00BD6197">
        <w:rPr>
          <w:lang w:val="en-US"/>
        </w:rPr>
        <w:tab/>
      </w:r>
      <w:r w:rsidRPr="00BD6197">
        <w:rPr>
          <w:position w:val="-12"/>
          <w:lang w:val="en-US"/>
        </w:rPr>
        <w:object w:dxaOrig="1600" w:dyaOrig="360">
          <v:shape id="_x0000_i1122" type="#_x0000_t75" style="width:80.25pt;height:19.5pt" o:ole="">
            <v:imagedata r:id="rId219" o:title=""/>
          </v:shape>
          <o:OLEObject Type="Embed" ProgID="Equation.3" ShapeID="_x0000_i1122" DrawAspect="Content" ObjectID="_1604325076" r:id="rId220"/>
        </w:object>
      </w:r>
      <w:r w:rsidRPr="00BD6197">
        <w:rPr>
          <w:position w:val="-4"/>
          <w:sz w:val="16"/>
          <w:lang w:val="en-US"/>
        </w:rPr>
        <w:tab/>
      </w:r>
      <w:r w:rsidRPr="00BD6197">
        <w:rPr>
          <w:lang w:val="en-US"/>
        </w:rPr>
        <w:t>(5</w:t>
      </w:r>
      <w:r w:rsidR="00C26A17">
        <w:rPr>
          <w:lang w:val="en-US"/>
        </w:rPr>
        <w:t>6</w:t>
      </w:r>
      <w:r w:rsidRPr="00BD6197">
        <w:rPr>
          <w:lang w:val="en-US"/>
        </w:rPr>
        <w:t>)</w:t>
      </w:r>
    </w:p>
    <w:p w:rsidR="008E2005" w:rsidRPr="00BD6197" w:rsidRDefault="008E2005" w:rsidP="008E2005">
      <w:pPr>
        <w:keepNext/>
        <w:keepLines/>
        <w:rPr>
          <w:lang w:val="en-US"/>
        </w:rPr>
      </w:pPr>
      <w:r w:rsidRPr="00BD6197">
        <w:rPr>
          <w:lang w:val="en-US"/>
        </w:rPr>
        <w:t>where:</w:t>
      </w:r>
    </w:p>
    <w:p w:rsidR="008E2005" w:rsidRPr="00BD6197" w:rsidRDefault="008E2005" w:rsidP="008E2005">
      <w:pPr>
        <w:pStyle w:val="Equationlegend"/>
        <w:keepNext/>
        <w:keepLines/>
      </w:pPr>
      <w:r w:rsidRPr="00BD6197">
        <w:tab/>
      </w:r>
      <w:r w:rsidRPr="00BD6197">
        <w:rPr>
          <w:i/>
          <w:iCs/>
        </w:rPr>
        <w:t>C</w:t>
      </w:r>
      <w:r w:rsidRPr="00BD6197">
        <w:rPr>
          <w:i/>
          <w:iCs/>
          <w:vertAlign w:val="subscript"/>
        </w:rPr>
        <w:t>ann</w:t>
      </w:r>
      <w:r w:rsidRPr="00BD6197">
        <w:rPr>
          <w:sz w:val="12"/>
        </w:rPr>
        <w:t> </w:t>
      </w:r>
      <w:r w:rsidRPr="00BD6197">
        <w:t>:</w:t>
      </w:r>
      <w:r w:rsidRPr="00BD6197">
        <w:tab/>
        <w:t>total annual cost of the users for the spectrum</w:t>
      </w:r>
    </w:p>
    <w:p w:rsidR="008E2005" w:rsidRPr="00BD6197" w:rsidRDefault="008E2005" w:rsidP="008E2005">
      <w:pPr>
        <w:pStyle w:val="Equationlegend"/>
        <w:keepNext/>
        <w:keepLines/>
        <w:rPr>
          <w:i/>
          <w:iCs/>
        </w:rPr>
      </w:pPr>
      <w:r w:rsidRPr="00BD6197">
        <w:tab/>
      </w:r>
      <w:r w:rsidRPr="00BD6197">
        <w:rPr>
          <w:i/>
          <w:iCs/>
        </w:rPr>
        <w:t>C</w:t>
      </w:r>
      <w:r w:rsidRPr="00BD6197">
        <w:rPr>
          <w:vertAlign w:val="subscript"/>
        </w:rPr>
        <w:t>1</w:t>
      </w:r>
      <w:r w:rsidRPr="00BD6197">
        <w:rPr>
          <w:sz w:val="12"/>
        </w:rPr>
        <w:t> </w:t>
      </w:r>
      <w:r w:rsidRPr="00BD6197">
        <w:t>:</w:t>
      </w:r>
      <w:r w:rsidRPr="00BD6197">
        <w:tab/>
        <w:t>share of resources that is necessary for covering of costs of the State on spectrum use management</w:t>
      </w:r>
    </w:p>
    <w:p w:rsidR="008E2005" w:rsidRPr="00BD6197" w:rsidRDefault="008E2005" w:rsidP="008E2005">
      <w:pPr>
        <w:pStyle w:val="Equationlegend"/>
      </w:pPr>
      <w:r w:rsidRPr="00BD6197">
        <w:tab/>
      </w:r>
      <w:r w:rsidRPr="00BD6197">
        <w:rPr>
          <w:i/>
          <w:iCs/>
        </w:rPr>
        <w:t>C</w:t>
      </w:r>
      <w:r w:rsidRPr="00BD6197">
        <w:rPr>
          <w:vertAlign w:val="subscript"/>
        </w:rPr>
        <w:t>2</w:t>
      </w:r>
      <w:r w:rsidRPr="00BD6197">
        <w:rPr>
          <w:sz w:val="12"/>
        </w:rPr>
        <w:t> </w:t>
      </w:r>
      <w:r w:rsidRPr="00BD6197">
        <w:t>:</w:t>
      </w:r>
      <w:r w:rsidRPr="00BD6197">
        <w:tab/>
        <w:t>net income of the State.</w:t>
      </w:r>
    </w:p>
    <w:p w:rsidR="008E2005" w:rsidRPr="00BD6197" w:rsidRDefault="008E2005" w:rsidP="008E2005">
      <w:pPr>
        <w:rPr>
          <w:lang w:val="en-US"/>
        </w:rPr>
      </w:pPr>
      <w:r w:rsidRPr="00BD6197">
        <w:rPr>
          <w:lang w:val="en-US"/>
        </w:rPr>
        <w:t xml:space="preserve">It is possible to separate the terms </w:t>
      </w:r>
      <w:r w:rsidRPr="00BD6197">
        <w:rPr>
          <w:i/>
          <w:iCs/>
          <w:lang w:val="en-US"/>
        </w:rPr>
        <w:t>C</w:t>
      </w:r>
      <w:r w:rsidRPr="00BD6197">
        <w:rPr>
          <w:vertAlign w:val="subscript"/>
          <w:lang w:val="en-US"/>
        </w:rPr>
        <w:t>1</w:t>
      </w:r>
      <w:r w:rsidRPr="00BD6197">
        <w:rPr>
          <w:lang w:val="en-US"/>
        </w:rPr>
        <w:t xml:space="preserve"> and </w:t>
      </w:r>
      <w:r w:rsidRPr="00BD6197">
        <w:rPr>
          <w:i/>
          <w:iCs/>
          <w:lang w:val="en-US"/>
        </w:rPr>
        <w:t>C</w:t>
      </w:r>
      <w:r w:rsidRPr="00BD6197">
        <w:rPr>
          <w:vertAlign w:val="subscript"/>
          <w:lang w:val="en-US"/>
        </w:rPr>
        <w:t>2</w:t>
      </w:r>
      <w:r w:rsidRPr="00BD6197">
        <w:rPr>
          <w:lang w:val="en-US"/>
        </w:rPr>
        <w:t xml:space="preserve"> into additional components:</w:t>
      </w:r>
    </w:p>
    <w:p w:rsidR="008E2005" w:rsidRPr="00BD6197" w:rsidRDefault="008E2005" w:rsidP="008E2005">
      <w:pPr>
        <w:pStyle w:val="Blanc"/>
        <w:rPr>
          <w:lang w:val="en-US"/>
        </w:rPr>
      </w:pPr>
    </w:p>
    <w:p w:rsidR="008E2005" w:rsidRPr="00BD6197" w:rsidRDefault="008E2005" w:rsidP="00C26A17">
      <w:pPr>
        <w:pStyle w:val="Equation"/>
        <w:rPr>
          <w:lang w:val="en-US"/>
        </w:rPr>
      </w:pPr>
      <w:r w:rsidRPr="00BD6197">
        <w:rPr>
          <w:lang w:val="en-US"/>
        </w:rPr>
        <w:tab/>
      </w:r>
      <w:r w:rsidRPr="00BD6197">
        <w:rPr>
          <w:lang w:val="en-US"/>
        </w:rPr>
        <w:tab/>
      </w:r>
      <w:r w:rsidRPr="00BD6197">
        <w:rPr>
          <w:position w:val="-12"/>
          <w:lang w:val="en-US"/>
        </w:rPr>
        <w:object w:dxaOrig="2120" w:dyaOrig="360">
          <v:shape id="_x0000_i1123" type="#_x0000_t75" style="width:105pt;height:19.5pt" o:ole="">
            <v:imagedata r:id="rId221" o:title=""/>
          </v:shape>
          <o:OLEObject Type="Embed" ProgID="Equation.3" ShapeID="_x0000_i1123" DrawAspect="Content" ObjectID="_1604325077" r:id="rId222"/>
        </w:object>
      </w:r>
      <w:r w:rsidRPr="00BD6197">
        <w:rPr>
          <w:lang w:val="en-US"/>
        </w:rPr>
        <w:tab/>
        <w:t>(5</w:t>
      </w:r>
      <w:r w:rsidR="00C26A17">
        <w:rPr>
          <w:lang w:val="en-US"/>
        </w:rPr>
        <w:t>7</w:t>
      </w:r>
      <w:r w:rsidRPr="00BD6197">
        <w:rPr>
          <w:lang w:val="en-US"/>
        </w:rPr>
        <w:t>)</w:t>
      </w:r>
    </w:p>
    <w:p w:rsidR="008E2005" w:rsidRPr="00BD6197" w:rsidRDefault="008E2005" w:rsidP="008E2005">
      <w:pPr>
        <w:rPr>
          <w:lang w:val="en-US"/>
        </w:rPr>
      </w:pPr>
      <w:r w:rsidRPr="00BD6197">
        <w:rPr>
          <w:lang w:val="en-US"/>
        </w:rPr>
        <w:t>where:</w:t>
      </w:r>
    </w:p>
    <w:p w:rsidR="008E2005" w:rsidRPr="00BD6197" w:rsidRDefault="008E2005" w:rsidP="008E2005">
      <w:pPr>
        <w:pStyle w:val="Equationlegend"/>
      </w:pPr>
      <w:r w:rsidRPr="00BD6197">
        <w:tab/>
      </w:r>
      <w:r w:rsidRPr="00BD6197">
        <w:rPr>
          <w:i/>
          <w:iCs/>
        </w:rPr>
        <w:t>C</w:t>
      </w:r>
      <w:r w:rsidRPr="00BD6197">
        <w:rPr>
          <w:vertAlign w:val="subscript"/>
        </w:rPr>
        <w:t>11</w:t>
      </w:r>
      <w:r w:rsidRPr="00BD6197">
        <w:rPr>
          <w:sz w:val="12"/>
        </w:rPr>
        <w:t> </w:t>
      </w:r>
      <w:r w:rsidRPr="00BD6197">
        <w:t>:</w:t>
      </w:r>
      <w:r w:rsidRPr="00BD6197">
        <w:tab/>
        <w:t>means necessary for purchase and operation of a spectrum management system, including radio monitoring station equipment, direction finders, computers, software, materials, amortization of buildings, etc.</w:t>
      </w:r>
    </w:p>
    <w:p w:rsidR="008E2005" w:rsidRPr="00BD6197" w:rsidRDefault="008E2005" w:rsidP="008E2005">
      <w:pPr>
        <w:pStyle w:val="Equationlegend"/>
        <w:rPr>
          <w:i/>
          <w:iCs/>
        </w:rPr>
      </w:pPr>
      <w:r w:rsidRPr="00BD6197">
        <w:tab/>
      </w:r>
      <w:r w:rsidRPr="00BD6197">
        <w:rPr>
          <w:i/>
          <w:iCs/>
        </w:rPr>
        <w:t>C</w:t>
      </w:r>
      <w:r w:rsidRPr="00BD6197">
        <w:rPr>
          <w:vertAlign w:val="subscript"/>
        </w:rPr>
        <w:t>12</w:t>
      </w:r>
      <w:r w:rsidRPr="00BD6197">
        <w:rPr>
          <w:sz w:val="12"/>
        </w:rPr>
        <w:t> </w:t>
      </w:r>
      <w:r w:rsidRPr="00BD6197">
        <w:t>:</w:t>
      </w:r>
      <w:r w:rsidRPr="00BD6197">
        <w:tab/>
        <w:t>means necessary for carrying out scientific research, purchase of scientific literature and recommendations, electromagnetic compatibility analysis, frequency assignment, coordination, etc.</w:t>
      </w:r>
    </w:p>
    <w:p w:rsidR="008E2005" w:rsidRPr="00BD6197" w:rsidRDefault="008E2005" w:rsidP="008E2005">
      <w:pPr>
        <w:pStyle w:val="Equationlegend"/>
      </w:pPr>
      <w:r w:rsidRPr="00BD6197">
        <w:tab/>
      </w:r>
      <w:r w:rsidRPr="00BD6197">
        <w:rPr>
          <w:i/>
          <w:iCs/>
        </w:rPr>
        <w:t>C</w:t>
      </w:r>
      <w:r w:rsidRPr="00BD6197">
        <w:rPr>
          <w:vertAlign w:val="subscript"/>
        </w:rPr>
        <w:t>13</w:t>
      </w:r>
      <w:r w:rsidRPr="00BD6197">
        <w:rPr>
          <w:sz w:val="12"/>
        </w:rPr>
        <w:t> </w:t>
      </w:r>
      <w:r w:rsidRPr="00BD6197">
        <w:t>:</w:t>
      </w:r>
      <w:r w:rsidRPr="00BD6197">
        <w:tab/>
        <w:t>spectrum management staff salaries.</w:t>
      </w:r>
    </w:p>
    <w:p w:rsidR="008E2005" w:rsidRPr="00BD6197" w:rsidRDefault="008E2005" w:rsidP="008E2005">
      <w:pPr>
        <w:rPr>
          <w:rFonts w:ascii="Arial" w:hAnsi="Arial"/>
          <w:lang w:val="en-US"/>
        </w:rPr>
      </w:pPr>
      <w:r w:rsidRPr="00BD6197">
        <w:rPr>
          <w:lang w:val="en-US"/>
        </w:rPr>
        <w:lastRenderedPageBreak/>
        <w:t xml:space="preserve">Taxes are not included in the amounts </w:t>
      </w:r>
      <w:r w:rsidRPr="00BD6197">
        <w:rPr>
          <w:i/>
          <w:iCs/>
          <w:lang w:val="en-US"/>
        </w:rPr>
        <w:t>C</w:t>
      </w:r>
      <w:r w:rsidRPr="00BD6197">
        <w:rPr>
          <w:vertAlign w:val="subscript"/>
          <w:lang w:val="en-US"/>
        </w:rPr>
        <w:t>11</w:t>
      </w:r>
      <w:r w:rsidRPr="00BD6197">
        <w:rPr>
          <w:lang w:val="en-US"/>
        </w:rPr>
        <w:t xml:space="preserve">, </w:t>
      </w:r>
      <w:r w:rsidRPr="00BD6197">
        <w:rPr>
          <w:i/>
          <w:iCs/>
          <w:lang w:val="en-US"/>
        </w:rPr>
        <w:t>C</w:t>
      </w:r>
      <w:r w:rsidRPr="00BD6197">
        <w:rPr>
          <w:vertAlign w:val="subscript"/>
          <w:lang w:val="en-US"/>
        </w:rPr>
        <w:t>12</w:t>
      </w:r>
      <w:r w:rsidRPr="00BD6197">
        <w:rPr>
          <w:lang w:val="en-US"/>
        </w:rPr>
        <w:t xml:space="preserve">, </w:t>
      </w:r>
      <w:r w:rsidRPr="00BD6197">
        <w:rPr>
          <w:i/>
          <w:iCs/>
          <w:lang w:val="en-US"/>
        </w:rPr>
        <w:t>C</w:t>
      </w:r>
      <w:r w:rsidRPr="00BD6197">
        <w:rPr>
          <w:vertAlign w:val="subscript"/>
          <w:lang w:val="en-US"/>
        </w:rPr>
        <w:t>13</w:t>
      </w:r>
      <w:r w:rsidRPr="00BD6197">
        <w:rPr>
          <w:lang w:val="en-US"/>
        </w:rPr>
        <w:t>.</w:t>
      </w:r>
    </w:p>
    <w:p w:rsidR="008E2005" w:rsidRPr="00BD6197" w:rsidRDefault="008E2005" w:rsidP="008E2005">
      <w:pPr>
        <w:rPr>
          <w:lang w:val="en-US"/>
        </w:rPr>
      </w:pPr>
      <w:r w:rsidRPr="00BD6197">
        <w:rPr>
          <w:i/>
          <w:iCs/>
          <w:lang w:val="en-US"/>
        </w:rPr>
        <w:t>C</w:t>
      </w:r>
      <w:r w:rsidRPr="00BD6197">
        <w:rPr>
          <w:vertAlign w:val="subscript"/>
          <w:lang w:val="en-US"/>
        </w:rPr>
        <w:t>2</w:t>
      </w:r>
      <w:r w:rsidRPr="00BD6197">
        <w:rPr>
          <w:lang w:val="en-US"/>
        </w:rPr>
        <w:t xml:space="preserve"> can be separated into the following components:</w:t>
      </w:r>
    </w:p>
    <w:p w:rsidR="008E2005" w:rsidRPr="00BD6197" w:rsidRDefault="008E2005" w:rsidP="008E2005">
      <w:pPr>
        <w:pStyle w:val="Blanc"/>
        <w:rPr>
          <w:lang w:val="en-US"/>
        </w:rPr>
      </w:pPr>
    </w:p>
    <w:p w:rsidR="008E2005" w:rsidRPr="00BD6197" w:rsidRDefault="008E2005" w:rsidP="00C26A17">
      <w:pPr>
        <w:pStyle w:val="Equation"/>
        <w:rPr>
          <w:lang w:val="en-US"/>
        </w:rPr>
      </w:pPr>
      <w:r w:rsidRPr="00BD6197">
        <w:rPr>
          <w:lang w:val="en-US"/>
        </w:rPr>
        <w:tab/>
      </w:r>
      <w:r w:rsidRPr="00BD6197">
        <w:rPr>
          <w:lang w:val="en-US"/>
        </w:rPr>
        <w:tab/>
      </w:r>
      <w:r w:rsidRPr="00BD6197">
        <w:rPr>
          <w:position w:val="-10"/>
          <w:lang w:val="en-US"/>
        </w:rPr>
        <w:object w:dxaOrig="1560" w:dyaOrig="340">
          <v:shape id="_x0000_i1124" type="#_x0000_t75" style="width:77.25pt;height:17.25pt" o:ole="">
            <v:imagedata r:id="rId223" o:title=""/>
          </v:shape>
          <o:OLEObject Type="Embed" ProgID="Equation.3" ShapeID="_x0000_i1124" DrawAspect="Content" ObjectID="_1604325078" r:id="rId224"/>
        </w:object>
      </w:r>
      <w:r w:rsidRPr="00BD6197">
        <w:rPr>
          <w:lang w:val="en-US"/>
        </w:rPr>
        <w:tab/>
        <w:t>(5</w:t>
      </w:r>
      <w:r w:rsidR="00C26A17">
        <w:rPr>
          <w:lang w:val="en-US"/>
        </w:rPr>
        <w:t>8</w:t>
      </w:r>
      <w:r w:rsidRPr="00BD6197">
        <w:rPr>
          <w:lang w:val="en-US"/>
        </w:rPr>
        <w:t>)</w:t>
      </w:r>
    </w:p>
    <w:p w:rsidR="008E2005" w:rsidRPr="00BD6197" w:rsidRDefault="008E2005" w:rsidP="008E2005">
      <w:pPr>
        <w:rPr>
          <w:lang w:val="en-US"/>
        </w:rPr>
      </w:pPr>
      <w:r w:rsidRPr="00BD6197">
        <w:rPr>
          <w:lang w:val="en-US"/>
        </w:rPr>
        <w:t>where:</w:t>
      </w:r>
    </w:p>
    <w:p w:rsidR="008E2005" w:rsidRPr="00BD6197" w:rsidRDefault="008E2005" w:rsidP="008E2005">
      <w:pPr>
        <w:pStyle w:val="Equationlegend"/>
      </w:pPr>
      <w:r w:rsidRPr="00BD6197">
        <w:tab/>
      </w:r>
      <w:r w:rsidRPr="00BD6197">
        <w:rPr>
          <w:i/>
          <w:iCs/>
        </w:rPr>
        <w:t>C</w:t>
      </w:r>
      <w:r w:rsidRPr="00BD6197">
        <w:rPr>
          <w:vertAlign w:val="subscript"/>
        </w:rPr>
        <w:t>21</w:t>
      </w:r>
      <w:r w:rsidRPr="00BD6197">
        <w:rPr>
          <w:rFonts w:ascii="Tms Rmn" w:hAnsi="Tms Rmn"/>
          <w:sz w:val="12"/>
        </w:rPr>
        <w:t> </w:t>
      </w:r>
      <w:r w:rsidRPr="00BD6197">
        <w:t>:</w:t>
      </w:r>
      <w:r w:rsidRPr="00BD6197">
        <w:rPr>
          <w:rFonts w:ascii="Tms Rmn" w:hAnsi="Tms Rmn"/>
        </w:rPr>
        <w:tab/>
      </w:r>
      <w:r w:rsidRPr="00BD6197">
        <w:t>taxes imposed by State spectrum management agency on telecommunications equipment, software, materials etc.</w:t>
      </w:r>
      <w:r>
        <w:t>;</w:t>
      </w:r>
    </w:p>
    <w:p w:rsidR="008E2005" w:rsidRPr="00BD6197" w:rsidRDefault="008E2005" w:rsidP="008E2005">
      <w:pPr>
        <w:pStyle w:val="Equationlegend"/>
      </w:pPr>
      <w:r w:rsidRPr="00BD6197">
        <w:tab/>
      </w:r>
      <w:r w:rsidRPr="00BD6197">
        <w:rPr>
          <w:i/>
          <w:iCs/>
        </w:rPr>
        <w:t>C</w:t>
      </w:r>
      <w:r w:rsidRPr="00BD6197">
        <w:rPr>
          <w:vertAlign w:val="subscript"/>
        </w:rPr>
        <w:t>22</w:t>
      </w:r>
      <w:r w:rsidRPr="00BD6197">
        <w:rPr>
          <w:rFonts w:ascii="Tms Rmn" w:hAnsi="Tms Rmn"/>
          <w:sz w:val="12"/>
        </w:rPr>
        <w:t> </w:t>
      </w:r>
      <w:r w:rsidRPr="00BD6197">
        <w:t>:</w:t>
      </w:r>
      <w:r w:rsidRPr="00BD6197">
        <w:rPr>
          <w:rFonts w:ascii="Tms Rmn" w:hAnsi="Tms Rmn"/>
        </w:rPr>
        <w:tab/>
      </w:r>
      <w:r w:rsidRPr="00BD6197">
        <w:t xml:space="preserve">payments for spectrum use. At present in Kyrgyzstan, to encourage development of radiocommunications services </w:t>
      </w:r>
      <w:r w:rsidRPr="00BD6197">
        <w:rPr>
          <w:i/>
          <w:iCs/>
        </w:rPr>
        <w:t>C</w:t>
      </w:r>
      <w:r w:rsidRPr="00BD6197">
        <w:rPr>
          <w:vertAlign w:val="subscript"/>
        </w:rPr>
        <w:t>22</w:t>
      </w:r>
      <w:r w:rsidRPr="00BD6197">
        <w:t> </w:t>
      </w:r>
      <w:r w:rsidRPr="00BD6197">
        <w:rPr>
          <w:rFonts w:ascii="Symbol" w:hAnsi="Symbol"/>
        </w:rPr>
        <w:t></w:t>
      </w:r>
      <w:r w:rsidRPr="00BD6197">
        <w:t> 0.</w:t>
      </w:r>
    </w:p>
    <w:p w:rsidR="008E2005" w:rsidRPr="00BD6197" w:rsidRDefault="008E2005" w:rsidP="00C26A17">
      <w:pPr>
        <w:rPr>
          <w:lang w:val="en-US"/>
        </w:rPr>
      </w:pPr>
      <w:r w:rsidRPr="00BD6197">
        <w:rPr>
          <w:lang w:val="en-US"/>
        </w:rPr>
        <w:t>Formulas (5</w:t>
      </w:r>
      <w:r w:rsidR="00C26A17">
        <w:rPr>
          <w:lang w:val="en-US"/>
        </w:rPr>
        <w:t>6</w:t>
      </w:r>
      <w:r w:rsidRPr="00BD6197">
        <w:rPr>
          <w:lang w:val="en-US"/>
        </w:rPr>
        <w:t>) and (5</w:t>
      </w:r>
      <w:r w:rsidR="00C26A17">
        <w:rPr>
          <w:lang w:val="en-US"/>
        </w:rPr>
        <w:t>8</w:t>
      </w:r>
      <w:r w:rsidRPr="00BD6197">
        <w:rPr>
          <w:lang w:val="en-US"/>
        </w:rPr>
        <w:t>) do not take into account the indirect income of the State taxes on the incomes of telecommunication operators whose activity is connected with radio-frequency resource use (for example, taxes from the income of cellular communication operators). This component of the income of the State is essential and exceeds component </w:t>
      </w:r>
      <w:r w:rsidRPr="00BD6197">
        <w:rPr>
          <w:i/>
          <w:iCs/>
          <w:lang w:val="en-US"/>
        </w:rPr>
        <w:t>C</w:t>
      </w:r>
      <w:r w:rsidRPr="00BD6197">
        <w:rPr>
          <w:vertAlign w:val="subscript"/>
          <w:lang w:val="en-US"/>
        </w:rPr>
        <w:t>22</w:t>
      </w:r>
      <w:r w:rsidRPr="00BD6197">
        <w:rPr>
          <w:lang w:val="en-US"/>
        </w:rPr>
        <w:t>.</w:t>
      </w:r>
    </w:p>
    <w:p w:rsidR="008E2005" w:rsidRPr="00BD6197" w:rsidRDefault="008E2005" w:rsidP="008E2005">
      <w:pPr>
        <w:rPr>
          <w:lang w:val="en-US"/>
        </w:rPr>
      </w:pPr>
      <w:r w:rsidRPr="00BD6197">
        <w:rPr>
          <w:lang w:val="en-US"/>
        </w:rPr>
        <w:t xml:space="preserve">In essence </w:t>
      </w:r>
      <w:r w:rsidRPr="00BD6197">
        <w:rPr>
          <w:i/>
          <w:iCs/>
          <w:lang w:val="en-US"/>
        </w:rPr>
        <w:t>C</w:t>
      </w:r>
      <w:r w:rsidRPr="00BD6197">
        <w:rPr>
          <w:vertAlign w:val="subscript"/>
          <w:lang w:val="en-US"/>
        </w:rPr>
        <w:t>22</w:t>
      </w:r>
      <w:r w:rsidRPr="00BD6197">
        <w:rPr>
          <w:lang w:val="en-US"/>
        </w:rPr>
        <w:t xml:space="preserve"> is an initial payment for spectrum. However, no telecommunication operator, especially in the developing countries, will immediately be able to make a large payment and this would be an obstacle to development. A good way to provide an economic incentive is reducing to a minimum the </w:t>
      </w:r>
      <w:r w:rsidRPr="00BD6197">
        <w:rPr>
          <w:i/>
          <w:iCs/>
          <w:lang w:val="en-US"/>
        </w:rPr>
        <w:t>C</w:t>
      </w:r>
      <w:r w:rsidRPr="00BD6197">
        <w:rPr>
          <w:vertAlign w:val="subscript"/>
          <w:lang w:val="en-US"/>
        </w:rPr>
        <w:t>22</w:t>
      </w:r>
      <w:r w:rsidRPr="00BD6197">
        <w:rPr>
          <w:position w:val="-4"/>
          <w:sz w:val="16"/>
          <w:lang w:val="en-US"/>
        </w:rPr>
        <w:t xml:space="preserve"> </w:t>
      </w:r>
      <w:r w:rsidRPr="00BD6197">
        <w:rPr>
          <w:lang w:val="en-US"/>
        </w:rPr>
        <w:t>component, so that the telecommunication operator may begin to provide service with no initial spectrum payment. The loss,</w:t>
      </w:r>
      <w:r w:rsidRPr="00BD6197">
        <w:rPr>
          <w:sz w:val="28"/>
          <w:lang w:val="en-US"/>
        </w:rPr>
        <w:t xml:space="preserve"> </w:t>
      </w:r>
      <w:r w:rsidRPr="00BD6197">
        <w:rPr>
          <w:i/>
          <w:iCs/>
          <w:lang w:val="en-US"/>
        </w:rPr>
        <w:t>C</w:t>
      </w:r>
      <w:r w:rsidRPr="00BD6197">
        <w:rPr>
          <w:vertAlign w:val="subscript"/>
          <w:lang w:val="en-US"/>
        </w:rPr>
        <w:t>22</w:t>
      </w:r>
      <w:r w:rsidRPr="00BD6197">
        <w:rPr>
          <w:lang w:val="en-US"/>
        </w:rPr>
        <w:t>,</w:t>
      </w:r>
      <w:r w:rsidRPr="00BD6197">
        <w:rPr>
          <w:position w:val="-5"/>
          <w:sz w:val="18"/>
          <w:vertAlign w:val="subscript"/>
          <w:lang w:val="en-US"/>
        </w:rPr>
        <w:t xml:space="preserve"> </w:t>
      </w:r>
      <w:r w:rsidRPr="00BD6197">
        <w:rPr>
          <w:lang w:val="en-US"/>
        </w:rPr>
        <w:t>will be compensated for the State by the taxes from the telecommunication operator’s activity.</w:t>
      </w:r>
    </w:p>
    <w:p w:rsidR="008E2005" w:rsidRPr="00BD6197" w:rsidRDefault="008E2005" w:rsidP="008E2005">
      <w:pPr>
        <w:keepNext/>
        <w:keepLines/>
        <w:rPr>
          <w:lang w:val="en-US"/>
        </w:rPr>
      </w:pPr>
      <w:r w:rsidRPr="00BD6197">
        <w:rPr>
          <w:lang w:val="en-US"/>
        </w:rPr>
        <w:t>Thus, for the purposes of rapid development of telecommunication and information services in the country and the provision of economic incentives to the telecommunication operators, it is essential to hold spectrum payments</w:t>
      </w:r>
      <w:r w:rsidRPr="00BD6197">
        <w:rPr>
          <w:b/>
          <w:lang w:val="en-US"/>
        </w:rPr>
        <w:t xml:space="preserve"> </w:t>
      </w:r>
      <w:r w:rsidRPr="00BD6197">
        <w:rPr>
          <w:lang w:val="en-US"/>
        </w:rPr>
        <w:t>to the minimum</w:t>
      </w:r>
      <w:r w:rsidRPr="00BD6197">
        <w:rPr>
          <w:b/>
          <w:lang w:val="en-US"/>
        </w:rPr>
        <w:t xml:space="preserve"> </w:t>
      </w:r>
      <w:r w:rsidRPr="00BD6197">
        <w:rPr>
          <w:lang w:val="en-US"/>
        </w:rPr>
        <w:t>necessary for covering the costs of spectrum management.</w:t>
      </w:r>
    </w:p>
    <w:p w:rsidR="008E2005" w:rsidRPr="00BD6197" w:rsidRDefault="008E2005" w:rsidP="008E2005">
      <w:pPr>
        <w:pStyle w:val="Heading4"/>
        <w:rPr>
          <w:lang w:val="en-US"/>
        </w:rPr>
      </w:pPr>
      <w:bookmarkStart w:id="2064" w:name="_Toc497033221"/>
      <w:bookmarkStart w:id="2065" w:name="_Toc497034019"/>
      <w:r w:rsidRPr="00BD6197">
        <w:rPr>
          <w:lang w:val="en-US"/>
        </w:rPr>
        <w:t>5.2.6.2</w:t>
      </w:r>
      <w:r w:rsidRPr="00BD6197">
        <w:rPr>
          <w:lang w:val="en-US"/>
        </w:rPr>
        <w:tab/>
        <w:t>Determination of the value of the radio spectrum</w:t>
      </w:r>
      <w:bookmarkEnd w:id="2064"/>
      <w:bookmarkEnd w:id="2065"/>
    </w:p>
    <w:p w:rsidR="008E2005" w:rsidRPr="00BD6197" w:rsidRDefault="008E2005" w:rsidP="00C26A17">
      <w:pPr>
        <w:rPr>
          <w:lang w:val="en-US"/>
        </w:rPr>
      </w:pPr>
      <w:r w:rsidRPr="00BD6197">
        <w:rPr>
          <w:lang w:val="en-US"/>
        </w:rPr>
        <w:t>Proceeding from formulas (5</w:t>
      </w:r>
      <w:r w:rsidR="00C26A17">
        <w:rPr>
          <w:lang w:val="en-US"/>
        </w:rPr>
        <w:t>6</w:t>
      </w:r>
      <w:r w:rsidRPr="00BD6197">
        <w:rPr>
          <w:lang w:val="en-US"/>
        </w:rPr>
        <w:t>), (5</w:t>
      </w:r>
      <w:r w:rsidR="00C26A17">
        <w:rPr>
          <w:lang w:val="en-US"/>
        </w:rPr>
        <w:t>7</w:t>
      </w:r>
      <w:r w:rsidRPr="00BD6197">
        <w:rPr>
          <w:lang w:val="en-US"/>
        </w:rPr>
        <w:t>) and (5</w:t>
      </w:r>
      <w:r w:rsidR="00C26A17">
        <w:rPr>
          <w:lang w:val="en-US"/>
        </w:rPr>
        <w:t>8</w:t>
      </w:r>
      <w:r w:rsidRPr="00BD6197">
        <w:rPr>
          <w:lang w:val="en-US"/>
        </w:rPr>
        <w:t xml:space="preserve">) it is possible to determine </w:t>
      </w:r>
      <w:r w:rsidRPr="00BD6197">
        <w:rPr>
          <w:i/>
          <w:iCs/>
          <w:lang w:val="en-US"/>
        </w:rPr>
        <w:t>C</w:t>
      </w:r>
      <w:r w:rsidRPr="00BD6197">
        <w:rPr>
          <w:i/>
          <w:iCs/>
          <w:vertAlign w:val="subscript"/>
          <w:lang w:val="en-US"/>
        </w:rPr>
        <w:t>ann</w:t>
      </w:r>
      <w:r w:rsidRPr="00BD6197">
        <w:rPr>
          <w:lang w:val="en-US"/>
        </w:rPr>
        <w:t>, representing annual payment for all radio</w:t>
      </w:r>
      <w:r w:rsidRPr="00BD6197">
        <w:rPr>
          <w:lang w:val="en-US"/>
        </w:rPr>
        <w:noBreakHyphen/>
        <w:t>frequency resource, used in the country. Further this amount is necessary for collecting from all telecommunication operators using radio-frequency spectrum on a fair and non</w:t>
      </w:r>
      <w:r w:rsidRPr="00BD6197">
        <w:rPr>
          <w:lang w:val="en-US"/>
        </w:rPr>
        <w:noBreakHyphen/>
        <w:t>discriminatory basis. To accomplish this, according to this Report and the ITU World Telecommunication Development Conference (Valetta, 1998), it is necessary to determine the value of the spectrum used by each operator.</w:t>
      </w:r>
    </w:p>
    <w:p w:rsidR="008E2005" w:rsidRPr="00BD6197" w:rsidRDefault="008E2005" w:rsidP="008E2005">
      <w:pPr>
        <w:rPr>
          <w:lang w:val="en-US"/>
        </w:rPr>
      </w:pPr>
      <w:r w:rsidRPr="00BD6197">
        <w:rPr>
          <w:lang w:val="en-US"/>
        </w:rPr>
        <w:t>Limitations regarding use of frequency assignments are given to users by the NCA. These limitations concern installation and operation of their radio equipment. The necessary information on all frequency assignments (frequency bands, transmitter capacity, geographical coordinates, antenna type and height of its installation, etc.) is stored in the national database. Total frequency assignments are designated as “</w:t>
      </w:r>
      <w:r w:rsidRPr="00BD6197">
        <w:rPr>
          <w:i/>
          <w:iCs/>
          <w:lang w:val="en-US"/>
        </w:rPr>
        <w:t>n</w:t>
      </w:r>
      <w:r w:rsidRPr="00BD6197">
        <w:rPr>
          <w:lang w:val="en-US"/>
        </w:rPr>
        <w:t>”.</w:t>
      </w:r>
    </w:p>
    <w:p w:rsidR="008E2005" w:rsidRPr="00BD6197" w:rsidRDefault="008E2005" w:rsidP="008E2005">
      <w:pPr>
        <w:rPr>
          <w:lang w:val="en-US"/>
        </w:rPr>
      </w:pPr>
      <w:r w:rsidRPr="00BD6197">
        <w:rPr>
          <w:lang w:val="en-US"/>
        </w:rPr>
        <w:t>The method used is as follows.</w:t>
      </w:r>
    </w:p>
    <w:p w:rsidR="008E2005" w:rsidRPr="00BD6197" w:rsidRDefault="008E2005" w:rsidP="008E2005">
      <w:pPr>
        <w:rPr>
          <w:lang w:val="en-US"/>
        </w:rPr>
      </w:pPr>
      <w:r w:rsidRPr="00BD6197">
        <w:rPr>
          <w:lang w:val="en-US"/>
        </w:rPr>
        <w:t xml:space="preserve">For any </w:t>
      </w:r>
      <w:r w:rsidRPr="00BD6197">
        <w:rPr>
          <w:i/>
          <w:iCs/>
          <w:lang w:val="en-US"/>
        </w:rPr>
        <w:t>i</w:t>
      </w:r>
      <w:r w:rsidRPr="00BD6197">
        <w:rPr>
          <w:lang w:val="en-US"/>
        </w:rPr>
        <w:t>-th user on the basis of its frequency assignment characteristic incorporated in the national database, it is possible to determine a three-dimensional value of the spectrum used, as follows:</w:t>
      </w:r>
    </w:p>
    <w:p w:rsidR="008E2005" w:rsidRPr="00BD6197" w:rsidRDefault="008E2005" w:rsidP="008E2005">
      <w:pPr>
        <w:pStyle w:val="Blanc"/>
        <w:rPr>
          <w:lang w:val="en-US"/>
        </w:rPr>
      </w:pPr>
    </w:p>
    <w:p w:rsidR="008E2005" w:rsidRPr="00BD6197" w:rsidRDefault="008E2005" w:rsidP="00C26A17">
      <w:pPr>
        <w:pStyle w:val="Equation"/>
        <w:rPr>
          <w:lang w:val="en-US"/>
        </w:rPr>
      </w:pPr>
      <w:r w:rsidRPr="00BD6197">
        <w:rPr>
          <w:lang w:val="en-US"/>
        </w:rPr>
        <w:tab/>
      </w:r>
      <w:r w:rsidRPr="00BD6197">
        <w:rPr>
          <w:lang w:val="en-US"/>
        </w:rPr>
        <w:tab/>
      </w:r>
      <w:r w:rsidRPr="00BD6197">
        <w:rPr>
          <w:position w:val="-12"/>
          <w:lang w:val="en-US"/>
        </w:rPr>
        <w:object w:dxaOrig="1520" w:dyaOrig="360">
          <v:shape id="_x0000_i1125" type="#_x0000_t75" style="width:76.5pt;height:19.5pt" o:ole="">
            <v:imagedata r:id="rId225" o:title=""/>
          </v:shape>
          <o:OLEObject Type="Embed" ProgID="Equation.3" ShapeID="_x0000_i1125" DrawAspect="Content" ObjectID="_1604325079" r:id="rId226"/>
        </w:object>
      </w:r>
      <w:r w:rsidRPr="00BD6197">
        <w:rPr>
          <w:lang w:val="en-US"/>
        </w:rPr>
        <w:tab/>
        <w:t>(5</w:t>
      </w:r>
      <w:r w:rsidR="00C26A17">
        <w:rPr>
          <w:lang w:val="en-US"/>
        </w:rPr>
        <w:t>9</w:t>
      </w:r>
      <w:r w:rsidRPr="00BD6197">
        <w:rPr>
          <w:lang w:val="en-US"/>
        </w:rPr>
        <w:t>)</w:t>
      </w:r>
    </w:p>
    <w:p w:rsidR="008E2005" w:rsidRPr="00BD6197" w:rsidRDefault="008E2005" w:rsidP="008E2005">
      <w:pPr>
        <w:pStyle w:val="Blanc"/>
        <w:rPr>
          <w:lang w:val="en-US"/>
        </w:rPr>
      </w:pPr>
    </w:p>
    <w:p w:rsidR="008E2005" w:rsidRPr="00BD6197" w:rsidRDefault="008E2005" w:rsidP="008E2005">
      <w:pPr>
        <w:rPr>
          <w:lang w:val="en-US"/>
        </w:rPr>
      </w:pPr>
      <w:r w:rsidRPr="00BD6197">
        <w:rPr>
          <w:lang w:val="en-US"/>
        </w:rPr>
        <w:t>where:</w:t>
      </w:r>
    </w:p>
    <w:p w:rsidR="008E2005" w:rsidRPr="00BD6197" w:rsidRDefault="008E2005" w:rsidP="008E2005">
      <w:pPr>
        <w:pStyle w:val="Equationlegend"/>
      </w:pPr>
      <w:r w:rsidRPr="00BD6197">
        <w:tab/>
      </w:r>
      <w:r w:rsidRPr="00BD6197">
        <w:rPr>
          <w:i/>
          <w:iCs/>
        </w:rPr>
        <w:t>Z</w:t>
      </w:r>
      <w:r w:rsidRPr="00BD6197">
        <w:rPr>
          <w:i/>
          <w:iCs/>
          <w:vertAlign w:val="subscript"/>
        </w:rPr>
        <w:t>i</w:t>
      </w:r>
      <w:r w:rsidRPr="00BD6197">
        <w:rPr>
          <w:sz w:val="12"/>
        </w:rPr>
        <w:t> </w:t>
      </w:r>
      <w:r w:rsidRPr="00BD6197">
        <w:t>:</w:t>
      </w:r>
      <w:r w:rsidRPr="00BD6197">
        <w:tab/>
        <w:t xml:space="preserve">frequency resource used for </w:t>
      </w:r>
      <w:r w:rsidRPr="00BD6197">
        <w:rPr>
          <w:i/>
          <w:iCs/>
        </w:rPr>
        <w:t>i</w:t>
      </w:r>
      <w:r w:rsidRPr="00BD6197">
        <w:t>-th frequency assignment</w:t>
      </w:r>
    </w:p>
    <w:p w:rsidR="008E2005" w:rsidRPr="00BD6197" w:rsidRDefault="008E2005" w:rsidP="008E2005">
      <w:pPr>
        <w:pStyle w:val="Equationlegend"/>
      </w:pPr>
      <w:r w:rsidRPr="00BD6197">
        <w:tab/>
      </w:r>
      <w:r w:rsidRPr="00BD6197">
        <w:rPr>
          <w:i/>
          <w:iCs/>
        </w:rPr>
        <w:t>F</w:t>
      </w:r>
      <w:r w:rsidRPr="00BD6197">
        <w:rPr>
          <w:i/>
          <w:iCs/>
          <w:vertAlign w:val="subscript"/>
        </w:rPr>
        <w:t>i</w:t>
      </w:r>
      <w:r w:rsidRPr="00BD6197">
        <w:rPr>
          <w:sz w:val="12"/>
        </w:rPr>
        <w:t> </w:t>
      </w:r>
      <w:r w:rsidRPr="00BD6197">
        <w:t>:</w:t>
      </w:r>
      <w:r w:rsidRPr="00BD6197">
        <w:tab/>
        <w:t xml:space="preserve">radio frequency band used for </w:t>
      </w:r>
      <w:r w:rsidRPr="00BD6197">
        <w:rPr>
          <w:i/>
          <w:iCs/>
        </w:rPr>
        <w:t>i</w:t>
      </w:r>
      <w:r w:rsidRPr="00BD6197">
        <w:t>-th frequency assignment</w:t>
      </w:r>
    </w:p>
    <w:p w:rsidR="008E2005" w:rsidRPr="00BD6197" w:rsidRDefault="008E2005" w:rsidP="008E2005">
      <w:pPr>
        <w:pStyle w:val="Equationlegend"/>
      </w:pPr>
      <w:r w:rsidRPr="00BD6197">
        <w:lastRenderedPageBreak/>
        <w:tab/>
      </w:r>
      <w:r w:rsidRPr="00BD6197">
        <w:rPr>
          <w:i/>
          <w:iCs/>
        </w:rPr>
        <w:t>S</w:t>
      </w:r>
      <w:r w:rsidRPr="00BD6197">
        <w:rPr>
          <w:i/>
          <w:iCs/>
          <w:vertAlign w:val="subscript"/>
        </w:rPr>
        <w:t>i</w:t>
      </w:r>
      <w:r w:rsidRPr="00BD6197">
        <w:rPr>
          <w:sz w:val="12"/>
        </w:rPr>
        <w:t> </w:t>
      </w:r>
      <w:r w:rsidRPr="00BD6197">
        <w:t>:</w:t>
      </w:r>
      <w:r w:rsidRPr="00BD6197">
        <w:tab/>
        <w:t xml:space="preserve">area of the territory used for </w:t>
      </w:r>
      <w:r w:rsidRPr="00BD6197">
        <w:rPr>
          <w:i/>
          <w:iCs/>
        </w:rPr>
        <w:t>i</w:t>
      </w:r>
      <w:r w:rsidRPr="00BD6197">
        <w:t>-th frequency assignment</w:t>
      </w:r>
    </w:p>
    <w:p w:rsidR="008E2005" w:rsidRPr="00BD6197" w:rsidRDefault="008E2005" w:rsidP="008E2005">
      <w:pPr>
        <w:pStyle w:val="Equationlegend"/>
      </w:pPr>
      <w:r w:rsidRPr="00BD6197">
        <w:tab/>
      </w:r>
      <w:r w:rsidRPr="00BD6197">
        <w:rPr>
          <w:i/>
          <w:iCs/>
        </w:rPr>
        <w:t>t</w:t>
      </w:r>
      <w:r w:rsidRPr="00BD6197">
        <w:rPr>
          <w:sz w:val="12"/>
        </w:rPr>
        <w:t> </w:t>
      </w:r>
      <w:r w:rsidRPr="00BD6197">
        <w:t>:</w:t>
      </w:r>
      <w:r w:rsidRPr="00BD6197">
        <w:tab/>
        <w:t>time.</w:t>
      </w:r>
    </w:p>
    <w:p w:rsidR="008E2005" w:rsidRPr="00BD6197" w:rsidRDefault="008E2005" w:rsidP="008E2005">
      <w:pPr>
        <w:rPr>
          <w:lang w:val="en-US"/>
        </w:rPr>
      </w:pPr>
      <w:r w:rsidRPr="00BD6197">
        <w:rPr>
          <w:lang w:val="en-US"/>
        </w:rPr>
        <w:t>Each component may be considered in more detail:</w:t>
      </w:r>
    </w:p>
    <w:p w:rsidR="008E2005" w:rsidRPr="00BD6197" w:rsidRDefault="008E2005" w:rsidP="008E2005">
      <w:pPr>
        <w:pStyle w:val="enumlev1"/>
        <w:rPr>
          <w:lang w:val="en-US"/>
        </w:rPr>
      </w:pPr>
      <w:r w:rsidRPr="00BD6197">
        <w:rPr>
          <w:lang w:val="en-US"/>
        </w:rPr>
        <w:t>a)</w:t>
      </w:r>
      <w:r w:rsidRPr="00BD6197">
        <w:rPr>
          <w:rFonts w:ascii="Arial" w:hAnsi="Arial"/>
          <w:lang w:val="en-US"/>
        </w:rPr>
        <w:tab/>
      </w:r>
      <w:r w:rsidRPr="00BD6197">
        <w:rPr>
          <w:bCs/>
          <w:lang w:val="en-US"/>
        </w:rPr>
        <w:t>The</w:t>
      </w:r>
      <w:r w:rsidRPr="00BD6197">
        <w:rPr>
          <w:lang w:val="en-US"/>
        </w:rPr>
        <w:t xml:space="preserve"> time </w:t>
      </w:r>
      <w:r w:rsidRPr="00BD6197">
        <w:rPr>
          <w:i/>
          <w:iCs/>
          <w:lang w:val="en-US"/>
        </w:rPr>
        <w:t>t</w:t>
      </w:r>
      <w:r w:rsidRPr="00BD6197">
        <w:rPr>
          <w:lang w:val="en-US"/>
        </w:rPr>
        <w:t xml:space="preserve"> for all users is equal to one year (</w:t>
      </w:r>
      <w:r w:rsidRPr="00BD6197">
        <w:rPr>
          <w:i/>
          <w:iCs/>
          <w:lang w:val="en-US"/>
        </w:rPr>
        <w:t>t</w:t>
      </w:r>
      <w:r w:rsidRPr="00BD6197">
        <w:rPr>
          <w:lang w:val="en-US"/>
        </w:rPr>
        <w:t> </w:t>
      </w:r>
      <w:r w:rsidRPr="00BD6197">
        <w:rPr>
          <w:rFonts w:ascii="Symbol" w:hAnsi="Symbol"/>
          <w:lang w:val="en-US"/>
        </w:rPr>
        <w:t></w:t>
      </w:r>
      <w:r w:rsidRPr="00BD6197">
        <w:rPr>
          <w:lang w:val="en-US"/>
        </w:rPr>
        <w:t> 1).</w:t>
      </w:r>
    </w:p>
    <w:p w:rsidR="008E2005" w:rsidRPr="00BD6197" w:rsidRDefault="008E2005" w:rsidP="00AA04B2">
      <w:pPr>
        <w:pStyle w:val="enumlev1"/>
        <w:rPr>
          <w:lang w:val="en-US"/>
        </w:rPr>
      </w:pPr>
      <w:r w:rsidRPr="00BD6197">
        <w:rPr>
          <w:lang w:val="en-US"/>
        </w:rPr>
        <w:t>b)</w:t>
      </w:r>
      <w:r w:rsidRPr="00BD6197">
        <w:rPr>
          <w:lang w:val="en-US"/>
        </w:rPr>
        <w:tab/>
        <w:t xml:space="preserve">The population density of the territory is not uniform. The high population density area is more attractive to the telecommunication service operator. Therefore, the whole territory of the republic is divided into, </w:t>
      </w:r>
      <w:r w:rsidRPr="00BD6197">
        <w:rPr>
          <w:i/>
          <w:iCs/>
          <w:lang w:val="en-US"/>
        </w:rPr>
        <w:t>m</w:t>
      </w:r>
      <w:r w:rsidRPr="00BD6197">
        <w:rPr>
          <w:lang w:val="en-US"/>
        </w:rPr>
        <w:t xml:space="preserve">, territories according to its administrative structure and for each </w:t>
      </w:r>
      <w:r w:rsidRPr="00BD6197">
        <w:rPr>
          <w:i/>
          <w:iCs/>
          <w:lang w:val="en-US"/>
        </w:rPr>
        <w:t>j</w:t>
      </w:r>
      <w:r w:rsidRPr="00BD6197">
        <w:rPr>
          <w:lang w:val="en-US"/>
        </w:rPr>
        <w:t>-th territory, 1 </w:t>
      </w:r>
      <w:r w:rsidRPr="00BD6197">
        <w:rPr>
          <w:lang w:val="en-US"/>
        </w:rPr>
        <w:sym w:font="Symbol" w:char="F0A3"/>
      </w:r>
      <w:r w:rsidRPr="00BD6197">
        <w:rPr>
          <w:lang w:val="en-US"/>
        </w:rPr>
        <w:t> </w:t>
      </w:r>
      <w:r w:rsidRPr="00BD6197">
        <w:rPr>
          <w:i/>
          <w:iCs/>
          <w:lang w:val="en-US"/>
        </w:rPr>
        <w:t>j</w:t>
      </w:r>
      <w:r w:rsidRPr="00BD6197">
        <w:rPr>
          <w:lang w:val="en-US"/>
        </w:rPr>
        <w:t> </w:t>
      </w:r>
      <w:r w:rsidRPr="00BD6197">
        <w:rPr>
          <w:lang w:val="en-US"/>
        </w:rPr>
        <w:sym w:font="Symbol" w:char="F0A3"/>
      </w:r>
      <w:r w:rsidRPr="00BD6197">
        <w:rPr>
          <w:lang w:val="en-US"/>
        </w:rPr>
        <w:t> </w:t>
      </w:r>
      <w:r w:rsidRPr="00BD6197">
        <w:rPr>
          <w:i/>
          <w:iCs/>
          <w:lang w:val="en-US"/>
        </w:rPr>
        <w:t>m</w:t>
      </w:r>
      <w:r w:rsidRPr="00BD6197">
        <w:rPr>
          <w:lang w:val="en-US"/>
        </w:rPr>
        <w:t xml:space="preserve">, the population density coefficient (according to the data of the census) is </w:t>
      </w:r>
      <w:r w:rsidRPr="00BD6197">
        <w:rPr>
          <w:i/>
          <w:iCs/>
          <w:lang w:val="en-US"/>
        </w:rPr>
        <w:t>K</w:t>
      </w:r>
      <w:r w:rsidRPr="00BD6197">
        <w:rPr>
          <w:i/>
          <w:iCs/>
          <w:vertAlign w:val="subscript"/>
          <w:lang w:val="en-US"/>
        </w:rPr>
        <w:t>j</w:t>
      </w:r>
      <w:r w:rsidRPr="00BD6197">
        <w:rPr>
          <w:lang w:val="en-US"/>
        </w:rPr>
        <w:t xml:space="preserve"> (see Table 2</w:t>
      </w:r>
      <w:r w:rsidR="00AA04B2">
        <w:rPr>
          <w:lang w:val="en-US"/>
        </w:rPr>
        <w:t>6</w:t>
      </w:r>
      <w:r w:rsidRPr="00BD6197">
        <w:rPr>
          <w:lang w:val="en-US"/>
        </w:rPr>
        <w:t xml:space="preserve">). </w:t>
      </w:r>
      <w:r w:rsidRPr="00BD6197">
        <w:rPr>
          <w:i/>
          <w:iCs/>
          <w:lang w:val="en-US"/>
        </w:rPr>
        <w:t>K</w:t>
      </w:r>
      <w:r w:rsidRPr="00BD6197">
        <w:rPr>
          <w:i/>
          <w:iCs/>
          <w:vertAlign w:val="subscript"/>
          <w:lang w:val="en-US"/>
        </w:rPr>
        <w:t>j</w:t>
      </w:r>
      <w:r w:rsidRPr="00BD6197">
        <w:rPr>
          <w:lang w:val="en-US"/>
        </w:rPr>
        <w:t> = 1 for the area with the lowest population density.</w:t>
      </w:r>
    </w:p>
    <w:p w:rsidR="008E2005" w:rsidRPr="00BD6197" w:rsidRDefault="008E2005" w:rsidP="00AA04B2">
      <w:pPr>
        <w:pStyle w:val="TableNo"/>
        <w:rPr>
          <w:lang w:val="en-US"/>
        </w:rPr>
      </w:pPr>
      <w:r w:rsidRPr="00BD6197">
        <w:rPr>
          <w:lang w:val="en-US"/>
        </w:rPr>
        <w:t>TABLE 2</w:t>
      </w:r>
      <w:r w:rsidR="00AA04B2">
        <w:rPr>
          <w:lang w:val="en-US"/>
        </w:rPr>
        <w:t>6</w:t>
      </w:r>
    </w:p>
    <w:p w:rsidR="008E2005" w:rsidRPr="00BD6197" w:rsidRDefault="008E2005" w:rsidP="008E2005">
      <w:pPr>
        <w:pStyle w:val="Tabletitle"/>
        <w:keepLines/>
        <w:rPr>
          <w:lang w:val="en-US"/>
        </w:rPr>
      </w:pPr>
      <w:r w:rsidRPr="00BD6197">
        <w:rPr>
          <w:lang w:val="en-US"/>
        </w:rPr>
        <w:t xml:space="preserve">Population density coefficient for various </w:t>
      </w:r>
      <w:r w:rsidRPr="00BD6197">
        <w:rPr>
          <w:lang w:val="en-US"/>
        </w:rPr>
        <w:br/>
        <w:t>territories of the Kyrgyz Republic</w:t>
      </w:r>
    </w:p>
    <w:tbl>
      <w:tblPr>
        <w:tblW w:w="0" w:type="auto"/>
        <w:jc w:val="center"/>
        <w:tblBorders>
          <w:top w:val="single" w:sz="4"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6237"/>
        <w:gridCol w:w="1134"/>
      </w:tblGrid>
      <w:tr w:rsidR="008E2005" w:rsidRPr="00BD6197" w:rsidTr="000F2BA7">
        <w:trPr>
          <w:cantSplit/>
          <w:jc w:val="center"/>
        </w:trPr>
        <w:tc>
          <w:tcPr>
            <w:tcW w:w="6237" w:type="dxa"/>
          </w:tcPr>
          <w:p w:rsidR="008E2005" w:rsidRPr="00BD6197" w:rsidRDefault="008E2005" w:rsidP="000F2BA7">
            <w:pPr>
              <w:pStyle w:val="Tablehead"/>
              <w:rPr>
                <w:lang w:val="en-US"/>
              </w:rPr>
            </w:pPr>
            <w:r w:rsidRPr="00BD6197">
              <w:rPr>
                <w:lang w:val="en-US"/>
              </w:rPr>
              <w:t>Designation – Province (oblast)</w:t>
            </w:r>
          </w:p>
        </w:tc>
        <w:tc>
          <w:tcPr>
            <w:tcW w:w="1134" w:type="dxa"/>
          </w:tcPr>
          <w:p w:rsidR="008E2005" w:rsidRPr="00BD6197" w:rsidRDefault="008E2005" w:rsidP="000F2BA7">
            <w:pPr>
              <w:pStyle w:val="Tablehead"/>
              <w:rPr>
                <w:i/>
                <w:iCs/>
                <w:lang w:val="en-US"/>
              </w:rPr>
            </w:pPr>
            <w:r w:rsidRPr="00BD6197">
              <w:rPr>
                <w:i/>
                <w:iCs/>
                <w:lang w:val="en-US"/>
              </w:rPr>
              <w:t>B</w:t>
            </w:r>
            <w:r w:rsidRPr="00BD6197">
              <w:rPr>
                <w:i/>
                <w:iCs/>
                <w:position w:val="-4"/>
                <w:lang w:val="en-US"/>
              </w:rPr>
              <w:t>j</w:t>
            </w:r>
          </w:p>
        </w:tc>
      </w:tr>
      <w:tr w:rsidR="008E2005" w:rsidRPr="00BD6197" w:rsidTr="000F2BA7">
        <w:trPr>
          <w:cantSplit/>
          <w:jc w:val="center"/>
        </w:trPr>
        <w:tc>
          <w:tcPr>
            <w:tcW w:w="6237" w:type="dxa"/>
          </w:tcPr>
          <w:p w:rsidR="008E2005" w:rsidRPr="00BD6197" w:rsidRDefault="008E2005" w:rsidP="000F2BA7">
            <w:pPr>
              <w:pStyle w:val="Tabletext"/>
              <w:rPr>
                <w:lang w:val="en-US"/>
              </w:rPr>
            </w:pPr>
            <w:r w:rsidRPr="00BD6197">
              <w:rPr>
                <w:lang w:val="en-US"/>
              </w:rPr>
              <w:t>Naryn</w:t>
            </w:r>
          </w:p>
        </w:tc>
        <w:tc>
          <w:tcPr>
            <w:tcW w:w="1134" w:type="dxa"/>
          </w:tcPr>
          <w:p w:rsidR="008E2005" w:rsidRPr="00BD6197" w:rsidRDefault="008E2005" w:rsidP="000F2BA7">
            <w:pPr>
              <w:pStyle w:val="Tabletext"/>
              <w:jc w:val="center"/>
              <w:rPr>
                <w:lang w:val="en-US"/>
              </w:rPr>
            </w:pPr>
            <w:r w:rsidRPr="00BD6197">
              <w:rPr>
                <w:lang w:val="en-US"/>
              </w:rPr>
              <w:t>1</w:t>
            </w:r>
          </w:p>
        </w:tc>
      </w:tr>
      <w:tr w:rsidR="008E2005" w:rsidRPr="00BD6197" w:rsidTr="000F2BA7">
        <w:trPr>
          <w:cantSplit/>
          <w:jc w:val="center"/>
        </w:trPr>
        <w:tc>
          <w:tcPr>
            <w:tcW w:w="6237" w:type="dxa"/>
          </w:tcPr>
          <w:p w:rsidR="008E2005" w:rsidRPr="00BD6197" w:rsidRDefault="008E2005" w:rsidP="000F2BA7">
            <w:pPr>
              <w:pStyle w:val="Tabletext"/>
              <w:rPr>
                <w:lang w:val="en-US"/>
              </w:rPr>
            </w:pPr>
            <w:r w:rsidRPr="00BD6197">
              <w:rPr>
                <w:lang w:val="en-US"/>
              </w:rPr>
              <w:t>Talas</w:t>
            </w:r>
          </w:p>
        </w:tc>
        <w:tc>
          <w:tcPr>
            <w:tcW w:w="1134" w:type="dxa"/>
          </w:tcPr>
          <w:p w:rsidR="008E2005" w:rsidRPr="00BD6197" w:rsidRDefault="008E2005" w:rsidP="000F2BA7">
            <w:pPr>
              <w:pStyle w:val="Tabletext"/>
              <w:jc w:val="center"/>
              <w:rPr>
                <w:lang w:val="en-US"/>
              </w:rPr>
            </w:pPr>
            <w:r w:rsidRPr="00BD6197">
              <w:rPr>
                <w:lang w:val="en-US"/>
              </w:rPr>
              <w:t>3.7</w:t>
            </w:r>
          </w:p>
        </w:tc>
      </w:tr>
      <w:tr w:rsidR="008E2005" w:rsidRPr="00BD6197" w:rsidTr="000F2BA7">
        <w:trPr>
          <w:cantSplit/>
          <w:jc w:val="center"/>
        </w:trPr>
        <w:tc>
          <w:tcPr>
            <w:tcW w:w="6237" w:type="dxa"/>
          </w:tcPr>
          <w:p w:rsidR="008E2005" w:rsidRPr="00BD6197" w:rsidRDefault="008E2005" w:rsidP="000F2BA7">
            <w:pPr>
              <w:pStyle w:val="Tabletext"/>
              <w:rPr>
                <w:lang w:val="en-US"/>
              </w:rPr>
            </w:pPr>
            <w:r w:rsidRPr="00BD6197">
              <w:rPr>
                <w:lang w:val="en-US"/>
              </w:rPr>
              <w:t>Issyk-Kul</w:t>
            </w:r>
          </w:p>
        </w:tc>
        <w:tc>
          <w:tcPr>
            <w:tcW w:w="1134" w:type="dxa"/>
          </w:tcPr>
          <w:p w:rsidR="008E2005" w:rsidRPr="00BD6197" w:rsidRDefault="008E2005" w:rsidP="000F2BA7">
            <w:pPr>
              <w:pStyle w:val="Tabletext"/>
              <w:jc w:val="center"/>
              <w:rPr>
                <w:lang w:val="en-US"/>
              </w:rPr>
            </w:pPr>
            <w:r w:rsidRPr="00BD6197">
              <w:rPr>
                <w:lang w:val="en-US"/>
              </w:rPr>
              <w:t>3.5</w:t>
            </w:r>
          </w:p>
        </w:tc>
      </w:tr>
      <w:tr w:rsidR="008E2005" w:rsidRPr="00BD6197" w:rsidTr="000F2BA7">
        <w:trPr>
          <w:cantSplit/>
          <w:jc w:val="center"/>
        </w:trPr>
        <w:tc>
          <w:tcPr>
            <w:tcW w:w="6237" w:type="dxa"/>
          </w:tcPr>
          <w:p w:rsidR="008E2005" w:rsidRPr="00BD6197" w:rsidRDefault="008E2005" w:rsidP="000F2BA7">
            <w:pPr>
              <w:pStyle w:val="Tabletext"/>
              <w:rPr>
                <w:lang w:val="en-US"/>
              </w:rPr>
            </w:pPr>
            <w:r w:rsidRPr="00BD6197">
              <w:rPr>
                <w:lang w:val="en-US"/>
              </w:rPr>
              <w:t>Jalal-Abad</w:t>
            </w:r>
          </w:p>
        </w:tc>
        <w:tc>
          <w:tcPr>
            <w:tcW w:w="1134" w:type="dxa"/>
          </w:tcPr>
          <w:p w:rsidR="008E2005" w:rsidRPr="00BD6197" w:rsidRDefault="008E2005" w:rsidP="000F2BA7">
            <w:pPr>
              <w:pStyle w:val="Tabletext"/>
              <w:jc w:val="center"/>
              <w:rPr>
                <w:lang w:val="en-US"/>
              </w:rPr>
            </w:pPr>
            <w:r w:rsidRPr="00BD6197">
              <w:rPr>
                <w:lang w:val="en-US"/>
              </w:rPr>
              <w:t>5.6</w:t>
            </w:r>
          </w:p>
        </w:tc>
      </w:tr>
      <w:tr w:rsidR="008E2005" w:rsidRPr="00BD6197" w:rsidTr="000F2BA7">
        <w:trPr>
          <w:cantSplit/>
          <w:jc w:val="center"/>
        </w:trPr>
        <w:tc>
          <w:tcPr>
            <w:tcW w:w="6237" w:type="dxa"/>
          </w:tcPr>
          <w:p w:rsidR="008E2005" w:rsidRPr="00BD6197" w:rsidRDefault="008E2005" w:rsidP="000F2BA7">
            <w:pPr>
              <w:pStyle w:val="Tabletext"/>
              <w:rPr>
                <w:lang w:val="en-US"/>
              </w:rPr>
            </w:pPr>
            <w:r w:rsidRPr="00BD6197">
              <w:rPr>
                <w:lang w:val="en-US"/>
              </w:rPr>
              <w:t>Osh</w:t>
            </w:r>
          </w:p>
        </w:tc>
        <w:tc>
          <w:tcPr>
            <w:tcW w:w="1134" w:type="dxa"/>
          </w:tcPr>
          <w:p w:rsidR="008E2005" w:rsidRPr="00BD6197" w:rsidRDefault="008E2005" w:rsidP="000F2BA7">
            <w:pPr>
              <w:pStyle w:val="Tabletext"/>
              <w:jc w:val="center"/>
              <w:rPr>
                <w:lang w:val="en-US"/>
              </w:rPr>
            </w:pPr>
            <w:r w:rsidRPr="00BD6197">
              <w:rPr>
                <w:lang w:val="en-US"/>
              </w:rPr>
              <w:t>5</w:t>
            </w:r>
          </w:p>
        </w:tc>
      </w:tr>
      <w:tr w:rsidR="008E2005" w:rsidRPr="00BD6197" w:rsidTr="000F2BA7">
        <w:trPr>
          <w:cantSplit/>
          <w:jc w:val="center"/>
        </w:trPr>
        <w:tc>
          <w:tcPr>
            <w:tcW w:w="6237" w:type="dxa"/>
          </w:tcPr>
          <w:p w:rsidR="008E2005" w:rsidRPr="00BD6197" w:rsidRDefault="008E2005" w:rsidP="000F2BA7">
            <w:pPr>
              <w:pStyle w:val="Tabletext"/>
              <w:rPr>
                <w:lang w:val="en-US"/>
              </w:rPr>
            </w:pPr>
            <w:r w:rsidRPr="00BD6197">
              <w:rPr>
                <w:lang w:val="en-US"/>
              </w:rPr>
              <w:t>Chuy</w:t>
            </w:r>
          </w:p>
        </w:tc>
        <w:tc>
          <w:tcPr>
            <w:tcW w:w="1134" w:type="dxa"/>
          </w:tcPr>
          <w:p w:rsidR="008E2005" w:rsidRPr="00BD6197" w:rsidRDefault="008E2005" w:rsidP="000F2BA7">
            <w:pPr>
              <w:pStyle w:val="Tabletext"/>
              <w:jc w:val="center"/>
              <w:rPr>
                <w:lang w:val="en-US"/>
              </w:rPr>
            </w:pPr>
            <w:r w:rsidRPr="00BD6197">
              <w:rPr>
                <w:lang w:val="en-US"/>
              </w:rPr>
              <w:t>8</w:t>
            </w:r>
          </w:p>
        </w:tc>
      </w:tr>
      <w:tr w:rsidR="008E2005" w:rsidRPr="00D17B5B" w:rsidTr="000F2BA7">
        <w:trPr>
          <w:cantSplit/>
          <w:jc w:val="center"/>
        </w:trPr>
        <w:tc>
          <w:tcPr>
            <w:tcW w:w="7371" w:type="dxa"/>
            <w:gridSpan w:val="2"/>
          </w:tcPr>
          <w:p w:rsidR="008E2005" w:rsidRPr="00BD6197" w:rsidRDefault="008E2005" w:rsidP="000F2BA7">
            <w:pPr>
              <w:pStyle w:val="Tablehead"/>
              <w:rPr>
                <w:lang w:val="en-US"/>
              </w:rPr>
            </w:pPr>
            <w:r w:rsidRPr="00BD6197">
              <w:rPr>
                <w:lang w:val="en-US"/>
              </w:rPr>
              <w:t>Cities and settlement of an urban type</w:t>
            </w:r>
          </w:p>
        </w:tc>
      </w:tr>
      <w:tr w:rsidR="008E2005" w:rsidRPr="00BD6197" w:rsidTr="000F2BA7">
        <w:trPr>
          <w:cantSplit/>
          <w:jc w:val="center"/>
        </w:trPr>
        <w:tc>
          <w:tcPr>
            <w:tcW w:w="6237" w:type="dxa"/>
          </w:tcPr>
          <w:p w:rsidR="008E2005" w:rsidRPr="00BD6197" w:rsidRDefault="008E2005" w:rsidP="000F2BA7">
            <w:pPr>
              <w:pStyle w:val="Tabletext"/>
              <w:rPr>
                <w:lang w:val="en-US"/>
              </w:rPr>
            </w:pPr>
            <w:r w:rsidRPr="00BD6197">
              <w:rPr>
                <w:lang w:val="en-US"/>
              </w:rPr>
              <w:t>With a population of 10</w:t>
            </w:r>
            <w:r w:rsidRPr="00BD6197">
              <w:rPr>
                <w:rFonts w:ascii="Tms Rmn" w:hAnsi="Tms Rmn"/>
                <w:lang w:val="en-US"/>
              </w:rPr>
              <w:t> </w:t>
            </w:r>
            <w:r w:rsidRPr="00BD6197">
              <w:rPr>
                <w:lang w:val="en-US"/>
              </w:rPr>
              <w:t>000 to 50</w:t>
            </w:r>
            <w:r w:rsidRPr="00BD6197">
              <w:rPr>
                <w:rFonts w:ascii="Tms Rmn" w:hAnsi="Tms Rmn"/>
                <w:lang w:val="en-US"/>
              </w:rPr>
              <w:t> </w:t>
            </w:r>
            <w:r w:rsidRPr="00BD6197">
              <w:rPr>
                <w:lang w:val="en-US"/>
              </w:rPr>
              <w:t>000 inhabitants</w:t>
            </w:r>
          </w:p>
        </w:tc>
        <w:tc>
          <w:tcPr>
            <w:tcW w:w="1134" w:type="dxa"/>
          </w:tcPr>
          <w:p w:rsidR="008E2005" w:rsidRPr="00BD6197" w:rsidRDefault="008E2005" w:rsidP="000F2BA7">
            <w:pPr>
              <w:pStyle w:val="Tabletext"/>
              <w:jc w:val="center"/>
              <w:rPr>
                <w:lang w:val="en-US"/>
              </w:rPr>
            </w:pPr>
            <w:r w:rsidRPr="00BD6197">
              <w:rPr>
                <w:lang w:val="en-US"/>
              </w:rPr>
              <w:t>16</w:t>
            </w:r>
          </w:p>
        </w:tc>
      </w:tr>
      <w:tr w:rsidR="008E2005" w:rsidRPr="00BD6197" w:rsidTr="000F2BA7">
        <w:trPr>
          <w:cantSplit/>
          <w:jc w:val="center"/>
        </w:trPr>
        <w:tc>
          <w:tcPr>
            <w:tcW w:w="6237" w:type="dxa"/>
          </w:tcPr>
          <w:p w:rsidR="008E2005" w:rsidRPr="00BD6197" w:rsidRDefault="008E2005" w:rsidP="000F2BA7">
            <w:pPr>
              <w:pStyle w:val="Tabletext"/>
              <w:rPr>
                <w:lang w:val="en-US"/>
              </w:rPr>
            </w:pPr>
            <w:r w:rsidRPr="00BD6197">
              <w:rPr>
                <w:lang w:val="en-US"/>
              </w:rPr>
              <w:t>With a population of 50</w:t>
            </w:r>
            <w:r w:rsidRPr="00BD6197">
              <w:rPr>
                <w:rFonts w:ascii="Tms Rmn" w:hAnsi="Tms Rmn"/>
                <w:lang w:val="en-US"/>
              </w:rPr>
              <w:t> </w:t>
            </w:r>
            <w:r w:rsidRPr="00BD6197">
              <w:rPr>
                <w:lang w:val="en-US"/>
              </w:rPr>
              <w:t>000 to 100</w:t>
            </w:r>
            <w:r w:rsidRPr="00BD6197">
              <w:rPr>
                <w:rFonts w:ascii="Tms Rmn" w:hAnsi="Tms Rmn"/>
                <w:lang w:val="en-US"/>
              </w:rPr>
              <w:t> </w:t>
            </w:r>
            <w:r w:rsidRPr="00BD6197">
              <w:rPr>
                <w:lang w:val="en-US"/>
              </w:rPr>
              <w:t>000 inhabitants</w:t>
            </w:r>
          </w:p>
        </w:tc>
        <w:tc>
          <w:tcPr>
            <w:tcW w:w="1134" w:type="dxa"/>
          </w:tcPr>
          <w:p w:rsidR="008E2005" w:rsidRPr="00BD6197" w:rsidRDefault="008E2005" w:rsidP="000F2BA7">
            <w:pPr>
              <w:pStyle w:val="Tabletext"/>
              <w:jc w:val="center"/>
              <w:rPr>
                <w:lang w:val="en-US"/>
              </w:rPr>
            </w:pPr>
            <w:r w:rsidRPr="00BD6197">
              <w:rPr>
                <w:lang w:val="en-US"/>
              </w:rPr>
              <w:t>32</w:t>
            </w:r>
          </w:p>
        </w:tc>
      </w:tr>
      <w:tr w:rsidR="008E2005" w:rsidRPr="00BD6197" w:rsidTr="000F2BA7">
        <w:trPr>
          <w:cantSplit/>
          <w:jc w:val="center"/>
        </w:trPr>
        <w:tc>
          <w:tcPr>
            <w:tcW w:w="6237" w:type="dxa"/>
          </w:tcPr>
          <w:p w:rsidR="008E2005" w:rsidRPr="00BD6197" w:rsidRDefault="008E2005" w:rsidP="000F2BA7">
            <w:pPr>
              <w:pStyle w:val="Tabletext"/>
              <w:rPr>
                <w:lang w:val="en-US"/>
              </w:rPr>
            </w:pPr>
            <w:r w:rsidRPr="00BD6197">
              <w:rPr>
                <w:lang w:val="en-US"/>
              </w:rPr>
              <w:t>With a population of 100</w:t>
            </w:r>
            <w:r w:rsidRPr="00BD6197">
              <w:rPr>
                <w:rFonts w:ascii="Tms Rmn" w:hAnsi="Tms Rmn"/>
                <w:lang w:val="en-US"/>
              </w:rPr>
              <w:t> </w:t>
            </w:r>
            <w:r w:rsidRPr="00BD6197">
              <w:rPr>
                <w:lang w:val="en-US"/>
              </w:rPr>
              <w:t>000 to 500</w:t>
            </w:r>
            <w:r w:rsidRPr="00BD6197">
              <w:rPr>
                <w:rFonts w:ascii="Tms Rmn" w:hAnsi="Tms Rmn"/>
                <w:lang w:val="en-US"/>
              </w:rPr>
              <w:t> </w:t>
            </w:r>
            <w:r w:rsidRPr="00BD6197">
              <w:rPr>
                <w:lang w:val="en-US"/>
              </w:rPr>
              <w:t>000 inhabitants</w:t>
            </w:r>
          </w:p>
        </w:tc>
        <w:tc>
          <w:tcPr>
            <w:tcW w:w="1134" w:type="dxa"/>
          </w:tcPr>
          <w:p w:rsidR="008E2005" w:rsidRPr="00BD6197" w:rsidRDefault="008E2005" w:rsidP="000F2BA7">
            <w:pPr>
              <w:pStyle w:val="Tabletext"/>
              <w:jc w:val="center"/>
              <w:rPr>
                <w:lang w:val="en-US"/>
              </w:rPr>
            </w:pPr>
            <w:r w:rsidRPr="00BD6197">
              <w:rPr>
                <w:lang w:val="en-US"/>
              </w:rPr>
              <w:t>64</w:t>
            </w:r>
          </w:p>
        </w:tc>
      </w:tr>
      <w:tr w:rsidR="008E2005" w:rsidRPr="00BD6197" w:rsidTr="000F2BA7">
        <w:trPr>
          <w:cantSplit/>
          <w:jc w:val="center"/>
        </w:trPr>
        <w:tc>
          <w:tcPr>
            <w:tcW w:w="6237" w:type="dxa"/>
          </w:tcPr>
          <w:p w:rsidR="008E2005" w:rsidRPr="00BD6197" w:rsidRDefault="008E2005" w:rsidP="000F2BA7">
            <w:pPr>
              <w:pStyle w:val="Tabletext"/>
              <w:rPr>
                <w:lang w:val="en-US"/>
              </w:rPr>
            </w:pPr>
            <w:r w:rsidRPr="00BD6197">
              <w:rPr>
                <w:lang w:val="en-US"/>
              </w:rPr>
              <w:t>With a population over 500</w:t>
            </w:r>
            <w:r w:rsidRPr="00BD6197">
              <w:rPr>
                <w:rFonts w:ascii="Tms Rmn" w:hAnsi="Tms Rmn"/>
                <w:lang w:val="en-US"/>
              </w:rPr>
              <w:t> </w:t>
            </w:r>
            <w:r w:rsidRPr="00BD6197">
              <w:rPr>
                <w:lang w:val="en-US"/>
              </w:rPr>
              <w:t>000 inhabitants</w:t>
            </w:r>
          </w:p>
        </w:tc>
        <w:tc>
          <w:tcPr>
            <w:tcW w:w="1134" w:type="dxa"/>
          </w:tcPr>
          <w:p w:rsidR="008E2005" w:rsidRPr="00BD6197" w:rsidRDefault="008E2005" w:rsidP="000F2BA7">
            <w:pPr>
              <w:pStyle w:val="Tabletext"/>
              <w:jc w:val="center"/>
              <w:rPr>
                <w:lang w:val="en-US"/>
              </w:rPr>
            </w:pPr>
            <w:r w:rsidRPr="00BD6197">
              <w:rPr>
                <w:lang w:val="en-US"/>
              </w:rPr>
              <w:t>128</w:t>
            </w:r>
          </w:p>
        </w:tc>
      </w:tr>
    </w:tbl>
    <w:p w:rsidR="008E2005" w:rsidRPr="00BD6197" w:rsidRDefault="008E2005" w:rsidP="008E2005">
      <w:pPr>
        <w:pStyle w:val="Tablefin"/>
        <w:rPr>
          <w:lang w:val="en-US"/>
        </w:rPr>
      </w:pPr>
    </w:p>
    <w:p w:rsidR="008E2005" w:rsidRPr="00BD6197" w:rsidRDefault="008E2005" w:rsidP="008E2005">
      <w:pPr>
        <w:rPr>
          <w:lang w:val="en-US"/>
        </w:rPr>
      </w:pPr>
      <w:r w:rsidRPr="00BD6197">
        <w:rPr>
          <w:lang w:val="en-US"/>
        </w:rPr>
        <w:t xml:space="preserve">The population density coefficient permits a fair annual payment for users. Then, if the coordination area of </w:t>
      </w:r>
      <w:r w:rsidRPr="00BD6197">
        <w:rPr>
          <w:i/>
          <w:iCs/>
          <w:lang w:val="en-US"/>
        </w:rPr>
        <w:t>i</w:t>
      </w:r>
      <w:r w:rsidRPr="00BD6197">
        <w:rPr>
          <w:lang w:val="en-US"/>
        </w:rPr>
        <w:noBreakHyphen/>
        <w:t xml:space="preserve">th frequency assignment covers, </w:t>
      </w:r>
      <w:r w:rsidRPr="00BD6197">
        <w:rPr>
          <w:i/>
          <w:iCs/>
          <w:lang w:val="en-US"/>
        </w:rPr>
        <w:t>q</w:t>
      </w:r>
      <w:r w:rsidRPr="00BD6197">
        <w:rPr>
          <w:lang w:val="en-US"/>
        </w:rPr>
        <w:t>, sites in different territories, the area is determined as follows:</w:t>
      </w:r>
    </w:p>
    <w:p w:rsidR="008E2005" w:rsidRPr="00BD6197" w:rsidRDefault="008E2005" w:rsidP="008E2005">
      <w:pPr>
        <w:pStyle w:val="Blanc"/>
        <w:rPr>
          <w:lang w:val="en-US"/>
        </w:rPr>
      </w:pPr>
    </w:p>
    <w:p w:rsidR="008E2005" w:rsidRPr="00BD6197" w:rsidRDefault="008E2005" w:rsidP="00C26A17">
      <w:pPr>
        <w:pStyle w:val="Equation"/>
        <w:rPr>
          <w:lang w:val="en-US"/>
        </w:rPr>
      </w:pPr>
      <w:r w:rsidRPr="00BD6197">
        <w:rPr>
          <w:lang w:val="en-US"/>
        </w:rPr>
        <w:tab/>
      </w:r>
      <w:r w:rsidRPr="00BD6197">
        <w:rPr>
          <w:lang w:val="en-US"/>
        </w:rPr>
        <w:tab/>
      </w:r>
      <w:r w:rsidRPr="00BD6197">
        <w:rPr>
          <w:position w:val="-36"/>
          <w:sz w:val="20"/>
          <w:lang w:val="en-US"/>
        </w:rPr>
        <w:object w:dxaOrig="1500" w:dyaOrig="820">
          <v:shape id="_x0000_i1126" type="#_x0000_t75" style="width:73.5pt;height:40.5pt" o:ole="" fillcolor="window">
            <v:imagedata r:id="rId227" o:title=""/>
          </v:shape>
          <o:OLEObject Type="Embed" ProgID="Equation.3" ShapeID="_x0000_i1126" DrawAspect="Content" ObjectID="_1604325080" r:id="rId228"/>
        </w:object>
      </w:r>
      <w:r w:rsidRPr="00BD6197">
        <w:rPr>
          <w:lang w:val="en-US"/>
        </w:rPr>
        <w:t>               km</w:t>
      </w:r>
      <w:r w:rsidRPr="00BD6197">
        <w:rPr>
          <w:position w:val="6"/>
          <w:sz w:val="18"/>
          <w:lang w:val="en-US"/>
        </w:rPr>
        <w:t>2</w:t>
      </w:r>
      <w:r w:rsidRPr="00BD6197">
        <w:rPr>
          <w:lang w:val="en-US"/>
        </w:rPr>
        <w:tab/>
        <w:t>(</w:t>
      </w:r>
      <w:r w:rsidR="00C26A17">
        <w:rPr>
          <w:lang w:val="en-US"/>
        </w:rPr>
        <w:t>60</w:t>
      </w:r>
      <w:r w:rsidRPr="00BD6197">
        <w:rPr>
          <w:lang w:val="en-US"/>
        </w:rPr>
        <w:t>)</w:t>
      </w:r>
    </w:p>
    <w:p w:rsidR="008E2005" w:rsidRPr="00BD6197" w:rsidRDefault="008E2005" w:rsidP="008E2005">
      <w:pPr>
        <w:pStyle w:val="Blanc"/>
        <w:rPr>
          <w:lang w:val="en-US"/>
        </w:rPr>
      </w:pPr>
    </w:p>
    <w:p w:rsidR="008E2005" w:rsidRPr="00BD6197" w:rsidRDefault="008E2005" w:rsidP="008E2005">
      <w:pPr>
        <w:rPr>
          <w:lang w:val="en-US"/>
        </w:rPr>
      </w:pPr>
      <w:r w:rsidRPr="00BD6197">
        <w:rPr>
          <w:lang w:val="en-US"/>
        </w:rPr>
        <w:t>where:</w:t>
      </w:r>
    </w:p>
    <w:p w:rsidR="008E2005" w:rsidRPr="00BD6197" w:rsidRDefault="008E2005" w:rsidP="008E2005">
      <w:pPr>
        <w:pStyle w:val="Equationlegend"/>
      </w:pPr>
      <w:r w:rsidRPr="00BD6197">
        <w:tab/>
      </w:r>
      <w:r w:rsidRPr="00BD6197">
        <w:rPr>
          <w:i/>
          <w:iCs/>
        </w:rPr>
        <w:t>S</w:t>
      </w:r>
      <w:r w:rsidRPr="00BD6197">
        <w:rPr>
          <w:i/>
          <w:iCs/>
          <w:vertAlign w:val="subscript"/>
        </w:rPr>
        <w:t>i</w:t>
      </w:r>
      <w:r w:rsidRPr="00BD6197">
        <w:rPr>
          <w:sz w:val="12"/>
        </w:rPr>
        <w:t> </w:t>
      </w:r>
      <w:r w:rsidRPr="00BD6197">
        <w:t>:</w:t>
      </w:r>
      <w:r w:rsidRPr="00BD6197">
        <w:tab/>
        <w:t xml:space="preserve">area of the territory used by the </w:t>
      </w:r>
      <w:r w:rsidRPr="00BD6197">
        <w:rPr>
          <w:i/>
          <w:iCs/>
        </w:rPr>
        <w:t>i</w:t>
      </w:r>
      <w:r w:rsidRPr="00BD6197">
        <w:t>-th frequency assignment</w:t>
      </w:r>
      <w:r>
        <w:t>;</w:t>
      </w:r>
    </w:p>
    <w:p w:rsidR="008E2005" w:rsidRPr="00BD6197" w:rsidRDefault="008E2005" w:rsidP="008E2005">
      <w:pPr>
        <w:pStyle w:val="Equationlegend"/>
      </w:pPr>
      <w:r w:rsidRPr="00BD6197">
        <w:tab/>
      </w:r>
      <w:r w:rsidRPr="00BD6197">
        <w:rPr>
          <w:i/>
          <w:iCs/>
        </w:rPr>
        <w:t>q</w:t>
      </w:r>
      <w:r w:rsidRPr="00BD6197">
        <w:rPr>
          <w:sz w:val="12"/>
        </w:rPr>
        <w:t> </w:t>
      </w:r>
      <w:r w:rsidRPr="00BD6197">
        <w:t>:</w:t>
      </w:r>
      <w:r w:rsidRPr="00BD6197">
        <w:tab/>
        <w:t xml:space="preserve">overall number of territories covered by coordination area of </w:t>
      </w:r>
      <w:r w:rsidRPr="00BD6197">
        <w:rPr>
          <w:i/>
          <w:iCs/>
        </w:rPr>
        <w:t>i</w:t>
      </w:r>
      <w:r w:rsidRPr="00BD6197">
        <w:t>-th frequency assignment (</w:t>
      </w:r>
      <w:r w:rsidRPr="00BD6197">
        <w:rPr>
          <w:i/>
          <w:iCs/>
        </w:rPr>
        <w:t>q</w:t>
      </w:r>
      <w:r w:rsidRPr="00BD6197">
        <w:t> </w:t>
      </w:r>
      <w:r w:rsidRPr="00BD6197">
        <w:sym w:font="Symbol" w:char="F0A3"/>
      </w:r>
      <w:r w:rsidRPr="00BD6197">
        <w:t> </w:t>
      </w:r>
      <w:r w:rsidRPr="00BD6197">
        <w:rPr>
          <w:i/>
          <w:iCs/>
        </w:rPr>
        <w:t>m</w:t>
      </w:r>
      <w:r w:rsidRPr="00BD6197">
        <w:t>)</w:t>
      </w:r>
      <w:r>
        <w:t>;</w:t>
      </w:r>
    </w:p>
    <w:p w:rsidR="008E2005" w:rsidRPr="00BD6197" w:rsidRDefault="008E2005" w:rsidP="00AA04B2">
      <w:pPr>
        <w:pStyle w:val="Equationlegend"/>
      </w:pPr>
      <w:r w:rsidRPr="00BD6197">
        <w:tab/>
      </w:r>
      <w:r w:rsidRPr="00BD6197">
        <w:rPr>
          <w:i/>
          <w:iCs/>
        </w:rPr>
        <w:t>K</w:t>
      </w:r>
      <w:r w:rsidRPr="00BD6197">
        <w:rPr>
          <w:i/>
          <w:iCs/>
          <w:vertAlign w:val="subscript"/>
        </w:rPr>
        <w:t>j</w:t>
      </w:r>
      <w:r w:rsidRPr="00BD6197">
        <w:rPr>
          <w:sz w:val="12"/>
        </w:rPr>
        <w:t> </w:t>
      </w:r>
      <w:r w:rsidRPr="00BD6197">
        <w:t>:</w:t>
      </w:r>
      <w:r w:rsidRPr="00BD6197">
        <w:tab/>
        <w:t xml:space="preserve">population density coefficient in </w:t>
      </w:r>
      <w:r w:rsidRPr="00BD6197">
        <w:rPr>
          <w:i/>
          <w:iCs/>
        </w:rPr>
        <w:t>j</w:t>
      </w:r>
      <w:r w:rsidRPr="00BD6197">
        <w:t>-th territory (from Table 2</w:t>
      </w:r>
      <w:r w:rsidR="00AA04B2">
        <w:t>6</w:t>
      </w:r>
      <w:r w:rsidRPr="00BD6197">
        <w:t>)</w:t>
      </w:r>
      <w:r>
        <w:t>;</w:t>
      </w:r>
    </w:p>
    <w:p w:rsidR="008E2005" w:rsidRPr="00BD6197" w:rsidRDefault="008E2005" w:rsidP="008E2005">
      <w:pPr>
        <w:pStyle w:val="Equationlegend"/>
      </w:pPr>
      <w:r w:rsidRPr="00BD6197">
        <w:tab/>
      </w:r>
      <w:r w:rsidRPr="00BD6197">
        <w:sym w:font="Symbol" w:char="F06C"/>
      </w:r>
      <w:r w:rsidRPr="00BD6197">
        <w:rPr>
          <w:i/>
          <w:iCs/>
          <w:vertAlign w:val="subscript"/>
        </w:rPr>
        <w:t>j</w:t>
      </w:r>
      <w:r w:rsidRPr="00BD6197">
        <w:rPr>
          <w:sz w:val="12"/>
        </w:rPr>
        <w:t> </w:t>
      </w:r>
      <w:r w:rsidRPr="00BD6197">
        <w:t>:</w:t>
      </w:r>
      <w:r w:rsidRPr="00BD6197">
        <w:tab/>
        <w:t xml:space="preserve">area of coordination area site located in </w:t>
      </w:r>
      <w:r w:rsidRPr="00BD6197">
        <w:rPr>
          <w:i/>
          <w:iCs/>
        </w:rPr>
        <w:t>j</w:t>
      </w:r>
      <w:r w:rsidRPr="00BD6197">
        <w:t>-th territory.</w:t>
      </w:r>
    </w:p>
    <w:p w:rsidR="008E2005" w:rsidRPr="00BD6197" w:rsidRDefault="008E2005" w:rsidP="00AA04B2">
      <w:pPr>
        <w:pStyle w:val="enumlev1"/>
        <w:rPr>
          <w:lang w:val="en-US"/>
        </w:rPr>
      </w:pPr>
      <w:r w:rsidRPr="00BD6197">
        <w:rPr>
          <w:lang w:val="en-US"/>
        </w:rPr>
        <w:t>c</w:t>
      </w:r>
      <w:r w:rsidRPr="00BD6197">
        <w:rPr>
          <w:rFonts w:ascii="Arial" w:hAnsi="Arial"/>
          <w:lang w:val="en-US"/>
        </w:rPr>
        <w:t>)</w:t>
      </w:r>
      <w:r w:rsidRPr="00BD6197">
        <w:rPr>
          <w:rFonts w:ascii="Arial" w:hAnsi="Arial"/>
          <w:lang w:val="en-US"/>
        </w:rPr>
        <w:tab/>
      </w:r>
      <w:r w:rsidRPr="00BD6197">
        <w:rPr>
          <w:lang w:val="en-US"/>
        </w:rPr>
        <w:t xml:space="preserve">For each </w:t>
      </w:r>
      <w:r w:rsidRPr="00BD6197">
        <w:rPr>
          <w:i/>
          <w:iCs/>
          <w:lang w:val="en-US"/>
        </w:rPr>
        <w:t>i</w:t>
      </w:r>
      <w:r w:rsidRPr="00BD6197">
        <w:rPr>
          <w:lang w:val="en-US"/>
        </w:rPr>
        <w:t xml:space="preserve">-th frequency assignment, frequency band </w:t>
      </w:r>
      <w:r w:rsidRPr="00BD6197">
        <w:rPr>
          <w:lang w:val="en-US"/>
        </w:rPr>
        <w:sym w:font="Symbol" w:char="F044"/>
      </w:r>
      <w:r w:rsidRPr="00BD6197">
        <w:rPr>
          <w:i/>
          <w:iCs/>
          <w:lang w:val="en-US"/>
        </w:rPr>
        <w:t>f</w:t>
      </w:r>
      <w:r w:rsidRPr="00BD6197">
        <w:rPr>
          <w:i/>
          <w:iCs/>
          <w:vertAlign w:val="subscript"/>
          <w:lang w:val="en-US"/>
        </w:rPr>
        <w:t>i</w:t>
      </w:r>
      <w:r w:rsidRPr="00BD6197">
        <w:rPr>
          <w:lang w:val="en-US"/>
        </w:rPr>
        <w:t xml:space="preserve"> is used. But different ranges are used by various radiocom</w:t>
      </w:r>
      <w:r w:rsidRPr="00BD6197">
        <w:rPr>
          <w:lang w:val="en-US"/>
        </w:rPr>
        <w:softHyphen/>
        <w:t xml:space="preserve">munication services. Therefore there is a number of the coefficients, which are necessary to take into account, as they influence are the price of the frequency </w:t>
      </w:r>
      <w:r w:rsidRPr="00BD6197">
        <w:rPr>
          <w:lang w:val="en-US"/>
        </w:rPr>
        <w:lastRenderedPageBreak/>
        <w:t xml:space="preserve">band used. In the general case it is possible to determine the value of the used frequency band for </w:t>
      </w:r>
      <w:r w:rsidRPr="00BD6197">
        <w:rPr>
          <w:i/>
          <w:iCs/>
          <w:lang w:val="en-US"/>
        </w:rPr>
        <w:t>i</w:t>
      </w:r>
      <w:r w:rsidRPr="00BD6197">
        <w:rPr>
          <w:lang w:val="en-US"/>
        </w:rPr>
        <w:t>-th frequency assignment, as follows:</w:t>
      </w:r>
    </w:p>
    <w:p w:rsidR="008E2005" w:rsidRPr="00BD6197" w:rsidRDefault="008E2005" w:rsidP="008E2005">
      <w:pPr>
        <w:pStyle w:val="Blanc"/>
        <w:rPr>
          <w:lang w:val="en-US"/>
        </w:rPr>
      </w:pPr>
    </w:p>
    <w:p w:rsidR="008E2005" w:rsidRPr="00BD6197" w:rsidRDefault="008E2005" w:rsidP="00C26A17">
      <w:pPr>
        <w:pStyle w:val="Equation"/>
        <w:rPr>
          <w:lang w:val="en-US"/>
        </w:rPr>
      </w:pPr>
      <w:r w:rsidRPr="00BD6197">
        <w:rPr>
          <w:lang w:val="en-US"/>
        </w:rPr>
        <w:tab/>
      </w:r>
      <w:r w:rsidRPr="00BD6197">
        <w:rPr>
          <w:lang w:val="en-US"/>
        </w:rPr>
        <w:tab/>
      </w:r>
      <w:r w:rsidRPr="00BD6197">
        <w:rPr>
          <w:position w:val="-20"/>
          <w:lang w:val="en-US"/>
        </w:rPr>
        <w:object w:dxaOrig="1740" w:dyaOrig="440">
          <v:shape id="_x0000_i1127" type="#_x0000_t75" style="width:85.5pt;height:21.75pt" o:ole="">
            <v:imagedata r:id="rId229" o:title=""/>
          </v:shape>
          <o:OLEObject Type="Embed" ProgID="Equation.3" ShapeID="_x0000_i1127" DrawAspect="Content" ObjectID="_1604325081" r:id="rId230"/>
        </w:object>
      </w:r>
      <w:r w:rsidRPr="00BD6197">
        <w:rPr>
          <w:lang w:val="en-US"/>
        </w:rPr>
        <w:t>                    kHz</w:t>
      </w:r>
      <w:r w:rsidRPr="00BD6197">
        <w:rPr>
          <w:lang w:val="en-US"/>
        </w:rPr>
        <w:tab/>
        <w:t>(</w:t>
      </w:r>
      <w:r w:rsidR="00C26A17">
        <w:rPr>
          <w:lang w:val="en-US"/>
        </w:rPr>
        <w:t>61</w:t>
      </w:r>
      <w:r w:rsidRPr="00BD6197">
        <w:rPr>
          <w:lang w:val="en-US"/>
        </w:rPr>
        <w:t>)</w:t>
      </w:r>
    </w:p>
    <w:p w:rsidR="008E2005" w:rsidRPr="00BD6197" w:rsidRDefault="008E2005" w:rsidP="008E2005">
      <w:pPr>
        <w:pStyle w:val="Blanc"/>
        <w:rPr>
          <w:lang w:val="en-US"/>
        </w:rPr>
      </w:pPr>
    </w:p>
    <w:p w:rsidR="008E2005" w:rsidRPr="00BD6197" w:rsidRDefault="008E2005" w:rsidP="008E2005">
      <w:pPr>
        <w:rPr>
          <w:lang w:val="en-US"/>
        </w:rPr>
      </w:pPr>
      <w:r w:rsidRPr="00BD6197">
        <w:rPr>
          <w:lang w:val="en-US"/>
        </w:rPr>
        <w:t>where:</w:t>
      </w:r>
    </w:p>
    <w:p w:rsidR="008E2005" w:rsidRPr="00BD6197" w:rsidRDefault="008E2005" w:rsidP="008E2005">
      <w:pPr>
        <w:pStyle w:val="Equationlegend"/>
      </w:pPr>
      <w:r w:rsidRPr="00BD6197">
        <w:tab/>
      </w:r>
      <w:r w:rsidRPr="00BD6197">
        <w:rPr>
          <w:i/>
          <w:iCs/>
        </w:rPr>
        <w:t>F</w:t>
      </w:r>
      <w:r w:rsidRPr="00BD6197">
        <w:rPr>
          <w:i/>
          <w:iCs/>
          <w:vertAlign w:val="subscript"/>
        </w:rPr>
        <w:t>i</w:t>
      </w:r>
      <w:r w:rsidRPr="00BD6197">
        <w:rPr>
          <w:sz w:val="12"/>
        </w:rPr>
        <w:t> </w:t>
      </w:r>
      <w:r w:rsidRPr="00BD6197">
        <w:t>:</w:t>
      </w:r>
      <w:r w:rsidRPr="00BD6197">
        <w:tab/>
        <w:t xml:space="preserve">theoretical frequency band used by </w:t>
      </w:r>
      <w:r w:rsidRPr="00BD6197">
        <w:rPr>
          <w:i/>
          <w:iCs/>
        </w:rPr>
        <w:t>i</w:t>
      </w:r>
      <w:r w:rsidRPr="00BD6197">
        <w:t>-th frequency assignment</w:t>
      </w:r>
    </w:p>
    <w:p w:rsidR="008E2005" w:rsidRPr="00BD6197" w:rsidRDefault="008E2005" w:rsidP="008E2005">
      <w:pPr>
        <w:pStyle w:val="Equationlegend"/>
      </w:pPr>
      <w:r w:rsidRPr="00BD6197">
        <w:tab/>
      </w:r>
      <w:r w:rsidRPr="00BD6197">
        <w:sym w:font="Symbol" w:char="F044"/>
      </w:r>
      <w:r w:rsidRPr="00BD6197">
        <w:rPr>
          <w:i/>
          <w:iCs/>
        </w:rPr>
        <w:t>f</w:t>
      </w:r>
      <w:r w:rsidRPr="00BD6197">
        <w:rPr>
          <w:i/>
          <w:iCs/>
          <w:vertAlign w:val="subscript"/>
        </w:rPr>
        <w:t>i</w:t>
      </w:r>
      <w:r w:rsidRPr="00BD6197">
        <w:rPr>
          <w:sz w:val="12"/>
        </w:rPr>
        <w:t> </w:t>
      </w:r>
      <w:r w:rsidRPr="00BD6197">
        <w:t>:</w:t>
      </w:r>
      <w:r w:rsidRPr="00BD6197">
        <w:tab/>
        <w:t xml:space="preserve">actual frequency band used by </w:t>
      </w:r>
      <w:r w:rsidRPr="00BD6197">
        <w:rPr>
          <w:i/>
          <w:iCs/>
        </w:rPr>
        <w:t>i</w:t>
      </w:r>
      <w:r w:rsidRPr="00BD6197">
        <w:t>-th frequency assignment</w:t>
      </w:r>
    </w:p>
    <w:p w:rsidR="008E2005" w:rsidRPr="00BD6197" w:rsidRDefault="008E2005" w:rsidP="00C26A17">
      <w:pPr>
        <w:pStyle w:val="Equationlegend"/>
      </w:pPr>
      <w:r w:rsidRPr="00BD6197">
        <w:tab/>
      </w:r>
      <w:r w:rsidRPr="00BD6197">
        <w:sym w:font="Symbol" w:char="F061"/>
      </w:r>
      <w:r w:rsidRPr="00BD6197">
        <w:rPr>
          <w:i/>
          <w:iCs/>
          <w:vertAlign w:val="subscript"/>
        </w:rPr>
        <w:t>i</w:t>
      </w:r>
      <w:r w:rsidRPr="00BD6197">
        <w:rPr>
          <w:sz w:val="12"/>
        </w:rPr>
        <w:t> </w:t>
      </w:r>
      <w:r w:rsidRPr="00BD6197">
        <w:t>:</w:t>
      </w:r>
      <w:r w:rsidRPr="00BD6197">
        <w:tab/>
        <w:t>coefficient which takes into account a number of the factors, given below in equation (</w:t>
      </w:r>
      <w:r w:rsidR="00C26A17">
        <w:t>62</w:t>
      </w:r>
      <w:r w:rsidRPr="00BD6197">
        <w:t>)</w:t>
      </w:r>
    </w:p>
    <w:p w:rsidR="008E2005" w:rsidRPr="00BD6197" w:rsidRDefault="008E2005" w:rsidP="008E2005">
      <w:pPr>
        <w:pStyle w:val="Equationlegend"/>
      </w:pPr>
      <w:r w:rsidRPr="00BD6197">
        <w:tab/>
      </w:r>
      <w:r w:rsidRPr="00BD6197">
        <w:sym w:font="Symbol" w:char="F062"/>
      </w:r>
      <w:r w:rsidRPr="00BD6197">
        <w:rPr>
          <w:i/>
          <w:iCs/>
          <w:vertAlign w:val="subscript"/>
        </w:rPr>
        <w:t>i</w:t>
      </w:r>
      <w:r w:rsidRPr="00BD6197">
        <w:rPr>
          <w:sz w:val="12"/>
        </w:rPr>
        <w:t> </w:t>
      </w:r>
      <w:r w:rsidRPr="00BD6197">
        <w:t>:</w:t>
      </w:r>
      <w:r w:rsidRPr="00BD6197">
        <w:tab/>
        <w:t xml:space="preserve">coefficient which determines exclusiveness of use. If the given site of the spectrum is used on an exclusive basis then </w:t>
      </w:r>
      <w:r w:rsidRPr="00BD6197">
        <w:sym w:font="Symbol" w:char="F062"/>
      </w:r>
      <w:r w:rsidRPr="00BD6197">
        <w:rPr>
          <w:i/>
          <w:iCs/>
          <w:vertAlign w:val="subscript"/>
        </w:rPr>
        <w:t>i</w:t>
      </w:r>
      <w:r w:rsidRPr="00BD6197">
        <w:t xml:space="preserve"> = 1. With sharing </w:t>
      </w:r>
      <w:r w:rsidRPr="00BD6197">
        <w:sym w:font="Symbol" w:char="F062"/>
      </w:r>
      <w:r w:rsidRPr="00BD6197">
        <w:t xml:space="preserve"> varies within the limits of 0 &lt; </w:t>
      </w:r>
      <w:r w:rsidRPr="00BD6197">
        <w:sym w:font="Symbol" w:char="F062"/>
      </w:r>
      <w:r w:rsidRPr="00BD6197">
        <w:rPr>
          <w:i/>
          <w:iCs/>
          <w:vertAlign w:val="subscript"/>
        </w:rPr>
        <w:t>i</w:t>
      </w:r>
      <w:r w:rsidRPr="00BD6197">
        <w:t> &lt; 1 depending on conditions of sharing.</w:t>
      </w:r>
    </w:p>
    <w:p w:rsidR="008E2005" w:rsidRPr="00BD6197" w:rsidRDefault="008E2005" w:rsidP="008E2005">
      <w:pPr>
        <w:rPr>
          <w:lang w:val="en-US"/>
        </w:rPr>
      </w:pPr>
      <w:r w:rsidRPr="00BD6197">
        <w:rPr>
          <w:lang w:val="en-US"/>
        </w:rPr>
        <w:t xml:space="preserve">It is possible to examine the coefficient </w:t>
      </w:r>
      <w:r w:rsidRPr="00BD6197">
        <w:rPr>
          <w:lang w:val="en-US"/>
        </w:rPr>
        <w:sym w:font="Symbol" w:char="F061"/>
      </w:r>
      <w:r w:rsidRPr="00BD6197">
        <w:rPr>
          <w:i/>
          <w:iCs/>
          <w:vertAlign w:val="subscript"/>
          <w:lang w:val="en-US"/>
        </w:rPr>
        <w:t>i</w:t>
      </w:r>
      <w:r w:rsidRPr="00BD6197">
        <w:rPr>
          <w:lang w:val="en-US"/>
        </w:rPr>
        <w:t xml:space="preserve"> in more detail. A number of factors influence the value of </w:t>
      </w:r>
      <w:r w:rsidRPr="00BD6197">
        <w:rPr>
          <w:rFonts w:ascii="Symbol" w:hAnsi="Symbol"/>
          <w:lang w:val="en-US"/>
        </w:rPr>
        <w:t></w:t>
      </w:r>
      <w:r w:rsidRPr="00BD6197">
        <w:rPr>
          <w:i/>
          <w:iCs/>
          <w:vertAlign w:val="subscript"/>
          <w:lang w:val="en-US"/>
        </w:rPr>
        <w:t>i</w:t>
      </w:r>
      <w:r w:rsidRPr="00BD6197">
        <w:rPr>
          <w:lang w:val="en-US"/>
        </w:rPr>
        <w:t xml:space="preserve"> factor and it can be presented as product:</w:t>
      </w:r>
    </w:p>
    <w:p w:rsidR="008E2005" w:rsidRPr="00BD6197" w:rsidRDefault="008E2005" w:rsidP="00C26A17">
      <w:pPr>
        <w:pStyle w:val="Equation"/>
        <w:rPr>
          <w:lang w:val="en-US"/>
        </w:rPr>
      </w:pPr>
      <w:r w:rsidRPr="00BD6197">
        <w:rPr>
          <w:lang w:val="en-US"/>
        </w:rPr>
        <w:tab/>
      </w:r>
      <w:r w:rsidRPr="00BD6197">
        <w:rPr>
          <w:lang w:val="en-US"/>
        </w:rPr>
        <w:tab/>
      </w:r>
      <w:r w:rsidRPr="00BD6197">
        <w:rPr>
          <w:position w:val="-12"/>
          <w:lang w:val="en-US"/>
        </w:rPr>
        <w:object w:dxaOrig="2160" w:dyaOrig="360">
          <v:shape id="_x0000_i1128" type="#_x0000_t75" style="width:102pt;height:18pt" o:ole="">
            <v:imagedata r:id="rId231" o:title=""/>
          </v:shape>
          <o:OLEObject Type="Embed" ProgID="Equation.3" ShapeID="_x0000_i1128" DrawAspect="Content" ObjectID="_1604325082" r:id="rId232"/>
        </w:object>
      </w:r>
      <w:r w:rsidRPr="00BD6197">
        <w:rPr>
          <w:lang w:val="en-US"/>
        </w:rPr>
        <w:tab/>
        <w:t>(</w:t>
      </w:r>
      <w:r w:rsidR="00C26A17">
        <w:rPr>
          <w:lang w:val="en-US"/>
        </w:rPr>
        <w:t>62</w:t>
      </w:r>
      <w:r w:rsidRPr="00BD6197">
        <w:rPr>
          <w:lang w:val="en-US"/>
        </w:rPr>
        <w:t>)</w:t>
      </w:r>
    </w:p>
    <w:p w:rsidR="008E2005" w:rsidRPr="00BD6197" w:rsidRDefault="008E2005" w:rsidP="008E2005">
      <w:pPr>
        <w:rPr>
          <w:lang w:val="en-US"/>
        </w:rPr>
      </w:pPr>
      <w:r w:rsidRPr="00BD6197">
        <w:rPr>
          <w:lang w:val="en-US"/>
        </w:rPr>
        <w:t>where:</w:t>
      </w:r>
    </w:p>
    <w:p w:rsidR="008E2005" w:rsidRPr="00BD6197" w:rsidRDefault="008E2005" w:rsidP="008E2005">
      <w:pPr>
        <w:pStyle w:val="Equationlegend"/>
      </w:pPr>
      <w:r w:rsidRPr="00BD6197">
        <w:tab/>
      </w:r>
      <w:r w:rsidRPr="00BD6197">
        <w:sym w:font="Symbol" w:char="F061"/>
      </w:r>
      <w:r w:rsidRPr="00BD6197">
        <w:rPr>
          <w:i/>
          <w:iCs/>
          <w:vertAlign w:val="subscript"/>
        </w:rPr>
        <w:t>i</w:t>
      </w:r>
      <w:r w:rsidRPr="00BD6197">
        <w:rPr>
          <w:sz w:val="12"/>
        </w:rPr>
        <w:t> </w:t>
      </w:r>
      <w:r w:rsidRPr="00BD6197">
        <w:t>:</w:t>
      </w:r>
      <w:r w:rsidRPr="00BD6197">
        <w:tab/>
        <w:t>general coefficient taking into account the various factors of spectrum use</w:t>
      </w:r>
    </w:p>
    <w:p w:rsidR="008E2005" w:rsidRPr="00BD6197" w:rsidRDefault="008E2005" w:rsidP="008E2005">
      <w:pPr>
        <w:pStyle w:val="Equationlegend"/>
      </w:pPr>
      <w:r w:rsidRPr="00BD6197">
        <w:rPr>
          <w:sz w:val="28"/>
        </w:rPr>
        <w:tab/>
      </w:r>
      <w:r w:rsidRPr="00BD6197">
        <w:sym w:font="Symbol" w:char="F061"/>
      </w:r>
      <w:r w:rsidRPr="00BD6197">
        <w:rPr>
          <w:vertAlign w:val="subscript"/>
        </w:rPr>
        <w:t>1</w:t>
      </w:r>
      <w:r w:rsidRPr="00BD6197">
        <w:rPr>
          <w:sz w:val="12"/>
        </w:rPr>
        <w:t> </w:t>
      </w:r>
      <w:r w:rsidRPr="00BD6197">
        <w:t>:</w:t>
      </w:r>
      <w:r w:rsidRPr="00BD6197">
        <w:tab/>
        <w:t>commercial value of the spectrum range used</w:t>
      </w:r>
    </w:p>
    <w:p w:rsidR="008E2005" w:rsidRPr="00BD6197" w:rsidRDefault="008E2005" w:rsidP="008E2005">
      <w:pPr>
        <w:pStyle w:val="Equationlegend"/>
      </w:pPr>
      <w:r w:rsidRPr="00BD6197">
        <w:rPr>
          <w:sz w:val="28"/>
        </w:rPr>
        <w:tab/>
      </w:r>
      <w:r w:rsidRPr="00BD6197">
        <w:sym w:font="Symbol" w:char="F061"/>
      </w:r>
      <w:r w:rsidRPr="00BD6197">
        <w:rPr>
          <w:vertAlign w:val="subscript"/>
        </w:rPr>
        <w:t>2</w:t>
      </w:r>
      <w:r w:rsidRPr="00BD6197">
        <w:rPr>
          <w:sz w:val="12"/>
        </w:rPr>
        <w:t> </w:t>
      </w:r>
      <w:r w:rsidRPr="00BD6197">
        <w:t>:</w:t>
      </w:r>
      <w:r w:rsidRPr="00BD6197">
        <w:tab/>
        <w:t>social factor</w:t>
      </w:r>
    </w:p>
    <w:p w:rsidR="008E2005" w:rsidRPr="00BD6197" w:rsidRDefault="008E2005" w:rsidP="008E2005">
      <w:pPr>
        <w:pStyle w:val="Equationlegend"/>
      </w:pPr>
      <w:r w:rsidRPr="00BD6197">
        <w:rPr>
          <w:sz w:val="28"/>
        </w:rPr>
        <w:tab/>
      </w:r>
      <w:r w:rsidRPr="00BD6197">
        <w:sym w:font="Symbol" w:char="F061"/>
      </w:r>
      <w:r w:rsidRPr="00BD6197">
        <w:rPr>
          <w:vertAlign w:val="subscript"/>
        </w:rPr>
        <w:t>3</w:t>
      </w:r>
      <w:r w:rsidRPr="00BD6197">
        <w:rPr>
          <w:sz w:val="12"/>
        </w:rPr>
        <w:t> </w:t>
      </w:r>
      <w:r w:rsidRPr="00BD6197">
        <w:t>:</w:t>
      </w:r>
      <w:r w:rsidRPr="00BD6197">
        <w:tab/>
        <w:t>takes into account features of transmitter location</w:t>
      </w:r>
    </w:p>
    <w:p w:rsidR="008E2005" w:rsidRPr="00BD6197" w:rsidRDefault="008E2005" w:rsidP="008E2005">
      <w:pPr>
        <w:pStyle w:val="Equationlegend"/>
      </w:pPr>
      <w:r w:rsidRPr="00BD6197">
        <w:rPr>
          <w:sz w:val="28"/>
        </w:rPr>
        <w:tab/>
      </w:r>
      <w:r w:rsidRPr="00BD6197">
        <w:sym w:font="Symbol" w:char="F061"/>
      </w:r>
      <w:r w:rsidRPr="00BD6197">
        <w:rPr>
          <w:vertAlign w:val="subscript"/>
        </w:rPr>
        <w:t>4</w:t>
      </w:r>
      <w:r w:rsidRPr="00BD6197">
        <w:rPr>
          <w:sz w:val="12"/>
        </w:rPr>
        <w:t> </w:t>
      </w:r>
      <w:r w:rsidRPr="00BD6197">
        <w:t>:</w:t>
      </w:r>
      <w:r w:rsidRPr="00BD6197">
        <w:tab/>
        <w:t>takes into account the complexity of spectrum management functions.</w:t>
      </w:r>
    </w:p>
    <w:p w:rsidR="008E2005" w:rsidRPr="00BD6197" w:rsidRDefault="008E2005" w:rsidP="00AA04B2">
      <w:pPr>
        <w:rPr>
          <w:lang w:val="en-US"/>
        </w:rPr>
      </w:pPr>
      <w:r w:rsidRPr="00BD6197">
        <w:rPr>
          <w:lang w:val="en-US"/>
        </w:rPr>
        <w:t xml:space="preserve">The values of coefficients </w:t>
      </w:r>
      <w:r w:rsidRPr="00BD6197">
        <w:rPr>
          <w:lang w:val="en-US"/>
        </w:rPr>
        <w:sym w:font="Symbol" w:char="F061"/>
      </w:r>
      <w:r w:rsidRPr="00BD6197">
        <w:rPr>
          <w:vertAlign w:val="subscript"/>
          <w:lang w:val="en-US"/>
        </w:rPr>
        <w:t>1</w:t>
      </w:r>
      <w:r w:rsidRPr="00BD6197">
        <w:rPr>
          <w:lang w:val="en-US"/>
        </w:rPr>
        <w:t xml:space="preserve">, </w:t>
      </w:r>
      <w:r w:rsidRPr="00BD6197">
        <w:rPr>
          <w:lang w:val="en-US"/>
        </w:rPr>
        <w:sym w:font="Symbol" w:char="F061"/>
      </w:r>
      <w:r w:rsidRPr="00BD6197">
        <w:rPr>
          <w:vertAlign w:val="subscript"/>
          <w:lang w:val="en-US"/>
        </w:rPr>
        <w:t>2</w:t>
      </w:r>
      <w:r w:rsidRPr="00BD6197">
        <w:rPr>
          <w:lang w:val="en-US"/>
        </w:rPr>
        <w:t xml:space="preserve">, </w:t>
      </w:r>
      <w:r w:rsidRPr="00BD6197">
        <w:rPr>
          <w:lang w:val="en-US"/>
        </w:rPr>
        <w:sym w:font="Symbol" w:char="F061"/>
      </w:r>
      <w:r w:rsidRPr="00BD6197">
        <w:rPr>
          <w:vertAlign w:val="subscript"/>
          <w:lang w:val="en-US"/>
        </w:rPr>
        <w:t>3</w:t>
      </w:r>
      <w:r w:rsidRPr="00BD6197">
        <w:rPr>
          <w:lang w:val="en-US"/>
        </w:rPr>
        <w:t xml:space="preserve"> and </w:t>
      </w:r>
      <w:r w:rsidRPr="00BD6197">
        <w:rPr>
          <w:lang w:val="en-US"/>
        </w:rPr>
        <w:sym w:font="Symbol" w:char="F061"/>
      </w:r>
      <w:r w:rsidRPr="00BD6197">
        <w:rPr>
          <w:vertAlign w:val="subscript"/>
          <w:lang w:val="en-US"/>
        </w:rPr>
        <w:t>4</w:t>
      </w:r>
      <w:r w:rsidRPr="00BD6197">
        <w:rPr>
          <w:lang w:val="en-US"/>
        </w:rPr>
        <w:t> are given in Table 2</w:t>
      </w:r>
      <w:r w:rsidR="00AA04B2">
        <w:rPr>
          <w:lang w:val="en-US"/>
        </w:rPr>
        <w:t>7</w:t>
      </w:r>
      <w:r w:rsidRPr="00BD6197">
        <w:rPr>
          <w:lang w:val="en-US"/>
        </w:rPr>
        <w:t>.</w:t>
      </w:r>
    </w:p>
    <w:p w:rsidR="008E2005" w:rsidRPr="00BD6197" w:rsidRDefault="008E2005" w:rsidP="008E2005">
      <w:pPr>
        <w:rPr>
          <w:lang w:val="en-US"/>
        </w:rPr>
      </w:pPr>
      <w:r w:rsidRPr="00BD6197">
        <w:rPr>
          <w:lang w:val="en-US"/>
        </w:rPr>
        <w:t xml:space="preserve">Coefficient </w:t>
      </w:r>
      <w:r w:rsidRPr="00BD6197">
        <w:rPr>
          <w:lang w:val="en-US"/>
        </w:rPr>
        <w:sym w:font="Symbol" w:char="F061"/>
      </w:r>
      <w:r w:rsidRPr="00BD6197">
        <w:rPr>
          <w:position w:val="-4"/>
          <w:sz w:val="16"/>
          <w:lang w:val="en-US"/>
        </w:rPr>
        <w:t>1</w:t>
      </w:r>
      <w:r w:rsidRPr="00BD6197">
        <w:rPr>
          <w:lang w:val="en-US"/>
        </w:rPr>
        <w:t xml:space="preserve"> varies in limits from 0 up to 100 and, basically, is determined by two factors:</w:t>
      </w:r>
    </w:p>
    <w:p w:rsidR="008E2005" w:rsidRPr="00BD6197" w:rsidRDefault="008E2005" w:rsidP="008E2005">
      <w:pPr>
        <w:pStyle w:val="enumlev1"/>
        <w:rPr>
          <w:lang w:val="en-US"/>
        </w:rPr>
      </w:pPr>
      <w:r w:rsidRPr="00BD6197">
        <w:rPr>
          <w:lang w:val="en-US"/>
        </w:rPr>
        <w:t>–</w:t>
      </w:r>
      <w:r w:rsidRPr="00BD6197">
        <w:rPr>
          <w:lang w:val="en-US"/>
        </w:rPr>
        <w:tab/>
        <w:t>the commercial value of radio services; this factor increases with value;</w:t>
      </w:r>
    </w:p>
    <w:p w:rsidR="008E2005" w:rsidRPr="00BD6197" w:rsidRDefault="008E2005" w:rsidP="008E2005">
      <w:pPr>
        <w:pStyle w:val="enumlev1"/>
        <w:rPr>
          <w:lang w:val="en-US"/>
        </w:rPr>
      </w:pPr>
      <w:r w:rsidRPr="00BD6197">
        <w:rPr>
          <w:lang w:val="en-US"/>
        </w:rPr>
        <w:t>–</w:t>
      </w:r>
      <w:r w:rsidRPr="00BD6197">
        <w:rPr>
          <w:lang w:val="en-US"/>
        </w:rPr>
        <w:tab/>
        <w:t xml:space="preserve">many radio services may be moved to higher frequencies as experience is gained, thus, decreasing the loading of lower frequency bands. This is the economic level which encourages use of higher bands. For example, for the purposes of encouraging transition of stations at frequencies below 1 GHz to frequencies above 1 GHz, the value of the coefficient </w:t>
      </w:r>
      <w:r w:rsidRPr="00BD6197">
        <w:rPr>
          <w:lang w:val="en-US"/>
        </w:rPr>
        <w:sym w:font="Symbol" w:char="F061"/>
      </w:r>
      <w:r w:rsidRPr="00BD6197">
        <w:rPr>
          <w:vertAlign w:val="subscript"/>
          <w:lang w:val="en-US"/>
        </w:rPr>
        <w:t>1</w:t>
      </w:r>
      <w:r w:rsidRPr="00BD6197">
        <w:rPr>
          <w:lang w:val="en-US"/>
        </w:rPr>
        <w:t xml:space="preserve"> in the range above 1 GHz is less than the value used for stations below 1 GHz. Currently frequencies below 1 GHz are used by several radio services at the same site and hence there is also a question of their electromagnetic compatibility. The range above 1 GHz is poorly mastered in the Republic, but at the same time in the world the newest technologies are used which, allow effective use of the spectrum.</w:t>
      </w:r>
    </w:p>
    <w:p w:rsidR="008E2005" w:rsidRPr="00BD6197" w:rsidRDefault="008E2005" w:rsidP="008E2005">
      <w:pPr>
        <w:rPr>
          <w:lang w:val="en-US"/>
        </w:rPr>
      </w:pPr>
      <w:r w:rsidRPr="00BD6197">
        <w:rPr>
          <w:lang w:val="en-US"/>
        </w:rPr>
        <w:t xml:space="preserve">Coefficient </w:t>
      </w:r>
      <w:r w:rsidRPr="00BD6197">
        <w:rPr>
          <w:lang w:val="en-US"/>
        </w:rPr>
        <w:sym w:font="Symbol" w:char="F061"/>
      </w:r>
      <w:r w:rsidRPr="00BD6197">
        <w:rPr>
          <w:vertAlign w:val="subscript"/>
          <w:lang w:val="en-US"/>
        </w:rPr>
        <w:t>2</w:t>
      </w:r>
      <w:r w:rsidRPr="00BD6197">
        <w:rPr>
          <w:lang w:val="en-US"/>
        </w:rPr>
        <w:t xml:space="preserve"> varies in limits from 0 up to 10 and takes into account a social factor. For those radio services whose existence is vital for all sections of the population, including the most needy, this coefficient has a low value. For example, for stations above 1 GHz in which long-distance communications are organized, as well as for television broadcasting, the coefficient </w:t>
      </w:r>
      <w:r w:rsidRPr="00BD6197">
        <w:rPr>
          <w:lang w:val="en-US"/>
        </w:rPr>
        <w:sym w:font="Symbol" w:char="F061"/>
      </w:r>
      <w:r w:rsidRPr="00BD6197">
        <w:rPr>
          <w:vertAlign w:val="subscript"/>
          <w:lang w:val="en-US"/>
        </w:rPr>
        <w:t>2</w:t>
      </w:r>
      <w:r w:rsidRPr="00BD6197">
        <w:rPr>
          <w:position w:val="-4"/>
          <w:sz w:val="16"/>
          <w:lang w:val="en-US"/>
        </w:rPr>
        <w:t xml:space="preserve"> </w:t>
      </w:r>
      <w:r w:rsidRPr="00BD6197">
        <w:rPr>
          <w:lang w:val="en-US"/>
        </w:rPr>
        <w:t xml:space="preserve">has a low value. However, for cellular communication, coefficient </w:t>
      </w:r>
      <w:r w:rsidRPr="00BD6197">
        <w:rPr>
          <w:lang w:val="en-US"/>
        </w:rPr>
        <w:sym w:font="Symbol" w:char="F061"/>
      </w:r>
      <w:r w:rsidRPr="00BD6197">
        <w:rPr>
          <w:position w:val="-4"/>
          <w:sz w:val="16"/>
          <w:lang w:val="en-US"/>
        </w:rPr>
        <w:t>2</w:t>
      </w:r>
      <w:r w:rsidRPr="00BD6197">
        <w:rPr>
          <w:lang w:val="en-US"/>
        </w:rPr>
        <w:t xml:space="preserve"> has a higher value.</w:t>
      </w:r>
    </w:p>
    <w:p w:rsidR="0016412E" w:rsidRPr="00BD6197" w:rsidRDefault="0016412E" w:rsidP="00AA04B2">
      <w:pPr>
        <w:pStyle w:val="TableNo"/>
        <w:rPr>
          <w:lang w:val="en-US"/>
        </w:rPr>
      </w:pPr>
      <w:r w:rsidRPr="00BD6197">
        <w:rPr>
          <w:lang w:val="en-US"/>
        </w:rPr>
        <w:lastRenderedPageBreak/>
        <w:t>TABLE 2</w:t>
      </w:r>
      <w:r w:rsidR="00AA04B2">
        <w:rPr>
          <w:lang w:val="en-US"/>
        </w:rPr>
        <w:t>7</w:t>
      </w:r>
    </w:p>
    <w:p w:rsidR="0016412E" w:rsidRPr="00BD6197" w:rsidRDefault="0016412E" w:rsidP="0016412E">
      <w:pPr>
        <w:pStyle w:val="Tabletitle"/>
        <w:keepLines/>
        <w:rPr>
          <w:vertAlign w:val="subscript"/>
          <w:lang w:val="en-US"/>
        </w:rPr>
      </w:pPr>
      <w:r w:rsidRPr="00BD6197">
        <w:rPr>
          <w:lang w:val="en-US"/>
        </w:rPr>
        <w:t xml:space="preserve">Values of coefficients </w:t>
      </w:r>
      <w:r w:rsidRPr="00BD6197">
        <w:rPr>
          <w:lang w:val="en-US"/>
        </w:rPr>
        <w:sym w:font="Symbol" w:char="F061"/>
      </w:r>
      <w:r w:rsidRPr="00BD6197">
        <w:rPr>
          <w:vertAlign w:val="subscript"/>
          <w:lang w:val="en-US"/>
        </w:rPr>
        <w:t>1</w:t>
      </w:r>
      <w:r w:rsidRPr="00BD6197">
        <w:rPr>
          <w:lang w:val="en-US"/>
        </w:rPr>
        <w:t xml:space="preserve">, </w:t>
      </w:r>
      <w:r w:rsidRPr="00BD6197">
        <w:rPr>
          <w:lang w:val="en-US"/>
        </w:rPr>
        <w:sym w:font="Symbol" w:char="F061"/>
      </w:r>
      <w:r w:rsidRPr="00BD6197">
        <w:rPr>
          <w:vertAlign w:val="subscript"/>
          <w:lang w:val="en-US"/>
        </w:rPr>
        <w:t>2</w:t>
      </w:r>
      <w:r w:rsidRPr="00BD6197">
        <w:rPr>
          <w:lang w:val="en-US"/>
        </w:rPr>
        <w:t xml:space="preserve">, </w:t>
      </w:r>
      <w:r w:rsidRPr="00BD6197">
        <w:rPr>
          <w:lang w:val="en-US"/>
        </w:rPr>
        <w:sym w:font="Symbol" w:char="F061"/>
      </w:r>
      <w:r w:rsidRPr="00BD6197">
        <w:rPr>
          <w:vertAlign w:val="subscript"/>
          <w:lang w:val="en-US"/>
        </w:rPr>
        <w:t>3</w:t>
      </w:r>
      <w:r w:rsidRPr="00BD6197">
        <w:rPr>
          <w:lang w:val="en-US"/>
        </w:rPr>
        <w:t xml:space="preserve">, </w:t>
      </w:r>
      <w:r w:rsidRPr="00BD6197">
        <w:rPr>
          <w:lang w:val="en-US"/>
        </w:rPr>
        <w:sym w:font="Symbol" w:char="F061"/>
      </w:r>
      <w:r w:rsidRPr="00BD6197">
        <w:rPr>
          <w:vertAlign w:val="subscript"/>
          <w:lang w:val="en-US"/>
        </w:rPr>
        <w:t>4</w:t>
      </w:r>
    </w:p>
    <w:tbl>
      <w:tblPr>
        <w:tblW w:w="9639" w:type="dxa"/>
        <w:jc w:val="center"/>
        <w:tblLayout w:type="fixed"/>
        <w:tblLook w:val="0000" w:firstRow="0" w:lastRow="0" w:firstColumn="0" w:lastColumn="0" w:noHBand="0" w:noVBand="0"/>
      </w:tblPr>
      <w:tblGrid>
        <w:gridCol w:w="5405"/>
        <w:gridCol w:w="847"/>
        <w:gridCol w:w="756"/>
        <w:gridCol w:w="847"/>
        <w:gridCol w:w="937"/>
        <w:gridCol w:w="847"/>
      </w:tblGrid>
      <w:tr w:rsidR="0016412E" w:rsidRPr="00BD6197" w:rsidTr="000F2BA7">
        <w:trPr>
          <w:cantSplit/>
          <w:jc w:val="center"/>
        </w:trPr>
        <w:tc>
          <w:tcPr>
            <w:tcW w:w="5443" w:type="dxa"/>
            <w:vMerge w:val="restart"/>
            <w:tcBorders>
              <w:top w:val="single" w:sz="6" w:space="0" w:color="auto"/>
              <w:left w:val="single" w:sz="6" w:space="0" w:color="auto"/>
              <w:bottom w:val="single" w:sz="6" w:space="0" w:color="auto"/>
              <w:right w:val="single" w:sz="6" w:space="0" w:color="auto"/>
              <w:tl2br w:val="single" w:sz="6" w:space="0" w:color="auto"/>
            </w:tcBorders>
          </w:tcPr>
          <w:p w:rsidR="0016412E" w:rsidRPr="00BD6197" w:rsidRDefault="0016412E" w:rsidP="000F2BA7">
            <w:pPr>
              <w:pStyle w:val="Tablehead"/>
              <w:jc w:val="right"/>
              <w:rPr>
                <w:lang w:val="en-US"/>
              </w:rPr>
            </w:pPr>
            <w:r w:rsidRPr="00BD6197">
              <w:rPr>
                <w:lang w:val="en-US"/>
              </w:rPr>
              <w:sym w:font="Symbol" w:char="F061"/>
            </w:r>
          </w:p>
          <w:p w:rsidR="0016412E" w:rsidRPr="00BD6197" w:rsidRDefault="0016412E" w:rsidP="000F2BA7">
            <w:pPr>
              <w:pStyle w:val="Tablehead"/>
              <w:jc w:val="left"/>
              <w:rPr>
                <w:lang w:val="en-US"/>
              </w:rPr>
            </w:pPr>
            <w:r w:rsidRPr="00BD6197">
              <w:rPr>
                <w:lang w:val="en-US"/>
              </w:rPr>
              <w:t>Service</w:t>
            </w:r>
          </w:p>
        </w:tc>
        <w:tc>
          <w:tcPr>
            <w:tcW w:w="851" w:type="dxa"/>
            <w:tcBorders>
              <w:top w:val="single" w:sz="6" w:space="0" w:color="auto"/>
              <w:left w:val="single" w:sz="6" w:space="0" w:color="auto"/>
              <w:right w:val="single" w:sz="6" w:space="0" w:color="auto"/>
            </w:tcBorders>
          </w:tcPr>
          <w:p w:rsidR="0016412E" w:rsidRPr="00BD6197" w:rsidRDefault="0016412E" w:rsidP="000F2BA7">
            <w:pPr>
              <w:pStyle w:val="Tablehead"/>
              <w:rPr>
                <w:lang w:val="en-US"/>
              </w:rPr>
            </w:pPr>
            <w:r w:rsidRPr="00BD6197">
              <w:rPr>
                <w:lang w:val="en-US"/>
              </w:rPr>
              <w:sym w:font="Symbol" w:char="F061"/>
            </w:r>
            <w:r w:rsidRPr="00BD6197">
              <w:rPr>
                <w:vertAlign w:val="subscript"/>
                <w:lang w:val="en-US"/>
              </w:rPr>
              <w:t>1</w:t>
            </w:r>
          </w:p>
        </w:tc>
        <w:tc>
          <w:tcPr>
            <w:tcW w:w="760" w:type="dxa"/>
            <w:tcBorders>
              <w:top w:val="single" w:sz="6" w:space="0" w:color="auto"/>
              <w:left w:val="single" w:sz="6" w:space="0" w:color="auto"/>
              <w:right w:val="single" w:sz="6" w:space="0" w:color="auto"/>
            </w:tcBorders>
          </w:tcPr>
          <w:p w:rsidR="0016412E" w:rsidRPr="00BD6197" w:rsidRDefault="0016412E" w:rsidP="000F2BA7">
            <w:pPr>
              <w:pStyle w:val="Tablehead"/>
              <w:rPr>
                <w:lang w:val="en-US"/>
              </w:rPr>
            </w:pPr>
            <w:r w:rsidRPr="00BD6197">
              <w:rPr>
                <w:lang w:val="en-US"/>
              </w:rPr>
              <w:sym w:font="Symbol" w:char="F061"/>
            </w:r>
            <w:r w:rsidRPr="00BD6197">
              <w:rPr>
                <w:vertAlign w:val="subscript"/>
                <w:lang w:val="en-US"/>
              </w:rPr>
              <w:t>2</w:t>
            </w:r>
          </w:p>
        </w:tc>
        <w:tc>
          <w:tcPr>
            <w:tcW w:w="1793" w:type="dxa"/>
            <w:gridSpan w:val="2"/>
            <w:tcBorders>
              <w:top w:val="single" w:sz="6" w:space="0" w:color="auto"/>
              <w:left w:val="single" w:sz="6" w:space="0" w:color="auto"/>
              <w:bottom w:val="single" w:sz="6" w:space="0" w:color="auto"/>
              <w:right w:val="single" w:sz="6" w:space="0" w:color="auto"/>
            </w:tcBorders>
          </w:tcPr>
          <w:p w:rsidR="0016412E" w:rsidRPr="00BD6197" w:rsidRDefault="0016412E" w:rsidP="000F2BA7">
            <w:pPr>
              <w:pStyle w:val="Tablehead"/>
              <w:rPr>
                <w:lang w:val="en-US"/>
              </w:rPr>
            </w:pPr>
            <w:r w:rsidRPr="00BD6197">
              <w:rPr>
                <w:lang w:val="en-US"/>
              </w:rPr>
              <w:sym w:font="Symbol" w:char="F061"/>
            </w:r>
            <w:r w:rsidRPr="00BD6197">
              <w:rPr>
                <w:vertAlign w:val="subscript"/>
                <w:lang w:val="en-US"/>
              </w:rPr>
              <w:t>3</w:t>
            </w:r>
          </w:p>
        </w:tc>
        <w:tc>
          <w:tcPr>
            <w:tcW w:w="851" w:type="dxa"/>
            <w:tcBorders>
              <w:top w:val="single" w:sz="6" w:space="0" w:color="auto"/>
              <w:left w:val="single" w:sz="6" w:space="0" w:color="auto"/>
              <w:right w:val="single" w:sz="6" w:space="0" w:color="auto"/>
            </w:tcBorders>
          </w:tcPr>
          <w:p w:rsidR="0016412E" w:rsidRPr="00BD6197" w:rsidRDefault="0016412E" w:rsidP="000F2BA7">
            <w:pPr>
              <w:pStyle w:val="Tablehead"/>
              <w:rPr>
                <w:lang w:val="en-US"/>
              </w:rPr>
            </w:pPr>
            <w:r w:rsidRPr="00BD6197">
              <w:rPr>
                <w:lang w:val="en-US"/>
              </w:rPr>
              <w:sym w:font="Symbol" w:char="F061"/>
            </w:r>
            <w:r w:rsidRPr="00BD6197">
              <w:rPr>
                <w:vertAlign w:val="subscript"/>
                <w:lang w:val="en-US"/>
              </w:rPr>
              <w:t>4</w:t>
            </w:r>
          </w:p>
        </w:tc>
      </w:tr>
      <w:tr w:rsidR="0016412E" w:rsidRPr="00BD6197" w:rsidTr="000F2BA7">
        <w:trPr>
          <w:cantSplit/>
          <w:jc w:val="center"/>
        </w:trPr>
        <w:tc>
          <w:tcPr>
            <w:tcW w:w="5443" w:type="dxa"/>
            <w:vMerge/>
            <w:tcBorders>
              <w:left w:val="single" w:sz="6" w:space="0" w:color="auto"/>
              <w:bottom w:val="single" w:sz="4" w:space="0" w:color="auto"/>
              <w:right w:val="single" w:sz="6" w:space="0" w:color="auto"/>
              <w:tl2br w:val="single" w:sz="6" w:space="0" w:color="auto"/>
            </w:tcBorders>
          </w:tcPr>
          <w:p w:rsidR="0016412E" w:rsidRPr="00BD6197" w:rsidRDefault="0016412E" w:rsidP="000F2BA7">
            <w:pPr>
              <w:pStyle w:val="Tablehead"/>
              <w:rPr>
                <w:lang w:val="en-US"/>
              </w:rPr>
            </w:pPr>
          </w:p>
        </w:tc>
        <w:tc>
          <w:tcPr>
            <w:tcW w:w="851" w:type="dxa"/>
            <w:tcBorders>
              <w:left w:val="single" w:sz="6" w:space="0" w:color="auto"/>
              <w:bottom w:val="single" w:sz="4" w:space="0" w:color="auto"/>
              <w:right w:val="single" w:sz="6" w:space="0" w:color="auto"/>
            </w:tcBorders>
          </w:tcPr>
          <w:p w:rsidR="0016412E" w:rsidRPr="00BD6197" w:rsidRDefault="0016412E" w:rsidP="000F2BA7">
            <w:pPr>
              <w:pStyle w:val="Tablehead"/>
              <w:rPr>
                <w:lang w:val="en-US"/>
              </w:rPr>
            </w:pPr>
          </w:p>
        </w:tc>
        <w:tc>
          <w:tcPr>
            <w:tcW w:w="760" w:type="dxa"/>
            <w:tcBorders>
              <w:left w:val="single" w:sz="6" w:space="0" w:color="auto"/>
              <w:bottom w:val="single" w:sz="4" w:space="0" w:color="auto"/>
              <w:right w:val="single" w:sz="6" w:space="0" w:color="auto"/>
            </w:tcBorders>
          </w:tcPr>
          <w:p w:rsidR="0016412E" w:rsidRPr="00BD6197" w:rsidRDefault="0016412E" w:rsidP="000F2BA7">
            <w:pPr>
              <w:pStyle w:val="Tablehead"/>
              <w:rPr>
                <w:lang w:val="en-US"/>
              </w:rPr>
            </w:pPr>
          </w:p>
        </w:tc>
        <w:tc>
          <w:tcPr>
            <w:tcW w:w="851" w:type="dxa"/>
            <w:tcBorders>
              <w:top w:val="single" w:sz="6" w:space="0" w:color="auto"/>
              <w:left w:val="single" w:sz="6" w:space="0" w:color="auto"/>
              <w:bottom w:val="single" w:sz="4" w:space="0" w:color="auto"/>
              <w:right w:val="single" w:sz="6" w:space="0" w:color="auto"/>
            </w:tcBorders>
          </w:tcPr>
          <w:p w:rsidR="0016412E" w:rsidRPr="00BD6197" w:rsidRDefault="0016412E" w:rsidP="000F2BA7">
            <w:pPr>
              <w:pStyle w:val="Tablehead"/>
              <w:rPr>
                <w:lang w:val="en-US"/>
              </w:rPr>
            </w:pPr>
            <w:r w:rsidRPr="00BD6197">
              <w:rPr>
                <w:lang w:val="en-US"/>
              </w:rPr>
              <w:t>City</w:t>
            </w:r>
          </w:p>
        </w:tc>
        <w:tc>
          <w:tcPr>
            <w:tcW w:w="942" w:type="dxa"/>
            <w:tcBorders>
              <w:top w:val="single" w:sz="6" w:space="0" w:color="auto"/>
              <w:left w:val="single" w:sz="6" w:space="0" w:color="auto"/>
              <w:bottom w:val="single" w:sz="4" w:space="0" w:color="auto"/>
              <w:right w:val="single" w:sz="6" w:space="0" w:color="auto"/>
            </w:tcBorders>
          </w:tcPr>
          <w:p w:rsidR="0016412E" w:rsidRPr="00BD6197" w:rsidRDefault="0016412E" w:rsidP="000F2BA7">
            <w:pPr>
              <w:pStyle w:val="Tablehead"/>
              <w:rPr>
                <w:lang w:val="en-US"/>
              </w:rPr>
            </w:pPr>
            <w:r w:rsidRPr="00BD6197">
              <w:rPr>
                <w:lang w:val="en-US"/>
              </w:rPr>
              <w:t>Village</w:t>
            </w:r>
          </w:p>
        </w:tc>
        <w:tc>
          <w:tcPr>
            <w:tcW w:w="851" w:type="dxa"/>
            <w:tcBorders>
              <w:left w:val="single" w:sz="6" w:space="0" w:color="auto"/>
              <w:bottom w:val="single" w:sz="4" w:space="0" w:color="auto"/>
              <w:right w:val="single" w:sz="6" w:space="0" w:color="auto"/>
            </w:tcBorders>
          </w:tcPr>
          <w:p w:rsidR="0016412E" w:rsidRPr="00BD6197" w:rsidRDefault="0016412E" w:rsidP="000F2BA7">
            <w:pPr>
              <w:pStyle w:val="Tablehead"/>
              <w:rPr>
                <w:lang w:val="en-US"/>
              </w:rPr>
            </w:pPr>
          </w:p>
        </w:tc>
      </w:tr>
      <w:tr w:rsidR="0016412E" w:rsidRPr="00BD6197" w:rsidTr="000F2BA7">
        <w:trPr>
          <w:cantSplit/>
          <w:jc w:val="center"/>
        </w:trPr>
        <w:tc>
          <w:tcPr>
            <w:tcW w:w="5443"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rPr>
                <w:lang w:val="en-US"/>
              </w:rPr>
            </w:pPr>
            <w:r w:rsidRPr="00BD6197">
              <w:rPr>
                <w:lang w:val="en-US"/>
              </w:rPr>
              <w:t>Radio-relay line in a range above 1 GHz</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0.5</w:t>
            </w:r>
          </w:p>
        </w:tc>
        <w:tc>
          <w:tcPr>
            <w:tcW w:w="760"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0.30</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c>
          <w:tcPr>
            <w:tcW w:w="942"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0.1</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r>
      <w:tr w:rsidR="0016412E" w:rsidRPr="00BD6197" w:rsidTr="000F2BA7">
        <w:trPr>
          <w:cantSplit/>
          <w:jc w:val="center"/>
        </w:trPr>
        <w:tc>
          <w:tcPr>
            <w:tcW w:w="5443"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rPr>
                <w:lang w:val="en-US"/>
              </w:rPr>
            </w:pPr>
            <w:r w:rsidRPr="00BD6197">
              <w:rPr>
                <w:lang w:val="en-US"/>
              </w:rPr>
              <w:t>Radio-relay line in a range below 1 GHz</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c>
          <w:tcPr>
            <w:tcW w:w="760"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4.00</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c>
          <w:tcPr>
            <w:tcW w:w="942"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0.1</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r>
      <w:tr w:rsidR="0016412E" w:rsidRPr="00BD6197" w:rsidTr="000F2BA7">
        <w:trPr>
          <w:cantSplit/>
          <w:jc w:val="center"/>
        </w:trPr>
        <w:tc>
          <w:tcPr>
            <w:tcW w:w="5443"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rPr>
                <w:lang w:val="en-US"/>
              </w:rPr>
            </w:pPr>
            <w:r w:rsidRPr="00BD6197">
              <w:rPr>
                <w:lang w:val="en-US"/>
              </w:rPr>
              <w:t>Television in meter range (MW TV)</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5</w:t>
            </w:r>
          </w:p>
        </w:tc>
        <w:tc>
          <w:tcPr>
            <w:tcW w:w="760"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0.30</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c>
          <w:tcPr>
            <w:tcW w:w="942"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0.1</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5</w:t>
            </w:r>
          </w:p>
        </w:tc>
      </w:tr>
      <w:tr w:rsidR="0016412E" w:rsidRPr="00BD6197" w:rsidTr="000F2BA7">
        <w:trPr>
          <w:cantSplit/>
          <w:jc w:val="center"/>
        </w:trPr>
        <w:tc>
          <w:tcPr>
            <w:tcW w:w="5443"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rPr>
                <w:lang w:val="en-US"/>
              </w:rPr>
            </w:pPr>
            <w:r w:rsidRPr="00BD6197">
              <w:rPr>
                <w:lang w:val="en-US"/>
              </w:rPr>
              <w:t>Television in meter range (DMW TV)</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5</w:t>
            </w:r>
          </w:p>
        </w:tc>
        <w:tc>
          <w:tcPr>
            <w:tcW w:w="760"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0.40</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c>
          <w:tcPr>
            <w:tcW w:w="942"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0.1</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5</w:t>
            </w:r>
          </w:p>
        </w:tc>
      </w:tr>
      <w:tr w:rsidR="0016412E" w:rsidRPr="00BD6197" w:rsidTr="000F2BA7">
        <w:trPr>
          <w:cantSplit/>
          <w:jc w:val="center"/>
        </w:trPr>
        <w:tc>
          <w:tcPr>
            <w:tcW w:w="5443"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rPr>
                <w:lang w:val="en-US"/>
              </w:rPr>
            </w:pPr>
            <w:r w:rsidRPr="00BD6197">
              <w:rPr>
                <w:lang w:val="en-US"/>
              </w:rPr>
              <w:t>USW broadcasting</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12</w:t>
            </w:r>
          </w:p>
        </w:tc>
        <w:tc>
          <w:tcPr>
            <w:tcW w:w="760"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5.00</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c>
          <w:tcPr>
            <w:tcW w:w="942"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0.1</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5</w:t>
            </w:r>
          </w:p>
        </w:tc>
      </w:tr>
      <w:tr w:rsidR="0016412E" w:rsidRPr="00BD6197" w:rsidTr="000F2BA7">
        <w:trPr>
          <w:cantSplit/>
          <w:jc w:val="center"/>
        </w:trPr>
        <w:tc>
          <w:tcPr>
            <w:tcW w:w="5443"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rPr>
                <w:lang w:val="en-US"/>
              </w:rPr>
            </w:pPr>
            <w:r w:rsidRPr="00BD6197">
              <w:rPr>
                <w:lang w:val="en-US"/>
              </w:rPr>
              <w:t>SW broadcasting</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5</w:t>
            </w:r>
          </w:p>
        </w:tc>
        <w:tc>
          <w:tcPr>
            <w:tcW w:w="760"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5.00</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c>
          <w:tcPr>
            <w:tcW w:w="942"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0.1</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4</w:t>
            </w:r>
          </w:p>
        </w:tc>
      </w:tr>
      <w:tr w:rsidR="0016412E" w:rsidRPr="00BD6197" w:rsidTr="000F2BA7">
        <w:trPr>
          <w:cantSplit/>
          <w:jc w:val="center"/>
        </w:trPr>
        <w:tc>
          <w:tcPr>
            <w:tcW w:w="5443"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rPr>
                <w:lang w:val="en-US"/>
              </w:rPr>
            </w:pPr>
            <w:r w:rsidRPr="00BD6197">
              <w:rPr>
                <w:lang w:val="en-US"/>
              </w:rPr>
              <w:t>SW radiocommunication</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13</w:t>
            </w:r>
          </w:p>
        </w:tc>
        <w:tc>
          <w:tcPr>
            <w:tcW w:w="760"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6.00</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c>
          <w:tcPr>
            <w:tcW w:w="942"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0.1</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4</w:t>
            </w:r>
          </w:p>
        </w:tc>
      </w:tr>
      <w:tr w:rsidR="0016412E" w:rsidRPr="00BD6197" w:rsidTr="000F2BA7">
        <w:trPr>
          <w:cantSplit/>
          <w:jc w:val="center"/>
        </w:trPr>
        <w:tc>
          <w:tcPr>
            <w:tcW w:w="5443"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rPr>
                <w:lang w:val="en-US"/>
              </w:rPr>
            </w:pPr>
            <w:r w:rsidRPr="00BD6197">
              <w:rPr>
                <w:lang w:val="en-US"/>
              </w:rPr>
              <w:t>Trunking</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12</w:t>
            </w:r>
          </w:p>
        </w:tc>
        <w:tc>
          <w:tcPr>
            <w:tcW w:w="760"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6.00</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c>
          <w:tcPr>
            <w:tcW w:w="942"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0.1</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5</w:t>
            </w:r>
          </w:p>
        </w:tc>
      </w:tr>
      <w:tr w:rsidR="0016412E" w:rsidRPr="00BD6197" w:rsidTr="000F2BA7">
        <w:trPr>
          <w:cantSplit/>
          <w:jc w:val="center"/>
        </w:trPr>
        <w:tc>
          <w:tcPr>
            <w:tcW w:w="5443"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rPr>
                <w:lang w:val="en-US"/>
              </w:rPr>
            </w:pPr>
            <w:r w:rsidRPr="00BD6197">
              <w:rPr>
                <w:lang w:val="en-US"/>
              </w:rPr>
              <w:t>Cellular communication</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13</w:t>
            </w:r>
          </w:p>
        </w:tc>
        <w:tc>
          <w:tcPr>
            <w:tcW w:w="760"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6.00</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c>
          <w:tcPr>
            <w:tcW w:w="942"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0.1</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5</w:t>
            </w:r>
          </w:p>
        </w:tc>
      </w:tr>
      <w:tr w:rsidR="0016412E" w:rsidRPr="00BD6197" w:rsidTr="000F2BA7">
        <w:trPr>
          <w:cantSplit/>
          <w:jc w:val="center"/>
        </w:trPr>
        <w:tc>
          <w:tcPr>
            <w:tcW w:w="5443"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rPr>
                <w:lang w:val="en-US"/>
              </w:rPr>
            </w:pPr>
            <w:r w:rsidRPr="00BD6197">
              <w:rPr>
                <w:lang w:val="en-US"/>
              </w:rPr>
              <w:t>Paging</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60</w:t>
            </w:r>
          </w:p>
        </w:tc>
        <w:tc>
          <w:tcPr>
            <w:tcW w:w="760"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6.00</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c>
          <w:tcPr>
            <w:tcW w:w="942"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0.1</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5</w:t>
            </w:r>
          </w:p>
        </w:tc>
      </w:tr>
      <w:tr w:rsidR="0016412E" w:rsidRPr="00BD6197" w:rsidTr="000F2BA7">
        <w:trPr>
          <w:cantSplit/>
          <w:jc w:val="center"/>
        </w:trPr>
        <w:tc>
          <w:tcPr>
            <w:tcW w:w="5443"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rPr>
                <w:lang w:val="en-US"/>
              </w:rPr>
            </w:pPr>
            <w:r w:rsidRPr="00BD6197">
              <w:rPr>
                <w:lang w:val="en-US"/>
              </w:rPr>
              <w:t>Mobile communication</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10</w:t>
            </w:r>
          </w:p>
        </w:tc>
        <w:tc>
          <w:tcPr>
            <w:tcW w:w="760"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6.00</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c>
          <w:tcPr>
            <w:tcW w:w="942"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0.1</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5</w:t>
            </w:r>
          </w:p>
        </w:tc>
      </w:tr>
      <w:tr w:rsidR="0016412E" w:rsidRPr="00BD6197" w:rsidTr="000F2BA7">
        <w:trPr>
          <w:cantSplit/>
          <w:jc w:val="center"/>
        </w:trPr>
        <w:tc>
          <w:tcPr>
            <w:tcW w:w="5443"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rPr>
                <w:lang w:val="en-US"/>
              </w:rPr>
            </w:pPr>
            <w:r w:rsidRPr="00BD6197">
              <w:rPr>
                <w:lang w:val="en-US"/>
              </w:rPr>
              <w:t>Radiocommunication in CB range</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0.12</w:t>
            </w:r>
          </w:p>
        </w:tc>
        <w:tc>
          <w:tcPr>
            <w:tcW w:w="760"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1.00</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c>
          <w:tcPr>
            <w:tcW w:w="942"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0.1</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r>
      <w:tr w:rsidR="0016412E" w:rsidRPr="00BD6197" w:rsidTr="000F2BA7">
        <w:trPr>
          <w:cantSplit/>
          <w:jc w:val="center"/>
        </w:trPr>
        <w:tc>
          <w:tcPr>
            <w:tcW w:w="5443"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rPr>
                <w:lang w:val="en-US"/>
              </w:rPr>
            </w:pPr>
            <w:r w:rsidRPr="00BD6197">
              <w:rPr>
                <w:lang w:val="en-US"/>
              </w:rPr>
              <w:t>Radiolocation</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0.15</w:t>
            </w:r>
          </w:p>
        </w:tc>
        <w:tc>
          <w:tcPr>
            <w:tcW w:w="760"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0.10</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c>
          <w:tcPr>
            <w:tcW w:w="942"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0.1</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r>
      <w:tr w:rsidR="0016412E" w:rsidRPr="00BD6197" w:rsidTr="000F2BA7">
        <w:trPr>
          <w:cantSplit/>
          <w:jc w:val="center"/>
        </w:trPr>
        <w:tc>
          <w:tcPr>
            <w:tcW w:w="5443"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rPr>
                <w:lang w:val="en-US"/>
              </w:rPr>
            </w:pPr>
            <w:r w:rsidRPr="00BD6197">
              <w:rPr>
                <w:lang w:val="en-US"/>
              </w:rPr>
              <w:t>The security radio signal system</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6</w:t>
            </w:r>
          </w:p>
        </w:tc>
        <w:tc>
          <w:tcPr>
            <w:tcW w:w="760"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1.0</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c>
          <w:tcPr>
            <w:tcW w:w="942"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0.1</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2</w:t>
            </w:r>
          </w:p>
        </w:tc>
      </w:tr>
      <w:tr w:rsidR="0016412E" w:rsidRPr="00BD6197" w:rsidTr="000F2BA7">
        <w:trPr>
          <w:cantSplit/>
          <w:jc w:val="center"/>
        </w:trPr>
        <w:tc>
          <w:tcPr>
            <w:tcW w:w="5443"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rPr>
                <w:lang w:val="en-US"/>
              </w:rPr>
            </w:pPr>
            <w:r w:rsidRPr="00BD6197">
              <w:rPr>
                <w:lang w:val="en-US"/>
              </w:rPr>
              <w:t>Earth station for fixed</w:t>
            </w:r>
            <w:r w:rsidRPr="00BD6197">
              <w:rPr>
                <w:lang w:val="en-US"/>
              </w:rPr>
              <w:noBreakHyphen/>
              <w:t>satellite service</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40</w:t>
            </w:r>
          </w:p>
        </w:tc>
        <w:tc>
          <w:tcPr>
            <w:tcW w:w="760"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1.00</w:t>
            </w:r>
          </w:p>
          <w:p w:rsidR="0016412E" w:rsidRPr="00BD6197" w:rsidRDefault="0016412E" w:rsidP="000F2BA7">
            <w:pPr>
              <w:pStyle w:val="Tabletext"/>
              <w:jc w:val="center"/>
              <w:rPr>
                <w:lang w:val="en-US"/>
              </w:rPr>
            </w:pPr>
            <w:r w:rsidRPr="00BD6197">
              <w:rPr>
                <w:lang w:val="en-US"/>
              </w:rPr>
              <w:t>0.30*</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c>
          <w:tcPr>
            <w:tcW w:w="942"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0.1</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r>
      <w:tr w:rsidR="0016412E" w:rsidRPr="00BD6197" w:rsidTr="000F2BA7">
        <w:trPr>
          <w:cantSplit/>
          <w:jc w:val="center"/>
        </w:trPr>
        <w:tc>
          <w:tcPr>
            <w:tcW w:w="5443"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rPr>
                <w:lang w:val="en-US"/>
              </w:rPr>
            </w:pPr>
            <w:r w:rsidRPr="00BD6197">
              <w:rPr>
                <w:lang w:val="en-US"/>
              </w:rPr>
              <w:t>Feeder link for broadcasting-satellite service</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7</w:t>
            </w:r>
          </w:p>
        </w:tc>
        <w:tc>
          <w:tcPr>
            <w:tcW w:w="760"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0.30</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c>
          <w:tcPr>
            <w:tcW w:w="942"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0.1</w:t>
            </w:r>
          </w:p>
        </w:tc>
        <w:tc>
          <w:tcPr>
            <w:tcW w:w="851" w:type="dxa"/>
            <w:tcBorders>
              <w:top w:val="single" w:sz="4" w:space="0" w:color="auto"/>
              <w:left w:val="single" w:sz="4" w:space="0" w:color="auto"/>
              <w:bottom w:val="single" w:sz="4" w:space="0" w:color="auto"/>
              <w:right w:val="single" w:sz="4" w:space="0" w:color="auto"/>
            </w:tcBorders>
          </w:tcPr>
          <w:p w:rsidR="0016412E" w:rsidRPr="00BD6197" w:rsidRDefault="0016412E" w:rsidP="000F2BA7">
            <w:pPr>
              <w:pStyle w:val="Tabletext"/>
              <w:jc w:val="center"/>
              <w:rPr>
                <w:lang w:val="en-US"/>
              </w:rPr>
            </w:pPr>
            <w:r w:rsidRPr="00BD6197">
              <w:rPr>
                <w:lang w:val="en-US"/>
              </w:rPr>
              <w:t>1</w:t>
            </w:r>
          </w:p>
        </w:tc>
      </w:tr>
      <w:tr w:rsidR="0016412E" w:rsidRPr="00D17B5B" w:rsidTr="000F2BA7">
        <w:trPr>
          <w:cantSplit/>
          <w:jc w:val="center"/>
        </w:trPr>
        <w:tc>
          <w:tcPr>
            <w:tcW w:w="9698" w:type="dxa"/>
            <w:gridSpan w:val="6"/>
            <w:tcBorders>
              <w:top w:val="single" w:sz="4" w:space="0" w:color="auto"/>
            </w:tcBorders>
          </w:tcPr>
          <w:p w:rsidR="0016412E" w:rsidRPr="00BD6197" w:rsidRDefault="0016412E" w:rsidP="000F2BA7">
            <w:pPr>
              <w:pStyle w:val="TableLegendNote"/>
            </w:pPr>
            <w:r w:rsidRPr="00BD6197">
              <w:t>NOTE 1 – </w:t>
            </w:r>
            <w:r w:rsidRPr="00BD6197">
              <w:sym w:font="Symbol" w:char="F061"/>
            </w:r>
            <w:r w:rsidRPr="00BD6197">
              <w:rPr>
                <w:position w:val="-4"/>
                <w:vertAlign w:val="subscript"/>
              </w:rPr>
              <w:t>2</w:t>
            </w:r>
            <w:r w:rsidRPr="00BD6197">
              <w:t>* – Value taking into account a social factor is entered for international organizations working in the territory of the Kyrgyz Republic, not representing commercial communication services and whose activity is directed towards stability of economy, development of a science, or culture.</w:t>
            </w:r>
          </w:p>
        </w:tc>
      </w:tr>
    </w:tbl>
    <w:p w:rsidR="0016412E" w:rsidRPr="00BD6197" w:rsidRDefault="0016412E" w:rsidP="0016412E">
      <w:pPr>
        <w:pStyle w:val="Tablefin"/>
        <w:rPr>
          <w:lang w:val="en-US"/>
        </w:rPr>
      </w:pPr>
    </w:p>
    <w:p w:rsidR="0016412E" w:rsidRPr="00BD6197" w:rsidRDefault="0016412E" w:rsidP="0016412E">
      <w:pPr>
        <w:rPr>
          <w:lang w:val="en-US"/>
        </w:rPr>
      </w:pPr>
      <w:r w:rsidRPr="00BD6197">
        <w:rPr>
          <w:lang w:val="en-US"/>
        </w:rPr>
        <w:t xml:space="preserve">Coefficient </w:t>
      </w:r>
      <w:r w:rsidRPr="00BD6197">
        <w:rPr>
          <w:lang w:val="en-US"/>
        </w:rPr>
        <w:sym w:font="Symbol" w:char="F061"/>
      </w:r>
      <w:r w:rsidRPr="00BD6197">
        <w:rPr>
          <w:position w:val="-4"/>
          <w:sz w:val="16"/>
          <w:lang w:val="en-US"/>
        </w:rPr>
        <w:t>3</w:t>
      </w:r>
      <w:r w:rsidRPr="00BD6197">
        <w:rPr>
          <w:lang w:val="en-US"/>
        </w:rPr>
        <w:t xml:space="preserve"> takes into account features of site location in urban and rural areas. In rural areas, where the density of the population and the level of incomes is low, the commercial value of communication services is also low and the technological costs of providing these services is high. Therefore with the purpose of support of these telecommunication operators and services, as well as for encouraging development of radiocommunications services, there is a reduction coefficient </w:t>
      </w:r>
      <w:r w:rsidRPr="00BD6197">
        <w:rPr>
          <w:lang w:val="en-US"/>
        </w:rPr>
        <w:sym w:font="Symbol" w:char="F061"/>
      </w:r>
      <w:r w:rsidRPr="00BD6197">
        <w:rPr>
          <w:vertAlign w:val="subscript"/>
          <w:lang w:val="en-US"/>
        </w:rPr>
        <w:t>3</w:t>
      </w:r>
      <w:r w:rsidRPr="00BD6197">
        <w:rPr>
          <w:lang w:val="en-US"/>
        </w:rPr>
        <w:t xml:space="preserve"> = 0.1 (in urban district </w:t>
      </w:r>
      <w:r w:rsidRPr="00BD6197">
        <w:rPr>
          <w:lang w:val="en-US"/>
        </w:rPr>
        <w:sym w:font="Symbol" w:char="F061"/>
      </w:r>
      <w:r w:rsidRPr="00BD6197">
        <w:rPr>
          <w:vertAlign w:val="subscript"/>
          <w:lang w:val="en-US"/>
        </w:rPr>
        <w:t>3</w:t>
      </w:r>
      <w:r w:rsidRPr="00BD6197">
        <w:rPr>
          <w:lang w:val="en-US"/>
        </w:rPr>
        <w:t> = 1).</w:t>
      </w:r>
    </w:p>
    <w:p w:rsidR="0016412E" w:rsidRPr="00BD6197" w:rsidRDefault="0016412E" w:rsidP="0016412E">
      <w:pPr>
        <w:rPr>
          <w:lang w:val="en-US"/>
        </w:rPr>
      </w:pPr>
      <w:r w:rsidRPr="00BD6197">
        <w:rPr>
          <w:lang w:val="en-US"/>
        </w:rPr>
        <w:t xml:space="preserve">Coefficient </w:t>
      </w:r>
      <w:r w:rsidRPr="00BD6197">
        <w:rPr>
          <w:lang w:val="en-US"/>
        </w:rPr>
        <w:sym w:font="Symbol" w:char="F061"/>
      </w:r>
      <w:r w:rsidRPr="00BD6197">
        <w:rPr>
          <w:vertAlign w:val="subscript"/>
          <w:lang w:val="en-US"/>
        </w:rPr>
        <w:t>4</w:t>
      </w:r>
      <w:r w:rsidRPr="00BD6197">
        <w:rPr>
          <w:lang w:val="en-US"/>
        </w:rPr>
        <w:t xml:space="preserve"> varies in limits from 0 up to 10 and is determined by the complexity of spectrum management functions performed. This coefficient is the highest for mobile services, as here it is required to carry out the function of radiodeterminations of mobile objects, and for television broadcasting, where it is required to determine with high accuracy a number of parameters.</w:t>
      </w:r>
    </w:p>
    <w:p w:rsidR="0016412E" w:rsidRPr="00BD6197" w:rsidRDefault="0016412E" w:rsidP="00C26A17">
      <w:pPr>
        <w:rPr>
          <w:lang w:val="en-US"/>
        </w:rPr>
      </w:pPr>
      <w:r w:rsidRPr="00BD6197">
        <w:rPr>
          <w:lang w:val="en-US"/>
        </w:rPr>
        <w:t xml:space="preserve">Thus, with the help of weighting coefficients </w:t>
      </w:r>
      <w:r w:rsidRPr="00BD6197">
        <w:rPr>
          <w:i/>
          <w:iCs/>
          <w:lang w:val="en-US"/>
        </w:rPr>
        <w:t>K</w:t>
      </w:r>
      <w:r w:rsidRPr="00BD6197">
        <w:rPr>
          <w:i/>
          <w:iCs/>
          <w:vertAlign w:val="subscript"/>
          <w:lang w:val="en-US"/>
        </w:rPr>
        <w:t>j</w:t>
      </w:r>
      <w:r w:rsidRPr="00BD6197">
        <w:rPr>
          <w:lang w:val="en-US"/>
        </w:rPr>
        <w:t xml:space="preserve">, </w:t>
      </w:r>
      <w:r w:rsidRPr="00BD6197">
        <w:rPr>
          <w:lang w:val="en-US"/>
        </w:rPr>
        <w:sym w:font="Symbol" w:char="F061"/>
      </w:r>
      <w:r w:rsidRPr="00BD6197">
        <w:rPr>
          <w:i/>
          <w:iCs/>
          <w:vertAlign w:val="subscript"/>
          <w:lang w:val="en-US"/>
        </w:rPr>
        <w:t>i</w:t>
      </w:r>
      <w:r w:rsidRPr="00BD6197">
        <w:rPr>
          <w:lang w:val="en-US"/>
        </w:rPr>
        <w:t xml:space="preserve">, and </w:t>
      </w:r>
      <w:r w:rsidRPr="00BD6197">
        <w:rPr>
          <w:lang w:val="en-US"/>
        </w:rPr>
        <w:sym w:font="Symbol" w:char="F062"/>
      </w:r>
      <w:r w:rsidRPr="00BD6197">
        <w:rPr>
          <w:i/>
          <w:iCs/>
          <w:vertAlign w:val="subscript"/>
          <w:lang w:val="en-US"/>
        </w:rPr>
        <w:t>i</w:t>
      </w:r>
      <w:r w:rsidRPr="00BD6197">
        <w:rPr>
          <w:lang w:val="en-US"/>
        </w:rPr>
        <w:t xml:space="preserve"> in formulas (</w:t>
      </w:r>
      <w:r w:rsidR="00C26A17">
        <w:rPr>
          <w:lang w:val="en-US"/>
        </w:rPr>
        <w:t>60</w:t>
      </w:r>
      <w:r w:rsidRPr="00BD6197">
        <w:rPr>
          <w:lang w:val="en-US"/>
        </w:rPr>
        <w:t>) and (</w:t>
      </w:r>
      <w:r w:rsidR="00C26A17">
        <w:rPr>
          <w:lang w:val="en-US"/>
        </w:rPr>
        <w:t>61), according to formula (59</w:t>
      </w:r>
      <w:r w:rsidRPr="00BD6197">
        <w:rPr>
          <w:lang w:val="en-US"/>
        </w:rPr>
        <w:t xml:space="preserve">) it is possible to determine the given (in view of the various factors) frequency resource </w:t>
      </w:r>
      <w:r w:rsidRPr="00BD6197">
        <w:rPr>
          <w:i/>
          <w:iCs/>
          <w:lang w:val="en-US"/>
        </w:rPr>
        <w:t>Z</w:t>
      </w:r>
      <w:r w:rsidRPr="00BD6197">
        <w:rPr>
          <w:i/>
          <w:iCs/>
          <w:vertAlign w:val="subscript"/>
          <w:lang w:val="en-US"/>
        </w:rPr>
        <w:t>i</w:t>
      </w:r>
      <w:r w:rsidRPr="00BD6197">
        <w:rPr>
          <w:lang w:val="en-US"/>
        </w:rPr>
        <w:t xml:space="preserve"> for each frequency assignment. Then it is possible to determine the general frequency resource used in the Kyrgyz Republic, according to formula (</w:t>
      </w:r>
      <w:r w:rsidR="00C26A17">
        <w:rPr>
          <w:lang w:val="en-US"/>
        </w:rPr>
        <w:t>63</w:t>
      </w:r>
      <w:r w:rsidRPr="00BD6197">
        <w:rPr>
          <w:lang w:val="en-US"/>
        </w:rPr>
        <w:t>):</w:t>
      </w:r>
    </w:p>
    <w:p w:rsidR="0016412E" w:rsidRPr="00BD6197" w:rsidRDefault="0016412E" w:rsidP="0016412E">
      <w:pPr>
        <w:pStyle w:val="Blanc"/>
        <w:rPr>
          <w:lang w:val="en-US"/>
        </w:rPr>
      </w:pPr>
    </w:p>
    <w:p w:rsidR="0016412E" w:rsidRPr="00BD6197" w:rsidRDefault="0016412E" w:rsidP="00C26A17">
      <w:pPr>
        <w:pStyle w:val="Equation"/>
        <w:rPr>
          <w:lang w:val="en-US"/>
        </w:rPr>
      </w:pPr>
      <w:r w:rsidRPr="00BD6197">
        <w:rPr>
          <w:lang w:val="en-US"/>
        </w:rPr>
        <w:tab/>
      </w:r>
      <w:r w:rsidRPr="00BD6197">
        <w:rPr>
          <w:lang w:val="en-US"/>
        </w:rPr>
        <w:tab/>
      </w:r>
      <w:r w:rsidRPr="00BD6197">
        <w:rPr>
          <w:position w:val="-36"/>
          <w:sz w:val="20"/>
          <w:lang w:val="en-US"/>
        </w:rPr>
        <w:object w:dxaOrig="1300" w:dyaOrig="800">
          <v:shape id="_x0000_i1129" type="#_x0000_t75" style="width:63.75pt;height:40.5pt" o:ole="" fillcolor="window">
            <v:imagedata r:id="rId233" o:title=""/>
          </v:shape>
          <o:OLEObject Type="Embed" ProgID="Equation.3" ShapeID="_x0000_i1129" DrawAspect="Content" ObjectID="_1604325083" r:id="rId234"/>
        </w:object>
      </w:r>
      <w:r w:rsidRPr="00BD6197">
        <w:rPr>
          <w:lang w:val="en-US"/>
        </w:rPr>
        <w:t>                kHz · km</w:t>
      </w:r>
      <w:r w:rsidRPr="00BD6197">
        <w:rPr>
          <w:position w:val="6"/>
          <w:sz w:val="18"/>
          <w:lang w:val="en-US"/>
        </w:rPr>
        <w:t>2</w:t>
      </w:r>
      <w:r w:rsidRPr="00BD6197">
        <w:rPr>
          <w:lang w:val="en-US"/>
        </w:rPr>
        <w:t> · 1 year</w:t>
      </w:r>
      <w:r w:rsidRPr="00BD6197">
        <w:rPr>
          <w:lang w:val="en-US"/>
        </w:rPr>
        <w:tab/>
        <w:t>(</w:t>
      </w:r>
      <w:r w:rsidR="00C26A17">
        <w:rPr>
          <w:lang w:val="en-US"/>
        </w:rPr>
        <w:t>63</w:t>
      </w:r>
      <w:r w:rsidRPr="00BD6197">
        <w:rPr>
          <w:lang w:val="en-US"/>
        </w:rPr>
        <w:t>)</w:t>
      </w:r>
    </w:p>
    <w:p w:rsidR="0016412E" w:rsidRPr="00BD6197" w:rsidRDefault="0016412E" w:rsidP="0016412E">
      <w:pPr>
        <w:keepNext/>
        <w:keepLines/>
        <w:rPr>
          <w:lang w:val="en-US"/>
        </w:rPr>
      </w:pPr>
      <w:r w:rsidRPr="00BD6197">
        <w:rPr>
          <w:lang w:val="en-US"/>
        </w:rPr>
        <w:lastRenderedPageBreak/>
        <w:t>where:</w:t>
      </w:r>
    </w:p>
    <w:p w:rsidR="0016412E" w:rsidRPr="00BD6197" w:rsidRDefault="0016412E" w:rsidP="0016412E">
      <w:pPr>
        <w:pStyle w:val="Equationlegend"/>
        <w:keepNext/>
        <w:keepLines/>
      </w:pPr>
      <w:r w:rsidRPr="00BD6197">
        <w:tab/>
      </w:r>
      <w:r w:rsidRPr="00BD6197">
        <w:rPr>
          <w:i/>
          <w:iCs/>
        </w:rPr>
        <w:t>Z</w:t>
      </w:r>
      <w:r w:rsidRPr="00BD6197">
        <w:rPr>
          <w:sz w:val="12"/>
        </w:rPr>
        <w:t> </w:t>
      </w:r>
      <w:r w:rsidRPr="00BD6197">
        <w:t>:</w:t>
      </w:r>
      <w:r w:rsidRPr="00BD6197">
        <w:tab/>
        <w:t>general frequency resource used in the Republic</w:t>
      </w:r>
    </w:p>
    <w:p w:rsidR="0016412E" w:rsidRPr="00BD6197" w:rsidRDefault="0016412E" w:rsidP="0016412E">
      <w:pPr>
        <w:pStyle w:val="Equationlegend"/>
      </w:pPr>
      <w:r w:rsidRPr="00BD6197">
        <w:tab/>
      </w:r>
      <w:r w:rsidRPr="00BD6197">
        <w:rPr>
          <w:i/>
          <w:iCs/>
        </w:rPr>
        <w:t>Z</w:t>
      </w:r>
      <w:r w:rsidRPr="00BD6197">
        <w:rPr>
          <w:i/>
          <w:iCs/>
          <w:vertAlign w:val="subscript"/>
        </w:rPr>
        <w:t>i</w:t>
      </w:r>
      <w:r w:rsidRPr="00BD6197">
        <w:rPr>
          <w:sz w:val="12"/>
        </w:rPr>
        <w:t> </w:t>
      </w:r>
      <w:r w:rsidRPr="00BD6197">
        <w:t>:</w:t>
      </w:r>
      <w:r w:rsidRPr="00BD6197">
        <w:tab/>
        <w:t xml:space="preserve">frequency resource used with </w:t>
      </w:r>
      <w:r w:rsidRPr="00BD6197">
        <w:rPr>
          <w:i/>
          <w:iCs/>
        </w:rPr>
        <w:t>i</w:t>
      </w:r>
      <w:r w:rsidRPr="00BD6197">
        <w:t>-th frequency assignment</w:t>
      </w:r>
    </w:p>
    <w:p w:rsidR="0016412E" w:rsidRPr="00BD6197" w:rsidRDefault="0016412E" w:rsidP="0016412E">
      <w:pPr>
        <w:pStyle w:val="Equationlegend"/>
      </w:pPr>
      <w:r w:rsidRPr="00BD6197">
        <w:tab/>
      </w:r>
      <w:r w:rsidRPr="00BD6197">
        <w:rPr>
          <w:i/>
          <w:iCs/>
        </w:rPr>
        <w:t>n</w:t>
      </w:r>
      <w:r w:rsidRPr="00BD6197">
        <w:rPr>
          <w:sz w:val="12"/>
        </w:rPr>
        <w:t> </w:t>
      </w:r>
      <w:r w:rsidRPr="00BD6197">
        <w:t>:</w:t>
      </w:r>
      <w:r w:rsidRPr="00BD6197">
        <w:tab/>
        <w:t>overall number of frequency assignments registered in the national database</w:t>
      </w:r>
    </w:p>
    <w:p w:rsidR="0016412E" w:rsidRPr="00BD6197" w:rsidRDefault="0016412E" w:rsidP="0016412E">
      <w:pPr>
        <w:pStyle w:val="Equationlegend"/>
      </w:pPr>
      <w:r w:rsidRPr="00BD6197">
        <w:tab/>
      </w:r>
      <w:r w:rsidRPr="00BD6197">
        <w:rPr>
          <w:i/>
          <w:iCs/>
        </w:rPr>
        <w:t>L</w:t>
      </w:r>
      <w:r w:rsidRPr="00BD6197">
        <w:rPr>
          <w:sz w:val="12"/>
        </w:rPr>
        <w:t> </w:t>
      </w:r>
      <w:r w:rsidRPr="00BD6197">
        <w:t>:</w:t>
      </w:r>
      <w:r w:rsidRPr="00BD6197">
        <w:tab/>
        <w:t>estimated expansion coefficient for the spectrum used. The introduction of this coefficient permits prices for spectrum to be determined in advance for the next fiscal year.</w:t>
      </w:r>
    </w:p>
    <w:p w:rsidR="0016412E" w:rsidRPr="00BD6197" w:rsidRDefault="0016412E" w:rsidP="0016412E">
      <w:pPr>
        <w:pStyle w:val="Heading4"/>
        <w:rPr>
          <w:lang w:val="en-US"/>
        </w:rPr>
      </w:pPr>
      <w:bookmarkStart w:id="2066" w:name="_Toc497033222"/>
      <w:bookmarkStart w:id="2067" w:name="_Toc497034020"/>
      <w:r w:rsidRPr="00BD6197">
        <w:rPr>
          <w:lang w:val="en-US"/>
        </w:rPr>
        <w:t>5.2.6.3</w:t>
      </w:r>
      <w:r w:rsidRPr="00BD6197">
        <w:rPr>
          <w:lang w:val="en-US"/>
        </w:rPr>
        <w:tab/>
        <w:t>Price for the unit of the frequency resource used</w:t>
      </w:r>
      <w:bookmarkEnd w:id="2066"/>
      <w:bookmarkEnd w:id="2067"/>
    </w:p>
    <w:p w:rsidR="0016412E" w:rsidRPr="00BD6197" w:rsidRDefault="0016412E" w:rsidP="00C26A17">
      <w:pPr>
        <w:rPr>
          <w:lang w:val="en-US"/>
        </w:rPr>
      </w:pPr>
      <w:r w:rsidRPr="00BD6197">
        <w:rPr>
          <w:lang w:val="en-US"/>
        </w:rPr>
        <w:t>On the basis of formula (5</w:t>
      </w:r>
      <w:r w:rsidR="00C26A17">
        <w:rPr>
          <w:lang w:val="en-US"/>
        </w:rPr>
        <w:t>6</w:t>
      </w:r>
      <w:r w:rsidRPr="00BD6197">
        <w:rPr>
          <w:lang w:val="en-US"/>
        </w:rPr>
        <w:t>)</w:t>
      </w:r>
      <w:r w:rsidR="00C26A17">
        <w:rPr>
          <w:lang w:val="en-US"/>
        </w:rPr>
        <w:t>,</w:t>
      </w:r>
      <w:r w:rsidRPr="00BD6197">
        <w:rPr>
          <w:lang w:val="en-US"/>
        </w:rPr>
        <w:t xml:space="preserve"> and in view of formulas (5</w:t>
      </w:r>
      <w:r w:rsidR="00C26A17">
        <w:rPr>
          <w:lang w:val="en-US"/>
        </w:rPr>
        <w:t>7</w:t>
      </w:r>
      <w:r w:rsidRPr="00BD6197">
        <w:rPr>
          <w:lang w:val="en-US"/>
        </w:rPr>
        <w:t>) and (5</w:t>
      </w:r>
      <w:r w:rsidR="00C26A17">
        <w:rPr>
          <w:lang w:val="en-US"/>
        </w:rPr>
        <w:t>8</w:t>
      </w:r>
      <w:r w:rsidRPr="00BD6197">
        <w:rPr>
          <w:lang w:val="en-US"/>
        </w:rPr>
        <w:t>)</w:t>
      </w:r>
      <w:r w:rsidR="00C26A17">
        <w:rPr>
          <w:lang w:val="en-US"/>
        </w:rPr>
        <w:t>,</w:t>
      </w:r>
      <w:r w:rsidRPr="00BD6197">
        <w:rPr>
          <w:lang w:val="en-US"/>
        </w:rPr>
        <w:t xml:space="preserve"> the total amount of annual payments is determined.</w:t>
      </w:r>
    </w:p>
    <w:p w:rsidR="0016412E" w:rsidRPr="00BD6197" w:rsidRDefault="0016412E" w:rsidP="00C26A17">
      <w:pPr>
        <w:rPr>
          <w:lang w:val="en-US"/>
        </w:rPr>
      </w:pPr>
      <w:r w:rsidRPr="00BD6197">
        <w:rPr>
          <w:lang w:val="en-US"/>
        </w:rPr>
        <w:t>On the basis of formula (</w:t>
      </w:r>
      <w:r w:rsidR="00C26A17">
        <w:rPr>
          <w:lang w:val="en-US"/>
        </w:rPr>
        <w:t>63</w:t>
      </w:r>
      <w:r w:rsidRPr="00BD6197">
        <w:rPr>
          <w:lang w:val="en-US"/>
        </w:rPr>
        <w:t>) the value of the spectrum annually used in the Republic is determined.</w:t>
      </w:r>
    </w:p>
    <w:p w:rsidR="0016412E" w:rsidRPr="00BD6197" w:rsidRDefault="0016412E" w:rsidP="0016412E">
      <w:pPr>
        <w:rPr>
          <w:lang w:val="en-US"/>
        </w:rPr>
      </w:pPr>
      <w:r w:rsidRPr="00BD6197">
        <w:rPr>
          <w:lang w:val="en-US"/>
        </w:rPr>
        <w:t xml:space="preserve">Then it is possible to determine the price of </w:t>
      </w:r>
      <w:r w:rsidRPr="00BD6197">
        <w:rPr>
          <w:lang w:val="en-US"/>
        </w:rPr>
        <w:sym w:font="Symbol" w:char="F044"/>
      </w:r>
      <w:r w:rsidRPr="00BD6197">
        <w:rPr>
          <w:i/>
          <w:iCs/>
          <w:lang w:val="en-US"/>
        </w:rPr>
        <w:t>C</w:t>
      </w:r>
      <w:r w:rsidRPr="00BD6197">
        <w:rPr>
          <w:i/>
          <w:iCs/>
          <w:vertAlign w:val="subscript"/>
          <w:lang w:val="en-US"/>
        </w:rPr>
        <w:t>ann</w:t>
      </w:r>
      <w:r w:rsidRPr="00BD6197">
        <w:rPr>
          <w:lang w:val="en-US"/>
        </w:rPr>
        <w:t xml:space="preserve"> for a conventional unit of the frequency resource:</w:t>
      </w:r>
    </w:p>
    <w:p w:rsidR="0016412E" w:rsidRPr="00BD6197" w:rsidRDefault="0016412E" w:rsidP="0016412E">
      <w:pPr>
        <w:pStyle w:val="Blanc"/>
        <w:rPr>
          <w:lang w:val="en-US"/>
        </w:rPr>
      </w:pPr>
    </w:p>
    <w:p w:rsidR="0016412E" w:rsidRPr="00BD6197" w:rsidRDefault="0016412E" w:rsidP="00C26A17">
      <w:pPr>
        <w:pStyle w:val="Equation"/>
        <w:rPr>
          <w:lang w:val="en-US"/>
        </w:rPr>
      </w:pPr>
      <w:r w:rsidRPr="00BD6197">
        <w:rPr>
          <w:lang w:val="en-US"/>
        </w:rPr>
        <w:tab/>
      </w:r>
      <w:r w:rsidRPr="00BD6197">
        <w:rPr>
          <w:lang w:val="en-US"/>
        </w:rPr>
        <w:tab/>
      </w:r>
      <w:r w:rsidRPr="00BD6197">
        <w:rPr>
          <w:position w:val="-32"/>
          <w:sz w:val="20"/>
          <w:lang w:val="en-US"/>
        </w:rPr>
        <w:object w:dxaOrig="3440" w:dyaOrig="760">
          <v:shape id="_x0000_i1130" type="#_x0000_t75" style="width:170.25pt;height:36pt" o:ole="" fillcolor="window">
            <v:imagedata r:id="rId235" o:title=""/>
          </v:shape>
          <o:OLEObject Type="Embed" ProgID="Equation.3" ShapeID="_x0000_i1130" DrawAspect="Content" ObjectID="_1604325084" r:id="rId236"/>
        </w:object>
      </w:r>
      <w:r w:rsidRPr="00BD6197">
        <w:rPr>
          <w:lang w:val="en-US"/>
        </w:rPr>
        <w:tab/>
        <w:t>(</w:t>
      </w:r>
      <w:r w:rsidR="00C26A17">
        <w:rPr>
          <w:lang w:val="en-US"/>
        </w:rPr>
        <w:t>64</w:t>
      </w:r>
      <w:r w:rsidRPr="00BD6197">
        <w:rPr>
          <w:lang w:val="en-US"/>
        </w:rPr>
        <w:t>)</w:t>
      </w:r>
    </w:p>
    <w:p w:rsidR="0016412E" w:rsidRPr="00BD6197" w:rsidRDefault="0016412E" w:rsidP="0016412E">
      <w:pPr>
        <w:pStyle w:val="Equationlegend"/>
      </w:pPr>
      <w:r w:rsidRPr="00BD6197">
        <w:tab/>
      </w:r>
      <w:r w:rsidRPr="00BD6197">
        <w:rPr>
          <w:i/>
          <w:iCs/>
        </w:rPr>
        <w:t>Som</w:t>
      </w:r>
      <w:r w:rsidRPr="00BD6197">
        <w:t>*</w:t>
      </w:r>
      <w:r w:rsidRPr="00BD6197">
        <w:rPr>
          <w:rFonts w:ascii="Tms Rmn" w:hAnsi="Tms Rmn"/>
          <w:sz w:val="12"/>
        </w:rPr>
        <w:t> </w:t>
      </w:r>
      <w:r w:rsidRPr="00BD6197">
        <w:rPr>
          <w:rFonts w:ascii="Tms Rmn" w:hAnsi="Tms Rmn"/>
        </w:rPr>
        <w:t>:</w:t>
      </w:r>
      <w:r w:rsidRPr="00BD6197">
        <w:rPr>
          <w:rFonts w:ascii="Tms Rmn" w:hAnsi="Tms Rmn"/>
        </w:rPr>
        <w:tab/>
      </w:r>
      <w:r w:rsidRPr="00BD6197">
        <w:t>name of the national currency.</w:t>
      </w:r>
    </w:p>
    <w:p w:rsidR="0016412E" w:rsidRPr="00BD6197" w:rsidRDefault="0016412E" w:rsidP="0016412E">
      <w:pPr>
        <w:pStyle w:val="Heading4"/>
        <w:rPr>
          <w:lang w:val="en-US"/>
        </w:rPr>
      </w:pPr>
      <w:bookmarkStart w:id="2068" w:name="_Toc497033223"/>
      <w:bookmarkStart w:id="2069" w:name="_Toc497034021"/>
      <w:r w:rsidRPr="00BD6197">
        <w:rPr>
          <w:lang w:val="en-US"/>
        </w:rPr>
        <w:t>5.2.6.4</w:t>
      </w:r>
      <w:r w:rsidRPr="00BD6197">
        <w:rPr>
          <w:lang w:val="en-US"/>
        </w:rPr>
        <w:tab/>
        <w:t>Annual fees for a particular frequency assignment</w:t>
      </w:r>
      <w:bookmarkEnd w:id="2068"/>
      <w:bookmarkEnd w:id="2069"/>
    </w:p>
    <w:p w:rsidR="0016412E" w:rsidRPr="00BD6197" w:rsidRDefault="0016412E" w:rsidP="00C26A17">
      <w:pPr>
        <w:rPr>
          <w:lang w:val="en-US"/>
        </w:rPr>
      </w:pPr>
      <w:r w:rsidRPr="00BD6197">
        <w:rPr>
          <w:lang w:val="en-US"/>
        </w:rPr>
        <w:t>According to formula (</w:t>
      </w:r>
      <w:r w:rsidR="00C26A17">
        <w:rPr>
          <w:lang w:val="en-US"/>
        </w:rPr>
        <w:t>64</w:t>
      </w:r>
      <w:r w:rsidRPr="00BD6197">
        <w:rPr>
          <w:lang w:val="en-US"/>
        </w:rPr>
        <w:t xml:space="preserve">) the price </w:t>
      </w:r>
      <w:r w:rsidRPr="00BD6197">
        <w:rPr>
          <w:lang w:val="en-US"/>
        </w:rPr>
        <w:sym w:font="Symbol" w:char="F044"/>
      </w:r>
      <w:r w:rsidRPr="00BD6197">
        <w:rPr>
          <w:i/>
          <w:iCs/>
          <w:lang w:val="en-US"/>
        </w:rPr>
        <w:t>C</w:t>
      </w:r>
      <w:r w:rsidRPr="00BD6197">
        <w:rPr>
          <w:i/>
          <w:iCs/>
          <w:vertAlign w:val="subscript"/>
          <w:lang w:val="en-US"/>
        </w:rPr>
        <w:t>ann</w:t>
      </w:r>
      <w:r w:rsidRPr="00BD6197">
        <w:rPr>
          <w:lang w:val="en-US"/>
        </w:rPr>
        <w:t xml:space="preserve"> for the conventional unit of the frequency resource is determined.</w:t>
      </w:r>
    </w:p>
    <w:p w:rsidR="0016412E" w:rsidRPr="00BD6197" w:rsidRDefault="0016412E" w:rsidP="00676968">
      <w:pPr>
        <w:rPr>
          <w:lang w:val="en-US"/>
        </w:rPr>
      </w:pPr>
      <w:r w:rsidRPr="00BD6197">
        <w:rPr>
          <w:lang w:val="en-US"/>
        </w:rPr>
        <w:t>According to formula (5</w:t>
      </w:r>
      <w:r w:rsidR="00C26A17">
        <w:rPr>
          <w:lang w:val="en-US"/>
        </w:rPr>
        <w:t>9</w:t>
      </w:r>
      <w:r w:rsidRPr="00BD6197">
        <w:rPr>
          <w:lang w:val="en-US"/>
        </w:rPr>
        <w:t xml:space="preserve">) the frequency resource </w:t>
      </w:r>
      <w:r w:rsidRPr="00BD6197">
        <w:rPr>
          <w:i/>
          <w:iCs/>
          <w:lang w:val="en-US"/>
        </w:rPr>
        <w:t>Z</w:t>
      </w:r>
      <w:r w:rsidRPr="00BD6197">
        <w:rPr>
          <w:i/>
          <w:iCs/>
          <w:vertAlign w:val="subscript"/>
          <w:lang w:val="en-US"/>
        </w:rPr>
        <w:t>i</w:t>
      </w:r>
      <w:r w:rsidRPr="00BD6197">
        <w:rPr>
          <w:lang w:val="en-US"/>
        </w:rPr>
        <w:t xml:space="preserve"> used for a particular frequency assignment is determined. Then the amount of the annual payment </w:t>
      </w:r>
      <w:r w:rsidRPr="00BD6197">
        <w:rPr>
          <w:i/>
          <w:iCs/>
          <w:lang w:val="en-US"/>
        </w:rPr>
        <w:t>C</w:t>
      </w:r>
      <w:r w:rsidRPr="00BD6197">
        <w:rPr>
          <w:i/>
          <w:iCs/>
          <w:vertAlign w:val="subscript"/>
          <w:lang w:val="en-US"/>
        </w:rPr>
        <w:t>i</w:t>
      </w:r>
      <w:r w:rsidRPr="00BD6197">
        <w:rPr>
          <w:lang w:val="en-US"/>
        </w:rPr>
        <w:t xml:space="preserve"> from a specific user of the spectrum for a specific </w:t>
      </w:r>
      <w:r w:rsidRPr="00BD6197">
        <w:rPr>
          <w:i/>
          <w:iCs/>
          <w:lang w:val="en-US"/>
        </w:rPr>
        <w:t>i</w:t>
      </w:r>
      <w:r w:rsidRPr="00BD6197">
        <w:rPr>
          <w:lang w:val="en-US"/>
        </w:rPr>
        <w:t xml:space="preserve">-th frequency assignment is determined by </w:t>
      </w:r>
      <w:r w:rsidR="00C26A17">
        <w:rPr>
          <w:lang w:val="en-US"/>
        </w:rPr>
        <w:t>equation</w:t>
      </w:r>
      <w:r w:rsidRPr="00BD6197">
        <w:rPr>
          <w:lang w:val="en-US"/>
        </w:rPr>
        <w:t> (6</w:t>
      </w:r>
      <w:r w:rsidR="00676968">
        <w:rPr>
          <w:lang w:val="en-US"/>
        </w:rPr>
        <w:t>5</w:t>
      </w:r>
      <w:r w:rsidRPr="00BD6197">
        <w:rPr>
          <w:lang w:val="en-US"/>
        </w:rPr>
        <w:t>):</w:t>
      </w:r>
    </w:p>
    <w:p w:rsidR="0016412E" w:rsidRPr="00BD6197" w:rsidRDefault="0016412E" w:rsidP="0016412E">
      <w:pPr>
        <w:pStyle w:val="Blanc"/>
        <w:rPr>
          <w:lang w:val="en-US"/>
        </w:rPr>
      </w:pPr>
    </w:p>
    <w:p w:rsidR="0016412E" w:rsidRPr="00BD6197" w:rsidRDefault="0016412E" w:rsidP="00676968">
      <w:pPr>
        <w:pStyle w:val="Equation"/>
        <w:rPr>
          <w:lang w:val="en-US"/>
        </w:rPr>
      </w:pPr>
      <w:r w:rsidRPr="00BD6197">
        <w:rPr>
          <w:lang w:val="en-US"/>
        </w:rPr>
        <w:tab/>
      </w:r>
      <w:r w:rsidRPr="00BD6197">
        <w:rPr>
          <w:lang w:val="en-US"/>
        </w:rPr>
        <w:tab/>
      </w:r>
      <w:r w:rsidRPr="00BD6197">
        <w:rPr>
          <w:position w:val="-12"/>
          <w:lang w:val="en-US"/>
        </w:rPr>
        <w:object w:dxaOrig="1620" w:dyaOrig="360">
          <v:shape id="_x0000_i1131" type="#_x0000_t75" style="width:78pt;height:19.5pt" o:ole="">
            <v:imagedata r:id="rId237" o:title=""/>
          </v:shape>
          <o:OLEObject Type="Embed" ProgID="Equation.3" ShapeID="_x0000_i1131" DrawAspect="Content" ObjectID="_1604325085" r:id="rId238"/>
        </w:object>
      </w:r>
      <w:r w:rsidRPr="00BD6197">
        <w:rPr>
          <w:lang w:val="en-US"/>
        </w:rPr>
        <w:tab/>
        <w:t>(6</w:t>
      </w:r>
      <w:r w:rsidR="00676968">
        <w:rPr>
          <w:lang w:val="en-US"/>
        </w:rPr>
        <w:t>5</w:t>
      </w:r>
      <w:r w:rsidRPr="00BD6197">
        <w:rPr>
          <w:lang w:val="en-US"/>
        </w:rPr>
        <w:t>)</w:t>
      </w:r>
    </w:p>
    <w:p w:rsidR="0016412E" w:rsidRPr="00BD6197" w:rsidRDefault="0016412E" w:rsidP="0016412E">
      <w:pPr>
        <w:pStyle w:val="Blanc"/>
        <w:rPr>
          <w:lang w:val="en-US"/>
        </w:rPr>
      </w:pPr>
    </w:p>
    <w:p w:rsidR="0016412E" w:rsidRPr="00BD6197" w:rsidRDefault="0016412E" w:rsidP="0016412E">
      <w:pPr>
        <w:rPr>
          <w:lang w:val="en-US"/>
        </w:rPr>
      </w:pPr>
      <w:r w:rsidRPr="00BD6197">
        <w:rPr>
          <w:lang w:val="en-US"/>
        </w:rPr>
        <w:t>If any telecommunication operator has more than one frequency assignment, the payment for each assignment is determined and then they are summated.</w:t>
      </w:r>
    </w:p>
    <w:p w:rsidR="0016412E" w:rsidRPr="00BD6197" w:rsidRDefault="0016412E" w:rsidP="0016412E">
      <w:pPr>
        <w:pStyle w:val="Heading4"/>
        <w:rPr>
          <w:lang w:val="en-US"/>
        </w:rPr>
      </w:pPr>
      <w:bookmarkStart w:id="2070" w:name="_Toc497033224"/>
      <w:bookmarkStart w:id="2071" w:name="_Toc497034022"/>
      <w:r w:rsidRPr="00BD6197">
        <w:rPr>
          <w:lang w:val="en-US"/>
        </w:rPr>
        <w:t>5.2.6.5</w:t>
      </w:r>
      <w:r w:rsidRPr="00BD6197">
        <w:rPr>
          <w:lang w:val="en-US"/>
        </w:rPr>
        <w:tab/>
        <w:t>Application of the method</w:t>
      </w:r>
      <w:bookmarkEnd w:id="2070"/>
      <w:bookmarkEnd w:id="2071"/>
    </w:p>
    <w:p w:rsidR="0016412E" w:rsidRPr="00BD6197" w:rsidRDefault="0016412E" w:rsidP="0016412E">
      <w:pPr>
        <w:rPr>
          <w:lang w:val="en-US"/>
        </w:rPr>
      </w:pPr>
      <w:r w:rsidRPr="00BD6197">
        <w:rPr>
          <w:lang w:val="en-US"/>
        </w:rPr>
        <w:t>This method is authorized by the NCA in a text on determination of the annual payment for all the spectrum used in the Republic. Its application is coordinated with the National Commission of the Kyrgyz Republic on Protection and Development of Competition.</w:t>
      </w:r>
    </w:p>
    <w:p w:rsidR="0016412E" w:rsidRPr="00BD6197" w:rsidRDefault="0016412E" w:rsidP="0016412E">
      <w:pPr>
        <w:rPr>
          <w:lang w:val="en-US"/>
        </w:rPr>
      </w:pPr>
      <w:r w:rsidRPr="00BD6197">
        <w:rPr>
          <w:lang w:val="en-US"/>
        </w:rPr>
        <w:t>There is software for the national database on frequency assignments, and calculation of the payment for a specific user does not present difficulties.</w:t>
      </w:r>
    </w:p>
    <w:p w:rsidR="0016412E" w:rsidRPr="00BD6197" w:rsidRDefault="0016412E" w:rsidP="0016412E">
      <w:pPr>
        <w:rPr>
          <w:lang w:val="en-US"/>
        </w:rPr>
      </w:pPr>
      <w:r w:rsidRPr="00BD6197">
        <w:rPr>
          <w:lang w:val="en-US"/>
        </w:rPr>
        <w:t>Seminars for telecommunication operators regarding this method were conducted. Because the method is known for practically all users, transparency is provided.</w:t>
      </w:r>
    </w:p>
    <w:p w:rsidR="0016412E" w:rsidRPr="00BD6197" w:rsidRDefault="0016412E" w:rsidP="0016412E">
      <w:pPr>
        <w:pStyle w:val="Heading4"/>
        <w:rPr>
          <w:lang w:val="en-US"/>
        </w:rPr>
      </w:pPr>
      <w:bookmarkStart w:id="2072" w:name="_Toc497033225"/>
      <w:bookmarkStart w:id="2073" w:name="_Toc497034023"/>
      <w:r w:rsidRPr="00BD6197">
        <w:rPr>
          <w:lang w:val="en-US"/>
        </w:rPr>
        <w:t>5.2.6.6</w:t>
      </w:r>
      <w:r w:rsidRPr="00BD6197">
        <w:rPr>
          <w:lang w:val="en-US"/>
        </w:rPr>
        <w:tab/>
        <w:t>Funding the monitoring system</w:t>
      </w:r>
      <w:bookmarkEnd w:id="2072"/>
      <w:bookmarkEnd w:id="2073"/>
    </w:p>
    <w:p w:rsidR="0016412E" w:rsidRPr="00BD6197" w:rsidRDefault="0016412E" w:rsidP="0016412E">
      <w:pPr>
        <w:rPr>
          <w:lang w:val="en-US"/>
        </w:rPr>
      </w:pPr>
      <w:r w:rsidRPr="00BD6197">
        <w:rPr>
          <w:lang w:val="en-US"/>
        </w:rPr>
        <w:t>The Kyrgyz Republic, like the majority of new and developing countries, experienced difficulties in funding a modern system of spectrum management. The greatest difficulty was the funding of the national automated radio monitoring system, which can ensure effective spectrum management. Such a system is necessary, but its cost is high. The condition of the State budget does not allow funding of such a system.</w:t>
      </w:r>
    </w:p>
    <w:p w:rsidR="0016412E" w:rsidRPr="00BD6197" w:rsidRDefault="0016412E" w:rsidP="00C26A17">
      <w:pPr>
        <w:rPr>
          <w:lang w:val="en-US"/>
        </w:rPr>
      </w:pPr>
      <w:r w:rsidRPr="00BD6197">
        <w:rPr>
          <w:lang w:val="en-US"/>
        </w:rPr>
        <w:lastRenderedPageBreak/>
        <w:t>One of the ways to fund such a system is a loan on preferential terms from international financial organizations or from other countries. The principal could be included in the amount of the annual payment and gradually returned to the creditor. The mechanism of return of the principal is shown in Fig. 1</w:t>
      </w:r>
      <w:r w:rsidR="00C26A17">
        <w:rPr>
          <w:lang w:val="en-US"/>
        </w:rPr>
        <w:t>4</w:t>
      </w:r>
      <w:r w:rsidRPr="00BD6197">
        <w:rPr>
          <w:lang w:val="en-US"/>
        </w:rPr>
        <w:t>. It is possible to return the principal in equal payments each year. However, the payment (principal and interest) would be very high in the first years of return of the principal.</w:t>
      </w:r>
    </w:p>
    <w:p w:rsidR="0016412E" w:rsidRPr="00BD6197" w:rsidRDefault="0016412E" w:rsidP="0016412E">
      <w:pPr>
        <w:rPr>
          <w:lang w:val="en-US"/>
        </w:rPr>
      </w:pPr>
      <w:r w:rsidRPr="00BD6197">
        <w:rPr>
          <w:lang w:val="en-US"/>
        </w:rPr>
        <w:t>Such payments would result in substantial growth of expenses of the telecommunication operators and a rise in price of their services. Accordingly development would be impaired and in some cases operators would fail. The delay of expansion of telecommunication services would cause not only reduction of tax receipts, but a recession, as has happened in the past.</w:t>
      </w:r>
    </w:p>
    <w:p w:rsidR="0016412E" w:rsidRPr="00BD6197" w:rsidRDefault="0016412E" w:rsidP="00C26A17">
      <w:pPr>
        <w:pStyle w:val="FigureNo"/>
        <w:rPr>
          <w:lang w:val="en-US"/>
        </w:rPr>
      </w:pPr>
      <w:r w:rsidRPr="00BD6197">
        <w:rPr>
          <w:lang w:val="en-US"/>
        </w:rPr>
        <w:t>Figure 1</w:t>
      </w:r>
      <w:r w:rsidR="00C26A17">
        <w:rPr>
          <w:lang w:val="en-US"/>
        </w:rPr>
        <w:t>4</w:t>
      </w:r>
    </w:p>
    <w:p w:rsidR="0016412E" w:rsidRPr="00BD6197" w:rsidRDefault="0016412E" w:rsidP="0016412E">
      <w:pPr>
        <w:pStyle w:val="Figuretitle"/>
        <w:rPr>
          <w:lang w:val="en-US"/>
        </w:rPr>
      </w:pPr>
      <w:r w:rsidRPr="00BD6197">
        <w:rPr>
          <w:lang w:val="en-US"/>
        </w:rPr>
        <w:t>Mechanism of return of the principal</w:t>
      </w:r>
    </w:p>
    <w:p w:rsidR="0016412E" w:rsidRPr="00BD6197" w:rsidRDefault="0016412E" w:rsidP="0016412E">
      <w:pPr>
        <w:pStyle w:val="Figure"/>
        <w:rPr>
          <w:lang w:val="en-US"/>
        </w:rPr>
      </w:pPr>
      <w:r w:rsidRPr="00BD6197">
        <w:rPr>
          <w:lang w:val="en-US"/>
        </w:rPr>
        <w:object w:dxaOrig="6330" w:dyaOrig="4259">
          <v:shape id="_x0000_i1132" type="#_x0000_t75" style="width:339pt;height:229.5pt" o:ole="">
            <v:imagedata r:id="rId239" o:title=""/>
          </v:shape>
          <o:OLEObject Type="Embed" ProgID="CorelDRAW.Graphic.14" ShapeID="_x0000_i1132" DrawAspect="Content" ObjectID="_1604325086" r:id="rId240"/>
        </w:object>
      </w:r>
    </w:p>
    <w:p w:rsidR="0016412E" w:rsidRPr="00BD6197" w:rsidRDefault="0016412E" w:rsidP="0016412E">
      <w:pPr>
        <w:rPr>
          <w:lang w:val="en-US"/>
        </w:rPr>
      </w:pPr>
      <w:r w:rsidRPr="00BD6197">
        <w:rPr>
          <w:lang w:val="en-US"/>
        </w:rPr>
        <w:t xml:space="preserve">A different approach is possible. Based on the experience of other countries, the number of the spectrum users will grow. Therefore, it is possible within reasonable limits to increase the price for the unit of the spectrum and to support it in hard currency until the annual total fee has reached the forecast size, </w:t>
      </w:r>
      <w:r w:rsidRPr="00BD6197">
        <w:rPr>
          <w:i/>
          <w:iCs/>
          <w:lang w:val="en-US"/>
        </w:rPr>
        <w:t>C</w:t>
      </w:r>
      <w:r w:rsidRPr="00BD6197">
        <w:rPr>
          <w:i/>
          <w:iCs/>
          <w:vertAlign w:val="subscript"/>
          <w:lang w:val="en-US"/>
        </w:rPr>
        <w:t>forecast</w:t>
      </w:r>
      <w:r w:rsidRPr="00BD6197">
        <w:rPr>
          <w:lang w:val="en-US"/>
        </w:rPr>
        <w:t xml:space="preserve">, </w:t>
      </w:r>
      <w:r w:rsidR="0091356A" w:rsidRPr="00BD6197">
        <w:rPr>
          <w:lang w:val="en-US"/>
        </w:rPr>
        <w:t>in</w:t>
      </w:r>
      <w:r w:rsidRPr="00BD6197">
        <w:rPr>
          <w:lang w:val="en-US"/>
        </w:rPr>
        <w:t xml:space="preserve"> the middle of an amortization period (for example, 5 years after installation of the equipment, assuming the loan is for 10 years).</w:t>
      </w:r>
    </w:p>
    <w:p w:rsidR="0016412E" w:rsidRPr="00BD6197" w:rsidRDefault="0016412E" w:rsidP="0016412E">
      <w:pPr>
        <w:rPr>
          <w:lang w:val="en-US"/>
        </w:rPr>
      </w:pPr>
      <w:r w:rsidRPr="00BD6197">
        <w:rPr>
          <w:lang w:val="en-US"/>
        </w:rPr>
        <w:t>The total amount of the taxes for 10 years (including the principal, which it is necessary to return within 10 years) is equivalent to the area shaded by vertical lines. For the first 5 years there would be a shortage, equivalent to the area shaded with vertical and horizontal lines, whereas in the next 5 years there would be a surplus (area shaded with horizontal lines). The main advantage of such policy would be price stability, which would allow the telecommunication operators to plan their incomes, expenditures and development of services.</w:t>
      </w:r>
    </w:p>
    <w:p w:rsidR="0016412E" w:rsidRPr="00BD6197" w:rsidRDefault="0016412E" w:rsidP="0016412E">
      <w:pPr>
        <w:rPr>
          <w:lang w:val="en-US"/>
        </w:rPr>
      </w:pPr>
      <w:r w:rsidRPr="00BD6197">
        <w:rPr>
          <w:lang w:val="en-US"/>
        </w:rPr>
        <w:t>Of course, the above would be only the initial approach to price policy. If it will possible to forecast more accurately and to determine more precisely the price policy based on actual conditions, it would be possible to make faster payments.</w:t>
      </w:r>
    </w:p>
    <w:p w:rsidR="0016412E" w:rsidRDefault="0016412E" w:rsidP="0016412E">
      <w:pPr>
        <w:rPr>
          <w:lang w:val="en-US"/>
        </w:rPr>
      </w:pPr>
      <w:r w:rsidRPr="00BD6197">
        <w:rPr>
          <w:lang w:val="en-US"/>
        </w:rPr>
        <w:t>The above technique would allow to determine the Republic tariff policy regarding spectrum use in view of conditions of loan repayments, thus keeping a non-discriminatory approach to the various spectrum users.</w:t>
      </w:r>
    </w:p>
    <w:p w:rsidR="008C4C9D" w:rsidRDefault="008C4C9D" w:rsidP="008C4C9D">
      <w:pPr>
        <w:pStyle w:val="Heading3"/>
        <w:rPr>
          <w:lang w:val="en-US"/>
        </w:rPr>
      </w:pPr>
      <w:bookmarkStart w:id="2074" w:name="_Toc462234145"/>
      <w:bookmarkStart w:id="2075" w:name="_Toc518394263"/>
      <w:r w:rsidRPr="00BD6197">
        <w:rPr>
          <w:lang w:val="en-US"/>
        </w:rPr>
        <w:lastRenderedPageBreak/>
        <w:t>5.2.7</w:t>
      </w:r>
      <w:r w:rsidRPr="00BD6197">
        <w:rPr>
          <w:lang w:val="en-US"/>
        </w:rPr>
        <w:tab/>
        <w:t>The Russian Federation’s experience with spectrum fees</w:t>
      </w:r>
      <w:bookmarkEnd w:id="2074"/>
      <w:bookmarkEnd w:id="2075"/>
    </w:p>
    <w:p w:rsidR="00075A1A" w:rsidRPr="00A01420" w:rsidRDefault="00075A1A" w:rsidP="00075A1A">
      <w:pPr>
        <w:pStyle w:val="Headingb"/>
        <w:rPr>
          <w:lang w:val="en-US"/>
        </w:rPr>
      </w:pPr>
      <w:bookmarkStart w:id="2076" w:name="_Toc454284977"/>
      <w:bookmarkStart w:id="2077" w:name="_Toc462234146"/>
      <w:r w:rsidRPr="00A01420">
        <w:rPr>
          <w:lang w:val="en-US"/>
        </w:rPr>
        <w:t>Introduction</w:t>
      </w:r>
      <w:bookmarkEnd w:id="2076"/>
      <w:bookmarkEnd w:id="2077"/>
    </w:p>
    <w:p w:rsidR="00075A1A" w:rsidRPr="00BD6197" w:rsidRDefault="00075A1A" w:rsidP="00075A1A">
      <w:pPr>
        <w:rPr>
          <w:lang w:val="en-US"/>
        </w:rPr>
      </w:pPr>
      <w:r w:rsidRPr="00BD6197">
        <w:rPr>
          <w:lang w:val="en-US"/>
        </w:rPr>
        <w:t>The Methodology for the calculation of one-time payment and annual fee for radio spectrum use in the Russian Federation was adopted by the Decree of the Ministry of Communications and Mass Media of the Russian Federation No. 164 of 30.06.2011.</w:t>
      </w:r>
    </w:p>
    <w:p w:rsidR="00075A1A" w:rsidRPr="00BD6197" w:rsidRDefault="00075A1A" w:rsidP="00896190">
      <w:pPr>
        <w:rPr>
          <w:lang w:val="en-US"/>
        </w:rPr>
      </w:pPr>
      <w:r w:rsidRPr="00BD6197">
        <w:rPr>
          <w:lang w:val="en-US"/>
        </w:rPr>
        <w:t xml:space="preserve">Table </w:t>
      </w:r>
      <w:r w:rsidR="00896190">
        <w:rPr>
          <w:lang w:val="en-US"/>
        </w:rPr>
        <w:t>28</w:t>
      </w:r>
      <w:r w:rsidRPr="00BD6197">
        <w:rPr>
          <w:lang w:val="en-US"/>
        </w:rPr>
        <w:t xml:space="preserve"> shows amount of spectrum fee per radio technology paid to the Federal Budget in 2012.</w:t>
      </w:r>
    </w:p>
    <w:p w:rsidR="00075A1A" w:rsidRPr="00BD6197" w:rsidRDefault="00896190" w:rsidP="00896190">
      <w:pPr>
        <w:pStyle w:val="TableNo"/>
        <w:rPr>
          <w:lang w:val="en-US"/>
        </w:rPr>
      </w:pPr>
      <w:r w:rsidRPr="00BD6197">
        <w:rPr>
          <w:lang w:val="en-US"/>
        </w:rPr>
        <w:t>TABLE</w:t>
      </w:r>
      <w:r w:rsidR="00075A1A" w:rsidRPr="00BD6197">
        <w:rPr>
          <w:lang w:val="en-US"/>
        </w:rPr>
        <w:t xml:space="preserve"> </w:t>
      </w:r>
      <w:r>
        <w:rPr>
          <w:lang w:val="en-US"/>
        </w:rPr>
        <w:t>28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8"/>
        <w:gridCol w:w="2170"/>
        <w:gridCol w:w="2287"/>
        <w:gridCol w:w="2254"/>
      </w:tblGrid>
      <w:tr w:rsidR="00075A1A" w:rsidRPr="00D17B5B" w:rsidTr="000F2BA7">
        <w:trPr>
          <w:cantSplit/>
          <w:jc w:val="center"/>
        </w:trPr>
        <w:tc>
          <w:tcPr>
            <w:tcW w:w="2498" w:type="dxa"/>
            <w:vAlign w:val="center"/>
          </w:tcPr>
          <w:p w:rsidR="00075A1A" w:rsidRPr="00BD6197" w:rsidRDefault="00075A1A" w:rsidP="000F2BA7">
            <w:pPr>
              <w:pStyle w:val="Tablehead"/>
              <w:rPr>
                <w:lang w:val="en-US"/>
              </w:rPr>
            </w:pPr>
            <w:r w:rsidRPr="00BD6197">
              <w:rPr>
                <w:lang w:val="en-US"/>
              </w:rPr>
              <w:t xml:space="preserve">Radio technologies </w:t>
            </w:r>
          </w:p>
        </w:tc>
        <w:tc>
          <w:tcPr>
            <w:tcW w:w="2170" w:type="dxa"/>
            <w:vAlign w:val="center"/>
          </w:tcPr>
          <w:p w:rsidR="00075A1A" w:rsidRPr="00BD6197" w:rsidRDefault="00075A1A" w:rsidP="000F2BA7">
            <w:pPr>
              <w:pStyle w:val="Tablehead"/>
              <w:rPr>
                <w:lang w:val="en-US"/>
              </w:rPr>
            </w:pPr>
            <w:r w:rsidRPr="00BD6197">
              <w:rPr>
                <w:lang w:val="en-US"/>
              </w:rPr>
              <w:t xml:space="preserve">Annual fee for authorizations, </w:t>
            </w:r>
            <w:r w:rsidRPr="00BD6197">
              <w:rPr>
                <w:lang w:val="en-US"/>
              </w:rPr>
              <w:br/>
              <w:t>mln roubles</w:t>
            </w:r>
          </w:p>
        </w:tc>
        <w:tc>
          <w:tcPr>
            <w:tcW w:w="2287" w:type="dxa"/>
            <w:vAlign w:val="center"/>
          </w:tcPr>
          <w:p w:rsidR="00075A1A" w:rsidRPr="00BD6197" w:rsidRDefault="00075A1A" w:rsidP="000F2BA7">
            <w:pPr>
              <w:pStyle w:val="Tablehead"/>
              <w:rPr>
                <w:lang w:val="en-US"/>
              </w:rPr>
            </w:pPr>
            <w:r w:rsidRPr="00BD6197">
              <w:rPr>
                <w:lang w:val="en-US"/>
              </w:rPr>
              <w:t xml:space="preserve">One-time payment for authorizations, </w:t>
            </w:r>
            <w:r w:rsidRPr="00BD6197">
              <w:rPr>
                <w:lang w:val="en-US"/>
              </w:rPr>
              <w:br/>
              <w:t>mln roubles</w:t>
            </w:r>
          </w:p>
        </w:tc>
        <w:tc>
          <w:tcPr>
            <w:tcW w:w="2254" w:type="dxa"/>
            <w:vAlign w:val="center"/>
          </w:tcPr>
          <w:p w:rsidR="00075A1A" w:rsidRPr="00BD6197" w:rsidRDefault="00075A1A" w:rsidP="000F2BA7">
            <w:pPr>
              <w:pStyle w:val="Tablehead"/>
              <w:rPr>
                <w:lang w:val="en-US"/>
              </w:rPr>
            </w:pPr>
            <w:r w:rsidRPr="00BD6197">
              <w:rPr>
                <w:lang w:val="en-US"/>
              </w:rPr>
              <w:t xml:space="preserve">Total, per technology, </w:t>
            </w:r>
            <w:r w:rsidRPr="00BD6197">
              <w:rPr>
                <w:lang w:val="en-US"/>
              </w:rPr>
              <w:br/>
              <w:t>mln roubles</w:t>
            </w:r>
          </w:p>
        </w:tc>
      </w:tr>
      <w:tr w:rsidR="00075A1A" w:rsidRPr="00BD6197" w:rsidTr="000F2BA7">
        <w:trPr>
          <w:cantSplit/>
          <w:jc w:val="center"/>
        </w:trPr>
        <w:tc>
          <w:tcPr>
            <w:tcW w:w="2498" w:type="dxa"/>
            <w:vAlign w:val="center"/>
          </w:tcPr>
          <w:p w:rsidR="00075A1A" w:rsidRPr="00BD6197" w:rsidRDefault="00075A1A" w:rsidP="000F2BA7">
            <w:pPr>
              <w:pStyle w:val="Tabletext"/>
              <w:rPr>
                <w:bCs/>
                <w:lang w:val="en-US"/>
              </w:rPr>
            </w:pPr>
            <w:r w:rsidRPr="00BD6197">
              <w:rPr>
                <w:lang w:val="en-US"/>
              </w:rPr>
              <w:t xml:space="preserve">Cellular radio technologies </w:t>
            </w:r>
          </w:p>
        </w:tc>
        <w:tc>
          <w:tcPr>
            <w:tcW w:w="2170" w:type="dxa"/>
            <w:vAlign w:val="center"/>
          </w:tcPr>
          <w:p w:rsidR="00075A1A" w:rsidRPr="00BD6197" w:rsidRDefault="00075A1A" w:rsidP="000F2BA7">
            <w:pPr>
              <w:pStyle w:val="Tabletext"/>
              <w:jc w:val="center"/>
              <w:rPr>
                <w:lang w:val="en-US"/>
              </w:rPr>
            </w:pPr>
            <w:r w:rsidRPr="00BD6197">
              <w:rPr>
                <w:lang w:val="en-US"/>
              </w:rPr>
              <w:t>12 965.61</w:t>
            </w:r>
          </w:p>
        </w:tc>
        <w:tc>
          <w:tcPr>
            <w:tcW w:w="2287" w:type="dxa"/>
            <w:vAlign w:val="center"/>
          </w:tcPr>
          <w:p w:rsidR="00075A1A" w:rsidRPr="00BD6197" w:rsidRDefault="00075A1A" w:rsidP="000F2BA7">
            <w:pPr>
              <w:pStyle w:val="Tabletext"/>
              <w:jc w:val="center"/>
              <w:rPr>
                <w:bCs/>
                <w:lang w:val="en-US"/>
              </w:rPr>
            </w:pPr>
            <w:r w:rsidRPr="00BD6197">
              <w:rPr>
                <w:bCs/>
                <w:lang w:val="en-US"/>
              </w:rPr>
              <w:t>870.08</w:t>
            </w:r>
          </w:p>
        </w:tc>
        <w:tc>
          <w:tcPr>
            <w:tcW w:w="2254" w:type="dxa"/>
            <w:vAlign w:val="center"/>
          </w:tcPr>
          <w:p w:rsidR="00075A1A" w:rsidRPr="00BD6197" w:rsidRDefault="00075A1A" w:rsidP="000F2BA7">
            <w:pPr>
              <w:pStyle w:val="Tabletext"/>
              <w:jc w:val="center"/>
              <w:rPr>
                <w:bCs/>
                <w:lang w:val="en-US"/>
              </w:rPr>
            </w:pPr>
            <w:r w:rsidRPr="00BD6197">
              <w:rPr>
                <w:bCs/>
                <w:lang w:val="en-US"/>
              </w:rPr>
              <w:t>13 835.69</w:t>
            </w:r>
          </w:p>
        </w:tc>
      </w:tr>
      <w:tr w:rsidR="00075A1A" w:rsidRPr="00BD6197" w:rsidTr="000F2BA7">
        <w:trPr>
          <w:cantSplit/>
          <w:jc w:val="center"/>
        </w:trPr>
        <w:tc>
          <w:tcPr>
            <w:tcW w:w="2498" w:type="dxa"/>
            <w:vAlign w:val="center"/>
          </w:tcPr>
          <w:p w:rsidR="00075A1A" w:rsidRPr="00BD6197" w:rsidRDefault="00075A1A" w:rsidP="000F2BA7">
            <w:pPr>
              <w:pStyle w:val="Tabletext"/>
              <w:rPr>
                <w:bCs/>
                <w:lang w:val="en-US"/>
              </w:rPr>
            </w:pPr>
            <w:r w:rsidRPr="00BD6197">
              <w:rPr>
                <w:bCs/>
                <w:lang w:val="en-US"/>
              </w:rPr>
              <w:t xml:space="preserve">Other technologies </w:t>
            </w:r>
          </w:p>
        </w:tc>
        <w:tc>
          <w:tcPr>
            <w:tcW w:w="2170" w:type="dxa"/>
            <w:vAlign w:val="center"/>
          </w:tcPr>
          <w:p w:rsidR="00075A1A" w:rsidRPr="00BD6197" w:rsidRDefault="00075A1A" w:rsidP="000F2BA7">
            <w:pPr>
              <w:pStyle w:val="Tabletext"/>
              <w:jc w:val="center"/>
              <w:rPr>
                <w:lang w:val="en-US"/>
              </w:rPr>
            </w:pPr>
            <w:r w:rsidRPr="00BD6197">
              <w:rPr>
                <w:lang w:val="en-US"/>
              </w:rPr>
              <w:t>1 326.65</w:t>
            </w:r>
          </w:p>
        </w:tc>
        <w:tc>
          <w:tcPr>
            <w:tcW w:w="2287" w:type="dxa"/>
            <w:vAlign w:val="center"/>
          </w:tcPr>
          <w:p w:rsidR="00075A1A" w:rsidRPr="00BD6197" w:rsidRDefault="00075A1A" w:rsidP="000F2BA7">
            <w:pPr>
              <w:pStyle w:val="Tabletext"/>
              <w:jc w:val="center"/>
              <w:rPr>
                <w:bCs/>
                <w:lang w:val="en-US"/>
              </w:rPr>
            </w:pPr>
            <w:r w:rsidRPr="00BD6197">
              <w:rPr>
                <w:bCs/>
                <w:lang w:val="en-US"/>
              </w:rPr>
              <w:t>217.52</w:t>
            </w:r>
          </w:p>
        </w:tc>
        <w:tc>
          <w:tcPr>
            <w:tcW w:w="2254" w:type="dxa"/>
            <w:vAlign w:val="center"/>
          </w:tcPr>
          <w:p w:rsidR="00075A1A" w:rsidRPr="00BD6197" w:rsidRDefault="00075A1A" w:rsidP="000F2BA7">
            <w:pPr>
              <w:pStyle w:val="Tabletext"/>
              <w:jc w:val="center"/>
              <w:rPr>
                <w:bCs/>
                <w:lang w:val="en-US"/>
              </w:rPr>
            </w:pPr>
            <w:r w:rsidRPr="00BD6197">
              <w:rPr>
                <w:bCs/>
                <w:lang w:val="en-US"/>
              </w:rPr>
              <w:t>1 544.17</w:t>
            </w:r>
          </w:p>
        </w:tc>
      </w:tr>
      <w:tr w:rsidR="00075A1A" w:rsidRPr="00BD6197" w:rsidTr="000F2BA7">
        <w:trPr>
          <w:cantSplit/>
          <w:jc w:val="center"/>
        </w:trPr>
        <w:tc>
          <w:tcPr>
            <w:tcW w:w="2498" w:type="dxa"/>
            <w:vAlign w:val="center"/>
          </w:tcPr>
          <w:p w:rsidR="00075A1A" w:rsidRPr="00BD6197" w:rsidRDefault="00075A1A" w:rsidP="000F2BA7">
            <w:pPr>
              <w:pStyle w:val="Tabletext"/>
              <w:rPr>
                <w:bCs/>
                <w:lang w:val="en-US"/>
              </w:rPr>
            </w:pPr>
            <w:r w:rsidRPr="00BD6197">
              <w:rPr>
                <w:bCs/>
                <w:lang w:val="en-US"/>
              </w:rPr>
              <w:t>Total</w:t>
            </w:r>
          </w:p>
        </w:tc>
        <w:tc>
          <w:tcPr>
            <w:tcW w:w="2170" w:type="dxa"/>
            <w:vAlign w:val="center"/>
          </w:tcPr>
          <w:p w:rsidR="00075A1A" w:rsidRPr="00BD6197" w:rsidRDefault="00075A1A" w:rsidP="000F2BA7">
            <w:pPr>
              <w:pStyle w:val="Tabletext"/>
              <w:jc w:val="center"/>
              <w:rPr>
                <w:bCs/>
                <w:lang w:val="en-US"/>
              </w:rPr>
            </w:pPr>
            <w:r w:rsidRPr="00BD6197">
              <w:rPr>
                <w:lang w:val="en-US"/>
              </w:rPr>
              <w:t>14 292.26</w:t>
            </w:r>
          </w:p>
        </w:tc>
        <w:tc>
          <w:tcPr>
            <w:tcW w:w="2287" w:type="dxa"/>
            <w:vAlign w:val="center"/>
          </w:tcPr>
          <w:p w:rsidR="00075A1A" w:rsidRPr="00BD6197" w:rsidRDefault="00075A1A" w:rsidP="000F2BA7">
            <w:pPr>
              <w:pStyle w:val="Tabletext"/>
              <w:jc w:val="center"/>
              <w:rPr>
                <w:bCs/>
                <w:lang w:val="en-US"/>
              </w:rPr>
            </w:pPr>
            <w:r w:rsidRPr="00BD6197">
              <w:rPr>
                <w:lang w:val="en-US"/>
              </w:rPr>
              <w:t>1 087.60</w:t>
            </w:r>
          </w:p>
        </w:tc>
        <w:tc>
          <w:tcPr>
            <w:tcW w:w="2254" w:type="dxa"/>
            <w:vAlign w:val="center"/>
          </w:tcPr>
          <w:p w:rsidR="00075A1A" w:rsidRPr="00BD6197" w:rsidRDefault="00075A1A" w:rsidP="000F2BA7">
            <w:pPr>
              <w:pStyle w:val="Tabletext"/>
              <w:jc w:val="center"/>
              <w:rPr>
                <w:bCs/>
                <w:lang w:val="en-US"/>
              </w:rPr>
            </w:pPr>
            <w:r w:rsidRPr="00BD6197">
              <w:rPr>
                <w:bCs/>
                <w:lang w:val="en-US"/>
              </w:rPr>
              <w:t>15 379.86</w:t>
            </w:r>
          </w:p>
        </w:tc>
      </w:tr>
    </w:tbl>
    <w:p w:rsidR="00075A1A" w:rsidRPr="00BD6197" w:rsidRDefault="00075A1A" w:rsidP="00075A1A">
      <w:pPr>
        <w:pStyle w:val="Tablefin"/>
        <w:rPr>
          <w:lang w:val="en-US"/>
        </w:rPr>
      </w:pPr>
    </w:p>
    <w:p w:rsidR="00075A1A" w:rsidRPr="00BD6197" w:rsidRDefault="00075A1A" w:rsidP="00075A1A">
      <w:pPr>
        <w:rPr>
          <w:lang w:val="en-US"/>
        </w:rPr>
      </w:pPr>
      <w:r w:rsidRPr="00BD6197">
        <w:rPr>
          <w:lang w:val="en-US"/>
        </w:rPr>
        <w:t>The review of the practical Methodology application in 2011-2014 showed that the current procedure of setting up the fee with regard to each authorization for frequency usage had a negative impact on the rate of network development for radio communication operators providing services in the territory of the Russian Federation Subjects within the allocated frequency bands. That means that the increased number of base stations and, consequently, extended service area covering the population resulted in an unreasonable increase in the fee while the amount of spectrum actually allocated to an operator remained unchanged.</w:t>
      </w:r>
    </w:p>
    <w:p w:rsidR="00075A1A" w:rsidRPr="00BD6197" w:rsidRDefault="00075A1A" w:rsidP="00075A1A">
      <w:pPr>
        <w:rPr>
          <w:lang w:val="en-US"/>
        </w:rPr>
      </w:pPr>
      <w:r w:rsidRPr="00BD6197">
        <w:rPr>
          <w:lang w:val="en-US"/>
        </w:rPr>
        <w:t>That was the reason for proposals on the implementation of a resource approach to defining the value of spectrum fee. These proposals were implemented by setting up both the one-time payment and annual fee for radio technologies of GSM (excluding GSM-R), IMT-MC-450, UMTS and LTE standards and their further modifications in the context of the frequency band allocated by the decision of the State Radio Frequency Commission (SRFC) or specified in the licence for provision of spectrum-based telecommunication services (hereinafter – the licence) for each Subject (part of Subject) of the Russian Federation specified in the decision of the SRFC. However, it is proposed to preserve the current applicability of calculated coefficients along with changes in the calculation procedures for the number of used radio frequencies (radio channels) and introduction of a calculated coefficient considering the intensity of use for relevant allocated frequency bands in a Subject (part of a Subject) of the Russian Federation.</w:t>
      </w:r>
    </w:p>
    <w:p w:rsidR="00075A1A" w:rsidRPr="00BD6197" w:rsidRDefault="00075A1A" w:rsidP="00075A1A">
      <w:pPr>
        <w:rPr>
          <w:lang w:val="en-US"/>
        </w:rPr>
      </w:pPr>
      <w:r w:rsidRPr="00BD6197">
        <w:rPr>
          <w:lang w:val="en-US"/>
        </w:rPr>
        <w:t>By applying the proposed approach, equal terms of payment for the allocated frequency bands will be ensured for operators providing communication services using radio technologies of GSM (excluding GSM-R), IMT-MC-450, UMTS and LTE standards and their further modifications.</w:t>
      </w:r>
    </w:p>
    <w:p w:rsidR="00075A1A" w:rsidRPr="00BD6197" w:rsidRDefault="00075A1A" w:rsidP="00075A1A">
      <w:pPr>
        <w:rPr>
          <w:lang w:val="en-US"/>
        </w:rPr>
      </w:pPr>
      <w:r w:rsidRPr="00BD6197">
        <w:rPr>
          <w:lang w:val="en-US"/>
        </w:rPr>
        <w:t>For other radio technologies, radio frequencies are assigned in the frequency bands allocated by the SRFC decisions to an unlimited number of spectrum users. Taking this into account, the current procedure of setting up the one-time payment and annual fee is preserved with regard to each granted authorization when deciding on the assignment (allocation) of a radio frequency or radio channel.</w:t>
      </w:r>
    </w:p>
    <w:p w:rsidR="00075A1A" w:rsidRPr="00BD6197" w:rsidRDefault="00075A1A" w:rsidP="00075A1A">
      <w:pPr>
        <w:rPr>
          <w:lang w:val="en-US"/>
        </w:rPr>
      </w:pPr>
      <w:r w:rsidRPr="00BD6197">
        <w:rPr>
          <w:lang w:val="en-US"/>
        </w:rPr>
        <w:t>The Methodology also included an increased payment for unused systems after one year from authorization. In this case the payment is increased tenfold for the period from the date of the expired one-year period till the date of the system registration.</w:t>
      </w:r>
    </w:p>
    <w:p w:rsidR="00075A1A" w:rsidRPr="00BD6197" w:rsidRDefault="00075A1A" w:rsidP="00075A1A">
      <w:pPr>
        <w:rPr>
          <w:lang w:val="en-US"/>
        </w:rPr>
      </w:pPr>
      <w:r w:rsidRPr="00BD6197">
        <w:rPr>
          <w:lang w:val="en-US"/>
        </w:rPr>
        <w:t xml:space="preserve">The amount of payment for unused radio systems in technological and dedicated networks, radio and TV broadcasting systems, as well as radio systems in the regions of the Far North and equivalent </w:t>
      </w:r>
      <w:r w:rsidRPr="00BD6197">
        <w:rPr>
          <w:lang w:val="en-US"/>
        </w:rPr>
        <w:lastRenderedPageBreak/>
        <w:t>regions, which were not registered within two years from the date of the radio system authorization, is increased tenfold from the date of the expired two-year period till the date of the system registration.</w:t>
      </w:r>
    </w:p>
    <w:p w:rsidR="00075A1A" w:rsidRPr="00BD6197" w:rsidRDefault="00075A1A" w:rsidP="00075A1A">
      <w:pPr>
        <w:rPr>
          <w:lang w:val="en-US"/>
        </w:rPr>
      </w:pPr>
      <w:r w:rsidRPr="00BD6197">
        <w:rPr>
          <w:lang w:val="en-US"/>
        </w:rPr>
        <w:t xml:space="preserve">For radio technologies which are in the research, development or experimental phase, the payment is decreased by applying </w:t>
      </w:r>
      <w:r w:rsidRPr="00BD6197">
        <w:rPr>
          <w:i/>
          <w:lang w:val="en-US"/>
        </w:rPr>
        <w:t>K</w:t>
      </w:r>
      <w:r w:rsidRPr="00BD6197">
        <w:rPr>
          <w:i/>
          <w:vertAlign w:val="subscript"/>
          <w:lang w:val="en-US"/>
        </w:rPr>
        <w:t>adv </w:t>
      </w:r>
      <w:r w:rsidRPr="00BD6197">
        <w:rPr>
          <w:lang w:val="en-US"/>
        </w:rPr>
        <w:t>= 0.001 under the SRFC decision.</w:t>
      </w:r>
    </w:p>
    <w:p w:rsidR="00075A1A" w:rsidRPr="00BD6197" w:rsidRDefault="00075A1A" w:rsidP="00075A1A">
      <w:pPr>
        <w:rPr>
          <w:lang w:val="en-US"/>
        </w:rPr>
      </w:pPr>
      <w:r w:rsidRPr="00BD6197">
        <w:rPr>
          <w:lang w:val="en-US"/>
        </w:rPr>
        <w:t>Thus, to increase the efficiency of one-time payment and annual fee for the spectrum usage in the Russian Federation, the above modifications were introduced to the Methodology by the Decree of the Ministry of Communications and Mass Media of the Russian Federation No. 279 of 4 September 2014. The modifications have entered in force 31 December 2014.</w:t>
      </w:r>
    </w:p>
    <w:p w:rsidR="00075A1A" w:rsidRPr="00BD6197" w:rsidRDefault="00075A1A" w:rsidP="00C26A17">
      <w:pPr>
        <w:rPr>
          <w:lang w:val="en-US"/>
        </w:rPr>
      </w:pPr>
      <w:r w:rsidRPr="00BD6197">
        <w:rPr>
          <w:lang w:val="en-US"/>
        </w:rPr>
        <w:t xml:space="preserve">Figures </w:t>
      </w:r>
      <w:r w:rsidR="00C26A17">
        <w:rPr>
          <w:lang w:val="en-US"/>
        </w:rPr>
        <w:t>15 to 17</w:t>
      </w:r>
      <w:r w:rsidRPr="00BD6197">
        <w:rPr>
          <w:lang w:val="en-US"/>
        </w:rPr>
        <w:t xml:space="preserve"> show the occupied spectrum, averaged annual fee per radio system (base station, BS) for certain radio technologies, </w:t>
      </w:r>
      <w:r w:rsidRPr="00BD6197">
        <w:rPr>
          <w:color w:val="000000"/>
          <w:lang w:val="en-US"/>
        </w:rPr>
        <w:t>communication modes, system types</w:t>
      </w:r>
      <w:r w:rsidRPr="00BD6197">
        <w:rPr>
          <w:lang w:val="en-US"/>
        </w:rPr>
        <w:t>, and averaged annual fee per 1 MHz calculated in accordance with the modified Methodology.</w:t>
      </w:r>
    </w:p>
    <w:p w:rsidR="00075A1A" w:rsidRPr="00BD6197" w:rsidRDefault="00075A1A" w:rsidP="00C26A17">
      <w:pPr>
        <w:pStyle w:val="FigureNo"/>
        <w:rPr>
          <w:lang w:val="en-US"/>
        </w:rPr>
      </w:pPr>
      <w:r w:rsidRPr="00BD6197">
        <w:rPr>
          <w:lang w:val="en-US"/>
        </w:rPr>
        <w:t>Figure 1</w:t>
      </w:r>
      <w:r w:rsidR="00C26A17">
        <w:rPr>
          <w:lang w:val="en-US"/>
        </w:rPr>
        <w:t>5</w:t>
      </w:r>
    </w:p>
    <w:p w:rsidR="00075A1A" w:rsidRPr="00BD6197" w:rsidRDefault="00075A1A" w:rsidP="00075A1A">
      <w:pPr>
        <w:pStyle w:val="Figuretitle"/>
        <w:rPr>
          <w:lang w:val="en-US"/>
        </w:rPr>
      </w:pPr>
      <w:r w:rsidRPr="00BD6197">
        <w:rPr>
          <w:lang w:val="en-US"/>
        </w:rPr>
        <w:t xml:space="preserve">Spectrum occupied by radio system (BS) of certain radio technologies, </w:t>
      </w:r>
      <w:r w:rsidRPr="00BD6197">
        <w:rPr>
          <w:lang w:val="en-US"/>
        </w:rPr>
        <w:br/>
        <w:t xml:space="preserve">communication modes, system types, MHz </w:t>
      </w:r>
    </w:p>
    <w:p w:rsidR="00075A1A" w:rsidRPr="00BD6197" w:rsidRDefault="00075A1A" w:rsidP="00075A1A">
      <w:pPr>
        <w:pStyle w:val="Figure"/>
        <w:rPr>
          <w:color w:val="000000"/>
          <w:lang w:val="en-US"/>
        </w:rPr>
      </w:pPr>
      <w:r>
        <w:rPr>
          <w:noProof/>
          <w:lang w:val="en-GB" w:eastAsia="zh-CN"/>
        </w:rPr>
        <w:drawing>
          <wp:inline distT="0" distB="0" distL="0" distR="0">
            <wp:extent cx="5123815" cy="3798570"/>
            <wp:effectExtent l="0" t="0" r="635" b="11430"/>
            <wp:docPr id="36"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p>
    <w:p w:rsidR="00075A1A" w:rsidRPr="00BD6197" w:rsidRDefault="002B3465" w:rsidP="00C26A17">
      <w:pPr>
        <w:pStyle w:val="FigureNo"/>
        <w:rPr>
          <w:lang w:val="en-US"/>
        </w:rPr>
      </w:pPr>
      <w:r>
        <w:rPr>
          <w:lang w:val="en-US"/>
        </w:rPr>
        <w:lastRenderedPageBreak/>
        <w:t>Figure 1</w:t>
      </w:r>
      <w:r w:rsidR="00C26A17">
        <w:rPr>
          <w:lang w:val="en-US"/>
        </w:rPr>
        <w:t>6</w:t>
      </w:r>
    </w:p>
    <w:p w:rsidR="00075A1A" w:rsidRPr="00BD6197" w:rsidRDefault="00075A1A" w:rsidP="00075A1A">
      <w:pPr>
        <w:pStyle w:val="Figuretitle"/>
        <w:rPr>
          <w:lang w:val="en-US"/>
        </w:rPr>
      </w:pPr>
      <w:r w:rsidRPr="00BD6197">
        <w:rPr>
          <w:lang w:val="en-US"/>
        </w:rPr>
        <w:t xml:space="preserve">Averaged annual fee per radio system (BS) for certain radio technologies, </w:t>
      </w:r>
      <w:r w:rsidRPr="00BD6197">
        <w:rPr>
          <w:lang w:val="en-US"/>
        </w:rPr>
        <w:br/>
        <w:t>communication</w:t>
      </w:r>
      <w:r w:rsidRPr="00BD6197">
        <w:rPr>
          <w:color w:val="000000"/>
          <w:lang w:val="en-US"/>
        </w:rPr>
        <w:t xml:space="preserve"> modes, system types</w:t>
      </w:r>
      <w:r w:rsidRPr="00BD6197">
        <w:rPr>
          <w:lang w:val="en-US"/>
        </w:rPr>
        <w:t xml:space="preserve">, roubles </w:t>
      </w:r>
    </w:p>
    <w:p w:rsidR="00075A1A" w:rsidRPr="00BD6197" w:rsidRDefault="00075A1A" w:rsidP="00075A1A">
      <w:pPr>
        <w:pStyle w:val="Figure"/>
        <w:rPr>
          <w:lang w:val="en-US"/>
        </w:rPr>
      </w:pPr>
      <w:r>
        <w:rPr>
          <w:noProof/>
          <w:lang w:val="en-GB" w:eastAsia="zh-CN"/>
        </w:rPr>
        <w:drawing>
          <wp:inline distT="0" distB="0" distL="0" distR="0">
            <wp:extent cx="4874260" cy="3613785"/>
            <wp:effectExtent l="0" t="0" r="2540" b="5715"/>
            <wp:docPr id="35"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p>
    <w:p w:rsidR="00075A1A" w:rsidRPr="00BD6197" w:rsidRDefault="002B3465" w:rsidP="00C26A17">
      <w:pPr>
        <w:pStyle w:val="FigureNo"/>
        <w:rPr>
          <w:lang w:val="en-US"/>
        </w:rPr>
      </w:pPr>
      <w:r>
        <w:rPr>
          <w:lang w:val="en-US"/>
        </w:rPr>
        <w:t>Figure 1</w:t>
      </w:r>
      <w:r w:rsidR="00C26A17">
        <w:rPr>
          <w:lang w:val="en-US"/>
        </w:rPr>
        <w:t>7</w:t>
      </w:r>
    </w:p>
    <w:p w:rsidR="00075A1A" w:rsidRPr="00BD6197" w:rsidRDefault="00075A1A" w:rsidP="00075A1A">
      <w:pPr>
        <w:pStyle w:val="Figuretitle"/>
        <w:rPr>
          <w:lang w:val="en-US"/>
        </w:rPr>
      </w:pPr>
      <w:r w:rsidRPr="00BD6197">
        <w:rPr>
          <w:lang w:val="en-US"/>
        </w:rPr>
        <w:t xml:space="preserve">Averaged annual fee per 1 MHz for certain radio technologies, </w:t>
      </w:r>
      <w:r w:rsidRPr="00BD6197">
        <w:rPr>
          <w:color w:val="000000"/>
          <w:lang w:val="en-US"/>
        </w:rPr>
        <w:t>communication modes, system types</w:t>
      </w:r>
      <w:r w:rsidRPr="00BD6197">
        <w:rPr>
          <w:lang w:val="en-US"/>
        </w:rPr>
        <w:t xml:space="preserve">, rubles </w:t>
      </w:r>
    </w:p>
    <w:p w:rsidR="00075A1A" w:rsidRPr="00BD6197" w:rsidRDefault="00075A1A" w:rsidP="00075A1A">
      <w:pPr>
        <w:pStyle w:val="Figure"/>
        <w:rPr>
          <w:lang w:val="en-US"/>
        </w:rPr>
      </w:pPr>
      <w:r>
        <w:rPr>
          <w:noProof/>
          <w:lang w:val="en-GB" w:eastAsia="zh-CN"/>
        </w:rPr>
        <w:drawing>
          <wp:inline distT="0" distB="0" distL="0" distR="0">
            <wp:extent cx="4572000" cy="3593465"/>
            <wp:effectExtent l="0" t="0" r="0" b="6985"/>
            <wp:docPr id="3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p>
    <w:p w:rsidR="00075A1A" w:rsidRPr="00BD6197" w:rsidRDefault="00075A1A" w:rsidP="00075A1A">
      <w:pPr>
        <w:rPr>
          <w:lang w:val="en-US"/>
        </w:rPr>
      </w:pPr>
      <w:r w:rsidRPr="00BD6197">
        <w:rPr>
          <w:lang w:val="en-US"/>
        </w:rPr>
        <w:lastRenderedPageBreak/>
        <w:t>General provisions of the modified Methodology for the calculation of one-time payment and annual fee for radio spectrum usage in the Russian Federation and calculation of coefficients are described below.</w:t>
      </w:r>
    </w:p>
    <w:p w:rsidR="00854F1E" w:rsidRPr="00731EA7" w:rsidRDefault="000A7554" w:rsidP="000A7554">
      <w:pPr>
        <w:pStyle w:val="Heading4"/>
        <w:rPr>
          <w:lang w:val="en-GB"/>
        </w:rPr>
      </w:pPr>
      <w:bookmarkStart w:id="2078" w:name="_Toc454284978"/>
      <w:bookmarkStart w:id="2079" w:name="sub_1100"/>
      <w:r>
        <w:rPr>
          <w:lang w:val="en-GB"/>
        </w:rPr>
        <w:t>5.2.7.</w:t>
      </w:r>
      <w:r w:rsidR="00854F1E" w:rsidRPr="00731EA7">
        <w:rPr>
          <w:lang w:val="en-GB"/>
        </w:rPr>
        <w:t>1</w:t>
      </w:r>
      <w:r w:rsidR="00854F1E" w:rsidRPr="00731EA7">
        <w:rPr>
          <w:lang w:val="en-GB"/>
        </w:rPr>
        <w:tab/>
        <w:t>General provisions</w:t>
      </w:r>
      <w:bookmarkEnd w:id="2078"/>
    </w:p>
    <w:p w:rsidR="00854F1E" w:rsidRPr="00BD6197" w:rsidRDefault="00854F1E" w:rsidP="00854F1E">
      <w:pPr>
        <w:rPr>
          <w:lang w:val="en-US"/>
        </w:rPr>
      </w:pPr>
      <w:bookmarkStart w:id="2080" w:name="sub_1101"/>
      <w:bookmarkEnd w:id="2079"/>
      <w:r w:rsidRPr="00BD6197">
        <w:rPr>
          <w:lang w:val="en-US"/>
        </w:rPr>
        <w:t>The Methodology for the calculation of one-time payment and annual fee for radio spectrum usage (hereinafter – the Methodology) was developed according to the Russian Federation Federal Law of 7 July 2003 No. 126-FZ “On communications” and the Government Resolution of 16 March 2011 No. 171 “Regulations for Calculating and Levying One-time and Annual Payments for the Use of Radio Spectrum Bands” (</w:t>
      </w:r>
      <w:hyperlink r:id="rId244" w:history="1">
        <w:r w:rsidRPr="00BD6197">
          <w:rPr>
            <w:lang w:val="en-US"/>
          </w:rPr>
          <w:t>Legislation</w:t>
        </w:r>
      </w:hyperlink>
      <w:r w:rsidRPr="00BD6197">
        <w:rPr>
          <w:lang w:val="en-US"/>
        </w:rPr>
        <w:t xml:space="preserve"> Collection of the Russian Federation, 2011, No. 12, Article 1648).</w:t>
      </w:r>
    </w:p>
    <w:p w:rsidR="00854F1E" w:rsidRPr="00BD6197" w:rsidRDefault="00854F1E" w:rsidP="00854F1E">
      <w:pPr>
        <w:rPr>
          <w:lang w:val="en-US"/>
        </w:rPr>
      </w:pPr>
      <w:bookmarkStart w:id="2081" w:name="sub_1102"/>
      <w:bookmarkEnd w:id="2080"/>
      <w:r w:rsidRPr="00BD6197">
        <w:rPr>
          <w:lang w:val="en-US"/>
        </w:rPr>
        <w:t>The Methodology includes rates and coefficients differentiated depending on the frequency bands used, number of radio frequencies (radio channels) used and radio technologies applied.</w:t>
      </w:r>
    </w:p>
    <w:bookmarkEnd w:id="2081"/>
    <w:p w:rsidR="00854F1E" w:rsidRPr="00BD6197" w:rsidRDefault="00854F1E" w:rsidP="00854F1E">
      <w:pPr>
        <w:rPr>
          <w:lang w:val="en-US"/>
        </w:rPr>
      </w:pPr>
      <w:r w:rsidRPr="00BD6197">
        <w:rPr>
          <w:lang w:val="en-US"/>
        </w:rPr>
        <w:t>The number of used radio frequencies (radio channels) is calculated in accordance with the present Methodology per each authorization for usage of radio frequencies or radio channels (hereinafter – the authorization), and for radio technologies of GSM (excluding GSM-R), UMTS, IMT-MC-450 and LTE standards and their further modifications (hereinafter – cellular radio technologies) – per each decision adopted by the State Radio Frequency Commission (hereinafter – SRFC) and (or) license for provision of the telecommunication services using spectrum (hereinafter – the license) with regard to each frequency band and each Russian Federation Subject (part of the Subject), specified in the SRFC decision or in the license.</w:t>
      </w:r>
    </w:p>
    <w:p w:rsidR="00854F1E" w:rsidRPr="00BD6197" w:rsidRDefault="00854F1E" w:rsidP="00854F1E">
      <w:pPr>
        <w:rPr>
          <w:lang w:val="en-US"/>
        </w:rPr>
      </w:pPr>
      <w:r w:rsidRPr="00BD6197">
        <w:rPr>
          <w:lang w:val="en-US"/>
        </w:rPr>
        <w:t>The one-time payment and annual fee for usage of the radio spectrum per quarter and values of calculated coefficients as well as the ratio of the number of effective days of the authorization in the payable quarter to the number of days in the payable quarter shall be rounded to the second decimal digit.</w:t>
      </w:r>
    </w:p>
    <w:p w:rsidR="00854F1E" w:rsidRPr="00BD6197" w:rsidRDefault="000A7554" w:rsidP="000A7554">
      <w:pPr>
        <w:pStyle w:val="Heading4"/>
        <w:rPr>
          <w:lang w:val="en-US"/>
        </w:rPr>
      </w:pPr>
      <w:bookmarkStart w:id="2082" w:name="_Toc454284979"/>
      <w:bookmarkStart w:id="2083" w:name="sub_1200"/>
      <w:r>
        <w:rPr>
          <w:lang w:val="en-US"/>
        </w:rPr>
        <w:t>5.2.7.2</w:t>
      </w:r>
      <w:r w:rsidR="00854F1E" w:rsidRPr="00BD6197">
        <w:rPr>
          <w:lang w:val="en-US"/>
        </w:rPr>
        <w:tab/>
        <w:t>Calculation of one-time payment</w:t>
      </w:r>
      <w:bookmarkEnd w:id="2082"/>
    </w:p>
    <w:p w:rsidR="00854F1E" w:rsidRPr="00BD6197" w:rsidRDefault="00854F1E" w:rsidP="00854F1E">
      <w:pPr>
        <w:rPr>
          <w:lang w:val="en-US"/>
        </w:rPr>
      </w:pPr>
      <w:bookmarkStart w:id="2084" w:name="sub_12041"/>
      <w:bookmarkEnd w:id="2083"/>
      <w:r w:rsidRPr="00BD6197">
        <w:rPr>
          <w:lang w:val="en-US"/>
        </w:rPr>
        <w:t>One-time payment for usage of radio spectrum for cellular radio technologies is set for each frequency band assigned by the SRFC decision and (or) specified in the license per each of the Russian Federation Subject (part of the Subject), specified in the SRFC decision or in the license, for other technologies it is set for each granted authorization, and calculated using the following formula:</w:t>
      </w:r>
    </w:p>
    <w:bookmarkEnd w:id="2084"/>
    <w:p w:rsidR="00854F1E" w:rsidRPr="00BD6197" w:rsidRDefault="00854F1E" w:rsidP="00854F1E">
      <w:pPr>
        <w:pStyle w:val="Equation"/>
        <w:rPr>
          <w:lang w:val="en-US"/>
        </w:rPr>
      </w:pPr>
      <w:r w:rsidRPr="00BD6197">
        <w:rPr>
          <w:lang w:val="en-US"/>
        </w:rPr>
        <w:tab/>
      </w:r>
      <w:r w:rsidRPr="00BD6197">
        <w:rPr>
          <w:lang w:val="en-US"/>
        </w:rPr>
        <w:tab/>
      </w:r>
      <w:r w:rsidR="000A7554" w:rsidRPr="000A7554">
        <w:rPr>
          <w:position w:val="-14"/>
          <w:lang w:val="en-US"/>
        </w:rPr>
        <w:object w:dxaOrig="2560" w:dyaOrig="340">
          <v:shape id="_x0000_i1133" type="#_x0000_t75" style="width:161.25pt;height:22.5pt" o:ole="">
            <v:imagedata r:id="rId245" o:title=""/>
          </v:shape>
          <o:OLEObject Type="Embed" ProgID="Equation.3" ShapeID="_x0000_i1133" DrawAspect="Content" ObjectID="_1604325087" r:id="rId246"/>
        </w:object>
      </w:r>
    </w:p>
    <w:p w:rsidR="00854F1E" w:rsidRPr="00BD6197" w:rsidRDefault="00854F1E" w:rsidP="00854F1E">
      <w:pPr>
        <w:rPr>
          <w:lang w:val="en-US"/>
        </w:rPr>
      </w:pPr>
      <w:r w:rsidRPr="00BD6197">
        <w:rPr>
          <w:lang w:val="en-US"/>
        </w:rPr>
        <w:t>where:</w:t>
      </w:r>
    </w:p>
    <w:p w:rsidR="00854F1E" w:rsidRPr="00BD6197" w:rsidRDefault="00854F1E" w:rsidP="000A7554">
      <w:pPr>
        <w:pStyle w:val="Equationlegend"/>
      </w:pPr>
      <w:r w:rsidRPr="00BD6197">
        <w:tab/>
      </w:r>
      <w:r w:rsidRPr="00BD6197">
        <w:rPr>
          <w:position w:val="-12"/>
        </w:rPr>
        <w:object w:dxaOrig="320" w:dyaOrig="360">
          <v:shape id="_x0000_i1134" type="#_x0000_t75" style="width:15pt;height:18.75pt" o:ole="">
            <v:imagedata r:id="rId247" o:title=""/>
          </v:shape>
          <o:OLEObject Type="Embed" ProgID="Equation.3" ShapeID="_x0000_i1134" DrawAspect="Content" ObjectID="_1604325088" r:id="rId248"/>
        </w:object>
      </w:r>
      <w:r w:rsidR="000A7554">
        <w:t>:</w:t>
      </w:r>
      <w:r w:rsidRPr="00BD6197">
        <w:tab/>
        <w:t>total one-time payment, roubles</w:t>
      </w:r>
    </w:p>
    <w:p w:rsidR="00854F1E" w:rsidRPr="00BD6197" w:rsidRDefault="00854F1E" w:rsidP="000A7554">
      <w:pPr>
        <w:pStyle w:val="Equationlegend"/>
      </w:pPr>
      <w:r w:rsidRPr="00BD6197">
        <w:tab/>
      </w:r>
      <w:r w:rsidRPr="00BD6197">
        <w:rPr>
          <w:position w:val="-12"/>
        </w:rPr>
        <w:object w:dxaOrig="340" w:dyaOrig="360">
          <v:shape id="_x0000_i1135" type="#_x0000_t75" style="width:17.25pt;height:18.75pt" o:ole="">
            <v:imagedata r:id="rId249" o:title=""/>
          </v:shape>
          <o:OLEObject Type="Embed" ProgID="Equation.3" ShapeID="_x0000_i1135" DrawAspect="Content" ObjectID="_1604325089" r:id="rId250"/>
        </w:object>
      </w:r>
      <w:r w:rsidR="000A7554">
        <w:t>:</w:t>
      </w:r>
      <w:r w:rsidRPr="00BD6197">
        <w:t xml:space="preserve"> </w:t>
      </w:r>
      <w:r w:rsidRPr="00BD6197">
        <w:tab/>
        <w:t>rate of tariff for one-time payment, roubles</w:t>
      </w:r>
    </w:p>
    <w:p w:rsidR="00854F1E" w:rsidRPr="00BD6197" w:rsidRDefault="00854F1E" w:rsidP="000A7554">
      <w:pPr>
        <w:pStyle w:val="Equationlegend"/>
      </w:pPr>
      <w:r w:rsidRPr="00BD6197">
        <w:tab/>
      </w:r>
      <w:r w:rsidRPr="00BD6197">
        <w:rPr>
          <w:position w:val="-12"/>
        </w:rPr>
        <w:object w:dxaOrig="560" w:dyaOrig="360">
          <v:shape id="_x0000_i1136" type="#_x0000_t75" style="width:28.5pt;height:18.75pt" o:ole="">
            <v:imagedata r:id="rId251" o:title=""/>
          </v:shape>
          <o:OLEObject Type="Embed" ProgID="Equation.3" ShapeID="_x0000_i1136" DrawAspect="Content" ObjectID="_1604325090" r:id="rId252"/>
        </w:object>
      </w:r>
      <w:r w:rsidR="000A7554">
        <w:t>:</w:t>
      </w:r>
      <w:r w:rsidRPr="00BD6197">
        <w:t xml:space="preserve"> </w:t>
      </w:r>
      <w:r w:rsidRPr="00BD6197">
        <w:tab/>
        <w:t>coefficient depending on used frequency band</w:t>
      </w:r>
    </w:p>
    <w:p w:rsidR="00854F1E" w:rsidRPr="00BD6197" w:rsidRDefault="00854F1E" w:rsidP="000A7554">
      <w:pPr>
        <w:pStyle w:val="Equationlegend"/>
      </w:pPr>
      <w:r w:rsidRPr="00BD6197">
        <w:tab/>
      </w:r>
      <w:r w:rsidRPr="00BD6197">
        <w:rPr>
          <w:position w:val="-14"/>
        </w:rPr>
        <w:object w:dxaOrig="440" w:dyaOrig="380">
          <v:shape id="_x0000_i1137" type="#_x0000_t75" style="width:22.5pt;height:18.75pt" o:ole="">
            <v:imagedata r:id="rId253" o:title=""/>
          </v:shape>
          <o:OLEObject Type="Embed" ProgID="Equation.3" ShapeID="_x0000_i1137" DrawAspect="Content" ObjectID="_1604325091" r:id="rId254"/>
        </w:object>
      </w:r>
      <w:r w:rsidR="000A7554">
        <w:t>:</w:t>
      </w:r>
      <w:r w:rsidRPr="00BD6197">
        <w:t xml:space="preserve"> </w:t>
      </w:r>
      <w:r w:rsidRPr="00BD6197">
        <w:tab/>
        <w:t>coefficient depending on number of used radio frequencies (radio channels)</w:t>
      </w:r>
    </w:p>
    <w:p w:rsidR="00854F1E" w:rsidRPr="00BD6197" w:rsidRDefault="00854F1E" w:rsidP="000A7554">
      <w:pPr>
        <w:pStyle w:val="Equationlegend"/>
      </w:pPr>
      <w:r w:rsidRPr="00BD6197">
        <w:tab/>
      </w:r>
      <w:r w:rsidRPr="00BD6197">
        <w:rPr>
          <w:position w:val="-12"/>
        </w:rPr>
        <w:object w:dxaOrig="499" w:dyaOrig="360">
          <v:shape id="_x0000_i1138" type="#_x0000_t75" style="width:24.75pt;height:18.75pt" o:ole="">
            <v:imagedata r:id="rId255" o:title=""/>
          </v:shape>
          <o:OLEObject Type="Embed" ProgID="Equation.3" ShapeID="_x0000_i1138" DrawAspect="Content" ObjectID="_1604325092" r:id="rId256"/>
        </w:object>
      </w:r>
      <w:r w:rsidR="000A7554">
        <w:t>:</w:t>
      </w:r>
      <w:r w:rsidRPr="00BD6197">
        <w:t xml:space="preserve"> </w:t>
      </w:r>
      <w:r w:rsidRPr="00BD6197">
        <w:tab/>
        <w:t>coefficient depending on applicable technology.</w:t>
      </w:r>
    </w:p>
    <w:p w:rsidR="00854F1E" w:rsidRPr="00BD6197" w:rsidRDefault="00854F1E" w:rsidP="00854F1E">
      <w:pPr>
        <w:rPr>
          <w:lang w:val="en-US"/>
        </w:rPr>
      </w:pPr>
      <w:r w:rsidRPr="00BD6197">
        <w:rPr>
          <w:lang w:val="en-US"/>
        </w:rPr>
        <w:t>The coefficients are applied per each radio frequency (radio channel) and/or frequency bandwidth.</w:t>
      </w:r>
    </w:p>
    <w:p w:rsidR="00854F1E" w:rsidRPr="00BD6197" w:rsidRDefault="00854F1E" w:rsidP="00854F1E">
      <w:pPr>
        <w:rPr>
          <w:lang w:val="en-US"/>
        </w:rPr>
      </w:pPr>
      <w:r w:rsidRPr="00BD6197">
        <w:rPr>
          <w:lang w:val="en-US"/>
        </w:rPr>
        <w:t>In case of extending validity, re-issuing and (or) amending the SRFC decisions, that is not related to changes in terms of using radio frequencies, one-time payment is not charged.</w:t>
      </w:r>
    </w:p>
    <w:p w:rsidR="00854F1E" w:rsidRPr="00BD6197" w:rsidRDefault="000A7554" w:rsidP="000A7554">
      <w:pPr>
        <w:pStyle w:val="Heading4"/>
        <w:rPr>
          <w:lang w:val="en-US"/>
        </w:rPr>
      </w:pPr>
      <w:bookmarkStart w:id="2085" w:name="_Toc454284980"/>
      <w:bookmarkStart w:id="2086" w:name="sub_1300"/>
      <w:r>
        <w:rPr>
          <w:lang w:val="en-US"/>
        </w:rPr>
        <w:lastRenderedPageBreak/>
        <w:t>5.2.7.3</w:t>
      </w:r>
      <w:r w:rsidR="00854F1E" w:rsidRPr="00BD6197">
        <w:rPr>
          <w:lang w:val="en-US"/>
        </w:rPr>
        <w:tab/>
        <w:t>Calculation of annual fee</w:t>
      </w:r>
      <w:bookmarkEnd w:id="2085"/>
    </w:p>
    <w:p w:rsidR="00854F1E" w:rsidRPr="00BD6197" w:rsidRDefault="00854F1E" w:rsidP="00854F1E">
      <w:pPr>
        <w:rPr>
          <w:lang w:val="en-US"/>
        </w:rPr>
      </w:pPr>
      <w:bookmarkStart w:id="2087" w:name="sub_13051"/>
      <w:bookmarkEnd w:id="2086"/>
      <w:r w:rsidRPr="00BD6197">
        <w:rPr>
          <w:lang w:val="en-US"/>
        </w:rPr>
        <w:t>The annual fee for cellular radio technologies is set for each frequency band, assigned by the SRFC decision and (or) specified in the license per each of the Russian Federation Subjects (part of the Subject), specified in the SRFC decision or in the license, for other technologies it is set for each granted authorization and calculated using the following formula:</w:t>
      </w:r>
    </w:p>
    <w:bookmarkEnd w:id="2087"/>
    <w:p w:rsidR="00854F1E" w:rsidRPr="00BD6197" w:rsidRDefault="00854F1E" w:rsidP="00854F1E">
      <w:pPr>
        <w:pStyle w:val="Equation"/>
        <w:rPr>
          <w:lang w:val="en-US"/>
        </w:rPr>
      </w:pPr>
      <w:r w:rsidRPr="00BD6197">
        <w:rPr>
          <w:lang w:val="en-US"/>
        </w:rPr>
        <w:tab/>
      </w:r>
      <w:r w:rsidRPr="00BD6197">
        <w:rPr>
          <w:lang w:val="en-US"/>
        </w:rPr>
        <w:tab/>
      </w:r>
      <m:oMath>
        <m:sSub>
          <m:sSubPr>
            <m:ctrlPr>
              <w:rPr>
                <w:rFonts w:ascii="Cambria Math" w:hAnsi="Cambria Math"/>
                <w:i/>
                <w:lang w:val="en-US"/>
              </w:rPr>
            </m:ctrlPr>
          </m:sSubPr>
          <m:e>
            <m:r>
              <w:rPr>
                <w:rFonts w:ascii="Cambria Math" w:hAnsi="Cambria Math"/>
                <w:lang w:val="en-US"/>
              </w:rPr>
              <m:t>P</m:t>
            </m:r>
          </m:e>
          <m:sub>
            <m:r>
              <w:rPr>
                <w:rFonts w:ascii="Cambria Math" w:hAnsi="Cambria Math"/>
                <w:lang w:val="en-US"/>
              </w:rPr>
              <m:t>a</m:t>
            </m:r>
          </m:sub>
        </m:sSub>
        <m:r>
          <w:rPr>
            <w:rFonts w:ascii="Cambria Math" w:hAnsi="Cambria Math"/>
            <w:lang w:val="en-US"/>
          </w:rPr>
          <m:t>=</m:t>
        </m:r>
        <m:nary>
          <m:naryPr>
            <m:chr m:val="∑"/>
            <m:limLoc m:val="undOvr"/>
            <m:ctrlPr>
              <w:rPr>
                <w:rFonts w:ascii="Cambria Math" w:hAnsi="Cambria Math"/>
                <w:i/>
                <w:lang w:val="en-US"/>
              </w:rPr>
            </m:ctrlPr>
          </m:naryPr>
          <m:sub>
            <m:r>
              <w:rPr>
                <w:rFonts w:ascii="Cambria Math" w:hAnsi="Cambria Math"/>
                <w:lang w:val="en-US"/>
              </w:rPr>
              <m:t>i=1</m:t>
            </m:r>
          </m:sub>
          <m:sup>
            <m:r>
              <w:rPr>
                <w:rFonts w:ascii="Cambria Math" w:hAnsi="Cambria Math"/>
                <w:lang w:val="en-US"/>
              </w:rPr>
              <m:t>4</m:t>
            </m:r>
          </m:sup>
          <m:e>
            <m:r>
              <m:rPr>
                <m:sty m:val="p"/>
              </m:rPr>
              <w:rPr>
                <w:rFonts w:ascii="Cambria Math" w:hAnsi="Cambria Math"/>
                <w:position w:val="-14"/>
                <w:lang w:val="en-US"/>
              </w:rPr>
              <w:object w:dxaOrig="443" w:dyaOrig="425">
                <v:shape id="_x0000_i1140" type="#_x0000_t75" style="width:21.75pt;height:21pt" o:ole="">
                  <v:imagedata r:id="rId257" o:title=""/>
                </v:shape>
                <o:OLEObject Type="Embed" ProgID="Equation.3" ShapeID="_x0000_i1140" DrawAspect="Content" ObjectID="_1604325093" r:id="rId258"/>
              </w:object>
            </m:r>
          </m:e>
        </m:nary>
      </m:oMath>
    </w:p>
    <w:p w:rsidR="00854F1E" w:rsidRPr="00BD6197" w:rsidRDefault="00854F1E" w:rsidP="00854F1E">
      <w:pPr>
        <w:rPr>
          <w:lang w:val="en-US"/>
        </w:rPr>
      </w:pPr>
      <w:bookmarkStart w:id="2088" w:name="sub_130513"/>
      <w:r w:rsidRPr="00BD6197">
        <w:rPr>
          <w:lang w:val="en-US"/>
        </w:rPr>
        <w:t>where:</w:t>
      </w:r>
    </w:p>
    <w:p w:rsidR="00854F1E" w:rsidRPr="00BD6197" w:rsidRDefault="00854F1E" w:rsidP="00854F1E">
      <w:pPr>
        <w:pStyle w:val="Equation"/>
        <w:rPr>
          <w:lang w:val="en-US"/>
        </w:rPr>
      </w:pPr>
      <w:bookmarkStart w:id="2089" w:name="sub_1301514"/>
      <w:bookmarkEnd w:id="2088"/>
      <w:r w:rsidRPr="00BD6197">
        <w:rPr>
          <w:lang w:val="en-US"/>
        </w:rPr>
        <w:tab/>
      </w:r>
      <w:r w:rsidRPr="00BD6197">
        <w:rPr>
          <w:lang w:val="en-US"/>
        </w:rPr>
        <w:tab/>
      </w:r>
      <w:r w:rsidRPr="00BD6197">
        <w:rPr>
          <w:lang w:val="en-US"/>
        </w:rPr>
        <w:object w:dxaOrig="4120" w:dyaOrig="400">
          <v:shape id="_x0000_i1141" type="#_x0000_t75" style="width:253.5pt;height:26.25pt" o:ole="">
            <v:imagedata r:id="rId259" o:title=""/>
          </v:shape>
          <o:OLEObject Type="Embed" ProgID="Equation.3" ShapeID="_x0000_i1141" DrawAspect="Content" ObjectID="_1604325094" r:id="rId260"/>
        </w:object>
      </w:r>
    </w:p>
    <w:bookmarkEnd w:id="2089"/>
    <w:p w:rsidR="00854F1E" w:rsidRPr="00BD6197" w:rsidRDefault="00854F1E" w:rsidP="000A7554">
      <w:pPr>
        <w:pStyle w:val="Equationlegend"/>
      </w:pPr>
      <w:r w:rsidRPr="00BD6197">
        <w:rPr>
          <w:i/>
        </w:rPr>
        <w:tab/>
        <w:t>P</w:t>
      </w:r>
      <w:r w:rsidRPr="00BD6197">
        <w:rPr>
          <w:i/>
          <w:vertAlign w:val="subscript"/>
        </w:rPr>
        <w:t>a</w:t>
      </w:r>
      <w:r w:rsidR="000A7554">
        <w:t>:</w:t>
      </w:r>
      <w:r w:rsidRPr="00BD6197">
        <w:t xml:space="preserve"> </w:t>
      </w:r>
      <w:r w:rsidRPr="00BD6197">
        <w:tab/>
        <w:t>annual fee, roubles</w:t>
      </w:r>
    </w:p>
    <w:p w:rsidR="00854F1E" w:rsidRPr="00BD6197" w:rsidRDefault="00854F1E" w:rsidP="000A7554">
      <w:pPr>
        <w:pStyle w:val="Equationlegend"/>
      </w:pPr>
      <w:r w:rsidRPr="00BD6197">
        <w:rPr>
          <w:i/>
        </w:rPr>
        <w:tab/>
        <w:t>P</w:t>
      </w:r>
      <w:r w:rsidRPr="00BD6197">
        <w:rPr>
          <w:i/>
          <w:vertAlign w:val="subscript"/>
        </w:rPr>
        <w:t>a(q)</w:t>
      </w:r>
      <w:r w:rsidR="000A7554" w:rsidRPr="000A7554">
        <w:t xml:space="preserve"> </w:t>
      </w:r>
      <w:r w:rsidR="000A7554">
        <w:t>:</w:t>
      </w:r>
      <w:r w:rsidRPr="00BD6197">
        <w:t xml:space="preserve"> </w:t>
      </w:r>
      <w:r w:rsidRPr="00BD6197">
        <w:tab/>
        <w:t>annual fee per a quarter, roubles</w:t>
      </w:r>
    </w:p>
    <w:p w:rsidR="00854F1E" w:rsidRPr="00BD6197" w:rsidRDefault="00854F1E" w:rsidP="000A7554">
      <w:pPr>
        <w:pStyle w:val="Equationlegend"/>
      </w:pPr>
      <w:r w:rsidRPr="00BD6197">
        <w:rPr>
          <w:i/>
        </w:rPr>
        <w:tab/>
        <w:t>R</w:t>
      </w:r>
      <w:r w:rsidRPr="00BD6197">
        <w:rPr>
          <w:i/>
          <w:vertAlign w:val="subscript"/>
        </w:rPr>
        <w:t>a</w:t>
      </w:r>
      <w:r w:rsidR="000A7554">
        <w:t>:</w:t>
      </w:r>
      <w:r w:rsidRPr="00BD6197">
        <w:t xml:space="preserve"> </w:t>
      </w:r>
      <w:r w:rsidRPr="00BD6197">
        <w:tab/>
        <w:t>rate of annual fee, roubles</w:t>
      </w:r>
    </w:p>
    <w:p w:rsidR="00854F1E" w:rsidRPr="00BD6197" w:rsidRDefault="00854F1E" w:rsidP="000A7554">
      <w:pPr>
        <w:pStyle w:val="Equationlegend"/>
        <w:tabs>
          <w:tab w:val="right" w:pos="1418"/>
        </w:tabs>
        <w:ind w:hanging="907"/>
      </w:pPr>
      <w:r w:rsidRPr="00BD6197">
        <w:rPr>
          <w:i/>
        </w:rPr>
        <w:tab/>
        <w:t>K</w:t>
      </w:r>
      <w:r w:rsidRPr="00BD6197">
        <w:rPr>
          <w:i/>
          <w:vertAlign w:val="subscript"/>
        </w:rPr>
        <w:t>band</w:t>
      </w:r>
      <w:r w:rsidR="000A7554">
        <w:t>:</w:t>
      </w:r>
      <w:r w:rsidRPr="00BD6197">
        <w:t xml:space="preserve"> coefficient depending on used frequency band</w:t>
      </w:r>
    </w:p>
    <w:p w:rsidR="00854F1E" w:rsidRPr="00BD6197" w:rsidRDefault="00854F1E" w:rsidP="000A7554">
      <w:pPr>
        <w:pStyle w:val="Equationlegend"/>
      </w:pPr>
      <w:r w:rsidRPr="00BD6197">
        <w:rPr>
          <w:i/>
        </w:rPr>
        <w:tab/>
        <w:t>K</w:t>
      </w:r>
      <w:r w:rsidRPr="00BD6197">
        <w:rPr>
          <w:i/>
          <w:vertAlign w:val="subscript"/>
        </w:rPr>
        <w:t>Nf</w:t>
      </w:r>
      <w:r w:rsidR="000A7554">
        <w:t>:</w:t>
      </w:r>
      <w:r w:rsidRPr="00BD6197">
        <w:t xml:space="preserve"> </w:t>
      </w:r>
      <w:r w:rsidRPr="00BD6197">
        <w:tab/>
        <w:t>coefficient depending on number of used radio frequencies (radio channels)</w:t>
      </w:r>
    </w:p>
    <w:p w:rsidR="00854F1E" w:rsidRPr="00BD6197" w:rsidRDefault="00854F1E" w:rsidP="000A7554">
      <w:pPr>
        <w:pStyle w:val="Equationlegend"/>
      </w:pPr>
      <w:r w:rsidRPr="00BD6197">
        <w:rPr>
          <w:i/>
        </w:rPr>
        <w:tab/>
        <w:t>K</w:t>
      </w:r>
      <w:r w:rsidRPr="00BD6197">
        <w:rPr>
          <w:i/>
          <w:vertAlign w:val="subscript"/>
        </w:rPr>
        <w:t>tech</w:t>
      </w:r>
      <w:r w:rsidR="000A7554">
        <w:t>:</w:t>
      </w:r>
      <w:r w:rsidRPr="00BD6197">
        <w:t xml:space="preserve"> </w:t>
      </w:r>
      <w:r w:rsidRPr="00BD6197">
        <w:tab/>
        <w:t>coefficient depending on applicable technology</w:t>
      </w:r>
    </w:p>
    <w:p w:rsidR="00854F1E" w:rsidRPr="00BD6197" w:rsidRDefault="00854F1E" w:rsidP="000A7554">
      <w:pPr>
        <w:pStyle w:val="Equationlegend"/>
      </w:pPr>
      <w:r w:rsidRPr="00BD6197">
        <w:rPr>
          <w:i/>
        </w:rPr>
        <w:tab/>
        <w:t>N</w:t>
      </w:r>
      <w:r w:rsidRPr="00BD6197">
        <w:rPr>
          <w:i/>
          <w:vertAlign w:val="subscript"/>
        </w:rPr>
        <w:t>auth(q)</w:t>
      </w:r>
      <w:r w:rsidR="000A7554">
        <w:t>:</w:t>
      </w:r>
      <w:r w:rsidRPr="00BD6197">
        <w:t xml:space="preserve"> </w:t>
      </w:r>
      <w:r w:rsidRPr="00BD6197">
        <w:tab/>
        <w:t>number of effective days of authorization in a payable quarter</w:t>
      </w:r>
    </w:p>
    <w:p w:rsidR="00854F1E" w:rsidRPr="00BD6197" w:rsidRDefault="00854F1E" w:rsidP="000A7554">
      <w:pPr>
        <w:pStyle w:val="Equationlegend"/>
      </w:pPr>
      <w:r w:rsidRPr="00BD6197">
        <w:rPr>
          <w:i/>
        </w:rPr>
        <w:tab/>
        <w:t>N</w:t>
      </w:r>
      <w:r w:rsidRPr="00BD6197">
        <w:rPr>
          <w:i/>
          <w:vertAlign w:val="subscript"/>
        </w:rPr>
        <w:t>q</w:t>
      </w:r>
      <w:r w:rsidR="000A7554">
        <w:t>:</w:t>
      </w:r>
      <w:r w:rsidRPr="00BD6197">
        <w:t xml:space="preserve"> </w:t>
      </w:r>
      <w:r w:rsidRPr="00BD6197">
        <w:tab/>
        <w:t>number of days in a payable quarter.</w:t>
      </w:r>
    </w:p>
    <w:p w:rsidR="00854F1E" w:rsidRPr="00BD6197" w:rsidRDefault="00854F1E" w:rsidP="00854F1E">
      <w:pPr>
        <w:rPr>
          <w:lang w:val="en-US"/>
        </w:rPr>
      </w:pPr>
      <w:r w:rsidRPr="00BD6197">
        <w:rPr>
          <w:lang w:val="en-US"/>
        </w:rPr>
        <w:t xml:space="preserve">The coefficients are applied per each radio frequency (radio channel) and/or frequency band. </w:t>
      </w:r>
    </w:p>
    <w:p w:rsidR="00854F1E" w:rsidRPr="00BD6197" w:rsidRDefault="00854F1E" w:rsidP="00854F1E">
      <w:pPr>
        <w:rPr>
          <w:lang w:val="en-US"/>
        </w:rPr>
      </w:pPr>
      <w:r w:rsidRPr="00BD6197">
        <w:rPr>
          <w:lang w:val="en-US"/>
        </w:rPr>
        <w:t>When using several cellular radio technologies within one frequency band b</w:t>
      </w:r>
      <w:r w:rsidR="000A7554">
        <w:rPr>
          <w:lang w:val="en-US"/>
        </w:rPr>
        <w:t>y a spectrum user (hereinafter –</w:t>
      </w:r>
      <w:r w:rsidRPr="00BD6197">
        <w:rPr>
          <w:lang w:val="en-US"/>
        </w:rPr>
        <w:t xml:space="preserve"> user), the annual fee per frequency band is calculated using maximum </w:t>
      </w:r>
      <w:r w:rsidRPr="00BD6197">
        <w:rPr>
          <w:i/>
          <w:lang w:val="en-US"/>
        </w:rPr>
        <w:t>K</w:t>
      </w:r>
      <w:r w:rsidRPr="00BD6197">
        <w:rPr>
          <w:i/>
          <w:vertAlign w:val="subscript"/>
          <w:lang w:val="en-US"/>
        </w:rPr>
        <w:t>tech</w:t>
      </w:r>
      <w:r w:rsidRPr="00BD6197">
        <w:rPr>
          <w:vertAlign w:val="subscript"/>
          <w:lang w:val="en-US"/>
        </w:rPr>
        <w:t xml:space="preserve"> </w:t>
      </w:r>
      <w:r w:rsidRPr="00BD6197">
        <w:rPr>
          <w:lang w:val="en-US"/>
        </w:rPr>
        <w:t>for the radio technology used in the frequency band.</w:t>
      </w:r>
    </w:p>
    <w:p w:rsidR="00854F1E" w:rsidRPr="00BD6197" w:rsidRDefault="00854F1E" w:rsidP="00854F1E">
      <w:pPr>
        <w:rPr>
          <w:lang w:val="en-US"/>
        </w:rPr>
      </w:pPr>
      <w:r w:rsidRPr="00BD6197">
        <w:rPr>
          <w:lang w:val="en-US"/>
        </w:rPr>
        <w:t>The amount of established annual fee with regard to authorizations for usage of radio frequencies or radio channels by radio systems in public networks, which were not registered within one year from the day of the radio system authorization, is increased tenfold from the day of the expired date and until the radio system is registered.</w:t>
      </w:r>
    </w:p>
    <w:p w:rsidR="00854F1E" w:rsidRPr="00BD6197" w:rsidRDefault="00854F1E" w:rsidP="00854F1E">
      <w:pPr>
        <w:rPr>
          <w:lang w:val="en-US"/>
        </w:rPr>
      </w:pPr>
      <w:r w:rsidRPr="00BD6197">
        <w:rPr>
          <w:lang w:val="en-US"/>
        </w:rPr>
        <w:t>The amount of established annual fee with regard to authorizations for usage of radio frequencies or radio channels by radio systems in technological and dedicated networks, radio and TV broadcasting systems, as well as radio systems used in the regions of the Far North and equivalent regions, which were not registered within two years from the day of the radio system authorization, is increased tenfold from the day of the expired date and until the radio system is registered.</w:t>
      </w:r>
    </w:p>
    <w:p w:rsidR="00854F1E" w:rsidRPr="00BD6197" w:rsidRDefault="000A7554" w:rsidP="000A7554">
      <w:pPr>
        <w:pStyle w:val="Heading4"/>
        <w:rPr>
          <w:lang w:val="en-US"/>
        </w:rPr>
      </w:pPr>
      <w:bookmarkStart w:id="2090" w:name="_Toc454284981"/>
      <w:bookmarkStart w:id="2091" w:name="sub_1500"/>
      <w:r>
        <w:rPr>
          <w:lang w:val="en-US"/>
        </w:rPr>
        <w:t>5.7.2.</w:t>
      </w:r>
      <w:r w:rsidR="00854F1E" w:rsidRPr="00BD6197">
        <w:rPr>
          <w:lang w:val="en-US"/>
        </w:rPr>
        <w:t>4</w:t>
      </w:r>
      <w:r w:rsidR="00854F1E" w:rsidRPr="00BD6197">
        <w:rPr>
          <w:lang w:val="en-US"/>
        </w:rPr>
        <w:tab/>
        <w:t>Calculation of coefficient depending on the number of used radio frequencies (radio channels)</w:t>
      </w:r>
      <w:bookmarkEnd w:id="2090"/>
    </w:p>
    <w:bookmarkEnd w:id="2091"/>
    <w:p w:rsidR="00854F1E" w:rsidRPr="00BD6197" w:rsidRDefault="00854F1E" w:rsidP="00854F1E">
      <w:pPr>
        <w:spacing w:after="240"/>
        <w:rPr>
          <w:lang w:val="en-US"/>
        </w:rPr>
      </w:pPr>
      <w:r w:rsidRPr="00BD6197">
        <w:rPr>
          <w:lang w:val="en-US"/>
        </w:rPr>
        <w:t xml:space="preserve">The coefficient depending on the number of radio frequencies (radio channels) used by radio systems, including cellular radio systems and technologies which have specified frequency band in the authorization, excluding MMDS radio systems, earth stations of satellite systems (ESSS) and VSAT Hub (Central) stations, is calculated using the following formula: </w:t>
      </w:r>
    </w:p>
    <w:p w:rsidR="00854F1E" w:rsidRPr="00BD6197" w:rsidRDefault="00854F1E" w:rsidP="00854F1E">
      <w:pPr>
        <w:pStyle w:val="Equation"/>
        <w:rPr>
          <w:lang w:val="en-US"/>
        </w:rPr>
      </w:pPr>
      <w:r w:rsidRPr="00BD6197">
        <w:rPr>
          <w:lang w:val="en-US"/>
        </w:rPr>
        <w:tab/>
      </w:r>
      <w:r w:rsidRPr="00BD6197">
        <w:rPr>
          <w:lang w:val="en-US"/>
        </w:rPr>
        <w:tab/>
      </w:r>
      <m:oMath>
        <m:sSub>
          <m:sSubPr>
            <m:ctrlPr>
              <w:rPr>
                <w:rFonts w:ascii="Cambria Math" w:hAnsi="Cambria Math"/>
                <w:lang w:val="en-US"/>
              </w:rPr>
            </m:ctrlPr>
          </m:sSubPr>
          <m:e>
            <m:r>
              <w:rPr>
                <w:rFonts w:ascii="Cambria Math" w:hAnsi="Cambria Math"/>
                <w:lang w:val="en-US"/>
              </w:rPr>
              <m:t>K</m:t>
            </m:r>
          </m:e>
          <m:sub>
            <m:r>
              <w:rPr>
                <w:rFonts w:ascii="Cambria Math" w:hAnsi="Cambria Math"/>
                <w:lang w:val="en-US"/>
              </w:rPr>
              <m:t>Nf</m:t>
            </m:r>
          </m:sub>
        </m:sSub>
        <m:r>
          <m:rPr>
            <m:sty m:val="p"/>
          </m:rPr>
          <w:rPr>
            <w:rFonts w:ascii="Cambria Math" w:hAnsi="Cambria Math"/>
            <w:lang w:val="en-US"/>
          </w:rPr>
          <m:t>=</m:t>
        </m:r>
        <m:nary>
          <m:naryPr>
            <m:chr m:val="∑"/>
            <m:limLoc m:val="undOvr"/>
            <m:subHide m:val="1"/>
            <m:supHide m:val="1"/>
            <m:ctrlPr>
              <w:rPr>
                <w:rFonts w:ascii="Cambria Math" w:hAnsi="Cambria Math"/>
                <w:lang w:val="en-US"/>
              </w:rPr>
            </m:ctrlPr>
          </m:naryPr>
          <m:sub/>
          <m:sup/>
          <m:e>
            <m:r>
              <w:rPr>
                <w:rFonts w:ascii="Cambria Math" w:hAnsi="Cambria Math"/>
                <w:lang w:val="en-US"/>
              </w:rPr>
              <m:t>N</m:t>
            </m:r>
          </m:e>
        </m:nary>
      </m:oMath>
    </w:p>
    <w:p w:rsidR="00854F1E" w:rsidRPr="00BD6197" w:rsidRDefault="00854F1E" w:rsidP="000A7554">
      <w:pPr>
        <w:pStyle w:val="Equationlegend"/>
      </w:pPr>
      <w:r w:rsidRPr="00BD6197">
        <w:rPr>
          <w:i/>
        </w:rPr>
        <w:tab/>
        <w:t>K</w:t>
      </w:r>
      <w:r w:rsidRPr="00BD6197">
        <w:rPr>
          <w:i/>
          <w:vertAlign w:val="subscript"/>
        </w:rPr>
        <w:t>Nf</w:t>
      </w:r>
      <w:r w:rsidR="000A7554">
        <w:t>:</w:t>
      </w:r>
      <w:r w:rsidRPr="00BD6197">
        <w:t xml:space="preserve"> </w:t>
      </w:r>
      <w:r w:rsidRPr="00BD6197">
        <w:tab/>
        <w:t>coefficient depending on number of used radio frequencies (radio channels)</w:t>
      </w:r>
    </w:p>
    <w:p w:rsidR="00854F1E" w:rsidRPr="00BD6197" w:rsidRDefault="00854F1E" w:rsidP="000A7554">
      <w:pPr>
        <w:pStyle w:val="Equationlegend"/>
      </w:pPr>
      <w:r w:rsidRPr="00BD6197">
        <w:rPr>
          <w:i/>
        </w:rPr>
        <w:tab/>
        <w:t>N</w:t>
      </w:r>
      <w:r w:rsidR="000A7554">
        <w:t>:</w:t>
      </w:r>
      <w:r w:rsidRPr="00BD6197">
        <w:t xml:space="preserve"> </w:t>
      </w:r>
      <w:r w:rsidRPr="00BD6197">
        <w:tab/>
        <w:t xml:space="preserve">number of used radio frequencies (radio channels). </w:t>
      </w:r>
    </w:p>
    <w:p w:rsidR="00854F1E" w:rsidRPr="00BD6197" w:rsidRDefault="00C26A17" w:rsidP="00C26A17">
      <w:pPr>
        <w:pStyle w:val="Note"/>
        <w:rPr>
          <w:lang w:val="en-US"/>
        </w:rPr>
      </w:pPr>
      <w:r w:rsidRPr="00BD6197">
        <w:rPr>
          <w:bCs/>
          <w:lang w:val="en-US"/>
        </w:rPr>
        <w:t xml:space="preserve">NOTE </w:t>
      </w:r>
      <w:r w:rsidR="00854F1E" w:rsidRPr="00BD6197">
        <w:rPr>
          <w:lang w:val="en-US"/>
        </w:rPr>
        <w:t xml:space="preserve">– A number </w:t>
      </w:r>
      <w:r w:rsidR="00854F1E" w:rsidRPr="00BD6197">
        <w:rPr>
          <w:i/>
          <w:lang w:val="en-US"/>
        </w:rPr>
        <w:t>N</w:t>
      </w:r>
      <w:r w:rsidR="00854F1E" w:rsidRPr="00BD6197">
        <w:rPr>
          <w:lang w:val="en-US"/>
        </w:rPr>
        <w:t xml:space="preserve"> for TV transmitters (excluding MMDS radio systems) is calculated according to a number of used radio channels, while for radio relay stations, outside news-gathering broadcasting stations </w:t>
      </w:r>
      <w:r w:rsidR="00854F1E" w:rsidRPr="00BD6197">
        <w:rPr>
          <w:lang w:val="en-US"/>
        </w:rPr>
        <w:lastRenderedPageBreak/>
        <w:t>and base (subscriber) stations of telephone radio extenders it is calculated according to a number of radio frequencies used by transmitters.</w:t>
      </w:r>
    </w:p>
    <w:p w:rsidR="00854F1E" w:rsidRPr="00BD6197" w:rsidRDefault="00854F1E" w:rsidP="00854F1E">
      <w:pPr>
        <w:rPr>
          <w:lang w:val="en-US"/>
        </w:rPr>
      </w:pPr>
      <w:r w:rsidRPr="00BD6197">
        <w:rPr>
          <w:lang w:val="en-US"/>
        </w:rPr>
        <w:t xml:space="preserve">Number </w:t>
      </w:r>
      <w:r w:rsidRPr="00BD6197">
        <w:rPr>
          <w:i/>
          <w:lang w:val="en-US"/>
        </w:rPr>
        <w:t>N</w:t>
      </w:r>
      <w:r w:rsidRPr="00BD6197">
        <w:rPr>
          <w:lang w:val="en-US"/>
        </w:rPr>
        <w:t xml:space="preserve"> of used radio frequencies (radio channels) for cellular radio technologies is calculated for each frequency band assigned by the SRFC decision or specified by the license with regard to each Russian Federation Subject (part of the Subject) specified in the SRFC decision or license.</w:t>
      </w:r>
    </w:p>
    <w:p w:rsidR="00854F1E" w:rsidRPr="00BD6197" w:rsidRDefault="00854F1E" w:rsidP="00854F1E">
      <w:pPr>
        <w:rPr>
          <w:lang w:val="en-US"/>
        </w:rPr>
      </w:pPr>
      <w:r w:rsidRPr="00BD6197">
        <w:rPr>
          <w:lang w:val="en-US"/>
        </w:rPr>
        <w:t xml:space="preserve">When the SRFC decision or license assigns a frequency band to a user not for the entire territory of the Subject but for some part of its territory, a number of used radio frequencies (radio channels) is calculated only with regard to the part of the Russian Federation Subject. </w:t>
      </w:r>
    </w:p>
    <w:p w:rsidR="00854F1E" w:rsidRPr="00BD6197" w:rsidRDefault="00854F1E" w:rsidP="00854F1E">
      <w:pPr>
        <w:rPr>
          <w:lang w:val="en-US"/>
        </w:rPr>
      </w:pPr>
      <w:r w:rsidRPr="00BD6197">
        <w:rPr>
          <w:lang w:val="en-US"/>
        </w:rPr>
        <w:t>When repeated frequency bands are assigned to users for cellular radio technology application, based on SRFC decisions adopted with regard to uncertain range of (or several) people, a number of used radio frequencies (radio channels) is calculated based on the total bandwidth of unrepeated radio channels assigned to a user with regard to each of the Russian Federation Subjects (part of the Subject).</w:t>
      </w:r>
    </w:p>
    <w:p w:rsidR="00854F1E" w:rsidRPr="00BD6197" w:rsidRDefault="00854F1E" w:rsidP="00854F1E">
      <w:pPr>
        <w:rPr>
          <w:lang w:val="en-US"/>
        </w:rPr>
      </w:pPr>
      <w:r w:rsidRPr="00BD6197">
        <w:rPr>
          <w:lang w:val="en-US"/>
        </w:rPr>
        <w:t>The number of used radio frequencies (radio channels) for other technologies is calculated according to the authorizations granted per each radio station site considering its geographical coordinates, by summing up the number of radio frequencies (radio channels) used to transmit and (or) receive radio signals.</w:t>
      </w:r>
    </w:p>
    <w:p w:rsidR="00854F1E" w:rsidRPr="00BD6197" w:rsidRDefault="00854F1E" w:rsidP="00854F1E">
      <w:pPr>
        <w:rPr>
          <w:lang w:val="en-US"/>
        </w:rPr>
      </w:pPr>
      <w:bookmarkStart w:id="2092" w:name="sub_11046"/>
      <w:r w:rsidRPr="00BD6197">
        <w:rPr>
          <w:lang w:val="en-US"/>
        </w:rPr>
        <w:t xml:space="preserve">If the receive frequency is the same as transmit frequency, then </w:t>
      </w:r>
      <w:r w:rsidRPr="00BD6197">
        <w:rPr>
          <w:i/>
          <w:lang w:val="en-US"/>
        </w:rPr>
        <w:t>N</w:t>
      </w:r>
      <w:r w:rsidRPr="00BD6197">
        <w:rPr>
          <w:lang w:val="en-US"/>
        </w:rPr>
        <w:t xml:space="preserve"> for this frequency is assumed equal to 1 when calculating coefficient depending on the number of used frequencies (radio channels).</w:t>
      </w:r>
    </w:p>
    <w:p w:rsidR="00854F1E" w:rsidRPr="00BD6197" w:rsidRDefault="00854F1E" w:rsidP="00854F1E">
      <w:pPr>
        <w:rPr>
          <w:lang w:val="en-US"/>
        </w:rPr>
      </w:pPr>
      <w:bookmarkStart w:id="2093" w:name="sub_11055"/>
      <w:bookmarkEnd w:id="2092"/>
      <w:r w:rsidRPr="00BD6197">
        <w:rPr>
          <w:lang w:val="en-US"/>
        </w:rPr>
        <w:t>Radio frequencies (radio channels) which are recommended for re-assignment are not considered in the calculation of the fee for an authorization.</w:t>
      </w:r>
    </w:p>
    <w:p w:rsidR="00854F1E" w:rsidRPr="00BD6197" w:rsidRDefault="00854F1E" w:rsidP="00854F1E">
      <w:pPr>
        <w:rPr>
          <w:lang w:val="en-US"/>
        </w:rPr>
      </w:pPr>
      <w:bookmarkStart w:id="2094" w:name="sub_11056"/>
      <w:bookmarkEnd w:id="2093"/>
      <w:r w:rsidRPr="00BD6197">
        <w:rPr>
          <w:lang w:val="en-US"/>
        </w:rPr>
        <w:t xml:space="preserve">When calculating the fee for an authorization where radio frequencies (radio channels) are recommended for re-assignment, the coefficient </w:t>
      </w:r>
      <w:r w:rsidRPr="00BD6197">
        <w:rPr>
          <w:i/>
          <w:lang w:val="en-US"/>
        </w:rPr>
        <w:t>K</w:t>
      </w:r>
      <w:r w:rsidRPr="00BD6197">
        <w:rPr>
          <w:i/>
          <w:vertAlign w:val="subscript"/>
          <w:lang w:val="en-US"/>
        </w:rPr>
        <w:t>Nf</w:t>
      </w:r>
      <w:r w:rsidRPr="00BD6197">
        <w:rPr>
          <w:vertAlign w:val="subscript"/>
          <w:lang w:val="en-US"/>
        </w:rPr>
        <w:t xml:space="preserve"> </w:t>
      </w:r>
      <w:r w:rsidRPr="00BD6197">
        <w:rPr>
          <w:lang w:val="en-US"/>
        </w:rPr>
        <w:t xml:space="preserve">is calculated as the number of all nominal frequencies (including repeated frequencies) specified in the table of frequency/territory plan of the authorization. </w:t>
      </w:r>
    </w:p>
    <w:p w:rsidR="00854F1E" w:rsidRPr="00BD6197" w:rsidRDefault="00854F1E" w:rsidP="00854F1E">
      <w:pPr>
        <w:rPr>
          <w:lang w:val="en-US"/>
        </w:rPr>
      </w:pPr>
      <w:bookmarkStart w:id="2095" w:name="sub_15088"/>
      <w:bookmarkEnd w:id="2094"/>
      <w:r w:rsidRPr="00BD6197">
        <w:rPr>
          <w:lang w:val="en-US"/>
        </w:rPr>
        <w:t xml:space="preserve">When the table of the frequency-territory plan of the authorization specifies land mobile (hand-held, portable) subscriber stations within the operation area of base stations, </w:t>
      </w:r>
      <w:r w:rsidRPr="00BD6197">
        <w:rPr>
          <w:i/>
          <w:lang w:val="en-US"/>
        </w:rPr>
        <w:t>K</w:t>
      </w:r>
      <w:r w:rsidRPr="00BD6197">
        <w:rPr>
          <w:i/>
          <w:vertAlign w:val="subscript"/>
          <w:lang w:val="en-US"/>
        </w:rPr>
        <w:t>Nf</w:t>
      </w:r>
      <w:r w:rsidRPr="00BD6197">
        <w:rPr>
          <w:vertAlign w:val="subscript"/>
          <w:lang w:val="en-US"/>
        </w:rPr>
        <w:t xml:space="preserve"> </w:t>
      </w:r>
      <w:r w:rsidRPr="00BD6197">
        <w:rPr>
          <w:lang w:val="en-US"/>
        </w:rPr>
        <w:t>for such subscriber stations is not</w:t>
      </w:r>
      <w:r w:rsidRPr="00BD6197">
        <w:rPr>
          <w:vertAlign w:val="subscript"/>
          <w:lang w:val="en-US"/>
        </w:rPr>
        <w:t xml:space="preserve"> </w:t>
      </w:r>
      <w:r w:rsidRPr="00BD6197">
        <w:rPr>
          <w:lang w:val="en-US"/>
        </w:rPr>
        <w:t>calculated.</w:t>
      </w:r>
    </w:p>
    <w:bookmarkEnd w:id="2095"/>
    <w:p w:rsidR="00854F1E" w:rsidRPr="00BD6197" w:rsidRDefault="00854F1E" w:rsidP="00854F1E">
      <w:pPr>
        <w:rPr>
          <w:lang w:val="en-US"/>
        </w:rPr>
      </w:pPr>
      <w:r w:rsidRPr="00BD6197">
        <w:rPr>
          <w:lang w:val="en-US"/>
        </w:rPr>
        <w:t xml:space="preserve">A number </w:t>
      </w:r>
      <w:r w:rsidRPr="00BD6197">
        <w:rPr>
          <w:i/>
          <w:lang w:val="en-US"/>
        </w:rPr>
        <w:t>N</w:t>
      </w:r>
      <w:r w:rsidRPr="00BD6197">
        <w:rPr>
          <w:lang w:val="en-US"/>
        </w:rPr>
        <w:t xml:space="preserve"> for cellular radio technologies and other technologies, which have specified the frequency bandwidth in the authorization, is calculated using the following formula:</w:t>
      </w:r>
    </w:p>
    <w:p w:rsidR="00854F1E" w:rsidRPr="00BD6197" w:rsidRDefault="00854F1E" w:rsidP="00854F1E">
      <w:pPr>
        <w:pStyle w:val="Equation"/>
        <w:rPr>
          <w:lang w:val="en-US"/>
        </w:rPr>
      </w:pPr>
      <w:r w:rsidRPr="00BD6197">
        <w:rPr>
          <w:iCs/>
          <w:lang w:val="en-US"/>
        </w:rPr>
        <w:tab/>
      </w:r>
      <w:r w:rsidRPr="00BD6197">
        <w:rPr>
          <w:iCs/>
          <w:lang w:val="en-US"/>
        </w:rPr>
        <w:tab/>
      </w:r>
      <m:oMath>
        <m:r>
          <w:rPr>
            <w:rFonts w:ascii="Cambria Math" w:hAnsi="Cambria Math"/>
            <w:lang w:val="en-US"/>
          </w:rPr>
          <m:t>N</m:t>
        </m:r>
        <m:r>
          <m:rPr>
            <m:sty m:val="p"/>
          </m:rPr>
          <w:rPr>
            <w:rFonts w:ascii="Cambria Math" w:hAnsi="Cambria Math"/>
            <w:lang w:val="en-US"/>
          </w:rPr>
          <m:t>= ∆</m:t>
        </m:r>
        <m:r>
          <w:rPr>
            <w:rFonts w:ascii="Cambria Math" w:hAnsi="Cambria Math"/>
            <w:lang w:val="en-US"/>
          </w:rPr>
          <m:t>F</m:t>
        </m:r>
        <m:r>
          <m:rPr>
            <m:sty m:val="p"/>
          </m:rPr>
          <w:rPr>
            <w:rFonts w:ascii="Cambria Math" w:hAnsi="Cambria Math"/>
            <w:lang w:val="en-US"/>
          </w:rPr>
          <m:t xml:space="preserve"> (MHz)/1 MHz</m:t>
        </m:r>
      </m:oMath>
    </w:p>
    <w:p w:rsidR="00854F1E" w:rsidRPr="00BD6197" w:rsidRDefault="00854F1E" w:rsidP="00854F1E">
      <w:pPr>
        <w:rPr>
          <w:lang w:val="en-US"/>
        </w:rPr>
      </w:pPr>
      <w:r w:rsidRPr="00BD6197">
        <w:rPr>
          <w:lang w:val="en-US"/>
        </w:rPr>
        <w:t>where:</w:t>
      </w:r>
    </w:p>
    <w:p w:rsidR="00854F1E" w:rsidRPr="00BD6197" w:rsidRDefault="00854F1E" w:rsidP="00880F7A">
      <w:pPr>
        <w:pStyle w:val="Equationlegend"/>
      </w:pPr>
      <w:r w:rsidRPr="00BD6197">
        <w:tab/>
        <w:t>Δ</w:t>
      </w:r>
      <w:r w:rsidRPr="00BD6197">
        <w:rPr>
          <w:i/>
        </w:rPr>
        <w:t>F</w:t>
      </w:r>
      <w:r w:rsidR="00880F7A">
        <w:t>:</w:t>
      </w:r>
      <w:r w:rsidRPr="00BD6197">
        <w:t xml:space="preserve"> </w:t>
      </w:r>
      <w:r w:rsidRPr="00BD6197">
        <w:tab/>
        <w:t>frequency bandwidth assigned to spectrum user (total bandwidth of unrepeated radio channels) or frequency bandwidth specified in the authorization.</w:t>
      </w:r>
    </w:p>
    <w:p w:rsidR="00854F1E" w:rsidRPr="00BD6197" w:rsidRDefault="00854F1E" w:rsidP="00854F1E">
      <w:pPr>
        <w:rPr>
          <w:lang w:val="en-US"/>
        </w:rPr>
      </w:pPr>
      <w:r w:rsidRPr="00BD6197">
        <w:rPr>
          <w:lang w:val="en-US"/>
        </w:rPr>
        <w:t>The number of radio frequencies for digital cordless systems (DECT) is calculated according to the assigned frequency band.</w:t>
      </w:r>
    </w:p>
    <w:p w:rsidR="00854F1E" w:rsidRPr="00BD6197" w:rsidRDefault="00854F1E" w:rsidP="00854F1E">
      <w:pPr>
        <w:rPr>
          <w:lang w:val="en-US"/>
        </w:rPr>
      </w:pPr>
      <w:r w:rsidRPr="00BD6197">
        <w:rPr>
          <w:i/>
          <w:lang w:val="en-US"/>
        </w:rPr>
        <w:t>K</w:t>
      </w:r>
      <w:r w:rsidRPr="00BD6197">
        <w:rPr>
          <w:i/>
          <w:vertAlign w:val="subscript"/>
          <w:lang w:val="en-US"/>
        </w:rPr>
        <w:t>Nf</w:t>
      </w:r>
      <w:r w:rsidRPr="00BD6197">
        <w:rPr>
          <w:lang w:val="en-US"/>
        </w:rPr>
        <w:t xml:space="preserve"> for radio stations of MMDS, ESSS and VSAT Hub (Central) stations is calculated using the following formula:</w:t>
      </w:r>
    </w:p>
    <w:p w:rsidR="00854F1E" w:rsidRPr="00BD6197" w:rsidRDefault="00854F1E" w:rsidP="00854F1E">
      <w:pPr>
        <w:pStyle w:val="Equation"/>
        <w:rPr>
          <w:lang w:val="en-US"/>
        </w:rPr>
      </w:pPr>
      <w:r w:rsidRPr="00BD6197">
        <w:rPr>
          <w:lang w:val="en-US"/>
        </w:rPr>
        <w:tab/>
      </w:r>
      <w:r w:rsidRPr="00BD6197">
        <w:rPr>
          <w:lang w:val="en-US"/>
        </w:rPr>
        <w:tab/>
      </w:r>
      <m:oMath>
        <m:sSub>
          <m:sSubPr>
            <m:ctrlPr>
              <w:rPr>
                <w:rFonts w:ascii="Cambria Math" w:hAnsi="Cambria Math"/>
                <w:lang w:val="en-US"/>
              </w:rPr>
            </m:ctrlPr>
          </m:sSubPr>
          <m:e>
            <m:r>
              <w:rPr>
                <w:rFonts w:ascii="Cambria Math" w:hAnsi="Cambria Math"/>
                <w:lang w:val="en-US"/>
              </w:rPr>
              <m:t>K</m:t>
            </m:r>
          </m:e>
          <m:sub>
            <m:r>
              <w:rPr>
                <w:rFonts w:ascii="Cambria Math" w:hAnsi="Cambria Math"/>
                <w:lang w:val="en-US"/>
              </w:rPr>
              <m:t>Nf</m:t>
            </m:r>
          </m:sub>
        </m:sSub>
        <m:r>
          <m:rPr>
            <m:sty m:val="p"/>
          </m:rPr>
          <w:rPr>
            <w:rFonts w:ascii="Cambria Math" w:hAnsi="Cambria Math"/>
            <w:lang w:val="en-US"/>
          </w:rPr>
          <m:t>=</m:t>
        </m:r>
        <m:d>
          <m:dPr>
            <m:begChr m:val="["/>
            <m:endChr m:val="]"/>
            <m:ctrlPr>
              <w:rPr>
                <w:rFonts w:ascii="Cambria Math" w:hAnsi="Cambria Math"/>
                <w:lang w:val="en-US"/>
              </w:rPr>
            </m:ctrlPr>
          </m:dPr>
          <m:e>
            <m:nary>
              <m:naryPr>
                <m:chr m:val="∑"/>
                <m:limLoc m:val="undOvr"/>
                <m:ctrlPr>
                  <w:rPr>
                    <w:rFonts w:ascii="Cambria Math" w:hAnsi="Cambria Math"/>
                    <w:lang w:val="en-US"/>
                  </w:rPr>
                </m:ctrlPr>
              </m:naryPr>
              <m:sub>
                <m:r>
                  <w:rPr>
                    <w:rFonts w:ascii="Cambria Math" w:hAnsi="Cambria Math"/>
                    <w:lang w:val="en-US"/>
                  </w:rPr>
                  <m:t>i</m:t>
                </m:r>
                <m:r>
                  <m:rPr>
                    <m:sty m:val="p"/>
                  </m:rPr>
                  <w:rPr>
                    <w:rFonts w:ascii="Cambria Math" w:hAnsi="Cambria Math"/>
                    <w:lang w:val="en-US"/>
                  </w:rPr>
                  <m:t>=1</m:t>
                </m:r>
              </m:sub>
              <m:sup>
                <m:r>
                  <w:rPr>
                    <w:rFonts w:ascii="Cambria Math" w:hAnsi="Cambria Math"/>
                    <w:lang w:val="en-US"/>
                  </w:rPr>
                  <m:t>S</m:t>
                </m:r>
              </m:sup>
              <m:e>
                <m:d>
                  <m:dPr>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f</m:t>
                        </m:r>
                      </m:e>
                      <m:sub>
                        <m:r>
                          <w:rPr>
                            <w:rFonts w:ascii="Cambria Math" w:hAnsi="Cambria Math"/>
                            <w:lang w:val="en-US"/>
                          </w:rPr>
                          <m:t>max</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f</m:t>
                        </m:r>
                      </m:e>
                      <m:sub>
                        <m:r>
                          <w:rPr>
                            <w:rFonts w:ascii="Cambria Math" w:hAnsi="Cambria Math"/>
                            <w:lang w:val="en-US"/>
                          </w:rPr>
                          <m:t>min</m:t>
                        </m:r>
                      </m:sub>
                    </m:sSub>
                  </m:e>
                </m:d>
              </m:e>
            </m:nary>
            <m:r>
              <m:rPr>
                <m:sty m:val="p"/>
              </m:rPr>
              <w:rPr>
                <w:rFonts w:ascii="Cambria Math" w:hAnsi="Cambria Math"/>
                <w:lang w:val="en-US"/>
              </w:rPr>
              <m:t>+</m:t>
            </m:r>
            <m:nary>
              <m:naryPr>
                <m:chr m:val="∑"/>
                <m:limLoc m:val="undOvr"/>
                <m:ctrlPr>
                  <w:rPr>
                    <w:rFonts w:ascii="Cambria Math" w:hAnsi="Cambria Math"/>
                    <w:lang w:val="en-US"/>
                  </w:rPr>
                </m:ctrlPr>
              </m:naryPr>
              <m:sub>
                <m:r>
                  <w:rPr>
                    <w:rFonts w:ascii="Cambria Math" w:hAnsi="Cambria Math"/>
                    <w:lang w:val="en-US"/>
                  </w:rPr>
                  <m:t>i</m:t>
                </m:r>
                <m:r>
                  <m:rPr>
                    <m:sty m:val="p"/>
                  </m:rPr>
                  <w:rPr>
                    <w:rFonts w:ascii="Cambria Math" w:hAnsi="Cambria Math"/>
                    <w:lang w:val="en-US"/>
                  </w:rPr>
                  <m:t>=1</m:t>
                </m:r>
              </m:sub>
              <m:sup>
                <m:r>
                  <w:rPr>
                    <w:rFonts w:ascii="Cambria Math" w:hAnsi="Cambria Math"/>
                    <w:lang w:val="en-US"/>
                  </w:rPr>
                  <m:t>M</m:t>
                </m:r>
              </m:sup>
              <m:e>
                <m:sSub>
                  <m:sSubPr>
                    <m:ctrlPr>
                      <w:rPr>
                        <w:rFonts w:ascii="Cambria Math" w:hAnsi="Cambria Math"/>
                        <w:lang w:val="en-US"/>
                      </w:rPr>
                    </m:ctrlPr>
                  </m:sSubPr>
                  <m:e>
                    <m:r>
                      <w:rPr>
                        <w:rFonts w:ascii="Cambria Math" w:hAnsi="Cambria Math"/>
                        <w:lang w:val="en-US"/>
                      </w:rPr>
                      <m:t>B</m:t>
                    </m:r>
                  </m:e>
                  <m:sub>
                    <m:r>
                      <w:rPr>
                        <w:rFonts w:ascii="Cambria Math" w:hAnsi="Cambria Math"/>
                        <w:lang w:val="en-US"/>
                      </w:rPr>
                      <m:t>req</m:t>
                    </m:r>
                    <m:r>
                      <m:rPr>
                        <m:sty m:val="p"/>
                      </m:rPr>
                      <w:rPr>
                        <w:rFonts w:ascii="Cambria Math" w:hAnsi="Cambria Math"/>
                        <w:lang w:val="en-US"/>
                      </w:rPr>
                      <m:t>_</m:t>
                    </m:r>
                    <m:r>
                      <w:rPr>
                        <w:rFonts w:ascii="Cambria Math" w:hAnsi="Cambria Math"/>
                        <w:lang w:val="en-US"/>
                      </w:rPr>
                      <m:t>fi</m:t>
                    </m:r>
                  </m:sub>
                </m:sSub>
              </m:e>
            </m:nary>
          </m:e>
        </m:d>
        <m:r>
          <m:rPr>
            <m:sty m:val="p"/>
          </m:rPr>
          <w:rPr>
            <w:rFonts w:ascii="Cambria Math" w:hAnsi="Cambria Math"/>
            <w:lang w:val="en-US"/>
          </w:rPr>
          <m:t>/ 1 MHz</m:t>
        </m:r>
      </m:oMath>
    </w:p>
    <w:p w:rsidR="00854F1E" w:rsidRPr="00BD6197" w:rsidRDefault="00854F1E" w:rsidP="00854F1E">
      <w:pPr>
        <w:rPr>
          <w:lang w:val="en-US"/>
        </w:rPr>
      </w:pPr>
      <w:r w:rsidRPr="00BD6197">
        <w:rPr>
          <w:lang w:val="en-US"/>
        </w:rPr>
        <w:t xml:space="preserve">where: </w:t>
      </w:r>
    </w:p>
    <w:p w:rsidR="00854F1E" w:rsidRPr="00BD6197" w:rsidRDefault="00854F1E" w:rsidP="00880F7A">
      <w:pPr>
        <w:pStyle w:val="Equationlegend"/>
      </w:pPr>
      <w:r w:rsidRPr="00BD6197">
        <w:rPr>
          <w:i/>
        </w:rPr>
        <w:tab/>
        <w:t>f</w:t>
      </w:r>
      <w:r w:rsidRPr="00BD6197">
        <w:rPr>
          <w:i/>
          <w:vertAlign w:val="subscript"/>
        </w:rPr>
        <w:t>max</w:t>
      </w:r>
      <w:r w:rsidR="00880F7A">
        <w:t>:</w:t>
      </w:r>
      <w:r w:rsidRPr="00BD6197">
        <w:t xml:space="preserve"> </w:t>
      </w:r>
      <w:r w:rsidRPr="00BD6197">
        <w:tab/>
        <w:t>maximum frequency within transponder (MHz), specified in the authorization</w:t>
      </w:r>
    </w:p>
    <w:p w:rsidR="00854F1E" w:rsidRPr="00BD6197" w:rsidRDefault="00854F1E" w:rsidP="00880F7A">
      <w:pPr>
        <w:pStyle w:val="Equationlegend"/>
      </w:pPr>
      <w:r w:rsidRPr="00BD6197">
        <w:rPr>
          <w:i/>
        </w:rPr>
        <w:tab/>
        <w:t>f</w:t>
      </w:r>
      <w:r w:rsidRPr="00BD6197">
        <w:rPr>
          <w:i/>
          <w:vertAlign w:val="subscript"/>
        </w:rPr>
        <w:t>min</w:t>
      </w:r>
      <w:r w:rsidR="00880F7A">
        <w:t>:</w:t>
      </w:r>
      <w:r w:rsidRPr="00BD6197">
        <w:t xml:space="preserve"> </w:t>
      </w:r>
      <w:r w:rsidRPr="00BD6197">
        <w:tab/>
        <w:t>minimum frequency within transponder (MHz), specified in the authorization</w:t>
      </w:r>
    </w:p>
    <w:p w:rsidR="00854F1E" w:rsidRPr="00BD6197" w:rsidRDefault="00854F1E" w:rsidP="00880F7A">
      <w:pPr>
        <w:pStyle w:val="Equationlegend"/>
      </w:pPr>
      <w:r w:rsidRPr="00BD6197">
        <w:rPr>
          <w:i/>
        </w:rPr>
        <w:tab/>
        <w:t>S</w:t>
      </w:r>
      <w:r w:rsidR="00880F7A">
        <w:t>:</w:t>
      </w:r>
      <w:r w:rsidRPr="00BD6197">
        <w:t xml:space="preserve"> </w:t>
      </w:r>
      <w:r w:rsidRPr="00BD6197">
        <w:tab/>
        <w:t>number of transponders in the authorization</w:t>
      </w:r>
    </w:p>
    <w:p w:rsidR="00854F1E" w:rsidRPr="00BD6197" w:rsidRDefault="00854F1E" w:rsidP="00880F7A">
      <w:pPr>
        <w:pStyle w:val="Equationlegend"/>
      </w:pPr>
      <w:r w:rsidRPr="00BD6197">
        <w:rPr>
          <w:i/>
        </w:rPr>
        <w:lastRenderedPageBreak/>
        <w:tab/>
        <w:t>B</w:t>
      </w:r>
      <w:r w:rsidRPr="00BD6197">
        <w:rPr>
          <w:i/>
          <w:vertAlign w:val="subscript"/>
        </w:rPr>
        <w:t>req_fi</w:t>
      </w:r>
      <w:r w:rsidR="00880F7A">
        <w:t>:</w:t>
      </w:r>
      <w:r w:rsidRPr="00BD6197">
        <w:t xml:space="preserve"> </w:t>
      </w:r>
      <w:r w:rsidRPr="00BD6197">
        <w:tab/>
        <w:t xml:space="preserve">maximum required bandwidth specified for this frequency in the class of emission (hereinafter – </w:t>
      </w:r>
      <w:r w:rsidRPr="00BD6197">
        <w:rPr>
          <w:i/>
        </w:rPr>
        <w:t>B</w:t>
      </w:r>
      <w:r w:rsidRPr="00BD6197">
        <w:rPr>
          <w:i/>
          <w:vertAlign w:val="subscript"/>
        </w:rPr>
        <w:t>req_fi</w:t>
      </w:r>
      <w:r w:rsidRPr="00BD6197">
        <w:t>)</w:t>
      </w:r>
    </w:p>
    <w:p w:rsidR="00854F1E" w:rsidRPr="00BD6197" w:rsidRDefault="00854F1E" w:rsidP="00880F7A">
      <w:pPr>
        <w:pStyle w:val="Equationlegend"/>
      </w:pPr>
      <w:r w:rsidRPr="00BD6197">
        <w:rPr>
          <w:i/>
        </w:rPr>
        <w:tab/>
        <w:t>М</w:t>
      </w:r>
      <w:r w:rsidR="00880F7A">
        <w:t>:</w:t>
      </w:r>
      <w:r w:rsidRPr="00BD6197">
        <w:t xml:space="preserve"> </w:t>
      </w:r>
      <w:r w:rsidRPr="00BD6197">
        <w:tab/>
        <w:t>number of operating nominal frequencies.</w:t>
      </w:r>
    </w:p>
    <w:p w:rsidR="00854F1E" w:rsidRPr="00BD6197" w:rsidRDefault="00854F1E" w:rsidP="00854F1E">
      <w:pPr>
        <w:rPr>
          <w:lang w:val="en-US"/>
        </w:rPr>
      </w:pPr>
      <w:r w:rsidRPr="00BD6197">
        <w:rPr>
          <w:lang w:val="en-US"/>
        </w:rPr>
        <w:t xml:space="preserve">If the operating transmit (receive) frequencies are specified in the authorization only by the formula or by frequency range, then </w:t>
      </w:r>
      <w:r w:rsidRPr="00BD6197">
        <w:rPr>
          <w:i/>
          <w:lang w:val="en-US"/>
        </w:rPr>
        <w:t>M</w:t>
      </w:r>
      <w:r w:rsidRPr="00BD6197">
        <w:rPr>
          <w:lang w:val="en-US"/>
        </w:rPr>
        <w:t xml:space="preserve"> and </w:t>
      </w:r>
      <w:r w:rsidRPr="00BD6197">
        <w:rPr>
          <w:i/>
          <w:lang w:val="en-US"/>
        </w:rPr>
        <w:t>B</w:t>
      </w:r>
      <w:r w:rsidRPr="00BD6197">
        <w:rPr>
          <w:i/>
          <w:vertAlign w:val="subscript"/>
          <w:lang w:val="en-US"/>
        </w:rPr>
        <w:t xml:space="preserve">reg_fi </w:t>
      </w:r>
      <w:r w:rsidRPr="00BD6197">
        <w:rPr>
          <w:lang w:val="en-US"/>
        </w:rPr>
        <w:t>are not considered in the calculation.</w:t>
      </w:r>
    </w:p>
    <w:p w:rsidR="00854F1E" w:rsidRPr="00BD6197" w:rsidRDefault="00854F1E" w:rsidP="00854F1E">
      <w:pPr>
        <w:rPr>
          <w:lang w:val="en-US"/>
        </w:rPr>
      </w:pPr>
      <w:r w:rsidRPr="00BD6197">
        <w:rPr>
          <w:lang w:val="en-US"/>
        </w:rPr>
        <w:t xml:space="preserve">If only the nominal transmit (receive) frequencies are specified in the authorization, then S, </w:t>
      </w:r>
      <w:r w:rsidRPr="00BD6197">
        <w:rPr>
          <w:i/>
          <w:lang w:val="en-US"/>
        </w:rPr>
        <w:t>f</w:t>
      </w:r>
      <w:r w:rsidRPr="00BD6197">
        <w:rPr>
          <w:i/>
          <w:vertAlign w:val="subscript"/>
          <w:lang w:val="en-US"/>
        </w:rPr>
        <w:t>max</w:t>
      </w:r>
      <w:r w:rsidRPr="00BD6197">
        <w:rPr>
          <w:lang w:val="en-US"/>
        </w:rPr>
        <w:t xml:space="preserve">, </w:t>
      </w:r>
      <w:r w:rsidRPr="00BD6197">
        <w:rPr>
          <w:i/>
          <w:lang w:val="en-US"/>
        </w:rPr>
        <w:t>f</w:t>
      </w:r>
      <w:r w:rsidRPr="00BD6197">
        <w:rPr>
          <w:i/>
          <w:vertAlign w:val="subscript"/>
          <w:lang w:val="en-US"/>
        </w:rPr>
        <w:t>min</w:t>
      </w:r>
      <w:r w:rsidRPr="00BD6197">
        <w:rPr>
          <w:lang w:val="en-US"/>
        </w:rPr>
        <w:t xml:space="preserve"> are not considered in the calculations.</w:t>
      </w:r>
    </w:p>
    <w:p w:rsidR="00854F1E" w:rsidRPr="00BD6197" w:rsidRDefault="00854F1E" w:rsidP="00854F1E">
      <w:pPr>
        <w:rPr>
          <w:lang w:val="en-US"/>
        </w:rPr>
      </w:pPr>
      <w:r w:rsidRPr="00BD6197">
        <w:rPr>
          <w:lang w:val="en-US"/>
        </w:rPr>
        <w:t xml:space="preserve">If for the operating nominal frequencies several classes of emission are specified, then the calculations will be conducted for the class of emission with maximum </w:t>
      </w:r>
      <w:r w:rsidRPr="00BD6197">
        <w:rPr>
          <w:i/>
          <w:lang w:val="en-US"/>
        </w:rPr>
        <w:t>B</w:t>
      </w:r>
      <w:r w:rsidRPr="00BD6197">
        <w:rPr>
          <w:i/>
          <w:vertAlign w:val="subscript"/>
          <w:lang w:val="en-US"/>
        </w:rPr>
        <w:t xml:space="preserve">reg_fi </w:t>
      </w:r>
      <w:r w:rsidRPr="00BD6197">
        <w:rPr>
          <w:lang w:val="en-US"/>
        </w:rPr>
        <w:t>for this operating frequency.</w:t>
      </w:r>
    </w:p>
    <w:p w:rsidR="00854F1E" w:rsidRPr="00BD6197" w:rsidRDefault="00854F1E" w:rsidP="00854F1E">
      <w:pPr>
        <w:rPr>
          <w:lang w:val="en-US"/>
        </w:rPr>
      </w:pPr>
      <w:r w:rsidRPr="00BD6197">
        <w:rPr>
          <w:lang w:val="en-US"/>
        </w:rPr>
        <w:t>If the operating transmit (receive) frequencies in the authorization for ESSS and VSAT Hub (Central) and (or) subscriber stations are represented by several formulas with one central frequency, then the calculation shall be conducted according to the sum of receive (transmit) frequency ranges defined by these formulas, while considering the repeated parts of the ranges only</w:t>
      </w:r>
      <w:r>
        <w:rPr>
          <w:lang w:val="en-US"/>
        </w:rPr>
        <w:t> </w:t>
      </w:r>
      <w:r w:rsidRPr="00BD6197">
        <w:rPr>
          <w:lang w:val="en-US"/>
        </w:rPr>
        <w:t>once.</w:t>
      </w:r>
    </w:p>
    <w:p w:rsidR="00107362" w:rsidRPr="00BD6197" w:rsidRDefault="00880F7A" w:rsidP="00880F7A">
      <w:pPr>
        <w:pStyle w:val="Heading4"/>
        <w:rPr>
          <w:lang w:val="en-US"/>
        </w:rPr>
      </w:pPr>
      <w:bookmarkStart w:id="2096" w:name="_Toc454284982"/>
      <w:bookmarkStart w:id="2097" w:name="sub_1600"/>
      <w:r>
        <w:rPr>
          <w:lang w:val="en-US"/>
        </w:rPr>
        <w:t>5.7.2.</w:t>
      </w:r>
      <w:r w:rsidR="00107362" w:rsidRPr="00BD6197">
        <w:rPr>
          <w:lang w:val="en-US"/>
        </w:rPr>
        <w:t>5</w:t>
      </w:r>
      <w:r w:rsidR="00107362" w:rsidRPr="00BD6197">
        <w:rPr>
          <w:lang w:val="en-US"/>
        </w:rPr>
        <w:tab/>
        <w:t>Calculation of coefficient depending on the technology used in the radio spectrum</w:t>
      </w:r>
      <w:bookmarkEnd w:id="2096"/>
    </w:p>
    <w:bookmarkEnd w:id="2097"/>
    <w:p w:rsidR="00107362" w:rsidRPr="00BD6197" w:rsidRDefault="00107362" w:rsidP="00107362">
      <w:pPr>
        <w:rPr>
          <w:b/>
          <w:lang w:val="en-US"/>
        </w:rPr>
      </w:pPr>
      <w:r w:rsidRPr="00BD6197">
        <w:rPr>
          <w:lang w:val="en-US"/>
        </w:rPr>
        <w:t xml:space="preserve">The coefficient </w:t>
      </w:r>
      <w:r w:rsidRPr="00BD6197">
        <w:rPr>
          <w:i/>
          <w:lang w:val="en-US"/>
        </w:rPr>
        <w:t>K</w:t>
      </w:r>
      <w:r w:rsidRPr="00BD6197">
        <w:rPr>
          <w:i/>
          <w:vertAlign w:val="subscript"/>
          <w:lang w:val="en-US"/>
        </w:rPr>
        <w:t>tech</w:t>
      </w:r>
      <w:r w:rsidRPr="00BD6197">
        <w:rPr>
          <w:lang w:val="en-US"/>
        </w:rPr>
        <w:t xml:space="preserve"> depending on the cellular radio technology used in the radio spectrum is calculated using the following formula: </w:t>
      </w:r>
    </w:p>
    <w:p w:rsidR="00107362" w:rsidRPr="00BD6197" w:rsidRDefault="00107362" w:rsidP="00107362">
      <w:pPr>
        <w:pStyle w:val="Equation"/>
        <w:rPr>
          <w:lang w:val="en-US"/>
        </w:rPr>
      </w:pPr>
      <w:r w:rsidRPr="00BD6197">
        <w:rPr>
          <w:lang w:val="en-US"/>
        </w:rPr>
        <w:tab/>
      </w:r>
      <w:r w:rsidRPr="00BD6197">
        <w:rPr>
          <w:lang w:val="en-US"/>
        </w:rPr>
        <w:tab/>
      </w:r>
      <w:r w:rsidRPr="00BD6197">
        <w:rPr>
          <w:lang w:val="en-US"/>
        </w:rPr>
        <w:object w:dxaOrig="2220" w:dyaOrig="380">
          <v:shape id="_x0000_i1142" type="#_x0000_t75" style="width:134.25pt;height:22.5pt" o:ole="">
            <v:imagedata r:id="rId261" o:title=""/>
          </v:shape>
          <o:OLEObject Type="Embed" ProgID="Equation.3" ShapeID="_x0000_i1142" DrawAspect="Content" ObjectID="_1604325095" r:id="rId262"/>
        </w:object>
      </w:r>
    </w:p>
    <w:p w:rsidR="00107362" w:rsidRPr="00BD6197" w:rsidRDefault="00107362" w:rsidP="006537F4">
      <w:pPr>
        <w:pStyle w:val="Equationlegend"/>
      </w:pPr>
      <w:r w:rsidRPr="00BD6197">
        <w:rPr>
          <w:i/>
        </w:rPr>
        <w:tab/>
        <w:t>K</w:t>
      </w:r>
      <w:r w:rsidRPr="00BD6197">
        <w:rPr>
          <w:i/>
          <w:vertAlign w:val="subscript"/>
        </w:rPr>
        <w:t>adv</w:t>
      </w:r>
      <w:r w:rsidR="006537F4">
        <w:t>:</w:t>
      </w:r>
      <w:r w:rsidRPr="00BD6197">
        <w:t xml:space="preserve"> </w:t>
      </w:r>
      <w:r w:rsidRPr="00BD6197">
        <w:tab/>
        <w:t>coefficient depending on the use of advanced technology. Coefficients corresponding to technologies for which the SRFC has taken a decision to cancel their further use and/or move to other frequency bands, are applicable from the date of the SRFC decision with regard to civil purpose radio system</w:t>
      </w:r>
    </w:p>
    <w:p w:rsidR="00107362" w:rsidRPr="00BD6197" w:rsidRDefault="00107362" w:rsidP="006537F4">
      <w:pPr>
        <w:pStyle w:val="Equationlegend"/>
      </w:pPr>
      <w:r w:rsidRPr="00BD6197">
        <w:rPr>
          <w:i/>
        </w:rPr>
        <w:tab/>
        <w:t>K</w:t>
      </w:r>
      <w:r w:rsidRPr="00BD6197">
        <w:rPr>
          <w:i/>
          <w:vertAlign w:val="subscript"/>
        </w:rPr>
        <w:t>reg</w:t>
      </w:r>
      <w:r w:rsidR="006537F4">
        <w:t>:</w:t>
      </w:r>
      <w:r w:rsidRPr="00BD6197">
        <w:t xml:space="preserve"> </w:t>
      </w:r>
      <w:r w:rsidRPr="00BD6197">
        <w:tab/>
        <w:t>coefficient depending on the intensive use of assigned frequency bands in the Russian Federation Subject (part of the Subject). It is based on the population density in the territory of the Russian Federation Subject (part of the Subject), degree of development of mobile radio telephone networks and degree of economic development of the Russian Federation Subject (part of the Subject) (the coefficient value varies from 0.05 to 3)</w:t>
      </w:r>
    </w:p>
    <w:p w:rsidR="00107362" w:rsidRPr="00BD6197" w:rsidRDefault="00107362" w:rsidP="006537F4">
      <w:pPr>
        <w:pStyle w:val="Equationlegend"/>
      </w:pPr>
      <w:r w:rsidRPr="00BD6197">
        <w:rPr>
          <w:i/>
        </w:rPr>
        <w:tab/>
        <w:t>K</w:t>
      </w:r>
      <w:r w:rsidRPr="00BD6197">
        <w:rPr>
          <w:i/>
          <w:vertAlign w:val="subscript"/>
        </w:rPr>
        <w:t>soc</w:t>
      </w:r>
      <w:r w:rsidR="006537F4">
        <w:t>:</w:t>
      </w:r>
      <w:r w:rsidRPr="00BD6197">
        <w:t xml:space="preserve"> </w:t>
      </w:r>
      <w:r w:rsidRPr="00BD6197">
        <w:tab/>
        <w:t>coefficient taking into account a social factor of the technology implementation.</w:t>
      </w:r>
    </w:p>
    <w:p w:rsidR="00107362" w:rsidRPr="00BD6197" w:rsidRDefault="00107362" w:rsidP="00107362">
      <w:pPr>
        <w:rPr>
          <w:lang w:val="en-US"/>
        </w:rPr>
      </w:pPr>
      <w:r w:rsidRPr="00BD6197">
        <w:rPr>
          <w:lang w:val="en-US"/>
        </w:rPr>
        <w:t xml:space="preserve">For other technologies, </w:t>
      </w:r>
      <w:r w:rsidRPr="00BD6197">
        <w:rPr>
          <w:i/>
          <w:lang w:val="en-US"/>
        </w:rPr>
        <w:t>K</w:t>
      </w:r>
      <w:r w:rsidRPr="00BD6197">
        <w:rPr>
          <w:i/>
          <w:vertAlign w:val="subscript"/>
          <w:lang w:val="en-US"/>
        </w:rPr>
        <w:t>tech</w:t>
      </w:r>
      <w:r w:rsidRPr="00BD6197">
        <w:rPr>
          <w:lang w:val="en-US"/>
        </w:rPr>
        <w:t xml:space="preserve"> is calculated according to the following formula with regard to each granted authorization:</w:t>
      </w:r>
    </w:p>
    <w:p w:rsidR="00107362" w:rsidRPr="00BD6197" w:rsidRDefault="00107362" w:rsidP="00107362">
      <w:pPr>
        <w:pStyle w:val="Equation"/>
        <w:rPr>
          <w:lang w:val="en-US"/>
        </w:rPr>
      </w:pPr>
      <w:r w:rsidRPr="00BD6197">
        <w:rPr>
          <w:lang w:val="en-US"/>
        </w:rPr>
        <w:tab/>
      </w:r>
      <w:r w:rsidRPr="00BD6197">
        <w:rPr>
          <w:lang w:val="en-US"/>
        </w:rPr>
        <w:tab/>
      </w:r>
      <w:r w:rsidRPr="00BD6197">
        <w:rPr>
          <w:lang w:val="en-US"/>
        </w:rPr>
        <w:object w:dxaOrig="2860" w:dyaOrig="380">
          <v:shape id="_x0000_i1143" type="#_x0000_t75" style="width:175.5pt;height:22.5pt" o:ole="">
            <v:imagedata r:id="rId263" o:title=""/>
          </v:shape>
          <o:OLEObject Type="Embed" ProgID="Equation.3" ShapeID="_x0000_i1143" DrawAspect="Content" ObjectID="_1604325096" r:id="rId264"/>
        </w:object>
      </w:r>
    </w:p>
    <w:p w:rsidR="00107362" w:rsidRPr="00BD6197" w:rsidRDefault="00107362" w:rsidP="006537F4">
      <w:pPr>
        <w:pStyle w:val="Equationlegend"/>
      </w:pPr>
      <w:r w:rsidRPr="00BD6197">
        <w:rPr>
          <w:i/>
        </w:rPr>
        <w:tab/>
        <w:t>K</w:t>
      </w:r>
      <w:r w:rsidRPr="00BD6197">
        <w:rPr>
          <w:i/>
          <w:vertAlign w:val="subscript"/>
        </w:rPr>
        <w:t>Breq</w:t>
      </w:r>
      <w:r w:rsidR="006537F4">
        <w:t>:</w:t>
      </w:r>
      <w:r w:rsidRPr="00BD6197">
        <w:t xml:space="preserve"> </w:t>
      </w:r>
      <w:r w:rsidRPr="00BD6197">
        <w:tab/>
        <w:t>coefficient depending on required signal bandwidth for transmission of information with specified quality within the used radio channel</w:t>
      </w:r>
    </w:p>
    <w:p w:rsidR="00107362" w:rsidRPr="00BD6197" w:rsidRDefault="00107362" w:rsidP="006537F4">
      <w:pPr>
        <w:pStyle w:val="Equationlegend"/>
      </w:pPr>
      <w:r w:rsidRPr="00BD6197">
        <w:rPr>
          <w:i/>
        </w:rPr>
        <w:tab/>
        <w:t>K</w:t>
      </w:r>
      <w:r w:rsidRPr="00BD6197">
        <w:rPr>
          <w:i/>
          <w:vertAlign w:val="subscript"/>
        </w:rPr>
        <w:t>pop</w:t>
      </w:r>
      <w:r w:rsidR="006537F4">
        <w:t>:</w:t>
      </w:r>
      <w:r w:rsidRPr="00BD6197">
        <w:t xml:space="preserve"> </w:t>
      </w:r>
      <w:r w:rsidRPr="00BD6197">
        <w:tab/>
        <w:t>coefficient depending on the population in the location of the radio system and taking into account administrative boundaries of the community</w:t>
      </w:r>
    </w:p>
    <w:p w:rsidR="00107362" w:rsidRPr="00BD6197" w:rsidRDefault="00107362" w:rsidP="00107362">
      <w:pPr>
        <w:pStyle w:val="Equationlegend"/>
      </w:pPr>
      <w:r w:rsidRPr="00BD6197">
        <w:rPr>
          <w:i/>
        </w:rPr>
        <w:tab/>
        <w:t>K</w:t>
      </w:r>
      <w:r w:rsidRPr="00BD6197">
        <w:rPr>
          <w:i/>
          <w:vertAlign w:val="subscript"/>
        </w:rPr>
        <w:t xml:space="preserve">adv </w:t>
      </w:r>
      <w:r w:rsidRPr="00BD6197">
        <w:t>and</w:t>
      </w:r>
      <w:r w:rsidRPr="00BD6197">
        <w:rPr>
          <w:i/>
          <w:vertAlign w:val="subscript"/>
        </w:rPr>
        <w:t xml:space="preserve"> </w:t>
      </w:r>
      <w:r w:rsidRPr="00BD6197">
        <w:rPr>
          <w:i/>
        </w:rPr>
        <w:t>K</w:t>
      </w:r>
      <w:r w:rsidRPr="00BD6197">
        <w:rPr>
          <w:i/>
          <w:vertAlign w:val="subscript"/>
        </w:rPr>
        <w:t>soc</w:t>
      </w:r>
      <w:r w:rsidR="006537F4">
        <w:t>:</w:t>
      </w:r>
      <w:r w:rsidRPr="00BD6197">
        <w:t xml:space="preserve"> </w:t>
      </w:r>
      <w:r w:rsidRPr="00BD6197">
        <w:tab/>
        <w:t>are as in the previous formula.</w:t>
      </w:r>
    </w:p>
    <w:p w:rsidR="00107362" w:rsidRPr="00A01420" w:rsidRDefault="00107362" w:rsidP="00107362">
      <w:pPr>
        <w:pStyle w:val="Headingb"/>
        <w:rPr>
          <w:lang w:val="en-US"/>
        </w:rPr>
      </w:pPr>
      <w:bookmarkStart w:id="2098" w:name="_Toc454284983"/>
      <w:bookmarkStart w:id="2099" w:name="_Toc462234147"/>
      <w:r w:rsidRPr="00A01420">
        <w:rPr>
          <w:lang w:val="en-US"/>
        </w:rPr>
        <w:lastRenderedPageBreak/>
        <w:t>Rates and coefficients used for calculation of one-time payment and annual fee for usage of radio spectrum</w:t>
      </w:r>
      <w:bookmarkEnd w:id="2098"/>
      <w:bookmarkEnd w:id="2099"/>
      <w:r w:rsidRPr="00A01420">
        <w:rPr>
          <w:lang w:val="en-US"/>
        </w:rPr>
        <w:t xml:space="preserve"> </w:t>
      </w:r>
    </w:p>
    <w:p w:rsidR="00107362" w:rsidRPr="00BD6197" w:rsidRDefault="006537F4" w:rsidP="00107362">
      <w:pPr>
        <w:pStyle w:val="TableNo"/>
        <w:rPr>
          <w:lang w:val="en-US"/>
        </w:rPr>
      </w:pPr>
      <w:r w:rsidRPr="00BD6197">
        <w:rPr>
          <w:lang w:val="en-US"/>
        </w:rPr>
        <w:t xml:space="preserve">TABLE </w:t>
      </w:r>
      <w:r w:rsidR="00107362" w:rsidRPr="00BD6197">
        <w:rPr>
          <w:lang w:val="en-US"/>
        </w:rPr>
        <w:t>2</w:t>
      </w:r>
      <w:r>
        <w:rPr>
          <w:lang w:val="en-US"/>
        </w:rPr>
        <w:t>9</w:t>
      </w:r>
    </w:p>
    <w:p w:rsidR="00107362" w:rsidRPr="00BD6197" w:rsidRDefault="00107362" w:rsidP="00107362">
      <w:pPr>
        <w:pStyle w:val="Tabletitle"/>
        <w:rPr>
          <w:lang w:val="en-US"/>
        </w:rPr>
      </w:pPr>
      <w:r w:rsidRPr="00BD6197">
        <w:rPr>
          <w:lang w:val="en-US"/>
        </w:rPr>
        <w:t xml:space="preserve">Rates used for calculation of one-time payment and annual fee </w:t>
      </w:r>
    </w:p>
    <w:tbl>
      <w:tblPr>
        <w:tblW w:w="8812"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92"/>
        <w:gridCol w:w="3920"/>
      </w:tblGrid>
      <w:tr w:rsidR="00107362" w:rsidRPr="00BD6197" w:rsidTr="000F2BA7">
        <w:trPr>
          <w:jc w:val="center"/>
        </w:trPr>
        <w:tc>
          <w:tcPr>
            <w:tcW w:w="4892" w:type="dxa"/>
            <w:tcBorders>
              <w:top w:val="single" w:sz="4" w:space="0" w:color="auto"/>
              <w:bottom w:val="single" w:sz="4" w:space="0" w:color="auto"/>
              <w:right w:val="single" w:sz="4" w:space="0" w:color="auto"/>
            </w:tcBorders>
          </w:tcPr>
          <w:p w:rsidR="00107362" w:rsidRPr="00BD6197" w:rsidRDefault="00107362" w:rsidP="000F2BA7">
            <w:pPr>
              <w:pStyle w:val="Tablehead"/>
              <w:rPr>
                <w:lang w:val="en-US"/>
              </w:rPr>
            </w:pPr>
            <w:r w:rsidRPr="00BD6197">
              <w:rPr>
                <w:lang w:val="en-US"/>
              </w:rPr>
              <w:t>Payment</w:t>
            </w:r>
          </w:p>
        </w:tc>
        <w:tc>
          <w:tcPr>
            <w:tcW w:w="3920" w:type="dxa"/>
            <w:tcBorders>
              <w:top w:val="single" w:sz="4" w:space="0" w:color="auto"/>
              <w:left w:val="single" w:sz="4" w:space="0" w:color="auto"/>
              <w:bottom w:val="single" w:sz="4" w:space="0" w:color="auto"/>
            </w:tcBorders>
          </w:tcPr>
          <w:p w:rsidR="00107362" w:rsidRPr="00BD6197" w:rsidRDefault="00107362" w:rsidP="000F2BA7">
            <w:pPr>
              <w:pStyle w:val="Tablehead"/>
              <w:rPr>
                <w:lang w:val="en-US"/>
              </w:rPr>
            </w:pPr>
            <w:r w:rsidRPr="00BD6197">
              <w:rPr>
                <w:lang w:val="en-US"/>
              </w:rPr>
              <w:t xml:space="preserve">Rate, roubles </w:t>
            </w:r>
          </w:p>
        </w:tc>
      </w:tr>
      <w:tr w:rsidR="00107362" w:rsidRPr="00BD6197" w:rsidTr="000F2BA7">
        <w:trPr>
          <w:jc w:val="center"/>
        </w:trPr>
        <w:tc>
          <w:tcPr>
            <w:tcW w:w="4892"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r w:rsidRPr="00BD6197">
              <w:rPr>
                <w:lang w:val="en-US"/>
              </w:rPr>
              <w:t>One-time payment for cellular radio technologies</w:t>
            </w:r>
          </w:p>
        </w:tc>
        <w:tc>
          <w:tcPr>
            <w:tcW w:w="3920"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70 000</w:t>
            </w:r>
          </w:p>
        </w:tc>
      </w:tr>
      <w:tr w:rsidR="00107362" w:rsidRPr="00BD6197" w:rsidTr="000F2BA7">
        <w:trPr>
          <w:jc w:val="center"/>
        </w:trPr>
        <w:tc>
          <w:tcPr>
            <w:tcW w:w="4892"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bookmarkStart w:id="2100" w:name="sub_11048"/>
            <w:r w:rsidRPr="00BD6197">
              <w:rPr>
                <w:lang w:val="en-US"/>
              </w:rPr>
              <w:t>One-time payment for other technologies</w:t>
            </w:r>
            <w:bookmarkEnd w:id="2100"/>
          </w:p>
        </w:tc>
        <w:tc>
          <w:tcPr>
            <w:tcW w:w="3920"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300</w:t>
            </w:r>
          </w:p>
        </w:tc>
      </w:tr>
      <w:tr w:rsidR="00107362" w:rsidRPr="00BD6197" w:rsidTr="000F2BA7">
        <w:trPr>
          <w:jc w:val="center"/>
        </w:trPr>
        <w:tc>
          <w:tcPr>
            <w:tcW w:w="4892"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r w:rsidRPr="00BD6197">
              <w:rPr>
                <w:lang w:val="en-US"/>
              </w:rPr>
              <w:t>Annual fee for cellular radio technologies</w:t>
            </w:r>
          </w:p>
        </w:tc>
        <w:tc>
          <w:tcPr>
            <w:tcW w:w="3920"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264 000</w:t>
            </w:r>
          </w:p>
        </w:tc>
      </w:tr>
      <w:tr w:rsidR="00107362" w:rsidRPr="00BD6197" w:rsidTr="000F2BA7">
        <w:trPr>
          <w:jc w:val="center"/>
        </w:trPr>
        <w:tc>
          <w:tcPr>
            <w:tcW w:w="4892"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r w:rsidRPr="00BD6197">
              <w:rPr>
                <w:lang w:val="en-US"/>
              </w:rPr>
              <w:t>Annual fee for other technologies</w:t>
            </w:r>
          </w:p>
        </w:tc>
        <w:tc>
          <w:tcPr>
            <w:tcW w:w="3920"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1400</w:t>
            </w:r>
          </w:p>
        </w:tc>
      </w:tr>
    </w:tbl>
    <w:p w:rsidR="00107362" w:rsidRPr="00BD6197" w:rsidRDefault="006537F4" w:rsidP="00107362">
      <w:pPr>
        <w:pStyle w:val="TableNo"/>
        <w:rPr>
          <w:lang w:val="en-US"/>
        </w:rPr>
      </w:pPr>
      <w:r w:rsidRPr="00BD6197">
        <w:rPr>
          <w:lang w:val="en-US"/>
        </w:rPr>
        <w:t>TABLE</w:t>
      </w:r>
      <w:r w:rsidR="00107362" w:rsidRPr="00BD6197">
        <w:rPr>
          <w:lang w:val="en-US"/>
        </w:rPr>
        <w:t xml:space="preserve"> 3</w:t>
      </w:r>
      <w:r>
        <w:rPr>
          <w:lang w:val="en-US"/>
        </w:rPr>
        <w:t>0</w:t>
      </w:r>
    </w:p>
    <w:p w:rsidR="00107362" w:rsidRPr="00BD6197" w:rsidRDefault="00107362" w:rsidP="00107362">
      <w:pPr>
        <w:pStyle w:val="Tabletitle"/>
        <w:rPr>
          <w:lang w:val="en-US"/>
        </w:rPr>
      </w:pPr>
      <w:r w:rsidRPr="00BD6197">
        <w:rPr>
          <w:lang w:val="en-US"/>
        </w:rPr>
        <w:t xml:space="preserve">Coefficients depending on frequency bands </w:t>
      </w:r>
    </w:p>
    <w:tbl>
      <w:tblPr>
        <w:tblW w:w="8661"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819"/>
        <w:gridCol w:w="3842"/>
      </w:tblGrid>
      <w:tr w:rsidR="00107362" w:rsidRPr="00BD6197" w:rsidTr="000F2BA7">
        <w:trPr>
          <w:jc w:val="center"/>
        </w:trPr>
        <w:tc>
          <w:tcPr>
            <w:tcW w:w="4819" w:type="dxa"/>
            <w:tcBorders>
              <w:top w:val="single" w:sz="4" w:space="0" w:color="auto"/>
              <w:bottom w:val="single" w:sz="4" w:space="0" w:color="auto"/>
              <w:right w:val="single" w:sz="4" w:space="0" w:color="auto"/>
            </w:tcBorders>
          </w:tcPr>
          <w:p w:rsidR="00107362" w:rsidRPr="00BD6197" w:rsidRDefault="00107362" w:rsidP="000F2BA7">
            <w:pPr>
              <w:pStyle w:val="Tablehead"/>
              <w:rPr>
                <w:lang w:val="en-US"/>
              </w:rPr>
            </w:pPr>
            <w:r w:rsidRPr="00BD6197">
              <w:rPr>
                <w:lang w:val="en-US"/>
              </w:rPr>
              <w:t>Frequency band</w:t>
            </w:r>
          </w:p>
        </w:tc>
        <w:tc>
          <w:tcPr>
            <w:tcW w:w="3842" w:type="dxa"/>
            <w:tcBorders>
              <w:top w:val="single" w:sz="4" w:space="0" w:color="auto"/>
              <w:left w:val="single" w:sz="4" w:space="0" w:color="auto"/>
              <w:bottom w:val="single" w:sz="4" w:space="0" w:color="auto"/>
            </w:tcBorders>
          </w:tcPr>
          <w:p w:rsidR="00107362" w:rsidRPr="00BD6197" w:rsidRDefault="00107362" w:rsidP="000F2BA7">
            <w:pPr>
              <w:pStyle w:val="Tablehead"/>
              <w:rPr>
                <w:i/>
                <w:lang w:val="en-US"/>
              </w:rPr>
            </w:pPr>
            <w:r w:rsidRPr="00BD6197">
              <w:rPr>
                <w:i/>
                <w:lang w:val="en-US"/>
              </w:rPr>
              <w:t>K</w:t>
            </w:r>
            <w:r w:rsidRPr="00BD6197">
              <w:rPr>
                <w:i/>
                <w:vertAlign w:val="subscript"/>
                <w:lang w:val="en-US"/>
              </w:rPr>
              <w:t>band</w:t>
            </w:r>
          </w:p>
        </w:tc>
      </w:tr>
      <w:tr w:rsidR="00107362" w:rsidRPr="00BD6197" w:rsidTr="000F2BA7">
        <w:trPr>
          <w:jc w:val="center"/>
        </w:trPr>
        <w:tc>
          <w:tcPr>
            <w:tcW w:w="4819"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r w:rsidRPr="00BD6197">
              <w:rPr>
                <w:lang w:val="en-US"/>
              </w:rPr>
              <w:t>above 3 kHz to 30 kHz inclusive</w:t>
            </w:r>
          </w:p>
        </w:tc>
        <w:tc>
          <w:tcPr>
            <w:tcW w:w="3842"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0.1</w:t>
            </w:r>
          </w:p>
        </w:tc>
      </w:tr>
      <w:tr w:rsidR="00107362" w:rsidRPr="00BD6197" w:rsidTr="000F2BA7">
        <w:trPr>
          <w:jc w:val="center"/>
        </w:trPr>
        <w:tc>
          <w:tcPr>
            <w:tcW w:w="4819"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r w:rsidRPr="00BD6197">
              <w:rPr>
                <w:lang w:val="en-US"/>
              </w:rPr>
              <w:t>above 30 kHz to 300 kHz inclusive</w:t>
            </w:r>
          </w:p>
        </w:tc>
        <w:tc>
          <w:tcPr>
            <w:tcW w:w="3842"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0.1</w:t>
            </w:r>
          </w:p>
        </w:tc>
      </w:tr>
      <w:tr w:rsidR="00107362" w:rsidRPr="00BD6197" w:rsidTr="000F2BA7">
        <w:trPr>
          <w:jc w:val="center"/>
        </w:trPr>
        <w:tc>
          <w:tcPr>
            <w:tcW w:w="4819"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r w:rsidRPr="00BD6197">
              <w:rPr>
                <w:lang w:val="en-US"/>
              </w:rPr>
              <w:t>above 300 kHz to 3000 kHz inclusive</w:t>
            </w:r>
          </w:p>
        </w:tc>
        <w:tc>
          <w:tcPr>
            <w:tcW w:w="3842"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0.1</w:t>
            </w:r>
          </w:p>
        </w:tc>
      </w:tr>
      <w:tr w:rsidR="00107362" w:rsidRPr="00BD6197" w:rsidTr="000F2BA7">
        <w:trPr>
          <w:jc w:val="center"/>
        </w:trPr>
        <w:tc>
          <w:tcPr>
            <w:tcW w:w="4819"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r w:rsidRPr="00BD6197">
              <w:rPr>
                <w:lang w:val="en-US"/>
              </w:rPr>
              <w:t>above 3 MHz to 30 MHz inclusive</w:t>
            </w:r>
          </w:p>
        </w:tc>
        <w:tc>
          <w:tcPr>
            <w:tcW w:w="3842"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0.5</w:t>
            </w:r>
          </w:p>
        </w:tc>
      </w:tr>
      <w:tr w:rsidR="00107362" w:rsidRPr="00BD6197" w:rsidTr="000F2BA7">
        <w:trPr>
          <w:jc w:val="center"/>
        </w:trPr>
        <w:tc>
          <w:tcPr>
            <w:tcW w:w="4819"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r w:rsidRPr="00BD6197">
              <w:rPr>
                <w:lang w:val="en-US"/>
              </w:rPr>
              <w:t>above 30 MHz to 300 MHz inclusive</w:t>
            </w:r>
          </w:p>
        </w:tc>
        <w:tc>
          <w:tcPr>
            <w:tcW w:w="3842"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2</w:t>
            </w:r>
          </w:p>
        </w:tc>
      </w:tr>
      <w:tr w:rsidR="00107362" w:rsidRPr="00BD6197" w:rsidTr="000F2BA7">
        <w:trPr>
          <w:jc w:val="center"/>
        </w:trPr>
        <w:tc>
          <w:tcPr>
            <w:tcW w:w="4819"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r w:rsidRPr="00BD6197">
              <w:rPr>
                <w:lang w:val="en-US"/>
              </w:rPr>
              <w:t>above 300 MHz to 3000 MHz inclusive</w:t>
            </w:r>
          </w:p>
        </w:tc>
        <w:tc>
          <w:tcPr>
            <w:tcW w:w="3842"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2</w:t>
            </w:r>
          </w:p>
        </w:tc>
      </w:tr>
      <w:tr w:rsidR="00107362" w:rsidRPr="00BD6197" w:rsidTr="000F2BA7">
        <w:trPr>
          <w:jc w:val="center"/>
        </w:trPr>
        <w:tc>
          <w:tcPr>
            <w:tcW w:w="4819"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r w:rsidRPr="00BD6197">
              <w:rPr>
                <w:lang w:val="en-US"/>
              </w:rPr>
              <w:t>above 3 GHz to 30 GHz inclusive</w:t>
            </w:r>
          </w:p>
        </w:tc>
        <w:tc>
          <w:tcPr>
            <w:tcW w:w="3842"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1</w:t>
            </w:r>
          </w:p>
        </w:tc>
      </w:tr>
      <w:tr w:rsidR="00107362" w:rsidRPr="00BD6197" w:rsidTr="000F2BA7">
        <w:trPr>
          <w:jc w:val="center"/>
        </w:trPr>
        <w:tc>
          <w:tcPr>
            <w:tcW w:w="4819"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r w:rsidRPr="00BD6197">
              <w:rPr>
                <w:lang w:val="en-US"/>
              </w:rPr>
              <w:t>above 30 GHz to 300 GHz inclusive</w:t>
            </w:r>
          </w:p>
        </w:tc>
        <w:tc>
          <w:tcPr>
            <w:tcW w:w="3842"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0.1</w:t>
            </w:r>
          </w:p>
        </w:tc>
      </w:tr>
    </w:tbl>
    <w:p w:rsidR="00107362" w:rsidRPr="00BD6197" w:rsidRDefault="006537F4" w:rsidP="006537F4">
      <w:pPr>
        <w:pStyle w:val="TableNo"/>
        <w:rPr>
          <w:lang w:val="en-US"/>
        </w:rPr>
      </w:pPr>
      <w:r w:rsidRPr="00BD6197">
        <w:rPr>
          <w:lang w:val="en-US"/>
        </w:rPr>
        <w:t>TABLE</w:t>
      </w:r>
      <w:r w:rsidR="00107362" w:rsidRPr="00BD6197">
        <w:rPr>
          <w:lang w:val="en-US"/>
        </w:rPr>
        <w:t xml:space="preserve"> </w:t>
      </w:r>
      <w:r>
        <w:rPr>
          <w:lang w:val="en-US"/>
        </w:rPr>
        <w:t>31</w:t>
      </w:r>
    </w:p>
    <w:p w:rsidR="00107362" w:rsidRPr="00BD6197" w:rsidRDefault="00107362" w:rsidP="00107362">
      <w:pPr>
        <w:pStyle w:val="Tabletitle"/>
        <w:rPr>
          <w:lang w:val="en-US"/>
        </w:rPr>
      </w:pPr>
      <w:r w:rsidRPr="00BD6197">
        <w:rPr>
          <w:lang w:val="en-US"/>
        </w:rPr>
        <w:t>Coefficient depending on the use of advanced radio technology</w:t>
      </w:r>
    </w:p>
    <w:tbl>
      <w:tblPr>
        <w:tblW w:w="9634"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120"/>
        <w:gridCol w:w="6720"/>
        <w:gridCol w:w="1794"/>
      </w:tblGrid>
      <w:tr w:rsidR="00107362" w:rsidRPr="00BD6197" w:rsidTr="000F2BA7">
        <w:trPr>
          <w:jc w:val="center"/>
        </w:trPr>
        <w:tc>
          <w:tcPr>
            <w:tcW w:w="1120" w:type="dxa"/>
            <w:tcBorders>
              <w:top w:val="single" w:sz="4" w:space="0" w:color="auto"/>
              <w:bottom w:val="single" w:sz="4" w:space="0" w:color="auto"/>
              <w:right w:val="single" w:sz="4" w:space="0" w:color="auto"/>
            </w:tcBorders>
          </w:tcPr>
          <w:p w:rsidR="00107362" w:rsidRPr="00BD6197" w:rsidRDefault="00107362" w:rsidP="000F2BA7">
            <w:pPr>
              <w:pStyle w:val="Tablehead"/>
              <w:rPr>
                <w:lang w:val="en-US"/>
              </w:rPr>
            </w:pPr>
            <w:r w:rsidRPr="00BD6197">
              <w:rPr>
                <w:lang w:val="en-US"/>
              </w:rPr>
              <w:t>No.</w:t>
            </w:r>
          </w:p>
        </w:tc>
        <w:tc>
          <w:tcPr>
            <w:tcW w:w="6720" w:type="dxa"/>
            <w:tcBorders>
              <w:top w:val="single" w:sz="4" w:space="0" w:color="auto"/>
              <w:left w:val="single" w:sz="4" w:space="0" w:color="auto"/>
              <w:bottom w:val="single" w:sz="4" w:space="0" w:color="auto"/>
              <w:right w:val="single" w:sz="4" w:space="0" w:color="auto"/>
            </w:tcBorders>
          </w:tcPr>
          <w:p w:rsidR="00107362" w:rsidRPr="00BD6197" w:rsidRDefault="00107362" w:rsidP="000F2BA7">
            <w:pPr>
              <w:pStyle w:val="Tablehead"/>
              <w:rPr>
                <w:lang w:val="en-US"/>
              </w:rPr>
            </w:pPr>
            <w:r w:rsidRPr="00BD6197">
              <w:rPr>
                <w:lang w:val="en-US"/>
              </w:rPr>
              <w:t xml:space="preserve">Group of radio technologies </w:t>
            </w:r>
          </w:p>
        </w:tc>
        <w:tc>
          <w:tcPr>
            <w:tcW w:w="1794" w:type="dxa"/>
            <w:tcBorders>
              <w:top w:val="single" w:sz="4" w:space="0" w:color="auto"/>
              <w:left w:val="single" w:sz="4" w:space="0" w:color="auto"/>
              <w:bottom w:val="single" w:sz="4" w:space="0" w:color="auto"/>
            </w:tcBorders>
          </w:tcPr>
          <w:p w:rsidR="00107362" w:rsidRPr="00BD6197" w:rsidRDefault="00107362" w:rsidP="000F2BA7">
            <w:pPr>
              <w:pStyle w:val="Tablehead"/>
              <w:rPr>
                <w:i/>
                <w:lang w:val="en-US"/>
              </w:rPr>
            </w:pPr>
            <w:r w:rsidRPr="00BD6197">
              <w:rPr>
                <w:i/>
                <w:lang w:val="en-US"/>
              </w:rPr>
              <w:t>K</w:t>
            </w:r>
            <w:r w:rsidRPr="00BD6197">
              <w:rPr>
                <w:i/>
                <w:vertAlign w:val="subscript"/>
                <w:lang w:val="en-US"/>
              </w:rPr>
              <w:t>adv</w:t>
            </w:r>
          </w:p>
        </w:tc>
      </w:tr>
      <w:tr w:rsidR="00107362" w:rsidRPr="00BD6197" w:rsidTr="000F2BA7">
        <w:trPr>
          <w:jc w:val="center"/>
        </w:trPr>
        <w:tc>
          <w:tcPr>
            <w:tcW w:w="1120"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bookmarkStart w:id="2101" w:name="sub_11041"/>
            <w:r w:rsidRPr="00BD6197">
              <w:rPr>
                <w:lang w:val="en-US"/>
              </w:rPr>
              <w:t>1</w:t>
            </w:r>
            <w:bookmarkEnd w:id="2101"/>
          </w:p>
        </w:tc>
        <w:tc>
          <w:tcPr>
            <w:tcW w:w="6720" w:type="dxa"/>
            <w:tcBorders>
              <w:top w:val="single" w:sz="4" w:space="0" w:color="auto"/>
              <w:left w:val="single" w:sz="4" w:space="0" w:color="auto"/>
              <w:bottom w:val="single" w:sz="4" w:space="0" w:color="auto"/>
              <w:right w:val="single" w:sz="4" w:space="0" w:color="auto"/>
            </w:tcBorders>
          </w:tcPr>
          <w:p w:rsidR="00107362" w:rsidRPr="00BD6197" w:rsidRDefault="00107362" w:rsidP="006537F4">
            <w:pPr>
              <w:pStyle w:val="Tabletext"/>
              <w:rPr>
                <w:color w:val="000000"/>
                <w:lang w:val="en-US"/>
              </w:rPr>
            </w:pPr>
            <w:r w:rsidRPr="00BD6197">
              <w:rPr>
                <w:color w:val="000000"/>
                <w:lang w:val="en-US"/>
              </w:rPr>
              <w:t>Radio technologies for which experimental studies are being conducted and (or) research and development activities are being performed according to the SRFC decision</w:t>
            </w:r>
          </w:p>
        </w:tc>
        <w:tc>
          <w:tcPr>
            <w:tcW w:w="1794"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0.001</w:t>
            </w:r>
          </w:p>
        </w:tc>
      </w:tr>
      <w:tr w:rsidR="00107362" w:rsidRPr="00BD6197" w:rsidTr="000F2BA7">
        <w:trPr>
          <w:jc w:val="center"/>
        </w:trPr>
        <w:tc>
          <w:tcPr>
            <w:tcW w:w="1120"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bookmarkStart w:id="2102" w:name="sub_11042"/>
            <w:r w:rsidRPr="00BD6197">
              <w:rPr>
                <w:lang w:val="en-US"/>
              </w:rPr>
              <w:t>2</w:t>
            </w:r>
            <w:bookmarkEnd w:id="2102"/>
          </w:p>
        </w:tc>
        <w:tc>
          <w:tcPr>
            <w:tcW w:w="6720" w:type="dxa"/>
            <w:tcBorders>
              <w:top w:val="single" w:sz="4" w:space="0" w:color="auto"/>
              <w:left w:val="single" w:sz="4" w:space="0" w:color="auto"/>
              <w:bottom w:val="single" w:sz="4" w:space="0" w:color="auto"/>
              <w:right w:val="single" w:sz="4" w:space="0" w:color="auto"/>
            </w:tcBorders>
          </w:tcPr>
          <w:p w:rsidR="00107362" w:rsidRPr="00BD6197" w:rsidRDefault="00107362" w:rsidP="006537F4">
            <w:pPr>
              <w:pStyle w:val="Tabletext"/>
              <w:rPr>
                <w:color w:val="000000"/>
                <w:lang w:val="en-US"/>
              </w:rPr>
            </w:pPr>
            <w:r w:rsidRPr="00BD6197">
              <w:rPr>
                <w:color w:val="000000"/>
                <w:lang w:val="en-US"/>
              </w:rPr>
              <w:t xml:space="preserve">Civil radio technologies for which the SRFC take a decision to cancel their further use and (or) move radio systems based on this technology to other frequency bands </w:t>
            </w:r>
          </w:p>
        </w:tc>
        <w:tc>
          <w:tcPr>
            <w:tcW w:w="1794"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3</w:t>
            </w:r>
          </w:p>
        </w:tc>
      </w:tr>
      <w:tr w:rsidR="00107362" w:rsidRPr="00BD6197" w:rsidTr="000F2BA7">
        <w:trPr>
          <w:jc w:val="center"/>
        </w:trPr>
        <w:tc>
          <w:tcPr>
            <w:tcW w:w="1120"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bookmarkStart w:id="2103" w:name="sub_11043"/>
            <w:r w:rsidRPr="00BD6197">
              <w:rPr>
                <w:lang w:val="en-US"/>
              </w:rPr>
              <w:t>3</w:t>
            </w:r>
            <w:bookmarkEnd w:id="2103"/>
          </w:p>
        </w:tc>
        <w:tc>
          <w:tcPr>
            <w:tcW w:w="6720" w:type="dxa"/>
            <w:tcBorders>
              <w:top w:val="single" w:sz="4" w:space="0" w:color="auto"/>
              <w:left w:val="single" w:sz="4" w:space="0" w:color="auto"/>
              <w:bottom w:val="single" w:sz="4" w:space="0" w:color="auto"/>
              <w:right w:val="single" w:sz="4" w:space="0" w:color="auto"/>
            </w:tcBorders>
          </w:tcPr>
          <w:p w:rsidR="00107362" w:rsidRPr="00BD6197" w:rsidRDefault="00107362" w:rsidP="006537F4">
            <w:pPr>
              <w:pStyle w:val="Tabletext"/>
              <w:rPr>
                <w:color w:val="000000"/>
                <w:lang w:val="en-US"/>
              </w:rPr>
            </w:pPr>
            <w:r w:rsidRPr="00BD6197">
              <w:rPr>
                <w:color w:val="000000"/>
                <w:lang w:val="en-US"/>
              </w:rPr>
              <w:t xml:space="preserve">Other civil radio technologies based on digital processing, not covered by No. 1 of this Table* </w:t>
            </w:r>
          </w:p>
        </w:tc>
        <w:tc>
          <w:tcPr>
            <w:tcW w:w="1794"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1</w:t>
            </w:r>
          </w:p>
        </w:tc>
      </w:tr>
      <w:tr w:rsidR="00107362" w:rsidRPr="00BD6197" w:rsidTr="000F2BA7">
        <w:trPr>
          <w:jc w:val="center"/>
        </w:trPr>
        <w:tc>
          <w:tcPr>
            <w:tcW w:w="1120"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bookmarkStart w:id="2104" w:name="sub_11044"/>
            <w:r w:rsidRPr="00BD6197">
              <w:rPr>
                <w:lang w:val="en-US"/>
              </w:rPr>
              <w:t>4</w:t>
            </w:r>
            <w:bookmarkEnd w:id="2104"/>
          </w:p>
        </w:tc>
        <w:tc>
          <w:tcPr>
            <w:tcW w:w="6720" w:type="dxa"/>
            <w:tcBorders>
              <w:top w:val="single" w:sz="4" w:space="0" w:color="auto"/>
              <w:left w:val="single" w:sz="4" w:space="0" w:color="auto"/>
              <w:bottom w:val="single" w:sz="4" w:space="0" w:color="auto"/>
              <w:right w:val="single" w:sz="4" w:space="0" w:color="auto"/>
            </w:tcBorders>
          </w:tcPr>
          <w:p w:rsidR="00107362" w:rsidRPr="00BD6197" w:rsidRDefault="00107362" w:rsidP="006537F4">
            <w:pPr>
              <w:pStyle w:val="Tabletext"/>
              <w:rPr>
                <w:color w:val="000000"/>
                <w:lang w:val="en-US"/>
              </w:rPr>
            </w:pPr>
            <w:r w:rsidRPr="00BD6197">
              <w:rPr>
                <w:color w:val="000000"/>
                <w:lang w:val="en-US"/>
              </w:rPr>
              <w:t>Other civil radio technologies based on analogue processing, not covered by No. 1 and No. 2 of this Table and also for other cases</w:t>
            </w:r>
            <w:hyperlink w:anchor="sub_222222" w:history="1">
              <w:r w:rsidRPr="00BD6197">
                <w:rPr>
                  <w:color w:val="000000"/>
                  <w:lang w:val="en-US"/>
                </w:rPr>
                <w:t>**</w:t>
              </w:r>
            </w:hyperlink>
          </w:p>
        </w:tc>
        <w:tc>
          <w:tcPr>
            <w:tcW w:w="1794"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1.5</w:t>
            </w:r>
          </w:p>
        </w:tc>
      </w:tr>
      <w:tr w:rsidR="00107362" w:rsidRPr="00BD6197" w:rsidTr="000F2BA7">
        <w:trPr>
          <w:jc w:val="center"/>
        </w:trPr>
        <w:tc>
          <w:tcPr>
            <w:tcW w:w="1120"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bookmarkStart w:id="2105" w:name="sub_11045"/>
            <w:r w:rsidRPr="00BD6197">
              <w:rPr>
                <w:lang w:val="en-US"/>
              </w:rPr>
              <w:t>5</w:t>
            </w:r>
            <w:bookmarkEnd w:id="2105"/>
          </w:p>
        </w:tc>
        <w:tc>
          <w:tcPr>
            <w:tcW w:w="6720" w:type="dxa"/>
            <w:tcBorders>
              <w:top w:val="single" w:sz="4" w:space="0" w:color="auto"/>
              <w:left w:val="single" w:sz="4" w:space="0" w:color="auto"/>
              <w:bottom w:val="single" w:sz="4" w:space="0" w:color="auto"/>
              <w:right w:val="single" w:sz="4" w:space="0" w:color="auto"/>
            </w:tcBorders>
          </w:tcPr>
          <w:p w:rsidR="00107362" w:rsidRPr="00BD6197" w:rsidRDefault="00107362" w:rsidP="006537F4">
            <w:pPr>
              <w:pStyle w:val="Tabletext"/>
              <w:rPr>
                <w:color w:val="000000"/>
                <w:lang w:val="en-US"/>
              </w:rPr>
            </w:pPr>
            <w:r w:rsidRPr="00BD6197">
              <w:rPr>
                <w:color w:val="000000"/>
                <w:lang w:val="en-US"/>
              </w:rPr>
              <w:t>Radio technologies serving the state administration, including presidential and governmental communications, national defense, state security and law enforcement, not covered by No. 1 of this Table</w:t>
            </w:r>
          </w:p>
        </w:tc>
        <w:tc>
          <w:tcPr>
            <w:tcW w:w="1794"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1</w:t>
            </w:r>
          </w:p>
        </w:tc>
      </w:tr>
    </w:tbl>
    <w:p w:rsidR="00107362" w:rsidRPr="00BD6197" w:rsidRDefault="00C26A17" w:rsidP="00C26A17">
      <w:pPr>
        <w:pStyle w:val="Note"/>
        <w:rPr>
          <w:lang w:val="en-US"/>
        </w:rPr>
      </w:pPr>
      <w:bookmarkStart w:id="2106" w:name="sub_10000"/>
      <w:r w:rsidRPr="00BD6197">
        <w:rPr>
          <w:lang w:val="en-US"/>
        </w:rPr>
        <w:t xml:space="preserve">NOTE </w:t>
      </w:r>
      <w:r w:rsidR="00107362" w:rsidRPr="00BD6197">
        <w:rPr>
          <w:lang w:val="en-US"/>
        </w:rPr>
        <w:t xml:space="preserve">– </w:t>
      </w:r>
      <w:r w:rsidR="00107362" w:rsidRPr="00BD6197">
        <w:rPr>
          <w:i/>
          <w:lang w:val="en-US"/>
        </w:rPr>
        <w:t>K</w:t>
      </w:r>
      <w:r w:rsidR="00107362" w:rsidRPr="00BD6197">
        <w:rPr>
          <w:i/>
          <w:vertAlign w:val="subscript"/>
          <w:lang w:val="en-US"/>
        </w:rPr>
        <w:t>adv</w:t>
      </w:r>
      <w:r w:rsidR="00107362" w:rsidRPr="00BD6197">
        <w:rPr>
          <w:lang w:val="en-US"/>
        </w:rPr>
        <w:t> = 0.5 when DVB-Т2 and WiMAX radio technologies are used, and when Ka VSAT subscriber earth stations are used in the frequency band 29.5-30 GHz and Ka VSAT central earth stations are</w:t>
      </w:r>
      <w:r w:rsidR="000650DA">
        <w:rPr>
          <w:lang w:val="en-US"/>
        </w:rPr>
        <w:t xml:space="preserve"> used in the band 27.5</w:t>
      </w:r>
      <w:r w:rsidR="000650DA">
        <w:rPr>
          <w:lang w:val="en-US"/>
        </w:rPr>
        <w:noBreakHyphen/>
        <w:t>29.5 GHz.</w:t>
      </w:r>
    </w:p>
    <w:bookmarkEnd w:id="2106"/>
    <w:p w:rsidR="00107362" w:rsidRPr="00BD6197" w:rsidRDefault="00107362" w:rsidP="00AE7917">
      <w:pPr>
        <w:pStyle w:val="Equationlegend"/>
      </w:pPr>
      <w:r w:rsidRPr="00BD6197">
        <w:rPr>
          <w:i/>
        </w:rPr>
        <w:lastRenderedPageBreak/>
        <w:tab/>
        <w:t>K</w:t>
      </w:r>
      <w:r w:rsidRPr="00BD6197">
        <w:rPr>
          <w:i/>
          <w:vertAlign w:val="subscript"/>
        </w:rPr>
        <w:t>adv</w:t>
      </w:r>
      <w:r w:rsidR="00AE7917">
        <w:t>:</w:t>
      </w:r>
      <w:r w:rsidRPr="00BD6197">
        <w:t> </w:t>
      </w:r>
      <w:r w:rsidRPr="00BD6197">
        <w:tab/>
        <w:t>0.1 when radio technologies of LTE standard and its</w:t>
      </w:r>
      <w:r w:rsidR="000650DA">
        <w:t xml:space="preserve"> further modifications are used</w:t>
      </w:r>
    </w:p>
    <w:p w:rsidR="00107362" w:rsidRPr="00BD6197" w:rsidRDefault="00107362" w:rsidP="00AE7917">
      <w:pPr>
        <w:pStyle w:val="Equationlegend"/>
      </w:pPr>
      <w:bookmarkStart w:id="2107" w:name="sub_111111"/>
      <w:r w:rsidRPr="00BD6197">
        <w:tab/>
        <w:t xml:space="preserve">* </w:t>
      </w:r>
      <w:r w:rsidRPr="00BD6197">
        <w:rPr>
          <w:i/>
        </w:rPr>
        <w:t>K</w:t>
      </w:r>
      <w:r w:rsidRPr="00BD6197">
        <w:rPr>
          <w:i/>
          <w:vertAlign w:val="subscript"/>
        </w:rPr>
        <w:t>adv</w:t>
      </w:r>
      <w:r w:rsidR="00AE7917">
        <w:t>:</w:t>
      </w:r>
      <w:r w:rsidRPr="00BD6197">
        <w:t> </w:t>
      </w:r>
      <w:r w:rsidRPr="00BD6197">
        <w:tab/>
        <w:t xml:space="preserve">1 for pulse emission (sequence of pulses) when the main carrier is not directly modulated by the pulse waveform </w:t>
      </w:r>
      <w:r w:rsidR="000650DA">
        <w:t>which is quantized</w:t>
      </w:r>
    </w:p>
    <w:p w:rsidR="00107362" w:rsidRPr="00BD6197" w:rsidRDefault="00107362" w:rsidP="00AE7917">
      <w:pPr>
        <w:pStyle w:val="Equationlegend"/>
      </w:pPr>
      <w:bookmarkStart w:id="2108" w:name="sub_222222"/>
      <w:bookmarkEnd w:id="2107"/>
      <w:r w:rsidRPr="00BD6197">
        <w:tab/>
        <w:t xml:space="preserve">** </w:t>
      </w:r>
      <w:r w:rsidRPr="00BD6197">
        <w:rPr>
          <w:i/>
        </w:rPr>
        <w:t>K</w:t>
      </w:r>
      <w:r w:rsidRPr="00BD6197">
        <w:rPr>
          <w:i/>
          <w:vertAlign w:val="subscript"/>
        </w:rPr>
        <w:t>adv</w:t>
      </w:r>
      <w:r w:rsidR="00AE7917">
        <w:t>:</w:t>
      </w:r>
      <w:r w:rsidRPr="00BD6197">
        <w:t> </w:t>
      </w:r>
      <w:r w:rsidRPr="00BD6197">
        <w:tab/>
        <w:t>1.5 for advanced technology (excluding wireless broadband access) is applied if:</w:t>
      </w:r>
    </w:p>
    <w:bookmarkEnd w:id="2108"/>
    <w:p w:rsidR="00107362" w:rsidRPr="00BD6197" w:rsidRDefault="00107362" w:rsidP="00107362">
      <w:pPr>
        <w:pStyle w:val="enumlev2"/>
        <w:rPr>
          <w:lang w:val="en-US"/>
        </w:rPr>
      </w:pPr>
      <w:r w:rsidRPr="00BD6197">
        <w:rPr>
          <w:lang w:val="en-US"/>
        </w:rPr>
        <w:t>–</w:t>
      </w:r>
      <w:r w:rsidRPr="00BD6197">
        <w:rPr>
          <w:lang w:val="en-US"/>
        </w:rPr>
        <w:tab/>
        <w:t>the second symbol in the class of emission specified by the authorization, designating the nature of signal(s) modulating the main carrier is 9 (composite system with one or more channels containing quantized or digital information together with one or more channels containing analogue information) or X (class of emission not otherwise covered);</w:t>
      </w:r>
    </w:p>
    <w:p w:rsidR="00107362" w:rsidRPr="00BD6197" w:rsidRDefault="00107362" w:rsidP="00107362">
      <w:pPr>
        <w:pStyle w:val="enumlev2"/>
        <w:rPr>
          <w:lang w:val="en-US"/>
        </w:rPr>
      </w:pPr>
      <w:r w:rsidRPr="00BD6197">
        <w:rPr>
          <w:lang w:val="en-US"/>
        </w:rPr>
        <w:t>–</w:t>
      </w:r>
      <w:r w:rsidRPr="00BD6197">
        <w:rPr>
          <w:lang w:val="en-US"/>
        </w:rPr>
        <w:tab/>
        <w:t>several classes of emission with different methods of information processing (analogue and digital) are specified for radio frequencies (radio channels) in the frequency-territory plan of the authorization.</w:t>
      </w:r>
    </w:p>
    <w:p w:rsidR="00107362" w:rsidRPr="00BD6197" w:rsidRDefault="00AE7917" w:rsidP="00AE7917">
      <w:pPr>
        <w:pStyle w:val="TableNo"/>
        <w:rPr>
          <w:lang w:val="en-US"/>
        </w:rPr>
      </w:pPr>
      <w:r w:rsidRPr="00BD6197">
        <w:rPr>
          <w:lang w:val="en-US"/>
        </w:rPr>
        <w:t>TABLE</w:t>
      </w:r>
      <w:r w:rsidR="00107362" w:rsidRPr="00BD6197">
        <w:rPr>
          <w:lang w:val="en-US"/>
        </w:rPr>
        <w:t xml:space="preserve"> </w:t>
      </w:r>
      <w:r>
        <w:rPr>
          <w:lang w:val="en-US"/>
        </w:rPr>
        <w:t>32</w:t>
      </w:r>
    </w:p>
    <w:p w:rsidR="00107362" w:rsidRPr="00BD6197" w:rsidRDefault="00107362" w:rsidP="00107362">
      <w:pPr>
        <w:pStyle w:val="Tabletitle"/>
        <w:rPr>
          <w:lang w:val="en-US"/>
        </w:rPr>
      </w:pPr>
      <w:r w:rsidRPr="00BD6197">
        <w:rPr>
          <w:lang w:val="en-US"/>
        </w:rPr>
        <w:t xml:space="preserve">Coefficient depending on the signal bandwidth necessary to transmit information </w:t>
      </w:r>
      <w:r w:rsidRPr="00BD6197">
        <w:rPr>
          <w:lang w:val="en-US"/>
        </w:rPr>
        <w:br/>
        <w:t xml:space="preserve">with the specified quality in the used radio channel </w:t>
      </w:r>
    </w:p>
    <w:tbl>
      <w:tblPr>
        <w:tblW w:w="8807"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5027"/>
        <w:gridCol w:w="3780"/>
      </w:tblGrid>
      <w:tr w:rsidR="00107362" w:rsidRPr="00BD6197" w:rsidTr="000F2BA7">
        <w:trPr>
          <w:jc w:val="center"/>
        </w:trPr>
        <w:tc>
          <w:tcPr>
            <w:tcW w:w="5027" w:type="dxa"/>
            <w:tcBorders>
              <w:top w:val="single" w:sz="4" w:space="0" w:color="auto"/>
              <w:bottom w:val="single" w:sz="4" w:space="0" w:color="auto"/>
              <w:right w:val="single" w:sz="4" w:space="0" w:color="auto"/>
            </w:tcBorders>
          </w:tcPr>
          <w:p w:rsidR="00107362" w:rsidRPr="00BD6197" w:rsidRDefault="00107362" w:rsidP="000F2BA7">
            <w:pPr>
              <w:pStyle w:val="Tablehead"/>
              <w:rPr>
                <w:lang w:val="en-US"/>
              </w:rPr>
            </w:pPr>
            <w:r w:rsidRPr="00BD6197">
              <w:rPr>
                <w:lang w:val="en-US"/>
              </w:rPr>
              <w:t xml:space="preserve">Required bandwidth </w:t>
            </w:r>
          </w:p>
        </w:tc>
        <w:tc>
          <w:tcPr>
            <w:tcW w:w="3780" w:type="dxa"/>
            <w:tcBorders>
              <w:top w:val="single" w:sz="4" w:space="0" w:color="auto"/>
              <w:left w:val="single" w:sz="4" w:space="0" w:color="auto"/>
              <w:bottom w:val="single" w:sz="4" w:space="0" w:color="auto"/>
            </w:tcBorders>
          </w:tcPr>
          <w:p w:rsidR="00107362" w:rsidRPr="00BD6197" w:rsidRDefault="00107362" w:rsidP="000F2BA7">
            <w:pPr>
              <w:pStyle w:val="Tablehead"/>
              <w:rPr>
                <w:lang w:val="en-US"/>
              </w:rPr>
            </w:pPr>
            <w:r w:rsidRPr="00BD6197">
              <w:rPr>
                <w:i/>
                <w:lang w:val="en-US"/>
              </w:rPr>
              <w:t>K</w:t>
            </w:r>
            <w:r w:rsidRPr="00BD6197">
              <w:rPr>
                <w:i/>
                <w:vertAlign w:val="subscript"/>
                <w:lang w:val="en-US"/>
              </w:rPr>
              <w:t>Breq</w:t>
            </w:r>
          </w:p>
        </w:tc>
      </w:tr>
      <w:tr w:rsidR="00107362" w:rsidRPr="00BD6197" w:rsidTr="000F2BA7">
        <w:trPr>
          <w:jc w:val="center"/>
        </w:trPr>
        <w:tc>
          <w:tcPr>
            <w:tcW w:w="5027"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r w:rsidRPr="00BD6197">
              <w:rPr>
                <w:lang w:val="en-US"/>
              </w:rPr>
              <w:t>Less than 100 kHz</w:t>
            </w:r>
          </w:p>
        </w:tc>
        <w:tc>
          <w:tcPr>
            <w:tcW w:w="3780"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1</w:t>
            </w:r>
          </w:p>
        </w:tc>
      </w:tr>
      <w:tr w:rsidR="00107362" w:rsidRPr="00BD6197" w:rsidTr="000F2BA7">
        <w:trPr>
          <w:jc w:val="center"/>
        </w:trPr>
        <w:tc>
          <w:tcPr>
            <w:tcW w:w="5027"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r w:rsidRPr="00BD6197">
              <w:rPr>
                <w:lang w:val="en-US"/>
              </w:rPr>
              <w:t>From 100 kHz to 1 MHz inclusive</w:t>
            </w:r>
          </w:p>
        </w:tc>
        <w:tc>
          <w:tcPr>
            <w:tcW w:w="3780"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2</w:t>
            </w:r>
          </w:p>
        </w:tc>
      </w:tr>
      <w:tr w:rsidR="00107362" w:rsidRPr="00BD6197" w:rsidTr="000F2BA7">
        <w:trPr>
          <w:jc w:val="center"/>
        </w:trPr>
        <w:tc>
          <w:tcPr>
            <w:tcW w:w="5027"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r w:rsidRPr="00BD6197">
              <w:rPr>
                <w:lang w:val="en-US"/>
              </w:rPr>
              <w:t>From 1 MHz to 10 MHz inclusive</w:t>
            </w:r>
          </w:p>
        </w:tc>
        <w:tc>
          <w:tcPr>
            <w:tcW w:w="3780"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2.5</w:t>
            </w:r>
          </w:p>
        </w:tc>
      </w:tr>
      <w:tr w:rsidR="00107362" w:rsidRPr="00BD6197" w:rsidTr="000F2BA7">
        <w:trPr>
          <w:jc w:val="center"/>
        </w:trPr>
        <w:tc>
          <w:tcPr>
            <w:tcW w:w="5027"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r w:rsidRPr="00BD6197">
              <w:rPr>
                <w:lang w:val="en-US"/>
              </w:rPr>
              <w:t>More than 10 MHz</w:t>
            </w:r>
          </w:p>
        </w:tc>
        <w:tc>
          <w:tcPr>
            <w:tcW w:w="3780"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3</w:t>
            </w:r>
          </w:p>
        </w:tc>
      </w:tr>
    </w:tbl>
    <w:p w:rsidR="00107362" w:rsidRPr="00BD6197" w:rsidRDefault="00C26A17" w:rsidP="00C26A17">
      <w:pPr>
        <w:pStyle w:val="Note"/>
        <w:rPr>
          <w:b/>
          <w:lang w:val="en-US"/>
        </w:rPr>
      </w:pPr>
      <w:bookmarkStart w:id="2109" w:name="sub_11049"/>
      <w:r w:rsidRPr="00BD6197">
        <w:rPr>
          <w:lang w:val="en-US"/>
        </w:rPr>
        <w:t xml:space="preserve">NOTE </w:t>
      </w:r>
      <w:r w:rsidR="00107362" w:rsidRPr="00BD6197">
        <w:rPr>
          <w:lang w:val="en-US"/>
        </w:rPr>
        <w:t xml:space="preserve">– If the authorization for using radio frequencies or radio channels specifies several required bandwidths, then the maximum value of </w:t>
      </w:r>
      <w:r w:rsidR="00107362" w:rsidRPr="00BD6197">
        <w:rPr>
          <w:i/>
          <w:lang w:val="en-US"/>
        </w:rPr>
        <w:t>B</w:t>
      </w:r>
      <w:r w:rsidR="00107362" w:rsidRPr="00BD6197">
        <w:rPr>
          <w:i/>
          <w:vertAlign w:val="subscript"/>
          <w:lang w:val="en-US"/>
        </w:rPr>
        <w:t>req</w:t>
      </w:r>
      <w:r w:rsidR="00107362" w:rsidRPr="00BD6197">
        <w:rPr>
          <w:lang w:val="en-US"/>
        </w:rPr>
        <w:t xml:space="preserve"> is used.</w:t>
      </w:r>
    </w:p>
    <w:p w:rsidR="00107362" w:rsidRPr="00BD6197" w:rsidRDefault="00107362" w:rsidP="00107362">
      <w:pPr>
        <w:rPr>
          <w:lang w:val="en-US"/>
        </w:rPr>
      </w:pPr>
      <w:bookmarkStart w:id="2110" w:name="sub_11053"/>
      <w:bookmarkEnd w:id="2109"/>
      <w:r w:rsidRPr="00BD6197">
        <w:rPr>
          <w:lang w:val="en-US"/>
        </w:rPr>
        <w:t xml:space="preserve">For calculating </w:t>
      </w:r>
      <w:r w:rsidRPr="00BD6197">
        <w:rPr>
          <w:i/>
          <w:lang w:val="en-US"/>
        </w:rPr>
        <w:t>K</w:t>
      </w:r>
      <w:r w:rsidRPr="00BD6197">
        <w:rPr>
          <w:i/>
          <w:vertAlign w:val="subscript"/>
          <w:lang w:val="en-US"/>
        </w:rPr>
        <w:t>Nf</w:t>
      </w:r>
      <w:r w:rsidRPr="00BD6197">
        <w:rPr>
          <w:lang w:val="en-US"/>
        </w:rPr>
        <w:t xml:space="preserve"> (N) in accordance with 9 and 10 of the Methodology, </w:t>
      </w:r>
      <w:r w:rsidRPr="00BD6197">
        <w:rPr>
          <w:i/>
          <w:lang w:val="en-US"/>
        </w:rPr>
        <w:t>K</w:t>
      </w:r>
      <w:r w:rsidRPr="00BD6197">
        <w:rPr>
          <w:i/>
          <w:vertAlign w:val="subscript"/>
          <w:lang w:val="en-US"/>
        </w:rPr>
        <w:t>Breq</w:t>
      </w:r>
      <w:r w:rsidRPr="00BD6197">
        <w:rPr>
          <w:bCs/>
          <w:vertAlign w:val="subscript"/>
          <w:lang w:val="en-US"/>
        </w:rPr>
        <w:t xml:space="preserve"> </w:t>
      </w:r>
      <w:r w:rsidRPr="00BD6197">
        <w:rPr>
          <w:bCs/>
          <w:lang w:val="en-US"/>
        </w:rPr>
        <w:t xml:space="preserve">= </w:t>
      </w:r>
      <w:r w:rsidRPr="00BD6197">
        <w:rPr>
          <w:lang w:val="en-US"/>
        </w:rPr>
        <w:t>1.</w:t>
      </w:r>
    </w:p>
    <w:p w:rsidR="00107362" w:rsidRPr="00BD6197" w:rsidRDefault="00107362" w:rsidP="00107362">
      <w:pPr>
        <w:rPr>
          <w:b/>
          <w:bCs/>
          <w:lang w:val="en-US"/>
        </w:rPr>
      </w:pPr>
      <w:r w:rsidRPr="00BD6197">
        <w:rPr>
          <w:lang w:val="en-US"/>
        </w:rPr>
        <w:t xml:space="preserve">For devices generating radio noise and for radio astronomy receivers (intended to receive radio astronomy signals only), </w:t>
      </w:r>
      <w:r w:rsidRPr="00BD6197">
        <w:rPr>
          <w:i/>
          <w:lang w:val="en-US"/>
        </w:rPr>
        <w:t>K</w:t>
      </w:r>
      <w:r w:rsidRPr="00BD6197">
        <w:rPr>
          <w:i/>
          <w:vertAlign w:val="subscript"/>
          <w:lang w:val="en-US"/>
        </w:rPr>
        <w:t>Breq</w:t>
      </w:r>
      <w:r w:rsidRPr="00BD6197">
        <w:rPr>
          <w:bCs/>
          <w:lang w:val="en-US"/>
        </w:rPr>
        <w:t xml:space="preserve"> = </w:t>
      </w:r>
      <w:r w:rsidRPr="00BD6197">
        <w:rPr>
          <w:lang w:val="en-US"/>
        </w:rPr>
        <w:t>0.</w:t>
      </w:r>
    </w:p>
    <w:p w:rsidR="00107362" w:rsidRPr="00BD6197" w:rsidRDefault="00AE7917" w:rsidP="00107362">
      <w:pPr>
        <w:pStyle w:val="TableNo"/>
        <w:rPr>
          <w:b/>
          <w:lang w:val="en-US"/>
        </w:rPr>
      </w:pPr>
      <w:bookmarkStart w:id="2111" w:name="sub_2222"/>
      <w:bookmarkEnd w:id="2110"/>
      <w:r w:rsidRPr="00BD6197">
        <w:rPr>
          <w:lang w:val="en-US"/>
        </w:rPr>
        <w:t xml:space="preserve">TABLE </w:t>
      </w:r>
      <w:bookmarkEnd w:id="2111"/>
      <w:r>
        <w:rPr>
          <w:lang w:val="en-US"/>
        </w:rPr>
        <w:t>33</w:t>
      </w:r>
    </w:p>
    <w:p w:rsidR="00107362" w:rsidRPr="00BD6197" w:rsidRDefault="00107362" w:rsidP="00107362">
      <w:pPr>
        <w:pStyle w:val="Tabletitle"/>
        <w:rPr>
          <w:lang w:val="en-US"/>
        </w:rPr>
      </w:pPr>
      <w:r w:rsidRPr="00BD6197">
        <w:rPr>
          <w:lang w:val="en-US"/>
        </w:rPr>
        <w:t xml:space="preserve">Coefficient depending on the population in the location of the radio system, </w:t>
      </w:r>
      <w:r w:rsidRPr="00BD6197">
        <w:rPr>
          <w:lang w:val="en-US"/>
        </w:rPr>
        <w:br/>
        <w:t xml:space="preserve">taking into account administrative boundaries of the community </w:t>
      </w:r>
    </w:p>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149"/>
        <w:gridCol w:w="1789"/>
      </w:tblGrid>
      <w:tr w:rsidR="00107362" w:rsidRPr="00BD6197" w:rsidTr="000F2BA7">
        <w:trPr>
          <w:jc w:val="center"/>
        </w:trPr>
        <w:tc>
          <w:tcPr>
            <w:tcW w:w="6149" w:type="dxa"/>
            <w:tcBorders>
              <w:top w:val="single" w:sz="4" w:space="0" w:color="auto"/>
              <w:bottom w:val="single" w:sz="4" w:space="0" w:color="auto"/>
              <w:right w:val="single" w:sz="4" w:space="0" w:color="auto"/>
            </w:tcBorders>
          </w:tcPr>
          <w:p w:rsidR="00107362" w:rsidRPr="00BD6197" w:rsidRDefault="00107362" w:rsidP="000F2BA7">
            <w:pPr>
              <w:pStyle w:val="Tablehead"/>
              <w:rPr>
                <w:lang w:val="en-US"/>
              </w:rPr>
            </w:pPr>
            <w:r w:rsidRPr="00BD6197">
              <w:rPr>
                <w:lang w:val="en-US"/>
              </w:rPr>
              <w:t>Population (thousands)</w:t>
            </w:r>
          </w:p>
        </w:tc>
        <w:tc>
          <w:tcPr>
            <w:tcW w:w="1789" w:type="dxa"/>
            <w:tcBorders>
              <w:top w:val="single" w:sz="4" w:space="0" w:color="auto"/>
              <w:left w:val="single" w:sz="4" w:space="0" w:color="auto"/>
              <w:bottom w:val="single" w:sz="4" w:space="0" w:color="auto"/>
            </w:tcBorders>
          </w:tcPr>
          <w:p w:rsidR="00107362" w:rsidRPr="00BD6197" w:rsidRDefault="00107362" w:rsidP="000F2BA7">
            <w:pPr>
              <w:pStyle w:val="Tablehead"/>
              <w:rPr>
                <w:i/>
                <w:lang w:val="en-US"/>
              </w:rPr>
            </w:pPr>
            <w:r w:rsidRPr="00BD6197">
              <w:rPr>
                <w:i/>
                <w:lang w:val="en-US"/>
              </w:rPr>
              <w:t>K</w:t>
            </w:r>
            <w:r w:rsidRPr="00BD6197">
              <w:rPr>
                <w:i/>
                <w:vertAlign w:val="subscript"/>
                <w:lang w:val="en-US"/>
              </w:rPr>
              <w:t>pop</w:t>
            </w:r>
          </w:p>
        </w:tc>
      </w:tr>
      <w:tr w:rsidR="00107362" w:rsidRPr="00BD6197" w:rsidTr="000F2BA7">
        <w:trPr>
          <w:jc w:val="center"/>
        </w:trPr>
        <w:tc>
          <w:tcPr>
            <w:tcW w:w="6149"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r w:rsidRPr="00BD6197">
              <w:rPr>
                <w:lang w:val="en-US"/>
              </w:rPr>
              <w:t>Regions of the Far North and equivalent regions</w:t>
            </w:r>
          </w:p>
        </w:tc>
        <w:tc>
          <w:tcPr>
            <w:tcW w:w="1789"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color w:val="000000"/>
                <w:lang w:val="en-US"/>
              </w:rPr>
            </w:pPr>
            <w:r w:rsidRPr="00BD6197">
              <w:rPr>
                <w:color w:val="000000"/>
                <w:lang w:val="en-US"/>
              </w:rPr>
              <w:t>0.5</w:t>
            </w:r>
            <w:hyperlink w:anchor="sub_1111" w:history="1">
              <w:r w:rsidRPr="00BD6197">
                <w:rPr>
                  <w:color w:val="000000"/>
                  <w:lang w:val="en-US"/>
                </w:rPr>
                <w:t>*</w:t>
              </w:r>
            </w:hyperlink>
          </w:p>
        </w:tc>
      </w:tr>
      <w:tr w:rsidR="00107362" w:rsidRPr="00BD6197" w:rsidTr="000F2BA7">
        <w:trPr>
          <w:jc w:val="center"/>
        </w:trPr>
        <w:tc>
          <w:tcPr>
            <w:tcW w:w="6149"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r w:rsidRPr="00BD6197">
              <w:rPr>
                <w:lang w:val="en-US"/>
              </w:rPr>
              <w:t>Less than 200 and outside of communities</w:t>
            </w:r>
          </w:p>
        </w:tc>
        <w:tc>
          <w:tcPr>
            <w:tcW w:w="1789"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color w:val="000000"/>
                <w:lang w:val="en-US"/>
              </w:rPr>
            </w:pPr>
            <w:r w:rsidRPr="00BD6197">
              <w:rPr>
                <w:color w:val="000000"/>
                <w:lang w:val="en-US"/>
              </w:rPr>
              <w:t>0.9</w:t>
            </w:r>
            <w:hyperlink w:anchor="sub_1111" w:history="1">
              <w:r w:rsidRPr="00BD6197">
                <w:rPr>
                  <w:color w:val="000000"/>
                  <w:lang w:val="en-US"/>
                </w:rPr>
                <w:t>*</w:t>
              </w:r>
            </w:hyperlink>
          </w:p>
        </w:tc>
      </w:tr>
      <w:tr w:rsidR="00107362" w:rsidRPr="00BD6197" w:rsidTr="000F2BA7">
        <w:trPr>
          <w:jc w:val="center"/>
        </w:trPr>
        <w:tc>
          <w:tcPr>
            <w:tcW w:w="6149"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r w:rsidRPr="00BD6197">
              <w:rPr>
                <w:lang w:val="en-US"/>
              </w:rPr>
              <w:t>200-1 000</w:t>
            </w:r>
          </w:p>
        </w:tc>
        <w:tc>
          <w:tcPr>
            <w:tcW w:w="1789"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1</w:t>
            </w:r>
          </w:p>
        </w:tc>
      </w:tr>
      <w:tr w:rsidR="00107362" w:rsidRPr="00BD6197" w:rsidTr="000F2BA7">
        <w:trPr>
          <w:jc w:val="center"/>
        </w:trPr>
        <w:tc>
          <w:tcPr>
            <w:tcW w:w="6149"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r w:rsidRPr="00BD6197">
              <w:rPr>
                <w:lang w:val="en-US"/>
              </w:rPr>
              <w:t>1 000-3 000</w:t>
            </w:r>
          </w:p>
        </w:tc>
        <w:tc>
          <w:tcPr>
            <w:tcW w:w="1789"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1.1</w:t>
            </w:r>
          </w:p>
        </w:tc>
      </w:tr>
      <w:tr w:rsidR="00107362" w:rsidRPr="00BD6197" w:rsidTr="000F2BA7">
        <w:trPr>
          <w:jc w:val="center"/>
        </w:trPr>
        <w:tc>
          <w:tcPr>
            <w:tcW w:w="6149" w:type="dxa"/>
            <w:tcBorders>
              <w:top w:val="single" w:sz="4" w:space="0" w:color="auto"/>
              <w:bottom w:val="single" w:sz="4" w:space="0" w:color="auto"/>
              <w:right w:val="single" w:sz="4" w:space="0" w:color="auto"/>
            </w:tcBorders>
          </w:tcPr>
          <w:p w:rsidR="00107362" w:rsidRPr="00BD6197" w:rsidRDefault="00107362" w:rsidP="000F2BA7">
            <w:pPr>
              <w:pStyle w:val="Tabletext"/>
              <w:jc w:val="center"/>
              <w:rPr>
                <w:lang w:val="en-US"/>
              </w:rPr>
            </w:pPr>
            <w:r w:rsidRPr="00BD6197">
              <w:rPr>
                <w:lang w:val="en-US"/>
              </w:rPr>
              <w:t>More than 3 000</w:t>
            </w:r>
          </w:p>
        </w:tc>
        <w:tc>
          <w:tcPr>
            <w:tcW w:w="1789"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1.2</w:t>
            </w:r>
          </w:p>
        </w:tc>
      </w:tr>
    </w:tbl>
    <w:p w:rsidR="00107362" w:rsidRPr="00BD6197" w:rsidRDefault="00107362" w:rsidP="00107362">
      <w:pPr>
        <w:pStyle w:val="Tablefin"/>
        <w:rPr>
          <w:lang w:val="en-US"/>
        </w:rPr>
      </w:pPr>
    </w:p>
    <w:p w:rsidR="00107362" w:rsidRPr="00BD6197" w:rsidRDefault="00107362" w:rsidP="00107362">
      <w:pPr>
        <w:pStyle w:val="Note"/>
        <w:rPr>
          <w:lang w:val="en-US"/>
        </w:rPr>
      </w:pPr>
      <w:r w:rsidRPr="00BD6197">
        <w:rPr>
          <w:lang w:val="en-US"/>
        </w:rPr>
        <w:t>N</w:t>
      </w:r>
      <w:r w:rsidR="00AE7917" w:rsidRPr="00BD6197">
        <w:rPr>
          <w:lang w:val="en-US"/>
        </w:rPr>
        <w:t>ote</w:t>
      </w:r>
      <w:r w:rsidRPr="00BD6197">
        <w:rPr>
          <w:lang w:val="en-US"/>
        </w:rPr>
        <w:t xml:space="preserve"> </w:t>
      </w:r>
      <w:r w:rsidR="00AE7917">
        <w:rPr>
          <w:lang w:val="en-US"/>
        </w:rPr>
        <w:t xml:space="preserve">1 </w:t>
      </w:r>
      <w:r w:rsidRPr="00BD6197">
        <w:rPr>
          <w:lang w:val="en-US"/>
        </w:rPr>
        <w:t xml:space="preserve">– For users who are authorized to use the radio spectrum for state administration including presidential and government communications, national defense, state security and law enforcement, </w:t>
      </w:r>
      <w:r w:rsidRPr="00BD6197">
        <w:rPr>
          <w:i/>
          <w:lang w:val="en-US"/>
        </w:rPr>
        <w:t>K</w:t>
      </w:r>
      <w:r w:rsidRPr="00BD6197">
        <w:rPr>
          <w:i/>
          <w:vertAlign w:val="subscript"/>
          <w:lang w:val="en-US"/>
        </w:rPr>
        <w:t>pop</w:t>
      </w:r>
      <w:r w:rsidRPr="008A5264">
        <w:rPr>
          <w:i/>
          <w:lang w:val="en-US"/>
        </w:rPr>
        <w:t> </w:t>
      </w:r>
      <w:r w:rsidRPr="00BD6197">
        <w:rPr>
          <w:lang w:val="en-US"/>
        </w:rPr>
        <w:t>=</w:t>
      </w:r>
      <w:r>
        <w:rPr>
          <w:lang w:val="en-US"/>
        </w:rPr>
        <w:t> </w:t>
      </w:r>
      <w:r w:rsidRPr="00BD6197">
        <w:rPr>
          <w:lang w:val="en-US"/>
        </w:rPr>
        <w:t>0.5.</w:t>
      </w:r>
    </w:p>
    <w:p w:rsidR="00107362" w:rsidRPr="00BD6197" w:rsidRDefault="00107362" w:rsidP="00107362">
      <w:pPr>
        <w:rPr>
          <w:lang w:val="en-US"/>
        </w:rPr>
      </w:pPr>
      <w:r w:rsidRPr="00BD6197">
        <w:rPr>
          <w:lang w:val="en-US"/>
        </w:rPr>
        <w:t xml:space="preserve">If geographic coordinates are not specified in the frequency-territorial plan of the authorization, then </w:t>
      </w:r>
      <w:r w:rsidRPr="00BD6197">
        <w:rPr>
          <w:i/>
          <w:lang w:val="en-US"/>
        </w:rPr>
        <w:t>K</w:t>
      </w:r>
      <w:r w:rsidRPr="00BD6197">
        <w:rPr>
          <w:i/>
          <w:vertAlign w:val="subscript"/>
          <w:lang w:val="en-US"/>
        </w:rPr>
        <w:t>pop</w:t>
      </w:r>
      <w:r w:rsidRPr="00BD6197">
        <w:rPr>
          <w:vertAlign w:val="subscript"/>
          <w:lang w:val="en-US"/>
        </w:rPr>
        <w:t xml:space="preserve"> </w:t>
      </w:r>
      <w:r w:rsidRPr="00BD6197">
        <w:rPr>
          <w:lang w:val="en-US"/>
        </w:rPr>
        <w:t>is applied according to the maximum population in the territory where the system is used.</w:t>
      </w:r>
    </w:p>
    <w:p w:rsidR="00107362" w:rsidRPr="00BD6197" w:rsidRDefault="00107362" w:rsidP="00107362">
      <w:pPr>
        <w:rPr>
          <w:lang w:val="en-US"/>
        </w:rPr>
      </w:pPr>
      <w:bookmarkStart w:id="2112" w:name="sub_1111"/>
      <w:r w:rsidRPr="00BD6197">
        <w:rPr>
          <w:lang w:val="en-US"/>
        </w:rPr>
        <w:t xml:space="preserve">* When distributing Russian-wide mandatory public TV and sound broadcasting channels, </w:t>
      </w:r>
      <w:r w:rsidRPr="00BD6197">
        <w:rPr>
          <w:i/>
          <w:lang w:val="en-US"/>
        </w:rPr>
        <w:t>K</w:t>
      </w:r>
      <w:r w:rsidRPr="00BD6197">
        <w:rPr>
          <w:i/>
          <w:vertAlign w:val="subscript"/>
          <w:lang w:val="en-US"/>
        </w:rPr>
        <w:t>pop </w:t>
      </w:r>
      <w:r w:rsidRPr="00BD6197">
        <w:rPr>
          <w:lang w:val="en-US"/>
        </w:rPr>
        <w:t>=0.3.</w:t>
      </w:r>
    </w:p>
    <w:bookmarkEnd w:id="2112"/>
    <w:p w:rsidR="00107362" w:rsidRPr="00BD6197" w:rsidRDefault="00AE7917" w:rsidP="00107362">
      <w:pPr>
        <w:pStyle w:val="TableNo"/>
        <w:rPr>
          <w:b/>
          <w:lang w:val="en-US"/>
        </w:rPr>
      </w:pPr>
      <w:r>
        <w:rPr>
          <w:lang w:val="en-US"/>
        </w:rPr>
        <w:lastRenderedPageBreak/>
        <w:t>TABLE 34</w:t>
      </w:r>
    </w:p>
    <w:p w:rsidR="00107362" w:rsidRPr="00BD6197" w:rsidRDefault="00107362" w:rsidP="00107362">
      <w:pPr>
        <w:pStyle w:val="Tabletitle"/>
        <w:rPr>
          <w:lang w:val="en-US"/>
        </w:rPr>
      </w:pPr>
      <w:r w:rsidRPr="00BD6197">
        <w:rPr>
          <w:lang w:val="en-US"/>
        </w:rPr>
        <w:t>Coefficients depending on the social factors for the implemented technology</w:t>
      </w:r>
    </w:p>
    <w:tbl>
      <w:tblPr>
        <w:tblW w:w="977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260"/>
        <w:gridCol w:w="1516"/>
      </w:tblGrid>
      <w:tr w:rsidR="00107362" w:rsidRPr="00BD6197" w:rsidTr="000F2BA7">
        <w:trPr>
          <w:jc w:val="center"/>
        </w:trPr>
        <w:tc>
          <w:tcPr>
            <w:tcW w:w="8260" w:type="dxa"/>
            <w:tcBorders>
              <w:top w:val="single" w:sz="4" w:space="0" w:color="auto"/>
              <w:bottom w:val="single" w:sz="4" w:space="0" w:color="auto"/>
              <w:right w:val="single" w:sz="4" w:space="0" w:color="auto"/>
            </w:tcBorders>
          </w:tcPr>
          <w:p w:rsidR="00107362" w:rsidRPr="00BD6197" w:rsidRDefault="00107362" w:rsidP="000F2BA7">
            <w:pPr>
              <w:pStyle w:val="Tablehead"/>
              <w:rPr>
                <w:lang w:val="en-US"/>
              </w:rPr>
            </w:pPr>
            <w:r w:rsidRPr="00BD6197">
              <w:rPr>
                <w:lang w:val="en-US"/>
              </w:rPr>
              <w:t>Social factors</w:t>
            </w:r>
          </w:p>
        </w:tc>
        <w:tc>
          <w:tcPr>
            <w:tcW w:w="1516" w:type="dxa"/>
            <w:tcBorders>
              <w:top w:val="single" w:sz="4" w:space="0" w:color="auto"/>
              <w:left w:val="single" w:sz="4" w:space="0" w:color="auto"/>
              <w:bottom w:val="single" w:sz="4" w:space="0" w:color="auto"/>
            </w:tcBorders>
          </w:tcPr>
          <w:p w:rsidR="00107362" w:rsidRPr="00BD6197" w:rsidRDefault="00107362" w:rsidP="000F2BA7">
            <w:pPr>
              <w:pStyle w:val="Tablehead"/>
              <w:rPr>
                <w:i/>
                <w:lang w:val="en-US"/>
              </w:rPr>
            </w:pPr>
            <w:r w:rsidRPr="00BD6197">
              <w:rPr>
                <w:i/>
                <w:lang w:val="en-US"/>
              </w:rPr>
              <w:t>K</w:t>
            </w:r>
            <w:r w:rsidRPr="00BD6197">
              <w:rPr>
                <w:i/>
                <w:vertAlign w:val="subscript"/>
                <w:lang w:val="en-US"/>
              </w:rPr>
              <w:t>soc</w:t>
            </w:r>
          </w:p>
        </w:tc>
      </w:tr>
      <w:tr w:rsidR="00107362" w:rsidRPr="00BD6197" w:rsidTr="000F2BA7">
        <w:trPr>
          <w:jc w:val="center"/>
        </w:trPr>
        <w:tc>
          <w:tcPr>
            <w:tcW w:w="8260" w:type="dxa"/>
            <w:tcBorders>
              <w:top w:val="single" w:sz="4" w:space="0" w:color="auto"/>
              <w:bottom w:val="single" w:sz="4" w:space="0" w:color="auto"/>
              <w:right w:val="single" w:sz="4" w:space="0" w:color="auto"/>
            </w:tcBorders>
          </w:tcPr>
          <w:p w:rsidR="00107362" w:rsidRPr="00BD6197" w:rsidRDefault="00107362" w:rsidP="00AE7917">
            <w:pPr>
              <w:pStyle w:val="Tabletext"/>
              <w:rPr>
                <w:lang w:val="en-US"/>
              </w:rPr>
            </w:pPr>
            <w:r w:rsidRPr="00BD6197">
              <w:rPr>
                <w:lang w:val="en-US"/>
              </w:rPr>
              <w:t>Technology used to ensure public safety including emergency situations</w:t>
            </w:r>
            <w:hyperlink w:anchor="sub_111" w:history="1">
              <w:r w:rsidRPr="00BD6197">
                <w:rPr>
                  <w:color w:val="000000"/>
                  <w:lang w:val="en-US"/>
                </w:rPr>
                <w:t>*</w:t>
              </w:r>
            </w:hyperlink>
          </w:p>
        </w:tc>
        <w:tc>
          <w:tcPr>
            <w:tcW w:w="1516"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0.3</w:t>
            </w:r>
          </w:p>
        </w:tc>
      </w:tr>
      <w:tr w:rsidR="00107362" w:rsidRPr="00BD6197" w:rsidTr="000F2BA7">
        <w:trPr>
          <w:jc w:val="center"/>
        </w:trPr>
        <w:tc>
          <w:tcPr>
            <w:tcW w:w="8260" w:type="dxa"/>
            <w:tcBorders>
              <w:top w:val="single" w:sz="4" w:space="0" w:color="auto"/>
              <w:bottom w:val="single" w:sz="4" w:space="0" w:color="auto"/>
              <w:right w:val="single" w:sz="4" w:space="0" w:color="auto"/>
            </w:tcBorders>
          </w:tcPr>
          <w:p w:rsidR="00107362" w:rsidRPr="00BD6197" w:rsidRDefault="00107362" w:rsidP="00DB212F">
            <w:pPr>
              <w:pStyle w:val="Tabletext"/>
              <w:rPr>
                <w:lang w:val="en-US"/>
              </w:rPr>
            </w:pPr>
            <w:bookmarkStart w:id="2113" w:name="sub_11050"/>
            <w:r w:rsidRPr="00BD6197">
              <w:rPr>
                <w:lang w:val="en-US"/>
              </w:rPr>
              <w:t>Technology used by civil purpose systems for railway radio communications (including radio communications for access railways) in the bands 2 124-2 136 kHz (nominal frequency 2 130 kHz); 2 144-2 156 kHz (nominal frequency 2 150 kHz); 151.7125</w:t>
            </w:r>
            <w:r w:rsidR="00DB212F">
              <w:rPr>
                <w:lang w:val="en-US"/>
              </w:rPr>
              <w:t>-</w:t>
            </w:r>
            <w:r w:rsidRPr="00BD6197">
              <w:rPr>
                <w:lang w:val="en-US"/>
              </w:rPr>
              <w:t>154.0125 MHz; 154.9875-156.0125 MHz; 307.0-307.4625 MHz; 343.0-343.4625 MHz</w:t>
            </w:r>
            <w:bookmarkEnd w:id="2113"/>
          </w:p>
        </w:tc>
        <w:tc>
          <w:tcPr>
            <w:tcW w:w="1516"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0.5</w:t>
            </w:r>
          </w:p>
        </w:tc>
      </w:tr>
      <w:tr w:rsidR="00107362" w:rsidRPr="00BD6197" w:rsidTr="000F2BA7">
        <w:trPr>
          <w:jc w:val="center"/>
        </w:trPr>
        <w:tc>
          <w:tcPr>
            <w:tcW w:w="8260" w:type="dxa"/>
            <w:tcBorders>
              <w:top w:val="single" w:sz="4" w:space="0" w:color="auto"/>
              <w:bottom w:val="single" w:sz="4" w:space="0" w:color="auto"/>
              <w:right w:val="single" w:sz="4" w:space="0" w:color="auto"/>
            </w:tcBorders>
          </w:tcPr>
          <w:p w:rsidR="00107362" w:rsidRPr="00BD6197" w:rsidRDefault="00107362" w:rsidP="00AE7917">
            <w:pPr>
              <w:pStyle w:val="Tabletext"/>
              <w:rPr>
                <w:lang w:val="en-US"/>
              </w:rPr>
            </w:pPr>
            <w:bookmarkStart w:id="2114" w:name="sub_11051"/>
            <w:r w:rsidRPr="00BD6197">
              <w:rPr>
                <w:lang w:val="en-US"/>
              </w:rPr>
              <w:t>Technology used by radio extenders of telephone channels, and radio telephone systems “Altai” and “Actionet</w:t>
            </w:r>
            <w:bookmarkEnd w:id="2114"/>
            <w:r w:rsidRPr="00BD6197">
              <w:rPr>
                <w:lang w:val="en-US"/>
              </w:rPr>
              <w:t>”</w:t>
            </w:r>
          </w:p>
        </w:tc>
        <w:tc>
          <w:tcPr>
            <w:tcW w:w="1516"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0.3</w:t>
            </w:r>
          </w:p>
        </w:tc>
      </w:tr>
      <w:tr w:rsidR="00107362" w:rsidRPr="00BD6197" w:rsidTr="000F2BA7">
        <w:trPr>
          <w:jc w:val="center"/>
        </w:trPr>
        <w:tc>
          <w:tcPr>
            <w:tcW w:w="8260" w:type="dxa"/>
            <w:tcBorders>
              <w:top w:val="single" w:sz="4" w:space="0" w:color="auto"/>
              <w:bottom w:val="single" w:sz="4" w:space="0" w:color="auto"/>
              <w:right w:val="single" w:sz="4" w:space="0" w:color="auto"/>
            </w:tcBorders>
          </w:tcPr>
          <w:p w:rsidR="00107362" w:rsidRPr="00BD6197" w:rsidRDefault="00107362" w:rsidP="00AE7917">
            <w:pPr>
              <w:pStyle w:val="Tabletext"/>
              <w:rPr>
                <w:lang w:val="en-US"/>
              </w:rPr>
            </w:pPr>
            <w:r w:rsidRPr="00BD6197">
              <w:rPr>
                <w:lang w:val="en-US"/>
              </w:rPr>
              <w:t>Technology used for terrestrial and satellite TV and sound broadcasting to distribute mandatory public TV and sound programs</w:t>
            </w:r>
          </w:p>
        </w:tc>
        <w:tc>
          <w:tcPr>
            <w:tcW w:w="1516"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0.3</w:t>
            </w:r>
          </w:p>
        </w:tc>
      </w:tr>
      <w:tr w:rsidR="00107362" w:rsidRPr="00BD6197" w:rsidTr="000F2BA7">
        <w:trPr>
          <w:jc w:val="center"/>
        </w:trPr>
        <w:tc>
          <w:tcPr>
            <w:tcW w:w="8260" w:type="dxa"/>
            <w:tcBorders>
              <w:top w:val="single" w:sz="4" w:space="0" w:color="auto"/>
              <w:bottom w:val="single" w:sz="4" w:space="0" w:color="auto"/>
              <w:right w:val="single" w:sz="4" w:space="0" w:color="auto"/>
            </w:tcBorders>
          </w:tcPr>
          <w:p w:rsidR="00107362" w:rsidRPr="00BD6197" w:rsidRDefault="00107362" w:rsidP="00AE7917">
            <w:pPr>
              <w:pStyle w:val="Tabletext"/>
              <w:rPr>
                <w:lang w:val="en-US"/>
              </w:rPr>
            </w:pPr>
            <w:bookmarkStart w:id="2115" w:name="sub_13052"/>
            <w:r w:rsidRPr="00BD6197">
              <w:rPr>
                <w:lang w:val="en-US"/>
              </w:rPr>
              <w:t>Wireless radio access technology of IEEE 802.11</w:t>
            </w:r>
            <w:bookmarkEnd w:id="2115"/>
            <w:r w:rsidRPr="00BD6197">
              <w:rPr>
                <w:lang w:val="en-US"/>
              </w:rPr>
              <w:t xml:space="preserve"> series</w:t>
            </w:r>
          </w:p>
        </w:tc>
        <w:tc>
          <w:tcPr>
            <w:tcW w:w="1516"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0.1</w:t>
            </w:r>
          </w:p>
        </w:tc>
      </w:tr>
      <w:tr w:rsidR="00107362" w:rsidRPr="00BD6197" w:rsidTr="000F2BA7">
        <w:trPr>
          <w:jc w:val="center"/>
        </w:trPr>
        <w:tc>
          <w:tcPr>
            <w:tcW w:w="8260" w:type="dxa"/>
            <w:tcBorders>
              <w:top w:val="single" w:sz="4" w:space="0" w:color="auto"/>
              <w:bottom w:val="single" w:sz="4" w:space="0" w:color="auto"/>
              <w:right w:val="single" w:sz="4" w:space="0" w:color="auto"/>
            </w:tcBorders>
          </w:tcPr>
          <w:p w:rsidR="00107362" w:rsidRPr="00BD6197" w:rsidRDefault="00107362" w:rsidP="00AE7917">
            <w:pPr>
              <w:pStyle w:val="Tabletext"/>
              <w:rPr>
                <w:lang w:val="en-US"/>
              </w:rPr>
            </w:pPr>
            <w:r w:rsidRPr="00BD6197">
              <w:rPr>
                <w:lang w:val="en-US"/>
              </w:rPr>
              <w:t>Earth stations of satellite system (ESSS) and VSAT Hub (Central) stations</w:t>
            </w:r>
          </w:p>
        </w:tc>
        <w:tc>
          <w:tcPr>
            <w:tcW w:w="1516"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0.1</w:t>
            </w:r>
          </w:p>
        </w:tc>
      </w:tr>
      <w:tr w:rsidR="00107362" w:rsidRPr="00BD6197" w:rsidTr="000F2BA7">
        <w:trPr>
          <w:jc w:val="center"/>
        </w:trPr>
        <w:tc>
          <w:tcPr>
            <w:tcW w:w="8260" w:type="dxa"/>
            <w:tcBorders>
              <w:top w:val="single" w:sz="4" w:space="0" w:color="auto"/>
              <w:bottom w:val="single" w:sz="4" w:space="0" w:color="auto"/>
              <w:right w:val="single" w:sz="4" w:space="0" w:color="auto"/>
            </w:tcBorders>
          </w:tcPr>
          <w:p w:rsidR="00107362" w:rsidRPr="00BD6197" w:rsidRDefault="00107362" w:rsidP="00AE7917">
            <w:pPr>
              <w:pStyle w:val="Tabletext"/>
              <w:rPr>
                <w:lang w:val="en-US"/>
              </w:rPr>
            </w:pPr>
            <w:r w:rsidRPr="00BD6197">
              <w:rPr>
                <w:lang w:val="en-US"/>
              </w:rPr>
              <w:t>Systems in amateur service (amateur repeater and amateur radio beacon)</w:t>
            </w:r>
          </w:p>
        </w:tc>
        <w:tc>
          <w:tcPr>
            <w:tcW w:w="1516"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0.1</w:t>
            </w:r>
          </w:p>
        </w:tc>
      </w:tr>
      <w:tr w:rsidR="00107362" w:rsidRPr="00BD6197" w:rsidTr="000F2BA7">
        <w:trPr>
          <w:jc w:val="center"/>
        </w:trPr>
        <w:tc>
          <w:tcPr>
            <w:tcW w:w="8260" w:type="dxa"/>
            <w:tcBorders>
              <w:top w:val="single" w:sz="4" w:space="0" w:color="auto"/>
              <w:bottom w:val="single" w:sz="4" w:space="0" w:color="auto"/>
              <w:right w:val="single" w:sz="4" w:space="0" w:color="auto"/>
            </w:tcBorders>
          </w:tcPr>
          <w:p w:rsidR="00107362" w:rsidRPr="00BD6197" w:rsidRDefault="00107362" w:rsidP="00AE7917">
            <w:pPr>
              <w:pStyle w:val="Tabletext"/>
              <w:rPr>
                <w:lang w:val="en-US"/>
              </w:rPr>
            </w:pPr>
            <w:r w:rsidRPr="00BD6197">
              <w:rPr>
                <w:lang w:val="en-US"/>
              </w:rPr>
              <w:t xml:space="preserve">Technology used for LF, MF and HF broadcasting in the territory of other states in accordance with a season schedule </w:t>
            </w:r>
          </w:p>
        </w:tc>
        <w:tc>
          <w:tcPr>
            <w:tcW w:w="1516"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0.01</w:t>
            </w:r>
          </w:p>
        </w:tc>
      </w:tr>
      <w:tr w:rsidR="00107362" w:rsidRPr="00BD6197" w:rsidTr="000F2BA7">
        <w:trPr>
          <w:jc w:val="center"/>
        </w:trPr>
        <w:tc>
          <w:tcPr>
            <w:tcW w:w="8260" w:type="dxa"/>
            <w:tcBorders>
              <w:top w:val="single" w:sz="4" w:space="0" w:color="auto"/>
              <w:bottom w:val="single" w:sz="4" w:space="0" w:color="auto"/>
              <w:right w:val="single" w:sz="4" w:space="0" w:color="auto"/>
            </w:tcBorders>
          </w:tcPr>
          <w:p w:rsidR="00107362" w:rsidRPr="00BD6197" w:rsidRDefault="00107362" w:rsidP="00AE7917">
            <w:pPr>
              <w:pStyle w:val="Tabletext"/>
              <w:rPr>
                <w:lang w:val="en-US"/>
              </w:rPr>
            </w:pPr>
            <w:r w:rsidRPr="00BD6197">
              <w:rPr>
                <w:lang w:val="en-US"/>
              </w:rPr>
              <w:t>Radio stations of digital wireless systems (DECT)</w:t>
            </w:r>
          </w:p>
        </w:tc>
        <w:tc>
          <w:tcPr>
            <w:tcW w:w="1516"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0.01</w:t>
            </w:r>
          </w:p>
        </w:tc>
      </w:tr>
      <w:tr w:rsidR="00107362" w:rsidRPr="00BD6197" w:rsidTr="000F2BA7">
        <w:trPr>
          <w:jc w:val="center"/>
        </w:trPr>
        <w:tc>
          <w:tcPr>
            <w:tcW w:w="8260" w:type="dxa"/>
            <w:tcBorders>
              <w:top w:val="single" w:sz="4" w:space="0" w:color="auto"/>
              <w:bottom w:val="single" w:sz="4" w:space="0" w:color="auto"/>
              <w:right w:val="single" w:sz="4" w:space="0" w:color="auto"/>
            </w:tcBorders>
          </w:tcPr>
          <w:p w:rsidR="00107362" w:rsidRPr="00BD6197" w:rsidRDefault="00107362" w:rsidP="00AE7917">
            <w:pPr>
              <w:pStyle w:val="Tabletext"/>
              <w:rPr>
                <w:lang w:val="en-US"/>
              </w:rPr>
            </w:pPr>
            <w:r w:rsidRPr="00BD6197">
              <w:rPr>
                <w:lang w:val="en-US"/>
              </w:rPr>
              <w:t>Radars</w:t>
            </w:r>
          </w:p>
        </w:tc>
        <w:tc>
          <w:tcPr>
            <w:tcW w:w="1516" w:type="dxa"/>
            <w:tcBorders>
              <w:top w:val="single" w:sz="4" w:space="0" w:color="auto"/>
              <w:left w:val="single" w:sz="4" w:space="0" w:color="auto"/>
              <w:bottom w:val="single" w:sz="4" w:space="0" w:color="auto"/>
            </w:tcBorders>
          </w:tcPr>
          <w:p w:rsidR="00107362" w:rsidRPr="00BD6197" w:rsidRDefault="00107362" w:rsidP="000F2BA7">
            <w:pPr>
              <w:pStyle w:val="Tabletext"/>
              <w:jc w:val="center"/>
              <w:rPr>
                <w:lang w:val="en-US"/>
              </w:rPr>
            </w:pPr>
            <w:r w:rsidRPr="00BD6197">
              <w:rPr>
                <w:lang w:val="en-US"/>
              </w:rPr>
              <w:t>0.01</w:t>
            </w:r>
          </w:p>
        </w:tc>
      </w:tr>
    </w:tbl>
    <w:p w:rsidR="00107362" w:rsidRPr="00BD6197" w:rsidRDefault="00107362" w:rsidP="00107362">
      <w:pPr>
        <w:pStyle w:val="Tablefin"/>
        <w:rPr>
          <w:lang w:val="en-US"/>
        </w:rPr>
      </w:pPr>
    </w:p>
    <w:p w:rsidR="00107362" w:rsidRPr="00BD6197" w:rsidRDefault="00263872" w:rsidP="00263872">
      <w:pPr>
        <w:pStyle w:val="Note"/>
        <w:rPr>
          <w:lang w:val="en-US"/>
        </w:rPr>
      </w:pPr>
      <w:r w:rsidRPr="00BD6197">
        <w:rPr>
          <w:lang w:val="en-US"/>
        </w:rPr>
        <w:t>NOTE</w:t>
      </w:r>
      <w:r>
        <w:rPr>
          <w:lang w:val="en-US"/>
        </w:rPr>
        <w:t xml:space="preserve"> </w:t>
      </w:r>
      <w:r w:rsidR="00107362" w:rsidRPr="00BD6197">
        <w:rPr>
          <w:lang w:val="en-US"/>
        </w:rPr>
        <w:t xml:space="preserve">– For other cases </w:t>
      </w:r>
      <w:r w:rsidR="00107362" w:rsidRPr="00BD6197">
        <w:rPr>
          <w:i/>
          <w:lang w:val="en-US"/>
        </w:rPr>
        <w:t>K</w:t>
      </w:r>
      <w:r w:rsidR="00107362" w:rsidRPr="00BD6197">
        <w:rPr>
          <w:i/>
          <w:vertAlign w:val="subscript"/>
          <w:lang w:val="en-US"/>
        </w:rPr>
        <w:t>soc</w:t>
      </w:r>
      <w:r w:rsidR="00107362" w:rsidRPr="00BD6197">
        <w:rPr>
          <w:lang w:val="en-US"/>
        </w:rPr>
        <w:t xml:space="preserve"> = 1.</w:t>
      </w:r>
    </w:p>
    <w:p w:rsidR="00107362" w:rsidRPr="00BD6197" w:rsidRDefault="00107362" w:rsidP="00107362">
      <w:pPr>
        <w:rPr>
          <w:lang w:val="en-US"/>
        </w:rPr>
      </w:pPr>
      <w:bookmarkStart w:id="2116" w:name="sub_702"/>
      <w:r w:rsidRPr="00BD6197">
        <w:rPr>
          <w:lang w:val="en-US"/>
        </w:rPr>
        <w:t>If the applied technology is related to several groups in this table, then the coefficient depending on the social factors is selected according to its minimum value.</w:t>
      </w:r>
    </w:p>
    <w:p w:rsidR="00107362" w:rsidRPr="00BD6197" w:rsidRDefault="00107362" w:rsidP="00107362">
      <w:pPr>
        <w:pStyle w:val="enumlev1"/>
        <w:rPr>
          <w:lang w:val="en-US"/>
        </w:rPr>
      </w:pPr>
      <w:bookmarkStart w:id="2117" w:name="sub_111"/>
      <w:bookmarkEnd w:id="2116"/>
      <w:r w:rsidRPr="00BD6197">
        <w:rPr>
          <w:lang w:val="en-US"/>
        </w:rPr>
        <w:t xml:space="preserve">* </w:t>
      </w:r>
      <w:r w:rsidRPr="00BD6197">
        <w:rPr>
          <w:lang w:val="en-US"/>
        </w:rPr>
        <w:tab/>
        <w:t xml:space="preserve">Radio technologies used to ensure public safety in the Russian Federation, including emergency situations, are the following: </w:t>
      </w:r>
    </w:p>
    <w:p w:rsidR="00107362" w:rsidRPr="00BD6197" w:rsidRDefault="00107362" w:rsidP="00107362">
      <w:pPr>
        <w:pStyle w:val="enumlev2"/>
        <w:rPr>
          <w:lang w:val="en-US"/>
        </w:rPr>
      </w:pPr>
      <w:r w:rsidRPr="00BD6197">
        <w:rPr>
          <w:lang w:val="en-US"/>
        </w:rPr>
        <w:t xml:space="preserve">– </w:t>
      </w:r>
      <w:r w:rsidRPr="00BD6197">
        <w:rPr>
          <w:lang w:val="en-US"/>
        </w:rPr>
        <w:tab/>
        <w:t xml:space="preserve">radio navigation; </w:t>
      </w:r>
    </w:p>
    <w:p w:rsidR="00107362" w:rsidRPr="00BD6197" w:rsidRDefault="00107362" w:rsidP="00107362">
      <w:pPr>
        <w:pStyle w:val="enumlev2"/>
        <w:rPr>
          <w:lang w:val="en-US"/>
        </w:rPr>
      </w:pPr>
      <w:r w:rsidRPr="00BD6197">
        <w:rPr>
          <w:lang w:val="en-US"/>
        </w:rPr>
        <w:t xml:space="preserve">– </w:t>
      </w:r>
      <w:r w:rsidRPr="00BD6197">
        <w:rPr>
          <w:lang w:val="en-US"/>
        </w:rPr>
        <w:tab/>
        <w:t>meteorological including weather radars;</w:t>
      </w:r>
    </w:p>
    <w:p w:rsidR="00107362" w:rsidRPr="00BD6197" w:rsidRDefault="00107362" w:rsidP="00107362">
      <w:pPr>
        <w:pStyle w:val="enumlev2"/>
        <w:rPr>
          <w:lang w:val="en-US"/>
        </w:rPr>
      </w:pPr>
      <w:r w:rsidRPr="00BD6197">
        <w:rPr>
          <w:lang w:val="en-US"/>
        </w:rPr>
        <w:t xml:space="preserve">– </w:t>
      </w:r>
      <w:r w:rsidRPr="00BD6197">
        <w:rPr>
          <w:lang w:val="en-US"/>
        </w:rPr>
        <w:tab/>
        <w:t xml:space="preserve">radio determination; </w:t>
      </w:r>
    </w:p>
    <w:p w:rsidR="00107362" w:rsidRPr="00BD6197" w:rsidRDefault="00107362" w:rsidP="00107362">
      <w:pPr>
        <w:pStyle w:val="enumlev2"/>
        <w:rPr>
          <w:lang w:val="en-US"/>
        </w:rPr>
      </w:pPr>
      <w:r w:rsidRPr="00BD6197">
        <w:rPr>
          <w:lang w:val="en-US"/>
        </w:rPr>
        <w:t xml:space="preserve">– </w:t>
      </w:r>
      <w:r w:rsidRPr="00BD6197">
        <w:rPr>
          <w:lang w:val="en-US"/>
        </w:rPr>
        <w:tab/>
        <w:t>services using calling and distress frequencies defined in the Radio Regulations.</w:t>
      </w:r>
    </w:p>
    <w:bookmarkEnd w:id="2117"/>
    <w:p w:rsidR="00107362" w:rsidRPr="00BD6197" w:rsidRDefault="00107362" w:rsidP="00107362">
      <w:pPr>
        <w:rPr>
          <w:lang w:val="en-US" w:eastAsia="zh-CN"/>
        </w:rPr>
      </w:pPr>
      <w:r w:rsidRPr="00BD6197">
        <w:rPr>
          <w:lang w:val="en-US"/>
        </w:rPr>
        <w:t xml:space="preserve">If the radio system uses other nominal frequencies along with calling and distress frequencies defined in the ITU Radio Regulations, the coefficient depending on the social factors for the implemented technology </w:t>
      </w:r>
      <w:r w:rsidRPr="00BD6197">
        <w:rPr>
          <w:i/>
          <w:lang w:val="en-US"/>
        </w:rPr>
        <w:t>K</w:t>
      </w:r>
      <w:r w:rsidRPr="00BD6197">
        <w:rPr>
          <w:i/>
          <w:vertAlign w:val="subscript"/>
          <w:lang w:val="en-US"/>
        </w:rPr>
        <w:t>soc</w:t>
      </w:r>
      <w:r w:rsidRPr="00BD6197">
        <w:rPr>
          <w:lang w:val="en-US"/>
        </w:rPr>
        <w:t xml:space="preserve"> = 0.3 is used only for calling and distress frequencies.</w:t>
      </w:r>
    </w:p>
    <w:p w:rsidR="00107362" w:rsidRPr="00BD6197" w:rsidRDefault="00107362" w:rsidP="00107362">
      <w:pPr>
        <w:rPr>
          <w:lang w:val="en-US"/>
        </w:rPr>
      </w:pPr>
      <w:r w:rsidRPr="00BD6197">
        <w:rPr>
          <w:position w:val="-14"/>
          <w:lang w:val="en-US"/>
        </w:rPr>
        <w:object w:dxaOrig="2740" w:dyaOrig="380">
          <v:shape id="_x0000_i1144" type="#_x0000_t75" style="width:146.25pt;height:21pt" o:ole="">
            <v:imagedata r:id="rId265" o:title=""/>
          </v:shape>
          <o:OLEObject Type="Embed" ProgID="Equation.3" ShapeID="_x0000_i1144" DrawAspect="Content" ObjectID="_1604325097" r:id="rId266"/>
        </w:object>
      </w:r>
      <w:r w:rsidRPr="00BD6197">
        <w:rPr>
          <w:position w:val="-28"/>
          <w:lang w:val="en-US"/>
        </w:rPr>
        <w:object w:dxaOrig="1219" w:dyaOrig="680">
          <v:shape id="_x0000_i1145" type="#_x0000_t75" style="width:1in;height:39pt" o:ole="">
            <v:imagedata r:id="rId267" o:title=""/>
          </v:shape>
          <o:OLEObject Type="Embed" ProgID="Equation.3" ShapeID="_x0000_i1145" DrawAspect="Content" ObjectID="_1604325098" r:id="rId268"/>
        </w:object>
      </w:r>
      <w:r w:rsidRPr="00BD6197">
        <w:rPr>
          <w:position w:val="-16"/>
          <w:lang w:val="en-US"/>
        </w:rPr>
        <w:object w:dxaOrig="4880" w:dyaOrig="460">
          <v:shape id="_x0000_i1146" type="#_x0000_t75" style="width:273pt;height:28.5pt" o:ole="">
            <v:imagedata r:id="rId269" o:title=""/>
          </v:shape>
          <o:OLEObject Type="Embed" ProgID="Equation.3" ShapeID="_x0000_i1146" DrawAspect="Content" ObjectID="_1604325099" r:id="rId270"/>
        </w:object>
      </w:r>
      <w:r w:rsidRPr="00BD6197">
        <w:rPr>
          <w:position w:val="-14"/>
          <w:lang w:val="en-US"/>
        </w:rPr>
        <w:object w:dxaOrig="2100" w:dyaOrig="380">
          <v:shape id="_x0000_i1147" type="#_x0000_t75" style="width:105.75pt;height:18.75pt" o:ole="">
            <v:imagedata r:id="rId271" o:title=""/>
          </v:shape>
          <o:OLEObject Type="Embed" ProgID="Equation.3" ShapeID="_x0000_i1147" DrawAspect="Content" ObjectID="_1604325100" r:id="rId272"/>
        </w:object>
      </w:r>
      <w:r w:rsidRPr="00BD6197">
        <w:rPr>
          <w:lang w:val="en-US"/>
        </w:rPr>
        <w:tab/>
      </w:r>
      <w:r w:rsidRPr="00BD6197">
        <w:rPr>
          <w:position w:val="-14"/>
          <w:lang w:val="en-US"/>
        </w:rPr>
        <w:object w:dxaOrig="1219" w:dyaOrig="400">
          <v:shape id="_x0000_i1148" type="#_x0000_t75" style="width:61.5pt;height:19.5pt" o:ole="">
            <v:imagedata r:id="rId273" o:title=""/>
          </v:shape>
          <o:OLEObject Type="Embed" ProgID="Equation.3" ShapeID="_x0000_i1148" DrawAspect="Content" ObjectID="_1604325101" r:id="rId274"/>
        </w:object>
      </w:r>
      <w:r w:rsidRPr="00BD6197">
        <w:rPr>
          <w:position w:val="-10"/>
          <w:lang w:val="en-US"/>
        </w:rPr>
        <w:object w:dxaOrig="2260" w:dyaOrig="340">
          <v:shape id="_x0000_i1149" type="#_x0000_t75" style="width:111pt;height:17.25pt" o:ole="">
            <v:imagedata r:id="rId275" o:title=""/>
          </v:shape>
          <o:OLEObject Type="Embed" ProgID="Equation.3" ShapeID="_x0000_i1149" DrawAspect="Content" ObjectID="_1604325102" r:id="rId276"/>
        </w:object>
      </w:r>
      <w:r w:rsidRPr="00BD6197">
        <w:rPr>
          <w:position w:val="-10"/>
          <w:szCs w:val="24"/>
          <w:lang w:val="en-US"/>
        </w:rPr>
        <w:object w:dxaOrig="2500" w:dyaOrig="340">
          <v:shape id="_x0000_i1150" type="#_x0000_t75" style="width:133.5pt;height:18.75pt" o:ole="">
            <v:imagedata r:id="rId277" o:title=""/>
          </v:shape>
          <o:OLEObject Type="Embed" ProgID="Equation.3" ShapeID="_x0000_i1150" DrawAspect="Content" ObjectID="_1604325103" r:id="rId278"/>
        </w:object>
      </w:r>
      <w:r w:rsidRPr="00BD6197">
        <w:rPr>
          <w:position w:val="-28"/>
          <w:lang w:val="en-US"/>
        </w:rPr>
        <w:object w:dxaOrig="3320" w:dyaOrig="680">
          <v:shape id="_x0000_i1151" type="#_x0000_t75" style="width:180pt;height:36pt" o:ole="">
            <v:imagedata r:id="rId279" o:title=""/>
          </v:shape>
          <o:OLEObject Type="Embed" ProgID="Equation.3" ShapeID="_x0000_i1151" DrawAspect="Content" ObjectID="_1604325104" r:id="rId280"/>
        </w:object>
      </w:r>
      <w:r w:rsidRPr="00BD6197">
        <w:rPr>
          <w:position w:val="-28"/>
          <w:szCs w:val="24"/>
          <w:lang w:val="en-US"/>
        </w:rPr>
        <w:object w:dxaOrig="2880" w:dyaOrig="680">
          <v:shape id="_x0000_i1152" type="#_x0000_t75" style="width:150.75pt;height:36pt" o:ole="">
            <v:imagedata r:id="rId281" o:title=""/>
          </v:shape>
          <o:OLEObject Type="Embed" ProgID="Equation.3" ShapeID="_x0000_i1152" DrawAspect="Content" ObjectID="_1604325105" r:id="rId282"/>
        </w:object>
      </w:r>
      <w:r w:rsidRPr="00BD6197">
        <w:rPr>
          <w:position w:val="-30"/>
          <w:lang w:val="en-US"/>
        </w:rPr>
        <w:object w:dxaOrig="4780" w:dyaOrig="720">
          <v:shape id="_x0000_i1153" type="#_x0000_t75" style="width:246.75pt;height:37.5pt" o:ole="">
            <v:imagedata r:id="rId283" o:title=""/>
          </v:shape>
          <o:OLEObject Type="Embed" ProgID="Equation.3" ShapeID="_x0000_i1153" DrawAspect="Content" ObjectID="_1604325106" r:id="rId284"/>
        </w:object>
      </w:r>
      <w:r w:rsidRPr="00BD6197">
        <w:rPr>
          <w:position w:val="-14"/>
          <w:lang w:val="en-US"/>
        </w:rPr>
        <w:object w:dxaOrig="3080" w:dyaOrig="380">
          <v:shape id="_x0000_i1154" type="#_x0000_t75" style="width:158.25pt;height:21pt" o:ole="">
            <v:imagedata r:id="rId285" o:title=""/>
          </v:shape>
          <o:OLEObject Type="Embed" ProgID="Equation.3" ShapeID="_x0000_i1154" DrawAspect="Content" ObjectID="_1604325107" r:id="rId286"/>
        </w:object>
      </w:r>
    </w:p>
    <w:p w:rsidR="00107362" w:rsidRPr="00BD6197" w:rsidRDefault="00107362" w:rsidP="00107362">
      <w:pPr>
        <w:pStyle w:val="Heading3"/>
        <w:rPr>
          <w:lang w:val="en-US"/>
        </w:rPr>
      </w:pPr>
      <w:bookmarkStart w:id="2118" w:name="_Toc392515929"/>
      <w:bookmarkStart w:id="2119" w:name="_Toc462234148"/>
      <w:bookmarkStart w:id="2120" w:name="_Toc518394264"/>
      <w:r w:rsidRPr="00BD6197">
        <w:rPr>
          <w:lang w:val="en-US"/>
        </w:rPr>
        <w:lastRenderedPageBreak/>
        <w:t>5.2.8</w:t>
      </w:r>
      <w:r w:rsidRPr="00BD6197">
        <w:rPr>
          <w:lang w:val="en-US"/>
        </w:rPr>
        <w:tab/>
        <w:t>The United Kingdom’s experience with licence fees</w:t>
      </w:r>
      <w:bookmarkEnd w:id="2118"/>
      <w:bookmarkEnd w:id="2119"/>
      <w:bookmarkEnd w:id="2120"/>
    </w:p>
    <w:p w:rsidR="00107362" w:rsidRPr="00BD6197" w:rsidRDefault="00107362" w:rsidP="00107362">
      <w:pPr>
        <w:rPr>
          <w:lang w:val="en-US"/>
        </w:rPr>
      </w:pPr>
      <w:bookmarkStart w:id="2121" w:name="_Toc459746767"/>
      <w:bookmarkStart w:id="2122" w:name="_Toc459792677"/>
      <w:bookmarkStart w:id="2123" w:name="_Toc459793841"/>
      <w:bookmarkStart w:id="2124" w:name="_Toc459793983"/>
      <w:bookmarkStart w:id="2125" w:name="_Toc459970440"/>
      <w:r w:rsidRPr="00BD6197">
        <w:rPr>
          <w:lang w:val="en-US"/>
        </w:rPr>
        <w:t>Administered Incentive Pricing (AIP) was first introduced in the UK in 1998. AIP aims to set licence fees to reflect the opportunity cost of spectrum denied to other uses and users, rather than just the costs of managing the radio spectrum. As a new and fundamentally different approach to fee-setting, it has to date been applied in a conservative manner: implementation has been rolled out to different users of spectrum slowly, and fee levels have generally been set at most at around 50% of the estimated full opportunity cost. Significant fee increases have also been phased in over a number of years.</w:t>
      </w:r>
    </w:p>
    <w:p w:rsidR="00107362" w:rsidRPr="00BD6197" w:rsidRDefault="00107362" w:rsidP="00107362">
      <w:pPr>
        <w:rPr>
          <w:lang w:val="en-US"/>
        </w:rPr>
      </w:pPr>
      <w:r w:rsidRPr="00BD6197">
        <w:rPr>
          <w:lang w:val="en-US"/>
        </w:rPr>
        <w:t xml:space="preserve">AIP is intended to provide long term signals of spectrum value to spectrum users. These long-term value signals are intended to help spectrum users (and their suppliers) make more efficient decisions concerning their use of spectrum and investment in radio technology. At the same time, given the significant investment that many users have tied up in radio equipment which in most cases cannot easily and quickly be returned to different frequencies and has a lifetime of many years it cannot be expected that AIP will lead to significant changes to spectrum use in the short term. AIP is not intended to achieve any specific short term spectrum reallocation goals. </w:t>
      </w:r>
    </w:p>
    <w:p w:rsidR="00107362" w:rsidRPr="00BD6197" w:rsidRDefault="00107362" w:rsidP="00107362">
      <w:pPr>
        <w:rPr>
          <w:b/>
          <w:lang w:val="en-US" w:eastAsia="zh-CN"/>
        </w:rPr>
      </w:pPr>
      <w:r w:rsidRPr="00BD6197">
        <w:rPr>
          <w:lang w:val="en-US"/>
        </w:rPr>
        <w:t xml:space="preserve">UK had carried out an evaluation of the policy of charging spectrum fees based on AIP. </w:t>
      </w:r>
      <w:r w:rsidRPr="00BD6197">
        <w:rPr>
          <w:lang w:val="en-US" w:eastAsia="zh-CN"/>
        </w:rPr>
        <w:t>The full policy document is available in:</w:t>
      </w:r>
      <w:r w:rsidRPr="00BD6197">
        <w:rPr>
          <w:b/>
          <w:lang w:val="en-US" w:eastAsia="zh-CN"/>
        </w:rPr>
        <w:t xml:space="preserve"> </w:t>
      </w:r>
    </w:p>
    <w:p w:rsidR="00107362" w:rsidRPr="00BD6197" w:rsidRDefault="003C5F80" w:rsidP="00107362">
      <w:pPr>
        <w:rPr>
          <w:b/>
          <w:lang w:val="en-US" w:eastAsia="zh-CN"/>
        </w:rPr>
      </w:pPr>
      <w:hyperlink r:id="rId287" w:history="1">
        <w:r w:rsidR="00107362" w:rsidRPr="00BD6197">
          <w:rPr>
            <w:rStyle w:val="Hyperlink"/>
            <w:lang w:val="en-US"/>
          </w:rPr>
          <w:t>http://www.ofcom.org.uk/research/radiocomms/reports/policy_report/evaluation_report_AIP.pdf</w:t>
        </w:r>
      </w:hyperlink>
    </w:p>
    <w:p w:rsidR="00107362" w:rsidRPr="00BD6197" w:rsidRDefault="00107362" w:rsidP="00107362">
      <w:pPr>
        <w:rPr>
          <w:lang w:val="en-US"/>
        </w:rPr>
      </w:pPr>
      <w:r w:rsidRPr="00BD6197">
        <w:rPr>
          <w:lang w:val="en-US"/>
        </w:rPr>
        <w:t>The overall conclusions of this report are:</w:t>
      </w:r>
    </w:p>
    <w:p w:rsidR="00107362" w:rsidRPr="00BD6197" w:rsidRDefault="00107362" w:rsidP="00107362">
      <w:pPr>
        <w:pStyle w:val="enumlev1"/>
        <w:rPr>
          <w:lang w:val="en-US"/>
        </w:rPr>
      </w:pPr>
      <w:r w:rsidRPr="00BD6197">
        <w:rPr>
          <w:lang w:val="en-US"/>
        </w:rPr>
        <w:t>–</w:t>
      </w:r>
      <w:r w:rsidRPr="00BD6197">
        <w:rPr>
          <w:lang w:val="en-US"/>
        </w:rPr>
        <w:tab/>
        <w:t xml:space="preserve">In the main, AIP has met its primary objective in helping to incentivize spectrum users to consider more carefully the value of the spectrum they use alongside that of other inputs, and to take decisions that are more likely to lead to optimal use of the available spectrum. Because each individual users decisions reflect their particular circumstances and objectives, improvements in spectrum allocation are difficult to attribute, with confidence, solely to the influence of AIP. However in the course of this evaluation a number of important actions by users were identified, in the period since AIP has been implemented, where it was believe that AIP may have contributed to incentivizing more efficient use. </w:t>
      </w:r>
    </w:p>
    <w:p w:rsidR="00107362" w:rsidRPr="00BD6197" w:rsidRDefault="00107362" w:rsidP="00107362">
      <w:pPr>
        <w:pStyle w:val="enumlev1"/>
        <w:rPr>
          <w:lang w:val="en-US"/>
        </w:rPr>
      </w:pPr>
      <w:r w:rsidRPr="00BD6197">
        <w:rPr>
          <w:lang w:val="en-US"/>
        </w:rPr>
        <w:t>–</w:t>
      </w:r>
      <w:r w:rsidRPr="00BD6197">
        <w:rPr>
          <w:lang w:val="en-US"/>
        </w:rPr>
        <w:tab/>
        <w:t xml:space="preserve">In particular: </w:t>
      </w:r>
    </w:p>
    <w:p w:rsidR="00107362" w:rsidRPr="00BD6197" w:rsidRDefault="00107362" w:rsidP="00107362">
      <w:pPr>
        <w:pStyle w:val="enumlev2"/>
        <w:rPr>
          <w:lang w:val="en-US"/>
        </w:rPr>
      </w:pPr>
      <w:r w:rsidRPr="00BD6197">
        <w:rPr>
          <w:lang w:val="en-US"/>
        </w:rPr>
        <w:t>•</w:t>
      </w:r>
      <w:r w:rsidRPr="00BD6197">
        <w:rPr>
          <w:lang w:val="en-US"/>
        </w:rPr>
        <w:tab/>
        <w:t>the removal of legacy fixed links in the 4 GHz band, generally regarded as technically inefficient due to the age of the equipment deployed;</w:t>
      </w:r>
    </w:p>
    <w:p w:rsidR="00107362" w:rsidRPr="00BD6197" w:rsidRDefault="00107362" w:rsidP="00107362">
      <w:pPr>
        <w:pStyle w:val="enumlev2"/>
        <w:rPr>
          <w:lang w:val="en-US"/>
        </w:rPr>
      </w:pPr>
      <w:r w:rsidRPr="00BD6197">
        <w:rPr>
          <w:lang w:val="en-US"/>
        </w:rPr>
        <w:t>•</w:t>
      </w:r>
      <w:r w:rsidRPr="00BD6197">
        <w:rPr>
          <w:lang w:val="en-US"/>
        </w:rPr>
        <w:tab/>
        <w:t>the removal of constraints on active services in spectrum bands, used by the Radio Astronomy Service, following the introduction of AIP fees for grants of Recognized Spectrum Access (RSA);</w:t>
      </w:r>
    </w:p>
    <w:p w:rsidR="00107362" w:rsidRPr="00BD6197" w:rsidRDefault="00107362" w:rsidP="00107362">
      <w:pPr>
        <w:pStyle w:val="enumlev2"/>
        <w:rPr>
          <w:lang w:val="en-US"/>
        </w:rPr>
      </w:pPr>
      <w:r w:rsidRPr="00BD6197">
        <w:rPr>
          <w:lang w:val="en-US"/>
        </w:rPr>
        <w:t>•</w:t>
      </w:r>
      <w:r w:rsidRPr="00BD6197">
        <w:rPr>
          <w:lang w:val="en-US"/>
        </w:rPr>
        <w:tab/>
        <w:t>the return of some UHF2 spectrum used by the police in Scotland;</w:t>
      </w:r>
    </w:p>
    <w:p w:rsidR="00107362" w:rsidRPr="00BD6197" w:rsidRDefault="00107362" w:rsidP="00107362">
      <w:pPr>
        <w:pStyle w:val="enumlev2"/>
        <w:rPr>
          <w:lang w:val="en-US"/>
        </w:rPr>
      </w:pPr>
      <w:r w:rsidRPr="00BD6197">
        <w:rPr>
          <w:lang w:val="en-US"/>
        </w:rPr>
        <w:t>•</w:t>
      </w:r>
      <w:r w:rsidRPr="00BD6197">
        <w:rPr>
          <w:lang w:val="en-US"/>
        </w:rPr>
        <w:tab/>
        <w:t>no evidence was found to suggest that the application of AIP has given rise to material adverse consequences for spectrum efficiency. In particular it has not resulted in demand for spectrum falling off significantly where AIP has been applied.</w:t>
      </w:r>
    </w:p>
    <w:p w:rsidR="00107362" w:rsidRPr="00BD6197" w:rsidRDefault="00107362" w:rsidP="00107362">
      <w:pPr>
        <w:pStyle w:val="Heading3"/>
        <w:rPr>
          <w:u w:val="single"/>
          <w:lang w:val="en-US"/>
        </w:rPr>
      </w:pPr>
      <w:bookmarkStart w:id="2126" w:name="_Toc497033233"/>
      <w:bookmarkStart w:id="2127" w:name="_Toc497034031"/>
      <w:bookmarkStart w:id="2128" w:name="_Toc289868870"/>
      <w:bookmarkStart w:id="2129" w:name="_Toc289869030"/>
      <w:bookmarkStart w:id="2130" w:name="_Toc289932337"/>
      <w:bookmarkStart w:id="2131" w:name="_Toc289933383"/>
      <w:bookmarkStart w:id="2132" w:name="_Toc291852946"/>
      <w:bookmarkStart w:id="2133" w:name="_Toc392515930"/>
      <w:bookmarkStart w:id="2134" w:name="_Toc462234149"/>
      <w:bookmarkStart w:id="2135" w:name="_Toc518394265"/>
      <w:r w:rsidRPr="00BD6197">
        <w:rPr>
          <w:lang w:val="en-US"/>
        </w:rPr>
        <w:t>5.2.9</w:t>
      </w:r>
      <w:r w:rsidRPr="00BD6197">
        <w:rPr>
          <w:lang w:val="en-US"/>
        </w:rPr>
        <w:tab/>
        <w:t>United States of America’s experience with licence fees</w:t>
      </w:r>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p>
    <w:p w:rsidR="00107362" w:rsidRPr="00BD6197" w:rsidRDefault="00107362" w:rsidP="00107362">
      <w:pPr>
        <w:rPr>
          <w:lang w:val="en-US"/>
        </w:rPr>
      </w:pPr>
      <w:r w:rsidRPr="00BD6197">
        <w:rPr>
          <w:lang w:val="en-US"/>
        </w:rPr>
        <w:t>The FCC regulates both spectrum and wired services for the civilian sector and charges application fees (also known as filing fees) and regulatory fees (information is included here for wired services only for background and completeness). The FCC process of imposing and collecting fees is mandated by statute of the U.S. Congress solely as a means to reimburse costs of issuing licences and of associated regulatory services.</w:t>
      </w:r>
    </w:p>
    <w:p w:rsidR="00107362" w:rsidRPr="00BD6197" w:rsidRDefault="00107362" w:rsidP="00107362">
      <w:pPr>
        <w:rPr>
          <w:lang w:val="en-US"/>
        </w:rPr>
      </w:pPr>
      <w:r w:rsidRPr="00BD6197">
        <w:rPr>
          <w:lang w:val="en-US"/>
        </w:rPr>
        <w:t>In 1987, the FCC began collecting application fees that are charged for all FCC</w:t>
      </w:r>
      <w:r w:rsidRPr="00BD6197">
        <w:rPr>
          <w:lang w:val="en-US"/>
        </w:rPr>
        <w:noBreakHyphen/>
        <w:t xml:space="preserve">licensed radio services and are intended to cover the direct administrative costs of processing a licence application. </w:t>
      </w:r>
      <w:r w:rsidRPr="00BD6197">
        <w:rPr>
          <w:lang w:val="en-US"/>
        </w:rPr>
        <w:lastRenderedPageBreak/>
        <w:t>They are paid when a licence is obtained or renewed. Local and state governments and non-profit entities are generally exempt from application fees. Application fees vary from service to service.</w:t>
      </w:r>
    </w:p>
    <w:p w:rsidR="00107362" w:rsidRPr="00BD6197" w:rsidRDefault="00107362" w:rsidP="00107362">
      <w:pPr>
        <w:rPr>
          <w:lang w:val="en-US"/>
        </w:rPr>
      </w:pPr>
      <w:r w:rsidRPr="00BD6197">
        <w:rPr>
          <w:lang w:val="en-US"/>
        </w:rPr>
        <w:t>The authority to impose and collect application fees was not assumed independently by the FCC, but was established by the U.S. Congress and is contained in Title III, Section 3001 of the Omnibus Budget Reconciliation Act of 1989 (Public Law 101-239), Section 8, revising 47 U.S.C. 158, which directs the FCC to prescribe charges for certain types of application processing or authorization services it provides to communications entities over which it has jurisdiction. Funds collected as application or filing fees pursuant to Section 8 of the Act are deposited into the General Fund of the U.S. Treasury as reimbursement to the United States of America Federal Government. They do not offset funds appropriated to the FCC (47 U.S.C. 158(a)). Section 8(b) of the Communications Act, as amended, requires that the FCC review and adjust its application fees every two years after 1 October 1991 (47 U.S.C. Section 158(b)). The adjusted or increased fees reflect the net change in the Consumer Price Index for all Urban Consumers (CPI-U).</w:t>
      </w:r>
    </w:p>
    <w:p w:rsidR="00107362" w:rsidRPr="00BD6197" w:rsidRDefault="00107362" w:rsidP="00107362">
      <w:pPr>
        <w:rPr>
          <w:lang w:val="en-US"/>
        </w:rPr>
      </w:pPr>
      <w:r w:rsidRPr="00BD6197">
        <w:rPr>
          <w:lang w:val="en-US"/>
        </w:rPr>
        <w:t>Since 1990, the FCC has collected application fees averaging about USD 39 million annually. The programme encompasses over 300 different fees with the vast majority collected at the time an original licence application, renewal or request for licence modification is filed with the FCC.</w:t>
      </w:r>
    </w:p>
    <w:p w:rsidR="00107362" w:rsidRPr="00BD6197" w:rsidRDefault="00107362" w:rsidP="00107362">
      <w:pPr>
        <w:rPr>
          <w:lang w:val="en-US"/>
        </w:rPr>
      </w:pPr>
      <w:r w:rsidRPr="00BD6197">
        <w:rPr>
          <w:lang w:val="en-US"/>
        </w:rPr>
        <w:t>Most fees are assessed as a one-time charge on a per-application basis, although there are certain exceptions. Local (state, county, city, etc.) government, non</w:t>
      </w:r>
      <w:r w:rsidRPr="00BD6197">
        <w:rPr>
          <w:lang w:val="en-US"/>
        </w:rPr>
        <w:noBreakHyphen/>
        <w:t>profit, non-commercial broadcast and amateur licence applicants are exempt from the fees.</w:t>
      </w:r>
    </w:p>
    <w:p w:rsidR="00107362" w:rsidRPr="00BD6197" w:rsidRDefault="00107362" w:rsidP="00107362">
      <w:pPr>
        <w:rPr>
          <w:lang w:val="en-US"/>
        </w:rPr>
      </w:pPr>
      <w:r w:rsidRPr="00BD6197">
        <w:rPr>
          <w:lang w:val="en-US"/>
        </w:rPr>
        <w:t>The schedule of charges is exactly as reviewed and approved by Congress. The charges represent the best estimate of the FCC’s actual direct administrative costs of processing a licence application.</w:t>
      </w:r>
    </w:p>
    <w:p w:rsidR="00107362" w:rsidRPr="00BD6197" w:rsidRDefault="00107362" w:rsidP="00107362">
      <w:pPr>
        <w:rPr>
          <w:lang w:val="en-US"/>
        </w:rPr>
      </w:pPr>
      <w:r w:rsidRPr="00BD6197">
        <w:rPr>
          <w:lang w:val="en-US"/>
        </w:rPr>
        <w:t xml:space="preserve">The public notices, orders, and guidelines for these application processing fees may be found at </w:t>
      </w:r>
      <w:hyperlink r:id="rId288" w:history="1">
        <w:r w:rsidRPr="00BD6197">
          <w:rPr>
            <w:rStyle w:val="Hyperlink"/>
            <w:lang w:val="en-US"/>
          </w:rPr>
          <w:t>http://transition.fcc.gov/fees/appfees.html</w:t>
        </w:r>
      </w:hyperlink>
      <w:r w:rsidRPr="00BD6197">
        <w:rPr>
          <w:lang w:val="en-US"/>
        </w:rPr>
        <w:t>.</w:t>
      </w:r>
    </w:p>
    <w:p w:rsidR="00107362" w:rsidRPr="00BD6197" w:rsidRDefault="00107362" w:rsidP="00107362">
      <w:pPr>
        <w:keepNext/>
        <w:keepLines/>
        <w:rPr>
          <w:lang w:val="en-US"/>
        </w:rPr>
      </w:pPr>
      <w:r w:rsidRPr="00BD6197">
        <w:rPr>
          <w:lang w:val="en-US"/>
        </w:rPr>
        <w:t xml:space="preserve">In addition to application and regulatory fees, the FCC may assess penalties for violations of law or non-compliance with authorizations. The rules for forfeiture proceedings may be found at </w:t>
      </w:r>
      <w:hyperlink r:id="rId289" w:history="1">
        <w:r w:rsidRPr="00BD6197">
          <w:rPr>
            <w:rStyle w:val="Hyperlink"/>
            <w:lang w:val="en-US"/>
          </w:rPr>
          <w:t>http://www.ecfr.gov/cgi-bin/text-idx?SID=8ff7d70cef964a24a25ff9612c757d00&amp;node=47:1.0.1.</w:t>
        </w:r>
        <w:r w:rsidRPr="00BD6197">
          <w:rPr>
            <w:rStyle w:val="Hyperlink"/>
            <w:lang w:val="en-US"/>
          </w:rPr>
          <w:br/>
          <w:t>1.2.1.152.49&amp;rgn=div8</w:t>
        </w:r>
      </w:hyperlink>
      <w:r w:rsidRPr="00BD6197">
        <w:rPr>
          <w:lang w:val="en-US"/>
        </w:rPr>
        <w:t>.</w:t>
      </w:r>
    </w:p>
    <w:p w:rsidR="00107362" w:rsidRPr="00BD6197" w:rsidRDefault="00107362" w:rsidP="00107362">
      <w:pPr>
        <w:rPr>
          <w:lang w:val="en-US"/>
        </w:rPr>
      </w:pPr>
      <w:r w:rsidRPr="00BD6197">
        <w:rPr>
          <w:lang w:val="en-US"/>
        </w:rPr>
        <w:t>In 1993, Congress mandated that the FCC must collect regulatory fees to cover its enforcement activities, policy and rule-making activities, user information services, and international activities. Consequently, regulatory-related fees were implemented in 1994.</w:t>
      </w:r>
    </w:p>
    <w:p w:rsidR="00107362" w:rsidRPr="00BD6197" w:rsidRDefault="00107362" w:rsidP="00107362">
      <w:pPr>
        <w:rPr>
          <w:lang w:val="en-US"/>
        </w:rPr>
      </w:pPr>
      <w:r w:rsidRPr="00BD6197">
        <w:rPr>
          <w:lang w:val="en-US"/>
        </w:rPr>
        <w:t>The requirement to collect annual regulatory fees is contained in Public Law 103-66 “The Omnibus Budget Reconciliation Act of 1993”. These regulatory fees, which may change yearly, are used to offset costs associated with the FCC’s enforcement, public service, international, policy and rulemaking activities. These fees are in addition to any application processing fees associated with obtaining a licence or other authorization from the FCC.</w:t>
      </w:r>
    </w:p>
    <w:p w:rsidR="00107362" w:rsidRPr="00BD6197" w:rsidRDefault="00107362" w:rsidP="00107362">
      <w:pPr>
        <w:rPr>
          <w:lang w:val="en-US"/>
        </w:rPr>
      </w:pPr>
      <w:r w:rsidRPr="00BD6197">
        <w:rPr>
          <w:lang w:val="en-US"/>
        </w:rPr>
        <w:t>Without regulatory fees to offset the FCC’s costs, the agency would have required a Congressional appropriation of USD 189 million for fiscal year 1997 (1 October 1996 to 30 September 1998). When offsetting regulatory fees (USD 152 million) were taken into consideration, only USD 37 million had to be appropriated from the U.S. Treasury to fund the FCC.</w:t>
      </w:r>
    </w:p>
    <w:p w:rsidR="00107362" w:rsidRPr="00BD6197" w:rsidRDefault="00107362" w:rsidP="00107362">
      <w:pPr>
        <w:rPr>
          <w:lang w:val="en-US"/>
        </w:rPr>
      </w:pPr>
      <w:r w:rsidRPr="00BD6197">
        <w:rPr>
          <w:lang w:val="en-US"/>
        </w:rPr>
        <w:t>By statute, the total fees collected should cover, but cannot exceed, the amount of money appropriated by Congress to the FCC for these activities. Regulatory fees collected are deposited into an account providing appropriations to the FCC.</w:t>
      </w:r>
    </w:p>
    <w:p w:rsidR="00107362" w:rsidRPr="00BD6197" w:rsidRDefault="00107362" w:rsidP="00107362">
      <w:pPr>
        <w:rPr>
          <w:lang w:val="en-US"/>
        </w:rPr>
      </w:pPr>
      <w:r w:rsidRPr="00BD6197">
        <w:rPr>
          <w:lang w:val="en-US"/>
        </w:rPr>
        <w:t>Some of the activities included in the regulatory fees are considered below.</w:t>
      </w:r>
    </w:p>
    <w:p w:rsidR="00140A23" w:rsidRPr="00BD6197" w:rsidRDefault="00140A23" w:rsidP="00140A23">
      <w:pPr>
        <w:pStyle w:val="Heading4"/>
        <w:rPr>
          <w:lang w:val="en-US"/>
        </w:rPr>
      </w:pPr>
      <w:bookmarkStart w:id="2136" w:name="_Toc426513725"/>
      <w:bookmarkStart w:id="2137" w:name="_Toc426514005"/>
      <w:bookmarkStart w:id="2138" w:name="_Toc459746768"/>
      <w:bookmarkStart w:id="2139" w:name="_Toc497033234"/>
      <w:bookmarkStart w:id="2140" w:name="_Toc497034032"/>
      <w:r w:rsidRPr="00BD6197">
        <w:rPr>
          <w:lang w:val="en-US"/>
        </w:rPr>
        <w:lastRenderedPageBreak/>
        <w:t>5.2.9.1</w:t>
      </w:r>
      <w:r w:rsidRPr="00BD6197">
        <w:rPr>
          <w:lang w:val="en-US"/>
        </w:rPr>
        <w:tab/>
        <w:t>Policy and rulemaking</w:t>
      </w:r>
      <w:bookmarkEnd w:id="2136"/>
      <w:bookmarkEnd w:id="2137"/>
      <w:bookmarkEnd w:id="2138"/>
      <w:bookmarkEnd w:id="2139"/>
      <w:bookmarkEnd w:id="2140"/>
    </w:p>
    <w:p w:rsidR="00140A23" w:rsidRPr="00BD6197" w:rsidRDefault="00140A23" w:rsidP="00140A23">
      <w:pPr>
        <w:rPr>
          <w:lang w:val="en-US"/>
        </w:rPr>
      </w:pPr>
      <w:r w:rsidRPr="00BD6197">
        <w:rPr>
          <w:lang w:val="en-US"/>
        </w:rPr>
        <w:t>Formal inquiries, rulemaking proceedings to establish or amend the FCC’s rules and regulations, action on petitions for rulemaking, and requests for rule interpretations or waivers; economic studies and analyses; spectrum planning, modelling, propagation interference analyses, and allocation; and development of equipment standards. This also includes policy direction, programme development, legal services, and executive direction, as well as support services associated with policy and rulemaking activities.</w:t>
      </w:r>
    </w:p>
    <w:p w:rsidR="00140A23" w:rsidRPr="00BD6197" w:rsidRDefault="00140A23" w:rsidP="00140A23">
      <w:pPr>
        <w:pStyle w:val="Heading4"/>
        <w:rPr>
          <w:lang w:val="en-US"/>
        </w:rPr>
      </w:pPr>
      <w:bookmarkStart w:id="2141" w:name="_Toc426513726"/>
      <w:bookmarkStart w:id="2142" w:name="_Toc426514006"/>
      <w:bookmarkStart w:id="2143" w:name="_Toc459746769"/>
      <w:bookmarkStart w:id="2144" w:name="_Toc497033235"/>
      <w:bookmarkStart w:id="2145" w:name="_Toc497034033"/>
      <w:r w:rsidRPr="00BD6197">
        <w:rPr>
          <w:lang w:val="en-US"/>
        </w:rPr>
        <w:t>5.2.9.2</w:t>
      </w:r>
      <w:r w:rsidRPr="00BD6197">
        <w:rPr>
          <w:lang w:val="en-US"/>
        </w:rPr>
        <w:tab/>
        <w:t>Enforcement</w:t>
      </w:r>
      <w:bookmarkEnd w:id="2141"/>
      <w:bookmarkEnd w:id="2142"/>
      <w:bookmarkEnd w:id="2143"/>
      <w:bookmarkEnd w:id="2144"/>
      <w:bookmarkEnd w:id="2145"/>
    </w:p>
    <w:p w:rsidR="00140A23" w:rsidRPr="00BD6197" w:rsidRDefault="00140A23" w:rsidP="00140A23">
      <w:pPr>
        <w:rPr>
          <w:lang w:val="en-US"/>
        </w:rPr>
      </w:pPr>
      <w:r w:rsidRPr="00BD6197">
        <w:rPr>
          <w:lang w:val="en-US"/>
        </w:rPr>
        <w:t>Enforcement of the FCC’s rules, regulations and authorizations, including investigations, inspections, compliance monitoring, and sanctions of all types. This also includes the receipt and disposition of formal and informal complaints regarding common carrier rates and services, the review and acceptance/rejection of carrier tariffs, and the review, prescription and audit of carrier accounting practices. It also includes policy direction, programme development, legal services, and executive direction, as well as support services associated with enforcement activities.</w:t>
      </w:r>
    </w:p>
    <w:p w:rsidR="00140A23" w:rsidRPr="00BD6197" w:rsidRDefault="00140A23" w:rsidP="00140A23">
      <w:pPr>
        <w:pStyle w:val="Heading4"/>
        <w:rPr>
          <w:lang w:val="en-US"/>
        </w:rPr>
      </w:pPr>
      <w:bookmarkStart w:id="2146" w:name="_Toc426513727"/>
      <w:bookmarkStart w:id="2147" w:name="_Toc426514007"/>
      <w:bookmarkStart w:id="2148" w:name="_Toc459746770"/>
      <w:bookmarkStart w:id="2149" w:name="_Toc497033236"/>
      <w:bookmarkStart w:id="2150" w:name="_Toc497034034"/>
      <w:r w:rsidRPr="00BD6197">
        <w:rPr>
          <w:lang w:val="en-US"/>
        </w:rPr>
        <w:t>5.2.9.3</w:t>
      </w:r>
      <w:r w:rsidRPr="00BD6197">
        <w:rPr>
          <w:lang w:val="en-US"/>
        </w:rPr>
        <w:tab/>
        <w:t>Public information services</w:t>
      </w:r>
      <w:bookmarkEnd w:id="2146"/>
      <w:bookmarkEnd w:id="2147"/>
      <w:bookmarkEnd w:id="2148"/>
      <w:bookmarkEnd w:id="2149"/>
      <w:bookmarkEnd w:id="2150"/>
    </w:p>
    <w:p w:rsidR="00140A23" w:rsidRPr="00BD6197" w:rsidRDefault="00140A23" w:rsidP="00140A23">
      <w:pPr>
        <w:rPr>
          <w:lang w:val="en-US"/>
        </w:rPr>
      </w:pPr>
      <w:r w:rsidRPr="00BD6197">
        <w:rPr>
          <w:lang w:val="en-US"/>
        </w:rPr>
        <w:t>The publication and dissemination of FCC decisions and actions, and related activities; public reference and library services; the duplication and dissemination of FCC records and databases; the receipt and disposition of public inquiries; consumer, small business, and public assistance; and public affairs and media relations. This activity also includes policy direction, programme development, legal services, and executive direction, as well as support services associated with public information activities.</w:t>
      </w:r>
    </w:p>
    <w:p w:rsidR="00140A23" w:rsidRPr="00BD6197" w:rsidRDefault="00140A23" w:rsidP="00140A23">
      <w:pPr>
        <w:rPr>
          <w:lang w:val="en-US"/>
        </w:rPr>
      </w:pPr>
      <w:r w:rsidRPr="00BD6197">
        <w:rPr>
          <w:lang w:val="en-US"/>
        </w:rPr>
        <w:t>The following licensees and other entities regulated by the FCC must pay regulatory fees:</w:t>
      </w:r>
    </w:p>
    <w:p w:rsidR="00140A23" w:rsidRPr="00BD6197" w:rsidRDefault="00140A23" w:rsidP="00140A23">
      <w:pPr>
        <w:rPr>
          <w:lang w:val="en-US"/>
        </w:rPr>
      </w:pPr>
      <w:r w:rsidRPr="00BD6197">
        <w:rPr>
          <w:i/>
          <w:iCs/>
          <w:lang w:val="en-US"/>
        </w:rPr>
        <w:t>Common carrier regulatees</w:t>
      </w:r>
      <w:r w:rsidRPr="00BD6197">
        <w:rPr>
          <w:lang w:val="en-US"/>
        </w:rPr>
        <w:t>:  inter-exchange carriers (long-distance companies), local exchange carriers (local telephone operating companies), competitive access providers (companies other than the traditional local telephone companies that provide interstate access services to long-distance carriers and other companies), operator service providers (carriers that enable customers to make away from home calls and to place calls with alternative billing arrangements), pay telephone operators (owners of pay telephones), resellers (companies that obtain lines from facilities-based carriers and sell service to others, but does not include mobile resellers governed by the commercial wireless radio services), and other interstate providers (e.g., calling card providers).</w:t>
      </w:r>
    </w:p>
    <w:p w:rsidR="00140A23" w:rsidRPr="00BD6197" w:rsidRDefault="00140A23" w:rsidP="00140A23">
      <w:pPr>
        <w:rPr>
          <w:lang w:val="en-US"/>
        </w:rPr>
      </w:pPr>
      <w:r w:rsidRPr="00BD6197">
        <w:rPr>
          <w:i/>
          <w:iCs/>
          <w:lang w:val="en-US"/>
        </w:rPr>
        <w:t>Commercial mobile radio services (CMRS) regulatees</w:t>
      </w:r>
      <w:r w:rsidRPr="00BD6197">
        <w:rPr>
          <w:lang w:val="en-US"/>
        </w:rPr>
        <w:t>:  specialized mobile radio services (Part 90); public coast stations (Part 80); public mobile radio, cellular, 800 MHz air-ground radiotelephone, and offshore radio services (Part 22); and PCS broadband services (Part 24). The CMRS messaging services category includes all one-way paging (Parts 22 and 90), two-way paging, qualifying interconnected business radio services, 220-222 MHz land mobile systems (Part 90), and PCS narrow-band services (Part 24). All other private wireless regulatory fees are paid in advance for the full licence term and submitted along with the appropriate application fee.</w:t>
      </w:r>
    </w:p>
    <w:p w:rsidR="00140A23" w:rsidRPr="00BD6197" w:rsidRDefault="00140A23" w:rsidP="00140A23">
      <w:pPr>
        <w:rPr>
          <w:lang w:val="en-US"/>
        </w:rPr>
      </w:pPr>
      <w:r w:rsidRPr="00BD6197">
        <w:rPr>
          <w:bCs/>
          <w:i/>
          <w:iCs/>
          <w:lang w:val="en-US"/>
        </w:rPr>
        <w:t>Mass media licensees</w:t>
      </w:r>
      <w:r w:rsidRPr="00BD6197">
        <w:rPr>
          <w:lang w:val="en-US"/>
        </w:rPr>
        <w:t xml:space="preserve">:  commercial AM and FM radio stations, commercial TV stations, low power television and television translator and booster licensees, broadcast auxiliary, FM translator and FM booster licensees, and multipoint distribution service licensees (includes multichannel multipoint distribution service). Non-commercial educational licensees are exempt from regulatory fees as are licensees of auxiliary broadcast services such as low power auxiliary stations, television auxiliary service stations, remote pickup stations and aural broadcast auxiliary stations where such licences are used in conjunction with commonly owned non-commercial educational stations. Emergency alert system (EAS) licences for auxiliary service facilities are also exempt as are instructional television fixed service (ITFS) licensees. In the event that there has been a change in ownership of a system </w:t>
      </w:r>
      <w:r w:rsidRPr="00BD6197">
        <w:rPr>
          <w:lang w:val="en-US"/>
        </w:rPr>
        <w:lastRenderedPageBreak/>
        <w:t>after the effective date, but before the date payment is due, responsibility for payment of the regulatory fees rests with the owner of record on the effective date noted.</w:t>
      </w:r>
    </w:p>
    <w:p w:rsidR="00140A23" w:rsidRPr="00BD6197" w:rsidRDefault="00140A23" w:rsidP="00140A23">
      <w:pPr>
        <w:rPr>
          <w:lang w:val="en-US"/>
        </w:rPr>
      </w:pPr>
      <w:r w:rsidRPr="00BD6197">
        <w:rPr>
          <w:bCs/>
          <w:i/>
          <w:iCs/>
          <w:lang w:val="en-US"/>
        </w:rPr>
        <w:t>Cable television systems</w:t>
      </w:r>
      <w:r w:rsidRPr="00BD6197">
        <w:rPr>
          <w:bCs/>
          <w:lang w:val="en-US"/>
        </w:rPr>
        <w:t>:  </w:t>
      </w:r>
      <w:r w:rsidRPr="00BD6197">
        <w:rPr>
          <w:lang w:val="en-US"/>
        </w:rPr>
        <w:t>cable television systems operating on 31 December 1996, were requested to pay regulatory fees per subscriber in the fiscal year 1997. All cable television systems were requested to pay regulatory fees of USD 0.54 per subscriber for each community unit in which they operate. Additionally, each system operating on 1 October 1996, was requested to pay a USD 65.00 fee for each community antenna relay service licence held and, if applicable, a USD 25.00 fee for each broadcast auxiliary service licence held. In the event that there had been a change in ownership of a system after the effective dates above, but before the date payment was due, responsibility for payment of the regulatory fees rested with the owner of record on the appropriate effective date noted above.</w:t>
      </w:r>
    </w:p>
    <w:p w:rsidR="00140A23" w:rsidRPr="00BD6197" w:rsidRDefault="00140A23" w:rsidP="00140A23">
      <w:pPr>
        <w:rPr>
          <w:lang w:val="en-US"/>
        </w:rPr>
      </w:pPr>
      <w:r w:rsidRPr="00BD6197">
        <w:rPr>
          <w:lang w:val="en-US"/>
        </w:rPr>
        <w:t>International public fixed licensees (Part 23), international (HF) broadcast licensees (Part 73), providers of international bearer circuits, earth station regulatees (Part 25), geosynchronous space station regulatees (Part 25) and direct broadcast satellite licensees (Part 100), and low-Earth orbit system licensees (Part 25).</w:t>
      </w:r>
    </w:p>
    <w:p w:rsidR="00140A23" w:rsidRPr="00BD6197" w:rsidRDefault="00140A23" w:rsidP="00140A23">
      <w:pPr>
        <w:rPr>
          <w:lang w:val="en-US"/>
        </w:rPr>
      </w:pPr>
      <w:r w:rsidRPr="00BD6197">
        <w:rPr>
          <w:lang w:val="en-US"/>
        </w:rPr>
        <w:t>Local governments and non-profit entities are not required to pay regulatory fees. However, the FCC is considering a proposal which would require that each exempt entity submit, or have on file with the FCC, a current internal revenue service determination letter documenting its non-profit status, a certification of local governmental authority, or certification from a local governmental authority attesting to its exempt status. Under the proposal, a regulatee would be relieved of its fee payment requirement if its total fee due, including all categories of fees, amounts to less than USD 10.</w:t>
      </w:r>
    </w:p>
    <w:p w:rsidR="00140A23" w:rsidRPr="00BD6197" w:rsidRDefault="00140A23" w:rsidP="00140A23">
      <w:pPr>
        <w:rPr>
          <w:lang w:val="en-US"/>
        </w:rPr>
      </w:pPr>
      <w:r w:rsidRPr="00BD6197">
        <w:rPr>
          <w:lang w:val="en-US"/>
        </w:rPr>
        <w:t>For the fiscal year 1997, the FCC adjusted the estimated regulatory payment units for each service from the fiscal year 1996 fees. The FCC obtained its estimated payment units through a variety of means, including its licensee databases, actual prior-year payment records, and industry and trade group projections. Whenever possible, the FCC verified these estimates from multiple sources to ensure their accuracy.</w:t>
      </w:r>
    </w:p>
    <w:p w:rsidR="00140A23" w:rsidRPr="00BD6197" w:rsidRDefault="00140A23" w:rsidP="00140A23">
      <w:pPr>
        <w:rPr>
          <w:lang w:val="en-US"/>
        </w:rPr>
      </w:pPr>
      <w:r w:rsidRPr="00BD6197">
        <w:rPr>
          <w:lang w:val="en-US"/>
        </w:rPr>
        <w:t>The FCC multiplied the revised payment units for each service by its fiscal year 1996 fee amounts in each fee category to estimate how much revenue the FCC would collect in the fiscal year 1997 without any change to the existing schedule of regulatory fees. The amount of revenue the FCC would have collected was approximately USD 137.3 million. This amount was approximately USD 15.2 million less than the amount the FCC was required to collect in the fiscal year 1997. The FCC therefore adjusted the revenue requirements for each fee category on a proportional basis, consistent with Section 9(b)(2) of the Act, to obtain an estimate of revenue requirements for each fee category necessary to collect the USD 152 million required by Congress for the fiscal year 1997.</w:t>
      </w:r>
    </w:p>
    <w:p w:rsidR="00140A23" w:rsidRPr="00BD6197" w:rsidRDefault="00140A23" w:rsidP="00140A23">
      <w:pPr>
        <w:rPr>
          <w:lang w:val="en-US"/>
        </w:rPr>
      </w:pPr>
      <w:r w:rsidRPr="00BD6197">
        <w:rPr>
          <w:lang w:val="en-US"/>
        </w:rPr>
        <w:t>On 1 October 1995, the FCC implemented, in accordance with 47 U.S.C. § 159(i), a cost accounting system designed, in part, to provide the FCC with useful data, in combination with other information, to help ensure that fees closely reflected the FCC’s actual costs of regulation.</w:t>
      </w:r>
    </w:p>
    <w:p w:rsidR="00140A23" w:rsidRPr="00BD6197" w:rsidRDefault="00140A23" w:rsidP="00140A23">
      <w:pPr>
        <w:rPr>
          <w:lang w:val="en-US"/>
        </w:rPr>
      </w:pPr>
      <w:r w:rsidRPr="00BD6197">
        <w:rPr>
          <w:lang w:val="en-US"/>
        </w:rPr>
        <w:t>In order to utilize actual costs derived from the FCC’s cost accounting system for fee development purposes, indirect support costs contained in the cost accounting system had to be added to direct costs (see Note 1) and the results adjusted further to approximate the amount of revenue that Congress required the FCC to collect in the fiscal year 1997 (USD 152 million) (see Note 2).</w:t>
      </w:r>
      <w:r w:rsidRPr="00BD6197">
        <w:rPr>
          <w:position w:val="6"/>
          <w:lang w:val="en-US"/>
        </w:rPr>
        <w:t xml:space="preserve"> </w:t>
      </w:r>
      <w:r w:rsidRPr="00BD6197">
        <w:rPr>
          <w:lang w:val="en-US"/>
        </w:rPr>
        <w:t>Thus, the FCC proportionally adjusted the actual cost data related to regulatory fee activities recorded for the period 1 October 1995, through 30 September 1996, among the fee categories so that total costs approximated the USD 152 million.</w:t>
      </w:r>
    </w:p>
    <w:p w:rsidR="00140A23" w:rsidRPr="00BD6197" w:rsidRDefault="00140A23" w:rsidP="00140A23">
      <w:pPr>
        <w:rPr>
          <w:lang w:val="en-US"/>
        </w:rPr>
      </w:pPr>
      <w:r w:rsidRPr="00BD6197">
        <w:rPr>
          <w:lang w:val="en-US"/>
        </w:rPr>
        <w:t xml:space="preserve">The FCC’s next step was to determine whether reliance on actual costs to develop fiscal year 1997 regulatory fees would result in fees which were too disparate from the corresponding fiscal year 1996 fees. As a result of this analysis, the FCC proposed establishing a ceiling of 25% on the increase in the revenue requirement of any service over and above the Congressionally mandated overall increase </w:t>
      </w:r>
      <w:r w:rsidRPr="00BD6197">
        <w:rPr>
          <w:lang w:val="en-US"/>
        </w:rPr>
        <w:lastRenderedPageBreak/>
        <w:t>in the revenue requirement and after taking into consideration changes in payment unit counts (see Note 3).</w:t>
      </w:r>
    </w:p>
    <w:p w:rsidR="00140A23" w:rsidRPr="00BD6197" w:rsidRDefault="00140A23" w:rsidP="00140A23">
      <w:pPr>
        <w:rPr>
          <w:lang w:val="en-US"/>
        </w:rPr>
      </w:pPr>
      <w:r w:rsidRPr="00BD6197">
        <w:rPr>
          <w:lang w:val="en-US"/>
        </w:rPr>
        <w:t>Because Congress, for the fiscal year 1997, increased the FCC’s overall fee collection requirement, the FCC was required to collect substantially more than it collected in the fiscal year 1996. Nevertheless, capping each service’s revenue requirement at no more than a 25% increase enabled the FCC to begin the process of realigning fees to account for differences in regulatory costs. The 25% increase was over and above the revenue which was required after adjusting for the projected fiscal year 1997 payment units and the proportional share of the 21% increased in the amount that Congress requires the FCC to collect. Thus, the fiscal year 1997 fees increased by more than 25% over the fiscal year 1996 fees. Under this methodology, fees actually increased by as much as 40%.</w:t>
      </w:r>
    </w:p>
    <w:p w:rsidR="00140A23" w:rsidRPr="00BD6197" w:rsidRDefault="00140A23" w:rsidP="00140A23">
      <w:pPr>
        <w:rPr>
          <w:position w:val="6"/>
          <w:lang w:val="en-US"/>
        </w:rPr>
      </w:pPr>
      <w:r w:rsidRPr="00BD6197">
        <w:rPr>
          <w:lang w:val="en-US"/>
        </w:rPr>
        <w:t xml:space="preserve">An important consideration in establishing a revenue ceiling is the impact on other fee payers. Because the FCC was required to collect USD 152 million in the fiscal year 1997 regulatory fees, the additional revenue that would have been collected from classes of licensees subject to a revenue ceiling, instead needs to be collected from licensees not subject to the ceiling. This results in a certain amount of cross-subsidization between fee payer classes (see Note 4). The FCC asserted, however, that the public interest would best be served by adopting a revenue ceiling because, otherwise, several entities would be subjected to unexpected, substantial increases which could severely impact the economic </w:t>
      </w:r>
      <w:r w:rsidR="0091356A" w:rsidRPr="00BD6197">
        <w:rPr>
          <w:lang w:val="en-US"/>
        </w:rPr>
        <w:t>well-being</w:t>
      </w:r>
      <w:r w:rsidRPr="00BD6197">
        <w:rPr>
          <w:lang w:val="en-US"/>
        </w:rPr>
        <w:t xml:space="preserve"> of these licensees.</w:t>
      </w:r>
    </w:p>
    <w:p w:rsidR="00140A23" w:rsidRPr="00BD6197" w:rsidRDefault="00140A23" w:rsidP="00140A23">
      <w:pPr>
        <w:rPr>
          <w:lang w:val="en-US"/>
        </w:rPr>
      </w:pPr>
      <w:r w:rsidRPr="00BD6197">
        <w:rPr>
          <w:lang w:val="en-US"/>
        </w:rPr>
        <w:t>Regulation of interstate telephone service providers accounts for approximately 36% of all FCC costs. Therefore, any methodology which employs a subsidization feature, such as the FCC’s proposed revenue ceiling, will impact these regulatees to a greater extent than others, at least in the short term. As other fee payers’ fees approach amounts that bring their revenues closer to their actual costs, as the FCC’s phased-in revenue ceiling technique would do, the amount of subsidization required of fee payers below their revenue ceilings (such as those common carriers providing interstate telephone service) will steadily decrease. Thus, in the long term, cross-subsidization will decrease and revenue requirements for all services will approach actual costs (assuming other factors, such as the total amount that Congress requires the FCC to collect, remain constant).</w:t>
      </w:r>
    </w:p>
    <w:p w:rsidR="00140A23" w:rsidRPr="00BD6197" w:rsidRDefault="00140A23" w:rsidP="00140A23">
      <w:pPr>
        <w:rPr>
          <w:lang w:val="en-US"/>
        </w:rPr>
      </w:pPr>
      <w:r w:rsidRPr="00BD6197">
        <w:rPr>
          <w:lang w:val="en-US"/>
        </w:rPr>
        <w:t>The FCC adopted the 25% revenue ceiling as proposed. Application of the 25% ceiling was accomplished by choosing a “target” fee revenue requirement for each individual fee category. This “target” was either the actual calculated revenue requirement (for those categories at or below the 25% ceiling) or, in cases where the calculated revenue exceeded the ceiling, an amount equal to the ceiling. The shortfall created by reducing the revenue requirement of those whose revenue requirement exceeded the revenue ceiling was proportionately spread among those fee categories whose revenue requirements were below the ceiling. This computation required more than one round of adjustment because the allocation of this revenue, in a few instances, caused the new revenue requirement amount to exceed the 25% ceiling. After two iterations (rounds), all the revenue requirements were at or below the revenue ceiling.</w:t>
      </w:r>
    </w:p>
    <w:p w:rsidR="00140A23" w:rsidRPr="00BD6197" w:rsidRDefault="00140A23" w:rsidP="00140A23">
      <w:pPr>
        <w:rPr>
          <w:lang w:val="en-US"/>
        </w:rPr>
      </w:pPr>
      <w:r w:rsidRPr="00BD6197">
        <w:rPr>
          <w:lang w:val="en-US"/>
        </w:rPr>
        <w:t>Once the FCC determined the amount of fee revenue needed to be collected from each class of licensee, the FCC divided the individual revenue requirements by the number of associated payment units (and by the licence term, if applicable, for “small” fees) to obtain actual fee amounts for each fee category. These calculated fee amounts were then rounded to an even amount.</w:t>
      </w:r>
    </w:p>
    <w:p w:rsidR="00140A23" w:rsidRPr="00BD6197" w:rsidRDefault="00140A23" w:rsidP="00140A23">
      <w:pPr>
        <w:pStyle w:val="Note"/>
        <w:rPr>
          <w:lang w:val="en-US"/>
        </w:rPr>
      </w:pPr>
      <w:r w:rsidRPr="00BD6197">
        <w:rPr>
          <w:lang w:val="en-US"/>
        </w:rPr>
        <w:t>NOTE 1 – One feature of the cost accounting system is that it separately identifies direct and indirect costs. Direct costs include salary and expenses for:</w:t>
      </w:r>
    </w:p>
    <w:p w:rsidR="00140A23" w:rsidRPr="00BD6197" w:rsidRDefault="00140A23" w:rsidP="00140A23">
      <w:pPr>
        <w:pStyle w:val="enumlev1"/>
        <w:rPr>
          <w:sz w:val="22"/>
          <w:szCs w:val="22"/>
          <w:lang w:val="en-US"/>
        </w:rPr>
      </w:pPr>
      <w:r w:rsidRPr="00BD6197">
        <w:rPr>
          <w:sz w:val="22"/>
          <w:szCs w:val="22"/>
          <w:lang w:val="en-US"/>
        </w:rPr>
        <w:t>a)</w:t>
      </w:r>
      <w:r w:rsidRPr="00BD6197">
        <w:rPr>
          <w:sz w:val="22"/>
          <w:szCs w:val="22"/>
          <w:lang w:val="en-US"/>
        </w:rPr>
        <w:tab/>
        <w:t xml:space="preserve">staff directly assigned to the FCC’s operating Bureaus and performing regulatory activities; </w:t>
      </w:r>
    </w:p>
    <w:p w:rsidR="00140A23" w:rsidRPr="00BD6197" w:rsidRDefault="00140A23" w:rsidP="00140A23">
      <w:pPr>
        <w:pStyle w:val="enumlev1"/>
        <w:rPr>
          <w:sz w:val="22"/>
          <w:szCs w:val="22"/>
          <w:lang w:val="en-US"/>
        </w:rPr>
      </w:pPr>
      <w:r w:rsidRPr="00BD6197">
        <w:rPr>
          <w:sz w:val="22"/>
          <w:szCs w:val="22"/>
          <w:lang w:val="en-US"/>
        </w:rPr>
        <w:t>b)</w:t>
      </w:r>
      <w:r w:rsidRPr="00BD6197">
        <w:rPr>
          <w:sz w:val="22"/>
          <w:szCs w:val="22"/>
          <w:lang w:val="en-US"/>
        </w:rPr>
        <w:tab/>
        <w:t>staff assigned outside the operating Bureaus to the extent that their time is spent performing regulatory activities pertinent to an operating Bureau.</w:t>
      </w:r>
    </w:p>
    <w:p w:rsidR="00140A23" w:rsidRPr="00BD6197" w:rsidRDefault="00140A23" w:rsidP="00140A23">
      <w:pPr>
        <w:pStyle w:val="Note"/>
        <w:rPr>
          <w:lang w:val="en-US"/>
        </w:rPr>
      </w:pPr>
      <w:r w:rsidRPr="00BD6197">
        <w:rPr>
          <w:lang w:val="en-US"/>
        </w:rPr>
        <w:t xml:space="preserve">These costs include rent, utilities and contractual costs attributable to such personnel. Indirect costs include support personnel assigned to overhead functions such as field and laboratory staff and certain staff assigned </w:t>
      </w:r>
      <w:r w:rsidRPr="00BD6197">
        <w:rPr>
          <w:lang w:val="en-US"/>
        </w:rPr>
        <w:lastRenderedPageBreak/>
        <w:t>to the Office of the Managing Director. The combining of direct and indirect costs is accomplished on a proportional basis among all fee categories.</w:t>
      </w:r>
    </w:p>
    <w:p w:rsidR="00140A23" w:rsidRPr="00BD6197" w:rsidRDefault="00140A23" w:rsidP="00140A23">
      <w:pPr>
        <w:pStyle w:val="Note"/>
        <w:rPr>
          <w:lang w:val="en-US"/>
        </w:rPr>
      </w:pPr>
      <w:r w:rsidRPr="00BD6197">
        <w:rPr>
          <w:lang w:val="en-US"/>
        </w:rPr>
        <w:t>NOTE 2 – </w:t>
      </w:r>
      <w:r w:rsidR="0091356A" w:rsidRPr="00BD6197">
        <w:rPr>
          <w:lang w:val="en-US"/>
        </w:rPr>
        <w:t>Congress's</w:t>
      </w:r>
      <w:r w:rsidRPr="00BD6197">
        <w:rPr>
          <w:lang w:val="en-US"/>
        </w:rPr>
        <w:t xml:space="preserve"> estimate of costs to be recovered through regulatory fees is generally determined at least twelve months before the end of the fiscal year to which the fees actually apply. As such, year-end actual activity costs will not equal exactly the amount Congress designates for collection in a particular fiscal year.</w:t>
      </w:r>
    </w:p>
    <w:p w:rsidR="00140A23" w:rsidRPr="00BD6197" w:rsidRDefault="00140A23" w:rsidP="00140A23">
      <w:pPr>
        <w:pStyle w:val="Note"/>
        <w:rPr>
          <w:lang w:val="en-US"/>
        </w:rPr>
      </w:pPr>
      <w:r w:rsidRPr="00BD6197">
        <w:rPr>
          <w:lang w:val="en-US"/>
        </w:rPr>
        <w:t>NOTE 3 – For example, the regulatory cost associated with the Aviation (Aircraft) service is USD 934 905. If no change were made to this service’s fiscal year 1996 regulatory fee (USD 3 per year), the total revenue collected from licensees in this service would have been only USD 70 634 in the fiscal year 1997, a shortfall of USD 864 271. Application of the proposed 25% revenue ceiling to this service resulted in a capped revenue ceiling of USD 88 293 (USD 70 634 × 125%).</w:t>
      </w:r>
    </w:p>
    <w:p w:rsidR="00140A23" w:rsidRPr="00BD6197" w:rsidRDefault="00140A23" w:rsidP="00140A23">
      <w:pPr>
        <w:pStyle w:val="Note"/>
        <w:rPr>
          <w:lang w:val="en-US"/>
        </w:rPr>
      </w:pPr>
      <w:r w:rsidRPr="00BD6197">
        <w:rPr>
          <w:lang w:val="en-US"/>
        </w:rPr>
        <w:t>NOTE 4 – Revenues from current fee payers already offset significant costs attributable to regulatees exempt from payment of a fee or otherwise not subject to a fee pursuant to Section 9(h) of the Act or the Commission’s rules. For example, CB and ship radio station users, amateur radio licensees, governmental entities, licensees in the public safety radio services, and all non-profit groups are not required to pay a fee. The costs of regulating these entities are borne by those regulatees subject to a fee requirement.</w:t>
      </w:r>
    </w:p>
    <w:p w:rsidR="00140A23" w:rsidRPr="00BD6197" w:rsidRDefault="00140A23" w:rsidP="00140A23">
      <w:pPr>
        <w:pStyle w:val="Heading3"/>
        <w:rPr>
          <w:lang w:val="en-US"/>
        </w:rPr>
      </w:pPr>
      <w:bookmarkStart w:id="2151" w:name="_Toc289868871"/>
      <w:bookmarkStart w:id="2152" w:name="_Toc289869031"/>
      <w:bookmarkStart w:id="2153" w:name="_Toc289932338"/>
      <w:bookmarkStart w:id="2154" w:name="_Toc289933384"/>
      <w:bookmarkStart w:id="2155" w:name="_Toc291852947"/>
      <w:bookmarkStart w:id="2156" w:name="_Toc392515931"/>
      <w:bookmarkStart w:id="2157" w:name="_Toc462234150"/>
      <w:bookmarkStart w:id="2158" w:name="_Toc518394266"/>
      <w:r w:rsidRPr="00BD6197">
        <w:rPr>
          <w:lang w:val="en-US"/>
        </w:rPr>
        <w:t>5.2.10</w:t>
      </w:r>
      <w:r w:rsidRPr="00BD6197">
        <w:rPr>
          <w:lang w:val="en-US"/>
        </w:rPr>
        <w:tab/>
        <w:t>Brazil’s experience with spectrum fees</w:t>
      </w:r>
      <w:bookmarkEnd w:id="2151"/>
      <w:bookmarkEnd w:id="2152"/>
      <w:bookmarkEnd w:id="2153"/>
      <w:bookmarkEnd w:id="2154"/>
      <w:bookmarkEnd w:id="2155"/>
      <w:bookmarkEnd w:id="2156"/>
      <w:bookmarkEnd w:id="2157"/>
      <w:bookmarkEnd w:id="2158"/>
    </w:p>
    <w:p w:rsidR="00140A23" w:rsidRPr="00BD6197" w:rsidRDefault="00140A23" w:rsidP="00140A23">
      <w:pPr>
        <w:rPr>
          <w:lang w:val="en-US"/>
        </w:rPr>
      </w:pPr>
      <w:r w:rsidRPr="00BD6197">
        <w:rPr>
          <w:lang w:val="en-US"/>
        </w:rPr>
        <w:t>The Brazilian General Telecommunication Law, issued in 1997, established that the use of radio frequency for any service would always be charged. The value of the charge should alternatively be:</w:t>
      </w:r>
    </w:p>
    <w:p w:rsidR="00140A23" w:rsidRPr="00BD6197" w:rsidRDefault="00140A23" w:rsidP="00140A23">
      <w:pPr>
        <w:pStyle w:val="enumlev1"/>
        <w:rPr>
          <w:lang w:val="en-US"/>
        </w:rPr>
      </w:pPr>
      <w:r w:rsidRPr="00BD6197">
        <w:rPr>
          <w:szCs w:val="24"/>
          <w:lang w:val="en-US"/>
        </w:rPr>
        <w:sym w:font="Symbol" w:char="F02D"/>
      </w:r>
      <w:r w:rsidRPr="00BD6197">
        <w:rPr>
          <w:lang w:val="en-US"/>
        </w:rPr>
        <w:tab/>
        <w:t>determined by the regulations or the tender invitation document; or</w:t>
      </w:r>
    </w:p>
    <w:p w:rsidR="00140A23" w:rsidRPr="00BD6197" w:rsidRDefault="00140A23" w:rsidP="00140A23">
      <w:pPr>
        <w:pStyle w:val="enumlev1"/>
        <w:rPr>
          <w:lang w:val="en-US"/>
        </w:rPr>
      </w:pPr>
      <w:r w:rsidRPr="00BD6197">
        <w:rPr>
          <w:szCs w:val="24"/>
          <w:lang w:val="en-US"/>
        </w:rPr>
        <w:sym w:font="Symbol" w:char="F02D"/>
      </w:r>
      <w:r w:rsidRPr="00BD6197">
        <w:rPr>
          <w:lang w:val="en-US"/>
        </w:rPr>
        <w:tab/>
        <w:t>established as per the winning proposal, when it becomes a judgment item or established in the concession contract or license act, in the cases where bidding is not required.</w:t>
      </w:r>
    </w:p>
    <w:p w:rsidR="00140A23" w:rsidRPr="00BD6197" w:rsidRDefault="00140A23" w:rsidP="00263872">
      <w:pPr>
        <w:keepNext/>
        <w:keepLines/>
        <w:rPr>
          <w:lang w:val="en-US"/>
        </w:rPr>
      </w:pPr>
      <w:r w:rsidRPr="00BD6197">
        <w:rPr>
          <w:lang w:val="en-US"/>
        </w:rPr>
        <w:t>In 2004, the National Telecommunication Agency reviewed the regulation on the collection of public fees for the right to use radio frequencies. The main premise of such rules was kept, i.e. the price should be based on how one precludes the use of a specific radio frequency to other users. So the following aspects were considered: time, space (geographic area), bandwidth and frequency band.</w:t>
      </w:r>
    </w:p>
    <w:p w:rsidR="00140A23" w:rsidRPr="00BD6197" w:rsidRDefault="00140A23" w:rsidP="00263872">
      <w:pPr>
        <w:rPr>
          <w:lang w:val="en-US"/>
        </w:rPr>
      </w:pPr>
      <w:r w:rsidRPr="00BD6197">
        <w:rPr>
          <w:lang w:val="en-US"/>
        </w:rPr>
        <w:t>It was considered that the frequency bands around 1.5 GHz were, from the economic point of view, more important than any other, and so they should have a higher value. Consequently, two functions were defined to describe such idea, which is illustrated in Fig. 1</w:t>
      </w:r>
      <w:r w:rsidR="00263872">
        <w:rPr>
          <w:lang w:val="en-US"/>
        </w:rPr>
        <w:t>8</w:t>
      </w:r>
      <w:r w:rsidRPr="00BD6197">
        <w:rPr>
          <w:lang w:val="en-US"/>
        </w:rPr>
        <w:t>.</w:t>
      </w:r>
    </w:p>
    <w:p w:rsidR="00140A23" w:rsidRPr="00BD6197" w:rsidRDefault="00263872" w:rsidP="00140A23">
      <w:pPr>
        <w:pStyle w:val="FigureNo"/>
        <w:rPr>
          <w:lang w:val="en-US"/>
        </w:rPr>
      </w:pPr>
      <w:r>
        <w:rPr>
          <w:lang w:val="en-US"/>
        </w:rPr>
        <w:t>figure 18</w:t>
      </w:r>
    </w:p>
    <w:p w:rsidR="00140A23" w:rsidRPr="00BD6197" w:rsidRDefault="00140A23" w:rsidP="00140A23">
      <w:pPr>
        <w:pStyle w:val="Figure"/>
        <w:rPr>
          <w:lang w:val="en-US"/>
        </w:rPr>
      </w:pPr>
      <w:r w:rsidRPr="00BD6197">
        <w:rPr>
          <w:lang w:val="en-US"/>
        </w:rPr>
        <w:object w:dxaOrig="6013" w:dyaOrig="3753">
          <v:shape id="_x0000_i1155" type="#_x0000_t75" style="width:389.25pt;height:243pt" o:ole="">
            <v:imagedata r:id="rId290" o:title=""/>
          </v:shape>
          <o:OLEObject Type="Embed" ProgID="CorelDRAW.Graphic.14" ShapeID="_x0000_i1155" DrawAspect="Content" ObjectID="_1604325108" r:id="rId291"/>
        </w:object>
      </w:r>
    </w:p>
    <w:p w:rsidR="00140A23" w:rsidRPr="00BD6197" w:rsidRDefault="00140A23" w:rsidP="00140A23">
      <w:pPr>
        <w:rPr>
          <w:lang w:val="en-US"/>
        </w:rPr>
      </w:pPr>
      <w:r w:rsidRPr="00BD6197">
        <w:rPr>
          <w:lang w:val="en-US"/>
        </w:rPr>
        <w:lastRenderedPageBreak/>
        <w:t xml:space="preserve">For a centre frequency </w:t>
      </w:r>
      <w:r w:rsidRPr="00BD6197">
        <w:rPr>
          <w:i/>
          <w:iCs/>
          <w:lang w:val="en-US"/>
        </w:rPr>
        <w:t>f</w:t>
      </w:r>
      <w:r w:rsidRPr="00BD6197">
        <w:rPr>
          <w:lang w:val="en-US"/>
        </w:rPr>
        <w:t xml:space="preserve"> (kHz) less than, or equal to, 1.5 GHz:</w:t>
      </w:r>
    </w:p>
    <w:p w:rsidR="00140A23" w:rsidRPr="00BD6197" w:rsidRDefault="00140A23" w:rsidP="00140A23">
      <w:pPr>
        <w:pStyle w:val="Blanc"/>
        <w:rPr>
          <w:lang w:val="en-US"/>
        </w:rPr>
      </w:pPr>
    </w:p>
    <w:p w:rsidR="00140A23" w:rsidRPr="00BD6197" w:rsidRDefault="00140A23" w:rsidP="00140A23">
      <w:pPr>
        <w:pStyle w:val="Equation"/>
        <w:rPr>
          <w:lang w:val="en-US"/>
        </w:rPr>
      </w:pPr>
      <w:r w:rsidRPr="00BD6197">
        <w:rPr>
          <w:lang w:val="en-US"/>
        </w:rPr>
        <w:tab/>
      </w:r>
      <w:r w:rsidRPr="00BD6197">
        <w:rPr>
          <w:lang w:val="en-US"/>
        </w:rPr>
        <w:tab/>
      </w:r>
      <w:r w:rsidRPr="00BD6197">
        <w:rPr>
          <w:position w:val="-10"/>
          <w:lang w:val="en-US"/>
        </w:rPr>
        <w:object w:dxaOrig="4200" w:dyaOrig="720">
          <v:shape id="_x0000_i1156" type="#_x0000_t75" style="width:207pt;height:35.25pt" o:ole="">
            <v:imagedata r:id="rId292" o:title=""/>
          </v:shape>
          <o:OLEObject Type="Embed" ProgID="Equation.3" ShapeID="_x0000_i1156" DrawAspect="Content" ObjectID="_1604325109" r:id="rId293"/>
        </w:object>
      </w:r>
    </w:p>
    <w:p w:rsidR="00140A23" w:rsidRPr="00BD6197" w:rsidRDefault="00140A23" w:rsidP="00140A23">
      <w:pPr>
        <w:pStyle w:val="Blanc"/>
        <w:rPr>
          <w:lang w:val="en-US"/>
        </w:rPr>
      </w:pPr>
    </w:p>
    <w:p w:rsidR="00140A23" w:rsidRPr="00BD6197" w:rsidRDefault="00140A23" w:rsidP="00140A23">
      <w:pPr>
        <w:rPr>
          <w:lang w:val="en-US"/>
        </w:rPr>
      </w:pPr>
      <w:r w:rsidRPr="00BD6197">
        <w:rPr>
          <w:lang w:val="en-US"/>
        </w:rPr>
        <w:t xml:space="preserve">For a centre frequency </w:t>
      </w:r>
      <w:r w:rsidRPr="00BD6197">
        <w:rPr>
          <w:i/>
          <w:iCs/>
          <w:lang w:val="en-US"/>
        </w:rPr>
        <w:t>f</w:t>
      </w:r>
      <w:r w:rsidRPr="00BD6197">
        <w:rPr>
          <w:lang w:val="en-US"/>
        </w:rPr>
        <w:t xml:space="preserve"> (kHz) greater than 1.5 GHz:</w:t>
      </w:r>
    </w:p>
    <w:p w:rsidR="00140A23" w:rsidRPr="00BD6197" w:rsidRDefault="00140A23" w:rsidP="00140A23">
      <w:pPr>
        <w:pStyle w:val="Blanc"/>
        <w:rPr>
          <w:lang w:val="en-US"/>
        </w:rPr>
      </w:pPr>
    </w:p>
    <w:p w:rsidR="00140A23" w:rsidRPr="00BD6197" w:rsidRDefault="00140A23" w:rsidP="00140A23">
      <w:pPr>
        <w:pStyle w:val="Equation"/>
        <w:rPr>
          <w:lang w:val="en-US"/>
        </w:rPr>
      </w:pPr>
      <w:r w:rsidRPr="00BD6197">
        <w:rPr>
          <w:position w:val="-10"/>
          <w:lang w:val="en-US"/>
        </w:rPr>
        <w:tab/>
      </w:r>
      <w:r w:rsidRPr="00BD6197">
        <w:rPr>
          <w:position w:val="-10"/>
          <w:lang w:val="en-US"/>
        </w:rPr>
        <w:tab/>
      </w:r>
      <w:r w:rsidRPr="00BD6197">
        <w:rPr>
          <w:position w:val="-10"/>
          <w:lang w:val="en-US"/>
        </w:rPr>
        <w:object w:dxaOrig="4200" w:dyaOrig="720">
          <v:shape id="_x0000_i1157" type="#_x0000_t75" style="width:207pt;height:35.25pt" o:ole="">
            <v:imagedata r:id="rId294" o:title=""/>
          </v:shape>
          <o:OLEObject Type="Embed" ProgID="Equation.3" ShapeID="_x0000_i1157" DrawAspect="Content" ObjectID="_1604325110" r:id="rId295"/>
        </w:object>
      </w:r>
    </w:p>
    <w:p w:rsidR="00140A23" w:rsidRPr="00BD6197" w:rsidRDefault="00140A23" w:rsidP="00140A23">
      <w:pPr>
        <w:pStyle w:val="Blanc"/>
        <w:rPr>
          <w:lang w:val="en-US"/>
        </w:rPr>
      </w:pPr>
    </w:p>
    <w:p w:rsidR="00140A23" w:rsidRPr="00BD6197" w:rsidRDefault="00140A23" w:rsidP="00140A23">
      <w:pPr>
        <w:rPr>
          <w:lang w:val="en-US"/>
        </w:rPr>
      </w:pPr>
      <w:r w:rsidRPr="00BD6197">
        <w:rPr>
          <w:lang w:val="en-US"/>
        </w:rPr>
        <w:t>It is important to note that the procedure described for the calculation of the public fee applies to the authorization of use of any frequency within the entire radio frequency band.</w:t>
      </w:r>
    </w:p>
    <w:p w:rsidR="00140A23" w:rsidRPr="00A01420" w:rsidRDefault="00140A23" w:rsidP="00140A23">
      <w:pPr>
        <w:pStyle w:val="Headingb"/>
        <w:rPr>
          <w:lang w:val="en-US"/>
        </w:rPr>
      </w:pPr>
      <w:bookmarkStart w:id="2159" w:name="_Toc454284987"/>
      <w:bookmarkStart w:id="2160" w:name="_Toc462234151"/>
      <w:r w:rsidRPr="00A01420">
        <w:rPr>
          <w:lang w:val="en-US"/>
        </w:rPr>
        <w:t xml:space="preserve">The reference value, </w:t>
      </w:r>
      <w:r w:rsidRPr="00A01420">
        <w:rPr>
          <w:i/>
          <w:lang w:val="en-US"/>
        </w:rPr>
        <w:t>P</w:t>
      </w:r>
      <w:bookmarkEnd w:id="2159"/>
      <w:bookmarkEnd w:id="2160"/>
    </w:p>
    <w:p w:rsidR="00140A23" w:rsidRPr="00BD6197" w:rsidRDefault="00140A23" w:rsidP="00140A23">
      <w:pPr>
        <w:rPr>
          <w:lang w:val="en-US"/>
        </w:rPr>
      </w:pPr>
      <w:r w:rsidRPr="00BD6197">
        <w:rPr>
          <w:lang w:val="en-US"/>
        </w:rPr>
        <w:t>A reference value for the right to use radio frequencies is obtained by applying the following formula:</w:t>
      </w:r>
    </w:p>
    <w:p w:rsidR="00140A23" w:rsidRPr="00BD6197" w:rsidRDefault="00140A23" w:rsidP="00140A23">
      <w:pPr>
        <w:pStyle w:val="Equation"/>
        <w:rPr>
          <w:lang w:val="en-US"/>
        </w:rPr>
      </w:pPr>
      <w:r w:rsidRPr="00BD6197">
        <w:rPr>
          <w:lang w:val="en-US"/>
        </w:rPr>
        <w:tab/>
      </w:r>
      <w:r w:rsidRPr="00BD6197">
        <w:rPr>
          <w:lang w:val="en-US"/>
        </w:rPr>
        <w:tab/>
      </w:r>
      <w:r w:rsidRPr="00BD6197">
        <w:rPr>
          <w:position w:val="-10"/>
          <w:lang w:val="en-US"/>
        </w:rPr>
        <w:object w:dxaOrig="2640" w:dyaOrig="400">
          <v:shape id="_x0000_i1158" type="#_x0000_t75" style="width:130.5pt;height:21pt" o:ole="" fillcolor="window">
            <v:imagedata r:id="rId296" o:title=""/>
          </v:shape>
          <o:OLEObject Type="Embed" ProgID="Equation.3" ShapeID="_x0000_i1158" DrawAspect="Content" ObjectID="_1604325111" r:id="rId297"/>
        </w:object>
      </w:r>
    </w:p>
    <w:p w:rsidR="00140A23" w:rsidRPr="00BD6197" w:rsidRDefault="00140A23" w:rsidP="00140A23">
      <w:pPr>
        <w:keepNext/>
        <w:keepLines/>
        <w:rPr>
          <w:lang w:val="en-US"/>
        </w:rPr>
      </w:pPr>
      <w:r w:rsidRPr="00BD6197">
        <w:rPr>
          <w:lang w:val="en-US"/>
        </w:rPr>
        <w:t>where:</w:t>
      </w:r>
    </w:p>
    <w:p w:rsidR="00140A23" w:rsidRPr="00BD6197" w:rsidRDefault="00140A23" w:rsidP="00140A23">
      <w:pPr>
        <w:pStyle w:val="Equationlegend"/>
      </w:pPr>
      <w:r w:rsidRPr="00BD6197">
        <w:tab/>
      </w:r>
      <w:r w:rsidRPr="00BD6197">
        <w:rPr>
          <w:i/>
          <w:iCs/>
        </w:rPr>
        <w:t>B</w:t>
      </w:r>
      <w:r w:rsidRPr="00BD6197">
        <w:rPr>
          <w:rFonts w:ascii="Tms Rmn" w:hAnsi="Tms Rmn"/>
          <w:sz w:val="12"/>
        </w:rPr>
        <w:t> </w:t>
      </w:r>
      <w:r w:rsidRPr="00BD6197">
        <w:t>:</w:t>
      </w:r>
      <w:r w:rsidRPr="00BD6197">
        <w:tab/>
        <w:t>bandwidth to be authorized (kHz)</w:t>
      </w:r>
    </w:p>
    <w:p w:rsidR="00140A23" w:rsidRPr="00BD6197" w:rsidRDefault="00140A23" w:rsidP="00140A23">
      <w:pPr>
        <w:pStyle w:val="Equationlegend"/>
      </w:pPr>
      <w:r w:rsidRPr="00BD6197">
        <w:tab/>
      </w:r>
      <w:r w:rsidRPr="00BD6197">
        <w:rPr>
          <w:i/>
          <w:iCs/>
        </w:rPr>
        <w:t>A</w:t>
      </w:r>
      <w:r w:rsidRPr="00BD6197">
        <w:rPr>
          <w:rFonts w:ascii="Tms Rmn" w:hAnsi="Tms Rmn"/>
          <w:sz w:val="12"/>
        </w:rPr>
        <w:t> </w:t>
      </w:r>
      <w:r w:rsidRPr="00BD6197">
        <w:t>:</w:t>
      </w:r>
      <w:r w:rsidRPr="00BD6197">
        <w:tab/>
        <w:t>geographic area in which the frequency shall be used (km</w:t>
      </w:r>
      <w:r w:rsidRPr="00BD6197">
        <w:rPr>
          <w:szCs w:val="24"/>
          <w:vertAlign w:val="superscript"/>
        </w:rPr>
        <w:t>2</w:t>
      </w:r>
      <w:r w:rsidRPr="00BD6197">
        <w:t>)</w:t>
      </w:r>
    </w:p>
    <w:p w:rsidR="00140A23" w:rsidRPr="00BD6197" w:rsidRDefault="00140A23" w:rsidP="00140A23">
      <w:pPr>
        <w:pStyle w:val="Equationlegend"/>
      </w:pPr>
      <w:r w:rsidRPr="00BD6197">
        <w:tab/>
      </w:r>
      <w:r w:rsidRPr="00BD6197">
        <w:rPr>
          <w:i/>
          <w:iCs/>
        </w:rPr>
        <w:t>T</w:t>
      </w:r>
      <w:r w:rsidRPr="00BD6197">
        <w:rPr>
          <w:rFonts w:ascii="Tms Rmn" w:hAnsi="Tms Rmn"/>
          <w:sz w:val="12"/>
        </w:rPr>
        <w:t> </w:t>
      </w:r>
      <w:r w:rsidRPr="00BD6197">
        <w:t>:</w:t>
      </w:r>
      <w:r w:rsidRPr="00BD6197">
        <w:tab/>
        <w:t>factor related to the time period of use</w:t>
      </w:r>
    </w:p>
    <w:p w:rsidR="00140A23" w:rsidRPr="00BD6197" w:rsidRDefault="00140A23" w:rsidP="00140A23">
      <w:pPr>
        <w:pStyle w:val="Equationlegend"/>
      </w:pPr>
      <w:r w:rsidRPr="00BD6197">
        <w:tab/>
      </w:r>
      <w:r w:rsidRPr="00BD6197">
        <w:rPr>
          <w:i/>
          <w:iCs/>
        </w:rPr>
        <w:t>F</w:t>
      </w:r>
      <w:r w:rsidRPr="00BD6197">
        <w:rPr>
          <w:rFonts w:ascii="Tms Rmn" w:hAnsi="Tms Rmn"/>
          <w:sz w:val="12"/>
        </w:rPr>
        <w:t> </w:t>
      </w:r>
      <w:r w:rsidRPr="00BD6197">
        <w:t>(</w:t>
      </w:r>
      <w:r w:rsidRPr="00BD6197">
        <w:rPr>
          <w:rFonts w:ascii="Tms Rmn" w:hAnsi="Tms Rmn"/>
          <w:sz w:val="16"/>
        </w:rPr>
        <w:t> </w:t>
      </w:r>
      <w:r w:rsidRPr="00BD6197">
        <w:rPr>
          <w:i/>
          <w:iCs/>
        </w:rPr>
        <w:t>f</w:t>
      </w:r>
      <w:r w:rsidRPr="00BD6197">
        <w:rPr>
          <w:rFonts w:ascii="Tms Rmn" w:hAnsi="Tms Rmn"/>
          <w:i/>
          <w:iCs/>
        </w:rPr>
        <w:t> </w:t>
      </w:r>
      <w:r w:rsidRPr="00BD6197">
        <w:t>)</w:t>
      </w:r>
      <w:r w:rsidRPr="00BD6197">
        <w:rPr>
          <w:rFonts w:ascii="Tms Rmn" w:hAnsi="Tms Rmn"/>
          <w:sz w:val="12"/>
        </w:rPr>
        <w:t> </w:t>
      </w:r>
      <w:r w:rsidRPr="00BD6197">
        <w:t>:</w:t>
      </w:r>
      <w:r w:rsidRPr="00BD6197">
        <w:tab/>
        <w:t>frequency factor, according to the expression given above</w:t>
      </w:r>
    </w:p>
    <w:p w:rsidR="00140A23" w:rsidRPr="00BD6197" w:rsidRDefault="00140A23" w:rsidP="00140A23">
      <w:pPr>
        <w:pStyle w:val="Equationlegend"/>
      </w:pPr>
      <w:r w:rsidRPr="00BD6197">
        <w:tab/>
      </w:r>
      <w:r w:rsidRPr="00BD6197">
        <w:rPr>
          <w:i/>
          <w:iCs/>
        </w:rPr>
        <w:t>f</w:t>
      </w:r>
      <w:r w:rsidRPr="00BD6197">
        <w:rPr>
          <w:rFonts w:ascii="Tms Rmn" w:hAnsi="Tms Rmn"/>
          <w:sz w:val="12"/>
        </w:rPr>
        <w:t> </w:t>
      </w:r>
      <w:r w:rsidRPr="00BD6197">
        <w:t>:</w:t>
      </w:r>
      <w:r w:rsidRPr="00BD6197">
        <w:tab/>
        <w:t>centre frequency of the operating frequency band (kHz)</w:t>
      </w:r>
    </w:p>
    <w:p w:rsidR="00140A23" w:rsidRPr="00BD6197" w:rsidRDefault="00140A23" w:rsidP="00140A23">
      <w:pPr>
        <w:pStyle w:val="Equationlegend"/>
      </w:pPr>
      <w:r w:rsidRPr="00BD6197">
        <w:tab/>
      </w:r>
      <w:r w:rsidRPr="00BD6197">
        <w:rPr>
          <w:i/>
          <w:iCs/>
        </w:rPr>
        <w:t>K</w:t>
      </w:r>
      <w:r w:rsidRPr="00BD6197">
        <w:rPr>
          <w:rFonts w:ascii="Tms Rmn" w:hAnsi="Tms Rmn"/>
          <w:sz w:val="12"/>
        </w:rPr>
        <w:t> </w:t>
      </w:r>
      <w:r w:rsidRPr="00BD6197">
        <w:t>:</w:t>
      </w:r>
      <w:r w:rsidRPr="00BD6197">
        <w:tab/>
        <w:t>cost factor of radio frequency.</w:t>
      </w:r>
    </w:p>
    <w:p w:rsidR="001B381F" w:rsidRPr="00BD6197" w:rsidRDefault="001B381F" w:rsidP="001B381F">
      <w:pPr>
        <w:rPr>
          <w:lang w:val="en-US"/>
        </w:rPr>
      </w:pPr>
      <w:r w:rsidRPr="00BD6197">
        <w:rPr>
          <w:lang w:val="en-US"/>
        </w:rPr>
        <w:t xml:space="preserve">The value of frequency, </w:t>
      </w:r>
      <w:r w:rsidRPr="00BD6197">
        <w:rPr>
          <w:i/>
          <w:lang w:val="en-US"/>
        </w:rPr>
        <w:t>f</w:t>
      </w:r>
      <w:r w:rsidRPr="00BD6197">
        <w:rPr>
          <w:iCs/>
          <w:lang w:val="en-US"/>
        </w:rPr>
        <w:t>,</w:t>
      </w:r>
      <w:r w:rsidRPr="00BD6197">
        <w:rPr>
          <w:lang w:val="en-US"/>
        </w:rPr>
        <w:t xml:space="preserve"> to be used in the formula shall be the average value of the minimum and maximum authorized frequencies, and, in the case that a specific channel is used, such value shall be equal to that of the carrier frequency of the mentioned channel.</w:t>
      </w:r>
    </w:p>
    <w:p w:rsidR="001B381F" w:rsidRPr="00A01420" w:rsidRDefault="001B381F" w:rsidP="001B381F">
      <w:pPr>
        <w:pStyle w:val="Headingb"/>
        <w:rPr>
          <w:lang w:val="en-US"/>
        </w:rPr>
      </w:pPr>
      <w:bookmarkStart w:id="2161" w:name="_Toc454284988"/>
      <w:bookmarkStart w:id="2162" w:name="_Toc462234152"/>
      <w:r w:rsidRPr="00A01420">
        <w:rPr>
          <w:lang w:val="en-US"/>
        </w:rPr>
        <w:t xml:space="preserve">The bandwidth, </w:t>
      </w:r>
      <w:r w:rsidRPr="00A01420">
        <w:rPr>
          <w:i/>
          <w:lang w:val="en-US"/>
        </w:rPr>
        <w:t>B</w:t>
      </w:r>
      <w:bookmarkEnd w:id="2161"/>
      <w:bookmarkEnd w:id="2162"/>
    </w:p>
    <w:p w:rsidR="001B381F" w:rsidRPr="00BD6197" w:rsidRDefault="001B381F" w:rsidP="001B381F">
      <w:pPr>
        <w:rPr>
          <w:lang w:val="en-US"/>
        </w:rPr>
      </w:pPr>
      <w:r w:rsidRPr="00BD6197">
        <w:rPr>
          <w:lang w:val="en-US"/>
        </w:rPr>
        <w:t xml:space="preserve">As regards exclusive use, the value of bandwidth </w:t>
      </w:r>
      <w:r w:rsidRPr="00BD6197">
        <w:rPr>
          <w:i/>
          <w:lang w:val="en-US"/>
        </w:rPr>
        <w:t>B</w:t>
      </w:r>
      <w:r w:rsidRPr="00BD6197">
        <w:rPr>
          <w:lang w:val="en-US"/>
        </w:rPr>
        <w:t xml:space="preserve"> to be used in the formula is that of the total authorized band, whereas as regards non-exclusive use, the value to be considered is that of the authorized bandwidth, according to the emission designation.</w:t>
      </w:r>
    </w:p>
    <w:p w:rsidR="001B381F" w:rsidRPr="00A01420" w:rsidRDefault="001B381F" w:rsidP="001B381F">
      <w:pPr>
        <w:pStyle w:val="Headingb"/>
        <w:rPr>
          <w:u w:val="single"/>
          <w:lang w:val="en-US"/>
        </w:rPr>
      </w:pPr>
      <w:bookmarkStart w:id="2163" w:name="_Toc454284989"/>
      <w:bookmarkStart w:id="2164" w:name="_Toc462234153"/>
      <w:r w:rsidRPr="00A01420">
        <w:rPr>
          <w:lang w:val="en-US"/>
        </w:rPr>
        <w:t xml:space="preserve">The area, </w:t>
      </w:r>
      <w:r w:rsidRPr="00A01420">
        <w:rPr>
          <w:i/>
          <w:lang w:val="en-US"/>
        </w:rPr>
        <w:t>A</w:t>
      </w:r>
      <w:bookmarkEnd w:id="2163"/>
      <w:bookmarkEnd w:id="2164"/>
    </w:p>
    <w:p w:rsidR="001B381F" w:rsidRPr="00BD6197" w:rsidRDefault="001B381F" w:rsidP="001B381F">
      <w:pPr>
        <w:rPr>
          <w:lang w:val="en-US"/>
        </w:rPr>
      </w:pPr>
      <w:r w:rsidRPr="00BD6197">
        <w:rPr>
          <w:lang w:val="en-US"/>
        </w:rPr>
        <w:t xml:space="preserve">As regards exclusive use, the value of area </w:t>
      </w:r>
      <w:r w:rsidRPr="00BD6197">
        <w:rPr>
          <w:i/>
          <w:lang w:val="en-US"/>
        </w:rPr>
        <w:t>A</w:t>
      </w:r>
      <w:r w:rsidRPr="00BD6197">
        <w:rPr>
          <w:lang w:val="en-US"/>
        </w:rPr>
        <w:t xml:space="preserve"> to be used in the formula is that of the region for which the service was authorized, or the designated area covered by the station. Whereas as regards non-exclusive use, the value of area </w:t>
      </w:r>
      <w:r w:rsidRPr="00BD6197">
        <w:rPr>
          <w:i/>
          <w:lang w:val="en-US"/>
        </w:rPr>
        <w:t>A</w:t>
      </w:r>
      <w:r w:rsidRPr="00BD6197">
        <w:rPr>
          <w:lang w:val="en-US"/>
        </w:rPr>
        <w:t xml:space="preserve"> shall be that which is indicated in the license. If no such indication exists, the value of the area shall be that of the surface defined by the circular sector of radius </w:t>
      </w:r>
      <w:r w:rsidRPr="00BD6197">
        <w:rPr>
          <w:i/>
          <w:lang w:val="en-US"/>
        </w:rPr>
        <w:t>d</w:t>
      </w:r>
      <w:r w:rsidRPr="00BD6197">
        <w:rPr>
          <w:lang w:val="en-US"/>
        </w:rPr>
        <w:t xml:space="preserve"> and antenna aperture </w:t>
      </w:r>
      <w:r w:rsidRPr="00BD6197">
        <w:rPr>
          <w:szCs w:val="24"/>
          <w:lang w:val="en-US"/>
        </w:rPr>
        <w:sym w:font="Symbol" w:char="F061"/>
      </w:r>
      <w:r w:rsidRPr="00BD6197">
        <w:rPr>
          <w:lang w:val="en-US"/>
        </w:rPr>
        <w:t>, that is:</w:t>
      </w:r>
    </w:p>
    <w:p w:rsidR="001B381F" w:rsidRPr="00BD6197" w:rsidRDefault="001B381F" w:rsidP="001B381F">
      <w:pPr>
        <w:pStyle w:val="Blanc"/>
        <w:rPr>
          <w:lang w:val="en-US"/>
        </w:rPr>
      </w:pPr>
    </w:p>
    <w:p w:rsidR="001B381F" w:rsidRPr="00BD6197" w:rsidRDefault="001B381F" w:rsidP="001B381F">
      <w:pPr>
        <w:pStyle w:val="Equation"/>
        <w:rPr>
          <w:lang w:val="en-US"/>
        </w:rPr>
      </w:pPr>
      <w:r w:rsidRPr="00BD6197">
        <w:rPr>
          <w:lang w:val="en-US"/>
        </w:rPr>
        <w:tab/>
      </w:r>
      <w:r w:rsidRPr="00BD6197">
        <w:rPr>
          <w:lang w:val="en-US"/>
        </w:rPr>
        <w:tab/>
      </w:r>
      <w:r w:rsidRPr="00BD6197">
        <w:rPr>
          <w:position w:val="-24"/>
          <w:lang w:val="en-US"/>
        </w:rPr>
        <w:object w:dxaOrig="1800" w:dyaOrig="620">
          <v:shape id="_x0000_i1159" type="#_x0000_t75" style="width:87.75pt;height:31.5pt" o:ole="">
            <v:imagedata r:id="rId298" o:title=""/>
          </v:shape>
          <o:OLEObject Type="Embed" ProgID="Equation.3" ShapeID="_x0000_i1159" DrawAspect="Content" ObjectID="_1604325112" r:id="rId299"/>
        </w:object>
      </w:r>
    </w:p>
    <w:p w:rsidR="001B381F" w:rsidRPr="00BD6197" w:rsidRDefault="001B381F" w:rsidP="001B381F">
      <w:pPr>
        <w:pStyle w:val="Blanc"/>
        <w:rPr>
          <w:lang w:val="en-US"/>
        </w:rPr>
      </w:pPr>
    </w:p>
    <w:p w:rsidR="001B381F" w:rsidRPr="00BD6197" w:rsidRDefault="001B381F" w:rsidP="001B381F">
      <w:pPr>
        <w:rPr>
          <w:lang w:val="en-US"/>
        </w:rPr>
      </w:pPr>
      <w:r w:rsidRPr="00BD6197">
        <w:rPr>
          <w:lang w:val="en-US"/>
        </w:rPr>
        <w:t xml:space="preserve">For point-to-point systems, </w:t>
      </w:r>
      <w:r w:rsidRPr="00BD6197">
        <w:rPr>
          <w:i/>
          <w:lang w:val="en-US"/>
        </w:rPr>
        <w:t>d</w:t>
      </w:r>
      <w:r w:rsidRPr="00BD6197">
        <w:rPr>
          <w:lang w:val="en-US"/>
        </w:rPr>
        <w:t xml:space="preserve"> is the distance (km) between the stations involved and </w:t>
      </w:r>
      <w:r w:rsidRPr="00BD6197">
        <w:rPr>
          <w:szCs w:val="24"/>
          <w:lang w:val="en-US"/>
        </w:rPr>
        <w:sym w:font="Symbol" w:char="F061"/>
      </w:r>
      <w:r w:rsidRPr="00BD6197">
        <w:rPr>
          <w:lang w:val="en-US"/>
        </w:rPr>
        <w:t xml:space="preserve"> is the half</w:t>
      </w:r>
      <w:r w:rsidRPr="00BD6197">
        <w:rPr>
          <w:lang w:val="en-US"/>
        </w:rPr>
        <w:noBreakHyphen/>
        <w:t xml:space="preserve">power angle (degrees) of the radiating system. For point-area systems, the distance, </w:t>
      </w:r>
      <w:r w:rsidRPr="00BD6197">
        <w:rPr>
          <w:i/>
          <w:lang w:val="en-US"/>
        </w:rPr>
        <w:t>d</w:t>
      </w:r>
      <w:r w:rsidRPr="00BD6197">
        <w:rPr>
          <w:iCs/>
          <w:lang w:val="en-US"/>
        </w:rPr>
        <w:t>,</w:t>
      </w:r>
      <w:r w:rsidRPr="00BD6197">
        <w:rPr>
          <w:lang w:val="en-US"/>
        </w:rPr>
        <w:t xml:space="preserve"> to be considered is the farthest distance (km) covered by the nodal station.</w:t>
      </w:r>
    </w:p>
    <w:p w:rsidR="001B381F" w:rsidRPr="00BD6197" w:rsidRDefault="001B381F" w:rsidP="001B381F">
      <w:pPr>
        <w:rPr>
          <w:lang w:val="en-US"/>
        </w:rPr>
      </w:pPr>
      <w:r w:rsidRPr="00BD6197">
        <w:rPr>
          <w:lang w:val="en-US"/>
        </w:rPr>
        <w:lastRenderedPageBreak/>
        <w:t>Under any circumstances, the surface to be considered in the calculation of the area shall be limited to the national territory, including the Brazilian territorial waters.</w:t>
      </w:r>
    </w:p>
    <w:p w:rsidR="001B381F" w:rsidRPr="00BD6197" w:rsidRDefault="001B381F" w:rsidP="001B381F">
      <w:pPr>
        <w:rPr>
          <w:lang w:val="en-US"/>
        </w:rPr>
      </w:pPr>
      <w:r w:rsidRPr="00BD6197">
        <w:rPr>
          <w:lang w:val="en-US"/>
        </w:rPr>
        <w:t>The minimum value of the area shall be 1 km</w:t>
      </w:r>
      <w:r w:rsidRPr="00BD6197">
        <w:rPr>
          <w:vertAlign w:val="superscript"/>
          <w:lang w:val="en-US"/>
        </w:rPr>
        <w:t>2</w:t>
      </w:r>
      <w:r w:rsidRPr="00BD6197">
        <w:rPr>
          <w:lang w:val="en-US"/>
        </w:rPr>
        <w:t>.</w:t>
      </w:r>
    </w:p>
    <w:p w:rsidR="001B381F" w:rsidRPr="00BD6197" w:rsidRDefault="001B381F" w:rsidP="001B381F">
      <w:pPr>
        <w:tabs>
          <w:tab w:val="left" w:pos="3969"/>
        </w:tabs>
        <w:rPr>
          <w:lang w:val="en-US"/>
        </w:rPr>
      </w:pPr>
      <w:r w:rsidRPr="00BD6197">
        <w:rPr>
          <w:lang w:val="en-US"/>
        </w:rPr>
        <w:t xml:space="preserve">With respect to Earth-space feeder links for satellite communications systems, the value of area </w:t>
      </w:r>
      <w:r w:rsidRPr="00BD6197">
        <w:rPr>
          <w:i/>
          <w:lang w:val="en-US"/>
        </w:rPr>
        <w:t>A</w:t>
      </w:r>
      <w:r w:rsidRPr="00BD6197">
        <w:rPr>
          <w:lang w:val="en-US"/>
        </w:rPr>
        <w:t xml:space="preserve"> to be considered shall be that of the coordination area, determined in accordance with the procedures described in RR Appendix 7.</w:t>
      </w:r>
    </w:p>
    <w:p w:rsidR="001B381F" w:rsidRPr="00A01420" w:rsidRDefault="001B381F" w:rsidP="001B381F">
      <w:pPr>
        <w:pStyle w:val="Headingb"/>
        <w:rPr>
          <w:lang w:val="en-US"/>
        </w:rPr>
      </w:pPr>
      <w:bookmarkStart w:id="2165" w:name="_Toc454284990"/>
      <w:bookmarkStart w:id="2166" w:name="_Toc462234154"/>
      <w:r w:rsidRPr="00A01420">
        <w:rPr>
          <w:lang w:val="en-US"/>
        </w:rPr>
        <w:t xml:space="preserve">The Time, </w:t>
      </w:r>
      <w:r w:rsidRPr="00A01420">
        <w:rPr>
          <w:i/>
          <w:lang w:val="en-US"/>
        </w:rPr>
        <w:t>T</w:t>
      </w:r>
      <w:bookmarkEnd w:id="2165"/>
      <w:bookmarkEnd w:id="2166"/>
    </w:p>
    <w:p w:rsidR="001B381F" w:rsidRPr="00BD6197" w:rsidRDefault="001B381F" w:rsidP="001B381F">
      <w:pPr>
        <w:keepNext/>
        <w:keepLines/>
        <w:rPr>
          <w:lang w:val="en-US"/>
        </w:rPr>
      </w:pPr>
      <w:r w:rsidRPr="00BD6197">
        <w:rPr>
          <w:lang w:val="en-US"/>
        </w:rPr>
        <w:t xml:space="preserve">The factor </w:t>
      </w:r>
      <w:r w:rsidRPr="00BD6197">
        <w:rPr>
          <w:i/>
          <w:lang w:val="en-US"/>
        </w:rPr>
        <w:t>T</w:t>
      </w:r>
      <w:r w:rsidRPr="00BD6197">
        <w:rPr>
          <w:lang w:val="en-US"/>
        </w:rPr>
        <w:t xml:space="preserve"> takes into consideration both the number of hours of use per day </w:t>
      </w:r>
      <w:r w:rsidRPr="00BD6197">
        <w:rPr>
          <w:i/>
          <w:lang w:val="en-US"/>
        </w:rPr>
        <w:t>T</w:t>
      </w:r>
      <w:r w:rsidRPr="00BD6197">
        <w:rPr>
          <w:vertAlign w:val="subscript"/>
          <w:lang w:val="en-US"/>
        </w:rPr>
        <w:t>1</w:t>
      </w:r>
      <w:r w:rsidRPr="00BD6197">
        <w:rPr>
          <w:lang w:val="en-US"/>
        </w:rPr>
        <w:t xml:space="preserve"> and the term </w:t>
      </w:r>
      <w:r w:rsidRPr="00BD6197">
        <w:rPr>
          <w:i/>
          <w:lang w:val="en-US"/>
        </w:rPr>
        <w:t>T</w:t>
      </w:r>
      <w:r w:rsidRPr="00BD6197">
        <w:rPr>
          <w:vertAlign w:val="subscript"/>
          <w:lang w:val="en-US"/>
        </w:rPr>
        <w:t>2</w:t>
      </w:r>
      <w:r w:rsidRPr="00BD6197">
        <w:rPr>
          <w:lang w:val="en-US"/>
        </w:rPr>
        <w:t>, in years, of the authorization to use the radio frequency, and shall be calculated by the following formula:</w:t>
      </w:r>
    </w:p>
    <w:p w:rsidR="001B381F" w:rsidRPr="00BD6197" w:rsidRDefault="001B381F" w:rsidP="001B381F">
      <w:pPr>
        <w:pStyle w:val="Blanc"/>
        <w:rPr>
          <w:lang w:val="en-US"/>
        </w:rPr>
      </w:pPr>
    </w:p>
    <w:p w:rsidR="001B381F" w:rsidRPr="00BD6197" w:rsidRDefault="001B381F" w:rsidP="001B381F">
      <w:pPr>
        <w:pStyle w:val="Equation"/>
        <w:rPr>
          <w:lang w:val="en-US"/>
        </w:rPr>
      </w:pPr>
      <w:r w:rsidRPr="00BD6197">
        <w:rPr>
          <w:lang w:val="en-US"/>
        </w:rPr>
        <w:tab/>
      </w:r>
      <w:r w:rsidRPr="00BD6197">
        <w:rPr>
          <w:lang w:val="en-US"/>
        </w:rPr>
        <w:tab/>
      </w:r>
      <w:r w:rsidRPr="00BD6197">
        <w:rPr>
          <w:position w:val="-26"/>
          <w:sz w:val="20"/>
          <w:lang w:val="en-US"/>
        </w:rPr>
        <w:object w:dxaOrig="1600" w:dyaOrig="639">
          <v:shape id="_x0000_i1160" type="#_x0000_t75" style="width:80.25pt;height:31.5pt" o:ole="">
            <v:imagedata r:id="rId300" o:title=""/>
          </v:shape>
          <o:OLEObject Type="Embed" ProgID="Equation.3" ShapeID="_x0000_i1160" DrawAspect="Content" ObjectID="_1604325113" r:id="rId301"/>
        </w:object>
      </w:r>
    </w:p>
    <w:p w:rsidR="001B381F" w:rsidRPr="00BD6197" w:rsidRDefault="001B381F" w:rsidP="001B381F">
      <w:pPr>
        <w:pStyle w:val="Blanc"/>
        <w:rPr>
          <w:lang w:val="en-US"/>
        </w:rPr>
      </w:pPr>
    </w:p>
    <w:p w:rsidR="001B381F" w:rsidRPr="00BD6197" w:rsidRDefault="001B381F" w:rsidP="001B381F">
      <w:pPr>
        <w:rPr>
          <w:lang w:val="en-US"/>
        </w:rPr>
      </w:pPr>
      <w:r w:rsidRPr="00BD6197">
        <w:rPr>
          <w:lang w:val="en-US"/>
        </w:rPr>
        <w:t xml:space="preserve">For periods of use per day of less than one hour, the value of </w:t>
      </w:r>
      <w:r w:rsidRPr="00BD6197">
        <w:rPr>
          <w:i/>
          <w:iCs/>
          <w:lang w:val="en-US"/>
        </w:rPr>
        <w:t>T</w:t>
      </w:r>
      <w:r w:rsidRPr="00BD6197">
        <w:rPr>
          <w:vertAlign w:val="subscript"/>
          <w:lang w:val="en-US"/>
        </w:rPr>
        <w:t>1</w:t>
      </w:r>
      <w:r w:rsidRPr="00BD6197">
        <w:rPr>
          <w:lang w:val="en-US"/>
        </w:rPr>
        <w:t xml:space="preserve"> to be considered shall be 1 h.</w:t>
      </w:r>
    </w:p>
    <w:p w:rsidR="001B381F" w:rsidRPr="00BD6197" w:rsidRDefault="001B381F" w:rsidP="001B381F">
      <w:pPr>
        <w:rPr>
          <w:lang w:val="en-US"/>
        </w:rPr>
      </w:pPr>
      <w:r w:rsidRPr="00BD6197">
        <w:rPr>
          <w:lang w:val="en-US"/>
        </w:rPr>
        <w:t xml:space="preserve">For authorizations granted for a term of less than one year, the value of </w:t>
      </w:r>
      <w:r w:rsidRPr="00BD6197">
        <w:rPr>
          <w:i/>
          <w:iCs/>
          <w:lang w:val="en-US"/>
        </w:rPr>
        <w:t>T</w:t>
      </w:r>
      <w:r w:rsidRPr="00BD6197">
        <w:rPr>
          <w:vertAlign w:val="subscript"/>
          <w:lang w:val="en-US"/>
        </w:rPr>
        <w:t>2</w:t>
      </w:r>
      <w:r w:rsidRPr="00BD6197">
        <w:rPr>
          <w:lang w:val="en-US"/>
        </w:rPr>
        <w:t xml:space="preserve"> to be considered shall be one year.</w:t>
      </w:r>
    </w:p>
    <w:p w:rsidR="001B381F" w:rsidRPr="00A01420" w:rsidRDefault="001B381F" w:rsidP="001B381F">
      <w:pPr>
        <w:pStyle w:val="Headingb"/>
        <w:rPr>
          <w:lang w:val="en-US"/>
        </w:rPr>
      </w:pPr>
      <w:bookmarkStart w:id="2167" w:name="_Toc454284991"/>
      <w:bookmarkStart w:id="2168" w:name="_Toc462234155"/>
      <w:r w:rsidRPr="00A01420">
        <w:rPr>
          <w:lang w:val="en-US"/>
        </w:rPr>
        <w:t xml:space="preserve">The cost factor, </w:t>
      </w:r>
      <w:r w:rsidRPr="00A01420">
        <w:rPr>
          <w:i/>
          <w:lang w:val="en-US"/>
        </w:rPr>
        <w:t>K</w:t>
      </w:r>
      <w:bookmarkEnd w:id="2167"/>
      <w:bookmarkEnd w:id="2168"/>
    </w:p>
    <w:p w:rsidR="001B381F" w:rsidRPr="00BD6197" w:rsidRDefault="001B381F" w:rsidP="00AE3C7E">
      <w:pPr>
        <w:rPr>
          <w:lang w:val="en-US"/>
        </w:rPr>
      </w:pPr>
      <w:r w:rsidRPr="00BD6197">
        <w:rPr>
          <w:lang w:val="en-US"/>
        </w:rPr>
        <w:t xml:space="preserve">The cost factor </w:t>
      </w:r>
      <w:r w:rsidRPr="00BD6197">
        <w:rPr>
          <w:i/>
          <w:lang w:val="en-US"/>
        </w:rPr>
        <w:t>K</w:t>
      </w:r>
      <w:r w:rsidRPr="00BD6197">
        <w:rPr>
          <w:lang w:val="en-US"/>
        </w:rPr>
        <w:t xml:space="preserve"> is defined by taking into consideration the mode of use of the spectrum, whether exclusive or non-exclusive, and the nature of the interest in the service, whether collective or restricted, as shown in Table 3</w:t>
      </w:r>
      <w:r w:rsidR="00AE3C7E">
        <w:rPr>
          <w:lang w:val="en-US"/>
        </w:rPr>
        <w:t>5</w:t>
      </w:r>
      <w:r w:rsidRPr="00BD6197">
        <w:rPr>
          <w:lang w:val="en-US"/>
        </w:rPr>
        <w:t>:</w:t>
      </w:r>
    </w:p>
    <w:p w:rsidR="001B381F" w:rsidRPr="00BD6197" w:rsidRDefault="001B381F" w:rsidP="00AE3C7E">
      <w:pPr>
        <w:pStyle w:val="TableNo"/>
        <w:keepLines/>
        <w:rPr>
          <w:lang w:val="en-US"/>
        </w:rPr>
      </w:pPr>
      <w:r w:rsidRPr="00BD6197">
        <w:rPr>
          <w:lang w:val="en-US"/>
        </w:rPr>
        <w:t>TABLE 3</w:t>
      </w:r>
      <w:r w:rsidR="00AE3C7E">
        <w:rPr>
          <w:lang w:val="en-US"/>
        </w:rPr>
        <w:t>5</w:t>
      </w:r>
    </w:p>
    <w:tbl>
      <w:tblPr>
        <w:tblW w:w="0" w:type="auto"/>
        <w:jc w:val="center"/>
        <w:tblBorders>
          <w:top w:val="single" w:sz="6" w:space="0" w:color="auto"/>
          <w:left w:val="single" w:sz="6" w:space="0" w:color="auto"/>
          <w:bottom w:val="single" w:sz="6" w:space="0" w:color="auto"/>
          <w:right w:val="single" w:sz="6" w:space="0" w:color="auto"/>
          <w:insideH w:val="single" w:sz="2" w:space="0" w:color="auto"/>
          <w:insideV w:val="single" w:sz="6" w:space="0" w:color="auto"/>
        </w:tblBorders>
        <w:tblLayout w:type="fixed"/>
        <w:tblLook w:val="0000" w:firstRow="0" w:lastRow="0" w:firstColumn="0" w:lastColumn="0" w:noHBand="0" w:noVBand="0"/>
      </w:tblPr>
      <w:tblGrid>
        <w:gridCol w:w="2268"/>
        <w:gridCol w:w="2268"/>
        <w:gridCol w:w="2268"/>
      </w:tblGrid>
      <w:tr w:rsidR="001B381F" w:rsidRPr="00BD6197" w:rsidTr="000F2BA7">
        <w:trPr>
          <w:cantSplit/>
          <w:jc w:val="center"/>
        </w:trPr>
        <w:tc>
          <w:tcPr>
            <w:tcW w:w="2268" w:type="dxa"/>
            <w:tcBorders>
              <w:top w:val="single" w:sz="2" w:space="0" w:color="auto"/>
              <w:bottom w:val="single" w:sz="2" w:space="0" w:color="auto"/>
            </w:tcBorders>
          </w:tcPr>
          <w:p w:rsidR="001B381F" w:rsidRPr="00BD6197" w:rsidRDefault="001B381F" w:rsidP="00AE3C7E">
            <w:pPr>
              <w:pStyle w:val="Tablehead"/>
              <w:keepLines/>
              <w:rPr>
                <w:lang w:val="en-US"/>
              </w:rPr>
            </w:pPr>
            <w:r w:rsidRPr="00BD6197">
              <w:rPr>
                <w:lang w:val="en-US"/>
              </w:rPr>
              <w:t>Mode of use</w:t>
            </w:r>
          </w:p>
        </w:tc>
        <w:tc>
          <w:tcPr>
            <w:tcW w:w="2268" w:type="dxa"/>
            <w:tcBorders>
              <w:top w:val="single" w:sz="2" w:space="0" w:color="auto"/>
              <w:bottom w:val="single" w:sz="2" w:space="0" w:color="auto"/>
            </w:tcBorders>
          </w:tcPr>
          <w:p w:rsidR="001B381F" w:rsidRPr="00BD6197" w:rsidRDefault="001B381F" w:rsidP="00AE3C7E">
            <w:pPr>
              <w:pStyle w:val="Tablehead"/>
              <w:keepLines/>
              <w:rPr>
                <w:lang w:val="en-US"/>
              </w:rPr>
            </w:pPr>
            <w:r w:rsidRPr="00BD6197">
              <w:rPr>
                <w:lang w:val="en-US"/>
              </w:rPr>
              <w:t>Nature of interest</w:t>
            </w:r>
          </w:p>
        </w:tc>
        <w:tc>
          <w:tcPr>
            <w:tcW w:w="2268" w:type="dxa"/>
            <w:tcBorders>
              <w:top w:val="single" w:sz="2" w:space="0" w:color="auto"/>
              <w:bottom w:val="single" w:sz="2" w:space="0" w:color="auto"/>
            </w:tcBorders>
          </w:tcPr>
          <w:p w:rsidR="001B381F" w:rsidRPr="00BD6197" w:rsidRDefault="001B381F" w:rsidP="00AE3C7E">
            <w:pPr>
              <w:pStyle w:val="Tablehead"/>
              <w:keepLines/>
              <w:rPr>
                <w:lang w:val="en-US"/>
              </w:rPr>
            </w:pPr>
            <w:r w:rsidRPr="00BD6197">
              <w:rPr>
                <w:lang w:val="en-US"/>
              </w:rPr>
              <w:t xml:space="preserve">Cost factor </w:t>
            </w:r>
            <w:r w:rsidRPr="00BD6197">
              <w:rPr>
                <w:i/>
                <w:iCs/>
                <w:lang w:val="en-US"/>
              </w:rPr>
              <w:t>K</w:t>
            </w:r>
          </w:p>
        </w:tc>
      </w:tr>
      <w:tr w:rsidR="001B381F" w:rsidRPr="00BD6197" w:rsidTr="000F2BA7">
        <w:trPr>
          <w:cantSplit/>
          <w:jc w:val="center"/>
        </w:trPr>
        <w:tc>
          <w:tcPr>
            <w:tcW w:w="2268" w:type="dxa"/>
            <w:tcBorders>
              <w:top w:val="single" w:sz="2" w:space="0" w:color="auto"/>
            </w:tcBorders>
          </w:tcPr>
          <w:p w:rsidR="001B381F" w:rsidRPr="00BD6197" w:rsidRDefault="001B381F" w:rsidP="00AE3C7E">
            <w:pPr>
              <w:pStyle w:val="Tabletext"/>
              <w:keepNext/>
              <w:keepLines/>
              <w:rPr>
                <w:lang w:val="en-US"/>
              </w:rPr>
            </w:pPr>
            <w:r w:rsidRPr="00BD6197">
              <w:rPr>
                <w:lang w:val="en-US"/>
              </w:rPr>
              <w:t>Non-exclusive</w:t>
            </w:r>
          </w:p>
        </w:tc>
        <w:tc>
          <w:tcPr>
            <w:tcW w:w="2268" w:type="dxa"/>
            <w:tcBorders>
              <w:top w:val="single" w:sz="2" w:space="0" w:color="auto"/>
            </w:tcBorders>
          </w:tcPr>
          <w:p w:rsidR="001B381F" w:rsidRPr="00BD6197" w:rsidRDefault="001B381F" w:rsidP="00AE3C7E">
            <w:pPr>
              <w:pStyle w:val="Tabletext"/>
              <w:keepNext/>
              <w:keepLines/>
              <w:rPr>
                <w:lang w:val="en-US"/>
              </w:rPr>
            </w:pPr>
            <w:r w:rsidRPr="00BD6197">
              <w:rPr>
                <w:lang w:val="en-US"/>
              </w:rPr>
              <w:t>Collective</w:t>
            </w:r>
          </w:p>
        </w:tc>
        <w:tc>
          <w:tcPr>
            <w:tcW w:w="2268" w:type="dxa"/>
            <w:tcBorders>
              <w:top w:val="single" w:sz="2" w:space="0" w:color="auto"/>
            </w:tcBorders>
          </w:tcPr>
          <w:p w:rsidR="001B381F" w:rsidRPr="00BD6197" w:rsidRDefault="001B381F" w:rsidP="00AE3C7E">
            <w:pPr>
              <w:pStyle w:val="Tabletext"/>
              <w:keepNext/>
              <w:keepLines/>
              <w:jc w:val="center"/>
              <w:rPr>
                <w:lang w:val="en-US"/>
              </w:rPr>
            </w:pPr>
            <w:r w:rsidRPr="00BD6197">
              <w:rPr>
                <w:lang w:val="en-US"/>
              </w:rPr>
              <w:t>20</w:t>
            </w:r>
          </w:p>
        </w:tc>
      </w:tr>
      <w:tr w:rsidR="001B381F" w:rsidRPr="00BD6197" w:rsidTr="000F2BA7">
        <w:trPr>
          <w:cantSplit/>
          <w:jc w:val="center"/>
        </w:trPr>
        <w:tc>
          <w:tcPr>
            <w:tcW w:w="2268" w:type="dxa"/>
          </w:tcPr>
          <w:p w:rsidR="001B381F" w:rsidRPr="00BD6197" w:rsidRDefault="001B381F" w:rsidP="00AE3C7E">
            <w:pPr>
              <w:pStyle w:val="Tabletext"/>
              <w:keepNext/>
              <w:keepLines/>
              <w:rPr>
                <w:lang w:val="en-US"/>
              </w:rPr>
            </w:pPr>
          </w:p>
        </w:tc>
        <w:tc>
          <w:tcPr>
            <w:tcW w:w="2268" w:type="dxa"/>
          </w:tcPr>
          <w:p w:rsidR="001B381F" w:rsidRPr="00BD6197" w:rsidRDefault="001B381F" w:rsidP="00AE3C7E">
            <w:pPr>
              <w:pStyle w:val="Tabletext"/>
              <w:keepNext/>
              <w:keepLines/>
              <w:rPr>
                <w:lang w:val="en-US"/>
              </w:rPr>
            </w:pPr>
            <w:r w:rsidRPr="00BD6197">
              <w:rPr>
                <w:lang w:val="en-US"/>
              </w:rPr>
              <w:t>Restricted</w:t>
            </w:r>
          </w:p>
        </w:tc>
        <w:tc>
          <w:tcPr>
            <w:tcW w:w="2268" w:type="dxa"/>
          </w:tcPr>
          <w:p w:rsidR="001B381F" w:rsidRPr="00BD6197" w:rsidRDefault="001B381F" w:rsidP="00AE3C7E">
            <w:pPr>
              <w:pStyle w:val="Tabletext"/>
              <w:keepNext/>
              <w:keepLines/>
              <w:jc w:val="center"/>
              <w:rPr>
                <w:lang w:val="en-US"/>
              </w:rPr>
            </w:pPr>
            <w:r w:rsidRPr="00BD6197">
              <w:rPr>
                <w:lang w:val="en-US"/>
              </w:rPr>
              <w:t>25</w:t>
            </w:r>
          </w:p>
        </w:tc>
      </w:tr>
      <w:tr w:rsidR="001B381F" w:rsidRPr="00BD6197" w:rsidTr="000F2BA7">
        <w:trPr>
          <w:cantSplit/>
          <w:jc w:val="center"/>
        </w:trPr>
        <w:tc>
          <w:tcPr>
            <w:tcW w:w="2268" w:type="dxa"/>
          </w:tcPr>
          <w:p w:rsidR="001B381F" w:rsidRPr="00BD6197" w:rsidRDefault="001B381F" w:rsidP="00AE3C7E">
            <w:pPr>
              <w:pStyle w:val="Tabletext"/>
              <w:keepNext/>
              <w:keepLines/>
              <w:rPr>
                <w:lang w:val="en-US"/>
              </w:rPr>
            </w:pPr>
            <w:r w:rsidRPr="00BD6197">
              <w:rPr>
                <w:lang w:val="en-US"/>
              </w:rPr>
              <w:t>Exclusive</w:t>
            </w:r>
          </w:p>
        </w:tc>
        <w:tc>
          <w:tcPr>
            <w:tcW w:w="2268" w:type="dxa"/>
          </w:tcPr>
          <w:p w:rsidR="001B381F" w:rsidRPr="00BD6197" w:rsidRDefault="001B381F" w:rsidP="00AE3C7E">
            <w:pPr>
              <w:pStyle w:val="Tabletext"/>
              <w:keepNext/>
              <w:keepLines/>
              <w:rPr>
                <w:lang w:val="en-US"/>
              </w:rPr>
            </w:pPr>
            <w:r w:rsidRPr="00BD6197">
              <w:rPr>
                <w:lang w:val="en-US"/>
              </w:rPr>
              <w:t>Collective</w:t>
            </w:r>
          </w:p>
        </w:tc>
        <w:tc>
          <w:tcPr>
            <w:tcW w:w="2268" w:type="dxa"/>
          </w:tcPr>
          <w:p w:rsidR="001B381F" w:rsidRPr="00BD6197" w:rsidRDefault="001B381F" w:rsidP="00AE3C7E">
            <w:pPr>
              <w:pStyle w:val="Tabletext"/>
              <w:keepNext/>
              <w:keepLines/>
              <w:jc w:val="center"/>
              <w:rPr>
                <w:lang w:val="en-US"/>
              </w:rPr>
            </w:pPr>
            <w:r w:rsidRPr="00BD6197">
              <w:rPr>
                <w:lang w:val="en-US"/>
              </w:rPr>
              <w:t>50</w:t>
            </w:r>
          </w:p>
        </w:tc>
      </w:tr>
    </w:tbl>
    <w:p w:rsidR="001B381F" w:rsidRPr="00BD6197" w:rsidRDefault="001B381F" w:rsidP="001B381F">
      <w:pPr>
        <w:pStyle w:val="Tablefin"/>
        <w:rPr>
          <w:sz w:val="2"/>
          <w:szCs w:val="2"/>
          <w:lang w:val="en-US"/>
        </w:rPr>
      </w:pPr>
    </w:p>
    <w:p w:rsidR="001B381F" w:rsidRPr="00BD6197" w:rsidRDefault="001B381F" w:rsidP="001B381F">
      <w:pPr>
        <w:pStyle w:val="Tablefin"/>
        <w:rPr>
          <w:lang w:val="en-US"/>
        </w:rPr>
      </w:pPr>
    </w:p>
    <w:p w:rsidR="001B381F" w:rsidRPr="00A01420" w:rsidRDefault="001B381F" w:rsidP="001B381F">
      <w:pPr>
        <w:pStyle w:val="Headingb"/>
        <w:rPr>
          <w:lang w:val="en-US"/>
        </w:rPr>
      </w:pPr>
      <w:bookmarkStart w:id="2169" w:name="_Toc454284992"/>
      <w:bookmarkStart w:id="2170" w:name="_Toc462234156"/>
      <w:r w:rsidRPr="00A01420">
        <w:rPr>
          <w:lang w:val="en-US"/>
        </w:rPr>
        <w:t xml:space="preserve">The value to be paid, </w:t>
      </w:r>
      <w:r w:rsidRPr="00A01420">
        <w:rPr>
          <w:i/>
          <w:lang w:val="en-US"/>
        </w:rPr>
        <w:t>V</w:t>
      </w:r>
      <w:bookmarkEnd w:id="2169"/>
      <w:bookmarkEnd w:id="2170"/>
    </w:p>
    <w:p w:rsidR="001B381F" w:rsidRPr="00BD6197" w:rsidRDefault="001B381F" w:rsidP="001B381F">
      <w:pPr>
        <w:rPr>
          <w:lang w:val="en-US"/>
        </w:rPr>
      </w:pPr>
      <w:r w:rsidRPr="00BD6197">
        <w:rPr>
          <w:lang w:val="en-US"/>
        </w:rPr>
        <w:t xml:space="preserve">For the use of radio frequencies, </w:t>
      </w:r>
      <w:r w:rsidRPr="00BD6197">
        <w:rPr>
          <w:i/>
          <w:lang w:val="en-US"/>
        </w:rPr>
        <w:t>V</w:t>
      </w:r>
      <w:r w:rsidRPr="00BD6197">
        <w:rPr>
          <w:iCs/>
          <w:lang w:val="en-US"/>
        </w:rPr>
        <w:t>,</w:t>
      </w:r>
      <w:r w:rsidRPr="00BD6197">
        <w:rPr>
          <w:lang w:val="en-US"/>
        </w:rPr>
        <w:t xml:space="preserve"> shall be obtained by applying the following formula:</w:t>
      </w:r>
    </w:p>
    <w:p w:rsidR="001B381F" w:rsidRPr="00BD6197" w:rsidRDefault="001B381F" w:rsidP="001B381F">
      <w:pPr>
        <w:pStyle w:val="Blanc"/>
        <w:rPr>
          <w:lang w:val="en-US"/>
        </w:rPr>
      </w:pPr>
    </w:p>
    <w:p w:rsidR="001B381F" w:rsidRPr="00BD6197" w:rsidRDefault="001B381F" w:rsidP="001B381F">
      <w:pPr>
        <w:pStyle w:val="Equation"/>
        <w:rPr>
          <w:lang w:val="en-US"/>
        </w:rPr>
      </w:pPr>
      <w:r w:rsidRPr="00BD6197">
        <w:rPr>
          <w:lang w:val="en-US"/>
        </w:rPr>
        <w:tab/>
      </w:r>
      <w:r w:rsidRPr="00BD6197">
        <w:rPr>
          <w:lang w:val="en-US"/>
        </w:rPr>
        <w:tab/>
      </w:r>
      <w:r w:rsidRPr="00BD6197">
        <w:rPr>
          <w:position w:val="-10"/>
          <w:lang w:val="en-US"/>
        </w:rPr>
        <w:object w:dxaOrig="1760" w:dyaOrig="320">
          <v:shape id="_x0000_i1161" type="#_x0000_t75" style="width:84.75pt;height:16.5pt" o:ole="" fillcolor="window">
            <v:imagedata r:id="rId302" o:title=""/>
          </v:shape>
          <o:OLEObject Type="Embed" ProgID="Equation.3" ShapeID="_x0000_i1161" DrawAspect="Content" ObjectID="_1604325114" r:id="rId303"/>
        </w:object>
      </w:r>
    </w:p>
    <w:p w:rsidR="001B381F" w:rsidRPr="00BD6197" w:rsidRDefault="001B381F" w:rsidP="001B381F">
      <w:pPr>
        <w:rPr>
          <w:lang w:val="en-US"/>
        </w:rPr>
      </w:pPr>
      <w:r w:rsidRPr="00BD6197">
        <w:rPr>
          <w:lang w:val="en-US"/>
        </w:rPr>
        <w:t>where:</w:t>
      </w:r>
    </w:p>
    <w:p w:rsidR="001B381F" w:rsidRPr="00BD6197" w:rsidRDefault="001B381F" w:rsidP="001B381F">
      <w:pPr>
        <w:pStyle w:val="Equationlegend"/>
      </w:pPr>
      <w:r w:rsidRPr="00BD6197">
        <w:rPr>
          <w:i/>
        </w:rPr>
        <w:tab/>
        <w:t>P</w:t>
      </w:r>
      <w:r w:rsidRPr="00BD6197">
        <w:rPr>
          <w:rFonts w:ascii="Tms Rmn" w:hAnsi="Tms Rmn"/>
          <w:iCs/>
          <w:sz w:val="12"/>
        </w:rPr>
        <w:t> </w:t>
      </w:r>
      <w:r w:rsidRPr="00BD6197">
        <w:t>:</w:t>
      </w:r>
      <w:r w:rsidRPr="00BD6197">
        <w:tab/>
        <w:t>reference value for the rights to use radio frequencies</w:t>
      </w:r>
    </w:p>
    <w:p w:rsidR="001B381F" w:rsidRPr="00BD6197" w:rsidRDefault="001B381F" w:rsidP="001B381F">
      <w:pPr>
        <w:pStyle w:val="Equationlegend"/>
      </w:pPr>
      <w:r w:rsidRPr="00BD6197">
        <w:rPr>
          <w:i/>
        </w:rPr>
        <w:tab/>
        <w:t>C</w:t>
      </w:r>
      <w:r w:rsidRPr="00BD6197">
        <w:rPr>
          <w:rFonts w:ascii="Tms Rmn" w:hAnsi="Tms Rmn"/>
          <w:iCs/>
          <w:sz w:val="12"/>
        </w:rPr>
        <w:t> </w:t>
      </w:r>
      <w:r w:rsidRPr="00BD6197">
        <w:t>:</w:t>
      </w:r>
      <w:r w:rsidRPr="00BD6197">
        <w:tab/>
        <w:t>0.6 for stations of mass media services and stations of radio broadcasting services, and 1.0 for stations of other services</w:t>
      </w:r>
    </w:p>
    <w:p w:rsidR="001B381F" w:rsidRPr="00BD6197" w:rsidRDefault="001B381F" w:rsidP="001B381F">
      <w:pPr>
        <w:pStyle w:val="Equationlegend"/>
      </w:pPr>
      <w:r w:rsidRPr="00BD6197">
        <w:rPr>
          <w:i/>
        </w:rPr>
        <w:tab/>
        <w:t>D</w:t>
      </w:r>
      <w:r w:rsidRPr="00BD6197">
        <w:rPr>
          <w:rFonts w:ascii="Tms Rmn" w:hAnsi="Tms Rmn"/>
          <w:iCs/>
          <w:sz w:val="12"/>
        </w:rPr>
        <w:t> </w:t>
      </w:r>
      <w:r w:rsidRPr="00BD6197">
        <w:t>:</w:t>
      </w:r>
      <w:r w:rsidRPr="00BD6197">
        <w:tab/>
        <w:t>0.3 for stations intended for services of a scientific nature, and 1.0 for stations intended for other services</w:t>
      </w:r>
    </w:p>
    <w:p w:rsidR="001B381F" w:rsidRPr="00BD6197" w:rsidRDefault="001B381F" w:rsidP="00935249">
      <w:pPr>
        <w:pStyle w:val="Equationlegend"/>
      </w:pPr>
      <w:r w:rsidRPr="00BD6197">
        <w:rPr>
          <w:i/>
        </w:rPr>
        <w:tab/>
        <w:t>E</w:t>
      </w:r>
      <w:r w:rsidRPr="00BD6197">
        <w:rPr>
          <w:rFonts w:ascii="Tms Rmn" w:hAnsi="Tms Rmn"/>
          <w:iCs/>
          <w:sz w:val="12"/>
        </w:rPr>
        <w:t> </w:t>
      </w:r>
      <w:r w:rsidRPr="00BD6197">
        <w:t>:</w:t>
      </w:r>
      <w:r w:rsidRPr="00BD6197">
        <w:tab/>
        <w:t>1 for point-to-point systems and, in accordance with Table 3</w:t>
      </w:r>
      <w:r w:rsidR="00935249">
        <w:t>6</w:t>
      </w:r>
      <w:r w:rsidRPr="00BD6197">
        <w:t>, for point-area systems.</w:t>
      </w:r>
    </w:p>
    <w:p w:rsidR="001B381F" w:rsidRPr="00BD6197" w:rsidRDefault="00AE3C7E" w:rsidP="000650DA">
      <w:pPr>
        <w:pStyle w:val="TableNo"/>
        <w:keepLines/>
        <w:rPr>
          <w:lang w:val="en-US"/>
        </w:rPr>
      </w:pPr>
      <w:r>
        <w:rPr>
          <w:lang w:val="en-US"/>
        </w:rPr>
        <w:lastRenderedPageBreak/>
        <w:t>TABLE 36</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402"/>
        <w:gridCol w:w="2268"/>
      </w:tblGrid>
      <w:tr w:rsidR="001B381F" w:rsidRPr="00BD6197" w:rsidTr="000F2BA7">
        <w:trPr>
          <w:jc w:val="center"/>
        </w:trPr>
        <w:tc>
          <w:tcPr>
            <w:tcW w:w="3402" w:type="dxa"/>
          </w:tcPr>
          <w:p w:rsidR="001B381F" w:rsidRPr="00BD6197" w:rsidRDefault="001B381F" w:rsidP="000650DA">
            <w:pPr>
              <w:pStyle w:val="Tablehead"/>
              <w:keepLines/>
              <w:rPr>
                <w:lang w:val="en-US"/>
              </w:rPr>
            </w:pPr>
            <w:r w:rsidRPr="00BD6197">
              <w:rPr>
                <w:lang w:val="en-US"/>
              </w:rPr>
              <w:t>Population (inhabitants)</w:t>
            </w:r>
          </w:p>
        </w:tc>
        <w:tc>
          <w:tcPr>
            <w:tcW w:w="2268" w:type="dxa"/>
          </w:tcPr>
          <w:p w:rsidR="001B381F" w:rsidRPr="00BD6197" w:rsidRDefault="001B381F" w:rsidP="000650DA">
            <w:pPr>
              <w:pStyle w:val="Tablehead"/>
              <w:keepLines/>
              <w:rPr>
                <w:lang w:val="en-US"/>
              </w:rPr>
            </w:pPr>
            <w:r w:rsidRPr="00BD6197">
              <w:rPr>
                <w:lang w:val="en-US"/>
              </w:rPr>
              <w:t xml:space="preserve">Value of </w:t>
            </w:r>
            <w:r w:rsidRPr="00BD6197">
              <w:rPr>
                <w:i/>
                <w:iCs/>
                <w:lang w:val="en-US"/>
              </w:rPr>
              <w:t>E</w:t>
            </w:r>
          </w:p>
        </w:tc>
      </w:tr>
      <w:tr w:rsidR="001B381F" w:rsidRPr="00BD6197" w:rsidTr="000F2BA7">
        <w:trPr>
          <w:jc w:val="center"/>
        </w:trPr>
        <w:tc>
          <w:tcPr>
            <w:tcW w:w="3402" w:type="dxa"/>
          </w:tcPr>
          <w:p w:rsidR="001B381F" w:rsidRPr="00BD6197" w:rsidRDefault="001B381F" w:rsidP="000F2BA7">
            <w:pPr>
              <w:pStyle w:val="Tabletext"/>
              <w:rPr>
                <w:lang w:val="en-US"/>
              </w:rPr>
            </w:pPr>
            <w:r w:rsidRPr="00BD6197">
              <w:rPr>
                <w:lang w:val="en-US"/>
              </w:rPr>
              <w:t>Up to 50</w:t>
            </w:r>
            <w:r w:rsidRPr="00BD6197">
              <w:rPr>
                <w:rFonts w:ascii="Tms Rmn" w:hAnsi="Tms Rmn"/>
                <w:lang w:val="en-US"/>
              </w:rPr>
              <w:t> </w:t>
            </w:r>
            <w:r w:rsidRPr="00BD6197">
              <w:rPr>
                <w:lang w:val="en-US"/>
              </w:rPr>
              <w:t>000</w:t>
            </w:r>
          </w:p>
        </w:tc>
        <w:tc>
          <w:tcPr>
            <w:tcW w:w="2268" w:type="dxa"/>
          </w:tcPr>
          <w:p w:rsidR="001B381F" w:rsidRPr="00BD6197" w:rsidRDefault="001B381F" w:rsidP="000F2BA7">
            <w:pPr>
              <w:pStyle w:val="Tabletext"/>
              <w:jc w:val="center"/>
              <w:rPr>
                <w:lang w:val="en-US"/>
              </w:rPr>
            </w:pPr>
            <w:r w:rsidRPr="00BD6197">
              <w:rPr>
                <w:lang w:val="en-US"/>
              </w:rPr>
              <w:t>0.10</w:t>
            </w:r>
          </w:p>
        </w:tc>
      </w:tr>
      <w:tr w:rsidR="001B381F" w:rsidRPr="00BD6197" w:rsidTr="000F2BA7">
        <w:trPr>
          <w:jc w:val="center"/>
        </w:trPr>
        <w:tc>
          <w:tcPr>
            <w:tcW w:w="3402" w:type="dxa"/>
          </w:tcPr>
          <w:p w:rsidR="001B381F" w:rsidRPr="00BD6197" w:rsidRDefault="001B381F" w:rsidP="000F2BA7">
            <w:pPr>
              <w:pStyle w:val="Tabletext"/>
              <w:rPr>
                <w:lang w:val="en-US"/>
              </w:rPr>
            </w:pPr>
            <w:r w:rsidRPr="00BD6197">
              <w:rPr>
                <w:lang w:val="en-US"/>
              </w:rPr>
              <w:t>From 50</w:t>
            </w:r>
            <w:r w:rsidRPr="00BD6197">
              <w:rPr>
                <w:rFonts w:ascii="Tms Rmn" w:hAnsi="Tms Rmn"/>
                <w:lang w:val="en-US"/>
              </w:rPr>
              <w:t> </w:t>
            </w:r>
            <w:r w:rsidRPr="00BD6197">
              <w:rPr>
                <w:lang w:val="en-US"/>
              </w:rPr>
              <w:t>001 to 100</w:t>
            </w:r>
            <w:r w:rsidRPr="00BD6197">
              <w:rPr>
                <w:rFonts w:ascii="Tms Rmn" w:hAnsi="Tms Rmn"/>
                <w:lang w:val="en-US"/>
              </w:rPr>
              <w:t> </w:t>
            </w:r>
            <w:r w:rsidRPr="00BD6197">
              <w:rPr>
                <w:lang w:val="en-US"/>
              </w:rPr>
              <w:t>000</w:t>
            </w:r>
          </w:p>
        </w:tc>
        <w:tc>
          <w:tcPr>
            <w:tcW w:w="2268" w:type="dxa"/>
          </w:tcPr>
          <w:p w:rsidR="001B381F" w:rsidRPr="00BD6197" w:rsidRDefault="001B381F" w:rsidP="000F2BA7">
            <w:pPr>
              <w:pStyle w:val="Tabletext"/>
              <w:jc w:val="center"/>
              <w:rPr>
                <w:lang w:val="en-US"/>
              </w:rPr>
            </w:pPr>
            <w:r w:rsidRPr="00BD6197">
              <w:rPr>
                <w:lang w:val="en-US"/>
              </w:rPr>
              <w:t>0.15</w:t>
            </w:r>
          </w:p>
        </w:tc>
      </w:tr>
      <w:tr w:rsidR="001B381F" w:rsidRPr="00BD6197" w:rsidTr="000F2BA7">
        <w:trPr>
          <w:trHeight w:val="296"/>
          <w:jc w:val="center"/>
        </w:trPr>
        <w:tc>
          <w:tcPr>
            <w:tcW w:w="3402" w:type="dxa"/>
          </w:tcPr>
          <w:p w:rsidR="001B381F" w:rsidRPr="00BD6197" w:rsidRDefault="001B381F" w:rsidP="000F2BA7">
            <w:pPr>
              <w:pStyle w:val="Tabletext"/>
              <w:rPr>
                <w:lang w:val="en-US"/>
              </w:rPr>
            </w:pPr>
            <w:r w:rsidRPr="00BD6197">
              <w:rPr>
                <w:lang w:val="en-US"/>
              </w:rPr>
              <w:t>From 100</w:t>
            </w:r>
            <w:r w:rsidRPr="00BD6197">
              <w:rPr>
                <w:rFonts w:ascii="Tms Rmn" w:hAnsi="Tms Rmn"/>
                <w:lang w:val="en-US"/>
              </w:rPr>
              <w:t> </w:t>
            </w:r>
            <w:r w:rsidRPr="00BD6197">
              <w:rPr>
                <w:lang w:val="en-US"/>
              </w:rPr>
              <w:t>001 to 150</w:t>
            </w:r>
            <w:r w:rsidRPr="00BD6197">
              <w:rPr>
                <w:rFonts w:ascii="Tms Rmn" w:hAnsi="Tms Rmn"/>
                <w:lang w:val="en-US"/>
              </w:rPr>
              <w:t> </w:t>
            </w:r>
            <w:r w:rsidRPr="00BD6197">
              <w:rPr>
                <w:lang w:val="en-US"/>
              </w:rPr>
              <w:t>000</w:t>
            </w:r>
          </w:p>
        </w:tc>
        <w:tc>
          <w:tcPr>
            <w:tcW w:w="2268" w:type="dxa"/>
          </w:tcPr>
          <w:p w:rsidR="001B381F" w:rsidRPr="00BD6197" w:rsidRDefault="001B381F" w:rsidP="000F2BA7">
            <w:pPr>
              <w:pStyle w:val="Tabletext"/>
              <w:jc w:val="center"/>
              <w:rPr>
                <w:lang w:val="en-US"/>
              </w:rPr>
            </w:pPr>
            <w:r w:rsidRPr="00BD6197">
              <w:rPr>
                <w:lang w:val="en-US"/>
              </w:rPr>
              <w:t>0.20</w:t>
            </w:r>
          </w:p>
        </w:tc>
      </w:tr>
      <w:tr w:rsidR="001B381F" w:rsidRPr="00BD6197" w:rsidTr="000F2BA7">
        <w:trPr>
          <w:trHeight w:val="296"/>
          <w:jc w:val="center"/>
        </w:trPr>
        <w:tc>
          <w:tcPr>
            <w:tcW w:w="3402" w:type="dxa"/>
          </w:tcPr>
          <w:p w:rsidR="001B381F" w:rsidRPr="00BD6197" w:rsidRDefault="001B381F" w:rsidP="000F2BA7">
            <w:pPr>
              <w:pStyle w:val="Tabletext"/>
              <w:rPr>
                <w:lang w:val="en-US"/>
              </w:rPr>
            </w:pPr>
            <w:r w:rsidRPr="00BD6197">
              <w:rPr>
                <w:lang w:val="en-US"/>
              </w:rPr>
              <w:t>From 150</w:t>
            </w:r>
            <w:r w:rsidRPr="00BD6197">
              <w:rPr>
                <w:rFonts w:ascii="Tms Rmn" w:hAnsi="Tms Rmn"/>
                <w:lang w:val="en-US"/>
              </w:rPr>
              <w:t> </w:t>
            </w:r>
            <w:r w:rsidRPr="00BD6197">
              <w:rPr>
                <w:lang w:val="en-US"/>
              </w:rPr>
              <w:t>001 to 200</w:t>
            </w:r>
            <w:r w:rsidRPr="00BD6197">
              <w:rPr>
                <w:rFonts w:ascii="Tms Rmn" w:hAnsi="Tms Rmn"/>
                <w:lang w:val="en-US"/>
              </w:rPr>
              <w:t> </w:t>
            </w:r>
            <w:r w:rsidRPr="00BD6197">
              <w:rPr>
                <w:lang w:val="en-US"/>
              </w:rPr>
              <w:t>000</w:t>
            </w:r>
          </w:p>
        </w:tc>
        <w:tc>
          <w:tcPr>
            <w:tcW w:w="2268" w:type="dxa"/>
          </w:tcPr>
          <w:p w:rsidR="001B381F" w:rsidRPr="00BD6197" w:rsidRDefault="001B381F" w:rsidP="000F2BA7">
            <w:pPr>
              <w:pStyle w:val="Tabletext"/>
              <w:jc w:val="center"/>
              <w:rPr>
                <w:lang w:val="en-US"/>
              </w:rPr>
            </w:pPr>
            <w:r w:rsidRPr="00BD6197">
              <w:rPr>
                <w:lang w:val="en-US"/>
              </w:rPr>
              <w:t>0.35</w:t>
            </w:r>
          </w:p>
        </w:tc>
      </w:tr>
      <w:tr w:rsidR="001B381F" w:rsidRPr="00BD6197" w:rsidTr="000F2BA7">
        <w:trPr>
          <w:trHeight w:val="296"/>
          <w:jc w:val="center"/>
        </w:trPr>
        <w:tc>
          <w:tcPr>
            <w:tcW w:w="3402" w:type="dxa"/>
          </w:tcPr>
          <w:p w:rsidR="001B381F" w:rsidRPr="00BD6197" w:rsidRDefault="001B381F" w:rsidP="000F2BA7">
            <w:pPr>
              <w:pStyle w:val="Tabletext"/>
              <w:rPr>
                <w:lang w:val="en-US"/>
              </w:rPr>
            </w:pPr>
            <w:r w:rsidRPr="00BD6197">
              <w:rPr>
                <w:lang w:val="en-US"/>
              </w:rPr>
              <w:t>From 200</w:t>
            </w:r>
            <w:r w:rsidRPr="00BD6197">
              <w:rPr>
                <w:rFonts w:ascii="Tms Rmn" w:hAnsi="Tms Rmn"/>
                <w:lang w:val="en-US"/>
              </w:rPr>
              <w:t> </w:t>
            </w:r>
            <w:r w:rsidRPr="00BD6197">
              <w:rPr>
                <w:lang w:val="en-US"/>
              </w:rPr>
              <w:t>001 to 250</w:t>
            </w:r>
            <w:r w:rsidRPr="00BD6197">
              <w:rPr>
                <w:rFonts w:ascii="Tms Rmn" w:hAnsi="Tms Rmn"/>
                <w:lang w:val="en-US"/>
              </w:rPr>
              <w:t> </w:t>
            </w:r>
            <w:r w:rsidRPr="00BD6197">
              <w:rPr>
                <w:lang w:val="en-US"/>
              </w:rPr>
              <w:t>000</w:t>
            </w:r>
          </w:p>
        </w:tc>
        <w:tc>
          <w:tcPr>
            <w:tcW w:w="2268" w:type="dxa"/>
          </w:tcPr>
          <w:p w:rsidR="001B381F" w:rsidRPr="00BD6197" w:rsidRDefault="001B381F" w:rsidP="000F2BA7">
            <w:pPr>
              <w:pStyle w:val="Tabletext"/>
              <w:jc w:val="center"/>
              <w:rPr>
                <w:lang w:val="en-US"/>
              </w:rPr>
            </w:pPr>
            <w:r w:rsidRPr="00BD6197">
              <w:rPr>
                <w:lang w:val="en-US"/>
              </w:rPr>
              <w:t>0.40</w:t>
            </w:r>
          </w:p>
        </w:tc>
      </w:tr>
      <w:tr w:rsidR="001B381F" w:rsidRPr="00BD6197" w:rsidTr="000F2BA7">
        <w:trPr>
          <w:trHeight w:val="296"/>
          <w:jc w:val="center"/>
        </w:trPr>
        <w:tc>
          <w:tcPr>
            <w:tcW w:w="3402" w:type="dxa"/>
          </w:tcPr>
          <w:p w:rsidR="001B381F" w:rsidRPr="00BD6197" w:rsidRDefault="001B381F" w:rsidP="000F2BA7">
            <w:pPr>
              <w:pStyle w:val="Tabletext"/>
              <w:rPr>
                <w:lang w:val="en-US"/>
              </w:rPr>
            </w:pPr>
            <w:r w:rsidRPr="00BD6197">
              <w:rPr>
                <w:lang w:val="en-US"/>
              </w:rPr>
              <w:t>From 250</w:t>
            </w:r>
            <w:r w:rsidRPr="00BD6197">
              <w:rPr>
                <w:rFonts w:ascii="Tms Rmn" w:hAnsi="Tms Rmn"/>
                <w:lang w:val="en-US"/>
              </w:rPr>
              <w:t> </w:t>
            </w:r>
            <w:r w:rsidRPr="00BD6197">
              <w:rPr>
                <w:lang w:val="en-US"/>
              </w:rPr>
              <w:t>001 to 300</w:t>
            </w:r>
            <w:r w:rsidRPr="00BD6197">
              <w:rPr>
                <w:rFonts w:ascii="Tms Rmn" w:hAnsi="Tms Rmn"/>
                <w:lang w:val="en-US"/>
              </w:rPr>
              <w:t> </w:t>
            </w:r>
            <w:r w:rsidRPr="00BD6197">
              <w:rPr>
                <w:lang w:val="en-US"/>
              </w:rPr>
              <w:t>000</w:t>
            </w:r>
          </w:p>
        </w:tc>
        <w:tc>
          <w:tcPr>
            <w:tcW w:w="2268" w:type="dxa"/>
          </w:tcPr>
          <w:p w:rsidR="001B381F" w:rsidRPr="00BD6197" w:rsidRDefault="001B381F" w:rsidP="000F2BA7">
            <w:pPr>
              <w:pStyle w:val="Tabletext"/>
              <w:jc w:val="center"/>
              <w:rPr>
                <w:lang w:val="en-US"/>
              </w:rPr>
            </w:pPr>
            <w:r w:rsidRPr="00BD6197">
              <w:rPr>
                <w:lang w:val="en-US"/>
              </w:rPr>
              <w:t>0.50</w:t>
            </w:r>
          </w:p>
        </w:tc>
      </w:tr>
      <w:tr w:rsidR="001B381F" w:rsidRPr="00BD6197" w:rsidTr="000F2BA7">
        <w:trPr>
          <w:trHeight w:val="296"/>
          <w:jc w:val="center"/>
        </w:trPr>
        <w:tc>
          <w:tcPr>
            <w:tcW w:w="3402" w:type="dxa"/>
          </w:tcPr>
          <w:p w:rsidR="001B381F" w:rsidRPr="00BD6197" w:rsidRDefault="001B381F" w:rsidP="000F2BA7">
            <w:pPr>
              <w:pStyle w:val="Tabletext"/>
              <w:rPr>
                <w:lang w:val="en-US"/>
              </w:rPr>
            </w:pPr>
            <w:r w:rsidRPr="00BD6197">
              <w:rPr>
                <w:lang w:val="en-US"/>
              </w:rPr>
              <w:t>From 300</w:t>
            </w:r>
            <w:r w:rsidRPr="00BD6197">
              <w:rPr>
                <w:rFonts w:ascii="Tms Rmn" w:hAnsi="Tms Rmn"/>
                <w:lang w:val="en-US"/>
              </w:rPr>
              <w:t> </w:t>
            </w:r>
            <w:r w:rsidRPr="00BD6197">
              <w:rPr>
                <w:lang w:val="en-US"/>
              </w:rPr>
              <w:t>001 to 350</w:t>
            </w:r>
            <w:r w:rsidRPr="00BD6197">
              <w:rPr>
                <w:rFonts w:ascii="Tms Rmn" w:hAnsi="Tms Rmn"/>
                <w:lang w:val="en-US"/>
              </w:rPr>
              <w:t> </w:t>
            </w:r>
            <w:r w:rsidRPr="00BD6197">
              <w:rPr>
                <w:lang w:val="en-US"/>
              </w:rPr>
              <w:t>000</w:t>
            </w:r>
          </w:p>
        </w:tc>
        <w:tc>
          <w:tcPr>
            <w:tcW w:w="2268" w:type="dxa"/>
          </w:tcPr>
          <w:p w:rsidR="001B381F" w:rsidRPr="00BD6197" w:rsidRDefault="001B381F" w:rsidP="000F2BA7">
            <w:pPr>
              <w:pStyle w:val="Tabletext"/>
              <w:jc w:val="center"/>
              <w:rPr>
                <w:lang w:val="en-US"/>
              </w:rPr>
            </w:pPr>
            <w:r w:rsidRPr="00BD6197">
              <w:rPr>
                <w:lang w:val="en-US"/>
              </w:rPr>
              <w:t>0.60</w:t>
            </w:r>
          </w:p>
        </w:tc>
      </w:tr>
      <w:tr w:rsidR="001B381F" w:rsidRPr="00BD6197" w:rsidTr="000F2BA7">
        <w:trPr>
          <w:trHeight w:val="296"/>
          <w:jc w:val="center"/>
        </w:trPr>
        <w:tc>
          <w:tcPr>
            <w:tcW w:w="3402" w:type="dxa"/>
          </w:tcPr>
          <w:p w:rsidR="001B381F" w:rsidRPr="00BD6197" w:rsidRDefault="001B381F" w:rsidP="000F2BA7">
            <w:pPr>
              <w:pStyle w:val="Tabletext"/>
              <w:rPr>
                <w:lang w:val="en-US"/>
              </w:rPr>
            </w:pPr>
            <w:r w:rsidRPr="00BD6197">
              <w:rPr>
                <w:lang w:val="en-US"/>
              </w:rPr>
              <w:t>From 350</w:t>
            </w:r>
            <w:r w:rsidRPr="00BD6197">
              <w:rPr>
                <w:rFonts w:ascii="Tms Rmn" w:hAnsi="Tms Rmn"/>
                <w:lang w:val="en-US"/>
              </w:rPr>
              <w:t> </w:t>
            </w:r>
            <w:r w:rsidRPr="00BD6197">
              <w:rPr>
                <w:lang w:val="en-US"/>
              </w:rPr>
              <w:t>001 to 400</w:t>
            </w:r>
            <w:r w:rsidRPr="00BD6197">
              <w:rPr>
                <w:rFonts w:ascii="Tms Rmn" w:hAnsi="Tms Rmn"/>
                <w:lang w:val="en-US"/>
              </w:rPr>
              <w:t> </w:t>
            </w:r>
            <w:r w:rsidRPr="00BD6197">
              <w:rPr>
                <w:lang w:val="en-US"/>
              </w:rPr>
              <w:t>000</w:t>
            </w:r>
          </w:p>
        </w:tc>
        <w:tc>
          <w:tcPr>
            <w:tcW w:w="2268" w:type="dxa"/>
          </w:tcPr>
          <w:p w:rsidR="001B381F" w:rsidRPr="00BD6197" w:rsidRDefault="001B381F" w:rsidP="000F2BA7">
            <w:pPr>
              <w:pStyle w:val="Tabletext"/>
              <w:jc w:val="center"/>
              <w:rPr>
                <w:lang w:val="en-US"/>
              </w:rPr>
            </w:pPr>
            <w:r w:rsidRPr="00BD6197">
              <w:rPr>
                <w:lang w:val="en-US"/>
              </w:rPr>
              <w:t>0.75</w:t>
            </w:r>
          </w:p>
        </w:tc>
      </w:tr>
      <w:tr w:rsidR="001B381F" w:rsidRPr="00BD6197" w:rsidTr="000F2BA7">
        <w:trPr>
          <w:trHeight w:val="296"/>
          <w:jc w:val="center"/>
        </w:trPr>
        <w:tc>
          <w:tcPr>
            <w:tcW w:w="3402" w:type="dxa"/>
          </w:tcPr>
          <w:p w:rsidR="001B381F" w:rsidRPr="00BD6197" w:rsidRDefault="001B381F" w:rsidP="000F2BA7">
            <w:pPr>
              <w:pStyle w:val="Tabletext"/>
              <w:rPr>
                <w:lang w:val="en-US"/>
              </w:rPr>
            </w:pPr>
            <w:r w:rsidRPr="00BD6197">
              <w:rPr>
                <w:lang w:val="en-US"/>
              </w:rPr>
              <w:t>From 400</w:t>
            </w:r>
            <w:r w:rsidRPr="00BD6197">
              <w:rPr>
                <w:rFonts w:ascii="Tms Rmn" w:hAnsi="Tms Rmn"/>
                <w:lang w:val="en-US"/>
              </w:rPr>
              <w:t> </w:t>
            </w:r>
            <w:r w:rsidRPr="00BD6197">
              <w:rPr>
                <w:lang w:val="en-US"/>
              </w:rPr>
              <w:t>001 to 450</w:t>
            </w:r>
            <w:r w:rsidRPr="00BD6197">
              <w:rPr>
                <w:rFonts w:ascii="Tms Rmn" w:hAnsi="Tms Rmn"/>
                <w:lang w:val="en-US"/>
              </w:rPr>
              <w:t> </w:t>
            </w:r>
            <w:r w:rsidRPr="00BD6197">
              <w:rPr>
                <w:lang w:val="en-US"/>
              </w:rPr>
              <w:t>000</w:t>
            </w:r>
          </w:p>
        </w:tc>
        <w:tc>
          <w:tcPr>
            <w:tcW w:w="2268" w:type="dxa"/>
          </w:tcPr>
          <w:p w:rsidR="001B381F" w:rsidRPr="00BD6197" w:rsidRDefault="001B381F" w:rsidP="000F2BA7">
            <w:pPr>
              <w:pStyle w:val="Tabletext"/>
              <w:jc w:val="center"/>
              <w:rPr>
                <w:lang w:val="en-US"/>
              </w:rPr>
            </w:pPr>
            <w:r w:rsidRPr="00BD6197">
              <w:rPr>
                <w:lang w:val="en-US"/>
              </w:rPr>
              <w:t>0.90</w:t>
            </w:r>
          </w:p>
        </w:tc>
      </w:tr>
      <w:tr w:rsidR="001B381F" w:rsidRPr="00BD6197" w:rsidTr="000F2BA7">
        <w:trPr>
          <w:trHeight w:val="296"/>
          <w:jc w:val="center"/>
        </w:trPr>
        <w:tc>
          <w:tcPr>
            <w:tcW w:w="3402" w:type="dxa"/>
          </w:tcPr>
          <w:p w:rsidR="001B381F" w:rsidRPr="00BD6197" w:rsidRDefault="001B381F" w:rsidP="000F2BA7">
            <w:pPr>
              <w:pStyle w:val="Tabletext"/>
              <w:rPr>
                <w:lang w:val="en-US"/>
              </w:rPr>
            </w:pPr>
            <w:r w:rsidRPr="00BD6197">
              <w:rPr>
                <w:lang w:val="en-US"/>
              </w:rPr>
              <w:t>Above 450</w:t>
            </w:r>
            <w:r w:rsidRPr="00BD6197">
              <w:rPr>
                <w:rFonts w:ascii="Tms Rmn" w:hAnsi="Tms Rmn"/>
                <w:lang w:val="en-US"/>
              </w:rPr>
              <w:t> </w:t>
            </w:r>
            <w:r w:rsidRPr="00BD6197">
              <w:rPr>
                <w:lang w:val="en-US"/>
              </w:rPr>
              <w:t>000</w:t>
            </w:r>
          </w:p>
        </w:tc>
        <w:tc>
          <w:tcPr>
            <w:tcW w:w="2268" w:type="dxa"/>
          </w:tcPr>
          <w:p w:rsidR="001B381F" w:rsidRPr="00BD6197" w:rsidRDefault="001B381F" w:rsidP="000F2BA7">
            <w:pPr>
              <w:pStyle w:val="Tabletext"/>
              <w:jc w:val="center"/>
              <w:rPr>
                <w:lang w:val="en-US"/>
              </w:rPr>
            </w:pPr>
            <w:r w:rsidRPr="00BD6197">
              <w:rPr>
                <w:lang w:val="en-US"/>
              </w:rPr>
              <w:t>1.00</w:t>
            </w:r>
          </w:p>
        </w:tc>
      </w:tr>
    </w:tbl>
    <w:p w:rsidR="001B381F" w:rsidRPr="00BD6197" w:rsidRDefault="001B381F" w:rsidP="001B381F">
      <w:pPr>
        <w:pStyle w:val="Tablefin"/>
        <w:rPr>
          <w:lang w:val="en-US"/>
        </w:rPr>
      </w:pPr>
    </w:p>
    <w:p w:rsidR="001B381F" w:rsidRPr="00BD6197" w:rsidRDefault="001B381F" w:rsidP="001B381F">
      <w:pPr>
        <w:rPr>
          <w:lang w:val="en-US"/>
        </w:rPr>
      </w:pPr>
      <w:r w:rsidRPr="00BD6197">
        <w:rPr>
          <w:lang w:val="en-US"/>
        </w:rPr>
        <w:t xml:space="preserve">The value to be paid for the use of radio frequencies, </w:t>
      </w:r>
      <w:r w:rsidRPr="00BD6197">
        <w:rPr>
          <w:i/>
          <w:lang w:val="en-US"/>
        </w:rPr>
        <w:t>V</w:t>
      </w:r>
      <w:r w:rsidRPr="00BD6197">
        <w:rPr>
          <w:lang w:val="en-US"/>
        </w:rPr>
        <w:t>, shall not be less than (</w:t>
      </w:r>
      <w:r w:rsidRPr="00BD6197">
        <w:rPr>
          <w:i/>
          <w:lang w:val="en-US"/>
        </w:rPr>
        <w:t>T</w:t>
      </w:r>
      <w:r w:rsidRPr="00BD6197">
        <w:rPr>
          <w:position w:val="-4"/>
          <w:sz w:val="16"/>
          <w:lang w:val="en-US"/>
        </w:rPr>
        <w:t>2</w:t>
      </w:r>
      <w:r w:rsidRPr="00BD6197">
        <w:rPr>
          <w:lang w:val="en-US"/>
        </w:rPr>
        <w:t> </w:t>
      </w:r>
      <w:r w:rsidRPr="00BD6197">
        <w:rPr>
          <w:rFonts w:ascii="Symbol" w:hAnsi="Symbol"/>
          <w:lang w:val="en-US"/>
        </w:rPr>
        <w:t></w:t>
      </w:r>
      <w:r w:rsidRPr="00BD6197">
        <w:rPr>
          <w:lang w:val="en-US"/>
        </w:rPr>
        <w:t> R$ 20.00).</w:t>
      </w:r>
    </w:p>
    <w:p w:rsidR="001B381F" w:rsidRPr="00BD6197" w:rsidRDefault="001B381F" w:rsidP="001B381F">
      <w:pPr>
        <w:rPr>
          <w:lang w:val="en-US"/>
        </w:rPr>
      </w:pPr>
      <w:r w:rsidRPr="00BD6197">
        <w:rPr>
          <w:lang w:val="en-US"/>
        </w:rPr>
        <w:t xml:space="preserve">For the following cases a fixed value of </w:t>
      </w:r>
      <w:r w:rsidRPr="00BD6197">
        <w:rPr>
          <w:i/>
          <w:lang w:val="en-US"/>
        </w:rPr>
        <w:t>V</w:t>
      </w:r>
      <w:r w:rsidRPr="00BD6197">
        <w:rPr>
          <w:lang w:val="en-US"/>
        </w:rPr>
        <w:t xml:space="preserve"> is applicable: amateur radio and citizen band services; coastal stations, stations aboard ships, and port stations; stations aboard aircraft, and aeronautical stations; and stations of the community broadcasting services.</w:t>
      </w:r>
    </w:p>
    <w:p w:rsidR="001B381F" w:rsidRPr="00BD6197" w:rsidRDefault="001B381F" w:rsidP="001B381F">
      <w:pPr>
        <w:rPr>
          <w:lang w:val="en-US"/>
        </w:rPr>
      </w:pPr>
      <w:r w:rsidRPr="00BD6197">
        <w:rPr>
          <w:lang w:val="en-US"/>
        </w:rPr>
        <w:t>For purposes of the regulation, the following systems shall be subject to the payment of the appropriate utilization charges:</w:t>
      </w:r>
    </w:p>
    <w:p w:rsidR="001B381F" w:rsidRPr="00BD6197" w:rsidRDefault="001B381F" w:rsidP="001B381F">
      <w:pPr>
        <w:pStyle w:val="enumlev1"/>
        <w:rPr>
          <w:lang w:val="en-US"/>
        </w:rPr>
      </w:pPr>
      <w:r w:rsidRPr="00BD6197">
        <w:rPr>
          <w:szCs w:val="24"/>
          <w:lang w:val="en-US"/>
        </w:rPr>
        <w:sym w:font="Symbol" w:char="F02D"/>
      </w:r>
      <w:r w:rsidRPr="00BD6197">
        <w:rPr>
          <w:lang w:val="en-US"/>
        </w:rPr>
        <w:tab/>
        <w:t>point-to-point – upon assignment of each transmit frequency;</w:t>
      </w:r>
    </w:p>
    <w:p w:rsidR="001B381F" w:rsidRPr="00BD6197" w:rsidRDefault="001B381F" w:rsidP="001B381F">
      <w:pPr>
        <w:pStyle w:val="enumlev1"/>
        <w:rPr>
          <w:lang w:val="en-US"/>
        </w:rPr>
      </w:pPr>
      <w:r w:rsidRPr="00BD6197">
        <w:rPr>
          <w:szCs w:val="24"/>
          <w:lang w:val="en-US"/>
        </w:rPr>
        <w:sym w:font="Symbol" w:char="F02D"/>
      </w:r>
      <w:r w:rsidRPr="00BD6197">
        <w:rPr>
          <w:lang w:val="en-US"/>
        </w:rPr>
        <w:tab/>
        <w:t xml:space="preserve">point-area – upon assignment of each radio frequency, whether receive or transmit, to nodal stations, base stations, or space stations. For direct communication between terminal stations, the payment is due upon assignment of each radiofrequency to be used collectively by the terminal stations set. For unidirectional point-area systems, the payment is due upon assignment of each radio frequency to the transmitter station. </w:t>
      </w:r>
    </w:p>
    <w:p w:rsidR="001B381F" w:rsidRPr="00BD6197" w:rsidRDefault="001B381F" w:rsidP="001B381F">
      <w:pPr>
        <w:rPr>
          <w:lang w:val="en-US"/>
        </w:rPr>
      </w:pPr>
      <w:r w:rsidRPr="00BD6197">
        <w:rPr>
          <w:lang w:val="en-US"/>
        </w:rPr>
        <w:t>Whenever applicable, upon issuance or renewal of an authorization for the utilization of a radio frequency, such authorization will be charged.</w:t>
      </w:r>
    </w:p>
    <w:p w:rsidR="001B381F" w:rsidRPr="00BD6197" w:rsidRDefault="001B381F" w:rsidP="001B381F">
      <w:pPr>
        <w:rPr>
          <w:lang w:val="en-US"/>
        </w:rPr>
      </w:pPr>
      <w:r w:rsidRPr="00BD6197">
        <w:rPr>
          <w:lang w:val="en-US"/>
        </w:rPr>
        <w:t xml:space="preserve">The following are exempt from spectrum fees: frequency usage by certified short range devices; frequency usage by Armed Forces in frequencies allocated to exclusively military usage; temporary spectrum use by Diplomatic Missions, Representations of International Organizations and Consular Offices, including military vessels and aircraft in foreign official visits in Brazil. </w:t>
      </w:r>
    </w:p>
    <w:p w:rsidR="004834FD" w:rsidRPr="004834FD" w:rsidRDefault="004834FD" w:rsidP="004834FD">
      <w:pPr>
        <w:pStyle w:val="Heading3"/>
        <w:rPr>
          <w:lang w:val="en-GB"/>
        </w:rPr>
      </w:pPr>
      <w:bookmarkStart w:id="2171" w:name="_Toc518394267"/>
      <w:r w:rsidRPr="004834FD">
        <w:rPr>
          <w:lang w:val="en-GB"/>
        </w:rPr>
        <w:t>5.2.11</w:t>
      </w:r>
      <w:r w:rsidRPr="004834FD">
        <w:rPr>
          <w:lang w:val="en-GB"/>
        </w:rPr>
        <w:tab/>
        <w:t xml:space="preserve">Experience with spectrum </w:t>
      </w:r>
      <w:r w:rsidRPr="004834FD">
        <w:rPr>
          <w:lang w:val="en-GB" w:eastAsia="ko-KR"/>
        </w:rPr>
        <w:t>usage fees</w:t>
      </w:r>
      <w:r w:rsidRPr="004834FD">
        <w:rPr>
          <w:lang w:val="en-GB"/>
        </w:rPr>
        <w:t xml:space="preserve"> – Republic of Korea</w:t>
      </w:r>
      <w:bookmarkEnd w:id="2171"/>
    </w:p>
    <w:p w:rsidR="004834FD" w:rsidRPr="004834FD" w:rsidRDefault="004834FD" w:rsidP="004834FD">
      <w:pPr>
        <w:rPr>
          <w:lang w:val="en-GB" w:eastAsia="ko-KR"/>
        </w:rPr>
      </w:pPr>
      <w:r w:rsidRPr="004834FD">
        <w:rPr>
          <w:lang w:val="en-GB" w:eastAsia="ko-KR"/>
        </w:rPr>
        <w:t>Radio spectrum is public assets rather than private properties and spectrum users gain economic benefits by using radio spectrum. It means that users take advantage of public assets through radio station operation. Therefore, spectrum users have to pay adequate amount of spectrum usage fees equivalent to economic value of radio spectrum.</w:t>
      </w:r>
    </w:p>
    <w:p w:rsidR="004834FD" w:rsidRPr="004834FD" w:rsidRDefault="004834FD" w:rsidP="004834FD">
      <w:pPr>
        <w:rPr>
          <w:lang w:val="en-GB" w:eastAsia="ko-KR"/>
        </w:rPr>
      </w:pPr>
      <w:r w:rsidRPr="004834FD">
        <w:rPr>
          <w:lang w:val="en-GB" w:eastAsia="ko-KR"/>
        </w:rPr>
        <w:t>Spectrum usage fees provides the Government with practical information such as spectrum preference in the market, radio services qualities and the measurement of proper volume of spectrum demand. The demand for spectrum has been rapidly increasing with growth in telecommunications services. Moreover, spectrum usage fees can suppress over-utilization of radio spectrum, and induce radio spectrum users to withdraw unused radio spectrum to the Government.</w:t>
      </w:r>
    </w:p>
    <w:p w:rsidR="004834FD" w:rsidRPr="004834FD" w:rsidRDefault="004834FD" w:rsidP="004834FD">
      <w:pPr>
        <w:rPr>
          <w:lang w:val="en-GB" w:eastAsia="ko-KR"/>
        </w:rPr>
      </w:pPr>
      <w:r w:rsidRPr="004834FD">
        <w:rPr>
          <w:lang w:val="en-GB"/>
        </w:rPr>
        <w:t xml:space="preserve">The Administration of the Republic of Korea implemented spectrum </w:t>
      </w:r>
      <w:r w:rsidRPr="004834FD">
        <w:rPr>
          <w:lang w:val="en-GB" w:eastAsia="ko-KR"/>
        </w:rPr>
        <w:t>usage fees</w:t>
      </w:r>
      <w:r w:rsidRPr="004834FD">
        <w:rPr>
          <w:lang w:val="en-GB"/>
        </w:rPr>
        <w:t xml:space="preserve"> in 1993 in accordance with </w:t>
      </w:r>
      <w:r w:rsidRPr="004834FD">
        <w:rPr>
          <w:lang w:val="en-GB" w:eastAsia="ko-KR"/>
        </w:rPr>
        <w:t xml:space="preserve">Radio Waves Act </w:t>
      </w:r>
      <w:r w:rsidRPr="004834FD">
        <w:rPr>
          <w:lang w:val="en-GB"/>
        </w:rPr>
        <w:t xml:space="preserve">in order to </w:t>
      </w:r>
      <w:r w:rsidRPr="004834FD">
        <w:rPr>
          <w:lang w:val="en-GB" w:eastAsia="ko-KR"/>
        </w:rPr>
        <w:t xml:space="preserve">implement cost recovery </w:t>
      </w:r>
      <w:r w:rsidRPr="004834FD">
        <w:rPr>
          <w:lang w:val="en-GB"/>
        </w:rPr>
        <w:t xml:space="preserve">for effective spectrum management and </w:t>
      </w:r>
      <w:r w:rsidRPr="004834FD">
        <w:rPr>
          <w:lang w:val="en-GB"/>
        </w:rPr>
        <w:lastRenderedPageBreak/>
        <w:t xml:space="preserve">radio technology development programs. The assessment and collection of spectrum </w:t>
      </w:r>
      <w:r w:rsidRPr="004834FD">
        <w:rPr>
          <w:lang w:val="en-GB" w:eastAsia="ko-KR"/>
        </w:rPr>
        <w:t>usage fees</w:t>
      </w:r>
      <w:r w:rsidRPr="004834FD">
        <w:rPr>
          <w:lang w:val="en-GB"/>
        </w:rPr>
        <w:t xml:space="preserve"> is prescribed in </w:t>
      </w:r>
      <w:r w:rsidRPr="004834FD">
        <w:rPr>
          <w:lang w:val="en-GB" w:eastAsia="ko-KR"/>
        </w:rPr>
        <w:t>the Presidential Decree of the Radio Waves Act</w:t>
      </w:r>
      <w:r w:rsidRPr="004834FD">
        <w:rPr>
          <w:lang w:val="en-GB"/>
        </w:rPr>
        <w:t>.</w:t>
      </w:r>
    </w:p>
    <w:p w:rsidR="004834FD" w:rsidRPr="004834FD" w:rsidRDefault="004834FD" w:rsidP="004834FD">
      <w:pPr>
        <w:rPr>
          <w:lang w:val="en-GB" w:eastAsia="ko-KR"/>
        </w:rPr>
      </w:pPr>
      <w:r w:rsidRPr="004834FD">
        <w:rPr>
          <w:lang w:val="en-GB" w:eastAsia="ko-KR"/>
        </w:rPr>
        <w:t>No fees are imposed on radio stations as follows:</w:t>
      </w:r>
    </w:p>
    <w:p w:rsidR="004834FD" w:rsidRPr="004834FD" w:rsidRDefault="004834FD" w:rsidP="004834FD">
      <w:pPr>
        <w:pStyle w:val="enumlev1"/>
        <w:rPr>
          <w:lang w:val="en-GB" w:eastAsia="ko-KR"/>
        </w:rPr>
      </w:pPr>
      <w:r w:rsidRPr="004834FD">
        <w:rPr>
          <w:lang w:val="en-GB" w:eastAsia="ko-KR"/>
        </w:rPr>
        <w:t>–</w:t>
      </w:r>
      <w:r w:rsidRPr="004834FD">
        <w:rPr>
          <w:lang w:val="en-GB" w:eastAsia="ko-KR"/>
        </w:rPr>
        <w:tab/>
        <w:t>used for government affair;</w:t>
      </w:r>
    </w:p>
    <w:p w:rsidR="004834FD" w:rsidRPr="004834FD" w:rsidRDefault="004834FD" w:rsidP="004834FD">
      <w:pPr>
        <w:pStyle w:val="enumlev1"/>
        <w:rPr>
          <w:lang w:val="en-GB" w:eastAsia="ko-KR"/>
        </w:rPr>
      </w:pPr>
      <w:r w:rsidRPr="004834FD">
        <w:rPr>
          <w:lang w:val="en-GB" w:eastAsia="ko-KR"/>
        </w:rPr>
        <w:t>–</w:t>
      </w:r>
      <w:r w:rsidRPr="004834FD">
        <w:rPr>
          <w:lang w:val="en-GB" w:eastAsia="ko-KR"/>
        </w:rPr>
        <w:tab/>
        <w:t>used for non-profit broadcasting or paying broadcasting promotion fund;</w:t>
      </w:r>
    </w:p>
    <w:p w:rsidR="004834FD" w:rsidRPr="004834FD" w:rsidRDefault="004834FD" w:rsidP="004834FD">
      <w:pPr>
        <w:pStyle w:val="enumlev1"/>
        <w:rPr>
          <w:lang w:val="en-GB" w:eastAsia="ko-KR"/>
        </w:rPr>
      </w:pPr>
      <w:r w:rsidRPr="004834FD">
        <w:rPr>
          <w:lang w:val="en-GB" w:eastAsia="ko-KR"/>
        </w:rPr>
        <w:t>–</w:t>
      </w:r>
      <w:r w:rsidRPr="004834FD">
        <w:rPr>
          <w:lang w:val="en-GB" w:eastAsia="ko-KR"/>
        </w:rPr>
        <w:tab/>
        <w:t>used by subscribers of common carrier service;</w:t>
      </w:r>
    </w:p>
    <w:p w:rsidR="004834FD" w:rsidRPr="004834FD" w:rsidRDefault="004834FD" w:rsidP="004834FD">
      <w:pPr>
        <w:pStyle w:val="enumlev1"/>
        <w:rPr>
          <w:lang w:val="en-GB" w:eastAsia="ko-KR"/>
        </w:rPr>
      </w:pPr>
      <w:r w:rsidRPr="004834FD">
        <w:rPr>
          <w:lang w:val="en-GB" w:eastAsia="ko-KR"/>
        </w:rPr>
        <w:t>–</w:t>
      </w:r>
      <w:r w:rsidRPr="004834FD">
        <w:rPr>
          <w:lang w:val="en-GB" w:eastAsia="ko-KR"/>
        </w:rPr>
        <w:tab/>
        <w:t>used for emergency, experimental, amateur communications;</w:t>
      </w:r>
    </w:p>
    <w:p w:rsidR="004834FD" w:rsidRPr="004834FD" w:rsidRDefault="004834FD" w:rsidP="004834FD">
      <w:pPr>
        <w:pStyle w:val="enumlev1"/>
        <w:rPr>
          <w:lang w:val="en-GB" w:eastAsia="ko-KR"/>
        </w:rPr>
      </w:pPr>
      <w:r w:rsidRPr="004834FD">
        <w:rPr>
          <w:lang w:val="en-GB" w:eastAsia="ko-KR"/>
        </w:rPr>
        <w:t>–</w:t>
      </w:r>
      <w:r w:rsidRPr="004834FD">
        <w:rPr>
          <w:lang w:val="en-GB" w:eastAsia="ko-KR"/>
        </w:rPr>
        <w:tab/>
        <w:t>used for standard radio frequency/time signalling;</w:t>
      </w:r>
    </w:p>
    <w:p w:rsidR="004834FD" w:rsidRPr="004834FD" w:rsidRDefault="004834FD" w:rsidP="004834FD">
      <w:pPr>
        <w:pStyle w:val="enumlev1"/>
        <w:rPr>
          <w:lang w:val="en-GB" w:eastAsia="ko-KR"/>
        </w:rPr>
      </w:pPr>
      <w:r w:rsidRPr="004834FD">
        <w:rPr>
          <w:lang w:val="en-GB" w:eastAsia="ko-KR"/>
        </w:rPr>
        <w:t>–</w:t>
      </w:r>
      <w:r w:rsidRPr="004834FD">
        <w:rPr>
          <w:lang w:val="en-GB" w:eastAsia="ko-KR"/>
        </w:rPr>
        <w:tab/>
        <w:t>used by the Korean Red Cross Association;</w:t>
      </w:r>
    </w:p>
    <w:p w:rsidR="004834FD" w:rsidRPr="004834FD" w:rsidRDefault="004834FD" w:rsidP="004834FD">
      <w:pPr>
        <w:pStyle w:val="enumlev1"/>
        <w:rPr>
          <w:lang w:val="en-GB" w:eastAsia="ko-KR"/>
        </w:rPr>
      </w:pPr>
      <w:r w:rsidRPr="004834FD">
        <w:rPr>
          <w:lang w:val="en-GB" w:eastAsia="ko-KR"/>
        </w:rPr>
        <w:t>–</w:t>
      </w:r>
      <w:r w:rsidRPr="004834FD">
        <w:rPr>
          <w:lang w:val="en-GB" w:eastAsia="ko-KR"/>
        </w:rPr>
        <w:tab/>
        <w:t>installed in tunnels and other underground areas for relaying subscriber</w:t>
      </w:r>
      <w:r w:rsidRPr="004834FD">
        <w:rPr>
          <w:lang w:val="en-GB" w:eastAsia="ko-KR"/>
        </w:rPr>
        <w:noBreakHyphen/>
        <w:t>based communications and broadcasting services;</w:t>
      </w:r>
    </w:p>
    <w:p w:rsidR="004834FD" w:rsidRPr="004834FD" w:rsidRDefault="004834FD" w:rsidP="004834FD">
      <w:pPr>
        <w:pStyle w:val="enumlev1"/>
        <w:rPr>
          <w:lang w:val="en-GB" w:eastAsia="ko-KR"/>
        </w:rPr>
      </w:pPr>
      <w:r w:rsidRPr="004834FD">
        <w:rPr>
          <w:lang w:val="en-GB" w:eastAsia="ko-KR"/>
        </w:rPr>
        <w:t>–</w:t>
      </w:r>
      <w:r w:rsidRPr="004834FD">
        <w:rPr>
          <w:lang w:val="en-GB" w:eastAsia="ko-KR"/>
        </w:rPr>
        <w:tab/>
        <w:t xml:space="preserve">used for the purpose of disaster alarming and relief (such as flood warnings); </w:t>
      </w:r>
    </w:p>
    <w:p w:rsidR="004834FD" w:rsidRPr="004834FD" w:rsidRDefault="004834FD" w:rsidP="004834FD">
      <w:pPr>
        <w:pStyle w:val="enumlev1"/>
        <w:rPr>
          <w:lang w:val="en-GB" w:eastAsia="ko-KR"/>
        </w:rPr>
      </w:pPr>
      <w:r w:rsidRPr="004834FD">
        <w:rPr>
          <w:lang w:val="en-GB" w:eastAsia="ko-KR"/>
        </w:rPr>
        <w:t>–</w:t>
      </w:r>
      <w:r w:rsidRPr="004834FD">
        <w:rPr>
          <w:lang w:val="en-GB" w:eastAsia="ko-KR"/>
        </w:rPr>
        <w:tab/>
        <w:t>installed by common carriers but used for public purpose.</w:t>
      </w:r>
    </w:p>
    <w:p w:rsidR="004834FD" w:rsidRPr="004834FD" w:rsidRDefault="004834FD" w:rsidP="004834FD">
      <w:pPr>
        <w:rPr>
          <w:lang w:val="en-GB" w:eastAsia="ko-KR"/>
        </w:rPr>
      </w:pPr>
      <w:r w:rsidRPr="004834FD">
        <w:rPr>
          <w:lang w:val="en-GB" w:eastAsia="ko-KR"/>
        </w:rPr>
        <w:t>The spectrum usage fees is calculated using the parameters such as frequency band, bandwidth, power and number of subscribers. The spectrum usage fees categories can be classified in four categories.</w:t>
      </w:r>
    </w:p>
    <w:p w:rsidR="004834FD" w:rsidRPr="004834FD" w:rsidRDefault="004834FD" w:rsidP="004834FD">
      <w:pPr>
        <w:rPr>
          <w:bCs/>
          <w:iCs/>
          <w:lang w:val="en-GB" w:eastAsia="ko-KR"/>
        </w:rPr>
      </w:pPr>
      <w:r w:rsidRPr="004834FD">
        <w:rPr>
          <w:bCs/>
          <w:iCs/>
          <w:lang w:val="en-GB" w:eastAsia="ko-KR"/>
        </w:rPr>
        <w:t>Category 1: Based on the common carrier</w:t>
      </w:r>
      <w:r w:rsidRPr="004834FD">
        <w:rPr>
          <w:bCs/>
          <w:iCs/>
          <w:lang w:val="en-GB"/>
        </w:rPr>
        <w:t>.</w:t>
      </w:r>
    </w:p>
    <w:p w:rsidR="004834FD" w:rsidRPr="004834FD" w:rsidRDefault="004834FD" w:rsidP="004834FD">
      <w:pPr>
        <w:rPr>
          <w:bCs/>
          <w:iCs/>
          <w:lang w:val="en-GB" w:eastAsia="ko-KR"/>
        </w:rPr>
      </w:pPr>
      <w:r w:rsidRPr="004834FD">
        <w:rPr>
          <w:bCs/>
          <w:iCs/>
          <w:lang w:val="en-GB"/>
        </w:rPr>
        <w:t xml:space="preserve">Category </w:t>
      </w:r>
      <w:r w:rsidRPr="004834FD">
        <w:rPr>
          <w:bCs/>
          <w:iCs/>
          <w:lang w:val="en-GB" w:eastAsia="ko-KR"/>
        </w:rPr>
        <w:t>2</w:t>
      </w:r>
      <w:r w:rsidRPr="004834FD">
        <w:rPr>
          <w:bCs/>
          <w:iCs/>
          <w:lang w:val="en-GB"/>
        </w:rPr>
        <w:t xml:space="preserve">: </w:t>
      </w:r>
      <w:r w:rsidRPr="004834FD">
        <w:rPr>
          <w:bCs/>
          <w:iCs/>
          <w:lang w:val="en-GB" w:eastAsia="ko-KR"/>
        </w:rPr>
        <w:t>Based on the radio station</w:t>
      </w:r>
      <w:r w:rsidRPr="004834FD">
        <w:rPr>
          <w:bCs/>
          <w:iCs/>
          <w:lang w:val="en-GB"/>
        </w:rPr>
        <w:t>.</w:t>
      </w:r>
    </w:p>
    <w:p w:rsidR="004834FD" w:rsidRPr="004834FD" w:rsidRDefault="004834FD" w:rsidP="004834FD">
      <w:pPr>
        <w:rPr>
          <w:bCs/>
          <w:iCs/>
          <w:lang w:val="en-GB"/>
        </w:rPr>
      </w:pPr>
      <w:r w:rsidRPr="004834FD">
        <w:rPr>
          <w:bCs/>
          <w:iCs/>
          <w:lang w:val="en-GB"/>
        </w:rPr>
        <w:t xml:space="preserve">Category </w:t>
      </w:r>
      <w:r w:rsidRPr="004834FD">
        <w:rPr>
          <w:bCs/>
          <w:iCs/>
          <w:lang w:val="en-GB" w:eastAsia="ko-KR"/>
        </w:rPr>
        <w:t>3: Based on the assigned frequency of the transmitter of radio stations.</w:t>
      </w:r>
    </w:p>
    <w:p w:rsidR="004834FD" w:rsidRPr="004834FD" w:rsidRDefault="004834FD" w:rsidP="004834FD">
      <w:pPr>
        <w:rPr>
          <w:lang w:val="en-GB" w:eastAsia="ko-KR"/>
        </w:rPr>
      </w:pPr>
      <w:r w:rsidRPr="004834FD">
        <w:rPr>
          <w:bCs/>
          <w:iCs/>
          <w:lang w:val="en-GB"/>
        </w:rPr>
        <w:t xml:space="preserve">Category </w:t>
      </w:r>
      <w:r w:rsidRPr="004834FD">
        <w:rPr>
          <w:bCs/>
          <w:iCs/>
          <w:lang w:val="en-GB" w:eastAsia="ko-KR"/>
        </w:rPr>
        <w:t>4:</w:t>
      </w:r>
      <w:r w:rsidRPr="004834FD">
        <w:rPr>
          <w:lang w:val="en-GB" w:eastAsia="ko-KR"/>
        </w:rPr>
        <w:t xml:space="preserve"> Based on an earth s</w:t>
      </w:r>
      <w:r w:rsidRPr="004834FD">
        <w:rPr>
          <w:lang w:val="en-GB"/>
        </w:rPr>
        <w:t>tations installed on vehicles</w:t>
      </w:r>
      <w:r w:rsidRPr="004834FD">
        <w:rPr>
          <w:lang w:val="en-GB" w:eastAsia="ko-KR"/>
        </w:rPr>
        <w:t xml:space="preserve"> and common carrier</w:t>
      </w:r>
      <w:r w:rsidRPr="004834FD">
        <w:rPr>
          <w:lang w:val="en-GB"/>
        </w:rPr>
        <w:t>’s earth stations for lease</w:t>
      </w:r>
      <w:r w:rsidRPr="004834FD">
        <w:rPr>
          <w:lang w:val="en-GB" w:eastAsia="ko-KR"/>
        </w:rPr>
        <w:t>).</w:t>
      </w:r>
    </w:p>
    <w:p w:rsidR="004834FD" w:rsidRPr="004834FD" w:rsidRDefault="004834FD" w:rsidP="004834FD">
      <w:pPr>
        <w:pStyle w:val="Note"/>
        <w:rPr>
          <w:lang w:val="en-GB" w:eastAsia="ko-KR"/>
        </w:rPr>
      </w:pPr>
      <w:r w:rsidRPr="004834FD">
        <w:rPr>
          <w:lang w:val="en-GB" w:eastAsia="ko-KR"/>
        </w:rPr>
        <w:t>NOTE – All fees are imposed quarterly.</w:t>
      </w:r>
    </w:p>
    <w:p w:rsidR="004834FD" w:rsidRPr="004B611D" w:rsidRDefault="004834FD" w:rsidP="004834FD">
      <w:pPr>
        <w:pStyle w:val="Headingb"/>
        <w:rPr>
          <w:lang w:val="en-GB"/>
        </w:rPr>
      </w:pPr>
      <w:bookmarkStart w:id="2172" w:name="_Toc462234158"/>
      <w:bookmarkStart w:id="2173" w:name="_Toc454284994"/>
      <w:r w:rsidRPr="004B611D">
        <w:rPr>
          <w:lang w:val="en-GB"/>
        </w:rPr>
        <w:t xml:space="preserve">Assessment criteria of spectrum </w:t>
      </w:r>
      <w:bookmarkEnd w:id="2172"/>
      <w:bookmarkEnd w:id="2173"/>
      <w:r w:rsidRPr="004B611D">
        <w:rPr>
          <w:lang w:val="en-GB" w:eastAsia="ko-KR"/>
        </w:rPr>
        <w:t>usage fees</w:t>
      </w:r>
    </w:p>
    <w:p w:rsidR="004834FD" w:rsidRPr="004B611D" w:rsidRDefault="004834FD" w:rsidP="004834FD">
      <w:pPr>
        <w:pStyle w:val="Headingb"/>
        <w:rPr>
          <w:lang w:val="en-GB"/>
        </w:rPr>
      </w:pPr>
      <w:r w:rsidRPr="004B611D">
        <w:rPr>
          <w:bCs/>
          <w:lang w:val="en-GB" w:eastAsia="ko-KR"/>
        </w:rPr>
        <w:t>Category 1</w:t>
      </w:r>
      <w:r w:rsidRPr="004B611D">
        <w:rPr>
          <w:bCs/>
          <w:lang w:val="en-GB"/>
        </w:rPr>
        <w:t>:</w:t>
      </w:r>
      <w:r w:rsidRPr="004B611D">
        <w:rPr>
          <w:lang w:val="en-GB" w:eastAsia="ko-KR"/>
        </w:rPr>
        <w:t xml:space="preserve"> Based on the common carrier</w:t>
      </w:r>
    </w:p>
    <w:p w:rsidR="004834FD" w:rsidRPr="004834FD" w:rsidRDefault="004834FD" w:rsidP="004834FD">
      <w:pPr>
        <w:keepNext/>
        <w:keepLines/>
        <w:rPr>
          <w:lang w:val="en-GB"/>
        </w:rPr>
      </w:pPr>
      <w:r w:rsidRPr="004834FD">
        <w:rPr>
          <w:lang w:val="en-GB"/>
        </w:rPr>
        <w:t xml:space="preserve">Spectrum </w:t>
      </w:r>
      <w:r w:rsidRPr="004834FD">
        <w:rPr>
          <w:lang w:val="en-GB" w:eastAsia="ko-KR"/>
        </w:rPr>
        <w:t>usage fees</w:t>
      </w:r>
      <w:r w:rsidRPr="004834FD">
        <w:rPr>
          <w:lang w:val="en-GB"/>
        </w:rPr>
        <w:t xml:space="preserve"> </w:t>
      </w:r>
      <w:r w:rsidRPr="004834FD">
        <w:rPr>
          <w:lang w:val="en-GB" w:eastAsia="ko-KR"/>
        </w:rPr>
        <w:t>(SF)</w:t>
      </w:r>
      <w:r w:rsidRPr="004834FD">
        <w:rPr>
          <w:lang w:val="en-GB"/>
        </w:rPr>
        <w:t xml:space="preserve"> </w:t>
      </w:r>
      <w:r w:rsidRPr="004834FD">
        <w:rPr>
          <w:lang w:val="en-GB" w:eastAsia="ko-KR"/>
        </w:rPr>
        <w:t xml:space="preserve">is </w:t>
      </w:r>
      <w:r w:rsidRPr="004834FD">
        <w:rPr>
          <w:lang w:val="en-GB"/>
        </w:rPr>
        <w:t xml:space="preserve">imposed on the </w:t>
      </w:r>
      <w:r w:rsidRPr="004834FD">
        <w:rPr>
          <w:lang w:val="en-GB" w:eastAsia="ko-KR"/>
        </w:rPr>
        <w:t>common carrier based on the following</w:t>
      </w:r>
      <w:r w:rsidRPr="004834FD">
        <w:rPr>
          <w:lang w:val="en-GB"/>
        </w:rPr>
        <w:t xml:space="preserve"> equation:</w:t>
      </w:r>
    </w:p>
    <w:p w:rsidR="001B381F" w:rsidRPr="00BD6197" w:rsidRDefault="001B381F" w:rsidP="00263872">
      <w:pPr>
        <w:pStyle w:val="Equation"/>
        <w:rPr>
          <w:lang w:val="en-US" w:eastAsia="ko-KR"/>
        </w:rPr>
      </w:pPr>
      <w:r w:rsidRPr="00BD6197">
        <w:rPr>
          <w:lang w:val="en-US"/>
        </w:rPr>
        <w:tab/>
      </w:r>
      <w:r w:rsidRPr="00BD6197">
        <w:rPr>
          <w:lang w:val="en-US"/>
        </w:rPr>
        <w:tab/>
      </w:r>
      <w:r w:rsidRPr="00BD6197">
        <w:rPr>
          <w:position w:val="-14"/>
          <w:lang w:val="en-US"/>
        </w:rPr>
        <w:object w:dxaOrig="4720" w:dyaOrig="420">
          <v:shape id="_x0000_i1162" type="#_x0000_t75" style="width:234pt;height:20.25pt" o:ole="" fillcolor="window">
            <v:imagedata r:id="rId304" o:title=""/>
          </v:shape>
          <o:OLEObject Type="Embed" ProgID="Equation.3" ShapeID="_x0000_i1162" DrawAspect="Content" ObjectID="_1604325115" r:id="rId305"/>
        </w:object>
      </w:r>
      <w:r w:rsidR="00AE3C7E">
        <w:rPr>
          <w:lang w:val="en-US"/>
        </w:rPr>
        <w:tab/>
        <w:t>(6</w:t>
      </w:r>
      <w:r w:rsidR="00263872">
        <w:rPr>
          <w:lang w:val="en-US"/>
        </w:rPr>
        <w:t>6</w:t>
      </w:r>
      <w:r w:rsidRPr="00BD6197">
        <w:rPr>
          <w:lang w:val="en-US"/>
        </w:rPr>
        <w:t>)</w:t>
      </w:r>
    </w:p>
    <w:p w:rsidR="004834FD" w:rsidRPr="004834FD" w:rsidRDefault="004834FD" w:rsidP="004834FD">
      <w:pPr>
        <w:pStyle w:val="Equation"/>
        <w:rPr>
          <w:lang w:val="en-GB"/>
        </w:rPr>
      </w:pPr>
      <w:r w:rsidRPr="004834FD">
        <w:rPr>
          <w:lang w:val="en-GB"/>
        </w:rPr>
        <w:t>where:</w:t>
      </w:r>
    </w:p>
    <w:p w:rsidR="004834FD" w:rsidRPr="004B611D" w:rsidRDefault="004834FD" w:rsidP="004834FD">
      <w:pPr>
        <w:pStyle w:val="Equationlegend"/>
      </w:pPr>
      <w:r w:rsidRPr="004B611D">
        <w:tab/>
      </w:r>
      <w:r w:rsidRPr="004B611D">
        <w:rPr>
          <w:i/>
          <w:iCs/>
        </w:rPr>
        <w:t>N</w:t>
      </w:r>
      <w:r w:rsidRPr="004B611D">
        <w:rPr>
          <w:i/>
          <w:iCs/>
          <w:vertAlign w:val="subscript"/>
        </w:rPr>
        <w:t>s</w:t>
      </w:r>
      <w:r w:rsidRPr="004B611D">
        <w:rPr>
          <w:szCs w:val="24"/>
        </w:rPr>
        <w:t>:</w:t>
      </w:r>
      <w:r w:rsidRPr="004B611D">
        <w:rPr>
          <w:sz w:val="20"/>
        </w:rPr>
        <w:tab/>
      </w:r>
      <w:r w:rsidRPr="004B611D">
        <w:t>number of subscribers</w:t>
      </w:r>
    </w:p>
    <w:p w:rsidR="004834FD" w:rsidRPr="004B611D" w:rsidRDefault="004834FD" w:rsidP="004834FD">
      <w:pPr>
        <w:pStyle w:val="Equationlegend"/>
        <w:rPr>
          <w:lang w:eastAsia="ko-KR"/>
        </w:rPr>
      </w:pPr>
      <w:r w:rsidRPr="004B611D">
        <w:tab/>
      </w:r>
      <w:r w:rsidRPr="004B611D">
        <w:rPr>
          <w:i/>
          <w:iCs/>
        </w:rPr>
        <w:t>U</w:t>
      </w:r>
      <w:r w:rsidRPr="004B611D">
        <w:rPr>
          <w:i/>
          <w:iCs/>
          <w:vertAlign w:val="subscript"/>
          <w:lang w:eastAsia="ko-KR"/>
        </w:rPr>
        <w:t>p</w:t>
      </w:r>
      <w:r w:rsidRPr="004B611D">
        <w:rPr>
          <w:szCs w:val="24"/>
        </w:rPr>
        <w:t>:</w:t>
      </w:r>
      <w:r w:rsidRPr="004B611D">
        <w:rPr>
          <w:i/>
          <w:iCs/>
        </w:rPr>
        <w:tab/>
      </w:r>
      <w:r w:rsidRPr="004B611D">
        <w:t xml:space="preserve">unit </w:t>
      </w:r>
      <w:r w:rsidRPr="004B611D">
        <w:rPr>
          <w:lang w:eastAsia="ko-KR"/>
        </w:rPr>
        <w:t>price</w:t>
      </w:r>
    </w:p>
    <w:p w:rsidR="004834FD" w:rsidRPr="004B611D" w:rsidRDefault="004834FD" w:rsidP="004834FD">
      <w:pPr>
        <w:pStyle w:val="Equationlegend"/>
      </w:pPr>
      <w:r w:rsidRPr="004B611D">
        <w:tab/>
      </w:r>
      <w:r w:rsidRPr="004B611D">
        <w:rPr>
          <w:i/>
          <w:lang w:eastAsia="ko-KR"/>
        </w:rPr>
        <w:t>F</w:t>
      </w:r>
      <w:r w:rsidRPr="004B611D">
        <w:rPr>
          <w:i/>
          <w:iCs/>
          <w:vertAlign w:val="subscript"/>
          <w:lang w:eastAsia="ko-KR"/>
        </w:rPr>
        <w:t>s</w:t>
      </w:r>
      <w:r w:rsidRPr="004B611D">
        <w:rPr>
          <w:i/>
          <w:iCs/>
          <w:sz w:val="12"/>
        </w:rPr>
        <w:t> </w:t>
      </w:r>
      <w:r w:rsidRPr="004B611D">
        <w:rPr>
          <w:i/>
          <w:iCs/>
        </w:rPr>
        <w:t xml:space="preserve"> </w:t>
      </w:r>
      <w:r w:rsidRPr="004B611D">
        <w:rPr>
          <w:i/>
          <w:iCs/>
        </w:rPr>
        <w:tab/>
      </w:r>
      <w:r w:rsidRPr="004B611D">
        <w:t xml:space="preserve">facilities </w:t>
      </w:r>
      <w:r w:rsidRPr="004B611D">
        <w:rPr>
          <w:lang w:eastAsia="ko-KR"/>
        </w:rPr>
        <w:t xml:space="preserve">sharing fee-waiver </w:t>
      </w:r>
      <w:r w:rsidRPr="004B611D">
        <w:t>factor</w:t>
      </w:r>
    </w:p>
    <w:p w:rsidR="004834FD" w:rsidRPr="004B611D" w:rsidRDefault="004834FD" w:rsidP="004834FD">
      <w:pPr>
        <w:pStyle w:val="Equationlegend"/>
        <w:rPr>
          <w:i/>
          <w:iCs/>
          <w:lang w:eastAsia="ko-KR"/>
        </w:rPr>
      </w:pPr>
      <w:r w:rsidRPr="004B611D">
        <w:tab/>
      </w:r>
      <w:r w:rsidRPr="004B611D">
        <w:rPr>
          <w:i/>
          <w:iCs/>
        </w:rPr>
        <w:t>E</w:t>
      </w:r>
      <w:r w:rsidRPr="004B611D">
        <w:rPr>
          <w:i/>
          <w:iCs/>
          <w:vertAlign w:val="subscript"/>
        </w:rPr>
        <w:t>f</w:t>
      </w:r>
      <w:r w:rsidRPr="004B611D">
        <w:rPr>
          <w:i/>
          <w:iCs/>
          <w:sz w:val="12"/>
        </w:rPr>
        <w:t> </w:t>
      </w:r>
      <w:r w:rsidRPr="004B611D">
        <w:rPr>
          <w:i/>
          <w:iCs/>
          <w:vertAlign w:val="subscript"/>
        </w:rPr>
        <w:t>f</w:t>
      </w:r>
      <w:r w:rsidRPr="004B611D">
        <w:rPr>
          <w:i/>
          <w:iCs/>
          <w:sz w:val="12"/>
        </w:rPr>
        <w:t> </w:t>
      </w:r>
      <w:r w:rsidRPr="004B611D">
        <w:rPr>
          <w:szCs w:val="24"/>
        </w:rPr>
        <w:t>:</w:t>
      </w:r>
      <w:r w:rsidRPr="004B611D">
        <w:rPr>
          <w:i/>
          <w:iCs/>
        </w:rPr>
        <w:t xml:space="preserve"> </w:t>
      </w:r>
      <w:r w:rsidRPr="004B611D">
        <w:rPr>
          <w:i/>
          <w:iCs/>
        </w:rPr>
        <w:tab/>
      </w:r>
      <w:r w:rsidRPr="004B611D">
        <w:rPr>
          <w:lang w:eastAsia="ko-KR"/>
        </w:rPr>
        <w:t xml:space="preserve">eco-friendly fee-waiver </w:t>
      </w:r>
      <w:r w:rsidRPr="004B611D">
        <w:t>factor</w:t>
      </w:r>
    </w:p>
    <w:p w:rsidR="004834FD" w:rsidRPr="004B611D" w:rsidRDefault="004834FD" w:rsidP="004834FD">
      <w:pPr>
        <w:pStyle w:val="Equationlegend"/>
        <w:rPr>
          <w:lang w:eastAsia="ko-KR"/>
        </w:rPr>
      </w:pPr>
      <w:r w:rsidRPr="004B611D">
        <w:rPr>
          <w:i/>
          <w:iCs/>
        </w:rPr>
        <w:tab/>
        <w:t>R</w:t>
      </w:r>
      <w:r w:rsidRPr="004B611D">
        <w:rPr>
          <w:i/>
          <w:iCs/>
          <w:vertAlign w:val="subscript"/>
        </w:rPr>
        <w:t>f</w:t>
      </w:r>
      <w:r w:rsidRPr="004B611D">
        <w:rPr>
          <w:szCs w:val="24"/>
        </w:rPr>
        <w:t>:</w:t>
      </w:r>
      <w:r w:rsidRPr="004B611D">
        <w:t xml:space="preserve"> </w:t>
      </w:r>
      <w:r w:rsidRPr="004B611D">
        <w:tab/>
        <w:t xml:space="preserve">roaming </w:t>
      </w:r>
      <w:r w:rsidRPr="004B611D">
        <w:rPr>
          <w:lang w:eastAsia="ko-KR"/>
        </w:rPr>
        <w:t xml:space="preserve">fee-waiver </w:t>
      </w:r>
      <w:r w:rsidRPr="004B611D">
        <w:t>factor</w:t>
      </w:r>
    </w:p>
    <w:p w:rsidR="004834FD" w:rsidRPr="004B611D" w:rsidRDefault="004834FD" w:rsidP="004834FD">
      <w:pPr>
        <w:pStyle w:val="Equationlegend"/>
        <w:rPr>
          <w:lang w:eastAsia="ko-KR"/>
        </w:rPr>
      </w:pPr>
      <w:r w:rsidRPr="004B611D">
        <w:tab/>
      </w:r>
      <w:r w:rsidRPr="004B611D">
        <w:rPr>
          <w:i/>
          <w:iCs/>
        </w:rPr>
        <w:t>E</w:t>
      </w:r>
      <w:r w:rsidRPr="004B611D">
        <w:rPr>
          <w:i/>
          <w:iCs/>
          <w:vertAlign w:val="subscript"/>
        </w:rPr>
        <w:t>f</w:t>
      </w:r>
      <w:r w:rsidRPr="004B611D">
        <w:rPr>
          <w:szCs w:val="24"/>
        </w:rPr>
        <w:t>:</w:t>
      </w:r>
      <w:r w:rsidRPr="004B611D">
        <w:rPr>
          <w:i/>
          <w:iCs/>
        </w:rPr>
        <w:t xml:space="preserve"> </w:t>
      </w:r>
      <w:r w:rsidRPr="004B611D">
        <w:rPr>
          <w:i/>
          <w:iCs/>
        </w:rPr>
        <w:tab/>
      </w:r>
      <w:r w:rsidRPr="004B611D">
        <w:rPr>
          <w:iCs/>
          <w:lang w:eastAsia="ko-KR"/>
        </w:rPr>
        <w:t xml:space="preserve">frequency </w:t>
      </w:r>
      <w:r w:rsidRPr="004B611D">
        <w:t xml:space="preserve">use efficiency </w:t>
      </w:r>
      <w:r w:rsidRPr="004B611D">
        <w:rPr>
          <w:lang w:eastAsia="ko-KR"/>
        </w:rPr>
        <w:t xml:space="preserve">fee-waiver </w:t>
      </w:r>
      <w:r w:rsidRPr="004B611D">
        <w:t>factor</w:t>
      </w:r>
    </w:p>
    <w:p w:rsidR="004834FD" w:rsidRPr="004B611D" w:rsidRDefault="004834FD" w:rsidP="004834FD">
      <w:pPr>
        <w:pStyle w:val="Equationlegend"/>
        <w:rPr>
          <w:lang w:eastAsia="ko-KR"/>
        </w:rPr>
      </w:pPr>
      <w:r w:rsidRPr="004B611D">
        <w:tab/>
      </w:r>
      <w:r w:rsidRPr="004B611D">
        <w:rPr>
          <w:i/>
          <w:iCs/>
          <w:lang w:eastAsia="ko-KR"/>
        </w:rPr>
        <w:t>C</w:t>
      </w:r>
      <w:r w:rsidRPr="004B611D">
        <w:rPr>
          <w:szCs w:val="24"/>
        </w:rPr>
        <w:t>:</w:t>
      </w:r>
      <w:r w:rsidRPr="004B611D">
        <w:rPr>
          <w:i/>
          <w:iCs/>
        </w:rPr>
        <w:t xml:space="preserve"> </w:t>
      </w:r>
      <w:r w:rsidRPr="004B611D">
        <w:rPr>
          <w:i/>
          <w:iCs/>
        </w:rPr>
        <w:tab/>
      </w:r>
      <w:r w:rsidRPr="004B611D">
        <w:rPr>
          <w:szCs w:val="24"/>
          <w:lang w:eastAsia="ko-KR"/>
        </w:rPr>
        <w:t>radio characteristic factor</w:t>
      </w:r>
      <w:r w:rsidRPr="004B611D">
        <w:t>.</w:t>
      </w:r>
    </w:p>
    <w:p w:rsidR="004834FD" w:rsidRPr="004834FD" w:rsidRDefault="004834FD" w:rsidP="004834FD">
      <w:pPr>
        <w:rPr>
          <w:lang w:val="en-GB" w:eastAsia="ko-KR"/>
        </w:rPr>
      </w:pPr>
      <w:r w:rsidRPr="004834FD">
        <w:rPr>
          <w:lang w:val="en-GB" w:eastAsia="ko-KR"/>
        </w:rPr>
        <w:t>Description of the parameters:</w:t>
      </w:r>
    </w:p>
    <w:p w:rsidR="004834FD" w:rsidRPr="004834FD" w:rsidRDefault="004834FD" w:rsidP="004834FD">
      <w:pPr>
        <w:rPr>
          <w:lang w:val="en-GB"/>
        </w:rPr>
      </w:pPr>
      <w:bookmarkStart w:id="2174" w:name="_Toc462234159"/>
      <w:bookmarkStart w:id="2175" w:name="_Toc454284995"/>
      <w:r w:rsidRPr="004834FD">
        <w:rPr>
          <w:lang w:val="en-GB" w:eastAsia="ko-KR"/>
        </w:rPr>
        <w:t>a)</w:t>
      </w:r>
      <w:r w:rsidRPr="004834FD">
        <w:rPr>
          <w:lang w:val="en-GB" w:eastAsia="ko-KR"/>
        </w:rPr>
        <w:tab/>
        <w:t>N</w:t>
      </w:r>
      <w:r w:rsidRPr="004834FD">
        <w:rPr>
          <w:lang w:val="en-GB"/>
        </w:rPr>
        <w:t>umber of subscribers</w:t>
      </w:r>
      <w:bookmarkEnd w:id="2174"/>
      <w:bookmarkEnd w:id="2175"/>
      <w:r w:rsidRPr="004834FD">
        <w:rPr>
          <w:lang w:val="en-GB"/>
        </w:rPr>
        <w:t xml:space="preserve"> is the average on the first and last day of the quarter.</w:t>
      </w:r>
    </w:p>
    <w:p w:rsidR="004834FD" w:rsidRPr="004B611D" w:rsidRDefault="004834FD" w:rsidP="004834FD">
      <w:bookmarkStart w:id="2176" w:name="_Toc462234160"/>
      <w:bookmarkStart w:id="2177" w:name="_Toc454284996"/>
      <w:bookmarkEnd w:id="2176"/>
      <w:bookmarkEnd w:id="2177"/>
      <w:r w:rsidRPr="004B611D">
        <w:t>b)</w:t>
      </w:r>
      <w:r w:rsidRPr="004B611D">
        <w:tab/>
        <w:t>Unit price:</w:t>
      </w:r>
    </w:p>
    <w:p w:rsidR="004834FD" w:rsidRPr="004B611D" w:rsidRDefault="004834FD" w:rsidP="004834FD">
      <w:pPr>
        <w:pStyle w:val="Blanc"/>
      </w:pPr>
    </w:p>
    <w:tbl>
      <w:tblPr>
        <w:tblW w:w="8167"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9" w:type="dxa"/>
          <w:right w:w="99" w:type="dxa"/>
        </w:tblCellMar>
        <w:tblLook w:val="0000" w:firstRow="0" w:lastRow="0" w:firstColumn="0" w:lastColumn="0" w:noHBand="0" w:noVBand="0"/>
      </w:tblPr>
      <w:tblGrid>
        <w:gridCol w:w="4517"/>
        <w:gridCol w:w="3650"/>
      </w:tblGrid>
      <w:tr w:rsidR="004834FD" w:rsidRPr="00D17B5B" w:rsidTr="007B2832">
        <w:trPr>
          <w:jc w:val="center"/>
        </w:trPr>
        <w:tc>
          <w:tcPr>
            <w:tcW w:w="4516" w:type="dxa"/>
            <w:tcBorders>
              <w:top w:val="single" w:sz="4" w:space="0" w:color="00000A"/>
              <w:left w:val="single" w:sz="4" w:space="0" w:color="00000A"/>
              <w:bottom w:val="single" w:sz="4" w:space="0" w:color="00000A"/>
              <w:right w:val="single" w:sz="4" w:space="0" w:color="00000A"/>
            </w:tcBorders>
            <w:shd w:val="clear" w:color="auto" w:fill="auto"/>
            <w:tcMar>
              <w:left w:w="99" w:type="dxa"/>
            </w:tcMar>
            <w:vAlign w:val="center"/>
          </w:tcPr>
          <w:p w:rsidR="004834FD" w:rsidRPr="004B611D" w:rsidRDefault="004834FD" w:rsidP="007B2832">
            <w:pPr>
              <w:pStyle w:val="Tablehead"/>
              <w:rPr>
                <w:szCs w:val="22"/>
              </w:rPr>
            </w:pPr>
            <w:r w:rsidRPr="004B611D">
              <w:rPr>
                <w:szCs w:val="22"/>
              </w:rPr>
              <w:t>Services</w:t>
            </w:r>
          </w:p>
        </w:tc>
        <w:tc>
          <w:tcPr>
            <w:tcW w:w="3650"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4834FD" w:rsidRDefault="004834FD" w:rsidP="007B2832">
            <w:pPr>
              <w:pStyle w:val="Tablehead"/>
              <w:rPr>
                <w:szCs w:val="22"/>
                <w:lang w:val="en-GB" w:eastAsia="ko-KR"/>
              </w:rPr>
            </w:pPr>
            <w:r w:rsidRPr="004834FD">
              <w:rPr>
                <w:szCs w:val="22"/>
                <w:lang w:val="en-GB"/>
              </w:rPr>
              <w:t xml:space="preserve">Unit </w:t>
            </w:r>
            <w:r w:rsidRPr="004834FD">
              <w:rPr>
                <w:szCs w:val="22"/>
                <w:lang w:val="en-GB" w:eastAsia="ko-KR"/>
              </w:rPr>
              <w:t>price</w:t>
            </w:r>
            <w:r w:rsidRPr="004834FD">
              <w:rPr>
                <w:szCs w:val="22"/>
                <w:lang w:val="en-GB" w:eastAsia="ko-KR"/>
              </w:rPr>
              <w:br/>
            </w:r>
            <w:r w:rsidRPr="004834FD">
              <w:rPr>
                <w:szCs w:val="22"/>
                <w:lang w:val="en-GB"/>
              </w:rPr>
              <w:t>(</w:t>
            </w:r>
            <w:r w:rsidRPr="004834FD">
              <w:rPr>
                <w:szCs w:val="22"/>
                <w:lang w:val="en-GB" w:eastAsia="ko-KR"/>
              </w:rPr>
              <w:t>KRW</w:t>
            </w:r>
            <w:r w:rsidRPr="004B611D">
              <w:rPr>
                <w:rStyle w:val="FootnoteAnchor"/>
                <w:szCs w:val="22"/>
                <w:lang w:eastAsia="ko-KR"/>
              </w:rPr>
              <w:footnoteReference w:id="17"/>
            </w:r>
            <w:r w:rsidRPr="004834FD">
              <w:rPr>
                <w:szCs w:val="22"/>
                <w:lang w:val="en-GB"/>
              </w:rPr>
              <w:t>/subscriber/quarter)</w:t>
            </w:r>
          </w:p>
        </w:tc>
      </w:tr>
      <w:tr w:rsidR="004834FD" w:rsidRPr="004B611D" w:rsidTr="007B2832">
        <w:trPr>
          <w:jc w:val="center"/>
        </w:trPr>
        <w:tc>
          <w:tcPr>
            <w:tcW w:w="4516"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5B315D" w:rsidRDefault="004834FD" w:rsidP="007B2832">
            <w:pPr>
              <w:pStyle w:val="Tabletext"/>
              <w:rPr>
                <w:szCs w:val="22"/>
                <w:lang w:val="fr-CH" w:eastAsia="ko-KR"/>
              </w:rPr>
            </w:pPr>
            <w:r w:rsidRPr="005B315D">
              <w:rPr>
                <w:szCs w:val="22"/>
                <w:lang w:val="fr-CH"/>
              </w:rPr>
              <w:t>Mobile phone</w:t>
            </w:r>
            <w:r w:rsidRPr="005B315D">
              <w:rPr>
                <w:szCs w:val="22"/>
                <w:lang w:val="fr-CH" w:eastAsia="ko-KR"/>
              </w:rPr>
              <w:t xml:space="preserve"> service (Cellular, PCS, IMT)</w:t>
            </w:r>
          </w:p>
          <w:p w:rsidR="004834FD" w:rsidRPr="004834FD" w:rsidRDefault="004834FD" w:rsidP="007B2832">
            <w:pPr>
              <w:pStyle w:val="Tabletext"/>
              <w:rPr>
                <w:szCs w:val="22"/>
                <w:lang w:val="en-GB" w:eastAsia="ko-KR"/>
              </w:rPr>
            </w:pPr>
            <w:r w:rsidRPr="004834FD">
              <w:rPr>
                <w:szCs w:val="22"/>
                <w:lang w:val="en-GB" w:eastAsia="ko-KR"/>
              </w:rPr>
              <w:t>WiBro (wireless broadband internet)</w:t>
            </w:r>
          </w:p>
          <w:p w:rsidR="004834FD" w:rsidRPr="004834FD" w:rsidRDefault="004834FD" w:rsidP="007B2832">
            <w:pPr>
              <w:pStyle w:val="Tabletext"/>
              <w:rPr>
                <w:szCs w:val="22"/>
                <w:lang w:val="en-GB" w:eastAsia="ko-KR"/>
              </w:rPr>
            </w:pPr>
            <w:r w:rsidRPr="004834FD">
              <w:rPr>
                <w:szCs w:val="22"/>
                <w:lang w:val="en-GB" w:eastAsia="ko-KR"/>
              </w:rPr>
              <w:t xml:space="preserve">Radio </w:t>
            </w:r>
            <w:r w:rsidRPr="004834FD">
              <w:rPr>
                <w:szCs w:val="22"/>
                <w:lang w:val="en-GB"/>
              </w:rPr>
              <w:t>pager</w:t>
            </w:r>
            <w:r w:rsidRPr="004834FD">
              <w:rPr>
                <w:szCs w:val="22"/>
                <w:lang w:val="en-GB" w:eastAsia="ko-KR"/>
              </w:rPr>
              <w:t>/Trunked radio service</w:t>
            </w:r>
          </w:p>
          <w:p w:rsidR="004834FD" w:rsidRPr="004834FD" w:rsidRDefault="004834FD" w:rsidP="007B2832">
            <w:pPr>
              <w:pStyle w:val="Tabletext"/>
              <w:rPr>
                <w:szCs w:val="22"/>
                <w:lang w:val="en-GB" w:eastAsia="ko-KR"/>
              </w:rPr>
            </w:pPr>
            <w:r w:rsidRPr="004834FD">
              <w:rPr>
                <w:szCs w:val="22"/>
                <w:lang w:val="en-GB" w:eastAsia="ko-KR"/>
              </w:rPr>
              <w:t>Location-based service</w:t>
            </w:r>
          </w:p>
          <w:p w:rsidR="004834FD" w:rsidRPr="004834FD" w:rsidRDefault="004834FD" w:rsidP="007B2832">
            <w:pPr>
              <w:pStyle w:val="Tabletext"/>
              <w:rPr>
                <w:szCs w:val="22"/>
                <w:lang w:val="en-GB" w:eastAsia="ko-KR"/>
              </w:rPr>
            </w:pPr>
            <w:r w:rsidRPr="004834FD">
              <w:rPr>
                <w:szCs w:val="22"/>
                <w:lang w:val="en-GB" w:eastAsia="ko-KR"/>
              </w:rPr>
              <w:t>Wireless</w:t>
            </w:r>
            <w:r w:rsidRPr="004834FD">
              <w:rPr>
                <w:szCs w:val="22"/>
                <w:lang w:val="en-GB"/>
              </w:rPr>
              <w:t xml:space="preserve"> data</w:t>
            </w:r>
            <w:r w:rsidRPr="004834FD">
              <w:rPr>
                <w:szCs w:val="22"/>
                <w:lang w:val="en-GB" w:eastAsia="ko-KR"/>
              </w:rPr>
              <w:t xml:space="preserve"> service </w:t>
            </w:r>
          </w:p>
          <w:p w:rsidR="004834FD" w:rsidRPr="004834FD" w:rsidRDefault="004834FD" w:rsidP="007B2832">
            <w:pPr>
              <w:pStyle w:val="Tabletext"/>
              <w:rPr>
                <w:szCs w:val="22"/>
                <w:lang w:val="en-GB" w:eastAsia="ko-KR"/>
              </w:rPr>
            </w:pPr>
            <w:r w:rsidRPr="004834FD">
              <w:rPr>
                <w:szCs w:val="22"/>
                <w:lang w:val="en-GB" w:eastAsia="ko-KR"/>
              </w:rPr>
              <w:t>Satellite communication (portable)</w:t>
            </w:r>
          </w:p>
          <w:p w:rsidR="004834FD" w:rsidRPr="004834FD" w:rsidRDefault="004834FD" w:rsidP="007B2832">
            <w:pPr>
              <w:pStyle w:val="Tabletext"/>
              <w:rPr>
                <w:szCs w:val="22"/>
                <w:lang w:val="en-GB" w:eastAsia="ko-KR"/>
              </w:rPr>
            </w:pPr>
            <w:r w:rsidRPr="004834FD">
              <w:rPr>
                <w:szCs w:val="22"/>
                <w:lang w:val="en-GB" w:eastAsia="ko-KR"/>
              </w:rPr>
              <w:t>–</w:t>
            </w:r>
            <w:r w:rsidRPr="004834FD">
              <w:rPr>
                <w:szCs w:val="22"/>
                <w:lang w:val="en-GB" w:eastAsia="ko-KR"/>
              </w:rPr>
              <w:tab/>
              <w:t>Voice and data</w:t>
            </w:r>
          </w:p>
          <w:p w:rsidR="004834FD" w:rsidRPr="004834FD" w:rsidRDefault="004834FD" w:rsidP="007B2832">
            <w:pPr>
              <w:pStyle w:val="Tabletext"/>
              <w:rPr>
                <w:szCs w:val="22"/>
                <w:lang w:val="en-GB" w:eastAsia="ko-KR"/>
              </w:rPr>
            </w:pPr>
            <w:r w:rsidRPr="004834FD">
              <w:rPr>
                <w:szCs w:val="22"/>
                <w:lang w:val="en-GB" w:eastAsia="ko-KR"/>
              </w:rPr>
              <w:t>–</w:t>
            </w:r>
            <w:r w:rsidRPr="004834FD">
              <w:rPr>
                <w:szCs w:val="22"/>
                <w:lang w:val="en-GB" w:eastAsia="ko-KR"/>
              </w:rPr>
              <w:tab/>
              <w:t>Data only</w:t>
            </w:r>
          </w:p>
        </w:tc>
        <w:tc>
          <w:tcPr>
            <w:tcW w:w="3650"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4B611D" w:rsidRDefault="004834FD" w:rsidP="007B2832">
            <w:pPr>
              <w:pStyle w:val="Tabletext"/>
              <w:jc w:val="center"/>
              <w:rPr>
                <w:szCs w:val="22"/>
              </w:rPr>
            </w:pPr>
            <w:r w:rsidRPr="004B611D">
              <w:rPr>
                <w:szCs w:val="22"/>
              </w:rPr>
              <w:t>2</w:t>
            </w:r>
            <w:r w:rsidRPr="004B611D">
              <w:rPr>
                <w:rFonts w:ascii="Tms Rmn" w:hAnsi="Tms Rmn"/>
                <w:szCs w:val="22"/>
              </w:rPr>
              <w:t> </w:t>
            </w:r>
            <w:r w:rsidRPr="004B611D">
              <w:rPr>
                <w:szCs w:val="22"/>
              </w:rPr>
              <w:t>000</w:t>
            </w:r>
          </w:p>
          <w:p w:rsidR="004834FD" w:rsidRPr="004B611D" w:rsidRDefault="004834FD" w:rsidP="007B2832">
            <w:pPr>
              <w:pStyle w:val="Tabletext"/>
              <w:jc w:val="center"/>
              <w:rPr>
                <w:szCs w:val="22"/>
                <w:lang w:eastAsia="ko-KR"/>
              </w:rPr>
            </w:pPr>
            <w:r w:rsidRPr="004B611D">
              <w:rPr>
                <w:szCs w:val="22"/>
                <w:lang w:eastAsia="ko-KR"/>
              </w:rPr>
              <w:t>1 200</w:t>
            </w:r>
          </w:p>
          <w:p w:rsidR="004834FD" w:rsidRPr="004B611D" w:rsidRDefault="004834FD" w:rsidP="007B2832">
            <w:pPr>
              <w:pStyle w:val="Tabletext"/>
              <w:jc w:val="center"/>
              <w:rPr>
                <w:szCs w:val="22"/>
                <w:lang w:eastAsia="ko-KR"/>
              </w:rPr>
            </w:pPr>
            <w:r w:rsidRPr="004B611D">
              <w:rPr>
                <w:szCs w:val="22"/>
              </w:rPr>
              <w:t>150</w:t>
            </w:r>
          </w:p>
          <w:p w:rsidR="004834FD" w:rsidRPr="004B611D" w:rsidRDefault="004834FD" w:rsidP="007B2832">
            <w:pPr>
              <w:pStyle w:val="Tabletext"/>
              <w:jc w:val="center"/>
              <w:rPr>
                <w:szCs w:val="22"/>
                <w:lang w:eastAsia="ko-KR"/>
              </w:rPr>
            </w:pPr>
            <w:r w:rsidRPr="004B611D">
              <w:rPr>
                <w:szCs w:val="22"/>
                <w:lang w:eastAsia="ko-KR"/>
              </w:rPr>
              <w:t>50</w:t>
            </w:r>
          </w:p>
          <w:p w:rsidR="004834FD" w:rsidRPr="004B611D" w:rsidRDefault="004834FD" w:rsidP="007B2832">
            <w:pPr>
              <w:pStyle w:val="Tabletext"/>
              <w:jc w:val="center"/>
              <w:rPr>
                <w:szCs w:val="22"/>
                <w:lang w:eastAsia="ko-KR"/>
              </w:rPr>
            </w:pPr>
            <w:r w:rsidRPr="004B611D">
              <w:rPr>
                <w:szCs w:val="22"/>
              </w:rPr>
              <w:t>30</w:t>
            </w:r>
          </w:p>
          <w:p w:rsidR="004834FD" w:rsidRPr="004B611D" w:rsidRDefault="004834FD" w:rsidP="007B2832">
            <w:pPr>
              <w:pStyle w:val="Tabletext"/>
              <w:jc w:val="center"/>
              <w:rPr>
                <w:b/>
                <w:szCs w:val="22"/>
                <w:lang w:eastAsia="ko-KR"/>
              </w:rPr>
            </w:pPr>
          </w:p>
          <w:p w:rsidR="004834FD" w:rsidRPr="004B611D" w:rsidRDefault="004834FD" w:rsidP="007B2832">
            <w:pPr>
              <w:pStyle w:val="Tabletext"/>
              <w:jc w:val="center"/>
              <w:rPr>
                <w:szCs w:val="22"/>
                <w:lang w:eastAsia="ko-KR"/>
              </w:rPr>
            </w:pPr>
            <w:r w:rsidRPr="004B611D">
              <w:rPr>
                <w:szCs w:val="22"/>
                <w:lang w:eastAsia="ko-KR"/>
              </w:rPr>
              <w:t>500</w:t>
            </w:r>
          </w:p>
          <w:p w:rsidR="004834FD" w:rsidRPr="004B611D" w:rsidRDefault="004834FD" w:rsidP="007B2832">
            <w:pPr>
              <w:pStyle w:val="Tabletext"/>
              <w:jc w:val="center"/>
              <w:rPr>
                <w:szCs w:val="22"/>
                <w:lang w:eastAsia="ko-KR"/>
              </w:rPr>
            </w:pPr>
            <w:r w:rsidRPr="004B611D">
              <w:rPr>
                <w:szCs w:val="22"/>
                <w:lang w:eastAsia="ko-KR"/>
              </w:rPr>
              <w:t>80</w:t>
            </w:r>
          </w:p>
        </w:tc>
      </w:tr>
    </w:tbl>
    <w:p w:rsidR="004834FD" w:rsidRPr="004B611D" w:rsidRDefault="004834FD" w:rsidP="004834FD">
      <w:pPr>
        <w:pStyle w:val="Tablefin"/>
        <w:rPr>
          <w:lang w:eastAsia="ko-KR"/>
        </w:rPr>
      </w:pPr>
    </w:p>
    <w:p w:rsidR="004834FD" w:rsidRPr="004834FD" w:rsidRDefault="004834FD" w:rsidP="004834FD">
      <w:pPr>
        <w:rPr>
          <w:lang w:val="en-GB"/>
        </w:rPr>
      </w:pPr>
      <w:bookmarkStart w:id="2178" w:name="_Toc462234161"/>
      <w:bookmarkStart w:id="2179" w:name="_Toc454284997"/>
      <w:r w:rsidRPr="004834FD">
        <w:rPr>
          <w:lang w:val="en-GB" w:eastAsia="ko-KR"/>
        </w:rPr>
        <w:t>c</w:t>
      </w:r>
      <w:r w:rsidRPr="004834FD">
        <w:rPr>
          <w:lang w:val="en-GB"/>
        </w:rPr>
        <w:t>)</w:t>
      </w:r>
      <w:r w:rsidRPr="004834FD">
        <w:rPr>
          <w:lang w:val="en-GB"/>
        </w:rPr>
        <w:tab/>
        <w:t>The fee-waiver factors of facility sharing, eco-friendly and roaming</w:t>
      </w:r>
      <w:bookmarkEnd w:id="2178"/>
      <w:bookmarkEnd w:id="2179"/>
      <w:r w:rsidRPr="004834FD">
        <w:rPr>
          <w:lang w:val="en-GB"/>
        </w:rPr>
        <w:t>:</w:t>
      </w:r>
    </w:p>
    <w:p w:rsidR="004834FD" w:rsidRPr="004B611D" w:rsidRDefault="004834FD" w:rsidP="004834FD">
      <w:pPr>
        <w:pStyle w:val="Blanc"/>
        <w:rPr>
          <w:lang w:eastAsia="ko-KR"/>
        </w:rPr>
      </w:pPr>
    </w:p>
    <w:tbl>
      <w:tblPr>
        <w:tblW w:w="8955"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545"/>
        <w:gridCol w:w="601"/>
        <w:gridCol w:w="776"/>
        <w:gridCol w:w="776"/>
        <w:gridCol w:w="776"/>
        <w:gridCol w:w="776"/>
        <w:gridCol w:w="776"/>
        <w:gridCol w:w="776"/>
        <w:gridCol w:w="776"/>
        <w:gridCol w:w="776"/>
        <w:gridCol w:w="601"/>
      </w:tblGrid>
      <w:tr w:rsidR="004834FD" w:rsidRPr="004B611D" w:rsidTr="007B2832">
        <w:trPr>
          <w:jc w:val="center"/>
        </w:trPr>
        <w:tc>
          <w:tcPr>
            <w:tcW w:w="20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834FD" w:rsidRDefault="004834FD" w:rsidP="007B2832">
            <w:pPr>
              <w:pStyle w:val="Tabletext"/>
              <w:rPr>
                <w:lang w:val="en-GB" w:eastAsia="ko-KR"/>
              </w:rPr>
            </w:pPr>
            <w:r w:rsidRPr="004834FD">
              <w:rPr>
                <w:lang w:val="en-GB" w:eastAsia="ko-KR"/>
              </w:rPr>
              <w:t>Facility sharing ratio, eco-friendly ratio and roaming ratio</w:t>
            </w:r>
          </w:p>
        </w:tc>
        <w:tc>
          <w:tcPr>
            <w:tcW w:w="5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&lt;10</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10~20</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20~30</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30~40</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40~45</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45~50</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50~55</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55~60</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60~70</w:t>
            </w:r>
          </w:p>
        </w:tc>
        <w:tc>
          <w:tcPr>
            <w:tcW w:w="5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&gt;70</w:t>
            </w:r>
          </w:p>
        </w:tc>
      </w:tr>
      <w:tr w:rsidR="004834FD" w:rsidRPr="004B611D" w:rsidTr="007B2832">
        <w:trPr>
          <w:jc w:val="center"/>
        </w:trPr>
        <w:tc>
          <w:tcPr>
            <w:tcW w:w="20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834FD" w:rsidRDefault="004834FD" w:rsidP="007B2832">
            <w:pPr>
              <w:pStyle w:val="Tabletext"/>
              <w:rPr>
                <w:lang w:val="en-GB" w:eastAsia="ko-KR"/>
              </w:rPr>
            </w:pPr>
            <w:r w:rsidRPr="004834FD">
              <w:rPr>
                <w:lang w:val="en-GB" w:eastAsia="ko-KR"/>
              </w:rPr>
              <w:t>Facility sharing fee-waiver factor</w:t>
            </w:r>
          </w:p>
        </w:tc>
        <w:tc>
          <w:tcPr>
            <w:tcW w:w="5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0.01</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0.02</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0.03</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0.04</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0.05</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0.06</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0.07</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0.08</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0.09</w:t>
            </w:r>
          </w:p>
        </w:tc>
        <w:tc>
          <w:tcPr>
            <w:tcW w:w="5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0.10</w:t>
            </w:r>
          </w:p>
        </w:tc>
      </w:tr>
      <w:tr w:rsidR="004834FD" w:rsidRPr="004B611D" w:rsidTr="007B2832">
        <w:trPr>
          <w:jc w:val="center"/>
        </w:trPr>
        <w:tc>
          <w:tcPr>
            <w:tcW w:w="20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834FD" w:rsidRDefault="004834FD" w:rsidP="007B2832">
            <w:pPr>
              <w:pStyle w:val="Tabletext"/>
              <w:rPr>
                <w:lang w:val="en-GB" w:eastAsia="ko-KR"/>
              </w:rPr>
            </w:pPr>
            <w:r w:rsidRPr="004834FD">
              <w:rPr>
                <w:lang w:val="en-GB" w:eastAsia="ko-KR"/>
              </w:rPr>
              <w:t>Eco-friendly fee-waiver factor</w:t>
            </w:r>
          </w:p>
        </w:tc>
        <w:tc>
          <w:tcPr>
            <w:tcW w:w="5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0.01</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0.02</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0.03</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0.04</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0.05</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0.06</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0.07</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0.08</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0.09</w:t>
            </w:r>
          </w:p>
        </w:tc>
        <w:tc>
          <w:tcPr>
            <w:tcW w:w="5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0.10</w:t>
            </w:r>
          </w:p>
        </w:tc>
      </w:tr>
      <w:tr w:rsidR="004834FD" w:rsidRPr="004B611D" w:rsidTr="007B2832">
        <w:trPr>
          <w:jc w:val="center"/>
        </w:trPr>
        <w:tc>
          <w:tcPr>
            <w:tcW w:w="201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rPr>
                <w:lang w:eastAsia="ko-KR"/>
              </w:rPr>
            </w:pPr>
            <w:r w:rsidRPr="004B611D">
              <w:rPr>
                <w:lang w:eastAsia="ko-KR"/>
              </w:rPr>
              <w:t>Roaming fee-waiver factor</w:t>
            </w:r>
          </w:p>
        </w:tc>
        <w:tc>
          <w:tcPr>
            <w:tcW w:w="5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0.05</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0.10</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0.15</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0.20</w:t>
            </w:r>
          </w:p>
        </w:tc>
        <w:tc>
          <w:tcPr>
            <w:tcW w:w="145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0.25</w:t>
            </w:r>
          </w:p>
        </w:tc>
        <w:tc>
          <w:tcPr>
            <w:tcW w:w="2746" w:type="dxa"/>
            <w:gridSpan w:val="4"/>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0.30</w:t>
            </w:r>
          </w:p>
        </w:tc>
      </w:tr>
    </w:tbl>
    <w:p w:rsidR="004834FD" w:rsidRPr="004B611D" w:rsidRDefault="004834FD" w:rsidP="004834FD">
      <w:pPr>
        <w:pStyle w:val="Tablefin"/>
      </w:pPr>
    </w:p>
    <w:p w:rsidR="004834FD" w:rsidRPr="004834FD" w:rsidRDefault="004834FD" w:rsidP="004834FD">
      <w:pPr>
        <w:pStyle w:val="Note"/>
        <w:rPr>
          <w:lang w:val="en-GB" w:eastAsia="ko-KR"/>
        </w:rPr>
      </w:pPr>
      <w:r w:rsidRPr="004834FD">
        <w:rPr>
          <w:lang w:val="en-GB" w:eastAsia="ko-KR"/>
        </w:rPr>
        <w:t>NOTE 1</w:t>
      </w:r>
      <w:r w:rsidRPr="004834FD">
        <w:rPr>
          <w:i/>
          <w:iCs/>
          <w:lang w:val="en-GB" w:eastAsia="ko-KR"/>
        </w:rPr>
        <w:t xml:space="preserve"> – </w:t>
      </w:r>
      <w:r w:rsidRPr="004834FD">
        <w:rPr>
          <w:lang w:val="en-GB" w:eastAsia="ko-KR"/>
        </w:rPr>
        <w:t>Facility sharing</w:t>
      </w:r>
      <w:r w:rsidRPr="004834FD">
        <w:rPr>
          <w:lang w:val="en-GB"/>
        </w:rPr>
        <w:t xml:space="preserve"> ratio</w:t>
      </w:r>
      <w:r w:rsidRPr="004834FD">
        <w:rPr>
          <w:bCs/>
          <w:iCs/>
          <w:lang w:val="en-GB"/>
        </w:rPr>
        <w:t>:</w:t>
      </w:r>
      <w:r w:rsidRPr="004834FD">
        <w:rPr>
          <w:lang w:val="en-GB"/>
        </w:rPr>
        <w:t xml:space="preserve"> Ratio of </w:t>
      </w:r>
      <w:r w:rsidRPr="004834FD">
        <w:rPr>
          <w:lang w:val="en-GB" w:eastAsia="ko-KR"/>
        </w:rPr>
        <w:t>the number of radio statio</w:t>
      </w:r>
      <w:r w:rsidRPr="004834FD">
        <w:rPr>
          <w:lang w:val="en-GB"/>
        </w:rPr>
        <w:t>ns</w:t>
      </w:r>
      <w:r w:rsidRPr="004834FD">
        <w:rPr>
          <w:lang w:val="en-GB" w:eastAsia="ko-KR"/>
        </w:rPr>
        <w:t xml:space="preserve"> served by a common carrier that shares</w:t>
      </w:r>
      <w:r w:rsidRPr="004834FD">
        <w:rPr>
          <w:lang w:val="en-GB"/>
        </w:rPr>
        <w:t xml:space="preserve"> radio facilities to t</w:t>
      </w:r>
      <w:r w:rsidRPr="004834FD">
        <w:rPr>
          <w:lang w:val="en-GB" w:eastAsia="ko-KR"/>
        </w:rPr>
        <w:t xml:space="preserve">he total number of radio </w:t>
      </w:r>
      <w:r w:rsidRPr="004834FD">
        <w:rPr>
          <w:lang w:val="en-GB"/>
        </w:rPr>
        <w:t>station</w:t>
      </w:r>
      <w:r w:rsidRPr="004834FD">
        <w:rPr>
          <w:lang w:val="en-GB" w:eastAsia="ko-KR"/>
        </w:rPr>
        <w:t>s</w:t>
      </w:r>
      <w:r w:rsidRPr="004834FD">
        <w:rPr>
          <w:lang w:val="en-GB"/>
        </w:rPr>
        <w:t xml:space="preserve"> served by </w:t>
      </w:r>
      <w:r w:rsidRPr="004834FD">
        <w:rPr>
          <w:lang w:val="en-GB" w:eastAsia="ko-KR"/>
        </w:rPr>
        <w:t>the common carriers.</w:t>
      </w:r>
    </w:p>
    <w:p w:rsidR="004834FD" w:rsidRPr="004834FD" w:rsidRDefault="004834FD" w:rsidP="004834FD">
      <w:pPr>
        <w:pStyle w:val="Note"/>
        <w:rPr>
          <w:lang w:val="en-GB" w:eastAsia="ko-KR"/>
        </w:rPr>
      </w:pPr>
      <w:r w:rsidRPr="004834FD">
        <w:rPr>
          <w:lang w:val="en-GB" w:eastAsia="ko-KR"/>
        </w:rPr>
        <w:t>NOTE 2</w:t>
      </w:r>
      <w:r w:rsidRPr="004834FD">
        <w:rPr>
          <w:i/>
          <w:iCs/>
          <w:lang w:val="en-GB" w:eastAsia="ko-KR"/>
        </w:rPr>
        <w:t xml:space="preserve"> – </w:t>
      </w:r>
      <w:r w:rsidRPr="004834FD">
        <w:rPr>
          <w:iCs/>
          <w:lang w:val="en-GB" w:eastAsia="ko-KR"/>
        </w:rPr>
        <w:t>Eco-friendly ratio</w:t>
      </w:r>
      <w:r w:rsidRPr="004834FD">
        <w:rPr>
          <w:lang w:val="en-GB" w:eastAsia="ko-KR"/>
        </w:rPr>
        <w:t xml:space="preserve">: </w:t>
      </w:r>
      <w:r w:rsidRPr="004834FD">
        <w:rPr>
          <w:lang w:val="en-GB"/>
        </w:rPr>
        <w:t xml:space="preserve">Ratio of </w:t>
      </w:r>
      <w:r w:rsidRPr="004834FD">
        <w:rPr>
          <w:lang w:val="en-GB" w:eastAsia="ko-KR"/>
        </w:rPr>
        <w:t>the number of radio statio</w:t>
      </w:r>
      <w:r w:rsidRPr="004834FD">
        <w:rPr>
          <w:lang w:val="en-GB"/>
        </w:rPr>
        <w:t>ns</w:t>
      </w:r>
      <w:r w:rsidRPr="004834FD">
        <w:rPr>
          <w:lang w:val="en-GB" w:eastAsia="ko-KR"/>
        </w:rPr>
        <w:t xml:space="preserve"> served by eco-friendly</w:t>
      </w:r>
      <w:r w:rsidRPr="004834FD">
        <w:rPr>
          <w:lang w:val="en-GB"/>
        </w:rPr>
        <w:t xml:space="preserve"> facilities to t</w:t>
      </w:r>
      <w:r w:rsidRPr="004834FD">
        <w:rPr>
          <w:lang w:val="en-GB" w:eastAsia="ko-KR"/>
        </w:rPr>
        <w:t xml:space="preserve">he total number of radio </w:t>
      </w:r>
      <w:r w:rsidRPr="004834FD">
        <w:rPr>
          <w:lang w:val="en-GB"/>
        </w:rPr>
        <w:t>station</w:t>
      </w:r>
      <w:r w:rsidRPr="004834FD">
        <w:rPr>
          <w:lang w:val="en-GB" w:eastAsia="ko-KR"/>
        </w:rPr>
        <w:t>s</w:t>
      </w:r>
      <w:r w:rsidRPr="004834FD">
        <w:rPr>
          <w:lang w:val="en-GB"/>
        </w:rPr>
        <w:t xml:space="preserve"> served by </w:t>
      </w:r>
      <w:r w:rsidRPr="004834FD">
        <w:rPr>
          <w:lang w:val="en-GB" w:eastAsia="ko-KR"/>
        </w:rPr>
        <w:t>the common carrier.</w:t>
      </w:r>
    </w:p>
    <w:p w:rsidR="004834FD" w:rsidRPr="004834FD" w:rsidRDefault="004834FD" w:rsidP="004834FD">
      <w:pPr>
        <w:pStyle w:val="Note"/>
        <w:rPr>
          <w:lang w:val="en-GB" w:eastAsia="ko-KR"/>
        </w:rPr>
      </w:pPr>
      <w:r w:rsidRPr="004834FD">
        <w:rPr>
          <w:lang w:val="en-GB" w:eastAsia="ko-KR"/>
        </w:rPr>
        <w:t>NOTE 3</w:t>
      </w:r>
      <w:r w:rsidRPr="004834FD">
        <w:rPr>
          <w:i/>
          <w:iCs/>
          <w:lang w:val="en-GB" w:eastAsia="ko-KR"/>
        </w:rPr>
        <w:t xml:space="preserve"> – </w:t>
      </w:r>
      <w:r w:rsidRPr="004834FD">
        <w:rPr>
          <w:lang w:val="en-GB"/>
        </w:rPr>
        <w:t>Roaming ratio</w:t>
      </w:r>
      <w:r w:rsidRPr="004834FD">
        <w:rPr>
          <w:bCs/>
          <w:iCs/>
          <w:lang w:val="en-GB"/>
        </w:rPr>
        <w:t>:</w:t>
      </w:r>
      <w:r w:rsidRPr="004834FD">
        <w:rPr>
          <w:lang w:val="en-GB"/>
        </w:rPr>
        <w:t xml:space="preserve"> Ratio of </w:t>
      </w:r>
      <w:r w:rsidRPr="004834FD">
        <w:rPr>
          <w:lang w:val="en-GB" w:eastAsia="ko-KR"/>
        </w:rPr>
        <w:t xml:space="preserve">the number of radio </w:t>
      </w:r>
      <w:r w:rsidRPr="004834FD">
        <w:rPr>
          <w:lang w:val="en-GB"/>
        </w:rPr>
        <w:t>stations</w:t>
      </w:r>
      <w:r w:rsidRPr="004834FD">
        <w:rPr>
          <w:lang w:val="en-GB" w:eastAsia="ko-KR"/>
        </w:rPr>
        <w:t xml:space="preserve"> served by a common carrier that uses r</w:t>
      </w:r>
      <w:r w:rsidRPr="004834FD">
        <w:rPr>
          <w:lang w:val="en-GB"/>
        </w:rPr>
        <w:t>oaming technology to th</w:t>
      </w:r>
      <w:r w:rsidRPr="004834FD">
        <w:rPr>
          <w:lang w:val="en-GB" w:eastAsia="ko-KR"/>
        </w:rPr>
        <w:t>e total number of radio stations served by the common carrier.</w:t>
      </w:r>
    </w:p>
    <w:p w:rsidR="004834FD" w:rsidRPr="004834FD" w:rsidRDefault="004834FD" w:rsidP="004834FD">
      <w:pPr>
        <w:rPr>
          <w:lang w:val="en-GB"/>
        </w:rPr>
      </w:pPr>
      <w:bookmarkStart w:id="2180" w:name="_Toc462234162"/>
      <w:bookmarkStart w:id="2181" w:name="_Toc454284998"/>
      <w:bookmarkEnd w:id="2180"/>
      <w:bookmarkEnd w:id="2181"/>
      <w:r w:rsidRPr="004834FD">
        <w:rPr>
          <w:lang w:val="en-GB"/>
        </w:rPr>
        <w:t>d)</w:t>
      </w:r>
      <w:r w:rsidRPr="004834FD">
        <w:rPr>
          <w:lang w:val="en-GB"/>
        </w:rPr>
        <w:tab/>
        <w:t>Frequency use efficiency fee-waiver factor:</w:t>
      </w:r>
    </w:p>
    <w:p w:rsidR="004834FD" w:rsidRPr="004B611D" w:rsidRDefault="004834FD" w:rsidP="004834FD">
      <w:pPr>
        <w:pStyle w:val="Blanc"/>
        <w:rPr>
          <w:lang w:eastAsia="ko-KR"/>
        </w:rPr>
      </w:pPr>
    </w:p>
    <w:tbl>
      <w:tblPr>
        <w:tblW w:w="8828" w:type="dxa"/>
        <w:jc w:val="center"/>
        <w:tblBorders>
          <w:top w:val="single" w:sz="2" w:space="0" w:color="00000A"/>
          <w:left w:val="single" w:sz="2" w:space="0" w:color="00000A"/>
          <w:bottom w:val="single" w:sz="2" w:space="0" w:color="00000A"/>
          <w:right w:val="single" w:sz="2" w:space="0" w:color="00000A"/>
          <w:insideH w:val="single" w:sz="2" w:space="0" w:color="00000A"/>
          <w:insideV w:val="single" w:sz="2" w:space="0" w:color="00000A"/>
        </w:tblBorders>
        <w:tblCellMar>
          <w:left w:w="107" w:type="dxa"/>
        </w:tblCellMar>
        <w:tblLook w:val="0000" w:firstRow="0" w:lastRow="0" w:firstColumn="0" w:lastColumn="0" w:noHBand="0" w:noVBand="0"/>
      </w:tblPr>
      <w:tblGrid>
        <w:gridCol w:w="3159"/>
        <w:gridCol w:w="1134"/>
        <w:gridCol w:w="1133"/>
        <w:gridCol w:w="1134"/>
        <w:gridCol w:w="1133"/>
        <w:gridCol w:w="1135"/>
      </w:tblGrid>
      <w:tr w:rsidR="004834FD" w:rsidRPr="004B611D" w:rsidTr="007B2832">
        <w:trPr>
          <w:jc w:val="center"/>
        </w:trPr>
        <w:tc>
          <w:tcPr>
            <w:tcW w:w="3158" w:type="dxa"/>
            <w:tcBorders>
              <w:top w:val="single" w:sz="2" w:space="0" w:color="00000A"/>
              <w:left w:val="single" w:sz="2" w:space="0" w:color="00000A"/>
              <w:bottom w:val="single" w:sz="2" w:space="0" w:color="00000A"/>
              <w:right w:val="single" w:sz="2" w:space="0" w:color="00000A"/>
            </w:tcBorders>
            <w:shd w:val="clear" w:color="auto" w:fill="auto"/>
            <w:tcMar>
              <w:left w:w="107" w:type="dxa"/>
            </w:tcMar>
          </w:tcPr>
          <w:p w:rsidR="004834FD" w:rsidRPr="004B611D" w:rsidRDefault="004834FD" w:rsidP="007B2832">
            <w:pPr>
              <w:pStyle w:val="Tabletext"/>
              <w:rPr>
                <w:szCs w:val="22"/>
              </w:rPr>
            </w:pPr>
            <w:r w:rsidRPr="004B611D">
              <w:rPr>
                <w:szCs w:val="22"/>
              </w:rPr>
              <w:t>Frequency use</w:t>
            </w:r>
            <w:r w:rsidRPr="004B611D">
              <w:rPr>
                <w:szCs w:val="22"/>
                <w:lang w:eastAsia="ko-KR"/>
              </w:rPr>
              <w:t xml:space="preserve"> </w:t>
            </w:r>
            <w:r w:rsidRPr="004B611D">
              <w:rPr>
                <w:szCs w:val="22"/>
              </w:rPr>
              <w:t>efficiency (%)</w:t>
            </w:r>
          </w:p>
        </w:tc>
        <w:tc>
          <w:tcPr>
            <w:tcW w:w="1134" w:type="dxa"/>
            <w:tcBorders>
              <w:top w:val="single" w:sz="2" w:space="0" w:color="00000A"/>
              <w:left w:val="single" w:sz="2" w:space="0" w:color="00000A"/>
              <w:bottom w:val="single" w:sz="2" w:space="0" w:color="00000A"/>
              <w:right w:val="single" w:sz="2" w:space="0" w:color="00000A"/>
            </w:tcBorders>
            <w:shd w:val="clear" w:color="auto" w:fill="auto"/>
            <w:tcMar>
              <w:left w:w="107" w:type="dxa"/>
            </w:tcMar>
          </w:tcPr>
          <w:p w:rsidR="004834FD" w:rsidRPr="004B611D" w:rsidRDefault="004834FD" w:rsidP="007B2832">
            <w:pPr>
              <w:pStyle w:val="Tabletext"/>
              <w:jc w:val="center"/>
              <w:rPr>
                <w:rFonts w:eastAsia="???"/>
                <w:szCs w:val="22"/>
              </w:rPr>
            </w:pPr>
            <w:r w:rsidRPr="004B611D">
              <w:rPr>
                <w:rFonts w:ascii="Symbol" w:eastAsia="Symbol" w:hAnsi="Symbol" w:cs="Symbol"/>
                <w:caps/>
              </w:rPr>
              <w:t></w:t>
            </w:r>
            <w:r w:rsidRPr="004B611D">
              <w:rPr>
                <w:caps/>
              </w:rPr>
              <w:t xml:space="preserve"> </w:t>
            </w:r>
            <w:r w:rsidRPr="004B611D">
              <w:rPr>
                <w:rFonts w:eastAsia="???"/>
                <w:szCs w:val="22"/>
              </w:rPr>
              <w:t>100</w:t>
            </w:r>
          </w:p>
        </w:tc>
        <w:tc>
          <w:tcPr>
            <w:tcW w:w="1133" w:type="dxa"/>
            <w:tcBorders>
              <w:top w:val="single" w:sz="2" w:space="0" w:color="00000A"/>
              <w:left w:val="single" w:sz="2" w:space="0" w:color="00000A"/>
              <w:bottom w:val="single" w:sz="2" w:space="0" w:color="00000A"/>
              <w:right w:val="single" w:sz="2" w:space="0" w:color="00000A"/>
            </w:tcBorders>
            <w:shd w:val="clear" w:color="auto" w:fill="auto"/>
            <w:tcMar>
              <w:left w:w="107" w:type="dxa"/>
            </w:tcMar>
          </w:tcPr>
          <w:p w:rsidR="004834FD" w:rsidRPr="004B611D" w:rsidRDefault="004834FD" w:rsidP="007B2832">
            <w:pPr>
              <w:pStyle w:val="Tabletext"/>
              <w:jc w:val="center"/>
              <w:rPr>
                <w:szCs w:val="22"/>
              </w:rPr>
            </w:pPr>
            <w:r w:rsidRPr="004B611D">
              <w:rPr>
                <w:szCs w:val="22"/>
              </w:rPr>
              <w:t>100~150</w:t>
            </w:r>
          </w:p>
        </w:tc>
        <w:tc>
          <w:tcPr>
            <w:tcW w:w="1134" w:type="dxa"/>
            <w:tcBorders>
              <w:top w:val="single" w:sz="2" w:space="0" w:color="00000A"/>
              <w:left w:val="single" w:sz="2" w:space="0" w:color="00000A"/>
              <w:bottom w:val="single" w:sz="2" w:space="0" w:color="00000A"/>
              <w:right w:val="single" w:sz="2" w:space="0" w:color="00000A"/>
            </w:tcBorders>
            <w:shd w:val="clear" w:color="auto" w:fill="auto"/>
            <w:tcMar>
              <w:left w:w="107" w:type="dxa"/>
            </w:tcMar>
          </w:tcPr>
          <w:p w:rsidR="004834FD" w:rsidRPr="004B611D" w:rsidRDefault="004834FD" w:rsidP="007B2832">
            <w:pPr>
              <w:pStyle w:val="Tabletext"/>
              <w:jc w:val="center"/>
              <w:rPr>
                <w:szCs w:val="22"/>
              </w:rPr>
            </w:pPr>
            <w:r w:rsidRPr="004B611D">
              <w:rPr>
                <w:szCs w:val="22"/>
              </w:rPr>
              <w:t>150~200</w:t>
            </w:r>
          </w:p>
        </w:tc>
        <w:tc>
          <w:tcPr>
            <w:tcW w:w="1133" w:type="dxa"/>
            <w:tcBorders>
              <w:top w:val="single" w:sz="2" w:space="0" w:color="00000A"/>
              <w:left w:val="single" w:sz="2" w:space="0" w:color="00000A"/>
              <w:bottom w:val="single" w:sz="2" w:space="0" w:color="00000A"/>
              <w:right w:val="single" w:sz="2" w:space="0" w:color="00000A"/>
            </w:tcBorders>
            <w:shd w:val="clear" w:color="auto" w:fill="auto"/>
            <w:tcMar>
              <w:left w:w="107" w:type="dxa"/>
            </w:tcMar>
          </w:tcPr>
          <w:p w:rsidR="004834FD" w:rsidRPr="004B611D" w:rsidRDefault="004834FD" w:rsidP="007B2832">
            <w:pPr>
              <w:pStyle w:val="Tabletext"/>
              <w:jc w:val="center"/>
              <w:rPr>
                <w:szCs w:val="22"/>
              </w:rPr>
            </w:pPr>
            <w:r w:rsidRPr="004B611D">
              <w:rPr>
                <w:szCs w:val="22"/>
              </w:rPr>
              <w:t>200~250</w:t>
            </w:r>
          </w:p>
        </w:tc>
        <w:tc>
          <w:tcPr>
            <w:tcW w:w="1135" w:type="dxa"/>
            <w:tcBorders>
              <w:top w:val="single" w:sz="2" w:space="0" w:color="00000A"/>
              <w:left w:val="single" w:sz="2" w:space="0" w:color="00000A"/>
              <w:bottom w:val="single" w:sz="2" w:space="0" w:color="00000A"/>
              <w:right w:val="single" w:sz="2" w:space="0" w:color="00000A"/>
            </w:tcBorders>
            <w:shd w:val="clear" w:color="auto" w:fill="auto"/>
            <w:tcMar>
              <w:left w:w="107" w:type="dxa"/>
            </w:tcMar>
          </w:tcPr>
          <w:p w:rsidR="004834FD" w:rsidRPr="004B611D" w:rsidRDefault="004834FD" w:rsidP="007B2832">
            <w:pPr>
              <w:pStyle w:val="Tabletext"/>
              <w:jc w:val="center"/>
              <w:rPr>
                <w:szCs w:val="22"/>
              </w:rPr>
            </w:pPr>
            <w:r w:rsidRPr="004B611D">
              <w:rPr>
                <w:rFonts w:ascii="Symbol" w:eastAsia="Symbol" w:hAnsi="Symbol" w:cs="Symbol"/>
                <w:szCs w:val="22"/>
              </w:rPr>
              <w:t></w:t>
            </w:r>
            <w:r w:rsidRPr="004B611D">
              <w:rPr>
                <w:szCs w:val="22"/>
              </w:rPr>
              <w:t xml:space="preserve"> 250</w:t>
            </w:r>
          </w:p>
        </w:tc>
      </w:tr>
      <w:tr w:rsidR="004834FD" w:rsidRPr="004B611D" w:rsidTr="007B2832">
        <w:trPr>
          <w:jc w:val="center"/>
        </w:trPr>
        <w:tc>
          <w:tcPr>
            <w:tcW w:w="3158" w:type="dxa"/>
            <w:tcBorders>
              <w:top w:val="single" w:sz="2" w:space="0" w:color="00000A"/>
              <w:left w:val="single" w:sz="2" w:space="0" w:color="00000A"/>
              <w:bottom w:val="single" w:sz="2" w:space="0" w:color="00000A"/>
              <w:right w:val="single" w:sz="2" w:space="0" w:color="00000A"/>
            </w:tcBorders>
            <w:shd w:val="clear" w:color="auto" w:fill="auto"/>
            <w:tcMar>
              <w:left w:w="107" w:type="dxa"/>
            </w:tcMar>
          </w:tcPr>
          <w:p w:rsidR="004834FD" w:rsidRPr="004834FD" w:rsidRDefault="004834FD" w:rsidP="007B2832">
            <w:pPr>
              <w:pStyle w:val="Tabletext"/>
              <w:rPr>
                <w:szCs w:val="22"/>
                <w:lang w:val="en-GB"/>
              </w:rPr>
            </w:pPr>
            <w:r w:rsidRPr="004834FD">
              <w:rPr>
                <w:szCs w:val="22"/>
                <w:lang w:val="en-GB" w:eastAsia="ko-KR"/>
              </w:rPr>
              <w:t>Frequency u</w:t>
            </w:r>
            <w:r w:rsidRPr="004834FD">
              <w:rPr>
                <w:szCs w:val="22"/>
                <w:lang w:val="en-GB"/>
              </w:rPr>
              <w:t>se efficiency</w:t>
            </w:r>
            <w:r w:rsidRPr="004834FD">
              <w:rPr>
                <w:szCs w:val="22"/>
                <w:lang w:val="en-GB" w:eastAsia="ko-KR"/>
              </w:rPr>
              <w:t xml:space="preserve"> </w:t>
            </w:r>
            <w:r w:rsidRPr="004834FD">
              <w:rPr>
                <w:szCs w:val="22"/>
                <w:lang w:val="en-GB" w:eastAsia="ko-KR"/>
              </w:rPr>
              <w:br/>
              <w:t xml:space="preserve">fee-waiver </w:t>
            </w:r>
            <w:r w:rsidRPr="004834FD">
              <w:rPr>
                <w:szCs w:val="22"/>
                <w:lang w:val="en-GB"/>
              </w:rPr>
              <w:t>factor</w:t>
            </w:r>
          </w:p>
        </w:tc>
        <w:tc>
          <w:tcPr>
            <w:tcW w:w="1134" w:type="dxa"/>
            <w:tcBorders>
              <w:top w:val="single" w:sz="2" w:space="0" w:color="00000A"/>
              <w:left w:val="single" w:sz="2" w:space="0" w:color="00000A"/>
              <w:bottom w:val="single" w:sz="2" w:space="0" w:color="00000A"/>
              <w:right w:val="single" w:sz="2" w:space="0" w:color="00000A"/>
            </w:tcBorders>
            <w:shd w:val="clear" w:color="auto" w:fill="auto"/>
            <w:tcMar>
              <w:left w:w="107" w:type="dxa"/>
            </w:tcMar>
          </w:tcPr>
          <w:p w:rsidR="004834FD" w:rsidRPr="004B611D" w:rsidRDefault="004834FD" w:rsidP="007B2832">
            <w:pPr>
              <w:pStyle w:val="Tabletext"/>
              <w:jc w:val="center"/>
              <w:rPr>
                <w:rFonts w:eastAsia="???"/>
                <w:szCs w:val="22"/>
              </w:rPr>
            </w:pPr>
            <w:r w:rsidRPr="004B611D">
              <w:rPr>
                <w:rFonts w:eastAsia="???"/>
                <w:szCs w:val="22"/>
              </w:rPr>
              <w:t>0.01</w:t>
            </w:r>
          </w:p>
        </w:tc>
        <w:tc>
          <w:tcPr>
            <w:tcW w:w="1133" w:type="dxa"/>
            <w:tcBorders>
              <w:top w:val="single" w:sz="2" w:space="0" w:color="00000A"/>
              <w:left w:val="single" w:sz="2" w:space="0" w:color="00000A"/>
              <w:bottom w:val="single" w:sz="2" w:space="0" w:color="00000A"/>
              <w:right w:val="single" w:sz="2" w:space="0" w:color="00000A"/>
            </w:tcBorders>
            <w:shd w:val="clear" w:color="auto" w:fill="auto"/>
            <w:tcMar>
              <w:left w:w="107" w:type="dxa"/>
            </w:tcMar>
          </w:tcPr>
          <w:p w:rsidR="004834FD" w:rsidRPr="004B611D" w:rsidRDefault="004834FD" w:rsidP="007B2832">
            <w:pPr>
              <w:pStyle w:val="Tabletext"/>
              <w:jc w:val="center"/>
              <w:rPr>
                <w:szCs w:val="22"/>
              </w:rPr>
            </w:pPr>
            <w:r w:rsidRPr="004B611D">
              <w:rPr>
                <w:szCs w:val="22"/>
              </w:rPr>
              <w:t>0.02</w:t>
            </w:r>
          </w:p>
        </w:tc>
        <w:tc>
          <w:tcPr>
            <w:tcW w:w="1134" w:type="dxa"/>
            <w:tcBorders>
              <w:top w:val="single" w:sz="2" w:space="0" w:color="00000A"/>
              <w:left w:val="single" w:sz="2" w:space="0" w:color="00000A"/>
              <w:bottom w:val="single" w:sz="2" w:space="0" w:color="00000A"/>
              <w:right w:val="single" w:sz="2" w:space="0" w:color="00000A"/>
            </w:tcBorders>
            <w:shd w:val="clear" w:color="auto" w:fill="auto"/>
            <w:tcMar>
              <w:left w:w="107" w:type="dxa"/>
            </w:tcMar>
          </w:tcPr>
          <w:p w:rsidR="004834FD" w:rsidRPr="004B611D" w:rsidRDefault="004834FD" w:rsidP="007B2832">
            <w:pPr>
              <w:pStyle w:val="Tabletext"/>
              <w:jc w:val="center"/>
              <w:rPr>
                <w:szCs w:val="22"/>
              </w:rPr>
            </w:pPr>
            <w:r w:rsidRPr="004B611D">
              <w:rPr>
                <w:szCs w:val="22"/>
              </w:rPr>
              <w:t>0.03</w:t>
            </w:r>
          </w:p>
        </w:tc>
        <w:tc>
          <w:tcPr>
            <w:tcW w:w="1133" w:type="dxa"/>
            <w:tcBorders>
              <w:top w:val="single" w:sz="2" w:space="0" w:color="00000A"/>
              <w:left w:val="single" w:sz="2" w:space="0" w:color="00000A"/>
              <w:bottom w:val="single" w:sz="2" w:space="0" w:color="00000A"/>
              <w:right w:val="single" w:sz="2" w:space="0" w:color="00000A"/>
            </w:tcBorders>
            <w:shd w:val="clear" w:color="auto" w:fill="auto"/>
            <w:tcMar>
              <w:left w:w="107" w:type="dxa"/>
            </w:tcMar>
          </w:tcPr>
          <w:p w:rsidR="004834FD" w:rsidRPr="004B611D" w:rsidRDefault="004834FD" w:rsidP="007B2832">
            <w:pPr>
              <w:pStyle w:val="Tabletext"/>
              <w:jc w:val="center"/>
              <w:rPr>
                <w:szCs w:val="22"/>
              </w:rPr>
            </w:pPr>
            <w:r w:rsidRPr="004B611D">
              <w:rPr>
                <w:szCs w:val="22"/>
              </w:rPr>
              <w:t>0.04</w:t>
            </w:r>
          </w:p>
        </w:tc>
        <w:tc>
          <w:tcPr>
            <w:tcW w:w="1135" w:type="dxa"/>
            <w:tcBorders>
              <w:top w:val="single" w:sz="2" w:space="0" w:color="00000A"/>
              <w:left w:val="single" w:sz="2" w:space="0" w:color="00000A"/>
              <w:bottom w:val="single" w:sz="2" w:space="0" w:color="00000A"/>
              <w:right w:val="single" w:sz="2" w:space="0" w:color="00000A"/>
            </w:tcBorders>
            <w:shd w:val="clear" w:color="auto" w:fill="auto"/>
            <w:tcMar>
              <w:left w:w="107" w:type="dxa"/>
            </w:tcMar>
          </w:tcPr>
          <w:p w:rsidR="004834FD" w:rsidRPr="004B611D" w:rsidRDefault="004834FD" w:rsidP="007B2832">
            <w:pPr>
              <w:pStyle w:val="Tabletext"/>
              <w:jc w:val="center"/>
              <w:rPr>
                <w:szCs w:val="22"/>
              </w:rPr>
            </w:pPr>
            <w:r w:rsidRPr="004B611D">
              <w:rPr>
                <w:szCs w:val="22"/>
              </w:rPr>
              <w:t>0.05</w:t>
            </w:r>
          </w:p>
        </w:tc>
      </w:tr>
    </w:tbl>
    <w:p w:rsidR="004834FD" w:rsidRPr="004B611D" w:rsidRDefault="004834FD" w:rsidP="004834FD">
      <w:pPr>
        <w:pStyle w:val="Tablefin"/>
      </w:pPr>
    </w:p>
    <w:p w:rsidR="004834FD" w:rsidRPr="004834FD" w:rsidRDefault="004834FD" w:rsidP="004834FD">
      <w:pPr>
        <w:pStyle w:val="Note"/>
        <w:rPr>
          <w:lang w:val="en-GB" w:eastAsia="ko-KR"/>
        </w:rPr>
      </w:pPr>
      <w:r w:rsidRPr="004834FD">
        <w:rPr>
          <w:lang w:val="en-GB" w:eastAsia="ko-KR"/>
        </w:rPr>
        <w:t>NOTE 1</w:t>
      </w:r>
      <w:r w:rsidRPr="004834FD">
        <w:rPr>
          <w:i/>
          <w:iCs/>
          <w:lang w:val="en-GB" w:eastAsia="ko-KR"/>
        </w:rPr>
        <w:t xml:space="preserve"> – </w:t>
      </w:r>
      <w:r w:rsidRPr="004834FD">
        <w:rPr>
          <w:i/>
          <w:iCs/>
          <w:lang w:val="en-GB"/>
        </w:rPr>
        <w:t>Frequency use efficiency</w:t>
      </w:r>
      <w:r w:rsidRPr="004834FD">
        <w:rPr>
          <w:lang w:val="en-GB"/>
        </w:rPr>
        <w:t xml:space="preserve">: Ratio of the </w:t>
      </w:r>
      <w:r w:rsidRPr="004834FD">
        <w:rPr>
          <w:lang w:val="en-GB" w:eastAsia="ko-KR"/>
        </w:rPr>
        <w:t>avera</w:t>
      </w:r>
      <w:r w:rsidRPr="004834FD">
        <w:rPr>
          <w:lang w:val="en-GB"/>
        </w:rPr>
        <w:t xml:space="preserve">ge number of subscribers per frequency assignment to the basic </w:t>
      </w:r>
      <w:r w:rsidRPr="004834FD">
        <w:rPr>
          <w:lang w:val="en-GB" w:eastAsia="ko-KR"/>
        </w:rPr>
        <w:t xml:space="preserve">capacity of the number of </w:t>
      </w:r>
      <w:r w:rsidRPr="004834FD">
        <w:rPr>
          <w:lang w:val="en-GB"/>
        </w:rPr>
        <w:t>subscribers.</w:t>
      </w:r>
    </w:p>
    <w:p w:rsidR="004834FD" w:rsidRPr="004834FD" w:rsidRDefault="004834FD" w:rsidP="004834FD">
      <w:pPr>
        <w:pStyle w:val="Note"/>
        <w:rPr>
          <w:lang w:val="en-GB" w:eastAsia="ko-KR"/>
        </w:rPr>
      </w:pPr>
      <w:r w:rsidRPr="004834FD">
        <w:rPr>
          <w:lang w:val="en-GB" w:eastAsia="ko-KR"/>
        </w:rPr>
        <w:t>NOTE 2</w:t>
      </w:r>
      <w:r w:rsidRPr="004834FD">
        <w:rPr>
          <w:i/>
          <w:iCs/>
          <w:lang w:val="en-GB" w:eastAsia="ko-KR"/>
        </w:rPr>
        <w:t xml:space="preserve"> – </w:t>
      </w:r>
      <w:r w:rsidRPr="004834FD">
        <w:rPr>
          <w:lang w:val="en-GB" w:eastAsia="ko-KR"/>
        </w:rPr>
        <w:t>The frequency use efficiency fee-waiver factor does not apply to the radio pager, trunked radio system (TRS), location-based system (LBS) and wireless data services.</w:t>
      </w:r>
    </w:p>
    <w:p w:rsidR="004834FD" w:rsidRPr="004B611D" w:rsidRDefault="004834FD" w:rsidP="004834FD">
      <w:bookmarkStart w:id="2182" w:name="_Toc462234163"/>
      <w:bookmarkStart w:id="2183" w:name="_Toc454284999"/>
      <w:r w:rsidRPr="004B611D">
        <w:t>e)</w:t>
      </w:r>
      <w:r w:rsidRPr="004B611D">
        <w:tab/>
        <w:t>Radio characteristic factor</w:t>
      </w:r>
      <w:bookmarkEnd w:id="2182"/>
      <w:bookmarkEnd w:id="2183"/>
      <w:r w:rsidRPr="004B611D">
        <w:t>:</w:t>
      </w:r>
    </w:p>
    <w:p w:rsidR="004834FD" w:rsidRPr="004B611D" w:rsidRDefault="004834FD" w:rsidP="004834FD">
      <w:pPr>
        <w:pStyle w:val="Blanc"/>
        <w:rPr>
          <w:lang w:eastAsia="ko-KR"/>
        </w:rPr>
      </w:pPr>
    </w:p>
    <w:tbl>
      <w:tblPr>
        <w:tblW w:w="8850" w:type="dxa"/>
        <w:tblInd w:w="46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9" w:type="dxa"/>
          <w:right w:w="99" w:type="dxa"/>
        </w:tblCellMar>
        <w:tblLook w:val="0000" w:firstRow="0" w:lastRow="0" w:firstColumn="0" w:lastColumn="0" w:noHBand="0" w:noVBand="0"/>
      </w:tblPr>
      <w:tblGrid>
        <w:gridCol w:w="4313"/>
        <w:gridCol w:w="4537"/>
      </w:tblGrid>
      <w:tr w:rsidR="004834FD" w:rsidRPr="004B611D" w:rsidTr="007B2832">
        <w:tc>
          <w:tcPr>
            <w:tcW w:w="4313"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4B611D" w:rsidRDefault="004834FD" w:rsidP="007B2832">
            <w:pPr>
              <w:pStyle w:val="Tablehead"/>
            </w:pPr>
            <w:r w:rsidRPr="004B611D">
              <w:t xml:space="preserve">Frequency </w:t>
            </w:r>
            <w:r w:rsidRPr="004B611D">
              <w:rPr>
                <w:lang w:eastAsia="ko-KR"/>
              </w:rPr>
              <w:t>band</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4B611D" w:rsidRDefault="004834FD" w:rsidP="007B2832">
            <w:pPr>
              <w:pStyle w:val="Tablehead"/>
              <w:rPr>
                <w:rFonts w:eastAsia="???"/>
                <w:lang w:eastAsia="ko-KR"/>
              </w:rPr>
            </w:pPr>
            <w:r w:rsidRPr="004B611D">
              <w:rPr>
                <w:rFonts w:eastAsia="???"/>
                <w:lang w:eastAsia="ko-KR"/>
              </w:rPr>
              <w:t>Radio characteristic factor</w:t>
            </w:r>
          </w:p>
        </w:tc>
      </w:tr>
      <w:tr w:rsidR="004834FD" w:rsidRPr="004B611D" w:rsidTr="007B2832">
        <w:tc>
          <w:tcPr>
            <w:tcW w:w="4313"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4B611D" w:rsidRDefault="004834FD" w:rsidP="007B2832">
            <w:pPr>
              <w:pStyle w:val="Tabletext"/>
              <w:jc w:val="center"/>
            </w:pPr>
            <w:r w:rsidRPr="004B611D">
              <w:rPr>
                <w:lang w:eastAsia="ko-KR"/>
              </w:rPr>
              <w:t>&lt; 1 GHz</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4B611D" w:rsidRDefault="004834FD" w:rsidP="007B2832">
            <w:pPr>
              <w:pStyle w:val="Tabletext"/>
              <w:jc w:val="center"/>
              <w:rPr>
                <w:rFonts w:eastAsia="???"/>
              </w:rPr>
            </w:pPr>
            <w:r w:rsidRPr="004B611D">
              <w:rPr>
                <w:rFonts w:eastAsia="???"/>
                <w:lang w:eastAsia="ko-KR"/>
              </w:rPr>
              <w:t>1.16</w:t>
            </w:r>
          </w:p>
        </w:tc>
      </w:tr>
      <w:tr w:rsidR="004834FD" w:rsidRPr="004B611D" w:rsidTr="007B2832">
        <w:tc>
          <w:tcPr>
            <w:tcW w:w="4313"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4B611D" w:rsidRDefault="004834FD" w:rsidP="007B2832">
            <w:pPr>
              <w:pStyle w:val="Tabletext"/>
              <w:jc w:val="center"/>
              <w:rPr>
                <w:szCs w:val="18"/>
                <w:lang w:eastAsia="ko-KR"/>
              </w:rPr>
            </w:pPr>
            <w:r w:rsidRPr="004B611D">
              <w:rPr>
                <w:szCs w:val="18"/>
                <w:lang w:eastAsia="ko-KR"/>
              </w:rPr>
              <w:t>1 GHz ~ 3 GHz</w:t>
            </w:r>
          </w:p>
        </w:tc>
        <w:tc>
          <w:tcPr>
            <w:tcW w:w="4536"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4B611D" w:rsidRDefault="004834FD" w:rsidP="007B2832">
            <w:pPr>
              <w:pStyle w:val="Tabletext"/>
              <w:jc w:val="center"/>
              <w:rPr>
                <w:rFonts w:eastAsia="???"/>
                <w:szCs w:val="18"/>
                <w:lang w:eastAsia="ko-KR"/>
              </w:rPr>
            </w:pPr>
            <w:r w:rsidRPr="004B611D">
              <w:rPr>
                <w:rFonts w:eastAsia="???"/>
                <w:szCs w:val="18"/>
                <w:lang w:eastAsia="ko-KR"/>
              </w:rPr>
              <w:t>0.81</w:t>
            </w:r>
          </w:p>
        </w:tc>
      </w:tr>
    </w:tbl>
    <w:p w:rsidR="004834FD" w:rsidRPr="004B611D" w:rsidRDefault="004834FD" w:rsidP="004834FD">
      <w:pPr>
        <w:pStyle w:val="Tablefin"/>
      </w:pPr>
    </w:p>
    <w:p w:rsidR="004834FD" w:rsidRPr="004834FD" w:rsidRDefault="004834FD" w:rsidP="004834FD">
      <w:pPr>
        <w:pStyle w:val="Note"/>
        <w:rPr>
          <w:lang w:val="en-GB" w:eastAsia="ko-KR"/>
        </w:rPr>
      </w:pPr>
      <w:r w:rsidRPr="004834FD">
        <w:rPr>
          <w:lang w:val="en-GB"/>
        </w:rPr>
        <w:t xml:space="preserve">NOTE – </w:t>
      </w:r>
      <w:r w:rsidRPr="004834FD">
        <w:rPr>
          <w:lang w:val="en-GB" w:eastAsia="ko-KR"/>
        </w:rPr>
        <w:t xml:space="preserve">The radio characteristic factor does not apply to radio pager, TRS, LBS, wireless data services and licensed station. </w:t>
      </w:r>
    </w:p>
    <w:p w:rsidR="004834FD" w:rsidRPr="004B611D" w:rsidRDefault="004834FD" w:rsidP="004834FD">
      <w:pPr>
        <w:pStyle w:val="Headingb"/>
        <w:rPr>
          <w:lang w:val="en-GB"/>
        </w:rPr>
      </w:pPr>
      <w:r w:rsidRPr="004B611D">
        <w:rPr>
          <w:lang w:val="en-GB" w:eastAsia="ko-KR"/>
        </w:rPr>
        <w:t>Category 2</w:t>
      </w:r>
      <w:r w:rsidRPr="004B611D">
        <w:rPr>
          <w:lang w:val="en-GB"/>
        </w:rPr>
        <w:t xml:space="preserve">: </w:t>
      </w:r>
      <w:r w:rsidRPr="004B611D">
        <w:rPr>
          <w:lang w:val="en-GB" w:eastAsia="ko-KR"/>
        </w:rPr>
        <w:t>Based on the radio station</w:t>
      </w:r>
    </w:p>
    <w:p w:rsidR="004834FD" w:rsidRPr="004834FD" w:rsidRDefault="004834FD" w:rsidP="004834FD">
      <w:pPr>
        <w:rPr>
          <w:lang w:val="en-GB"/>
        </w:rPr>
      </w:pPr>
      <w:r w:rsidRPr="004834FD">
        <w:rPr>
          <w:lang w:val="en-GB"/>
        </w:rPr>
        <w:t xml:space="preserve">The </w:t>
      </w:r>
      <w:r w:rsidRPr="004834FD">
        <w:rPr>
          <w:lang w:val="en-GB" w:eastAsia="ko-KR"/>
        </w:rPr>
        <w:t>spectrum usage fees (SF)</w:t>
      </w:r>
      <w:r w:rsidRPr="004834FD">
        <w:rPr>
          <w:lang w:val="en-GB"/>
        </w:rPr>
        <w:t xml:space="preserve"> is imposed on the </w:t>
      </w:r>
      <w:r w:rsidRPr="004834FD">
        <w:rPr>
          <w:lang w:val="en-GB" w:eastAsia="ko-KR"/>
        </w:rPr>
        <w:t xml:space="preserve">radio station </w:t>
      </w:r>
      <w:r w:rsidRPr="004834FD">
        <w:rPr>
          <w:lang w:val="en-GB"/>
        </w:rPr>
        <w:t>according to th</w:t>
      </w:r>
      <w:r w:rsidRPr="004834FD">
        <w:rPr>
          <w:lang w:val="en-GB" w:eastAsia="ko-KR"/>
        </w:rPr>
        <w:t>e</w:t>
      </w:r>
      <w:r w:rsidRPr="004834FD">
        <w:rPr>
          <w:lang w:val="en-GB"/>
        </w:rPr>
        <w:t xml:space="preserve"> equation:</w:t>
      </w:r>
    </w:p>
    <w:p w:rsidR="001B381F" w:rsidRPr="00BD6197" w:rsidRDefault="001B381F" w:rsidP="00263872">
      <w:pPr>
        <w:pStyle w:val="Equation"/>
        <w:rPr>
          <w:lang w:val="en-US" w:eastAsia="ko-KR"/>
        </w:rPr>
      </w:pPr>
      <w:r w:rsidRPr="00BD6197">
        <w:rPr>
          <w:lang w:val="en-US"/>
        </w:rPr>
        <w:tab/>
      </w:r>
      <w:r w:rsidRPr="00BD6197">
        <w:rPr>
          <w:lang w:val="en-US"/>
        </w:rPr>
        <w:tab/>
      </w:r>
      <w:r w:rsidRPr="00BD6197">
        <w:rPr>
          <w:position w:val="-14"/>
          <w:lang w:val="en-US"/>
        </w:rPr>
        <w:object w:dxaOrig="4000" w:dyaOrig="380">
          <v:shape id="_x0000_i1163" type="#_x0000_t75" style="width:196.5pt;height:18.75pt" o:ole="" fillcolor="window">
            <v:imagedata r:id="rId306" o:title=""/>
          </v:shape>
          <o:OLEObject Type="Embed" ProgID="Equation.3" ShapeID="_x0000_i1163" DrawAspect="Content" ObjectID="_1604325116" r:id="rId307"/>
        </w:object>
      </w:r>
      <w:r w:rsidR="00AE3C7E">
        <w:rPr>
          <w:lang w:val="en-US"/>
        </w:rPr>
        <w:tab/>
        <w:t>(6</w:t>
      </w:r>
      <w:r w:rsidR="00263872">
        <w:rPr>
          <w:lang w:val="en-US"/>
        </w:rPr>
        <w:t>7</w:t>
      </w:r>
      <w:r w:rsidRPr="00BD6197">
        <w:rPr>
          <w:lang w:val="en-US"/>
        </w:rPr>
        <w:t>)</w:t>
      </w:r>
    </w:p>
    <w:p w:rsidR="004834FD" w:rsidRPr="004834FD" w:rsidRDefault="004834FD" w:rsidP="004834FD">
      <w:pPr>
        <w:rPr>
          <w:lang w:val="en-GB"/>
        </w:rPr>
      </w:pPr>
      <w:r w:rsidRPr="004834FD">
        <w:rPr>
          <w:lang w:val="en-GB"/>
        </w:rPr>
        <w:t>where:</w:t>
      </w:r>
    </w:p>
    <w:p w:rsidR="004834FD" w:rsidRPr="004B611D" w:rsidRDefault="004834FD" w:rsidP="004834FD">
      <w:pPr>
        <w:pStyle w:val="Equationlegend"/>
        <w:rPr>
          <w:lang w:eastAsia="ko-KR"/>
        </w:rPr>
      </w:pPr>
      <w:r w:rsidRPr="004B611D">
        <w:rPr>
          <w:lang w:eastAsia="ko-KR"/>
        </w:rPr>
        <w:tab/>
      </w:r>
      <w:r w:rsidRPr="004B611D">
        <w:rPr>
          <w:i/>
          <w:lang w:eastAsia="ko-KR"/>
        </w:rPr>
        <w:t>B</w:t>
      </w:r>
      <w:r w:rsidRPr="004B611D">
        <w:rPr>
          <w:i/>
          <w:iCs/>
          <w:vertAlign w:val="subscript"/>
          <w:lang w:eastAsia="ko-KR"/>
        </w:rPr>
        <w:t>p</w:t>
      </w:r>
      <w:r w:rsidRPr="004B611D">
        <w:t>:</w:t>
      </w:r>
      <w:r w:rsidRPr="004B611D">
        <w:tab/>
        <w:t xml:space="preserve">basic </w:t>
      </w:r>
      <w:r w:rsidRPr="004B611D">
        <w:rPr>
          <w:lang w:eastAsia="ko-KR"/>
        </w:rPr>
        <w:t>price</w:t>
      </w:r>
    </w:p>
    <w:p w:rsidR="004834FD" w:rsidRPr="004B611D" w:rsidRDefault="004834FD" w:rsidP="004834FD">
      <w:pPr>
        <w:pStyle w:val="Equationlegend"/>
      </w:pPr>
      <w:r w:rsidRPr="004B611D">
        <w:tab/>
      </w:r>
      <w:r w:rsidRPr="004B611D">
        <w:rPr>
          <w:i/>
          <w:iCs/>
        </w:rPr>
        <w:t>U</w:t>
      </w:r>
      <w:r w:rsidRPr="004B611D">
        <w:rPr>
          <w:i/>
          <w:iCs/>
          <w:vertAlign w:val="subscript"/>
        </w:rPr>
        <w:t>f</w:t>
      </w:r>
      <w:r w:rsidRPr="004B611D">
        <w:t>:</w:t>
      </w:r>
      <w:r w:rsidRPr="004B611D">
        <w:rPr>
          <w:i/>
          <w:iCs/>
        </w:rPr>
        <w:t xml:space="preserve"> </w:t>
      </w:r>
      <w:r w:rsidRPr="004B611D">
        <w:rPr>
          <w:i/>
          <w:iCs/>
        </w:rPr>
        <w:tab/>
      </w:r>
      <w:r w:rsidRPr="004B611D">
        <w:rPr>
          <w:lang w:eastAsia="ko-KR"/>
        </w:rPr>
        <w:t>spectrum usage factor</w:t>
      </w:r>
    </w:p>
    <w:p w:rsidR="004834FD" w:rsidRPr="004B611D" w:rsidRDefault="004834FD" w:rsidP="004834FD">
      <w:pPr>
        <w:pStyle w:val="Equationlegend"/>
        <w:rPr>
          <w:lang w:eastAsia="ko-KR"/>
        </w:rPr>
      </w:pPr>
      <w:r w:rsidRPr="004B611D">
        <w:rPr>
          <w:i/>
          <w:iCs/>
        </w:rPr>
        <w:tab/>
        <w:t>S</w:t>
      </w:r>
      <w:r w:rsidRPr="004B611D">
        <w:rPr>
          <w:i/>
          <w:iCs/>
          <w:vertAlign w:val="subscript"/>
        </w:rPr>
        <w:t>f</w:t>
      </w:r>
      <w:r w:rsidRPr="004B611D">
        <w:t>:</w:t>
      </w:r>
      <w:r w:rsidRPr="004B611D">
        <w:rPr>
          <w:i/>
          <w:iCs/>
        </w:rPr>
        <w:tab/>
      </w:r>
      <w:r w:rsidRPr="004B611D">
        <w:t>service factor</w:t>
      </w:r>
    </w:p>
    <w:p w:rsidR="004834FD" w:rsidRPr="004B611D" w:rsidRDefault="004834FD" w:rsidP="004834FD">
      <w:pPr>
        <w:pStyle w:val="Equationlegend"/>
        <w:rPr>
          <w:lang w:eastAsia="ko-KR"/>
        </w:rPr>
      </w:pPr>
      <w:r w:rsidRPr="004B611D">
        <w:tab/>
      </w:r>
      <w:r w:rsidRPr="004B611D">
        <w:rPr>
          <w:i/>
          <w:iCs/>
          <w:position w:val="-12"/>
          <w:lang w:eastAsia="ko-KR"/>
        </w:rPr>
        <w:object w:dxaOrig="300" w:dyaOrig="360">
          <v:shape id="_x0000_i1164" type="#_x0000_t75" style="width:15pt;height:19.5pt" o:ole="">
            <v:imagedata r:id="rId308" o:title=""/>
          </v:shape>
          <o:OLEObject Type="Embed" ProgID="Equation.DSMT4" ShapeID="_x0000_i1164" DrawAspect="Content" ObjectID="_1604325117" r:id="rId309"/>
        </w:object>
      </w:r>
      <w:r w:rsidRPr="004B611D">
        <w:t>:</w:t>
      </w:r>
      <w:r w:rsidRPr="004B611D">
        <w:tab/>
      </w:r>
      <w:r w:rsidRPr="004B611D">
        <w:rPr>
          <w:lang w:eastAsia="ko-KR"/>
        </w:rPr>
        <w:t>facility sharing fee-waiver factor</w:t>
      </w:r>
    </w:p>
    <w:p w:rsidR="004834FD" w:rsidRPr="004B611D" w:rsidRDefault="004834FD" w:rsidP="004834FD">
      <w:pPr>
        <w:pStyle w:val="Equationlegend"/>
        <w:rPr>
          <w:lang w:eastAsia="ko-KR"/>
        </w:rPr>
      </w:pPr>
      <w:r w:rsidRPr="004B611D">
        <w:tab/>
      </w:r>
      <w:r w:rsidRPr="004B611D">
        <w:rPr>
          <w:i/>
          <w:iCs/>
        </w:rPr>
        <w:t>E</w:t>
      </w:r>
      <w:r w:rsidRPr="004B611D">
        <w:rPr>
          <w:i/>
          <w:iCs/>
          <w:vertAlign w:val="subscript"/>
        </w:rPr>
        <w:t>f</w:t>
      </w:r>
      <w:r w:rsidRPr="004B611D">
        <w:rPr>
          <w:i/>
          <w:iCs/>
          <w:sz w:val="12"/>
          <w:lang w:eastAsia="ko-KR"/>
        </w:rPr>
        <w:t xml:space="preserve"> </w:t>
      </w:r>
      <w:r w:rsidRPr="004B611D">
        <w:rPr>
          <w:i/>
          <w:iCs/>
          <w:vertAlign w:val="subscript"/>
        </w:rPr>
        <w:t xml:space="preserve">f </w:t>
      </w:r>
      <w:r w:rsidRPr="004B611D">
        <w:t>:</w:t>
      </w:r>
      <w:r w:rsidRPr="004B611D">
        <w:tab/>
      </w:r>
      <w:r w:rsidRPr="004B611D">
        <w:rPr>
          <w:lang w:eastAsia="ko-KR"/>
        </w:rPr>
        <w:t>eco-friendly fee-waiver factor.</w:t>
      </w:r>
    </w:p>
    <w:p w:rsidR="004834FD" w:rsidRPr="004834FD" w:rsidRDefault="004834FD" w:rsidP="004834FD">
      <w:pPr>
        <w:keepNext/>
        <w:rPr>
          <w:lang w:val="en-GB" w:eastAsia="ko-KR"/>
        </w:rPr>
      </w:pPr>
      <w:r w:rsidRPr="004834FD">
        <w:rPr>
          <w:lang w:val="en-GB"/>
        </w:rPr>
        <w:t>Described as follows:</w:t>
      </w:r>
    </w:p>
    <w:p w:rsidR="004834FD" w:rsidRPr="004834FD" w:rsidRDefault="004834FD" w:rsidP="004834FD">
      <w:pPr>
        <w:pStyle w:val="Equation"/>
        <w:rPr>
          <w:lang w:val="en-GB"/>
        </w:rPr>
      </w:pPr>
      <w:r w:rsidRPr="004834FD">
        <w:rPr>
          <w:bCs/>
          <w:iCs/>
          <w:lang w:val="en-GB"/>
        </w:rPr>
        <w:t xml:space="preserve">Basic </w:t>
      </w:r>
      <w:r w:rsidRPr="004834FD">
        <w:rPr>
          <w:bCs/>
          <w:iCs/>
          <w:lang w:val="en-GB" w:eastAsia="ko-KR"/>
        </w:rPr>
        <w:t>price,</w:t>
      </w:r>
      <w:r w:rsidRPr="004834FD">
        <w:rPr>
          <w:bCs/>
          <w:i/>
          <w:lang w:val="en-GB" w:eastAsia="ko-KR"/>
        </w:rPr>
        <w:t xml:space="preserve"> </w:t>
      </w:r>
      <w:r w:rsidRPr="004834FD">
        <w:rPr>
          <w:i/>
          <w:lang w:val="en-GB" w:eastAsia="ko-KR"/>
        </w:rPr>
        <w:t>B</w:t>
      </w:r>
      <w:r w:rsidRPr="004834FD">
        <w:rPr>
          <w:i/>
          <w:iCs/>
          <w:vertAlign w:val="subscript"/>
          <w:lang w:val="en-GB" w:eastAsia="ko-KR"/>
        </w:rPr>
        <w:t>p</w:t>
      </w:r>
      <w:r w:rsidRPr="004834FD">
        <w:rPr>
          <w:lang w:val="en-GB"/>
        </w:rPr>
        <w:t xml:space="preserve">: 250 000 </w:t>
      </w:r>
      <w:r w:rsidRPr="004834FD">
        <w:rPr>
          <w:lang w:val="en-GB" w:eastAsia="ko-KR"/>
        </w:rPr>
        <w:t>KRW/station</w:t>
      </w:r>
    </w:p>
    <w:p w:rsidR="004834FD" w:rsidRPr="004834FD" w:rsidRDefault="004834FD" w:rsidP="004834FD">
      <w:pPr>
        <w:rPr>
          <w:lang w:val="en-GB" w:eastAsia="ko-KR"/>
        </w:rPr>
      </w:pPr>
      <w:r w:rsidRPr="004834FD">
        <w:rPr>
          <w:lang w:val="en-GB" w:eastAsia="ko-KR"/>
        </w:rPr>
        <w:t>Spectrum usage factor</w:t>
      </w:r>
      <w:r w:rsidRPr="004834FD">
        <w:rPr>
          <w:bCs/>
          <w:iCs/>
          <w:lang w:val="en-GB" w:eastAsia="ko-KR"/>
        </w:rPr>
        <w:t>,</w:t>
      </w:r>
      <w:r w:rsidRPr="004834FD">
        <w:rPr>
          <w:bCs/>
          <w:i/>
          <w:lang w:val="en-GB" w:eastAsia="ko-KR"/>
        </w:rPr>
        <w:t xml:space="preserve"> </w:t>
      </w:r>
      <w:r w:rsidRPr="004834FD">
        <w:rPr>
          <w:i/>
          <w:iCs/>
          <w:lang w:val="en-GB" w:eastAsia="ko-KR"/>
        </w:rPr>
        <w:t>U</w:t>
      </w:r>
      <w:r w:rsidRPr="004834FD">
        <w:rPr>
          <w:i/>
          <w:iCs/>
          <w:vertAlign w:val="subscript"/>
          <w:lang w:val="en-GB"/>
        </w:rPr>
        <w:t>f</w:t>
      </w:r>
      <w:r w:rsidRPr="004834FD">
        <w:rPr>
          <w:lang w:val="en-GB" w:eastAsia="ko-KR"/>
        </w:rPr>
        <w:t>: the value in the cell at the intersection of the column, Spectrum usage, and the row, Frequency bands, in Table 37.</w:t>
      </w:r>
    </w:p>
    <w:p w:rsidR="004834FD" w:rsidRPr="004B611D" w:rsidRDefault="004834FD" w:rsidP="004834FD">
      <w:pPr>
        <w:pStyle w:val="TableNo"/>
        <w:rPr>
          <w:lang w:eastAsia="ko-KR"/>
        </w:rPr>
      </w:pPr>
      <w:r w:rsidRPr="004B611D">
        <w:rPr>
          <w:lang w:eastAsia="ko-KR"/>
        </w:rPr>
        <w:t>TABLE 37</w:t>
      </w:r>
    </w:p>
    <w:tbl>
      <w:tblPr>
        <w:tblW w:w="963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00" w:firstRow="0" w:lastRow="0" w:firstColumn="0" w:lastColumn="0" w:noHBand="0" w:noVBand="0"/>
      </w:tblPr>
      <w:tblGrid>
        <w:gridCol w:w="1895"/>
        <w:gridCol w:w="534"/>
        <w:gridCol w:w="519"/>
        <w:gridCol w:w="519"/>
        <w:gridCol w:w="503"/>
        <w:gridCol w:w="519"/>
        <w:gridCol w:w="519"/>
        <w:gridCol w:w="519"/>
        <w:gridCol w:w="504"/>
        <w:gridCol w:w="519"/>
        <w:gridCol w:w="519"/>
        <w:gridCol w:w="519"/>
        <w:gridCol w:w="519"/>
        <w:gridCol w:w="519"/>
        <w:gridCol w:w="546"/>
        <w:gridCol w:w="467"/>
      </w:tblGrid>
      <w:tr w:rsidR="004834FD" w:rsidRPr="004B611D" w:rsidTr="007B2832">
        <w:trPr>
          <w:jc w:val="center"/>
        </w:trPr>
        <w:tc>
          <w:tcPr>
            <w:tcW w:w="1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834FD" w:rsidRDefault="004834FD" w:rsidP="007B2832">
            <w:pPr>
              <w:pStyle w:val="Tablehead"/>
              <w:spacing w:before="0" w:after="0"/>
              <w:ind w:left="-57" w:right="-57"/>
              <w:jc w:val="right"/>
              <w:rPr>
                <w:sz w:val="16"/>
                <w:szCs w:val="16"/>
                <w:lang w:val="en-GB"/>
              </w:rPr>
            </w:pPr>
            <w:r w:rsidRPr="004834FD">
              <w:rPr>
                <w:sz w:val="16"/>
                <w:szCs w:val="16"/>
                <w:lang w:val="en-GB" w:eastAsia="ko-KR"/>
              </w:rPr>
              <w:t xml:space="preserve">Spectrum usage </w:t>
            </w:r>
            <w:r w:rsidRPr="004834FD">
              <w:rPr>
                <w:sz w:val="16"/>
                <w:szCs w:val="16"/>
                <w:lang w:val="en-GB"/>
              </w:rPr>
              <w:t>(MHz)</w:t>
            </w:r>
            <w:r w:rsidRPr="004834FD">
              <w:rPr>
                <w:sz w:val="16"/>
                <w:szCs w:val="16"/>
                <w:lang w:val="en-GB"/>
              </w:rPr>
              <w:br/>
            </w:r>
          </w:p>
          <w:p w:rsidR="004834FD" w:rsidRPr="004834FD" w:rsidRDefault="004834FD" w:rsidP="007B2832">
            <w:pPr>
              <w:pStyle w:val="Tablehead"/>
              <w:spacing w:before="0" w:after="0"/>
              <w:ind w:left="-57" w:right="-57"/>
              <w:jc w:val="left"/>
              <w:rPr>
                <w:sz w:val="16"/>
                <w:szCs w:val="16"/>
                <w:lang w:val="en-GB"/>
              </w:rPr>
            </w:pPr>
            <w:r w:rsidRPr="004834FD">
              <w:rPr>
                <w:sz w:val="16"/>
                <w:szCs w:val="16"/>
                <w:lang w:val="en-GB" w:eastAsia="ko-KR"/>
              </w:rPr>
              <w:t>Frequency</w:t>
            </w:r>
            <w:r w:rsidRPr="004834FD">
              <w:rPr>
                <w:sz w:val="16"/>
                <w:szCs w:val="16"/>
                <w:lang w:val="en-GB" w:eastAsia="ko-KR"/>
              </w:rPr>
              <w:br/>
            </w:r>
            <w:r w:rsidRPr="004834FD">
              <w:rPr>
                <w:sz w:val="16"/>
                <w:szCs w:val="16"/>
                <w:lang w:val="en-GB"/>
              </w:rPr>
              <w:t>bands</w:t>
            </w: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head"/>
              <w:ind w:left="-57" w:right="-57"/>
              <w:rPr>
                <w:sz w:val="16"/>
                <w:szCs w:val="16"/>
                <w:lang w:eastAsia="ko-KR"/>
              </w:rPr>
            </w:pPr>
            <w:r w:rsidRPr="004B611D">
              <w:rPr>
                <w:sz w:val="16"/>
                <w:szCs w:val="16"/>
                <w:lang w:eastAsia="ko-KR"/>
              </w:rPr>
              <w:t xml:space="preserve">&lt; </w:t>
            </w:r>
            <w:r w:rsidRPr="004B611D">
              <w:rPr>
                <w:sz w:val="16"/>
                <w:szCs w:val="16"/>
              </w:rPr>
              <w:t>0.1</w:t>
            </w:r>
          </w:p>
        </w:tc>
        <w:tc>
          <w:tcPr>
            <w:tcW w:w="4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head"/>
              <w:ind w:left="-57" w:right="-57"/>
              <w:rPr>
                <w:sz w:val="16"/>
                <w:szCs w:val="16"/>
              </w:rPr>
            </w:pPr>
            <w:r w:rsidRPr="004B611D">
              <w:rPr>
                <w:sz w:val="16"/>
                <w:szCs w:val="16"/>
              </w:rPr>
              <w:t>0.1</w:t>
            </w:r>
            <w:r w:rsidRPr="004B611D">
              <w:rPr>
                <w:sz w:val="16"/>
                <w:szCs w:val="16"/>
              </w:rPr>
              <w:br/>
              <w:t>~</w:t>
            </w:r>
            <w:r w:rsidRPr="004B611D">
              <w:rPr>
                <w:sz w:val="16"/>
                <w:szCs w:val="16"/>
              </w:rPr>
              <w:br/>
              <w:t>0.3</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head"/>
              <w:ind w:left="-57" w:right="-57"/>
              <w:rPr>
                <w:sz w:val="16"/>
                <w:szCs w:val="16"/>
              </w:rPr>
            </w:pPr>
            <w:r w:rsidRPr="004B611D">
              <w:rPr>
                <w:sz w:val="16"/>
                <w:szCs w:val="16"/>
              </w:rPr>
              <w:t>0.3</w:t>
            </w:r>
            <w:r w:rsidRPr="004B611D">
              <w:rPr>
                <w:sz w:val="16"/>
                <w:szCs w:val="16"/>
              </w:rPr>
              <w:br/>
              <w:t>~</w:t>
            </w:r>
            <w:r w:rsidRPr="004B611D">
              <w:rPr>
                <w:sz w:val="16"/>
                <w:szCs w:val="16"/>
              </w:rPr>
              <w:br/>
              <w:t>1.5</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head"/>
              <w:ind w:left="-57" w:right="-57"/>
              <w:rPr>
                <w:sz w:val="16"/>
                <w:szCs w:val="16"/>
              </w:rPr>
            </w:pPr>
            <w:r w:rsidRPr="004B611D">
              <w:rPr>
                <w:sz w:val="16"/>
                <w:szCs w:val="16"/>
              </w:rPr>
              <w:t>1.5</w:t>
            </w:r>
            <w:r w:rsidRPr="004B611D">
              <w:rPr>
                <w:sz w:val="16"/>
                <w:szCs w:val="16"/>
              </w:rPr>
              <w:br/>
              <w:t>~</w:t>
            </w:r>
            <w:r w:rsidRPr="004B611D">
              <w:rPr>
                <w:sz w:val="16"/>
                <w:szCs w:val="16"/>
              </w:rPr>
              <w:br/>
              <w:t>4</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head"/>
              <w:ind w:left="-57" w:right="-57"/>
              <w:rPr>
                <w:sz w:val="16"/>
                <w:szCs w:val="16"/>
              </w:rPr>
            </w:pPr>
            <w:r w:rsidRPr="004B611D">
              <w:rPr>
                <w:sz w:val="16"/>
                <w:szCs w:val="16"/>
              </w:rPr>
              <w:t>4</w:t>
            </w:r>
            <w:r w:rsidRPr="004B611D">
              <w:rPr>
                <w:sz w:val="16"/>
                <w:szCs w:val="16"/>
              </w:rPr>
              <w:br/>
              <w:t>~</w:t>
            </w:r>
            <w:r w:rsidRPr="004B611D">
              <w:rPr>
                <w:sz w:val="16"/>
                <w:szCs w:val="16"/>
              </w:rPr>
              <w:br/>
              <w:t>7</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head"/>
              <w:ind w:left="-57" w:right="-57"/>
              <w:rPr>
                <w:sz w:val="16"/>
                <w:szCs w:val="16"/>
              </w:rPr>
            </w:pPr>
            <w:r w:rsidRPr="004B611D">
              <w:rPr>
                <w:sz w:val="16"/>
                <w:szCs w:val="16"/>
              </w:rPr>
              <w:t>7</w:t>
            </w:r>
            <w:r w:rsidRPr="004B611D">
              <w:rPr>
                <w:sz w:val="16"/>
                <w:szCs w:val="16"/>
              </w:rPr>
              <w:br/>
              <w:t>~</w:t>
            </w:r>
            <w:r w:rsidRPr="004B611D">
              <w:rPr>
                <w:sz w:val="16"/>
                <w:szCs w:val="16"/>
              </w:rPr>
              <w:br/>
              <w:t>10</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head"/>
              <w:ind w:left="-57" w:right="-57"/>
              <w:rPr>
                <w:sz w:val="16"/>
                <w:szCs w:val="16"/>
              </w:rPr>
            </w:pPr>
            <w:r w:rsidRPr="004B611D">
              <w:rPr>
                <w:sz w:val="16"/>
                <w:szCs w:val="16"/>
              </w:rPr>
              <w:t>10</w:t>
            </w:r>
            <w:r w:rsidRPr="004B611D">
              <w:rPr>
                <w:sz w:val="16"/>
                <w:szCs w:val="16"/>
              </w:rPr>
              <w:br/>
              <w:t>~</w:t>
            </w:r>
            <w:r w:rsidRPr="004B611D">
              <w:rPr>
                <w:sz w:val="16"/>
                <w:szCs w:val="16"/>
              </w:rPr>
              <w:br/>
              <w:t>15</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head"/>
              <w:ind w:left="-57" w:right="-57"/>
              <w:rPr>
                <w:sz w:val="16"/>
                <w:szCs w:val="16"/>
              </w:rPr>
            </w:pPr>
            <w:r w:rsidRPr="004B611D">
              <w:rPr>
                <w:sz w:val="16"/>
                <w:szCs w:val="16"/>
              </w:rPr>
              <w:t>15</w:t>
            </w:r>
            <w:r w:rsidRPr="004B611D">
              <w:rPr>
                <w:sz w:val="16"/>
                <w:szCs w:val="16"/>
              </w:rPr>
              <w:br/>
              <w:t>~</w:t>
            </w:r>
            <w:r w:rsidRPr="004B611D">
              <w:rPr>
                <w:sz w:val="16"/>
                <w:szCs w:val="16"/>
              </w:rPr>
              <w:br/>
              <w:t>20</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head"/>
              <w:ind w:left="-57" w:right="-57"/>
              <w:rPr>
                <w:sz w:val="16"/>
                <w:szCs w:val="16"/>
              </w:rPr>
            </w:pPr>
            <w:r w:rsidRPr="004B611D">
              <w:rPr>
                <w:sz w:val="16"/>
                <w:szCs w:val="16"/>
              </w:rPr>
              <w:t>20</w:t>
            </w:r>
            <w:r w:rsidRPr="004B611D">
              <w:rPr>
                <w:sz w:val="16"/>
                <w:szCs w:val="16"/>
              </w:rPr>
              <w:br/>
              <w:t>~</w:t>
            </w:r>
            <w:r w:rsidRPr="004B611D">
              <w:rPr>
                <w:sz w:val="16"/>
                <w:szCs w:val="16"/>
              </w:rPr>
              <w:br/>
              <w:t>30</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head"/>
              <w:ind w:left="-57" w:right="-57"/>
              <w:rPr>
                <w:sz w:val="16"/>
                <w:szCs w:val="16"/>
              </w:rPr>
            </w:pPr>
            <w:r w:rsidRPr="004B611D">
              <w:rPr>
                <w:sz w:val="16"/>
                <w:szCs w:val="16"/>
              </w:rPr>
              <w:t>30</w:t>
            </w:r>
            <w:r w:rsidRPr="004B611D">
              <w:rPr>
                <w:sz w:val="16"/>
                <w:szCs w:val="16"/>
              </w:rPr>
              <w:br/>
              <w:t>~</w:t>
            </w:r>
            <w:r w:rsidRPr="004B611D">
              <w:rPr>
                <w:sz w:val="16"/>
                <w:szCs w:val="16"/>
              </w:rPr>
              <w:br/>
              <w:t>40</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head"/>
              <w:ind w:left="-57" w:right="-57"/>
              <w:rPr>
                <w:sz w:val="16"/>
                <w:szCs w:val="16"/>
              </w:rPr>
            </w:pPr>
            <w:r w:rsidRPr="004B611D">
              <w:rPr>
                <w:sz w:val="16"/>
                <w:szCs w:val="16"/>
              </w:rPr>
              <w:t>40</w:t>
            </w:r>
            <w:r w:rsidRPr="004B611D">
              <w:rPr>
                <w:sz w:val="16"/>
                <w:szCs w:val="16"/>
              </w:rPr>
              <w:br/>
              <w:t>~</w:t>
            </w:r>
            <w:r w:rsidRPr="004B611D">
              <w:rPr>
                <w:sz w:val="16"/>
                <w:szCs w:val="16"/>
              </w:rPr>
              <w:br/>
              <w:t>60</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head"/>
              <w:ind w:left="-57" w:right="-57"/>
              <w:rPr>
                <w:sz w:val="16"/>
                <w:szCs w:val="16"/>
              </w:rPr>
            </w:pPr>
            <w:r w:rsidRPr="004B611D">
              <w:rPr>
                <w:sz w:val="16"/>
                <w:szCs w:val="16"/>
              </w:rPr>
              <w:t>60</w:t>
            </w:r>
            <w:r w:rsidRPr="004B611D">
              <w:rPr>
                <w:sz w:val="16"/>
                <w:szCs w:val="16"/>
              </w:rPr>
              <w:br/>
              <w:t>~</w:t>
            </w:r>
            <w:r w:rsidRPr="004B611D">
              <w:rPr>
                <w:sz w:val="16"/>
                <w:szCs w:val="16"/>
              </w:rPr>
              <w:br/>
              <w:t>80</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head"/>
              <w:ind w:left="-57" w:right="-57"/>
              <w:rPr>
                <w:sz w:val="16"/>
                <w:szCs w:val="16"/>
              </w:rPr>
            </w:pPr>
            <w:r w:rsidRPr="004B611D">
              <w:rPr>
                <w:sz w:val="16"/>
                <w:szCs w:val="16"/>
              </w:rPr>
              <w:t>80</w:t>
            </w:r>
            <w:r w:rsidRPr="004B611D">
              <w:rPr>
                <w:sz w:val="16"/>
                <w:szCs w:val="16"/>
              </w:rPr>
              <w:br/>
              <w:t>~</w:t>
            </w:r>
            <w:r w:rsidRPr="004B611D">
              <w:rPr>
                <w:sz w:val="16"/>
                <w:szCs w:val="16"/>
              </w:rPr>
              <w:br/>
              <w:t>110</w:t>
            </w:r>
          </w:p>
        </w:tc>
        <w:tc>
          <w:tcPr>
            <w:tcW w:w="5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head"/>
              <w:ind w:left="-57" w:right="-57"/>
              <w:rPr>
                <w:sz w:val="16"/>
                <w:szCs w:val="16"/>
              </w:rPr>
            </w:pPr>
            <w:r w:rsidRPr="004B611D">
              <w:rPr>
                <w:sz w:val="16"/>
                <w:szCs w:val="16"/>
              </w:rPr>
              <w:t>110</w:t>
            </w:r>
            <w:r w:rsidRPr="004B611D">
              <w:rPr>
                <w:sz w:val="16"/>
                <w:szCs w:val="16"/>
              </w:rPr>
              <w:br/>
              <w:t>~</w:t>
            </w:r>
            <w:r w:rsidRPr="004B611D">
              <w:rPr>
                <w:sz w:val="16"/>
                <w:szCs w:val="16"/>
              </w:rPr>
              <w:br/>
              <w:t>150</w:t>
            </w:r>
          </w:p>
        </w:tc>
        <w:tc>
          <w:tcPr>
            <w:tcW w:w="4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head"/>
              <w:ind w:left="-57" w:right="-113"/>
              <w:jc w:val="left"/>
              <w:rPr>
                <w:sz w:val="16"/>
                <w:szCs w:val="16"/>
                <w:lang w:eastAsia="ko-KR"/>
              </w:rPr>
            </w:pPr>
            <w:r w:rsidRPr="004B611D">
              <w:rPr>
                <w:sz w:val="16"/>
                <w:szCs w:val="16"/>
                <w:lang w:eastAsia="ko-KR"/>
              </w:rPr>
              <w:t xml:space="preserve">&gt; </w:t>
            </w:r>
            <w:r w:rsidRPr="004B611D">
              <w:rPr>
                <w:sz w:val="16"/>
                <w:szCs w:val="16"/>
              </w:rPr>
              <w:t>150</w:t>
            </w:r>
          </w:p>
        </w:tc>
      </w:tr>
      <w:tr w:rsidR="004834FD" w:rsidRPr="004B611D" w:rsidTr="007B2832">
        <w:trPr>
          <w:trHeight w:val="88"/>
          <w:jc w:val="center"/>
        </w:trPr>
        <w:tc>
          <w:tcPr>
            <w:tcW w:w="1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keepNext/>
              <w:keepLines/>
              <w:ind w:left="-57" w:right="-57"/>
              <w:rPr>
                <w:sz w:val="16"/>
                <w:szCs w:val="16"/>
              </w:rPr>
            </w:pPr>
            <w:r w:rsidRPr="004B611D">
              <w:rPr>
                <w:rFonts w:ascii="Symbol" w:eastAsia="Symbol" w:hAnsi="Symbol" w:cs="Symbol"/>
                <w:caps/>
                <w:sz w:val="16"/>
                <w:szCs w:val="16"/>
              </w:rPr>
              <w:t></w:t>
            </w:r>
            <w:r w:rsidRPr="004B611D">
              <w:rPr>
                <w:caps/>
                <w:sz w:val="16"/>
                <w:szCs w:val="16"/>
              </w:rPr>
              <w:t xml:space="preserve"> 1 GH</w:t>
            </w:r>
            <w:r w:rsidRPr="004B611D">
              <w:rPr>
                <w:sz w:val="16"/>
                <w:szCs w:val="16"/>
              </w:rPr>
              <w:t>z</w:t>
            </w: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sz w:val="16"/>
                <w:szCs w:val="16"/>
              </w:rPr>
            </w:pPr>
            <w:r w:rsidRPr="004B611D">
              <w:rPr>
                <w:sz w:val="16"/>
                <w:szCs w:val="16"/>
              </w:rPr>
              <w:t>1</w:t>
            </w:r>
          </w:p>
        </w:tc>
        <w:tc>
          <w:tcPr>
            <w:tcW w:w="4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sz w:val="16"/>
                <w:szCs w:val="16"/>
              </w:rPr>
            </w:pPr>
            <w:r w:rsidRPr="004B611D">
              <w:rPr>
                <w:sz w:val="16"/>
                <w:szCs w:val="16"/>
              </w:rPr>
              <w:t>2</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sz w:val="16"/>
                <w:szCs w:val="16"/>
              </w:rPr>
            </w:pPr>
            <w:r w:rsidRPr="004B611D">
              <w:rPr>
                <w:sz w:val="16"/>
                <w:szCs w:val="16"/>
              </w:rPr>
              <w:t>3</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sz w:val="16"/>
                <w:szCs w:val="16"/>
              </w:rPr>
            </w:pPr>
            <w:r w:rsidRPr="004B611D">
              <w:rPr>
                <w:sz w:val="16"/>
                <w:szCs w:val="16"/>
              </w:rPr>
              <w:t>5</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sz w:val="16"/>
                <w:szCs w:val="16"/>
              </w:rPr>
            </w:pPr>
            <w:r w:rsidRPr="004B611D">
              <w:rPr>
                <w:sz w:val="16"/>
                <w:szCs w:val="16"/>
              </w:rPr>
              <w:t>7</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sz w:val="16"/>
                <w:szCs w:val="16"/>
              </w:rPr>
            </w:pPr>
            <w:r w:rsidRPr="004B611D">
              <w:rPr>
                <w:sz w:val="16"/>
                <w:szCs w:val="16"/>
              </w:rPr>
              <w:t>9</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sz w:val="16"/>
                <w:szCs w:val="16"/>
              </w:rPr>
            </w:pPr>
            <w:r w:rsidRPr="004B611D">
              <w:rPr>
                <w:sz w:val="16"/>
                <w:szCs w:val="16"/>
              </w:rPr>
              <w:t>12</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sz w:val="16"/>
                <w:szCs w:val="16"/>
              </w:rPr>
            </w:pPr>
            <w:r w:rsidRPr="004B611D">
              <w:rPr>
                <w:sz w:val="16"/>
                <w:szCs w:val="16"/>
              </w:rPr>
              <w:t>15</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sz w:val="16"/>
                <w:szCs w:val="16"/>
              </w:rPr>
            </w:pPr>
            <w:r w:rsidRPr="004B611D">
              <w:rPr>
                <w:sz w:val="16"/>
                <w:szCs w:val="16"/>
              </w:rPr>
              <w:t>19</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sz w:val="16"/>
                <w:szCs w:val="16"/>
              </w:rPr>
            </w:pPr>
            <w:r w:rsidRPr="004B611D">
              <w:rPr>
                <w:sz w:val="16"/>
                <w:szCs w:val="16"/>
              </w:rPr>
              <w:t>23</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sz w:val="16"/>
                <w:szCs w:val="16"/>
              </w:rPr>
            </w:pPr>
            <w:r w:rsidRPr="004B611D">
              <w:rPr>
                <w:sz w:val="16"/>
                <w:szCs w:val="16"/>
              </w:rPr>
              <w:t>28</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sz w:val="16"/>
                <w:szCs w:val="16"/>
              </w:rPr>
            </w:pPr>
            <w:r w:rsidRPr="004B611D">
              <w:rPr>
                <w:sz w:val="16"/>
                <w:szCs w:val="16"/>
              </w:rPr>
              <w:t>33</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sz w:val="16"/>
                <w:szCs w:val="16"/>
              </w:rPr>
            </w:pPr>
            <w:r w:rsidRPr="004B611D">
              <w:rPr>
                <w:sz w:val="16"/>
                <w:szCs w:val="16"/>
              </w:rPr>
              <w:t>28</w:t>
            </w:r>
          </w:p>
        </w:tc>
        <w:tc>
          <w:tcPr>
            <w:tcW w:w="5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sz w:val="16"/>
                <w:szCs w:val="16"/>
              </w:rPr>
            </w:pPr>
            <w:r w:rsidRPr="004B611D">
              <w:rPr>
                <w:sz w:val="16"/>
                <w:szCs w:val="16"/>
              </w:rPr>
              <w:t>44</w:t>
            </w:r>
          </w:p>
        </w:tc>
        <w:tc>
          <w:tcPr>
            <w:tcW w:w="4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sz w:val="16"/>
                <w:szCs w:val="16"/>
              </w:rPr>
            </w:pPr>
            <w:r w:rsidRPr="004B611D">
              <w:rPr>
                <w:sz w:val="16"/>
                <w:szCs w:val="16"/>
              </w:rPr>
              <w:t>50</w:t>
            </w:r>
          </w:p>
        </w:tc>
      </w:tr>
      <w:tr w:rsidR="004834FD" w:rsidRPr="004B611D" w:rsidTr="007B2832">
        <w:trPr>
          <w:jc w:val="center"/>
        </w:trPr>
        <w:tc>
          <w:tcPr>
            <w:tcW w:w="1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keepNext/>
              <w:keepLines/>
              <w:ind w:left="-57" w:right="-57"/>
              <w:rPr>
                <w:sz w:val="16"/>
                <w:szCs w:val="16"/>
              </w:rPr>
            </w:pPr>
            <w:r w:rsidRPr="004B611D">
              <w:rPr>
                <w:sz w:val="16"/>
                <w:szCs w:val="16"/>
              </w:rPr>
              <w:t>1~3 GHz</w:t>
            </w: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sz w:val="16"/>
                <w:szCs w:val="16"/>
              </w:rPr>
            </w:pPr>
            <w:r w:rsidRPr="004B611D">
              <w:rPr>
                <w:sz w:val="16"/>
                <w:szCs w:val="16"/>
                <w:lang w:eastAsia="ko-KR"/>
              </w:rPr>
              <w:t>0.</w:t>
            </w:r>
            <w:r w:rsidRPr="004B611D">
              <w:rPr>
                <w:sz w:val="16"/>
                <w:szCs w:val="16"/>
              </w:rPr>
              <w:t>7</w:t>
            </w:r>
          </w:p>
        </w:tc>
        <w:tc>
          <w:tcPr>
            <w:tcW w:w="4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sz w:val="16"/>
                <w:szCs w:val="16"/>
              </w:rPr>
            </w:pPr>
            <w:r w:rsidRPr="004B611D">
              <w:rPr>
                <w:sz w:val="16"/>
                <w:szCs w:val="16"/>
              </w:rPr>
              <w:t>1.4</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sz w:val="16"/>
                <w:szCs w:val="16"/>
              </w:rPr>
            </w:pPr>
            <w:r w:rsidRPr="004B611D">
              <w:rPr>
                <w:sz w:val="16"/>
                <w:szCs w:val="16"/>
              </w:rPr>
              <w:t>2.1</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sz w:val="16"/>
                <w:szCs w:val="16"/>
              </w:rPr>
            </w:pPr>
            <w:r w:rsidRPr="004B611D">
              <w:rPr>
                <w:sz w:val="16"/>
                <w:szCs w:val="16"/>
              </w:rPr>
              <w:t>3.5</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sz w:val="16"/>
                <w:szCs w:val="16"/>
              </w:rPr>
            </w:pPr>
            <w:r w:rsidRPr="004B611D">
              <w:rPr>
                <w:sz w:val="16"/>
                <w:szCs w:val="16"/>
              </w:rPr>
              <w:t>4.9</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sz w:val="16"/>
                <w:szCs w:val="16"/>
              </w:rPr>
            </w:pPr>
            <w:r w:rsidRPr="004B611D">
              <w:rPr>
                <w:sz w:val="16"/>
                <w:szCs w:val="16"/>
              </w:rPr>
              <w:t>6.3</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sz w:val="16"/>
                <w:szCs w:val="16"/>
              </w:rPr>
            </w:pPr>
            <w:r w:rsidRPr="004B611D">
              <w:rPr>
                <w:sz w:val="16"/>
                <w:szCs w:val="16"/>
              </w:rPr>
              <w:t>8.4</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sz w:val="16"/>
                <w:szCs w:val="16"/>
              </w:rPr>
            </w:pPr>
            <w:r w:rsidRPr="004B611D">
              <w:rPr>
                <w:sz w:val="16"/>
                <w:szCs w:val="16"/>
              </w:rPr>
              <w:t>10.5</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sz w:val="16"/>
                <w:szCs w:val="16"/>
              </w:rPr>
            </w:pPr>
            <w:r w:rsidRPr="004B611D">
              <w:rPr>
                <w:sz w:val="16"/>
                <w:szCs w:val="16"/>
              </w:rPr>
              <w:t>13.3</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sz w:val="16"/>
                <w:szCs w:val="16"/>
              </w:rPr>
            </w:pPr>
            <w:r w:rsidRPr="004B611D">
              <w:rPr>
                <w:sz w:val="16"/>
                <w:szCs w:val="16"/>
              </w:rPr>
              <w:t>16.1</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sz w:val="16"/>
                <w:szCs w:val="16"/>
              </w:rPr>
            </w:pPr>
            <w:r w:rsidRPr="004B611D">
              <w:rPr>
                <w:sz w:val="16"/>
                <w:szCs w:val="16"/>
              </w:rPr>
              <w:t>19.6</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rFonts w:eastAsia="???"/>
                <w:sz w:val="16"/>
                <w:szCs w:val="16"/>
              </w:rPr>
            </w:pPr>
            <w:r w:rsidRPr="004B611D">
              <w:rPr>
                <w:rFonts w:eastAsia="???"/>
                <w:sz w:val="16"/>
                <w:szCs w:val="16"/>
              </w:rPr>
              <w:t>23.1</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sz w:val="16"/>
                <w:szCs w:val="16"/>
              </w:rPr>
            </w:pPr>
            <w:r w:rsidRPr="004B611D">
              <w:rPr>
                <w:caps/>
                <w:sz w:val="16"/>
                <w:szCs w:val="16"/>
              </w:rPr>
              <w:t>26.6</w:t>
            </w:r>
          </w:p>
        </w:tc>
        <w:tc>
          <w:tcPr>
            <w:tcW w:w="5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sz w:val="16"/>
                <w:szCs w:val="16"/>
              </w:rPr>
            </w:pPr>
            <w:r w:rsidRPr="004B611D">
              <w:rPr>
                <w:sz w:val="16"/>
                <w:szCs w:val="16"/>
              </w:rPr>
              <w:t>30.8</w:t>
            </w:r>
          </w:p>
        </w:tc>
        <w:tc>
          <w:tcPr>
            <w:tcW w:w="4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sz w:val="16"/>
                <w:szCs w:val="16"/>
              </w:rPr>
            </w:pPr>
            <w:r w:rsidRPr="004B611D">
              <w:rPr>
                <w:sz w:val="16"/>
                <w:szCs w:val="16"/>
              </w:rPr>
              <w:t>35</w:t>
            </w:r>
          </w:p>
        </w:tc>
      </w:tr>
      <w:tr w:rsidR="004834FD" w:rsidRPr="004B611D" w:rsidTr="007B2832">
        <w:trPr>
          <w:jc w:val="center"/>
        </w:trPr>
        <w:tc>
          <w:tcPr>
            <w:tcW w:w="1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keepNext/>
              <w:keepLines/>
              <w:ind w:left="-57" w:right="-57"/>
              <w:rPr>
                <w:rFonts w:eastAsia="???"/>
                <w:sz w:val="16"/>
                <w:szCs w:val="16"/>
              </w:rPr>
            </w:pPr>
            <w:r w:rsidRPr="004B611D">
              <w:rPr>
                <w:sz w:val="16"/>
                <w:szCs w:val="16"/>
              </w:rPr>
              <w:t>3~</w:t>
            </w:r>
            <w:r w:rsidRPr="004B611D">
              <w:rPr>
                <w:rFonts w:eastAsia="???"/>
                <w:sz w:val="16"/>
                <w:szCs w:val="16"/>
                <w:lang w:eastAsia="ko-KR"/>
              </w:rPr>
              <w:t xml:space="preserve">10 </w:t>
            </w:r>
            <w:r w:rsidRPr="004B611D">
              <w:rPr>
                <w:rFonts w:eastAsia="???"/>
                <w:sz w:val="16"/>
                <w:szCs w:val="16"/>
              </w:rPr>
              <w:t>GHz</w:t>
            </w: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sz w:val="16"/>
                <w:szCs w:val="16"/>
              </w:rPr>
            </w:pPr>
            <w:r w:rsidRPr="004B611D">
              <w:rPr>
                <w:sz w:val="16"/>
                <w:szCs w:val="16"/>
              </w:rPr>
              <w:t>0.</w:t>
            </w:r>
            <w:r w:rsidRPr="004B611D">
              <w:rPr>
                <w:sz w:val="16"/>
                <w:szCs w:val="16"/>
                <w:lang w:eastAsia="ko-KR"/>
              </w:rPr>
              <w:t>2</w:t>
            </w:r>
            <w:r w:rsidRPr="004B611D">
              <w:rPr>
                <w:sz w:val="16"/>
                <w:szCs w:val="16"/>
              </w:rPr>
              <w:t>3</w:t>
            </w:r>
          </w:p>
        </w:tc>
        <w:tc>
          <w:tcPr>
            <w:tcW w:w="4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sz w:val="16"/>
                <w:szCs w:val="16"/>
                <w:lang w:eastAsia="ko-KR"/>
              </w:rPr>
            </w:pPr>
            <w:r w:rsidRPr="004B611D">
              <w:rPr>
                <w:sz w:val="16"/>
                <w:szCs w:val="16"/>
              </w:rPr>
              <w:t>0.</w:t>
            </w:r>
            <w:r w:rsidRPr="004B611D">
              <w:rPr>
                <w:sz w:val="16"/>
                <w:szCs w:val="16"/>
                <w:lang w:eastAsia="ko-KR"/>
              </w:rPr>
              <w:t>47</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sz w:val="16"/>
                <w:szCs w:val="16"/>
                <w:lang w:eastAsia="ko-KR"/>
              </w:rPr>
            </w:pPr>
            <w:r w:rsidRPr="004B611D">
              <w:rPr>
                <w:sz w:val="16"/>
                <w:szCs w:val="16"/>
              </w:rPr>
              <w:t>0.</w:t>
            </w:r>
            <w:r w:rsidRPr="004B611D">
              <w:rPr>
                <w:sz w:val="16"/>
                <w:szCs w:val="16"/>
                <w:lang w:eastAsia="ko-KR"/>
              </w:rPr>
              <w:t>70</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sz w:val="16"/>
                <w:szCs w:val="16"/>
                <w:lang w:eastAsia="ko-KR"/>
              </w:rPr>
            </w:pPr>
            <w:r w:rsidRPr="004B611D">
              <w:rPr>
                <w:sz w:val="16"/>
                <w:szCs w:val="16"/>
              </w:rPr>
              <w:t>1.</w:t>
            </w:r>
            <w:r w:rsidRPr="004B611D">
              <w:rPr>
                <w:sz w:val="16"/>
                <w:szCs w:val="16"/>
                <w:lang w:eastAsia="ko-KR"/>
              </w:rPr>
              <w:t>17</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sz w:val="16"/>
                <w:szCs w:val="16"/>
                <w:lang w:eastAsia="ko-KR"/>
              </w:rPr>
            </w:pPr>
            <w:r w:rsidRPr="004B611D">
              <w:rPr>
                <w:sz w:val="16"/>
                <w:szCs w:val="16"/>
                <w:lang w:eastAsia="ko-KR"/>
              </w:rPr>
              <w:t>1.64</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sz w:val="16"/>
                <w:szCs w:val="16"/>
                <w:lang w:eastAsia="ko-KR"/>
              </w:rPr>
            </w:pPr>
            <w:r w:rsidRPr="004B611D">
              <w:rPr>
                <w:sz w:val="16"/>
                <w:szCs w:val="16"/>
              </w:rPr>
              <w:t>2.</w:t>
            </w:r>
            <w:r w:rsidRPr="004B611D">
              <w:rPr>
                <w:sz w:val="16"/>
                <w:szCs w:val="16"/>
                <w:lang w:eastAsia="ko-KR"/>
              </w:rPr>
              <w:t>11</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sz w:val="16"/>
                <w:szCs w:val="16"/>
              </w:rPr>
            </w:pPr>
            <w:r w:rsidRPr="004B611D">
              <w:rPr>
                <w:sz w:val="16"/>
                <w:szCs w:val="16"/>
                <w:lang w:eastAsia="ko-KR"/>
              </w:rPr>
              <w:t>2.81</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sz w:val="16"/>
                <w:szCs w:val="16"/>
                <w:lang w:eastAsia="ko-KR"/>
              </w:rPr>
            </w:pPr>
            <w:r w:rsidRPr="004B611D">
              <w:rPr>
                <w:sz w:val="16"/>
                <w:szCs w:val="16"/>
                <w:lang w:eastAsia="ko-KR"/>
              </w:rPr>
              <w:t>3.51</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sz w:val="16"/>
                <w:szCs w:val="16"/>
                <w:lang w:eastAsia="ko-KR"/>
              </w:rPr>
            </w:pPr>
            <w:r w:rsidRPr="004B611D">
              <w:rPr>
                <w:sz w:val="16"/>
                <w:szCs w:val="16"/>
                <w:lang w:eastAsia="ko-KR"/>
              </w:rPr>
              <w:t>4.45</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sz w:val="16"/>
                <w:szCs w:val="16"/>
                <w:lang w:eastAsia="ko-KR"/>
              </w:rPr>
            </w:pPr>
            <w:r w:rsidRPr="004B611D">
              <w:rPr>
                <w:sz w:val="16"/>
                <w:szCs w:val="16"/>
                <w:lang w:eastAsia="ko-KR"/>
              </w:rPr>
              <w:t>5.38</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sz w:val="16"/>
                <w:szCs w:val="16"/>
                <w:lang w:eastAsia="ko-KR"/>
              </w:rPr>
            </w:pPr>
            <w:r w:rsidRPr="004B611D">
              <w:rPr>
                <w:sz w:val="16"/>
                <w:szCs w:val="16"/>
                <w:lang w:eastAsia="ko-KR"/>
              </w:rPr>
              <w:t>6.55</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sz w:val="16"/>
                <w:szCs w:val="16"/>
                <w:lang w:eastAsia="ko-KR"/>
              </w:rPr>
            </w:pPr>
            <w:r w:rsidRPr="004B611D">
              <w:rPr>
                <w:sz w:val="16"/>
                <w:szCs w:val="16"/>
                <w:lang w:eastAsia="ko-KR"/>
              </w:rPr>
              <w:t>7.72</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rFonts w:eastAsia="???"/>
                <w:sz w:val="16"/>
                <w:szCs w:val="16"/>
                <w:lang w:eastAsia="ko-KR"/>
              </w:rPr>
            </w:pPr>
            <w:r w:rsidRPr="004B611D">
              <w:rPr>
                <w:rFonts w:eastAsia="???"/>
                <w:sz w:val="16"/>
                <w:szCs w:val="16"/>
                <w:lang w:eastAsia="ko-KR"/>
              </w:rPr>
              <w:t>8.89</w:t>
            </w:r>
          </w:p>
        </w:tc>
        <w:tc>
          <w:tcPr>
            <w:tcW w:w="5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sz w:val="16"/>
                <w:szCs w:val="16"/>
                <w:lang w:eastAsia="ko-KR"/>
              </w:rPr>
            </w:pPr>
            <w:r w:rsidRPr="004B611D">
              <w:rPr>
                <w:sz w:val="16"/>
                <w:szCs w:val="16"/>
                <w:lang w:eastAsia="ko-KR"/>
              </w:rPr>
              <w:t>10.3</w:t>
            </w:r>
          </w:p>
        </w:tc>
        <w:tc>
          <w:tcPr>
            <w:tcW w:w="4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keepNext/>
              <w:keepLines/>
              <w:ind w:left="-57" w:right="-57"/>
              <w:jc w:val="center"/>
              <w:rPr>
                <w:sz w:val="16"/>
                <w:szCs w:val="16"/>
                <w:lang w:eastAsia="ko-KR"/>
              </w:rPr>
            </w:pPr>
            <w:r w:rsidRPr="004B611D">
              <w:rPr>
                <w:sz w:val="16"/>
                <w:szCs w:val="16"/>
                <w:lang w:eastAsia="ko-KR"/>
              </w:rPr>
              <w:t>11.7</w:t>
            </w:r>
          </w:p>
        </w:tc>
      </w:tr>
      <w:tr w:rsidR="004834FD" w:rsidRPr="004B611D" w:rsidTr="007B2832">
        <w:trPr>
          <w:jc w:val="center"/>
        </w:trPr>
        <w:tc>
          <w:tcPr>
            <w:tcW w:w="1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ind w:left="-57" w:right="-57"/>
              <w:rPr>
                <w:sz w:val="16"/>
                <w:szCs w:val="16"/>
              </w:rPr>
            </w:pPr>
            <w:r w:rsidRPr="004B611D">
              <w:rPr>
                <w:sz w:val="16"/>
                <w:szCs w:val="16"/>
                <w:lang w:eastAsia="ko-KR"/>
              </w:rPr>
              <w:t>10~30</w:t>
            </w:r>
            <w:r w:rsidRPr="004B611D">
              <w:rPr>
                <w:sz w:val="16"/>
                <w:szCs w:val="16"/>
              </w:rPr>
              <w:t xml:space="preserve"> GHz</w:t>
            </w: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ind w:left="-57" w:right="-57"/>
              <w:jc w:val="center"/>
              <w:rPr>
                <w:sz w:val="16"/>
                <w:szCs w:val="16"/>
                <w:lang w:eastAsia="ko-KR"/>
              </w:rPr>
            </w:pPr>
            <w:r w:rsidRPr="004B611D">
              <w:rPr>
                <w:sz w:val="16"/>
                <w:szCs w:val="16"/>
              </w:rPr>
              <w:t>0.</w:t>
            </w:r>
            <w:r w:rsidRPr="004B611D">
              <w:rPr>
                <w:sz w:val="16"/>
                <w:szCs w:val="16"/>
                <w:lang w:eastAsia="ko-KR"/>
              </w:rPr>
              <w:t>03</w:t>
            </w:r>
          </w:p>
        </w:tc>
        <w:tc>
          <w:tcPr>
            <w:tcW w:w="4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ind w:left="-57" w:right="-57"/>
              <w:jc w:val="center"/>
              <w:rPr>
                <w:sz w:val="16"/>
                <w:szCs w:val="16"/>
                <w:lang w:eastAsia="ko-KR"/>
              </w:rPr>
            </w:pPr>
            <w:r w:rsidRPr="004B611D">
              <w:rPr>
                <w:sz w:val="16"/>
                <w:szCs w:val="16"/>
              </w:rPr>
              <w:t>0.</w:t>
            </w:r>
            <w:r w:rsidRPr="004B611D">
              <w:rPr>
                <w:sz w:val="16"/>
                <w:szCs w:val="16"/>
                <w:lang w:eastAsia="ko-KR"/>
              </w:rPr>
              <w:t>07</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ind w:left="-57" w:right="-57"/>
              <w:jc w:val="center"/>
              <w:rPr>
                <w:sz w:val="16"/>
                <w:szCs w:val="16"/>
                <w:lang w:eastAsia="ko-KR"/>
              </w:rPr>
            </w:pPr>
            <w:r w:rsidRPr="004B611D">
              <w:rPr>
                <w:sz w:val="16"/>
                <w:szCs w:val="16"/>
              </w:rPr>
              <w:t>0.</w:t>
            </w:r>
            <w:r w:rsidRPr="004B611D">
              <w:rPr>
                <w:sz w:val="16"/>
                <w:szCs w:val="16"/>
                <w:lang w:eastAsia="ko-KR"/>
              </w:rPr>
              <w:t>10</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ind w:left="-57" w:right="-57"/>
              <w:jc w:val="center"/>
              <w:rPr>
                <w:sz w:val="16"/>
                <w:szCs w:val="16"/>
                <w:lang w:eastAsia="ko-KR"/>
              </w:rPr>
            </w:pPr>
            <w:r w:rsidRPr="004B611D">
              <w:rPr>
                <w:sz w:val="16"/>
                <w:szCs w:val="16"/>
                <w:lang w:eastAsia="ko-KR"/>
              </w:rPr>
              <w:t>0.17</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ind w:left="-57" w:right="-57"/>
              <w:jc w:val="center"/>
              <w:rPr>
                <w:sz w:val="16"/>
                <w:szCs w:val="16"/>
                <w:lang w:eastAsia="ko-KR"/>
              </w:rPr>
            </w:pPr>
            <w:r w:rsidRPr="004B611D">
              <w:rPr>
                <w:sz w:val="16"/>
                <w:szCs w:val="16"/>
                <w:lang w:eastAsia="ko-KR"/>
              </w:rPr>
              <w:t>0.24</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ind w:left="-57" w:right="-57"/>
              <w:jc w:val="center"/>
              <w:rPr>
                <w:sz w:val="16"/>
                <w:szCs w:val="16"/>
              </w:rPr>
            </w:pPr>
            <w:r w:rsidRPr="004B611D">
              <w:rPr>
                <w:sz w:val="16"/>
                <w:szCs w:val="16"/>
                <w:lang w:eastAsia="ko-KR"/>
              </w:rPr>
              <w:t>0.31</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ind w:left="-57" w:right="-57"/>
              <w:jc w:val="center"/>
              <w:rPr>
                <w:sz w:val="16"/>
                <w:szCs w:val="16"/>
              </w:rPr>
            </w:pPr>
            <w:r w:rsidRPr="004B611D">
              <w:rPr>
                <w:sz w:val="16"/>
                <w:szCs w:val="16"/>
                <w:lang w:eastAsia="ko-KR"/>
              </w:rPr>
              <w:t>0.41</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ind w:left="-57" w:right="-57"/>
              <w:jc w:val="center"/>
              <w:rPr>
                <w:sz w:val="16"/>
                <w:szCs w:val="16"/>
                <w:lang w:eastAsia="ko-KR"/>
              </w:rPr>
            </w:pPr>
            <w:r w:rsidRPr="004B611D">
              <w:rPr>
                <w:sz w:val="16"/>
                <w:szCs w:val="16"/>
                <w:lang w:eastAsia="ko-KR"/>
              </w:rPr>
              <w:t>0.51</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ind w:left="-57" w:right="-57"/>
              <w:jc w:val="center"/>
              <w:rPr>
                <w:sz w:val="16"/>
                <w:szCs w:val="16"/>
                <w:lang w:eastAsia="ko-KR"/>
              </w:rPr>
            </w:pPr>
            <w:r w:rsidRPr="004B611D">
              <w:rPr>
                <w:caps/>
                <w:sz w:val="16"/>
                <w:szCs w:val="16"/>
                <w:lang w:eastAsia="ko-KR"/>
              </w:rPr>
              <w:t>0.65</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ind w:left="-57" w:right="-57"/>
              <w:jc w:val="center"/>
              <w:rPr>
                <w:sz w:val="16"/>
                <w:szCs w:val="16"/>
                <w:lang w:eastAsia="ko-KR"/>
              </w:rPr>
            </w:pPr>
            <w:r w:rsidRPr="004B611D">
              <w:rPr>
                <w:sz w:val="16"/>
                <w:szCs w:val="16"/>
                <w:lang w:eastAsia="ko-KR"/>
              </w:rPr>
              <w:t>0.78</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ind w:left="-57" w:right="-57"/>
              <w:jc w:val="center"/>
              <w:rPr>
                <w:sz w:val="16"/>
                <w:szCs w:val="16"/>
                <w:lang w:eastAsia="ko-KR"/>
              </w:rPr>
            </w:pPr>
            <w:r w:rsidRPr="004B611D">
              <w:rPr>
                <w:sz w:val="16"/>
                <w:szCs w:val="16"/>
                <w:lang w:eastAsia="ko-KR"/>
              </w:rPr>
              <w:t>0.95</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ind w:left="-57" w:right="-57"/>
              <w:jc w:val="center"/>
              <w:rPr>
                <w:sz w:val="16"/>
                <w:szCs w:val="16"/>
                <w:lang w:eastAsia="ko-KR"/>
              </w:rPr>
            </w:pPr>
            <w:r w:rsidRPr="004B611D">
              <w:rPr>
                <w:sz w:val="16"/>
                <w:szCs w:val="16"/>
                <w:lang w:eastAsia="ko-KR"/>
              </w:rPr>
              <w:t>1.12</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ind w:left="-57" w:right="-57"/>
              <w:jc w:val="center"/>
              <w:rPr>
                <w:sz w:val="16"/>
                <w:szCs w:val="16"/>
                <w:lang w:eastAsia="ko-KR"/>
              </w:rPr>
            </w:pPr>
            <w:r w:rsidRPr="004B611D">
              <w:rPr>
                <w:sz w:val="16"/>
                <w:szCs w:val="16"/>
                <w:lang w:eastAsia="ko-KR"/>
              </w:rPr>
              <w:t>1.29</w:t>
            </w:r>
          </w:p>
        </w:tc>
        <w:tc>
          <w:tcPr>
            <w:tcW w:w="5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ind w:left="-57" w:right="-57"/>
              <w:jc w:val="center"/>
              <w:rPr>
                <w:sz w:val="16"/>
                <w:szCs w:val="16"/>
                <w:lang w:eastAsia="ko-KR"/>
              </w:rPr>
            </w:pPr>
            <w:r w:rsidRPr="004B611D">
              <w:rPr>
                <w:sz w:val="16"/>
                <w:szCs w:val="16"/>
                <w:lang w:eastAsia="ko-KR"/>
              </w:rPr>
              <w:t>1.50</w:t>
            </w:r>
          </w:p>
        </w:tc>
        <w:tc>
          <w:tcPr>
            <w:tcW w:w="4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ind w:left="-57" w:right="-57"/>
              <w:jc w:val="center"/>
              <w:rPr>
                <w:sz w:val="16"/>
                <w:szCs w:val="16"/>
                <w:lang w:eastAsia="ko-KR"/>
              </w:rPr>
            </w:pPr>
            <w:r w:rsidRPr="004B611D">
              <w:rPr>
                <w:sz w:val="16"/>
                <w:szCs w:val="16"/>
                <w:lang w:eastAsia="ko-KR"/>
              </w:rPr>
              <w:t>1.7</w:t>
            </w:r>
          </w:p>
        </w:tc>
      </w:tr>
      <w:tr w:rsidR="004834FD" w:rsidRPr="004B611D" w:rsidTr="007B2832">
        <w:trPr>
          <w:jc w:val="center"/>
        </w:trPr>
        <w:tc>
          <w:tcPr>
            <w:tcW w:w="1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ind w:left="-57" w:right="-57"/>
              <w:rPr>
                <w:sz w:val="16"/>
                <w:szCs w:val="16"/>
                <w:lang w:eastAsia="ko-KR"/>
              </w:rPr>
            </w:pPr>
            <w:r w:rsidRPr="004B611D">
              <w:rPr>
                <w:sz w:val="16"/>
                <w:szCs w:val="16"/>
                <w:lang w:eastAsia="ko-KR"/>
              </w:rPr>
              <w:t>&gt; 30 GHz</w:t>
            </w:r>
          </w:p>
        </w:tc>
        <w:tc>
          <w:tcPr>
            <w:tcW w:w="535"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ind w:left="-57" w:right="-57"/>
              <w:jc w:val="center"/>
              <w:rPr>
                <w:sz w:val="16"/>
                <w:szCs w:val="16"/>
                <w:lang w:eastAsia="ko-KR"/>
              </w:rPr>
            </w:pPr>
            <w:r w:rsidRPr="004B611D">
              <w:rPr>
                <w:sz w:val="16"/>
                <w:szCs w:val="16"/>
                <w:lang w:eastAsia="ko-KR"/>
              </w:rPr>
              <w:t>0.004</w:t>
            </w:r>
          </w:p>
        </w:tc>
        <w:tc>
          <w:tcPr>
            <w:tcW w:w="484"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ind w:left="-57" w:right="-57"/>
              <w:jc w:val="center"/>
              <w:rPr>
                <w:sz w:val="16"/>
                <w:szCs w:val="16"/>
                <w:lang w:eastAsia="ko-KR"/>
              </w:rPr>
            </w:pPr>
            <w:r w:rsidRPr="004B611D">
              <w:rPr>
                <w:sz w:val="16"/>
                <w:szCs w:val="16"/>
                <w:lang w:eastAsia="ko-KR"/>
              </w:rPr>
              <w:t>0.008</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ind w:left="-57" w:right="-57"/>
              <w:jc w:val="center"/>
              <w:rPr>
                <w:sz w:val="16"/>
                <w:szCs w:val="16"/>
                <w:lang w:eastAsia="ko-KR"/>
              </w:rPr>
            </w:pPr>
            <w:r w:rsidRPr="004B611D">
              <w:rPr>
                <w:sz w:val="16"/>
                <w:szCs w:val="16"/>
                <w:lang w:eastAsia="ko-KR"/>
              </w:rPr>
              <w:t>0.012</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ind w:left="-57" w:right="-57"/>
              <w:jc w:val="center"/>
              <w:rPr>
                <w:sz w:val="16"/>
                <w:szCs w:val="16"/>
                <w:lang w:eastAsia="ko-KR"/>
              </w:rPr>
            </w:pPr>
            <w:r w:rsidRPr="004B611D">
              <w:rPr>
                <w:sz w:val="16"/>
                <w:szCs w:val="16"/>
                <w:lang w:eastAsia="ko-KR"/>
              </w:rPr>
              <w:t>0.02</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ind w:left="-57" w:right="-57"/>
              <w:jc w:val="center"/>
              <w:rPr>
                <w:sz w:val="16"/>
                <w:szCs w:val="16"/>
                <w:lang w:eastAsia="ko-KR"/>
              </w:rPr>
            </w:pPr>
            <w:r w:rsidRPr="004B611D">
              <w:rPr>
                <w:sz w:val="16"/>
                <w:szCs w:val="16"/>
                <w:lang w:eastAsia="ko-KR"/>
              </w:rPr>
              <w:t>0.028</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ind w:left="-57" w:right="-57"/>
              <w:jc w:val="center"/>
              <w:rPr>
                <w:sz w:val="16"/>
                <w:szCs w:val="16"/>
                <w:lang w:eastAsia="ko-KR"/>
              </w:rPr>
            </w:pPr>
            <w:r w:rsidRPr="004B611D">
              <w:rPr>
                <w:sz w:val="16"/>
                <w:szCs w:val="16"/>
                <w:lang w:eastAsia="ko-KR"/>
              </w:rPr>
              <w:t>0.036</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ind w:left="-57" w:right="-57"/>
              <w:jc w:val="center"/>
              <w:rPr>
                <w:sz w:val="16"/>
                <w:szCs w:val="16"/>
                <w:lang w:eastAsia="ko-KR"/>
              </w:rPr>
            </w:pPr>
            <w:r w:rsidRPr="004B611D">
              <w:rPr>
                <w:sz w:val="16"/>
                <w:szCs w:val="16"/>
                <w:lang w:eastAsia="ko-KR"/>
              </w:rPr>
              <w:t>0.048</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ind w:left="-57" w:right="-57"/>
              <w:jc w:val="center"/>
              <w:rPr>
                <w:sz w:val="16"/>
                <w:szCs w:val="16"/>
                <w:lang w:eastAsia="ko-KR"/>
              </w:rPr>
            </w:pPr>
            <w:r w:rsidRPr="004B611D">
              <w:rPr>
                <w:sz w:val="16"/>
                <w:szCs w:val="16"/>
                <w:lang w:eastAsia="ko-KR"/>
              </w:rPr>
              <w:t>0.06</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ind w:left="-57" w:right="-57"/>
              <w:jc w:val="center"/>
              <w:rPr>
                <w:caps/>
                <w:sz w:val="16"/>
                <w:szCs w:val="16"/>
                <w:lang w:eastAsia="ko-KR"/>
              </w:rPr>
            </w:pPr>
            <w:r w:rsidRPr="004B611D">
              <w:rPr>
                <w:caps/>
                <w:sz w:val="16"/>
                <w:szCs w:val="16"/>
                <w:lang w:eastAsia="ko-KR"/>
              </w:rPr>
              <w:t>0.076</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ind w:left="-57" w:right="-57"/>
              <w:jc w:val="center"/>
              <w:rPr>
                <w:sz w:val="16"/>
                <w:szCs w:val="16"/>
                <w:lang w:eastAsia="ko-KR"/>
              </w:rPr>
            </w:pPr>
            <w:r w:rsidRPr="004B611D">
              <w:rPr>
                <w:sz w:val="16"/>
                <w:szCs w:val="16"/>
                <w:lang w:eastAsia="ko-KR"/>
              </w:rPr>
              <w:t>0.092</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ind w:left="-57" w:right="-57"/>
              <w:jc w:val="center"/>
              <w:rPr>
                <w:sz w:val="16"/>
                <w:szCs w:val="16"/>
                <w:lang w:eastAsia="ko-KR"/>
              </w:rPr>
            </w:pPr>
            <w:r w:rsidRPr="004B611D">
              <w:rPr>
                <w:sz w:val="16"/>
                <w:szCs w:val="16"/>
                <w:lang w:eastAsia="ko-KR"/>
              </w:rPr>
              <w:t>0.112</w:t>
            </w:r>
          </w:p>
        </w:tc>
        <w:tc>
          <w:tcPr>
            <w:tcW w:w="51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ind w:left="-57" w:right="-57"/>
              <w:jc w:val="center"/>
              <w:rPr>
                <w:sz w:val="16"/>
                <w:szCs w:val="16"/>
                <w:lang w:eastAsia="ko-KR"/>
              </w:rPr>
            </w:pPr>
            <w:r w:rsidRPr="004B611D">
              <w:rPr>
                <w:sz w:val="16"/>
                <w:szCs w:val="16"/>
                <w:lang w:eastAsia="ko-KR"/>
              </w:rPr>
              <w:t>0.132</w:t>
            </w:r>
          </w:p>
        </w:tc>
        <w:tc>
          <w:tcPr>
            <w:tcW w:w="50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ind w:left="-57" w:right="-57"/>
              <w:jc w:val="center"/>
              <w:rPr>
                <w:sz w:val="16"/>
                <w:szCs w:val="16"/>
                <w:lang w:eastAsia="ko-KR"/>
              </w:rPr>
            </w:pPr>
            <w:r w:rsidRPr="004B611D">
              <w:rPr>
                <w:sz w:val="16"/>
                <w:szCs w:val="16"/>
                <w:lang w:eastAsia="ko-KR"/>
              </w:rPr>
              <w:t>0.152</w:t>
            </w:r>
          </w:p>
        </w:tc>
        <w:tc>
          <w:tcPr>
            <w:tcW w:w="54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ind w:left="-57" w:right="-57"/>
              <w:jc w:val="center"/>
              <w:rPr>
                <w:sz w:val="16"/>
                <w:szCs w:val="16"/>
                <w:lang w:eastAsia="ko-KR"/>
              </w:rPr>
            </w:pPr>
            <w:r w:rsidRPr="004B611D">
              <w:rPr>
                <w:sz w:val="16"/>
                <w:szCs w:val="16"/>
                <w:lang w:eastAsia="ko-KR"/>
              </w:rPr>
              <w:t>0.176</w:t>
            </w:r>
          </w:p>
        </w:tc>
        <w:tc>
          <w:tcPr>
            <w:tcW w:w="470"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B611D" w:rsidRDefault="004834FD" w:rsidP="007B2832">
            <w:pPr>
              <w:pStyle w:val="Tabletext"/>
              <w:ind w:left="-57" w:right="-57"/>
              <w:jc w:val="center"/>
              <w:rPr>
                <w:sz w:val="16"/>
                <w:szCs w:val="16"/>
                <w:lang w:eastAsia="ko-KR"/>
              </w:rPr>
            </w:pPr>
            <w:r w:rsidRPr="004B611D">
              <w:rPr>
                <w:sz w:val="16"/>
                <w:szCs w:val="16"/>
                <w:lang w:eastAsia="ko-KR"/>
              </w:rPr>
              <w:t>0.2</w:t>
            </w:r>
          </w:p>
        </w:tc>
      </w:tr>
    </w:tbl>
    <w:p w:rsidR="004834FD" w:rsidRPr="004B611D" w:rsidRDefault="004834FD" w:rsidP="004834FD">
      <w:pPr>
        <w:pStyle w:val="Tablefin"/>
      </w:pPr>
    </w:p>
    <w:p w:rsidR="004834FD" w:rsidRPr="004834FD" w:rsidRDefault="004834FD" w:rsidP="004834FD">
      <w:pPr>
        <w:pStyle w:val="Note"/>
        <w:rPr>
          <w:lang w:val="en-GB"/>
        </w:rPr>
      </w:pPr>
      <w:r w:rsidRPr="004834FD">
        <w:rPr>
          <w:lang w:val="en-GB"/>
        </w:rPr>
        <w:t>NOTE 1 – If</w:t>
      </w:r>
      <w:r w:rsidRPr="004834FD">
        <w:rPr>
          <w:lang w:val="en-GB" w:eastAsia="ko-KR"/>
        </w:rPr>
        <w:t xml:space="preserve"> analogue technology is used</w:t>
      </w:r>
      <w:r w:rsidRPr="004834FD">
        <w:rPr>
          <w:lang w:val="en-GB"/>
        </w:rPr>
        <w:t>, the fee is tripled</w:t>
      </w:r>
      <w:r w:rsidRPr="004834FD">
        <w:rPr>
          <w:lang w:val="en-GB" w:eastAsia="ko-KR"/>
        </w:rPr>
        <w:t xml:space="preserve"> by spectrum usage factor for the land mobile service</w:t>
      </w:r>
      <w:r w:rsidRPr="004834FD">
        <w:rPr>
          <w:lang w:val="en-GB"/>
        </w:rPr>
        <w:t>.</w:t>
      </w:r>
    </w:p>
    <w:p w:rsidR="004834FD" w:rsidRPr="004B611D" w:rsidRDefault="004834FD" w:rsidP="004834FD">
      <w:pPr>
        <w:rPr>
          <w:lang w:eastAsia="ko-KR"/>
        </w:rPr>
      </w:pPr>
      <w:r w:rsidRPr="004B611D">
        <w:t>Service factor</w:t>
      </w:r>
      <w:r w:rsidRPr="004B611D">
        <w:rPr>
          <w:lang w:eastAsia="ko-KR"/>
        </w:rPr>
        <w:t xml:space="preserve">, </w:t>
      </w:r>
      <w:r w:rsidRPr="004B611D">
        <w:rPr>
          <w:i/>
          <w:iCs/>
          <w:lang w:eastAsia="ko-KR"/>
        </w:rPr>
        <w:t>S</w:t>
      </w:r>
      <w:r w:rsidRPr="004B611D">
        <w:rPr>
          <w:i/>
          <w:iCs/>
          <w:vertAlign w:val="subscript"/>
          <w:lang w:eastAsia="ko-KR"/>
        </w:rPr>
        <w:t>f</w:t>
      </w:r>
      <w:r w:rsidRPr="004B611D">
        <w:rPr>
          <w:lang w:eastAsia="ko-KR"/>
        </w:rPr>
        <w:t xml:space="preserve"> : </w:t>
      </w:r>
    </w:p>
    <w:p w:rsidR="004834FD" w:rsidRPr="004B611D" w:rsidRDefault="004834FD" w:rsidP="004834FD">
      <w:pPr>
        <w:pStyle w:val="Blanc"/>
        <w:rPr>
          <w:vertAlign w:val="subscript"/>
          <w:lang w:eastAsia="ko-KR"/>
        </w:rPr>
      </w:pPr>
    </w:p>
    <w:tbl>
      <w:tblPr>
        <w:tblW w:w="8746"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9" w:type="dxa"/>
          <w:right w:w="99" w:type="dxa"/>
        </w:tblCellMar>
        <w:tblLook w:val="0000" w:firstRow="0" w:lastRow="0" w:firstColumn="0" w:lastColumn="0" w:noHBand="0" w:noVBand="0"/>
      </w:tblPr>
      <w:tblGrid>
        <w:gridCol w:w="6427"/>
        <w:gridCol w:w="2319"/>
      </w:tblGrid>
      <w:tr w:rsidR="004834FD" w:rsidRPr="000F30C8" w:rsidTr="007B2832">
        <w:trPr>
          <w:jc w:val="center"/>
        </w:trPr>
        <w:tc>
          <w:tcPr>
            <w:tcW w:w="6426"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0F30C8" w:rsidRDefault="004834FD" w:rsidP="007B2832">
            <w:pPr>
              <w:pStyle w:val="Tablehead"/>
              <w:rPr>
                <w:sz w:val="20"/>
              </w:rPr>
            </w:pPr>
            <w:r w:rsidRPr="000F30C8">
              <w:rPr>
                <w:sz w:val="20"/>
              </w:rPr>
              <w:t>Radio stations</w:t>
            </w:r>
          </w:p>
        </w:tc>
        <w:tc>
          <w:tcPr>
            <w:tcW w:w="2319"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0F30C8" w:rsidRDefault="004834FD" w:rsidP="007B2832">
            <w:pPr>
              <w:pStyle w:val="Tablehead"/>
              <w:rPr>
                <w:sz w:val="20"/>
              </w:rPr>
            </w:pPr>
            <w:r w:rsidRPr="000F30C8">
              <w:rPr>
                <w:sz w:val="20"/>
              </w:rPr>
              <w:t>Factors</w:t>
            </w:r>
          </w:p>
        </w:tc>
      </w:tr>
      <w:tr w:rsidR="004834FD" w:rsidRPr="000F30C8" w:rsidTr="007B2832">
        <w:trPr>
          <w:cantSplit/>
          <w:jc w:val="center"/>
        </w:trPr>
        <w:tc>
          <w:tcPr>
            <w:tcW w:w="6426"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0F30C8" w:rsidRDefault="004834FD" w:rsidP="007B2832">
            <w:pPr>
              <w:pStyle w:val="Tabletext"/>
              <w:rPr>
                <w:sz w:val="20"/>
                <w:lang w:val="en-GB"/>
              </w:rPr>
            </w:pPr>
            <w:r w:rsidRPr="000F30C8">
              <w:rPr>
                <w:sz w:val="20"/>
                <w:lang w:val="en-GB"/>
              </w:rPr>
              <w:t>Fixed stations:</w:t>
            </w:r>
          </w:p>
          <w:p w:rsidR="004834FD" w:rsidRPr="000F30C8" w:rsidRDefault="004834FD" w:rsidP="007B2832">
            <w:pPr>
              <w:pStyle w:val="Tabletext"/>
              <w:rPr>
                <w:sz w:val="20"/>
                <w:lang w:val="en-GB" w:eastAsia="ko-KR"/>
              </w:rPr>
            </w:pPr>
            <w:r w:rsidRPr="000F30C8">
              <w:rPr>
                <w:sz w:val="20"/>
                <w:lang w:val="en-GB"/>
              </w:rPr>
              <w:t>–</w:t>
            </w:r>
            <w:r w:rsidRPr="000F30C8">
              <w:rPr>
                <w:sz w:val="20"/>
                <w:lang w:val="en-GB"/>
              </w:rPr>
              <w:tab/>
              <w:t>for microwave</w:t>
            </w:r>
            <w:r w:rsidRPr="000F30C8">
              <w:rPr>
                <w:sz w:val="20"/>
                <w:lang w:val="en-GB" w:eastAsia="ko-KR"/>
              </w:rPr>
              <w:t xml:space="preserve"> link</w:t>
            </w:r>
          </w:p>
          <w:p w:rsidR="004834FD" w:rsidRPr="000F30C8" w:rsidRDefault="004834FD" w:rsidP="007B2832">
            <w:pPr>
              <w:pStyle w:val="Tabletext"/>
              <w:rPr>
                <w:sz w:val="20"/>
                <w:lang w:val="en-GB"/>
              </w:rPr>
            </w:pPr>
            <w:r w:rsidRPr="000F30C8">
              <w:rPr>
                <w:sz w:val="20"/>
                <w:lang w:val="en-GB"/>
              </w:rPr>
              <w:t>–</w:t>
            </w:r>
            <w:r w:rsidRPr="000F30C8">
              <w:rPr>
                <w:sz w:val="20"/>
                <w:lang w:val="en-GB"/>
              </w:rPr>
              <w:tab/>
              <w:t xml:space="preserve">for </w:t>
            </w:r>
            <w:r w:rsidRPr="000F30C8">
              <w:rPr>
                <w:sz w:val="20"/>
                <w:lang w:val="en-GB" w:eastAsia="ko-KR"/>
              </w:rPr>
              <w:t>local loop</w:t>
            </w:r>
          </w:p>
          <w:p w:rsidR="004834FD" w:rsidRPr="000F30C8" w:rsidRDefault="004834FD" w:rsidP="007B2832">
            <w:pPr>
              <w:pStyle w:val="Tabletext"/>
              <w:rPr>
                <w:sz w:val="20"/>
                <w:lang w:val="en-GB"/>
              </w:rPr>
            </w:pPr>
            <w:r w:rsidRPr="000F30C8">
              <w:rPr>
                <w:sz w:val="20"/>
                <w:lang w:val="en-GB"/>
              </w:rPr>
              <w:t>–</w:t>
            </w:r>
            <w:r w:rsidRPr="000F30C8">
              <w:rPr>
                <w:sz w:val="20"/>
                <w:lang w:val="en-GB"/>
              </w:rPr>
              <w:tab/>
              <w:t>for communications with islands</w:t>
            </w:r>
          </w:p>
          <w:p w:rsidR="004834FD" w:rsidRPr="000F30C8" w:rsidRDefault="004834FD" w:rsidP="007B2832">
            <w:pPr>
              <w:pStyle w:val="Tabletext"/>
              <w:rPr>
                <w:sz w:val="20"/>
                <w:lang w:val="en-GB"/>
              </w:rPr>
            </w:pPr>
            <w:r w:rsidRPr="000F30C8">
              <w:rPr>
                <w:sz w:val="20"/>
                <w:lang w:val="en-GB"/>
              </w:rPr>
              <w:t>–</w:t>
            </w:r>
            <w:r w:rsidRPr="000F30C8">
              <w:rPr>
                <w:sz w:val="20"/>
                <w:lang w:val="en-GB"/>
              </w:rPr>
              <w:tab/>
            </w:r>
            <w:r w:rsidRPr="000F30C8">
              <w:rPr>
                <w:sz w:val="20"/>
                <w:lang w:val="en-GB" w:eastAsia="ko-KR"/>
              </w:rPr>
              <w:t>for other applications</w:t>
            </w:r>
          </w:p>
        </w:tc>
        <w:tc>
          <w:tcPr>
            <w:tcW w:w="2319"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0F30C8" w:rsidRDefault="004834FD" w:rsidP="007B2832">
            <w:pPr>
              <w:pStyle w:val="Tabletext"/>
              <w:jc w:val="center"/>
              <w:rPr>
                <w:sz w:val="20"/>
                <w:lang w:val="en-GB"/>
              </w:rPr>
            </w:pPr>
          </w:p>
          <w:p w:rsidR="004834FD" w:rsidRPr="000F30C8" w:rsidRDefault="004834FD" w:rsidP="007B2832">
            <w:pPr>
              <w:pStyle w:val="Tabletext"/>
              <w:jc w:val="center"/>
              <w:rPr>
                <w:sz w:val="20"/>
              </w:rPr>
            </w:pPr>
            <w:r w:rsidRPr="000F30C8">
              <w:rPr>
                <w:sz w:val="20"/>
              </w:rPr>
              <w:t>0.5</w:t>
            </w:r>
          </w:p>
          <w:p w:rsidR="004834FD" w:rsidRPr="000F30C8" w:rsidRDefault="004834FD" w:rsidP="007B2832">
            <w:pPr>
              <w:pStyle w:val="Tabletext"/>
              <w:jc w:val="center"/>
              <w:rPr>
                <w:sz w:val="20"/>
              </w:rPr>
            </w:pPr>
            <w:r w:rsidRPr="000F30C8">
              <w:rPr>
                <w:sz w:val="20"/>
              </w:rPr>
              <w:t>0.25</w:t>
            </w:r>
          </w:p>
          <w:p w:rsidR="004834FD" w:rsidRPr="000F30C8" w:rsidRDefault="004834FD" w:rsidP="007B2832">
            <w:pPr>
              <w:pStyle w:val="Tabletext"/>
              <w:jc w:val="center"/>
              <w:rPr>
                <w:sz w:val="20"/>
              </w:rPr>
            </w:pPr>
            <w:r w:rsidRPr="000F30C8">
              <w:rPr>
                <w:sz w:val="20"/>
              </w:rPr>
              <w:t>0.05</w:t>
            </w:r>
          </w:p>
          <w:p w:rsidR="004834FD" w:rsidRPr="000F30C8" w:rsidRDefault="004834FD" w:rsidP="007B2832">
            <w:pPr>
              <w:pStyle w:val="Tabletext"/>
              <w:jc w:val="center"/>
              <w:rPr>
                <w:sz w:val="20"/>
              </w:rPr>
            </w:pPr>
            <w:r w:rsidRPr="000F30C8">
              <w:rPr>
                <w:sz w:val="20"/>
              </w:rPr>
              <w:t>1</w:t>
            </w:r>
          </w:p>
        </w:tc>
      </w:tr>
      <w:tr w:rsidR="004834FD" w:rsidRPr="000F30C8" w:rsidTr="007B2832">
        <w:trPr>
          <w:cantSplit/>
          <w:jc w:val="center"/>
        </w:trPr>
        <w:tc>
          <w:tcPr>
            <w:tcW w:w="6426"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0F30C8" w:rsidRDefault="004834FD" w:rsidP="007B2832">
            <w:pPr>
              <w:pStyle w:val="Tabletext"/>
              <w:rPr>
                <w:sz w:val="20"/>
                <w:lang w:val="en-GB" w:eastAsia="ko-KR"/>
              </w:rPr>
            </w:pPr>
            <w:r w:rsidRPr="000F30C8">
              <w:rPr>
                <w:sz w:val="20"/>
                <w:lang w:val="en-GB" w:eastAsia="ko-KR"/>
              </w:rPr>
              <w:t>Relay station for satellite broadcasting</w:t>
            </w:r>
          </w:p>
        </w:tc>
        <w:tc>
          <w:tcPr>
            <w:tcW w:w="2319"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0F30C8" w:rsidRDefault="004834FD" w:rsidP="007B2832">
            <w:pPr>
              <w:pStyle w:val="Tabletext"/>
              <w:jc w:val="center"/>
              <w:rPr>
                <w:sz w:val="20"/>
                <w:lang w:eastAsia="ko-KR"/>
              </w:rPr>
            </w:pPr>
            <w:r w:rsidRPr="000F30C8">
              <w:rPr>
                <w:sz w:val="20"/>
                <w:lang w:eastAsia="ko-KR"/>
              </w:rPr>
              <w:t>0.03</w:t>
            </w:r>
          </w:p>
        </w:tc>
      </w:tr>
      <w:tr w:rsidR="004834FD" w:rsidRPr="000F30C8" w:rsidTr="007B2832">
        <w:trPr>
          <w:cantSplit/>
          <w:jc w:val="center"/>
        </w:trPr>
        <w:tc>
          <w:tcPr>
            <w:tcW w:w="6426"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0F30C8" w:rsidRDefault="004834FD" w:rsidP="007B2832">
            <w:pPr>
              <w:pStyle w:val="Tabletext"/>
              <w:rPr>
                <w:sz w:val="20"/>
                <w:lang w:val="en-GB" w:eastAsia="ko-KR"/>
              </w:rPr>
            </w:pPr>
            <w:r w:rsidRPr="000F30C8">
              <w:rPr>
                <w:sz w:val="20"/>
                <w:lang w:val="en-GB" w:eastAsia="ko-KR"/>
              </w:rPr>
              <w:t>Stations using integrated public network frequency, exclusively</w:t>
            </w:r>
          </w:p>
        </w:tc>
        <w:tc>
          <w:tcPr>
            <w:tcW w:w="2319"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0F30C8" w:rsidRDefault="004834FD" w:rsidP="007B2832">
            <w:pPr>
              <w:pStyle w:val="Tabletext"/>
              <w:jc w:val="center"/>
              <w:rPr>
                <w:sz w:val="20"/>
                <w:lang w:eastAsia="ko-KR"/>
              </w:rPr>
            </w:pPr>
            <w:r w:rsidRPr="000F30C8">
              <w:rPr>
                <w:sz w:val="20"/>
                <w:lang w:eastAsia="ko-KR"/>
              </w:rPr>
              <w:t>0.012</w:t>
            </w:r>
          </w:p>
        </w:tc>
      </w:tr>
      <w:tr w:rsidR="004834FD" w:rsidRPr="000F30C8" w:rsidTr="007B2832">
        <w:trPr>
          <w:cantSplit/>
          <w:jc w:val="center"/>
        </w:trPr>
        <w:tc>
          <w:tcPr>
            <w:tcW w:w="6426"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0F30C8" w:rsidRDefault="004834FD" w:rsidP="007B2832">
            <w:pPr>
              <w:pStyle w:val="Tabletext"/>
              <w:rPr>
                <w:sz w:val="20"/>
              </w:rPr>
            </w:pPr>
            <w:r w:rsidRPr="000F30C8">
              <w:rPr>
                <w:sz w:val="20"/>
              </w:rPr>
              <w:t xml:space="preserve">Other </w:t>
            </w:r>
            <w:r w:rsidRPr="000F30C8">
              <w:rPr>
                <w:sz w:val="20"/>
                <w:lang w:eastAsia="ko-KR"/>
              </w:rPr>
              <w:t>stations</w:t>
            </w:r>
          </w:p>
        </w:tc>
        <w:tc>
          <w:tcPr>
            <w:tcW w:w="2319"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0F30C8" w:rsidRDefault="004834FD" w:rsidP="007B2832">
            <w:pPr>
              <w:pStyle w:val="Tabletext"/>
              <w:jc w:val="center"/>
              <w:rPr>
                <w:sz w:val="20"/>
              </w:rPr>
            </w:pPr>
            <w:r w:rsidRPr="000F30C8">
              <w:rPr>
                <w:sz w:val="20"/>
              </w:rPr>
              <w:t>1</w:t>
            </w:r>
          </w:p>
        </w:tc>
      </w:tr>
    </w:tbl>
    <w:p w:rsidR="004834FD" w:rsidRPr="004834FD" w:rsidRDefault="004834FD" w:rsidP="004834FD">
      <w:pPr>
        <w:keepNext/>
        <w:keepLines/>
        <w:rPr>
          <w:lang w:val="en-GB" w:eastAsia="ko-KR"/>
        </w:rPr>
      </w:pPr>
      <w:r w:rsidRPr="004834FD">
        <w:rPr>
          <w:lang w:val="en-GB" w:eastAsia="ko-KR"/>
        </w:rPr>
        <w:lastRenderedPageBreak/>
        <w:t>The fee-waiver factors of facility sharing and</w:t>
      </w:r>
      <w:r w:rsidRPr="004834FD">
        <w:rPr>
          <w:rFonts w:ascii="Batang" w:hAnsi="Batang"/>
          <w:lang w:val="en-GB" w:eastAsia="ko-KR"/>
        </w:rPr>
        <w:t xml:space="preserve"> </w:t>
      </w:r>
      <w:r w:rsidRPr="004834FD">
        <w:rPr>
          <w:lang w:val="en-GB" w:eastAsia="ko-KR"/>
        </w:rPr>
        <w:t>eco-friendly:</w:t>
      </w:r>
    </w:p>
    <w:p w:rsidR="004834FD" w:rsidRPr="004B611D" w:rsidRDefault="004834FD" w:rsidP="004834FD">
      <w:pPr>
        <w:pStyle w:val="Blanc"/>
        <w:rPr>
          <w:lang w:eastAsia="ko-KR"/>
        </w:rPr>
      </w:pP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676"/>
        <w:gridCol w:w="644"/>
        <w:gridCol w:w="833"/>
        <w:gridCol w:w="833"/>
        <w:gridCol w:w="833"/>
        <w:gridCol w:w="833"/>
        <w:gridCol w:w="833"/>
        <w:gridCol w:w="833"/>
        <w:gridCol w:w="833"/>
        <w:gridCol w:w="833"/>
        <w:gridCol w:w="645"/>
      </w:tblGrid>
      <w:tr w:rsidR="004834FD" w:rsidRPr="004B611D" w:rsidTr="007B2832">
        <w:trPr>
          <w:jc w:val="center"/>
        </w:trPr>
        <w:tc>
          <w:tcPr>
            <w:tcW w:w="15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834FD" w:rsidRDefault="004834FD" w:rsidP="007B2832">
            <w:pPr>
              <w:pStyle w:val="Tabletext"/>
              <w:rPr>
                <w:lang w:val="en-GB" w:eastAsia="ko-KR"/>
              </w:rPr>
            </w:pPr>
            <w:r w:rsidRPr="004834FD">
              <w:rPr>
                <w:lang w:val="en-GB" w:eastAsia="ko-KR"/>
              </w:rPr>
              <w:t>Facility sharing ratio and roaming ratio (%)</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&lt;10</w:t>
            </w:r>
          </w:p>
        </w:tc>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10~20</w:t>
            </w:r>
          </w:p>
        </w:tc>
        <w:tc>
          <w:tcPr>
            <w:tcW w:w="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20~30</w:t>
            </w:r>
          </w:p>
        </w:tc>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30~40</w:t>
            </w:r>
          </w:p>
        </w:tc>
        <w:tc>
          <w:tcPr>
            <w:tcW w:w="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40~45</w:t>
            </w:r>
          </w:p>
        </w:tc>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45~50</w:t>
            </w:r>
          </w:p>
        </w:tc>
        <w:tc>
          <w:tcPr>
            <w:tcW w:w="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50~55</w:t>
            </w:r>
          </w:p>
        </w:tc>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55~60</w:t>
            </w:r>
          </w:p>
        </w:tc>
        <w:tc>
          <w:tcPr>
            <w:tcW w:w="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60~70</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&gt;70</w:t>
            </w:r>
          </w:p>
        </w:tc>
      </w:tr>
      <w:tr w:rsidR="004834FD" w:rsidRPr="004B611D" w:rsidTr="007B2832">
        <w:trPr>
          <w:jc w:val="center"/>
        </w:trPr>
        <w:tc>
          <w:tcPr>
            <w:tcW w:w="15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834FD" w:rsidRDefault="004834FD" w:rsidP="007B2832">
            <w:pPr>
              <w:pStyle w:val="Tabletext"/>
              <w:rPr>
                <w:lang w:val="en-GB" w:eastAsia="ko-KR"/>
              </w:rPr>
            </w:pPr>
            <w:r w:rsidRPr="004834FD">
              <w:rPr>
                <w:lang w:val="en-GB" w:eastAsia="ko-KR"/>
              </w:rPr>
              <w:t>Facility sharing fee-waiver factor</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0.01</w:t>
            </w:r>
          </w:p>
        </w:tc>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0.02</w:t>
            </w:r>
          </w:p>
        </w:tc>
        <w:tc>
          <w:tcPr>
            <w:tcW w:w="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0.03</w:t>
            </w:r>
          </w:p>
        </w:tc>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0.04</w:t>
            </w:r>
          </w:p>
        </w:tc>
        <w:tc>
          <w:tcPr>
            <w:tcW w:w="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0.05</w:t>
            </w:r>
          </w:p>
        </w:tc>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0.06</w:t>
            </w:r>
          </w:p>
        </w:tc>
        <w:tc>
          <w:tcPr>
            <w:tcW w:w="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0.07</w:t>
            </w:r>
          </w:p>
        </w:tc>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0.08</w:t>
            </w:r>
          </w:p>
        </w:tc>
        <w:tc>
          <w:tcPr>
            <w:tcW w:w="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0.10</w:t>
            </w:r>
          </w:p>
        </w:tc>
      </w:tr>
      <w:tr w:rsidR="004834FD" w:rsidRPr="004B611D" w:rsidTr="007B2832">
        <w:trPr>
          <w:jc w:val="center"/>
        </w:trPr>
        <w:tc>
          <w:tcPr>
            <w:tcW w:w="156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834FD" w:rsidRDefault="004834FD" w:rsidP="007B2832">
            <w:pPr>
              <w:pStyle w:val="Tabletext"/>
              <w:rPr>
                <w:lang w:val="en-GB" w:eastAsia="ko-KR"/>
              </w:rPr>
            </w:pPr>
            <w:r w:rsidRPr="004834FD">
              <w:rPr>
                <w:lang w:val="en-GB" w:eastAsia="ko-KR"/>
              </w:rPr>
              <w:t>Eco-friendly fee-waiver factor</w:t>
            </w:r>
          </w:p>
        </w:tc>
        <w:tc>
          <w:tcPr>
            <w:tcW w:w="55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0.01</w:t>
            </w:r>
          </w:p>
        </w:tc>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0.02</w:t>
            </w:r>
          </w:p>
        </w:tc>
        <w:tc>
          <w:tcPr>
            <w:tcW w:w="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0.03</w:t>
            </w:r>
          </w:p>
        </w:tc>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0.04</w:t>
            </w:r>
          </w:p>
        </w:tc>
        <w:tc>
          <w:tcPr>
            <w:tcW w:w="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0.05</w:t>
            </w:r>
          </w:p>
        </w:tc>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0.06</w:t>
            </w:r>
          </w:p>
        </w:tc>
        <w:tc>
          <w:tcPr>
            <w:tcW w:w="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0.07</w:t>
            </w:r>
          </w:p>
        </w:tc>
        <w:tc>
          <w:tcPr>
            <w:tcW w:w="704"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0.08</w:t>
            </w:r>
          </w:p>
        </w:tc>
        <w:tc>
          <w:tcPr>
            <w:tcW w:w="70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0.09</w:t>
            </w:r>
          </w:p>
        </w:tc>
        <w:tc>
          <w:tcPr>
            <w:tcW w:w="557"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0.10</w:t>
            </w:r>
          </w:p>
        </w:tc>
      </w:tr>
    </w:tbl>
    <w:p w:rsidR="004834FD" w:rsidRPr="004B611D" w:rsidRDefault="004834FD" w:rsidP="004834FD">
      <w:pPr>
        <w:pStyle w:val="Tablefin"/>
        <w:rPr>
          <w:lang w:eastAsia="ko-KR"/>
        </w:rPr>
      </w:pPr>
    </w:p>
    <w:p w:rsidR="004834FD" w:rsidRPr="004B611D" w:rsidRDefault="004834FD" w:rsidP="004834FD">
      <w:pPr>
        <w:pStyle w:val="Headingb"/>
        <w:rPr>
          <w:lang w:val="en-GB"/>
        </w:rPr>
      </w:pPr>
      <w:r w:rsidRPr="004B611D">
        <w:rPr>
          <w:lang w:val="en-GB" w:eastAsia="ko-KR"/>
        </w:rPr>
        <w:t>Category</w:t>
      </w:r>
      <w:r w:rsidRPr="004B611D">
        <w:rPr>
          <w:lang w:val="en-GB"/>
        </w:rPr>
        <w:t xml:space="preserve"> 3: </w:t>
      </w:r>
      <w:r w:rsidRPr="004B611D">
        <w:rPr>
          <w:lang w:val="en-GB" w:eastAsia="ko-KR"/>
        </w:rPr>
        <w:t>Based on the assigned frequency of the transmitter of radio stations</w:t>
      </w:r>
    </w:p>
    <w:p w:rsidR="004834FD" w:rsidRPr="004834FD" w:rsidRDefault="004834FD" w:rsidP="004834FD">
      <w:pPr>
        <w:rPr>
          <w:lang w:val="en-GB"/>
        </w:rPr>
      </w:pPr>
      <w:r w:rsidRPr="004834FD">
        <w:rPr>
          <w:lang w:val="en-GB"/>
        </w:rPr>
        <w:t xml:space="preserve">The </w:t>
      </w:r>
      <w:r w:rsidRPr="004834FD">
        <w:rPr>
          <w:lang w:val="en-GB" w:eastAsia="ko-KR"/>
        </w:rPr>
        <w:t>spectrum usage fees (SF)</w:t>
      </w:r>
      <w:r w:rsidRPr="004834FD">
        <w:rPr>
          <w:lang w:val="en-GB"/>
        </w:rPr>
        <w:t xml:space="preserve"> is i</w:t>
      </w:r>
      <w:r w:rsidRPr="004834FD">
        <w:rPr>
          <w:lang w:val="en-GB" w:eastAsia="ko-KR"/>
        </w:rPr>
        <w:t xml:space="preserve">mposed </w:t>
      </w:r>
      <w:r w:rsidRPr="004834FD">
        <w:rPr>
          <w:lang w:val="en-GB"/>
        </w:rPr>
        <w:t>on each transmitt</w:t>
      </w:r>
      <w:r w:rsidRPr="004834FD">
        <w:rPr>
          <w:lang w:val="en-GB" w:eastAsia="ko-KR"/>
        </w:rPr>
        <w:t>er</w:t>
      </w:r>
      <w:r w:rsidRPr="004834FD">
        <w:rPr>
          <w:lang w:val="en-GB"/>
        </w:rPr>
        <w:t xml:space="preserve"> according to th</w:t>
      </w:r>
      <w:r w:rsidRPr="004834FD">
        <w:rPr>
          <w:lang w:val="en-GB" w:eastAsia="ko-KR"/>
        </w:rPr>
        <w:t>e</w:t>
      </w:r>
      <w:r w:rsidRPr="004834FD">
        <w:rPr>
          <w:lang w:val="en-GB"/>
        </w:rPr>
        <w:t xml:space="preserve"> equation:</w:t>
      </w:r>
    </w:p>
    <w:p w:rsidR="001B381F" w:rsidRPr="00BD6197" w:rsidRDefault="001B381F" w:rsidP="00263872">
      <w:pPr>
        <w:pStyle w:val="Equation"/>
        <w:rPr>
          <w:lang w:val="en-US" w:eastAsia="ko-KR"/>
        </w:rPr>
      </w:pPr>
      <w:r w:rsidRPr="00BD6197">
        <w:rPr>
          <w:lang w:val="en-US"/>
        </w:rPr>
        <w:tab/>
      </w:r>
      <w:r w:rsidRPr="00BD6197">
        <w:rPr>
          <w:lang w:val="en-US"/>
        </w:rPr>
        <w:tab/>
      </w:r>
      <w:r w:rsidRPr="00BD6197">
        <w:rPr>
          <w:position w:val="-14"/>
          <w:lang w:val="en-US"/>
        </w:rPr>
        <w:object w:dxaOrig="5460" w:dyaOrig="440">
          <v:shape id="_x0000_i1165" type="#_x0000_t75" style="width:272.25pt;height:21.75pt" o:ole="" fillcolor="window">
            <v:imagedata r:id="rId310" o:title=""/>
          </v:shape>
          <o:OLEObject Type="Embed" ProgID="Equation.3" ShapeID="_x0000_i1165" DrawAspect="Content" ObjectID="_1604325118" r:id="rId311"/>
        </w:object>
      </w:r>
      <w:r w:rsidR="00AE3C7E">
        <w:rPr>
          <w:lang w:val="en-US"/>
        </w:rPr>
        <w:tab/>
        <w:t>(6</w:t>
      </w:r>
      <w:r w:rsidR="00263872">
        <w:rPr>
          <w:lang w:val="en-US"/>
        </w:rPr>
        <w:t>8</w:t>
      </w:r>
      <w:r w:rsidRPr="00BD6197">
        <w:rPr>
          <w:lang w:val="en-US"/>
        </w:rPr>
        <w:t>)</w:t>
      </w:r>
    </w:p>
    <w:p w:rsidR="004834FD" w:rsidRPr="004834FD" w:rsidRDefault="004834FD" w:rsidP="004834FD">
      <w:pPr>
        <w:keepNext/>
        <w:rPr>
          <w:lang w:val="en-GB"/>
        </w:rPr>
      </w:pPr>
      <w:bookmarkStart w:id="2184" w:name="_Toc462234167"/>
      <w:r w:rsidRPr="004834FD">
        <w:rPr>
          <w:lang w:val="en-GB"/>
        </w:rPr>
        <w:t>where:</w:t>
      </w:r>
    </w:p>
    <w:p w:rsidR="004834FD" w:rsidRPr="004B611D" w:rsidRDefault="004834FD" w:rsidP="004834FD">
      <w:pPr>
        <w:pStyle w:val="Equationlegend"/>
      </w:pPr>
      <w:r w:rsidRPr="004B611D">
        <w:rPr>
          <w:i/>
          <w:iCs/>
        </w:rPr>
        <w:tab/>
      </w:r>
      <w:r w:rsidRPr="004B611D">
        <w:rPr>
          <w:i/>
          <w:iCs/>
          <w:lang w:eastAsia="ko-KR"/>
        </w:rPr>
        <w:t>B</w:t>
      </w:r>
      <w:r w:rsidRPr="004B611D">
        <w:rPr>
          <w:sz w:val="12"/>
        </w:rPr>
        <w:t> </w:t>
      </w:r>
      <w:r w:rsidRPr="004B611D">
        <w:rPr>
          <w:sz w:val="20"/>
        </w:rPr>
        <w:t>:</w:t>
      </w:r>
      <w:r w:rsidRPr="004B611D">
        <w:rPr>
          <w:sz w:val="20"/>
        </w:rPr>
        <w:tab/>
      </w:r>
      <w:r w:rsidRPr="004B611D">
        <w:t xml:space="preserve">basic </w:t>
      </w:r>
      <w:r w:rsidRPr="004B611D">
        <w:rPr>
          <w:lang w:eastAsia="ko-KR"/>
        </w:rPr>
        <w:t>price</w:t>
      </w:r>
    </w:p>
    <w:p w:rsidR="004834FD" w:rsidRPr="004B611D" w:rsidRDefault="004834FD" w:rsidP="004834FD">
      <w:pPr>
        <w:pStyle w:val="Equationlegend"/>
      </w:pPr>
      <w:r w:rsidRPr="004B611D">
        <w:rPr>
          <w:i/>
          <w:iCs/>
        </w:rPr>
        <w:tab/>
      </w:r>
      <w:r w:rsidRPr="004B611D">
        <w:rPr>
          <w:i/>
          <w:iCs/>
          <w:lang w:eastAsia="ko-KR"/>
        </w:rPr>
        <w:t>P</w:t>
      </w:r>
      <w:r w:rsidRPr="004B611D">
        <w:rPr>
          <w:sz w:val="20"/>
        </w:rPr>
        <w:t>:</w:t>
      </w:r>
      <w:r w:rsidRPr="004B611D">
        <w:rPr>
          <w:sz w:val="20"/>
        </w:rPr>
        <w:tab/>
      </w:r>
      <w:r w:rsidRPr="004B611D">
        <w:t>antenna power</w:t>
      </w:r>
    </w:p>
    <w:p w:rsidR="004834FD" w:rsidRPr="004B611D" w:rsidRDefault="004834FD" w:rsidP="004834FD">
      <w:pPr>
        <w:pStyle w:val="Equationlegend"/>
      </w:pPr>
      <w:r w:rsidRPr="004B611D">
        <w:rPr>
          <w:i/>
          <w:iCs/>
        </w:rPr>
        <w:tab/>
        <w:t>B</w:t>
      </w:r>
      <w:r w:rsidRPr="004B611D">
        <w:rPr>
          <w:i/>
          <w:iCs/>
          <w:vertAlign w:val="subscript"/>
        </w:rPr>
        <w:t>W</w:t>
      </w:r>
      <w:r w:rsidRPr="004B611D">
        <w:rPr>
          <w:sz w:val="20"/>
        </w:rPr>
        <w:t>:</w:t>
      </w:r>
      <w:r w:rsidRPr="004B611D">
        <w:rPr>
          <w:sz w:val="20"/>
        </w:rPr>
        <w:tab/>
      </w:r>
      <w:r w:rsidRPr="004B611D">
        <w:t>bandwidth</w:t>
      </w:r>
    </w:p>
    <w:p w:rsidR="004834FD" w:rsidRPr="004B611D" w:rsidRDefault="004834FD" w:rsidP="004834FD">
      <w:pPr>
        <w:pStyle w:val="Equationlegend"/>
      </w:pPr>
      <w:r w:rsidRPr="004B611D">
        <w:rPr>
          <w:i/>
          <w:iCs/>
        </w:rPr>
        <w:tab/>
        <w:t>P</w:t>
      </w:r>
      <w:r w:rsidRPr="004B611D">
        <w:rPr>
          <w:i/>
          <w:iCs/>
          <w:vertAlign w:val="subscript"/>
        </w:rPr>
        <w:t>f</w:t>
      </w:r>
      <w:r w:rsidRPr="004B611D">
        <w:rPr>
          <w:sz w:val="20"/>
        </w:rPr>
        <w:t>:</w:t>
      </w:r>
      <w:r w:rsidRPr="004B611D">
        <w:rPr>
          <w:sz w:val="20"/>
        </w:rPr>
        <w:tab/>
      </w:r>
      <w:r w:rsidRPr="004B611D">
        <w:t>preference factor</w:t>
      </w:r>
    </w:p>
    <w:p w:rsidR="004834FD" w:rsidRPr="004B611D" w:rsidRDefault="004834FD" w:rsidP="004834FD">
      <w:pPr>
        <w:pStyle w:val="Equationlegend"/>
      </w:pPr>
      <w:r w:rsidRPr="004B611D">
        <w:rPr>
          <w:i/>
          <w:iCs/>
        </w:rPr>
        <w:tab/>
      </w:r>
      <w:r w:rsidRPr="004B611D">
        <w:rPr>
          <w:i/>
          <w:iCs/>
          <w:lang w:eastAsia="ko-KR"/>
        </w:rPr>
        <w:t>U</w:t>
      </w:r>
      <w:r w:rsidRPr="004B611D">
        <w:rPr>
          <w:i/>
          <w:iCs/>
          <w:vertAlign w:val="subscript"/>
        </w:rPr>
        <w:t>f</w:t>
      </w:r>
      <w:r w:rsidRPr="004B611D">
        <w:rPr>
          <w:sz w:val="12"/>
        </w:rPr>
        <w:t> </w:t>
      </w:r>
      <w:r w:rsidRPr="004B611D">
        <w:rPr>
          <w:sz w:val="20"/>
        </w:rPr>
        <w:t>:</w:t>
      </w:r>
      <w:r w:rsidRPr="004B611D">
        <w:rPr>
          <w:sz w:val="20"/>
        </w:rPr>
        <w:tab/>
      </w:r>
      <w:r w:rsidRPr="004B611D">
        <w:rPr>
          <w:lang w:eastAsia="ko-KR"/>
        </w:rPr>
        <w:t>frequency use pattern</w:t>
      </w:r>
      <w:r w:rsidRPr="004B611D">
        <w:t xml:space="preserve"> factor</w:t>
      </w:r>
    </w:p>
    <w:p w:rsidR="004834FD" w:rsidRPr="004B611D" w:rsidRDefault="004834FD" w:rsidP="004834FD">
      <w:pPr>
        <w:pStyle w:val="Equationlegend"/>
        <w:rPr>
          <w:lang w:eastAsia="ko-KR"/>
        </w:rPr>
      </w:pPr>
      <w:r w:rsidRPr="004B611D">
        <w:rPr>
          <w:i/>
          <w:iCs/>
        </w:rPr>
        <w:tab/>
        <w:t>O</w:t>
      </w:r>
      <w:r w:rsidRPr="004B611D">
        <w:rPr>
          <w:i/>
          <w:iCs/>
          <w:vertAlign w:val="subscript"/>
        </w:rPr>
        <w:t>f</w:t>
      </w:r>
      <w:r w:rsidRPr="004B611D">
        <w:rPr>
          <w:sz w:val="12"/>
        </w:rPr>
        <w:t> </w:t>
      </w:r>
      <w:r w:rsidRPr="004B611D">
        <w:rPr>
          <w:sz w:val="20"/>
        </w:rPr>
        <w:t>:</w:t>
      </w:r>
      <w:r w:rsidRPr="004B611D">
        <w:rPr>
          <w:sz w:val="20"/>
        </w:rPr>
        <w:tab/>
      </w:r>
      <w:r w:rsidRPr="004B611D">
        <w:rPr>
          <w:lang w:eastAsia="ko-KR"/>
        </w:rPr>
        <w:t xml:space="preserve">operating </w:t>
      </w:r>
      <w:r w:rsidRPr="004B611D">
        <w:t>purpose factor</w:t>
      </w:r>
    </w:p>
    <w:p w:rsidR="004834FD" w:rsidRPr="004B611D" w:rsidRDefault="004834FD" w:rsidP="004834FD">
      <w:pPr>
        <w:pStyle w:val="Equationlegend"/>
        <w:rPr>
          <w:lang w:eastAsia="ko-KR"/>
        </w:rPr>
      </w:pPr>
      <w:r w:rsidRPr="004B611D">
        <w:tab/>
      </w:r>
      <w:r w:rsidRPr="004B611D">
        <w:rPr>
          <w:i/>
          <w:iCs/>
          <w:position w:val="-12"/>
          <w:lang w:eastAsia="ko-KR"/>
        </w:rPr>
        <w:object w:dxaOrig="300" w:dyaOrig="360">
          <v:shape id="_x0000_i1166" type="#_x0000_t75" style="width:15pt;height:19.5pt" o:ole="">
            <v:imagedata r:id="rId308" o:title=""/>
          </v:shape>
          <o:OLEObject Type="Embed" ProgID="Equation.DSMT4" ShapeID="_x0000_i1166" DrawAspect="Content" ObjectID="_1604325119" r:id="rId312"/>
        </w:object>
      </w:r>
      <w:r w:rsidRPr="004B611D">
        <w:rPr>
          <w:sz w:val="12"/>
        </w:rPr>
        <w:t> </w:t>
      </w:r>
      <w:r w:rsidRPr="004B611D">
        <w:t>:</w:t>
      </w:r>
      <w:r w:rsidRPr="004B611D">
        <w:tab/>
      </w:r>
      <w:r w:rsidRPr="004B611D">
        <w:rPr>
          <w:lang w:eastAsia="ko-KR"/>
        </w:rPr>
        <w:t>facility sharing fee-waiver factor</w:t>
      </w:r>
    </w:p>
    <w:p w:rsidR="004834FD" w:rsidRPr="004B611D" w:rsidRDefault="004834FD" w:rsidP="004834FD">
      <w:pPr>
        <w:pStyle w:val="Equationlegend"/>
        <w:rPr>
          <w:lang w:eastAsia="ko-KR"/>
        </w:rPr>
      </w:pPr>
      <w:r w:rsidRPr="004B611D">
        <w:tab/>
      </w:r>
      <w:r w:rsidRPr="004B611D">
        <w:rPr>
          <w:i/>
          <w:iCs/>
        </w:rPr>
        <w:t>E</w:t>
      </w:r>
      <w:r w:rsidRPr="004B611D">
        <w:rPr>
          <w:i/>
          <w:iCs/>
          <w:vertAlign w:val="subscript"/>
        </w:rPr>
        <w:t>f</w:t>
      </w:r>
      <w:r w:rsidRPr="004B611D">
        <w:rPr>
          <w:i/>
          <w:iCs/>
          <w:sz w:val="12"/>
          <w:lang w:eastAsia="ko-KR"/>
        </w:rPr>
        <w:t xml:space="preserve"> </w:t>
      </w:r>
      <w:r w:rsidRPr="004B611D">
        <w:rPr>
          <w:i/>
          <w:iCs/>
          <w:vertAlign w:val="subscript"/>
        </w:rPr>
        <w:t>f</w:t>
      </w:r>
      <w:r w:rsidRPr="004B611D">
        <w:rPr>
          <w:i/>
          <w:iCs/>
          <w:sz w:val="12"/>
          <w:lang w:eastAsia="ko-KR"/>
        </w:rPr>
        <w:t xml:space="preserve"> </w:t>
      </w:r>
      <w:r w:rsidRPr="004B611D">
        <w:t>:</w:t>
      </w:r>
      <w:r w:rsidRPr="004B611D">
        <w:tab/>
      </w:r>
      <w:r w:rsidRPr="004B611D">
        <w:rPr>
          <w:lang w:eastAsia="ko-KR"/>
        </w:rPr>
        <w:t>eco-friendly fee-waiver factor.</w:t>
      </w:r>
    </w:p>
    <w:p w:rsidR="004834FD" w:rsidRPr="004834FD" w:rsidRDefault="004834FD" w:rsidP="004834FD">
      <w:pPr>
        <w:rPr>
          <w:lang w:val="en-GB"/>
        </w:rPr>
      </w:pPr>
      <w:r w:rsidRPr="004834FD">
        <w:rPr>
          <w:lang w:val="en-GB" w:eastAsia="ko-KR"/>
        </w:rPr>
        <w:t>D</w:t>
      </w:r>
      <w:r w:rsidRPr="004834FD">
        <w:rPr>
          <w:lang w:val="en-GB"/>
        </w:rPr>
        <w:t>escribed as follows:</w:t>
      </w:r>
    </w:p>
    <w:p w:rsidR="004834FD" w:rsidRPr="004834FD" w:rsidRDefault="004834FD" w:rsidP="004834FD">
      <w:pPr>
        <w:rPr>
          <w:lang w:val="en-GB"/>
        </w:rPr>
      </w:pPr>
      <w:r w:rsidRPr="004834FD">
        <w:rPr>
          <w:bCs/>
          <w:iCs/>
          <w:lang w:val="en-GB"/>
        </w:rPr>
        <w:t xml:space="preserve">Basic </w:t>
      </w:r>
      <w:r w:rsidRPr="004834FD">
        <w:rPr>
          <w:bCs/>
          <w:iCs/>
          <w:lang w:val="en-GB" w:eastAsia="ko-KR"/>
        </w:rPr>
        <w:t xml:space="preserve">price, </w:t>
      </w:r>
      <w:r w:rsidRPr="004834FD">
        <w:rPr>
          <w:i/>
          <w:iCs/>
          <w:lang w:val="en-GB" w:eastAsia="ko-KR"/>
        </w:rPr>
        <w:t>B</w:t>
      </w:r>
      <w:r w:rsidRPr="004834FD">
        <w:rPr>
          <w:i/>
          <w:iCs/>
          <w:vertAlign w:val="subscript"/>
          <w:lang w:val="en-GB" w:eastAsia="ko-KR"/>
        </w:rPr>
        <w:t>P</w:t>
      </w:r>
      <w:r w:rsidRPr="004834FD">
        <w:rPr>
          <w:lang w:val="en-GB" w:eastAsia="ko-KR"/>
        </w:rPr>
        <w:t xml:space="preserve">: </w:t>
      </w:r>
      <w:r w:rsidRPr="004834FD">
        <w:rPr>
          <w:lang w:val="en-GB"/>
        </w:rPr>
        <w:t>2</w:t>
      </w:r>
      <w:r w:rsidRPr="004834FD">
        <w:rPr>
          <w:rFonts w:ascii="Tms Rmn" w:hAnsi="Tms Rmn"/>
          <w:sz w:val="12"/>
          <w:lang w:val="en-GB"/>
        </w:rPr>
        <w:t> </w:t>
      </w:r>
      <w:r w:rsidRPr="004834FD">
        <w:rPr>
          <w:lang w:val="en-GB"/>
        </w:rPr>
        <w:t xml:space="preserve">000 </w:t>
      </w:r>
      <w:r w:rsidRPr="004834FD">
        <w:rPr>
          <w:lang w:val="en-GB" w:eastAsia="ko-KR"/>
        </w:rPr>
        <w:t>KRW/designated frequency</w:t>
      </w:r>
    </w:p>
    <w:p w:rsidR="004834FD" w:rsidRPr="004834FD" w:rsidRDefault="004834FD" w:rsidP="004834FD">
      <w:pPr>
        <w:rPr>
          <w:lang w:val="en-GB"/>
        </w:rPr>
      </w:pPr>
      <w:r w:rsidRPr="004834FD">
        <w:rPr>
          <w:bCs/>
          <w:iCs/>
          <w:lang w:val="en-GB"/>
        </w:rPr>
        <w:t>Antenna Power</w:t>
      </w:r>
      <w:r w:rsidRPr="004834FD">
        <w:rPr>
          <w:bCs/>
          <w:lang w:val="en-GB"/>
        </w:rPr>
        <w:t xml:space="preserve">, </w:t>
      </w:r>
      <w:r w:rsidRPr="004834FD">
        <w:rPr>
          <w:bCs/>
          <w:i/>
          <w:lang w:val="en-GB" w:eastAsia="ko-KR"/>
        </w:rPr>
        <w:t>P</w:t>
      </w:r>
      <w:r w:rsidRPr="004834FD">
        <w:rPr>
          <w:bCs/>
          <w:i/>
          <w:szCs w:val="24"/>
          <w:vertAlign w:val="subscript"/>
          <w:lang w:val="en-GB"/>
        </w:rPr>
        <w:t xml:space="preserve"> </w:t>
      </w:r>
      <w:r w:rsidRPr="004834FD">
        <w:rPr>
          <w:lang w:val="en-GB" w:eastAsia="ko-KR"/>
        </w:rPr>
        <w:t>(W): the unit of power is watt(W).</w:t>
      </w:r>
    </w:p>
    <w:p w:rsidR="004834FD" w:rsidRPr="004834FD" w:rsidRDefault="004834FD" w:rsidP="004834FD">
      <w:pPr>
        <w:rPr>
          <w:b/>
          <w:bCs/>
          <w:lang w:val="en-GB"/>
        </w:rPr>
      </w:pPr>
      <w:r w:rsidRPr="004834FD">
        <w:rPr>
          <w:bCs/>
          <w:iCs/>
          <w:lang w:val="en-GB"/>
        </w:rPr>
        <w:t>Bandwidth,</w:t>
      </w:r>
      <w:r w:rsidRPr="004834FD">
        <w:rPr>
          <w:lang w:val="en-GB"/>
        </w:rPr>
        <w:t xml:space="preserve"> </w:t>
      </w:r>
      <w:r w:rsidRPr="004834FD">
        <w:rPr>
          <w:i/>
          <w:iCs/>
          <w:lang w:val="en-GB"/>
        </w:rPr>
        <w:t>B</w:t>
      </w:r>
      <w:r w:rsidRPr="004834FD">
        <w:rPr>
          <w:i/>
          <w:iCs/>
          <w:vertAlign w:val="subscript"/>
          <w:lang w:val="en-GB"/>
        </w:rPr>
        <w:t>W</w:t>
      </w:r>
      <w:r w:rsidRPr="004834FD">
        <w:rPr>
          <w:lang w:val="en-GB" w:eastAsia="ko-KR"/>
        </w:rPr>
        <w:t xml:space="preserve">. The unit is kHz for frequencies less than 960 MHz, and MHz for frequencies </w:t>
      </w:r>
      <w:r w:rsidRPr="004834FD">
        <w:rPr>
          <w:lang w:val="en-GB"/>
        </w:rPr>
        <w:t xml:space="preserve">above </w:t>
      </w:r>
      <w:r w:rsidRPr="004834FD">
        <w:rPr>
          <w:lang w:val="en-GB" w:eastAsia="ko-KR"/>
        </w:rPr>
        <w:t>960 MHz</w:t>
      </w:r>
      <w:r w:rsidRPr="004834FD">
        <w:rPr>
          <w:lang w:val="en-GB"/>
        </w:rPr>
        <w:t>.</w:t>
      </w:r>
    </w:p>
    <w:p w:rsidR="004834FD" w:rsidRPr="004B611D" w:rsidRDefault="004834FD" w:rsidP="004834FD">
      <w:pPr>
        <w:rPr>
          <w:rFonts w:ascii="Tms Rmn" w:hAnsi="Tms Rmn"/>
          <w:bCs/>
          <w:sz w:val="22"/>
          <w:szCs w:val="22"/>
          <w:lang w:eastAsia="ko-KR"/>
        </w:rPr>
      </w:pPr>
      <w:bookmarkStart w:id="2185" w:name="_Toc462234164"/>
      <w:bookmarkStart w:id="2186" w:name="_Toc454285000"/>
      <w:r w:rsidRPr="004B611D">
        <w:t>Preference factor,</w:t>
      </w:r>
      <w:r w:rsidRPr="004B611D">
        <w:rPr>
          <w:lang w:eastAsia="ko-KR"/>
        </w:rPr>
        <w:t xml:space="preserve"> </w:t>
      </w:r>
      <w:r w:rsidRPr="00074F29">
        <w:rPr>
          <w:bCs/>
          <w:i/>
          <w:sz w:val="22"/>
          <w:szCs w:val="22"/>
        </w:rPr>
        <w:t>P</w:t>
      </w:r>
      <w:r w:rsidRPr="00074F29">
        <w:rPr>
          <w:bCs/>
          <w:i/>
          <w:sz w:val="22"/>
          <w:szCs w:val="22"/>
          <w:vertAlign w:val="subscript"/>
        </w:rPr>
        <w:t>f</w:t>
      </w:r>
      <w:bookmarkEnd w:id="2185"/>
      <w:bookmarkEnd w:id="2186"/>
      <w:r w:rsidRPr="004B611D">
        <w:rPr>
          <w:rFonts w:ascii="Tms Rmn" w:hAnsi="Tms Rmn"/>
          <w:bCs/>
          <w:sz w:val="22"/>
          <w:szCs w:val="22"/>
        </w:rPr>
        <w:t> </w:t>
      </w:r>
      <w:r>
        <w:rPr>
          <w:rFonts w:ascii="Tms Rmn" w:hAnsi="Tms Rmn"/>
          <w:bCs/>
          <w:sz w:val="22"/>
          <w:szCs w:val="22"/>
        </w:rPr>
        <w:t>:</w:t>
      </w:r>
    </w:p>
    <w:p w:rsidR="004834FD" w:rsidRPr="004B611D" w:rsidRDefault="004834FD" w:rsidP="004834FD">
      <w:pPr>
        <w:pStyle w:val="Blanc"/>
        <w:rPr>
          <w:lang w:eastAsia="ko-KR"/>
        </w:rPr>
      </w:pPr>
    </w:p>
    <w:tbl>
      <w:tblPr>
        <w:tblW w:w="711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9" w:type="dxa"/>
          <w:right w:w="99" w:type="dxa"/>
        </w:tblCellMar>
        <w:tblLook w:val="0000" w:firstRow="0" w:lastRow="0" w:firstColumn="0" w:lastColumn="0" w:noHBand="0" w:noVBand="0"/>
      </w:tblPr>
      <w:tblGrid>
        <w:gridCol w:w="2258"/>
        <w:gridCol w:w="2701"/>
        <w:gridCol w:w="2160"/>
      </w:tblGrid>
      <w:tr w:rsidR="004834FD" w:rsidRPr="004B611D" w:rsidTr="007B2832">
        <w:trPr>
          <w:jc w:val="center"/>
        </w:trPr>
        <w:tc>
          <w:tcPr>
            <w:tcW w:w="4959" w:type="dxa"/>
            <w:gridSpan w:val="2"/>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4B611D" w:rsidRDefault="004834FD" w:rsidP="007B2832">
            <w:pPr>
              <w:pStyle w:val="Tablehead"/>
              <w:rPr>
                <w:szCs w:val="22"/>
              </w:rPr>
            </w:pPr>
            <w:r w:rsidRPr="004B611D">
              <w:rPr>
                <w:szCs w:val="22"/>
              </w:rPr>
              <w:t>Frequency bands</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4B611D" w:rsidRDefault="004834FD" w:rsidP="007B2832">
            <w:pPr>
              <w:pStyle w:val="Tablehead"/>
              <w:rPr>
                <w:szCs w:val="22"/>
              </w:rPr>
            </w:pPr>
            <w:r w:rsidRPr="004B611D">
              <w:rPr>
                <w:szCs w:val="22"/>
              </w:rPr>
              <w:t>Factor</w:t>
            </w:r>
          </w:p>
        </w:tc>
      </w:tr>
      <w:tr w:rsidR="004834FD" w:rsidRPr="004B611D" w:rsidTr="007B2832">
        <w:trPr>
          <w:jc w:val="center"/>
        </w:trPr>
        <w:tc>
          <w:tcPr>
            <w:tcW w:w="2258"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4B611D" w:rsidRDefault="004834FD" w:rsidP="007B2832">
            <w:pPr>
              <w:pStyle w:val="Tabletext"/>
              <w:rPr>
                <w:szCs w:val="22"/>
              </w:rPr>
            </w:pPr>
            <w:r w:rsidRPr="004B611D">
              <w:rPr>
                <w:szCs w:val="22"/>
              </w:rPr>
              <w:t>MF/HF</w:t>
            </w:r>
          </w:p>
        </w:tc>
        <w:tc>
          <w:tcPr>
            <w:tcW w:w="2701"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4B611D" w:rsidRDefault="004834FD" w:rsidP="007B2832">
            <w:pPr>
              <w:pStyle w:val="Tabletext"/>
              <w:jc w:val="center"/>
              <w:rPr>
                <w:szCs w:val="22"/>
              </w:rPr>
            </w:pPr>
            <w:r w:rsidRPr="004B611D">
              <w:rPr>
                <w:rFonts w:ascii="Symbol" w:eastAsia="Symbol" w:hAnsi="Symbol" w:cs="Symbol"/>
                <w:szCs w:val="22"/>
              </w:rPr>
              <w:t></w:t>
            </w:r>
            <w:r w:rsidRPr="004B611D">
              <w:rPr>
                <w:szCs w:val="22"/>
              </w:rPr>
              <w:t xml:space="preserve"> 28 MHz</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4B611D" w:rsidRDefault="004834FD" w:rsidP="007B2832">
            <w:pPr>
              <w:pStyle w:val="Tabletext"/>
              <w:jc w:val="center"/>
              <w:rPr>
                <w:szCs w:val="22"/>
              </w:rPr>
            </w:pPr>
            <w:r w:rsidRPr="004B611D">
              <w:rPr>
                <w:szCs w:val="22"/>
              </w:rPr>
              <w:t>1</w:t>
            </w:r>
          </w:p>
        </w:tc>
      </w:tr>
      <w:tr w:rsidR="004834FD" w:rsidRPr="004B611D" w:rsidTr="007B2832">
        <w:trPr>
          <w:jc w:val="center"/>
        </w:trPr>
        <w:tc>
          <w:tcPr>
            <w:tcW w:w="2258"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4B611D" w:rsidRDefault="004834FD" w:rsidP="007B2832">
            <w:pPr>
              <w:pStyle w:val="Tabletext"/>
              <w:rPr>
                <w:szCs w:val="22"/>
              </w:rPr>
            </w:pPr>
            <w:r w:rsidRPr="004B611D">
              <w:rPr>
                <w:szCs w:val="22"/>
              </w:rPr>
              <w:t>VHF</w:t>
            </w:r>
          </w:p>
        </w:tc>
        <w:tc>
          <w:tcPr>
            <w:tcW w:w="2701"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4B611D" w:rsidRDefault="004834FD" w:rsidP="007B2832">
            <w:pPr>
              <w:pStyle w:val="Tabletext"/>
              <w:jc w:val="center"/>
              <w:rPr>
                <w:szCs w:val="22"/>
              </w:rPr>
            </w:pPr>
            <w:r w:rsidRPr="004B611D">
              <w:rPr>
                <w:szCs w:val="22"/>
              </w:rPr>
              <w:t>28~300 MHz</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4B611D" w:rsidRDefault="004834FD" w:rsidP="007B2832">
            <w:pPr>
              <w:pStyle w:val="Tabletext"/>
              <w:jc w:val="center"/>
              <w:rPr>
                <w:szCs w:val="22"/>
              </w:rPr>
            </w:pPr>
            <w:r w:rsidRPr="004B611D">
              <w:rPr>
                <w:szCs w:val="22"/>
              </w:rPr>
              <w:t>1.3</w:t>
            </w:r>
          </w:p>
        </w:tc>
      </w:tr>
      <w:tr w:rsidR="004834FD" w:rsidRPr="004B611D" w:rsidTr="007B2832">
        <w:trPr>
          <w:jc w:val="center"/>
        </w:trPr>
        <w:tc>
          <w:tcPr>
            <w:tcW w:w="2258"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4B611D" w:rsidRDefault="004834FD" w:rsidP="007B2832">
            <w:pPr>
              <w:pStyle w:val="Tabletext"/>
              <w:rPr>
                <w:szCs w:val="22"/>
              </w:rPr>
            </w:pPr>
            <w:r w:rsidRPr="004B611D">
              <w:rPr>
                <w:szCs w:val="22"/>
              </w:rPr>
              <w:t>UHF</w:t>
            </w:r>
          </w:p>
        </w:tc>
        <w:tc>
          <w:tcPr>
            <w:tcW w:w="2701"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4B611D" w:rsidRDefault="004834FD" w:rsidP="007B2832">
            <w:pPr>
              <w:pStyle w:val="Tabletext"/>
              <w:jc w:val="center"/>
              <w:rPr>
                <w:szCs w:val="22"/>
              </w:rPr>
            </w:pPr>
            <w:r w:rsidRPr="004B611D">
              <w:rPr>
                <w:szCs w:val="22"/>
              </w:rPr>
              <w:t>300~960 MHz</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4B611D" w:rsidRDefault="004834FD" w:rsidP="007B2832">
            <w:pPr>
              <w:pStyle w:val="Tabletext"/>
              <w:jc w:val="center"/>
              <w:rPr>
                <w:szCs w:val="22"/>
              </w:rPr>
            </w:pPr>
            <w:r w:rsidRPr="004B611D">
              <w:rPr>
                <w:szCs w:val="22"/>
              </w:rPr>
              <w:t>1.5</w:t>
            </w:r>
          </w:p>
        </w:tc>
      </w:tr>
      <w:tr w:rsidR="004834FD" w:rsidRPr="004B611D" w:rsidTr="007B2832">
        <w:trPr>
          <w:jc w:val="center"/>
        </w:trPr>
        <w:tc>
          <w:tcPr>
            <w:tcW w:w="2258"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4B611D" w:rsidRDefault="004834FD" w:rsidP="007B2832">
            <w:pPr>
              <w:pStyle w:val="Tabletext"/>
            </w:pPr>
            <w:r w:rsidRPr="004B611D">
              <w:rPr>
                <w:szCs w:val="22"/>
              </w:rPr>
              <w:t>Decimetric waves</w:t>
            </w:r>
          </w:p>
        </w:tc>
        <w:tc>
          <w:tcPr>
            <w:tcW w:w="2701"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4B611D" w:rsidRDefault="004834FD" w:rsidP="007B2832">
            <w:pPr>
              <w:pStyle w:val="Tabletext"/>
              <w:jc w:val="center"/>
              <w:rPr>
                <w:szCs w:val="22"/>
              </w:rPr>
            </w:pPr>
            <w:r w:rsidRPr="004B611D">
              <w:rPr>
                <w:szCs w:val="22"/>
              </w:rPr>
              <w:t>960 MHz~3 GHz</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4B611D" w:rsidRDefault="004834FD" w:rsidP="007B2832">
            <w:pPr>
              <w:pStyle w:val="Tabletext"/>
              <w:jc w:val="center"/>
              <w:rPr>
                <w:szCs w:val="22"/>
              </w:rPr>
            </w:pPr>
            <w:r w:rsidRPr="004B611D">
              <w:rPr>
                <w:szCs w:val="22"/>
              </w:rPr>
              <w:t>0.1</w:t>
            </w:r>
          </w:p>
        </w:tc>
      </w:tr>
      <w:tr w:rsidR="004834FD" w:rsidRPr="004B611D" w:rsidTr="007B2832">
        <w:trPr>
          <w:jc w:val="center"/>
        </w:trPr>
        <w:tc>
          <w:tcPr>
            <w:tcW w:w="2258" w:type="dxa"/>
            <w:vMerge w:val="restart"/>
            <w:tcBorders>
              <w:top w:val="single" w:sz="4" w:space="0" w:color="00000A"/>
              <w:left w:val="single" w:sz="4" w:space="0" w:color="00000A"/>
              <w:bottom w:val="single" w:sz="4" w:space="0" w:color="00000A"/>
              <w:right w:val="single" w:sz="4" w:space="0" w:color="00000A"/>
            </w:tcBorders>
            <w:shd w:val="clear" w:color="auto" w:fill="auto"/>
            <w:tcMar>
              <w:left w:w="99" w:type="dxa"/>
            </w:tcMar>
            <w:vAlign w:val="center"/>
          </w:tcPr>
          <w:p w:rsidR="004834FD" w:rsidRPr="004B611D" w:rsidRDefault="004834FD" w:rsidP="007B2832">
            <w:pPr>
              <w:pStyle w:val="Tabletext"/>
            </w:pPr>
            <w:r w:rsidRPr="004B611D">
              <w:rPr>
                <w:szCs w:val="22"/>
              </w:rPr>
              <w:t>Centimetric waves</w:t>
            </w:r>
          </w:p>
        </w:tc>
        <w:tc>
          <w:tcPr>
            <w:tcW w:w="2701"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4B611D" w:rsidRDefault="004834FD" w:rsidP="007B2832">
            <w:pPr>
              <w:pStyle w:val="Tabletext"/>
              <w:jc w:val="center"/>
              <w:rPr>
                <w:b/>
                <w:szCs w:val="22"/>
              </w:rPr>
            </w:pPr>
            <w:r w:rsidRPr="004B611D">
              <w:rPr>
                <w:szCs w:val="22"/>
              </w:rPr>
              <w:t>3~1</w:t>
            </w:r>
            <w:r w:rsidRPr="004B611D">
              <w:rPr>
                <w:szCs w:val="22"/>
                <w:lang w:eastAsia="ko-KR"/>
              </w:rPr>
              <w:t>0</w:t>
            </w:r>
            <w:r w:rsidRPr="004B611D">
              <w:rPr>
                <w:szCs w:val="22"/>
              </w:rPr>
              <w:t xml:space="preserve"> GHz</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4B611D" w:rsidRDefault="004834FD" w:rsidP="007B2832">
            <w:pPr>
              <w:pStyle w:val="Tabletext"/>
              <w:jc w:val="center"/>
              <w:rPr>
                <w:szCs w:val="22"/>
                <w:lang w:eastAsia="ko-KR"/>
              </w:rPr>
            </w:pPr>
            <w:r w:rsidRPr="004B611D">
              <w:rPr>
                <w:szCs w:val="22"/>
                <w:lang w:eastAsia="ko-KR"/>
              </w:rPr>
              <w:t>0.0234</w:t>
            </w:r>
          </w:p>
        </w:tc>
      </w:tr>
      <w:tr w:rsidR="004834FD" w:rsidRPr="004B611D" w:rsidTr="007B2832">
        <w:trPr>
          <w:jc w:val="center"/>
        </w:trPr>
        <w:tc>
          <w:tcPr>
            <w:tcW w:w="2258" w:type="dxa"/>
            <w:vMerge/>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4B611D" w:rsidRDefault="004834FD" w:rsidP="007B2832">
            <w:pPr>
              <w:pStyle w:val="Tabletext"/>
              <w:rPr>
                <w:szCs w:val="22"/>
              </w:rPr>
            </w:pPr>
          </w:p>
        </w:tc>
        <w:tc>
          <w:tcPr>
            <w:tcW w:w="2701"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4B611D" w:rsidRDefault="004834FD" w:rsidP="007B2832">
            <w:pPr>
              <w:pStyle w:val="Tabletext"/>
              <w:jc w:val="center"/>
              <w:rPr>
                <w:szCs w:val="22"/>
              </w:rPr>
            </w:pPr>
            <w:r w:rsidRPr="004B611D">
              <w:rPr>
                <w:szCs w:val="22"/>
              </w:rPr>
              <w:t>1</w:t>
            </w:r>
            <w:r w:rsidRPr="004B611D">
              <w:rPr>
                <w:szCs w:val="22"/>
                <w:lang w:eastAsia="ko-KR"/>
              </w:rPr>
              <w:t>0</w:t>
            </w:r>
            <w:r w:rsidRPr="004B611D">
              <w:rPr>
                <w:szCs w:val="22"/>
              </w:rPr>
              <w:t>~ 30 GHz</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4B611D" w:rsidRDefault="004834FD" w:rsidP="007B2832">
            <w:pPr>
              <w:pStyle w:val="Tabletext"/>
              <w:jc w:val="center"/>
              <w:rPr>
                <w:szCs w:val="22"/>
                <w:lang w:eastAsia="ko-KR"/>
              </w:rPr>
            </w:pPr>
            <w:r w:rsidRPr="004B611D">
              <w:rPr>
                <w:szCs w:val="22"/>
                <w:lang w:eastAsia="ko-KR"/>
              </w:rPr>
              <w:t>0.0034</w:t>
            </w:r>
          </w:p>
        </w:tc>
      </w:tr>
      <w:tr w:rsidR="004834FD" w:rsidRPr="004B611D" w:rsidTr="007B2832">
        <w:trPr>
          <w:jc w:val="center"/>
        </w:trPr>
        <w:tc>
          <w:tcPr>
            <w:tcW w:w="2258"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4B611D" w:rsidRDefault="004834FD" w:rsidP="007B2832">
            <w:pPr>
              <w:pStyle w:val="Tabletext"/>
            </w:pPr>
            <w:r w:rsidRPr="004B611D">
              <w:rPr>
                <w:szCs w:val="22"/>
              </w:rPr>
              <w:t>Millimetric  waves</w:t>
            </w:r>
          </w:p>
        </w:tc>
        <w:tc>
          <w:tcPr>
            <w:tcW w:w="2701"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4B611D" w:rsidRDefault="004834FD" w:rsidP="007B2832">
            <w:pPr>
              <w:pStyle w:val="Tabletext"/>
              <w:jc w:val="center"/>
              <w:rPr>
                <w:szCs w:val="22"/>
              </w:rPr>
            </w:pPr>
            <w:r w:rsidRPr="004B611D">
              <w:rPr>
                <w:rFonts w:ascii="Symbol" w:eastAsia="Symbol" w:hAnsi="Symbol" w:cs="Symbol"/>
                <w:szCs w:val="22"/>
              </w:rPr>
              <w:t></w:t>
            </w:r>
            <w:r w:rsidRPr="004B611D">
              <w:rPr>
                <w:szCs w:val="22"/>
              </w:rPr>
              <w:t xml:space="preserve"> 30 GHz</w:t>
            </w:r>
          </w:p>
        </w:tc>
        <w:tc>
          <w:tcPr>
            <w:tcW w:w="2160"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4B611D" w:rsidRDefault="004834FD" w:rsidP="007B2832">
            <w:pPr>
              <w:pStyle w:val="Tabletext"/>
              <w:jc w:val="center"/>
              <w:rPr>
                <w:szCs w:val="22"/>
                <w:lang w:eastAsia="ko-KR"/>
              </w:rPr>
            </w:pPr>
            <w:r w:rsidRPr="004B611D">
              <w:rPr>
                <w:szCs w:val="22"/>
                <w:lang w:eastAsia="ko-KR"/>
              </w:rPr>
              <w:t>0.0004</w:t>
            </w:r>
          </w:p>
        </w:tc>
      </w:tr>
    </w:tbl>
    <w:p w:rsidR="004834FD" w:rsidRPr="004B611D" w:rsidRDefault="004834FD" w:rsidP="004834FD">
      <w:pPr>
        <w:pStyle w:val="Tablefin"/>
        <w:rPr>
          <w:lang w:eastAsia="ko-KR"/>
        </w:rPr>
      </w:pPr>
    </w:p>
    <w:p w:rsidR="004834FD" w:rsidRPr="004834FD" w:rsidRDefault="004834FD" w:rsidP="004834FD">
      <w:pPr>
        <w:rPr>
          <w:lang w:val="en-GB"/>
        </w:rPr>
      </w:pPr>
      <w:bookmarkStart w:id="2187" w:name="_Toc462234165"/>
      <w:bookmarkStart w:id="2188" w:name="_Toc454285001"/>
      <w:r w:rsidRPr="004834FD">
        <w:rPr>
          <w:lang w:val="en-GB"/>
        </w:rPr>
        <w:t xml:space="preserve">Frequency use pattern factor, </w:t>
      </w:r>
      <w:r w:rsidRPr="004834FD">
        <w:rPr>
          <w:i/>
          <w:iCs/>
          <w:lang w:val="en-GB"/>
        </w:rPr>
        <w:t>U</w:t>
      </w:r>
      <w:bookmarkEnd w:id="2187"/>
      <w:bookmarkEnd w:id="2188"/>
      <w:r w:rsidRPr="004834FD">
        <w:rPr>
          <w:i/>
          <w:iCs/>
          <w:vertAlign w:val="subscript"/>
          <w:lang w:val="en-GB"/>
        </w:rPr>
        <w:t>f</w:t>
      </w:r>
      <w:r w:rsidRPr="004834FD">
        <w:rPr>
          <w:lang w:val="en-GB"/>
        </w:rPr>
        <w:t xml:space="preserve"> :</w:t>
      </w:r>
    </w:p>
    <w:p w:rsidR="004834FD" w:rsidRPr="004B611D" w:rsidRDefault="004834FD" w:rsidP="004834FD">
      <w:pPr>
        <w:pStyle w:val="Blanc"/>
        <w:rPr>
          <w:lang w:eastAsia="ko-KR"/>
        </w:rPr>
      </w:pPr>
    </w:p>
    <w:tbl>
      <w:tblPr>
        <w:tblW w:w="5319"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9" w:type="dxa"/>
          <w:right w:w="99" w:type="dxa"/>
        </w:tblCellMar>
        <w:tblLook w:val="0000" w:firstRow="0" w:lastRow="0" w:firstColumn="0" w:lastColumn="0" w:noHBand="0" w:noVBand="0"/>
      </w:tblPr>
      <w:tblGrid>
        <w:gridCol w:w="2986"/>
        <w:gridCol w:w="2333"/>
      </w:tblGrid>
      <w:tr w:rsidR="004834FD" w:rsidRPr="004B611D" w:rsidTr="007B2832">
        <w:trPr>
          <w:jc w:val="center"/>
        </w:trPr>
        <w:tc>
          <w:tcPr>
            <w:tcW w:w="2986" w:type="dxa"/>
            <w:tcBorders>
              <w:top w:val="single" w:sz="4" w:space="0" w:color="00000A"/>
              <w:left w:val="single" w:sz="4" w:space="0" w:color="00000A"/>
              <w:bottom w:val="single" w:sz="4" w:space="0" w:color="00000A"/>
              <w:right w:val="single" w:sz="4" w:space="0" w:color="00000A"/>
            </w:tcBorders>
            <w:shd w:val="clear" w:color="auto" w:fill="auto"/>
            <w:tcMar>
              <w:left w:w="99" w:type="dxa"/>
            </w:tcMar>
            <w:vAlign w:val="center"/>
          </w:tcPr>
          <w:p w:rsidR="004834FD" w:rsidRPr="004B611D" w:rsidRDefault="004834FD" w:rsidP="007B2832">
            <w:pPr>
              <w:pStyle w:val="Tablehead"/>
              <w:rPr>
                <w:szCs w:val="22"/>
              </w:rPr>
            </w:pPr>
            <w:r w:rsidRPr="004B611D">
              <w:rPr>
                <w:szCs w:val="22"/>
                <w:lang w:eastAsia="ko-KR"/>
              </w:rPr>
              <w:t>Frequency use pattern</w:t>
            </w:r>
          </w:p>
        </w:tc>
        <w:tc>
          <w:tcPr>
            <w:tcW w:w="2333" w:type="dxa"/>
            <w:tcBorders>
              <w:top w:val="single" w:sz="4" w:space="0" w:color="00000A"/>
              <w:left w:val="single" w:sz="4" w:space="0" w:color="00000A"/>
              <w:bottom w:val="single" w:sz="4" w:space="0" w:color="00000A"/>
              <w:right w:val="single" w:sz="4" w:space="0" w:color="00000A"/>
            </w:tcBorders>
            <w:shd w:val="clear" w:color="auto" w:fill="auto"/>
            <w:tcMar>
              <w:left w:w="99" w:type="dxa"/>
            </w:tcMar>
            <w:vAlign w:val="center"/>
          </w:tcPr>
          <w:p w:rsidR="004834FD" w:rsidRPr="004B611D" w:rsidRDefault="004834FD" w:rsidP="007B2832">
            <w:pPr>
              <w:pStyle w:val="Tablehead"/>
              <w:rPr>
                <w:szCs w:val="22"/>
              </w:rPr>
            </w:pPr>
            <w:r w:rsidRPr="004B611D">
              <w:rPr>
                <w:szCs w:val="22"/>
              </w:rPr>
              <w:t>Factor</w:t>
            </w:r>
          </w:p>
        </w:tc>
      </w:tr>
      <w:tr w:rsidR="004834FD" w:rsidRPr="004B611D" w:rsidTr="007B2832">
        <w:trPr>
          <w:jc w:val="center"/>
        </w:trPr>
        <w:tc>
          <w:tcPr>
            <w:tcW w:w="2986" w:type="dxa"/>
            <w:tcBorders>
              <w:top w:val="single" w:sz="4" w:space="0" w:color="00000A"/>
              <w:left w:val="single" w:sz="4" w:space="0" w:color="00000A"/>
              <w:bottom w:val="single" w:sz="4" w:space="0" w:color="00000A"/>
              <w:right w:val="single" w:sz="4" w:space="0" w:color="00000A"/>
            </w:tcBorders>
            <w:shd w:val="clear" w:color="auto" w:fill="auto"/>
            <w:tcMar>
              <w:left w:w="99" w:type="dxa"/>
            </w:tcMar>
            <w:vAlign w:val="center"/>
          </w:tcPr>
          <w:p w:rsidR="004834FD" w:rsidRPr="004B611D" w:rsidRDefault="004834FD" w:rsidP="007B2832">
            <w:pPr>
              <w:pStyle w:val="Tabletext"/>
              <w:rPr>
                <w:szCs w:val="22"/>
              </w:rPr>
            </w:pPr>
            <w:r w:rsidRPr="004B611D">
              <w:rPr>
                <w:szCs w:val="22"/>
                <w:lang w:eastAsia="ko-KR"/>
              </w:rPr>
              <w:t>Exclusive</w:t>
            </w:r>
            <w:r w:rsidRPr="004B611D">
              <w:rPr>
                <w:szCs w:val="22"/>
              </w:rPr>
              <w:t xml:space="preserve"> use</w:t>
            </w:r>
          </w:p>
        </w:tc>
        <w:tc>
          <w:tcPr>
            <w:tcW w:w="2333"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4B611D" w:rsidRDefault="004834FD" w:rsidP="007B2832">
            <w:pPr>
              <w:pStyle w:val="Tabletext"/>
              <w:jc w:val="center"/>
              <w:rPr>
                <w:szCs w:val="22"/>
              </w:rPr>
            </w:pPr>
            <w:r w:rsidRPr="004B611D">
              <w:rPr>
                <w:szCs w:val="22"/>
              </w:rPr>
              <w:t>1</w:t>
            </w:r>
          </w:p>
        </w:tc>
      </w:tr>
      <w:tr w:rsidR="004834FD" w:rsidRPr="004B611D" w:rsidTr="007B2832">
        <w:trPr>
          <w:jc w:val="center"/>
        </w:trPr>
        <w:tc>
          <w:tcPr>
            <w:tcW w:w="2986" w:type="dxa"/>
            <w:tcBorders>
              <w:top w:val="single" w:sz="4" w:space="0" w:color="00000A"/>
              <w:left w:val="single" w:sz="4" w:space="0" w:color="00000A"/>
              <w:bottom w:val="single" w:sz="4" w:space="0" w:color="00000A"/>
              <w:right w:val="single" w:sz="4" w:space="0" w:color="00000A"/>
            </w:tcBorders>
            <w:shd w:val="clear" w:color="auto" w:fill="auto"/>
            <w:tcMar>
              <w:left w:w="99" w:type="dxa"/>
            </w:tcMar>
            <w:vAlign w:val="center"/>
          </w:tcPr>
          <w:p w:rsidR="004834FD" w:rsidRPr="004B611D" w:rsidRDefault="004834FD" w:rsidP="007B2832">
            <w:pPr>
              <w:pStyle w:val="Tabletext"/>
              <w:rPr>
                <w:szCs w:val="22"/>
              </w:rPr>
            </w:pPr>
            <w:r w:rsidRPr="004B611D">
              <w:rPr>
                <w:szCs w:val="22"/>
              </w:rPr>
              <w:t>Common use</w:t>
            </w:r>
          </w:p>
        </w:tc>
        <w:tc>
          <w:tcPr>
            <w:tcW w:w="2333"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4B611D" w:rsidRDefault="004834FD" w:rsidP="007B2832">
            <w:pPr>
              <w:pStyle w:val="Tabletext"/>
              <w:jc w:val="center"/>
              <w:rPr>
                <w:szCs w:val="22"/>
              </w:rPr>
            </w:pPr>
            <w:r w:rsidRPr="004B611D">
              <w:rPr>
                <w:szCs w:val="22"/>
              </w:rPr>
              <w:t>0.1</w:t>
            </w:r>
          </w:p>
        </w:tc>
      </w:tr>
    </w:tbl>
    <w:p w:rsidR="004834FD" w:rsidRPr="004834FD" w:rsidRDefault="004834FD" w:rsidP="004834FD">
      <w:pPr>
        <w:pStyle w:val="Note"/>
        <w:rPr>
          <w:lang w:val="en-GB" w:eastAsia="ko-KR"/>
        </w:rPr>
      </w:pPr>
      <w:r w:rsidRPr="004834FD">
        <w:rPr>
          <w:lang w:val="en-GB"/>
        </w:rPr>
        <w:t>NOTE</w:t>
      </w:r>
      <w:r w:rsidRPr="004834FD">
        <w:rPr>
          <w:lang w:val="en-GB" w:eastAsia="ko-KR"/>
        </w:rPr>
        <w:t xml:space="preserve"> – Exclusive</w:t>
      </w:r>
      <w:r w:rsidRPr="004834FD">
        <w:rPr>
          <w:lang w:val="en-GB"/>
        </w:rPr>
        <w:t xml:space="preserve"> </w:t>
      </w:r>
      <w:r w:rsidRPr="004834FD">
        <w:rPr>
          <w:lang w:val="en-GB" w:eastAsia="ko-KR"/>
        </w:rPr>
        <w:t>use occurs when an operator uses a</w:t>
      </w:r>
      <w:r w:rsidRPr="004834FD">
        <w:rPr>
          <w:lang w:val="en-GB"/>
        </w:rPr>
        <w:t xml:space="preserve"> frequency exclusively over a country or region,</w:t>
      </w:r>
      <w:r w:rsidRPr="004834FD">
        <w:rPr>
          <w:lang w:val="en-GB" w:eastAsia="ko-KR"/>
        </w:rPr>
        <w:t xml:space="preserve"> and </w:t>
      </w:r>
      <w:r w:rsidRPr="004834FD">
        <w:rPr>
          <w:lang w:val="en-GB"/>
        </w:rPr>
        <w:t>common use</w:t>
      </w:r>
      <w:r w:rsidRPr="004834FD">
        <w:rPr>
          <w:b/>
          <w:bCs/>
          <w:lang w:val="en-GB"/>
        </w:rPr>
        <w:t xml:space="preserve"> </w:t>
      </w:r>
      <w:r w:rsidRPr="004834FD">
        <w:rPr>
          <w:lang w:val="en-GB"/>
        </w:rPr>
        <w:t xml:space="preserve">occurs when an operator </w:t>
      </w:r>
      <w:r w:rsidRPr="004834FD">
        <w:rPr>
          <w:lang w:val="en-GB" w:eastAsia="ko-KR"/>
        </w:rPr>
        <w:t>uses a</w:t>
      </w:r>
      <w:r w:rsidRPr="004834FD">
        <w:rPr>
          <w:lang w:val="en-GB"/>
        </w:rPr>
        <w:t xml:space="preserve"> frequency non</w:t>
      </w:r>
      <w:r w:rsidRPr="004834FD">
        <w:rPr>
          <w:lang w:val="en-GB"/>
        </w:rPr>
        <w:noBreakHyphen/>
        <w:t>exclusively over a country or region.</w:t>
      </w:r>
    </w:p>
    <w:p w:rsidR="004834FD" w:rsidRDefault="004834FD" w:rsidP="004834FD">
      <w:pPr>
        <w:rPr>
          <w:lang w:eastAsia="ko-KR"/>
        </w:rPr>
      </w:pPr>
      <w:bookmarkStart w:id="2189" w:name="_Toc462234166"/>
      <w:bookmarkStart w:id="2190" w:name="_Toc454285002"/>
      <w:r w:rsidRPr="004B611D">
        <w:rPr>
          <w:lang w:eastAsia="ko-KR"/>
        </w:rPr>
        <w:t>Operating p</w:t>
      </w:r>
      <w:r w:rsidRPr="004B611D">
        <w:t>urpose factor,</w:t>
      </w:r>
      <w:r w:rsidRPr="004B611D">
        <w:rPr>
          <w:lang w:eastAsia="ko-KR"/>
        </w:rPr>
        <w:t xml:space="preserve"> </w:t>
      </w:r>
      <w:r w:rsidRPr="00074F29">
        <w:rPr>
          <w:bCs/>
          <w:i/>
          <w:sz w:val="22"/>
          <w:szCs w:val="22"/>
        </w:rPr>
        <w:t>O</w:t>
      </w:r>
      <w:r w:rsidRPr="00074F29">
        <w:rPr>
          <w:bCs/>
          <w:i/>
          <w:sz w:val="22"/>
          <w:szCs w:val="22"/>
          <w:vertAlign w:val="subscript"/>
        </w:rPr>
        <w:t>f</w:t>
      </w:r>
      <w:r w:rsidRPr="00074F29">
        <w:t xml:space="preserve"> </w:t>
      </w:r>
      <w:r>
        <w:rPr>
          <w:lang w:eastAsia="ko-KR"/>
        </w:rPr>
        <w:t>:</w:t>
      </w:r>
      <w:bookmarkEnd w:id="2189"/>
      <w:bookmarkEnd w:id="2190"/>
    </w:p>
    <w:p w:rsidR="004834FD" w:rsidRPr="004B611D" w:rsidRDefault="004834FD" w:rsidP="004834FD">
      <w:pPr>
        <w:pStyle w:val="Blanc"/>
        <w:rPr>
          <w:lang w:eastAsia="ko-KR"/>
        </w:rPr>
      </w:pPr>
    </w:p>
    <w:tbl>
      <w:tblPr>
        <w:tblW w:w="8703"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9" w:type="dxa"/>
          <w:right w:w="99" w:type="dxa"/>
        </w:tblCellMar>
        <w:tblLook w:val="0000" w:firstRow="0" w:lastRow="0" w:firstColumn="0" w:lastColumn="0" w:noHBand="0" w:noVBand="0"/>
      </w:tblPr>
      <w:tblGrid>
        <w:gridCol w:w="6940"/>
        <w:gridCol w:w="1763"/>
      </w:tblGrid>
      <w:tr w:rsidR="004834FD" w:rsidRPr="004B611D" w:rsidTr="007B2832">
        <w:trPr>
          <w:jc w:val="center"/>
        </w:trPr>
        <w:tc>
          <w:tcPr>
            <w:tcW w:w="6940" w:type="dxa"/>
            <w:tcBorders>
              <w:top w:val="single" w:sz="4" w:space="0" w:color="00000A"/>
              <w:left w:val="single" w:sz="4" w:space="0" w:color="00000A"/>
              <w:bottom w:val="single" w:sz="4" w:space="0" w:color="00000A"/>
              <w:right w:val="single" w:sz="4" w:space="0" w:color="00000A"/>
            </w:tcBorders>
            <w:shd w:val="clear" w:color="auto" w:fill="auto"/>
            <w:tcMar>
              <w:left w:w="99" w:type="dxa"/>
            </w:tcMar>
            <w:vAlign w:val="center"/>
          </w:tcPr>
          <w:p w:rsidR="004834FD" w:rsidRPr="004B611D" w:rsidRDefault="004834FD" w:rsidP="007B2832">
            <w:pPr>
              <w:pStyle w:val="Tablehead"/>
              <w:rPr>
                <w:szCs w:val="22"/>
                <w:lang w:eastAsia="ko-KR"/>
              </w:rPr>
            </w:pPr>
            <w:r w:rsidRPr="004B611D">
              <w:rPr>
                <w:szCs w:val="22"/>
              </w:rPr>
              <w:t>Operating purpose</w:t>
            </w:r>
          </w:p>
        </w:tc>
        <w:tc>
          <w:tcPr>
            <w:tcW w:w="1763" w:type="dxa"/>
            <w:tcBorders>
              <w:top w:val="single" w:sz="4" w:space="0" w:color="00000A"/>
              <w:left w:val="single" w:sz="4" w:space="0" w:color="00000A"/>
              <w:bottom w:val="single" w:sz="4" w:space="0" w:color="00000A"/>
              <w:right w:val="single" w:sz="4" w:space="0" w:color="00000A"/>
            </w:tcBorders>
            <w:shd w:val="clear" w:color="auto" w:fill="auto"/>
            <w:tcMar>
              <w:left w:w="99" w:type="dxa"/>
            </w:tcMar>
            <w:vAlign w:val="center"/>
          </w:tcPr>
          <w:p w:rsidR="004834FD" w:rsidRPr="004B611D" w:rsidRDefault="004834FD" w:rsidP="007B2832">
            <w:pPr>
              <w:pStyle w:val="Tablehead"/>
              <w:rPr>
                <w:szCs w:val="22"/>
              </w:rPr>
            </w:pPr>
            <w:r w:rsidRPr="004B611D">
              <w:rPr>
                <w:szCs w:val="22"/>
              </w:rPr>
              <w:t>Factor</w:t>
            </w:r>
          </w:p>
        </w:tc>
      </w:tr>
      <w:tr w:rsidR="004834FD" w:rsidRPr="004B611D" w:rsidTr="007B2832">
        <w:trPr>
          <w:jc w:val="center"/>
        </w:trPr>
        <w:tc>
          <w:tcPr>
            <w:tcW w:w="6940" w:type="dxa"/>
            <w:tcBorders>
              <w:top w:val="single" w:sz="4" w:space="0" w:color="00000A"/>
              <w:left w:val="single" w:sz="4" w:space="0" w:color="00000A"/>
              <w:bottom w:val="single" w:sz="4" w:space="0" w:color="00000A"/>
              <w:right w:val="single" w:sz="4" w:space="0" w:color="00000A"/>
            </w:tcBorders>
            <w:shd w:val="clear" w:color="auto" w:fill="auto"/>
            <w:tcMar>
              <w:left w:w="99" w:type="dxa"/>
            </w:tcMar>
            <w:vAlign w:val="center"/>
          </w:tcPr>
          <w:p w:rsidR="004834FD" w:rsidRPr="004B611D" w:rsidRDefault="004834FD" w:rsidP="007B2832">
            <w:pPr>
              <w:pStyle w:val="Tabletext"/>
              <w:rPr>
                <w:szCs w:val="22"/>
              </w:rPr>
            </w:pPr>
            <w:r w:rsidRPr="004B611D">
              <w:rPr>
                <w:szCs w:val="22"/>
              </w:rPr>
              <w:t>Radio</w:t>
            </w:r>
            <w:r w:rsidRPr="004B611D">
              <w:rPr>
                <w:szCs w:val="22"/>
                <w:lang w:eastAsia="ko-KR"/>
              </w:rPr>
              <w:t xml:space="preserve"> </w:t>
            </w:r>
            <w:r w:rsidRPr="004B611D">
              <w:rPr>
                <w:szCs w:val="22"/>
              </w:rPr>
              <w:t>navigation services (radar, transponder, distance estimator, radio altimeter)</w:t>
            </w:r>
          </w:p>
        </w:tc>
        <w:tc>
          <w:tcPr>
            <w:tcW w:w="1763"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4B611D" w:rsidRDefault="004834FD" w:rsidP="007B2832">
            <w:pPr>
              <w:pStyle w:val="Tabletext"/>
              <w:jc w:val="center"/>
              <w:rPr>
                <w:szCs w:val="22"/>
              </w:rPr>
            </w:pPr>
            <w:r w:rsidRPr="004B611D">
              <w:rPr>
                <w:szCs w:val="22"/>
              </w:rPr>
              <w:t>0.5</w:t>
            </w:r>
          </w:p>
        </w:tc>
      </w:tr>
      <w:tr w:rsidR="004834FD" w:rsidRPr="004B611D" w:rsidTr="007B2832">
        <w:trPr>
          <w:jc w:val="center"/>
        </w:trPr>
        <w:tc>
          <w:tcPr>
            <w:tcW w:w="6940" w:type="dxa"/>
            <w:tcBorders>
              <w:top w:val="single" w:sz="4" w:space="0" w:color="00000A"/>
              <w:left w:val="single" w:sz="4" w:space="0" w:color="00000A"/>
              <w:bottom w:val="single" w:sz="4" w:space="0" w:color="00000A"/>
              <w:right w:val="single" w:sz="4" w:space="0" w:color="00000A"/>
            </w:tcBorders>
            <w:shd w:val="clear" w:color="auto" w:fill="auto"/>
            <w:tcMar>
              <w:left w:w="99" w:type="dxa"/>
            </w:tcMar>
            <w:vAlign w:val="center"/>
          </w:tcPr>
          <w:p w:rsidR="004834FD" w:rsidRPr="004834FD" w:rsidRDefault="004834FD" w:rsidP="007B2832">
            <w:pPr>
              <w:pStyle w:val="Tabletext"/>
              <w:rPr>
                <w:szCs w:val="22"/>
                <w:lang w:val="en-GB"/>
              </w:rPr>
            </w:pPr>
            <w:r w:rsidRPr="004834FD">
              <w:rPr>
                <w:szCs w:val="22"/>
                <w:lang w:val="en-GB"/>
              </w:rPr>
              <w:t>Radio</w:t>
            </w:r>
            <w:r w:rsidRPr="004834FD">
              <w:rPr>
                <w:szCs w:val="22"/>
                <w:lang w:val="en-GB" w:eastAsia="ko-KR"/>
              </w:rPr>
              <w:t xml:space="preserve"> </w:t>
            </w:r>
            <w:r w:rsidRPr="004834FD">
              <w:rPr>
                <w:szCs w:val="22"/>
                <w:lang w:val="en-GB"/>
              </w:rPr>
              <w:t>telemetry (including detection and beacon) services</w:t>
            </w:r>
          </w:p>
        </w:tc>
        <w:tc>
          <w:tcPr>
            <w:tcW w:w="1763"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4B611D" w:rsidRDefault="004834FD" w:rsidP="007B2832">
            <w:pPr>
              <w:pStyle w:val="Tabletext"/>
              <w:jc w:val="center"/>
              <w:rPr>
                <w:rFonts w:eastAsia="???"/>
                <w:szCs w:val="22"/>
              </w:rPr>
            </w:pPr>
            <w:r w:rsidRPr="004B611D">
              <w:rPr>
                <w:rFonts w:eastAsia="???"/>
                <w:szCs w:val="22"/>
              </w:rPr>
              <w:t>0.1</w:t>
            </w:r>
          </w:p>
        </w:tc>
      </w:tr>
      <w:tr w:rsidR="004834FD" w:rsidRPr="004B611D" w:rsidTr="007B2832">
        <w:trPr>
          <w:jc w:val="center"/>
        </w:trPr>
        <w:tc>
          <w:tcPr>
            <w:tcW w:w="6940" w:type="dxa"/>
            <w:tcBorders>
              <w:top w:val="single" w:sz="4" w:space="0" w:color="00000A"/>
              <w:left w:val="single" w:sz="4" w:space="0" w:color="00000A"/>
              <w:bottom w:val="single" w:sz="4" w:space="0" w:color="00000A"/>
              <w:right w:val="single" w:sz="4" w:space="0" w:color="00000A"/>
            </w:tcBorders>
            <w:shd w:val="clear" w:color="auto" w:fill="auto"/>
            <w:tcMar>
              <w:left w:w="99" w:type="dxa"/>
            </w:tcMar>
            <w:vAlign w:val="center"/>
          </w:tcPr>
          <w:p w:rsidR="004834FD" w:rsidRPr="004B611D" w:rsidRDefault="004834FD" w:rsidP="007B2832">
            <w:pPr>
              <w:pStyle w:val="Tabletext"/>
              <w:rPr>
                <w:szCs w:val="22"/>
              </w:rPr>
            </w:pPr>
            <w:r w:rsidRPr="004B611D">
              <w:rPr>
                <w:szCs w:val="22"/>
              </w:rPr>
              <w:t>Other services</w:t>
            </w:r>
          </w:p>
        </w:tc>
        <w:tc>
          <w:tcPr>
            <w:tcW w:w="1763"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4B611D" w:rsidRDefault="004834FD" w:rsidP="007B2832">
            <w:pPr>
              <w:pStyle w:val="Tabletext"/>
              <w:jc w:val="center"/>
              <w:rPr>
                <w:szCs w:val="22"/>
              </w:rPr>
            </w:pPr>
            <w:r w:rsidRPr="004B611D">
              <w:rPr>
                <w:szCs w:val="22"/>
              </w:rPr>
              <w:t>1</w:t>
            </w:r>
          </w:p>
        </w:tc>
      </w:tr>
    </w:tbl>
    <w:p w:rsidR="004834FD" w:rsidRPr="004834FD" w:rsidRDefault="004834FD" w:rsidP="004834FD">
      <w:pPr>
        <w:keepNext/>
        <w:keepLines/>
        <w:spacing w:before="360"/>
        <w:rPr>
          <w:lang w:val="en-GB" w:eastAsia="ko-KR"/>
        </w:rPr>
      </w:pPr>
      <w:r w:rsidRPr="004834FD">
        <w:rPr>
          <w:lang w:val="en-GB" w:eastAsia="ko-KR"/>
        </w:rPr>
        <w:t>The fee-waiver factors of facility sharing and</w:t>
      </w:r>
      <w:r w:rsidRPr="004834FD">
        <w:rPr>
          <w:rFonts w:ascii="Batang" w:hAnsi="Batang"/>
          <w:lang w:val="en-GB" w:eastAsia="ko-KR"/>
        </w:rPr>
        <w:t xml:space="preserve"> </w:t>
      </w:r>
      <w:r w:rsidRPr="004834FD">
        <w:rPr>
          <w:lang w:val="en-GB" w:eastAsia="ko-KR"/>
        </w:rPr>
        <w:t>eco-friendly:</w:t>
      </w:r>
    </w:p>
    <w:p w:rsidR="004834FD" w:rsidRPr="004B611D" w:rsidRDefault="004834FD" w:rsidP="004834FD">
      <w:pPr>
        <w:pStyle w:val="Blanc"/>
        <w:rPr>
          <w:lang w:eastAsia="ko-KR"/>
        </w:rPr>
      </w:pPr>
    </w:p>
    <w:tbl>
      <w:tblPr>
        <w:tblW w:w="8671"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4A0" w:firstRow="1" w:lastRow="0" w:firstColumn="1" w:lastColumn="0" w:noHBand="0" w:noVBand="1"/>
      </w:tblPr>
      <w:tblGrid>
        <w:gridCol w:w="1261"/>
        <w:gridCol w:w="601"/>
        <w:gridCol w:w="776"/>
        <w:gridCol w:w="776"/>
        <w:gridCol w:w="776"/>
        <w:gridCol w:w="776"/>
        <w:gridCol w:w="776"/>
        <w:gridCol w:w="776"/>
        <w:gridCol w:w="776"/>
        <w:gridCol w:w="776"/>
        <w:gridCol w:w="601"/>
      </w:tblGrid>
      <w:tr w:rsidR="004834FD" w:rsidRPr="004B611D" w:rsidTr="007B2832">
        <w:trPr>
          <w:jc w:val="center"/>
        </w:trPr>
        <w:tc>
          <w:tcPr>
            <w:tcW w:w="17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834FD" w:rsidRDefault="004834FD" w:rsidP="007B2832">
            <w:pPr>
              <w:pStyle w:val="Tabletext"/>
              <w:rPr>
                <w:lang w:val="en-GB" w:eastAsia="ko-KR"/>
              </w:rPr>
            </w:pPr>
            <w:r w:rsidRPr="004834FD">
              <w:rPr>
                <w:lang w:val="en-GB" w:eastAsia="ko-KR"/>
              </w:rPr>
              <w:t>Facility sharing ratio and roaming ratio (%)</w:t>
            </w:r>
          </w:p>
        </w:tc>
        <w:tc>
          <w:tcPr>
            <w:tcW w:w="5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&lt;10</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10~20</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20~30</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30~40</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40~45</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45~50</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50~55</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55~60</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60~70</w:t>
            </w:r>
          </w:p>
        </w:tc>
        <w:tc>
          <w:tcPr>
            <w:tcW w:w="5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&gt;70</w:t>
            </w:r>
          </w:p>
        </w:tc>
      </w:tr>
      <w:tr w:rsidR="004834FD" w:rsidRPr="004B611D" w:rsidTr="007B2832">
        <w:trPr>
          <w:jc w:val="center"/>
        </w:trPr>
        <w:tc>
          <w:tcPr>
            <w:tcW w:w="17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834FD" w:rsidRDefault="004834FD" w:rsidP="007B2832">
            <w:pPr>
              <w:pStyle w:val="Tabletext"/>
              <w:rPr>
                <w:lang w:val="en-GB" w:eastAsia="ko-KR"/>
              </w:rPr>
            </w:pPr>
            <w:r w:rsidRPr="004834FD">
              <w:rPr>
                <w:lang w:val="en-GB" w:eastAsia="ko-KR"/>
              </w:rPr>
              <w:t>Facility sharing fee-waiver factor</w:t>
            </w:r>
          </w:p>
        </w:tc>
        <w:tc>
          <w:tcPr>
            <w:tcW w:w="5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0.01</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0.02</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0.03</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0.04</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0.05</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0.06</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0.07</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0.08</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0.09</w:t>
            </w:r>
          </w:p>
        </w:tc>
        <w:tc>
          <w:tcPr>
            <w:tcW w:w="5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0.10</w:t>
            </w:r>
          </w:p>
        </w:tc>
      </w:tr>
      <w:tr w:rsidR="004834FD" w:rsidRPr="004B611D" w:rsidTr="007B2832">
        <w:trPr>
          <w:jc w:val="center"/>
        </w:trPr>
        <w:tc>
          <w:tcPr>
            <w:tcW w:w="172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4834FD" w:rsidRPr="004834FD" w:rsidRDefault="004834FD" w:rsidP="007B2832">
            <w:pPr>
              <w:pStyle w:val="Tabletext"/>
              <w:rPr>
                <w:lang w:val="en-GB" w:eastAsia="ko-KR"/>
              </w:rPr>
            </w:pPr>
            <w:r w:rsidRPr="004834FD">
              <w:rPr>
                <w:lang w:val="en-GB" w:eastAsia="ko-KR"/>
              </w:rPr>
              <w:t xml:space="preserve">Eco-friendly </w:t>
            </w:r>
            <w:r w:rsidRPr="004834FD">
              <w:rPr>
                <w:lang w:val="en-GB" w:eastAsia="ko-KR"/>
              </w:rPr>
              <w:br/>
              <w:t>fee-waiver factor</w:t>
            </w:r>
          </w:p>
        </w:tc>
        <w:tc>
          <w:tcPr>
            <w:tcW w:w="5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0.01</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0.02</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0.03</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0.04</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0.05</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0.06</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0.07</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0.08</w:t>
            </w:r>
          </w:p>
        </w:tc>
        <w:tc>
          <w:tcPr>
            <w:tcW w:w="725"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0.09</w:t>
            </w:r>
          </w:p>
        </w:tc>
        <w:tc>
          <w:tcPr>
            <w:tcW w:w="571"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4834FD" w:rsidRPr="004B611D" w:rsidRDefault="004834FD" w:rsidP="007B2832">
            <w:pPr>
              <w:pStyle w:val="Tabletext"/>
              <w:jc w:val="center"/>
              <w:rPr>
                <w:lang w:eastAsia="ko-KR"/>
              </w:rPr>
            </w:pPr>
            <w:r w:rsidRPr="004B611D">
              <w:rPr>
                <w:lang w:eastAsia="ko-KR"/>
              </w:rPr>
              <w:t>0.10</w:t>
            </w:r>
          </w:p>
        </w:tc>
      </w:tr>
    </w:tbl>
    <w:p w:rsidR="004834FD" w:rsidRPr="004B611D" w:rsidRDefault="004834FD" w:rsidP="004834FD">
      <w:pPr>
        <w:pStyle w:val="Tablefin"/>
        <w:rPr>
          <w:lang w:eastAsia="ko-KR"/>
        </w:rPr>
      </w:pPr>
    </w:p>
    <w:p w:rsidR="004834FD" w:rsidRPr="005B315D" w:rsidRDefault="004834FD" w:rsidP="004834FD">
      <w:pPr>
        <w:pStyle w:val="Headingb"/>
        <w:rPr>
          <w:lang w:val="en-GB"/>
        </w:rPr>
      </w:pPr>
      <w:bookmarkStart w:id="2191" w:name="_Toc289932340"/>
      <w:bookmarkStart w:id="2192" w:name="_Toc289869034"/>
      <w:bookmarkStart w:id="2193" w:name="_Toc289868874"/>
      <w:r w:rsidRPr="005B315D">
        <w:rPr>
          <w:bCs/>
          <w:lang w:val="en-GB"/>
        </w:rPr>
        <w:t>Category 4</w:t>
      </w:r>
      <w:r w:rsidRPr="005B315D">
        <w:rPr>
          <w:lang w:val="en-GB"/>
        </w:rPr>
        <w:t xml:space="preserve">: </w:t>
      </w:r>
      <w:r w:rsidRPr="005B315D">
        <w:rPr>
          <w:lang w:val="en-GB" w:eastAsia="ko-KR"/>
        </w:rPr>
        <w:t>Based earth s</w:t>
      </w:r>
      <w:r w:rsidRPr="005B315D">
        <w:rPr>
          <w:lang w:val="en-GB"/>
        </w:rPr>
        <w:t>tations installed on vehicles</w:t>
      </w:r>
      <w:r w:rsidRPr="005B315D">
        <w:rPr>
          <w:lang w:val="en-GB" w:eastAsia="ko-KR"/>
        </w:rPr>
        <w:t xml:space="preserve"> and common carrier</w:t>
      </w:r>
      <w:r w:rsidRPr="005B315D">
        <w:rPr>
          <w:lang w:val="en-GB"/>
        </w:rPr>
        <w:t>’s earth stations for lease</w:t>
      </w:r>
      <w:bookmarkEnd w:id="2191"/>
      <w:bookmarkEnd w:id="2192"/>
      <w:bookmarkEnd w:id="2193"/>
    </w:p>
    <w:p w:rsidR="004834FD" w:rsidRPr="004834FD" w:rsidRDefault="004834FD" w:rsidP="004834FD">
      <w:pPr>
        <w:rPr>
          <w:lang w:val="en-GB" w:eastAsia="ko-KR"/>
        </w:rPr>
      </w:pPr>
      <w:r w:rsidRPr="004834FD">
        <w:rPr>
          <w:lang w:val="en-GB"/>
        </w:rPr>
        <w:t xml:space="preserve">The </w:t>
      </w:r>
      <w:r w:rsidRPr="004834FD">
        <w:rPr>
          <w:lang w:val="en-GB" w:eastAsia="ko-KR"/>
        </w:rPr>
        <w:t>spectrum usage fees (SF)</w:t>
      </w:r>
      <w:r w:rsidRPr="004834FD">
        <w:rPr>
          <w:lang w:val="en-GB"/>
        </w:rPr>
        <w:t xml:space="preserve"> shall be imposed on each </w:t>
      </w:r>
      <w:r w:rsidRPr="004834FD">
        <w:rPr>
          <w:lang w:val="en-GB" w:eastAsia="ko-KR"/>
        </w:rPr>
        <w:t xml:space="preserve">category </w:t>
      </w:r>
      <w:r w:rsidRPr="004834FD">
        <w:rPr>
          <w:lang w:val="en-GB"/>
        </w:rPr>
        <w:t xml:space="preserve">as </w:t>
      </w:r>
      <w:r w:rsidRPr="004834FD">
        <w:rPr>
          <w:lang w:val="en-GB" w:eastAsia="ko-KR"/>
        </w:rPr>
        <w:t>f</w:t>
      </w:r>
      <w:r w:rsidRPr="004834FD">
        <w:rPr>
          <w:lang w:val="en-GB"/>
        </w:rPr>
        <w:t>ollows:</w:t>
      </w:r>
    </w:p>
    <w:p w:rsidR="004834FD" w:rsidRPr="004B611D" w:rsidRDefault="004834FD" w:rsidP="004834FD">
      <w:pPr>
        <w:pStyle w:val="Blanc"/>
        <w:rPr>
          <w:lang w:eastAsia="ko-KR"/>
        </w:rPr>
      </w:pPr>
    </w:p>
    <w:tbl>
      <w:tblPr>
        <w:tblW w:w="8702"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9" w:type="dxa"/>
          <w:right w:w="99" w:type="dxa"/>
        </w:tblCellMar>
        <w:tblLook w:val="0000" w:firstRow="0" w:lastRow="0" w:firstColumn="0" w:lastColumn="0" w:noHBand="0" w:noVBand="0"/>
      </w:tblPr>
      <w:tblGrid>
        <w:gridCol w:w="6939"/>
        <w:gridCol w:w="1763"/>
      </w:tblGrid>
      <w:tr w:rsidR="004834FD" w:rsidRPr="004B611D" w:rsidTr="007B2832">
        <w:trPr>
          <w:jc w:val="center"/>
        </w:trPr>
        <w:tc>
          <w:tcPr>
            <w:tcW w:w="6938" w:type="dxa"/>
            <w:tcBorders>
              <w:top w:val="single" w:sz="4" w:space="0" w:color="00000A"/>
              <w:left w:val="single" w:sz="4" w:space="0" w:color="00000A"/>
              <w:bottom w:val="single" w:sz="4" w:space="0" w:color="00000A"/>
              <w:right w:val="single" w:sz="4" w:space="0" w:color="00000A"/>
            </w:tcBorders>
            <w:shd w:val="clear" w:color="auto" w:fill="auto"/>
            <w:tcMar>
              <w:left w:w="99" w:type="dxa"/>
            </w:tcMar>
            <w:vAlign w:val="center"/>
          </w:tcPr>
          <w:p w:rsidR="004834FD" w:rsidRPr="004B611D" w:rsidRDefault="004834FD" w:rsidP="007B2832">
            <w:pPr>
              <w:pStyle w:val="Tablehead"/>
              <w:keepLines/>
              <w:rPr>
                <w:szCs w:val="22"/>
              </w:rPr>
            </w:pPr>
            <w:r w:rsidRPr="004B611D">
              <w:rPr>
                <w:szCs w:val="22"/>
              </w:rPr>
              <w:t>Type of stations</w:t>
            </w:r>
          </w:p>
        </w:tc>
        <w:tc>
          <w:tcPr>
            <w:tcW w:w="1763" w:type="dxa"/>
            <w:tcBorders>
              <w:top w:val="single" w:sz="4" w:space="0" w:color="00000A"/>
              <w:left w:val="single" w:sz="4" w:space="0" w:color="00000A"/>
              <w:bottom w:val="single" w:sz="4" w:space="0" w:color="00000A"/>
              <w:right w:val="single" w:sz="4" w:space="0" w:color="00000A"/>
            </w:tcBorders>
            <w:shd w:val="clear" w:color="auto" w:fill="auto"/>
            <w:tcMar>
              <w:left w:w="99" w:type="dxa"/>
            </w:tcMar>
            <w:vAlign w:val="center"/>
          </w:tcPr>
          <w:p w:rsidR="004834FD" w:rsidRPr="004B611D" w:rsidRDefault="004834FD" w:rsidP="007B2832">
            <w:pPr>
              <w:pStyle w:val="Tablehead"/>
              <w:keepLines/>
              <w:rPr>
                <w:rFonts w:eastAsia="???"/>
                <w:szCs w:val="22"/>
              </w:rPr>
            </w:pPr>
            <w:r w:rsidRPr="004B611D">
              <w:rPr>
                <w:rFonts w:eastAsia="???"/>
                <w:szCs w:val="22"/>
              </w:rPr>
              <w:t>SF</w:t>
            </w:r>
            <w:r w:rsidRPr="004B611D">
              <w:rPr>
                <w:rFonts w:eastAsia="???"/>
                <w:szCs w:val="22"/>
              </w:rPr>
              <w:br/>
              <w:t>(KRW)</w:t>
            </w:r>
          </w:p>
        </w:tc>
      </w:tr>
      <w:tr w:rsidR="004834FD" w:rsidRPr="004B611D" w:rsidTr="007B2832">
        <w:trPr>
          <w:jc w:val="center"/>
        </w:trPr>
        <w:tc>
          <w:tcPr>
            <w:tcW w:w="6938"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4834FD" w:rsidRDefault="004834FD" w:rsidP="007B2832">
            <w:pPr>
              <w:pStyle w:val="Tabletext"/>
              <w:keepNext/>
              <w:keepLines/>
              <w:rPr>
                <w:szCs w:val="22"/>
                <w:lang w:val="en-GB" w:eastAsia="ko-KR"/>
              </w:rPr>
            </w:pPr>
            <w:r w:rsidRPr="004834FD">
              <w:rPr>
                <w:szCs w:val="22"/>
                <w:lang w:val="en-GB" w:eastAsia="ko-KR"/>
              </w:rPr>
              <w:t>Earth s</w:t>
            </w:r>
            <w:r w:rsidRPr="004834FD">
              <w:rPr>
                <w:szCs w:val="22"/>
                <w:lang w:val="en-GB"/>
              </w:rPr>
              <w:t xml:space="preserve">tations installed on vehicles (such as ships </w:t>
            </w:r>
            <w:r w:rsidRPr="004834FD">
              <w:rPr>
                <w:szCs w:val="22"/>
                <w:lang w:val="en-GB" w:eastAsia="ko-KR"/>
              </w:rPr>
              <w:t>or</w:t>
            </w:r>
            <w:r w:rsidRPr="004834FD">
              <w:rPr>
                <w:szCs w:val="22"/>
                <w:lang w:val="en-GB"/>
              </w:rPr>
              <w:t xml:space="preserve"> </w:t>
            </w:r>
            <w:r w:rsidRPr="004834FD">
              <w:rPr>
                <w:szCs w:val="22"/>
                <w:lang w:val="en-GB" w:eastAsia="ko-KR"/>
              </w:rPr>
              <w:t>automobiles</w:t>
            </w:r>
            <w:r w:rsidRPr="004834FD">
              <w:rPr>
                <w:szCs w:val="22"/>
                <w:lang w:val="en-GB"/>
              </w:rPr>
              <w:t>)</w:t>
            </w:r>
          </w:p>
        </w:tc>
        <w:tc>
          <w:tcPr>
            <w:tcW w:w="1763"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4B611D" w:rsidRDefault="004834FD" w:rsidP="007B2832">
            <w:pPr>
              <w:pStyle w:val="Tabletext"/>
              <w:keepNext/>
              <w:keepLines/>
              <w:jc w:val="center"/>
              <w:rPr>
                <w:szCs w:val="22"/>
              </w:rPr>
            </w:pPr>
            <w:r w:rsidRPr="004B611D">
              <w:rPr>
                <w:szCs w:val="22"/>
              </w:rPr>
              <w:t>20</w:t>
            </w:r>
            <w:r w:rsidRPr="004B611D">
              <w:rPr>
                <w:rFonts w:ascii="Tms Rmn" w:hAnsi="Tms Rmn"/>
                <w:szCs w:val="22"/>
              </w:rPr>
              <w:t> </w:t>
            </w:r>
            <w:r w:rsidRPr="004B611D">
              <w:rPr>
                <w:szCs w:val="22"/>
              </w:rPr>
              <w:t>000</w:t>
            </w:r>
          </w:p>
        </w:tc>
      </w:tr>
      <w:tr w:rsidR="004834FD" w:rsidRPr="004B611D" w:rsidTr="007B2832">
        <w:trPr>
          <w:jc w:val="center"/>
        </w:trPr>
        <w:tc>
          <w:tcPr>
            <w:tcW w:w="6938"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4834FD" w:rsidRDefault="004834FD" w:rsidP="007B2832">
            <w:pPr>
              <w:pStyle w:val="Tabletext"/>
              <w:keepNext/>
              <w:keepLines/>
              <w:rPr>
                <w:szCs w:val="22"/>
                <w:lang w:val="en-GB"/>
              </w:rPr>
            </w:pPr>
            <w:r w:rsidRPr="004834FD">
              <w:rPr>
                <w:szCs w:val="22"/>
                <w:lang w:val="en-GB" w:eastAsia="ko-KR"/>
              </w:rPr>
              <w:t>Common carrier</w:t>
            </w:r>
            <w:r w:rsidRPr="004834FD">
              <w:rPr>
                <w:szCs w:val="22"/>
                <w:lang w:val="en-GB"/>
              </w:rPr>
              <w:t>’s earth stations for lease</w:t>
            </w:r>
          </w:p>
        </w:tc>
        <w:tc>
          <w:tcPr>
            <w:tcW w:w="1763"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4B611D" w:rsidRDefault="004834FD" w:rsidP="007B2832">
            <w:pPr>
              <w:pStyle w:val="Tabletext"/>
              <w:keepNext/>
              <w:keepLines/>
              <w:jc w:val="center"/>
              <w:rPr>
                <w:szCs w:val="22"/>
                <w:lang w:eastAsia="ko-KR"/>
              </w:rPr>
            </w:pPr>
            <w:r w:rsidRPr="004B611D">
              <w:rPr>
                <w:szCs w:val="22"/>
                <w:lang w:eastAsia="ko-KR"/>
              </w:rPr>
              <w:t>20 000</w:t>
            </w:r>
          </w:p>
        </w:tc>
      </w:tr>
      <w:tr w:rsidR="004834FD" w:rsidRPr="004B611D" w:rsidTr="007B2832">
        <w:trPr>
          <w:jc w:val="center"/>
        </w:trPr>
        <w:tc>
          <w:tcPr>
            <w:tcW w:w="6938"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4B611D" w:rsidRDefault="004834FD" w:rsidP="007B2832">
            <w:pPr>
              <w:pStyle w:val="Tabletext"/>
              <w:rPr>
                <w:szCs w:val="22"/>
              </w:rPr>
            </w:pPr>
            <w:r w:rsidRPr="004B611D">
              <w:rPr>
                <w:szCs w:val="22"/>
              </w:rPr>
              <w:t xml:space="preserve">Other stations </w:t>
            </w:r>
          </w:p>
        </w:tc>
        <w:tc>
          <w:tcPr>
            <w:tcW w:w="1763" w:type="dxa"/>
            <w:tcBorders>
              <w:top w:val="single" w:sz="4" w:space="0" w:color="00000A"/>
              <w:left w:val="single" w:sz="4" w:space="0" w:color="00000A"/>
              <w:bottom w:val="single" w:sz="4" w:space="0" w:color="00000A"/>
              <w:right w:val="single" w:sz="4" w:space="0" w:color="00000A"/>
            </w:tcBorders>
            <w:shd w:val="clear" w:color="auto" w:fill="auto"/>
            <w:tcMar>
              <w:left w:w="99" w:type="dxa"/>
            </w:tcMar>
          </w:tcPr>
          <w:p w:rsidR="004834FD" w:rsidRPr="004B611D" w:rsidRDefault="004834FD" w:rsidP="007B2832">
            <w:pPr>
              <w:pStyle w:val="Tabletext"/>
              <w:jc w:val="center"/>
              <w:rPr>
                <w:szCs w:val="22"/>
              </w:rPr>
            </w:pPr>
            <w:r w:rsidRPr="004B611D">
              <w:rPr>
                <w:szCs w:val="22"/>
              </w:rPr>
              <w:t>3</w:t>
            </w:r>
            <w:r w:rsidRPr="004B611D">
              <w:rPr>
                <w:rFonts w:ascii="Tms Rmn" w:hAnsi="Tms Rmn"/>
                <w:szCs w:val="22"/>
              </w:rPr>
              <w:t> </w:t>
            </w:r>
            <w:r w:rsidRPr="004B611D">
              <w:rPr>
                <w:szCs w:val="22"/>
              </w:rPr>
              <w:t>000</w:t>
            </w:r>
          </w:p>
        </w:tc>
      </w:tr>
    </w:tbl>
    <w:p w:rsidR="004834FD" w:rsidRPr="004B611D" w:rsidRDefault="004834FD" w:rsidP="004834FD">
      <w:pPr>
        <w:pStyle w:val="Tablefin"/>
      </w:pPr>
    </w:p>
    <w:p w:rsidR="00E71677" w:rsidRPr="00BD6197" w:rsidRDefault="00E71677" w:rsidP="00E71677">
      <w:pPr>
        <w:pStyle w:val="Heading3"/>
        <w:rPr>
          <w:lang w:val="en-US"/>
        </w:rPr>
      </w:pPr>
      <w:bookmarkStart w:id="2194" w:name="_Toc518394268"/>
      <w:r w:rsidRPr="00BD6197">
        <w:rPr>
          <w:lang w:val="en-US"/>
        </w:rPr>
        <w:t xml:space="preserve">5.2.12 </w:t>
      </w:r>
      <w:r w:rsidRPr="00BD6197">
        <w:rPr>
          <w:lang w:val="en-US"/>
        </w:rPr>
        <w:tab/>
        <w:t>Indonesia’s experience with spectrum fees</w:t>
      </w:r>
      <w:bookmarkEnd w:id="2184"/>
      <w:bookmarkEnd w:id="2194"/>
    </w:p>
    <w:p w:rsidR="00E71677" w:rsidRPr="00BD6197" w:rsidRDefault="00E71677" w:rsidP="00E71677">
      <w:pPr>
        <w:pStyle w:val="Headingb"/>
      </w:pPr>
      <w:bookmarkStart w:id="2195" w:name="_Toc370823667"/>
      <w:bookmarkStart w:id="2196" w:name="_Toc454285004"/>
      <w:bookmarkStart w:id="2197" w:name="_Toc462234168"/>
      <w:r w:rsidRPr="00BD6197">
        <w:t>B</w:t>
      </w:r>
      <w:bookmarkEnd w:id="2195"/>
      <w:r w:rsidRPr="00BD6197">
        <w:t>ackground</w:t>
      </w:r>
      <w:bookmarkEnd w:id="2196"/>
      <w:bookmarkEnd w:id="2197"/>
    </w:p>
    <w:p w:rsidR="00E71677" w:rsidRPr="00BD6197" w:rsidRDefault="00E71677" w:rsidP="00E71677">
      <w:pPr>
        <w:rPr>
          <w:lang w:val="en-US"/>
        </w:rPr>
      </w:pPr>
      <w:r w:rsidRPr="00BD6197">
        <w:rPr>
          <w:lang w:val="en-US"/>
        </w:rPr>
        <w:t xml:space="preserve">Spectrum is one of the scarce resources which has many advantages for the user. It means that spectrum has a value. In order to make efficient and effective the use of spectrum, ITU recommends the administrations to do national spectrum management. The national spectrum management needs costs that can be obtained by imposing the spectrum fee on the spectrum user. Every use of spectrum </w:t>
      </w:r>
      <w:r w:rsidRPr="00BD6197">
        <w:rPr>
          <w:lang w:val="en-US"/>
        </w:rPr>
        <w:lastRenderedPageBreak/>
        <w:t>in Indonesia must have a license. The license is used as the basis to determine the calculation of the spectrum fee.</w:t>
      </w:r>
    </w:p>
    <w:p w:rsidR="00E71677" w:rsidRPr="00BD6197" w:rsidRDefault="00E71677" w:rsidP="00E71677">
      <w:pPr>
        <w:pStyle w:val="FigureNo"/>
        <w:rPr>
          <w:lang w:val="en-US" w:eastAsia="zh-CN"/>
        </w:rPr>
      </w:pPr>
      <w:r w:rsidRPr="00BD6197">
        <w:rPr>
          <w:lang w:val="en-US" w:eastAsia="zh-CN"/>
        </w:rPr>
        <w:t>Figure 1</w:t>
      </w:r>
      <w:r w:rsidR="00263872">
        <w:rPr>
          <w:lang w:val="en-US" w:eastAsia="zh-CN"/>
        </w:rPr>
        <w:t>9</w:t>
      </w:r>
    </w:p>
    <w:p w:rsidR="00E71677" w:rsidRPr="00BD6197" w:rsidRDefault="00E71677" w:rsidP="00E71677">
      <w:pPr>
        <w:pStyle w:val="Figuretitle"/>
        <w:rPr>
          <w:lang w:val="en-US" w:eastAsia="zh-CN"/>
        </w:rPr>
      </w:pPr>
      <w:r w:rsidRPr="00BD6197">
        <w:rPr>
          <w:lang w:val="en-US" w:eastAsia="zh-CN"/>
        </w:rPr>
        <w:t>Current kind of licenses applied in Indonesia</w:t>
      </w:r>
    </w:p>
    <w:p w:rsidR="00E71677" w:rsidRPr="00BD6197" w:rsidRDefault="00E71677" w:rsidP="00E71677">
      <w:pPr>
        <w:pStyle w:val="Figure"/>
        <w:rPr>
          <w:lang w:val="en-US"/>
        </w:rPr>
      </w:pPr>
      <w:r>
        <w:rPr>
          <w:noProof/>
          <w:lang w:val="en-GB" w:eastAsia="zh-CN"/>
        </w:rPr>
        <w:drawing>
          <wp:inline distT="0" distB="0" distL="0" distR="0" wp14:anchorId="6250AD23" wp14:editId="4C0F058F">
            <wp:extent cx="5048250" cy="18859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3" cstate="print">
                      <a:extLst>
                        <a:ext uri="{28A0092B-C50C-407E-A947-70E740481C1C}">
                          <a14:useLocalDpi xmlns:a14="http://schemas.microsoft.com/office/drawing/2010/main" val="0"/>
                        </a:ext>
                      </a:extLst>
                    </a:blip>
                    <a:srcRect/>
                    <a:stretch>
                      <a:fillRect/>
                    </a:stretch>
                  </pic:blipFill>
                  <pic:spPr bwMode="auto">
                    <a:xfrm>
                      <a:off x="0" y="0"/>
                      <a:ext cx="5048250" cy="1885950"/>
                    </a:xfrm>
                    <a:prstGeom prst="rect">
                      <a:avLst/>
                    </a:prstGeom>
                    <a:noFill/>
                    <a:ln>
                      <a:noFill/>
                    </a:ln>
                  </pic:spPr>
                </pic:pic>
              </a:graphicData>
            </a:graphic>
          </wp:inline>
        </w:drawing>
      </w:r>
    </w:p>
    <w:p w:rsidR="00E71677" w:rsidRPr="00BD6197" w:rsidRDefault="00E71677" w:rsidP="00E71677">
      <w:pPr>
        <w:rPr>
          <w:lang w:val="en-US"/>
        </w:rPr>
      </w:pPr>
      <w:r w:rsidRPr="00BD6197">
        <w:rPr>
          <w:lang w:val="en-US"/>
        </w:rPr>
        <w:t xml:space="preserve">Those spectrum fees paid by the spectrum user will become </w:t>
      </w:r>
      <w:r w:rsidRPr="00BD6197">
        <w:rPr>
          <w:b/>
          <w:bCs/>
          <w:lang w:val="en-US"/>
        </w:rPr>
        <w:t>a government revenue from the non-tax sector</w:t>
      </w:r>
      <w:r w:rsidRPr="00BD6197">
        <w:rPr>
          <w:lang w:val="en-US"/>
        </w:rPr>
        <w:t>. Like the function of tax revenue, the non-tax revenue has the function for funding the national development and public services such as health service, law service, education, technology.</w:t>
      </w:r>
    </w:p>
    <w:p w:rsidR="00E71677" w:rsidRPr="00BD6197" w:rsidRDefault="00E71677" w:rsidP="00E71677">
      <w:pPr>
        <w:pStyle w:val="Title1"/>
        <w:rPr>
          <w:lang w:val="en-US"/>
        </w:rPr>
      </w:pPr>
      <w:bookmarkStart w:id="2198" w:name="_Toc364845296"/>
      <w:r w:rsidRPr="00BD6197">
        <w:rPr>
          <w:rFonts w:eastAsia="Calibri"/>
          <w:lang w:val="en-US"/>
        </w:rPr>
        <w:t>Spectrum licenses in Indonesia</w:t>
      </w:r>
    </w:p>
    <w:p w:rsidR="00E71677" w:rsidRPr="00A01420" w:rsidRDefault="00E71677" w:rsidP="00E71677">
      <w:pPr>
        <w:pStyle w:val="Headingb"/>
        <w:rPr>
          <w:lang w:val="en-US"/>
        </w:rPr>
      </w:pPr>
      <w:bookmarkStart w:id="2199" w:name="_Toc454285005"/>
      <w:bookmarkStart w:id="2200" w:name="_Toc462234169"/>
      <w:r w:rsidRPr="00A01420">
        <w:rPr>
          <w:lang w:val="en-US"/>
        </w:rPr>
        <w:t>Apparatus license</w:t>
      </w:r>
      <w:bookmarkEnd w:id="2199"/>
      <w:bookmarkEnd w:id="2200"/>
    </w:p>
    <w:p w:rsidR="00E71677" w:rsidRPr="00BD6197" w:rsidRDefault="00E71677" w:rsidP="00263872">
      <w:pPr>
        <w:rPr>
          <w:lang w:val="en-US"/>
        </w:rPr>
      </w:pPr>
      <w:r w:rsidRPr="00BD6197">
        <w:rPr>
          <w:lang w:val="en-US"/>
        </w:rPr>
        <w:t xml:space="preserve">The Government of Indonesia gives the apparatus license to the user for a </w:t>
      </w:r>
      <w:r w:rsidR="00263872">
        <w:rPr>
          <w:lang w:val="en-US"/>
        </w:rPr>
        <w:t>five</w:t>
      </w:r>
      <w:r w:rsidRPr="00BD6197">
        <w:rPr>
          <w:lang w:val="en-US"/>
        </w:rPr>
        <w:t xml:space="preserve"> year period. After the license is given to the spectrum users, they have to pay a spectrum fee every year before the maturity date.</w:t>
      </w:r>
    </w:p>
    <w:p w:rsidR="00E71677" w:rsidRPr="00BD6197" w:rsidRDefault="00E71677" w:rsidP="00E71677">
      <w:pPr>
        <w:rPr>
          <w:lang w:val="en-US"/>
        </w:rPr>
      </w:pPr>
      <w:r w:rsidRPr="00BD6197">
        <w:rPr>
          <w:lang w:val="en-US"/>
        </w:rPr>
        <w:t>The spectrum fee that has to be paid by the spectrum users is calculated using formula containing some components as follows:</w:t>
      </w:r>
    </w:p>
    <w:p w:rsidR="00E71677" w:rsidRPr="00BD6197" w:rsidRDefault="00E71677" w:rsidP="00E71677">
      <w:pPr>
        <w:pStyle w:val="enumlev1"/>
        <w:rPr>
          <w:lang w:val="en-US"/>
        </w:rPr>
      </w:pPr>
      <w:r w:rsidRPr="00BD6197">
        <w:rPr>
          <w:lang w:val="en-US"/>
        </w:rPr>
        <w:t>–</w:t>
      </w:r>
      <w:r w:rsidRPr="00BD6197">
        <w:rPr>
          <w:lang w:val="en-US"/>
        </w:rPr>
        <w:tab/>
        <w:t>Basic price for spectrum power (HDDP)</w:t>
      </w:r>
    </w:p>
    <w:p w:rsidR="00E71677" w:rsidRPr="00BD6197" w:rsidRDefault="00E71677" w:rsidP="00E71677">
      <w:pPr>
        <w:pStyle w:val="enumlev1"/>
        <w:rPr>
          <w:lang w:val="en-US"/>
        </w:rPr>
      </w:pPr>
      <w:r w:rsidRPr="00BD6197">
        <w:rPr>
          <w:lang w:val="en-US"/>
        </w:rPr>
        <w:t>–</w:t>
      </w:r>
      <w:r w:rsidRPr="00BD6197">
        <w:rPr>
          <w:lang w:val="en-US"/>
        </w:rPr>
        <w:tab/>
        <w:t>Basic price for spectrum bandwidth (HDLP)</w:t>
      </w:r>
    </w:p>
    <w:p w:rsidR="00E71677" w:rsidRPr="00BD6197" w:rsidRDefault="00E71677" w:rsidP="00E71677">
      <w:pPr>
        <w:pStyle w:val="enumlev1"/>
        <w:rPr>
          <w:lang w:val="en-US"/>
        </w:rPr>
      </w:pPr>
      <w:r w:rsidRPr="00BD6197">
        <w:rPr>
          <w:lang w:val="en-US"/>
        </w:rPr>
        <w:t>–</w:t>
      </w:r>
      <w:r w:rsidRPr="00BD6197">
        <w:rPr>
          <w:lang w:val="en-US"/>
        </w:rPr>
        <w:tab/>
        <w:t>Spectrum Power (p)</w:t>
      </w:r>
    </w:p>
    <w:p w:rsidR="00E71677" w:rsidRPr="00BD6197" w:rsidRDefault="00E71677" w:rsidP="00E71677">
      <w:pPr>
        <w:pStyle w:val="enumlev1"/>
        <w:rPr>
          <w:lang w:val="en-US"/>
        </w:rPr>
      </w:pPr>
      <w:r w:rsidRPr="00BD6197">
        <w:rPr>
          <w:lang w:val="en-US"/>
        </w:rPr>
        <w:t>–</w:t>
      </w:r>
      <w:r w:rsidRPr="00BD6197">
        <w:rPr>
          <w:lang w:val="en-US"/>
        </w:rPr>
        <w:tab/>
        <w:t xml:space="preserve">Bandwidth (b) </w:t>
      </w:r>
    </w:p>
    <w:p w:rsidR="00E71677" w:rsidRPr="00BD6197" w:rsidRDefault="00E71677" w:rsidP="00E71677">
      <w:pPr>
        <w:pStyle w:val="enumlev1"/>
        <w:rPr>
          <w:lang w:val="en-US"/>
        </w:rPr>
      </w:pPr>
      <w:r w:rsidRPr="00BD6197">
        <w:rPr>
          <w:lang w:val="en-US"/>
        </w:rPr>
        <w:t>–</w:t>
      </w:r>
      <w:r w:rsidRPr="00BD6197">
        <w:rPr>
          <w:lang w:val="en-US"/>
        </w:rPr>
        <w:tab/>
        <w:t xml:space="preserve">Index of bandwidth (Ib) </w:t>
      </w:r>
    </w:p>
    <w:p w:rsidR="00E71677" w:rsidRPr="00BD6197" w:rsidRDefault="00E71677" w:rsidP="00E71677">
      <w:pPr>
        <w:pStyle w:val="enumlev1"/>
        <w:rPr>
          <w:lang w:val="en-US"/>
        </w:rPr>
      </w:pPr>
      <w:r w:rsidRPr="00BD6197">
        <w:rPr>
          <w:lang w:val="en-US"/>
        </w:rPr>
        <w:t>–</w:t>
      </w:r>
      <w:r w:rsidRPr="00BD6197">
        <w:rPr>
          <w:lang w:val="en-US"/>
        </w:rPr>
        <w:tab/>
        <w:t>Index of power (Ip)</w:t>
      </w:r>
    </w:p>
    <w:p w:rsidR="00E71677" w:rsidRPr="00BD6197" w:rsidRDefault="00E71677" w:rsidP="00E71677">
      <w:pPr>
        <w:pStyle w:val="enumlev1"/>
        <w:rPr>
          <w:lang w:val="en-US"/>
        </w:rPr>
      </w:pPr>
      <w:r w:rsidRPr="00BD6197">
        <w:rPr>
          <w:lang w:val="en-US"/>
        </w:rPr>
        <w:t>–</w:t>
      </w:r>
      <w:r w:rsidRPr="00BD6197">
        <w:rPr>
          <w:lang w:val="en-US"/>
        </w:rPr>
        <w:tab/>
        <w:t>Zone of telecommunication service</w:t>
      </w:r>
      <w:r>
        <w:rPr>
          <w:lang w:val="en-US"/>
        </w:rPr>
        <w:t>.</w:t>
      </w:r>
    </w:p>
    <w:p w:rsidR="00E71677" w:rsidRPr="00BD6197" w:rsidRDefault="00E71677" w:rsidP="00263872">
      <w:pPr>
        <w:rPr>
          <w:lang w:val="en-US"/>
        </w:rPr>
      </w:pPr>
      <w:r w:rsidRPr="00BD6197">
        <w:rPr>
          <w:lang w:val="en-US"/>
        </w:rPr>
        <w:t>The spectrum fee formula for an apparatus license is:</w:t>
      </w:r>
    </w:p>
    <w:p w:rsidR="00E71677" w:rsidRPr="00BD6197" w:rsidRDefault="00E71677" w:rsidP="00E71677">
      <w:pPr>
        <w:pStyle w:val="Equation"/>
        <w:rPr>
          <w:lang w:val="en-US"/>
        </w:rPr>
      </w:pPr>
      <w:r w:rsidRPr="00BD6197">
        <w:rPr>
          <w:lang w:val="en-US"/>
        </w:rPr>
        <w:tab/>
      </w:r>
      <w:r w:rsidRPr="00BD6197">
        <w:rPr>
          <w:lang w:val="en-US"/>
        </w:rPr>
        <w:tab/>
      </w:r>
      <w:r>
        <w:rPr>
          <w:noProof/>
          <w:lang w:val="en-GB" w:eastAsia="zh-CN"/>
        </w:rPr>
        <mc:AlternateContent>
          <mc:Choice Requires="wps">
            <w:drawing>
              <wp:inline distT="0" distB="0" distL="0" distR="0" wp14:anchorId="775523BA" wp14:editId="18487C2D">
                <wp:extent cx="4312285" cy="467995"/>
                <wp:effectExtent l="3810" t="0" r="0" b="0"/>
                <wp:docPr id="51" name="Rectangle 51"/>
                <wp:cNvGraphicFramePr>
                  <a:graphicFrameLocks xmlns:a="http://schemas.openxmlformats.org/drawingml/2006/main" noGrp="1" noChangeAspect="1"/>
                </wp:cNvGraphicFramePr>
                <a:graphic xmlns:a="http://schemas.openxmlformats.org/drawingml/2006/main">
                  <a:graphicData uri="http://schemas.microsoft.com/office/word/2010/wordprocessingShape">
                    <wps:wsp>
                      <wps:cNvSpPr>
                        <a:spLocks noGrp="1" noChangeAspect="1" noEditPoints="1" noAdjustHandles="1" noChangeArrowheads="1" noChangeShapeType="1" noTextEdit="1"/>
                      </wps:cNvSpPr>
                      <wps:spPr bwMode="auto">
                        <a:xfrm>
                          <a:off x="0" y="0"/>
                          <a:ext cx="4312285" cy="467995"/>
                        </a:xfrm>
                        <a:prstGeom prst="rect">
                          <a:avLst/>
                        </a:prstGeom>
                        <a:blipFill dpi="0" rotWithShape="1">
                          <a:blip r:embed="rId314"/>
                          <a:srcRect/>
                          <a:stretch>
                            <a:fillRect/>
                          </a:stretch>
                        </a:blip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rsidR="003C5F80" w:rsidRDefault="003C5F80" w:rsidP="00E71677"/>
                        </w:txbxContent>
                      </wps:txbx>
                      <wps:bodyPr rot="0" vert="horz" wrap="square" lIns="91440" tIns="45720" rIns="91440" bIns="45720" anchor="t" anchorCtr="0" upright="1">
                        <a:noAutofit/>
                      </wps:bodyPr>
                    </wps:wsp>
                  </a:graphicData>
                </a:graphic>
              </wp:inline>
            </w:drawing>
          </mc:Choice>
          <mc:Fallback>
            <w:pict>
              <v:rect w14:anchorId="775523BA" id="Rectangle 51" o:spid="_x0000_s1026" style="width:339.55pt;height:36.85pt;visibility:visible;mso-wrap-style:square;mso-left-percent:-10001;mso-top-percent:-10001;mso-position-horizontal:absolute;mso-position-horizontal-relative:char;mso-position-vertical:absolute;mso-position-vertical-relative:line;mso-left-percent:-10001;mso-top-percent:-10001;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" stroked="f">
                <v:fill r:id="rId315" o:title="" recolor="t" rotate="t" type="frame"/>
                <v:shadow color="#eeece1"/>
                <o:lock v:ext="edit" aspectratio="t" verticies="t" text="t" adjusthandles="t" grouping="t" shapetype="t"/>
                <v:textbox>
                  <w:txbxContent>
                    <w:p w:rsidR="003C5F80" w:rsidRDefault="003C5F80" w:rsidP="00E71677"/>
                  </w:txbxContent>
                </v:textbox>
                <w10:anchorlock/>
              </v:rect>
            </w:pict>
          </mc:Fallback>
        </mc:AlternateContent>
      </w:r>
    </w:p>
    <w:p w:rsidR="00E71677" w:rsidRPr="00BD6197" w:rsidRDefault="00E71677" w:rsidP="00E71677">
      <w:pPr>
        <w:rPr>
          <w:lang w:val="en-US"/>
        </w:rPr>
      </w:pPr>
      <w:r w:rsidRPr="00BD6197">
        <w:rPr>
          <w:lang w:val="en-US"/>
        </w:rPr>
        <w:t>where:</w:t>
      </w:r>
    </w:p>
    <w:p w:rsidR="00E71677" w:rsidRPr="00BD6197" w:rsidRDefault="00E71677" w:rsidP="00E71677">
      <w:pPr>
        <w:pStyle w:val="Equationlegend"/>
      </w:pPr>
      <w:r w:rsidRPr="00BD6197">
        <w:tab/>
        <w:t>Ib</w:t>
      </w:r>
      <w:r w:rsidR="00AE4F74">
        <w:t>:</w:t>
      </w:r>
      <w:r w:rsidRPr="00BD6197">
        <w:tab/>
        <w:t>is index of bandwidth</w:t>
      </w:r>
    </w:p>
    <w:p w:rsidR="00E71677" w:rsidRPr="00BD6197" w:rsidRDefault="00E71677" w:rsidP="00AE4F74">
      <w:pPr>
        <w:pStyle w:val="Equationlegend"/>
      </w:pPr>
      <w:r w:rsidRPr="00BD6197">
        <w:tab/>
        <w:t>Ip</w:t>
      </w:r>
      <w:r w:rsidR="00AE4F74">
        <w:t>:</w:t>
      </w:r>
      <w:r w:rsidRPr="00BD6197">
        <w:tab/>
        <w:t>is index of spectrum power</w:t>
      </w:r>
    </w:p>
    <w:p w:rsidR="00E71677" w:rsidRPr="00BD6197" w:rsidRDefault="00E71677" w:rsidP="00AE4F74">
      <w:pPr>
        <w:pStyle w:val="Equationlegend"/>
      </w:pPr>
      <w:r w:rsidRPr="00BD6197">
        <w:tab/>
        <w:t>HDLP</w:t>
      </w:r>
      <w:r w:rsidR="00AE4F74">
        <w:t>:</w:t>
      </w:r>
      <w:r w:rsidRPr="00BD6197">
        <w:tab/>
        <w:t>is basic price for spectrum bandwidth</w:t>
      </w:r>
    </w:p>
    <w:p w:rsidR="00E71677" w:rsidRPr="00BD6197" w:rsidRDefault="00E71677" w:rsidP="00AE4F74">
      <w:pPr>
        <w:pStyle w:val="Equationlegend"/>
      </w:pPr>
      <w:r w:rsidRPr="00BD6197">
        <w:tab/>
        <w:t>HDDP</w:t>
      </w:r>
      <w:r w:rsidR="00AE4F74">
        <w:t>:</w:t>
      </w:r>
      <w:r w:rsidRPr="00BD6197">
        <w:tab/>
        <w:t>is basic price for spectrum power</w:t>
      </w:r>
    </w:p>
    <w:p w:rsidR="00E71677" w:rsidRPr="00BD6197" w:rsidRDefault="00E71677" w:rsidP="00AE4F74">
      <w:pPr>
        <w:pStyle w:val="Equationlegend"/>
      </w:pPr>
      <w:r w:rsidRPr="00BD6197">
        <w:tab/>
        <w:t>b</w:t>
      </w:r>
      <w:r w:rsidR="00AE4F74">
        <w:t>:</w:t>
      </w:r>
      <w:r w:rsidRPr="00BD6197">
        <w:tab/>
        <w:t>is bandwidth occupied (kHz)</w:t>
      </w:r>
    </w:p>
    <w:p w:rsidR="00E71677" w:rsidRPr="00BD6197" w:rsidRDefault="00E71677" w:rsidP="00AE4F74">
      <w:pPr>
        <w:pStyle w:val="Equationlegend"/>
      </w:pPr>
      <w:r w:rsidRPr="00BD6197">
        <w:lastRenderedPageBreak/>
        <w:tab/>
        <w:t>p</w:t>
      </w:r>
      <w:r w:rsidR="00AE4F74">
        <w:t>:</w:t>
      </w:r>
      <w:r w:rsidRPr="00BD6197">
        <w:tab/>
        <w:t>is spectrum power from EIRP (dBmWatt).</w:t>
      </w:r>
    </w:p>
    <w:p w:rsidR="00E71677" w:rsidRPr="00BD6197" w:rsidRDefault="00E71677" w:rsidP="00E71677">
      <w:pPr>
        <w:pStyle w:val="enumlev1"/>
        <w:rPr>
          <w:lang w:val="en-US"/>
        </w:rPr>
      </w:pPr>
      <w:r w:rsidRPr="00BD6197">
        <w:rPr>
          <w:lang w:val="en-US"/>
        </w:rPr>
        <w:t>–</w:t>
      </w:r>
      <w:r w:rsidRPr="00BD6197">
        <w:rPr>
          <w:lang w:val="en-US"/>
        </w:rPr>
        <w:tab/>
        <w:t xml:space="preserve">The basic price for spectrum power (HDDP) and basic price for spectrum bandwidth (HDLP) are determined by the Government of Indonesia and stated in the regulation. </w:t>
      </w:r>
    </w:p>
    <w:p w:rsidR="00E71677" w:rsidRPr="00BD6197" w:rsidRDefault="00E71677" w:rsidP="00E71677">
      <w:pPr>
        <w:pStyle w:val="enumlev1"/>
        <w:rPr>
          <w:lang w:val="en-US"/>
        </w:rPr>
      </w:pPr>
      <w:r w:rsidRPr="00BD6197">
        <w:rPr>
          <w:lang w:val="en-US"/>
        </w:rPr>
        <w:t>–</w:t>
      </w:r>
      <w:r w:rsidRPr="00BD6197">
        <w:rPr>
          <w:lang w:val="en-US"/>
        </w:rPr>
        <w:tab/>
        <w:t>The numbers depend on the kind of radio frequency used, such as HF, VHF, UHF, and the zone (area) where the license is covered.</w:t>
      </w:r>
    </w:p>
    <w:p w:rsidR="00E71677" w:rsidRPr="00BD6197" w:rsidRDefault="00E71677" w:rsidP="00E71677">
      <w:pPr>
        <w:pStyle w:val="enumlev1"/>
        <w:rPr>
          <w:lang w:val="en-US"/>
        </w:rPr>
      </w:pPr>
      <w:r w:rsidRPr="00BD6197">
        <w:rPr>
          <w:lang w:val="en-US"/>
        </w:rPr>
        <w:t>–</w:t>
      </w:r>
      <w:r w:rsidRPr="00BD6197">
        <w:rPr>
          <w:lang w:val="en-US"/>
        </w:rPr>
        <w:tab/>
        <w:t>There are 5 (five) zones of frequency in Indonesia that can be occupied by the spectrum user. The administrator divided the area of Indonesia into 5 (five) zones based on the potency and the social economy condition of each zone.</w:t>
      </w:r>
    </w:p>
    <w:bookmarkEnd w:id="2198"/>
    <w:p w:rsidR="00E71677" w:rsidRPr="00BD6197" w:rsidRDefault="00E71677" w:rsidP="00E71677">
      <w:pPr>
        <w:rPr>
          <w:lang w:val="en-US"/>
        </w:rPr>
      </w:pPr>
      <w:r w:rsidRPr="00BD6197">
        <w:rPr>
          <w:lang w:val="en-US"/>
        </w:rPr>
        <w:t>Ib (index of bandwidth occupied) and Ip (index of transmit power) are determined by technical evaluation from Directorate General Resource Management and Equipment Standards of Post and Information Technology and will be evaluated every two years.</w:t>
      </w:r>
    </w:p>
    <w:p w:rsidR="00E71677" w:rsidRPr="00BD6197" w:rsidRDefault="00E71677" w:rsidP="00E71677">
      <w:pPr>
        <w:rPr>
          <w:lang w:val="en-US"/>
        </w:rPr>
      </w:pPr>
      <w:r w:rsidRPr="00BD6197">
        <w:rPr>
          <w:lang w:val="en-US"/>
        </w:rPr>
        <w:t>The evaluation of those indexes should bring some components such as:</w:t>
      </w:r>
    </w:p>
    <w:p w:rsidR="00E71677" w:rsidRPr="00BD6197" w:rsidRDefault="00E71677" w:rsidP="00E71677">
      <w:pPr>
        <w:pStyle w:val="enumlev1"/>
        <w:rPr>
          <w:lang w:val="en-US"/>
        </w:rPr>
      </w:pPr>
      <w:r w:rsidRPr="00BD6197">
        <w:rPr>
          <w:lang w:val="en-US"/>
        </w:rPr>
        <w:t>–</w:t>
      </w:r>
      <w:r w:rsidRPr="00BD6197">
        <w:rPr>
          <w:lang w:val="en-US"/>
        </w:rPr>
        <w:tab/>
        <w:t>The type of radio spectrum frequency</w:t>
      </w:r>
    </w:p>
    <w:p w:rsidR="00E71677" w:rsidRPr="00BD6197" w:rsidRDefault="00E71677" w:rsidP="00E71677">
      <w:pPr>
        <w:pStyle w:val="enumlev1"/>
        <w:rPr>
          <w:lang w:val="en-US"/>
        </w:rPr>
      </w:pPr>
      <w:r w:rsidRPr="00BD6197">
        <w:rPr>
          <w:lang w:val="en-US"/>
        </w:rPr>
        <w:t>–</w:t>
      </w:r>
      <w:r w:rsidRPr="00BD6197">
        <w:rPr>
          <w:lang w:val="en-US"/>
        </w:rPr>
        <w:tab/>
        <w:t xml:space="preserve">Bandwidth or spectrum channel </w:t>
      </w:r>
    </w:p>
    <w:p w:rsidR="00E71677" w:rsidRPr="00BD6197" w:rsidRDefault="00E71677" w:rsidP="00E71677">
      <w:pPr>
        <w:pStyle w:val="enumlev1"/>
        <w:rPr>
          <w:lang w:val="en-US"/>
        </w:rPr>
      </w:pPr>
      <w:r w:rsidRPr="00BD6197">
        <w:rPr>
          <w:lang w:val="en-US"/>
        </w:rPr>
        <w:t>–</w:t>
      </w:r>
      <w:r w:rsidRPr="00BD6197">
        <w:rPr>
          <w:lang w:val="en-US"/>
        </w:rPr>
        <w:tab/>
        <w:t>Covered area</w:t>
      </w:r>
    </w:p>
    <w:p w:rsidR="00E71677" w:rsidRPr="00BD6197" w:rsidRDefault="00E71677" w:rsidP="00E71677">
      <w:pPr>
        <w:pStyle w:val="enumlev1"/>
        <w:rPr>
          <w:lang w:val="en-US"/>
        </w:rPr>
      </w:pPr>
      <w:r w:rsidRPr="00BD6197">
        <w:rPr>
          <w:lang w:val="en-US"/>
        </w:rPr>
        <w:t>–</w:t>
      </w:r>
      <w:r w:rsidRPr="00BD6197">
        <w:rPr>
          <w:lang w:val="en-US"/>
        </w:rPr>
        <w:tab/>
        <w:t>Market interest</w:t>
      </w:r>
    </w:p>
    <w:p w:rsidR="00E71677" w:rsidRPr="00BD6197" w:rsidRDefault="00E71677" w:rsidP="00E71677">
      <w:pPr>
        <w:pStyle w:val="enumlev1"/>
        <w:rPr>
          <w:lang w:val="en-US"/>
        </w:rPr>
      </w:pPr>
      <w:r w:rsidRPr="00BD6197">
        <w:rPr>
          <w:lang w:val="en-US"/>
        </w:rPr>
        <w:t>–</w:t>
      </w:r>
      <w:r w:rsidRPr="00BD6197">
        <w:rPr>
          <w:lang w:val="en-US"/>
        </w:rPr>
        <w:tab/>
        <w:t>The technology applied.</w:t>
      </w:r>
    </w:p>
    <w:p w:rsidR="00E71677" w:rsidRPr="00BD6197" w:rsidRDefault="00E71677" w:rsidP="00E71677">
      <w:pPr>
        <w:rPr>
          <w:lang w:val="en-US"/>
        </w:rPr>
      </w:pPr>
      <w:r w:rsidRPr="00BD6197">
        <w:rPr>
          <w:lang w:val="en-US"/>
        </w:rPr>
        <w:t>The formula shows that the spectrum fee based on the radio station license depends on the amount of radio station transmitters. The more radio station transmitters, the more the operators have to pay as the spectrum fee.</w:t>
      </w:r>
    </w:p>
    <w:p w:rsidR="00E71677" w:rsidRPr="00BD6197" w:rsidRDefault="00E71677" w:rsidP="00E71677">
      <w:pPr>
        <w:rPr>
          <w:lang w:val="en-US"/>
        </w:rPr>
      </w:pPr>
      <w:r w:rsidRPr="00BD6197">
        <w:rPr>
          <w:lang w:val="en-US"/>
        </w:rPr>
        <w:t>Below are some services using frequencies that had a radio station license:</w:t>
      </w:r>
    </w:p>
    <w:p w:rsidR="00E71677" w:rsidRPr="00BD6197" w:rsidRDefault="00E71677" w:rsidP="00E71677">
      <w:pPr>
        <w:pStyle w:val="enumlev1"/>
        <w:rPr>
          <w:lang w:val="en-US"/>
        </w:rPr>
      </w:pPr>
      <w:r w:rsidRPr="00BD6197">
        <w:rPr>
          <w:lang w:val="en-US"/>
        </w:rPr>
        <w:t>–</w:t>
      </w:r>
      <w:r w:rsidRPr="00BD6197">
        <w:rPr>
          <w:lang w:val="en-US"/>
        </w:rPr>
        <w:tab/>
        <w:t>Microwave link</w:t>
      </w:r>
    </w:p>
    <w:p w:rsidR="00E71677" w:rsidRPr="00BD6197" w:rsidRDefault="00E71677" w:rsidP="00E71677">
      <w:pPr>
        <w:pStyle w:val="enumlev1"/>
        <w:rPr>
          <w:lang w:val="en-US"/>
        </w:rPr>
      </w:pPr>
      <w:r w:rsidRPr="00BD6197">
        <w:rPr>
          <w:lang w:val="en-US"/>
        </w:rPr>
        <w:t>–</w:t>
      </w:r>
      <w:r w:rsidRPr="00BD6197">
        <w:rPr>
          <w:lang w:val="en-US"/>
        </w:rPr>
        <w:tab/>
        <w:t>Television Broadcast (analogue)</w:t>
      </w:r>
    </w:p>
    <w:p w:rsidR="00E71677" w:rsidRPr="00BD6197" w:rsidRDefault="00E71677" w:rsidP="00E71677">
      <w:pPr>
        <w:pStyle w:val="enumlev1"/>
        <w:rPr>
          <w:lang w:val="en-US"/>
        </w:rPr>
      </w:pPr>
      <w:r w:rsidRPr="00BD6197">
        <w:rPr>
          <w:lang w:val="en-US"/>
        </w:rPr>
        <w:t>–</w:t>
      </w:r>
      <w:r w:rsidRPr="00BD6197">
        <w:rPr>
          <w:lang w:val="en-US"/>
        </w:rPr>
        <w:tab/>
        <w:t>Radio Trunking</w:t>
      </w:r>
    </w:p>
    <w:p w:rsidR="00E71677" w:rsidRPr="00BD6197" w:rsidRDefault="00E71677" w:rsidP="00E71677">
      <w:pPr>
        <w:pStyle w:val="enumlev1"/>
        <w:rPr>
          <w:lang w:val="en-US"/>
        </w:rPr>
      </w:pPr>
      <w:r w:rsidRPr="00BD6197">
        <w:rPr>
          <w:lang w:val="en-US"/>
        </w:rPr>
        <w:t>–</w:t>
      </w:r>
      <w:r w:rsidRPr="00BD6197">
        <w:rPr>
          <w:lang w:val="en-US"/>
        </w:rPr>
        <w:tab/>
        <w:t>Satellite</w:t>
      </w:r>
    </w:p>
    <w:p w:rsidR="00E71677" w:rsidRPr="00A01420" w:rsidRDefault="00E71677" w:rsidP="00E71677">
      <w:pPr>
        <w:pStyle w:val="Headingb"/>
        <w:rPr>
          <w:lang w:val="en-US"/>
        </w:rPr>
      </w:pPr>
      <w:bookmarkStart w:id="2201" w:name="_Toc454285006"/>
      <w:bookmarkStart w:id="2202" w:name="_Toc462234170"/>
      <w:r w:rsidRPr="00A01420">
        <w:rPr>
          <w:lang w:val="en-US"/>
        </w:rPr>
        <w:t>Bandwidth license</w:t>
      </w:r>
      <w:bookmarkEnd w:id="2201"/>
      <w:bookmarkEnd w:id="2202"/>
    </w:p>
    <w:p w:rsidR="00E71677" w:rsidRPr="00BD6197" w:rsidRDefault="00E71677" w:rsidP="00E71677">
      <w:pPr>
        <w:rPr>
          <w:lang w:val="en-US"/>
        </w:rPr>
      </w:pPr>
      <w:r w:rsidRPr="00BD6197">
        <w:rPr>
          <w:lang w:val="en-US"/>
        </w:rPr>
        <w:t xml:space="preserve">Nowadays, a spectrum fee based on an apparatus license is no longer effective for both the operator as the spectrum user and the administrator who oversee the use of spectrum. Therefore, since 2010 Indonesia started to implement a bandwidth license for some frequencies, such as the frequency bands for 2G, 3G and BWA 2.3 GHz. After implementing the spectrum bandwidth license, Government of Indonesia needed to evaluate the previous spectrum fee formula. The apparatus license is unable to comply with the development of advanced technology. The new formula should be able to fit with the changes in the telecommunication industry, which is very dynamic. </w:t>
      </w:r>
    </w:p>
    <w:p w:rsidR="00E71677" w:rsidRPr="00BD6197" w:rsidRDefault="00E71677" w:rsidP="00263872">
      <w:pPr>
        <w:pStyle w:val="Headingb"/>
        <w:rPr>
          <w:lang w:val="en-US"/>
        </w:rPr>
      </w:pPr>
      <w:r w:rsidRPr="00BD6197">
        <w:rPr>
          <w:lang w:val="en-US"/>
        </w:rPr>
        <w:t xml:space="preserve">The spectrum fee based on spectrum bandwidth </w:t>
      </w:r>
    </w:p>
    <w:p w:rsidR="00E71677" w:rsidRPr="00BD6197" w:rsidRDefault="00E71677" w:rsidP="00E71677">
      <w:pPr>
        <w:pStyle w:val="enumlev1"/>
        <w:rPr>
          <w:lang w:val="en-US"/>
        </w:rPr>
      </w:pPr>
      <w:r w:rsidRPr="00BD6197">
        <w:rPr>
          <w:lang w:val="en-US"/>
        </w:rPr>
        <w:t>1</w:t>
      </w:r>
      <w:r w:rsidRPr="00BD6197">
        <w:rPr>
          <w:lang w:val="en-US"/>
        </w:rPr>
        <w:tab/>
        <w:t>Auction</w:t>
      </w:r>
    </w:p>
    <w:p w:rsidR="00E71677" w:rsidRPr="00BD6197" w:rsidRDefault="00E71677" w:rsidP="00E71677">
      <w:pPr>
        <w:pStyle w:val="enumlev1"/>
        <w:rPr>
          <w:lang w:val="en-US"/>
        </w:rPr>
      </w:pPr>
      <w:r w:rsidRPr="00BD6197">
        <w:rPr>
          <w:lang w:val="en-US"/>
        </w:rPr>
        <w:t>2</w:t>
      </w:r>
      <w:r w:rsidRPr="00BD6197">
        <w:rPr>
          <w:lang w:val="en-US"/>
        </w:rPr>
        <w:tab/>
        <w:t>Formula</w:t>
      </w:r>
    </w:p>
    <w:p w:rsidR="00E71677" w:rsidRPr="00BD6197" w:rsidRDefault="00E71677" w:rsidP="00263872">
      <w:pPr>
        <w:rPr>
          <w:lang w:val="en-US"/>
        </w:rPr>
      </w:pPr>
      <w:r w:rsidRPr="00BD6197">
        <w:rPr>
          <w:szCs w:val="24"/>
          <w:lang w:val="en-US"/>
        </w:rPr>
        <w:t>In 2006, Indonesia held an auction for 3G in the frequency range 1 940-1 955 MHz / 2 130</w:t>
      </w:r>
      <w:r w:rsidR="00AE4F74">
        <w:rPr>
          <w:szCs w:val="24"/>
          <w:lang w:val="en-US"/>
        </w:rPr>
        <w:noBreakHyphen/>
      </w:r>
      <w:r w:rsidRPr="00BD6197">
        <w:rPr>
          <w:szCs w:val="24"/>
          <w:lang w:val="en-US"/>
        </w:rPr>
        <w:t>2 145</w:t>
      </w:r>
      <w:r w:rsidR="00AE4F74">
        <w:rPr>
          <w:szCs w:val="24"/>
          <w:lang w:val="en-US"/>
        </w:rPr>
        <w:t> </w:t>
      </w:r>
      <w:r w:rsidRPr="00BD6197">
        <w:rPr>
          <w:szCs w:val="24"/>
          <w:lang w:val="en-US"/>
        </w:rPr>
        <w:t xml:space="preserve">MHz. </w:t>
      </w:r>
      <w:r w:rsidRPr="00BD6197">
        <w:rPr>
          <w:lang w:val="en-US"/>
        </w:rPr>
        <w:t xml:space="preserve">The auction method called for a </w:t>
      </w:r>
      <w:r w:rsidR="00263872">
        <w:rPr>
          <w:lang w:val="en-US"/>
        </w:rPr>
        <w:t>two</w:t>
      </w:r>
      <w:r w:rsidRPr="00BD6197">
        <w:rPr>
          <w:lang w:val="en-US"/>
        </w:rPr>
        <w:t>-stage sealed bid auction. The winner of the auction will be granted the spectrum license for 10 years of use. The price from the auction became a reference to calculate the spectrum fee.</w:t>
      </w:r>
    </w:p>
    <w:p w:rsidR="00E71677" w:rsidRPr="00BD6197" w:rsidRDefault="00E71677" w:rsidP="00263872">
      <w:pPr>
        <w:pStyle w:val="Headingb"/>
        <w:rPr>
          <w:lang w:val="en-US"/>
        </w:rPr>
      </w:pPr>
      <w:r w:rsidRPr="00BD6197">
        <w:rPr>
          <w:lang w:val="en-US"/>
        </w:rPr>
        <w:lastRenderedPageBreak/>
        <w:t>Spectrum fee formula</w:t>
      </w:r>
    </w:p>
    <w:p w:rsidR="00E71677" w:rsidRPr="00BD6197" w:rsidRDefault="00E71677" w:rsidP="00E71677">
      <w:pPr>
        <w:rPr>
          <w:lang w:val="en-US"/>
        </w:rPr>
      </w:pPr>
      <w:r w:rsidRPr="00BD6197">
        <w:rPr>
          <w:lang w:val="en-US"/>
        </w:rPr>
        <w:t>In order to simplify the formula for calculating the spectrum fee and to give more advantages for both the operator as spectrum user and the government as regulator, in 2010 Indonesia applied the new formula for the use of spectrum in the frequency band of 800 MHz, 900 MHz, and 1 800 MHz, and the spectrum fee must be paid in advance before the user can use the spectrum.</w:t>
      </w:r>
    </w:p>
    <w:p w:rsidR="00E71677" w:rsidRPr="00BD6197" w:rsidRDefault="00E71677" w:rsidP="00263872">
      <w:pPr>
        <w:pStyle w:val="Headingb"/>
        <w:rPr>
          <w:lang w:val="en-US"/>
        </w:rPr>
      </w:pPr>
      <w:r w:rsidRPr="00BD6197">
        <w:rPr>
          <w:lang w:val="en-US"/>
        </w:rPr>
        <w:t>Spectrum fee based on bandwidth license = (N×K) × I × C × B</w:t>
      </w:r>
    </w:p>
    <w:p w:rsidR="00E71677" w:rsidRPr="00BD6197" w:rsidRDefault="00E71677" w:rsidP="00F810D3">
      <w:pPr>
        <w:pStyle w:val="Equationlegend"/>
      </w:pPr>
      <w:r w:rsidRPr="00BD6197">
        <w:tab/>
      </w:r>
      <w:r w:rsidRPr="00BD6197">
        <w:rPr>
          <w:i/>
          <w:iCs/>
        </w:rPr>
        <w:t>N</w:t>
      </w:r>
      <w:r w:rsidR="00F810D3">
        <w:t>:</w:t>
      </w:r>
      <w:r w:rsidRPr="00BD6197">
        <w:tab/>
        <w:t>is a normalization factor to stabilize the government revenue from the non-tax sector</w:t>
      </w:r>
      <w:r>
        <w:t>;</w:t>
      </w:r>
    </w:p>
    <w:p w:rsidR="00E71677" w:rsidRPr="00BD6197" w:rsidRDefault="00E71677" w:rsidP="00F810D3">
      <w:pPr>
        <w:pStyle w:val="Equationlegend"/>
      </w:pPr>
      <w:r w:rsidRPr="00BD6197">
        <w:tab/>
      </w:r>
      <w:r w:rsidRPr="00BD6197">
        <w:rPr>
          <w:i/>
          <w:iCs/>
        </w:rPr>
        <w:t>K</w:t>
      </w:r>
      <w:r w:rsidR="00F810D3">
        <w:t>:</w:t>
      </w:r>
      <w:r w:rsidRPr="00BD6197">
        <w:tab/>
        <w:t>is an adjustment factor for the frequency band considering the economy value of the spectrum used depending on the service and benefits</w:t>
      </w:r>
      <w:r>
        <w:t>;</w:t>
      </w:r>
    </w:p>
    <w:p w:rsidR="00E71677" w:rsidRPr="00BD6197" w:rsidRDefault="00E71677" w:rsidP="00F810D3">
      <w:pPr>
        <w:pStyle w:val="Equationlegend"/>
      </w:pPr>
      <w:r w:rsidRPr="00BD6197">
        <w:tab/>
      </w:r>
      <w:r w:rsidRPr="00BD6197">
        <w:rPr>
          <w:i/>
          <w:iCs/>
        </w:rPr>
        <w:t>I</w:t>
      </w:r>
      <w:r w:rsidR="00F810D3">
        <w:t>:</w:t>
      </w:r>
      <w:r w:rsidRPr="00BD6197">
        <w:tab/>
        <w:t>is the basic price index that is adjustable with propagation of the spectrum (Rp/MHz). The index is settled by government</w:t>
      </w:r>
      <w:r>
        <w:t>;</w:t>
      </w:r>
    </w:p>
    <w:p w:rsidR="00E71677" w:rsidRPr="00BD6197" w:rsidRDefault="00E71677" w:rsidP="00F810D3">
      <w:pPr>
        <w:pStyle w:val="Equationlegend"/>
      </w:pPr>
      <w:r w:rsidRPr="00BD6197">
        <w:tab/>
      </w:r>
      <w:r w:rsidRPr="00BD6197">
        <w:rPr>
          <w:i/>
          <w:iCs/>
        </w:rPr>
        <w:t>C</w:t>
      </w:r>
      <w:r w:rsidR="00F810D3">
        <w:t>:</w:t>
      </w:r>
      <w:r w:rsidRPr="00BD6197">
        <w:tab/>
        <w:t>is the last total population in a service area according to the spectrum bandwidth license (Kilopopulation)</w:t>
      </w:r>
      <w:r>
        <w:t>;</w:t>
      </w:r>
    </w:p>
    <w:p w:rsidR="00E71677" w:rsidRPr="00BD6197" w:rsidRDefault="00E71677" w:rsidP="00F810D3">
      <w:pPr>
        <w:pStyle w:val="Equationlegend"/>
      </w:pPr>
      <w:r w:rsidRPr="00BD6197">
        <w:tab/>
      </w:r>
      <w:r w:rsidRPr="00BD6197">
        <w:rPr>
          <w:i/>
          <w:iCs/>
        </w:rPr>
        <w:t>B</w:t>
      </w:r>
      <w:r w:rsidR="00F810D3">
        <w:t>:</w:t>
      </w:r>
      <w:r w:rsidRPr="00BD6197">
        <w:tab/>
        <w:t>is the bandwidth occupied by the spectrum user including the guardband (MHz).</w:t>
      </w:r>
    </w:p>
    <w:p w:rsidR="00E71677" w:rsidRPr="00BD6197" w:rsidRDefault="00E71677" w:rsidP="00E71677">
      <w:pPr>
        <w:rPr>
          <w:lang w:val="en-US"/>
        </w:rPr>
      </w:pPr>
      <w:r w:rsidRPr="00BD6197">
        <w:rPr>
          <w:lang w:val="en-US"/>
        </w:rPr>
        <w:t>In order to keep the sustainability of the telecommunication industry after implementing the bandwidth license instead of the radio station license, the Government of Indonesia made a policy to give the spectrum user a transition period. The transition period is the period given to the spectrum user of the FWA service to make the spectrum fee payment based on the spectrum bandwidth license using the formula given. The transition period is given for 5 years.</w:t>
      </w:r>
    </w:p>
    <w:p w:rsidR="00E71677" w:rsidRPr="00BD6197" w:rsidRDefault="00E71677" w:rsidP="00E71677">
      <w:pPr>
        <w:rPr>
          <w:lang w:val="en-US"/>
        </w:rPr>
      </w:pPr>
      <w:r w:rsidRPr="00BD6197">
        <w:rPr>
          <w:lang w:val="en-US"/>
        </w:rPr>
        <w:t xml:space="preserve">This period (5 years) is fair enough to avoid the fluctuation of the change of the spectrum fee. </w:t>
      </w:r>
    </w:p>
    <w:p w:rsidR="00E71677" w:rsidRPr="00BD6197" w:rsidRDefault="00E71677" w:rsidP="00E71677">
      <w:pPr>
        <w:pStyle w:val="Figure"/>
        <w:rPr>
          <w:lang w:val="en-US"/>
        </w:rPr>
      </w:pPr>
      <w:r>
        <w:rPr>
          <w:noProof/>
          <w:lang w:val="en-GB" w:eastAsia="zh-CN"/>
        </w:rPr>
        <w:drawing>
          <wp:inline distT="0" distB="0" distL="0" distR="0" wp14:anchorId="2FD08983" wp14:editId="6E384526">
            <wp:extent cx="4064000" cy="10668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6" cstate="print">
                      <a:extLst>
                        <a:ext uri="{28A0092B-C50C-407E-A947-70E740481C1C}">
                          <a14:useLocalDpi xmlns:a14="http://schemas.microsoft.com/office/drawing/2010/main" val="0"/>
                        </a:ext>
                      </a:extLst>
                    </a:blip>
                    <a:srcRect/>
                    <a:stretch>
                      <a:fillRect/>
                    </a:stretch>
                  </pic:blipFill>
                  <pic:spPr bwMode="auto">
                    <a:xfrm>
                      <a:off x="0" y="0"/>
                      <a:ext cx="4064000" cy="1066800"/>
                    </a:xfrm>
                    <a:prstGeom prst="rect">
                      <a:avLst/>
                    </a:prstGeom>
                    <a:noFill/>
                    <a:ln>
                      <a:noFill/>
                    </a:ln>
                  </pic:spPr>
                </pic:pic>
              </a:graphicData>
            </a:graphic>
          </wp:inline>
        </w:drawing>
      </w:r>
    </w:p>
    <w:p w:rsidR="00E71677" w:rsidRPr="00BD6197" w:rsidRDefault="00E71677" w:rsidP="00E71677">
      <w:pPr>
        <w:tabs>
          <w:tab w:val="left" w:pos="2760"/>
        </w:tabs>
        <w:rPr>
          <w:szCs w:val="24"/>
          <w:lang w:val="en-US"/>
        </w:rPr>
      </w:pPr>
      <w:r w:rsidRPr="00BD6197">
        <w:rPr>
          <w:szCs w:val="24"/>
          <w:lang w:val="en-US"/>
        </w:rPr>
        <w:t>Within 5 years, the spectrum user will pay the spectrum fee using the formula scheme below:</w:t>
      </w:r>
    </w:p>
    <w:p w:rsidR="00E71677" w:rsidRPr="00BD6197" w:rsidRDefault="00E71677" w:rsidP="00E71677">
      <w:pPr>
        <w:tabs>
          <w:tab w:val="left" w:pos="2760"/>
        </w:tabs>
        <w:spacing w:before="0"/>
        <w:rPr>
          <w:szCs w:val="24"/>
          <w:lang w:val="en-US"/>
        </w:rPr>
      </w:pPr>
    </w:p>
    <w:tbl>
      <w:tblPr>
        <w:tblW w:w="5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1628"/>
        <w:gridCol w:w="3507"/>
      </w:tblGrid>
      <w:tr w:rsidR="00E71677" w:rsidRPr="00BD6197" w:rsidTr="000F2BA7">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E71677" w:rsidRPr="00BD6197" w:rsidRDefault="00E71677" w:rsidP="00F810D3">
            <w:pPr>
              <w:pStyle w:val="Tabletext"/>
              <w:keepNext/>
              <w:keepLines/>
              <w:jc w:val="center"/>
              <w:rPr>
                <w:rFonts w:ascii="Arial" w:hAnsi="Arial" w:cs="Arial"/>
                <w:lang w:val="en-US" w:eastAsia="id-ID"/>
              </w:rPr>
            </w:pPr>
            <w:r w:rsidRPr="00BD6197">
              <w:rPr>
                <w:rFonts w:eastAsia="Calibri"/>
                <w:lang w:val="en-US" w:eastAsia="id-ID"/>
              </w:rPr>
              <w:t>Year 1</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E71677" w:rsidRPr="00BD6197" w:rsidRDefault="00E71677" w:rsidP="00F810D3">
            <w:pPr>
              <w:pStyle w:val="Tabletext"/>
              <w:keepNext/>
              <w:keepLines/>
              <w:jc w:val="center"/>
              <w:rPr>
                <w:rFonts w:ascii="Arial" w:hAnsi="Arial" w:cs="Arial"/>
                <w:lang w:val="en-US" w:eastAsia="id-ID"/>
              </w:rPr>
            </w:pPr>
            <w:r w:rsidRPr="00BD6197">
              <w:rPr>
                <w:rFonts w:eastAsia="Calibri"/>
                <w:lang w:val="en-US" w:eastAsia="id-ID"/>
              </w:rPr>
              <w:t>Y</w:t>
            </w:r>
            <w:r w:rsidRPr="00BD6197">
              <w:rPr>
                <w:rFonts w:eastAsia="Calibri"/>
                <w:position w:val="-4"/>
                <w:vertAlign w:val="subscript"/>
                <w:lang w:val="en-US" w:eastAsia="id-ID"/>
              </w:rPr>
              <w:t>1</w:t>
            </w:r>
            <w:r w:rsidRPr="00BD6197">
              <w:rPr>
                <w:rFonts w:eastAsia="Calibri"/>
                <w:lang w:val="en-US" w:eastAsia="id-ID"/>
              </w:rPr>
              <w:t xml:space="preserve"> = X + ((20% × </w:t>
            </w:r>
            <w:r w:rsidRPr="00BD6197">
              <w:rPr>
                <w:rFonts w:eastAsia="Calibri" w:hAnsi="Symbol"/>
                <w:lang w:val="en-US" w:eastAsia="id-ID"/>
              </w:rPr>
              <w:sym w:font="Symbol" w:char="F044"/>
            </w:r>
            <w:r w:rsidRPr="00BD6197">
              <w:rPr>
                <w:rFonts w:eastAsia="Calibri"/>
                <w:lang w:val="en-US" w:eastAsia="id-ID"/>
              </w:rPr>
              <w:t>) – Z)</w:t>
            </w:r>
          </w:p>
        </w:tc>
      </w:tr>
      <w:tr w:rsidR="00E71677" w:rsidRPr="00BD6197" w:rsidTr="000F2BA7">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E71677" w:rsidRPr="00BD6197" w:rsidRDefault="00E71677" w:rsidP="00F810D3">
            <w:pPr>
              <w:pStyle w:val="Tabletext"/>
              <w:keepNext/>
              <w:keepLines/>
              <w:jc w:val="center"/>
              <w:rPr>
                <w:rFonts w:ascii="Arial" w:hAnsi="Arial" w:cs="Arial"/>
                <w:lang w:val="en-US" w:eastAsia="id-ID"/>
              </w:rPr>
            </w:pPr>
            <w:r w:rsidRPr="00BD6197">
              <w:rPr>
                <w:rFonts w:eastAsia="Calibri"/>
                <w:lang w:val="en-US" w:eastAsia="id-ID"/>
              </w:rPr>
              <w:t>Year 2</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E71677" w:rsidRPr="00BD6197" w:rsidRDefault="00E71677" w:rsidP="00F810D3">
            <w:pPr>
              <w:pStyle w:val="Tabletext"/>
              <w:keepNext/>
              <w:keepLines/>
              <w:jc w:val="center"/>
              <w:rPr>
                <w:rFonts w:ascii="Arial" w:hAnsi="Arial" w:cs="Arial"/>
                <w:lang w:val="en-US" w:eastAsia="id-ID"/>
              </w:rPr>
            </w:pPr>
            <w:r w:rsidRPr="00BD6197">
              <w:rPr>
                <w:rFonts w:eastAsia="Calibri"/>
                <w:lang w:val="en-US" w:eastAsia="id-ID"/>
              </w:rPr>
              <w:t>Y</w:t>
            </w:r>
            <w:r w:rsidRPr="00BD6197">
              <w:rPr>
                <w:rFonts w:eastAsia="Calibri"/>
                <w:position w:val="-4"/>
                <w:vertAlign w:val="subscript"/>
                <w:lang w:val="en-US" w:eastAsia="id-ID"/>
              </w:rPr>
              <w:t>2</w:t>
            </w:r>
            <w:r w:rsidRPr="00BD6197">
              <w:rPr>
                <w:rFonts w:eastAsia="Calibri"/>
                <w:lang w:val="en-US" w:eastAsia="id-ID"/>
              </w:rPr>
              <w:t xml:space="preserve"> = X + (40% × </w:t>
            </w:r>
            <w:r w:rsidRPr="00BD6197">
              <w:rPr>
                <w:rFonts w:eastAsia="Calibri" w:hAnsi="Symbol"/>
                <w:lang w:val="en-US" w:eastAsia="id-ID"/>
              </w:rPr>
              <w:sym w:font="Symbol" w:char="F044"/>
            </w:r>
            <w:r w:rsidRPr="00BD6197">
              <w:rPr>
                <w:rFonts w:eastAsia="Calibri"/>
                <w:lang w:val="en-US" w:eastAsia="id-ID"/>
              </w:rPr>
              <w:t>)</w:t>
            </w:r>
          </w:p>
        </w:tc>
      </w:tr>
      <w:tr w:rsidR="00E71677" w:rsidRPr="00BD6197" w:rsidTr="000F2BA7">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E71677" w:rsidRPr="00BD6197" w:rsidRDefault="00E71677" w:rsidP="00F810D3">
            <w:pPr>
              <w:pStyle w:val="Tabletext"/>
              <w:keepNext/>
              <w:keepLines/>
              <w:jc w:val="center"/>
              <w:rPr>
                <w:rFonts w:ascii="Arial" w:hAnsi="Arial" w:cs="Arial"/>
                <w:lang w:val="en-US" w:eastAsia="id-ID"/>
              </w:rPr>
            </w:pPr>
            <w:r w:rsidRPr="00BD6197">
              <w:rPr>
                <w:rFonts w:eastAsia="Calibri"/>
                <w:lang w:val="en-US" w:eastAsia="id-ID"/>
              </w:rPr>
              <w:t>Year 3</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E71677" w:rsidRPr="00BD6197" w:rsidRDefault="00E71677" w:rsidP="00F810D3">
            <w:pPr>
              <w:pStyle w:val="Tabletext"/>
              <w:keepNext/>
              <w:keepLines/>
              <w:jc w:val="center"/>
              <w:rPr>
                <w:rFonts w:ascii="Arial" w:hAnsi="Arial" w:cs="Arial"/>
                <w:lang w:val="en-US" w:eastAsia="id-ID"/>
              </w:rPr>
            </w:pPr>
            <w:r w:rsidRPr="00BD6197">
              <w:rPr>
                <w:rFonts w:eastAsia="Calibri"/>
                <w:lang w:val="en-US" w:eastAsia="id-ID"/>
              </w:rPr>
              <w:t>Y</w:t>
            </w:r>
            <w:r w:rsidRPr="00BD6197">
              <w:rPr>
                <w:rFonts w:eastAsia="Calibri"/>
                <w:position w:val="-4"/>
                <w:vertAlign w:val="subscript"/>
                <w:lang w:val="en-US" w:eastAsia="id-ID"/>
              </w:rPr>
              <w:t>3</w:t>
            </w:r>
            <w:r w:rsidRPr="00BD6197">
              <w:rPr>
                <w:rFonts w:eastAsia="Calibri"/>
                <w:lang w:val="en-US" w:eastAsia="id-ID"/>
              </w:rPr>
              <w:t xml:space="preserve"> = X + (60% × </w:t>
            </w:r>
            <w:r w:rsidRPr="00BD6197">
              <w:rPr>
                <w:rFonts w:eastAsia="Calibri" w:hAnsi="Symbol"/>
                <w:lang w:val="en-US" w:eastAsia="id-ID"/>
              </w:rPr>
              <w:sym w:font="Symbol" w:char="F044"/>
            </w:r>
            <w:r w:rsidRPr="00BD6197">
              <w:rPr>
                <w:rFonts w:eastAsia="Calibri"/>
                <w:lang w:val="en-US" w:eastAsia="id-ID"/>
              </w:rPr>
              <w:t>)</w:t>
            </w:r>
          </w:p>
        </w:tc>
      </w:tr>
      <w:tr w:rsidR="00E71677" w:rsidRPr="00BD6197" w:rsidTr="000F2BA7">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E71677" w:rsidRPr="00BD6197" w:rsidRDefault="00E71677" w:rsidP="00F810D3">
            <w:pPr>
              <w:pStyle w:val="Tabletext"/>
              <w:keepNext/>
              <w:keepLines/>
              <w:jc w:val="center"/>
              <w:rPr>
                <w:rFonts w:ascii="Arial" w:hAnsi="Arial" w:cs="Arial"/>
                <w:lang w:val="en-US" w:eastAsia="id-ID"/>
              </w:rPr>
            </w:pPr>
            <w:r w:rsidRPr="00BD6197">
              <w:rPr>
                <w:rFonts w:eastAsia="Calibri"/>
                <w:lang w:val="en-US" w:eastAsia="id-ID"/>
              </w:rPr>
              <w:t>Year 4</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E71677" w:rsidRPr="00BD6197" w:rsidRDefault="00E71677" w:rsidP="00F810D3">
            <w:pPr>
              <w:pStyle w:val="Tabletext"/>
              <w:keepNext/>
              <w:keepLines/>
              <w:jc w:val="center"/>
              <w:rPr>
                <w:rFonts w:ascii="Arial" w:hAnsi="Arial" w:cs="Arial"/>
                <w:lang w:val="en-US" w:eastAsia="id-ID"/>
              </w:rPr>
            </w:pPr>
            <w:r w:rsidRPr="00BD6197">
              <w:rPr>
                <w:rFonts w:eastAsia="Calibri"/>
                <w:lang w:val="en-US" w:eastAsia="id-ID"/>
              </w:rPr>
              <w:t>Y</w:t>
            </w:r>
            <w:r w:rsidRPr="00BD6197">
              <w:rPr>
                <w:rFonts w:eastAsia="Calibri"/>
                <w:position w:val="-4"/>
                <w:vertAlign w:val="subscript"/>
                <w:lang w:val="en-US" w:eastAsia="id-ID"/>
              </w:rPr>
              <w:t>4</w:t>
            </w:r>
            <w:r w:rsidRPr="00BD6197">
              <w:rPr>
                <w:rFonts w:eastAsia="Calibri"/>
                <w:lang w:val="en-US" w:eastAsia="id-ID"/>
              </w:rPr>
              <w:t xml:space="preserve"> = X + (80% × </w:t>
            </w:r>
            <w:r w:rsidRPr="00BD6197">
              <w:rPr>
                <w:rFonts w:eastAsia="Calibri" w:hAnsi="Symbol"/>
                <w:lang w:val="en-US" w:eastAsia="id-ID"/>
              </w:rPr>
              <w:sym w:font="Symbol" w:char="F044"/>
            </w:r>
            <w:r w:rsidRPr="00BD6197">
              <w:rPr>
                <w:rFonts w:eastAsia="Calibri"/>
                <w:lang w:val="en-US" w:eastAsia="id-ID"/>
              </w:rPr>
              <w:t>)</w:t>
            </w:r>
          </w:p>
        </w:tc>
      </w:tr>
      <w:tr w:rsidR="00E71677" w:rsidRPr="00BD6197" w:rsidTr="000F2BA7">
        <w:trPr>
          <w:jc w:val="center"/>
        </w:trPr>
        <w:tc>
          <w:tcPr>
            <w:tcW w:w="1628"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E71677" w:rsidRPr="00BD6197" w:rsidRDefault="00E71677" w:rsidP="00F810D3">
            <w:pPr>
              <w:pStyle w:val="Tabletext"/>
              <w:keepNext/>
              <w:keepLines/>
              <w:jc w:val="center"/>
              <w:rPr>
                <w:rFonts w:ascii="Arial" w:hAnsi="Arial" w:cs="Arial"/>
                <w:lang w:val="en-US" w:eastAsia="id-ID"/>
              </w:rPr>
            </w:pPr>
            <w:r w:rsidRPr="00BD6197">
              <w:rPr>
                <w:rFonts w:eastAsia="Calibri"/>
                <w:lang w:val="en-US" w:eastAsia="id-ID"/>
              </w:rPr>
              <w:t>Year 5</w:t>
            </w:r>
          </w:p>
        </w:tc>
        <w:tc>
          <w:tcPr>
            <w:tcW w:w="35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vAlign w:val="center"/>
            <w:hideMark/>
          </w:tcPr>
          <w:p w:rsidR="00E71677" w:rsidRPr="00BD6197" w:rsidRDefault="00E71677" w:rsidP="00F810D3">
            <w:pPr>
              <w:pStyle w:val="Tabletext"/>
              <w:keepNext/>
              <w:keepLines/>
              <w:jc w:val="center"/>
              <w:rPr>
                <w:rFonts w:ascii="Arial" w:hAnsi="Arial" w:cs="Arial"/>
                <w:lang w:val="en-US" w:eastAsia="id-ID"/>
              </w:rPr>
            </w:pPr>
            <w:r w:rsidRPr="00BD6197">
              <w:rPr>
                <w:rFonts w:eastAsia="Calibri"/>
                <w:lang w:val="en-US" w:eastAsia="id-ID"/>
              </w:rPr>
              <w:t>Y</w:t>
            </w:r>
            <w:r w:rsidRPr="00BD6197">
              <w:rPr>
                <w:rFonts w:eastAsia="Calibri"/>
                <w:position w:val="-4"/>
                <w:vertAlign w:val="subscript"/>
                <w:lang w:val="en-US" w:eastAsia="id-ID"/>
              </w:rPr>
              <w:t>5</w:t>
            </w:r>
            <w:r w:rsidRPr="00BD6197">
              <w:rPr>
                <w:rFonts w:eastAsia="Calibri"/>
                <w:lang w:val="en-US" w:eastAsia="id-ID"/>
              </w:rPr>
              <w:t xml:space="preserve"> = X + (100% × </w:t>
            </w:r>
            <w:r w:rsidRPr="00BD6197">
              <w:rPr>
                <w:rFonts w:eastAsia="Calibri" w:hAnsi="Symbol"/>
                <w:lang w:val="en-US" w:eastAsia="id-ID"/>
              </w:rPr>
              <w:sym w:font="Symbol" w:char="F044"/>
            </w:r>
            <w:r w:rsidRPr="00BD6197">
              <w:rPr>
                <w:rFonts w:eastAsia="Calibri"/>
                <w:lang w:val="en-US" w:eastAsia="id-ID"/>
              </w:rPr>
              <w:t>)</w:t>
            </w:r>
          </w:p>
        </w:tc>
      </w:tr>
    </w:tbl>
    <w:p w:rsidR="00E71677" w:rsidRPr="00BD6197" w:rsidRDefault="00E71677" w:rsidP="00E71677">
      <w:pPr>
        <w:pStyle w:val="Tablefin"/>
        <w:rPr>
          <w:lang w:val="en-US"/>
        </w:rPr>
      </w:pPr>
    </w:p>
    <w:p w:rsidR="00E71677" w:rsidRPr="00BD6197" w:rsidRDefault="00E71677" w:rsidP="00E71677">
      <w:pPr>
        <w:pStyle w:val="enumlev1"/>
        <w:rPr>
          <w:lang w:val="en-US"/>
        </w:rPr>
      </w:pPr>
      <w:r w:rsidRPr="00BD6197">
        <w:rPr>
          <w:lang w:val="en-US"/>
        </w:rPr>
        <w:t>–</w:t>
      </w:r>
      <w:r w:rsidRPr="00BD6197">
        <w:rPr>
          <w:lang w:val="en-US"/>
        </w:rPr>
        <w:tab/>
        <w:t>In the transition period (from 2010 until 2015) the constant (N</w:t>
      </w:r>
      <w:r w:rsidRPr="00BD6197">
        <w:rPr>
          <w:rFonts w:eastAsia="Calibri"/>
          <w:lang w:val="en-US" w:eastAsia="id-ID"/>
        </w:rPr>
        <w:t>×</w:t>
      </w:r>
      <w:r w:rsidRPr="00BD6197">
        <w:rPr>
          <w:lang w:val="en-US"/>
        </w:rPr>
        <w:t xml:space="preserve">K) is bound as a unit and should be adjusted every year using the ratio of Consumer Price Index (CPI). </w:t>
      </w:r>
    </w:p>
    <w:p w:rsidR="00E71677" w:rsidRPr="00BD6197" w:rsidRDefault="00E71677" w:rsidP="00E71677">
      <w:pPr>
        <w:pStyle w:val="enumlev1"/>
        <w:rPr>
          <w:lang w:val="en-US"/>
        </w:rPr>
      </w:pPr>
      <w:r w:rsidRPr="00BD6197">
        <w:rPr>
          <w:lang w:val="en-US"/>
        </w:rPr>
        <w:t>–</w:t>
      </w:r>
      <w:r w:rsidRPr="00BD6197">
        <w:rPr>
          <w:lang w:val="en-US"/>
        </w:rPr>
        <w:tab/>
        <w:t>The constant (N </w:t>
      </w:r>
      <w:r w:rsidRPr="00BD6197">
        <w:rPr>
          <w:rFonts w:eastAsia="Calibri"/>
          <w:lang w:val="en-US" w:eastAsia="id-ID"/>
        </w:rPr>
        <w:t>× </w:t>
      </w:r>
      <w:r w:rsidRPr="00BD6197">
        <w:rPr>
          <w:lang w:val="en-US"/>
        </w:rPr>
        <w:t>K) is determined by the result price of additional 3G service auction in frequency band 2.1 GHz period year 2009-2010.</w:t>
      </w:r>
    </w:p>
    <w:p w:rsidR="00E71677" w:rsidRPr="00BD6197" w:rsidRDefault="00E71677" w:rsidP="00E71677">
      <w:pPr>
        <w:rPr>
          <w:lang w:val="en-US"/>
        </w:rPr>
      </w:pPr>
      <w:r w:rsidRPr="00BD6197">
        <w:rPr>
          <w:lang w:val="en-US"/>
        </w:rPr>
        <w:t>The resulting price is Rp 160 Billion.</w:t>
      </w:r>
    </w:p>
    <w:p w:rsidR="00E71677" w:rsidRPr="00BD6197" w:rsidRDefault="00E71677" w:rsidP="00E71677">
      <w:pPr>
        <w:pStyle w:val="enumlev1"/>
        <w:rPr>
          <w:lang w:val="en-US"/>
        </w:rPr>
      </w:pPr>
      <w:r w:rsidRPr="00BD6197">
        <w:rPr>
          <w:lang w:val="en-US"/>
        </w:rPr>
        <w:t>–</w:t>
      </w:r>
      <w:r w:rsidRPr="00BD6197">
        <w:rPr>
          <w:lang w:val="en-US"/>
        </w:rPr>
        <w:tab/>
        <w:t>For the period year 2011 until 2015, the value of (N</w:t>
      </w:r>
      <w:r w:rsidRPr="00BD6197">
        <w:rPr>
          <w:rFonts w:eastAsia="Calibri"/>
          <w:lang w:val="en-US" w:eastAsia="id-ID"/>
        </w:rPr>
        <w:t>×</w:t>
      </w:r>
      <w:r w:rsidRPr="00BD6197">
        <w:rPr>
          <w:lang w:val="en-US"/>
        </w:rPr>
        <w:t>K) will be adjusted every year by multiplying the value of (N </w:t>
      </w:r>
      <w:r w:rsidRPr="00BD6197">
        <w:rPr>
          <w:rFonts w:eastAsia="Calibri"/>
          <w:lang w:val="en-US" w:eastAsia="id-ID"/>
        </w:rPr>
        <w:t>× </w:t>
      </w:r>
      <w:r w:rsidRPr="00BD6197">
        <w:rPr>
          <w:lang w:val="en-US"/>
        </w:rPr>
        <w:t>K) year 2010 to the ratio between Consumer Price Index on December a year before and two years before.</w:t>
      </w:r>
    </w:p>
    <w:p w:rsidR="00E71677" w:rsidRPr="00BD6197" w:rsidRDefault="00E71677" w:rsidP="00E71677">
      <w:pPr>
        <w:pStyle w:val="Figure"/>
        <w:rPr>
          <w:lang w:val="en-US"/>
        </w:rPr>
      </w:pPr>
      <w:r>
        <w:rPr>
          <w:noProof/>
          <w:lang w:val="en-GB" w:eastAsia="zh-CN"/>
        </w:rPr>
        <w:lastRenderedPageBreak/>
        <w:drawing>
          <wp:inline distT="0" distB="0" distL="0" distR="0" wp14:anchorId="7FC1A57B" wp14:editId="42F6686E">
            <wp:extent cx="2286000" cy="29908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7" cstate="print">
                      <a:extLst>
                        <a:ext uri="{28A0092B-C50C-407E-A947-70E740481C1C}">
                          <a14:useLocalDpi xmlns:a14="http://schemas.microsoft.com/office/drawing/2010/main" val="0"/>
                        </a:ext>
                      </a:extLst>
                    </a:blip>
                    <a:srcRect/>
                    <a:stretch>
                      <a:fillRect/>
                    </a:stretch>
                  </pic:blipFill>
                  <pic:spPr bwMode="auto">
                    <a:xfrm>
                      <a:off x="0" y="0"/>
                      <a:ext cx="2286000" cy="2990850"/>
                    </a:xfrm>
                    <a:prstGeom prst="rect">
                      <a:avLst/>
                    </a:prstGeom>
                    <a:noFill/>
                    <a:ln>
                      <a:noFill/>
                    </a:ln>
                  </pic:spPr>
                </pic:pic>
              </a:graphicData>
            </a:graphic>
          </wp:inline>
        </w:drawing>
      </w:r>
    </w:p>
    <w:p w:rsidR="00E71677" w:rsidRPr="00BD6197" w:rsidRDefault="00E71677" w:rsidP="00263872">
      <w:pPr>
        <w:pStyle w:val="Headingb"/>
        <w:rPr>
          <w:lang w:val="en-US"/>
        </w:rPr>
      </w:pPr>
      <w:r w:rsidRPr="00BD6197">
        <w:rPr>
          <w:lang w:val="en-US"/>
        </w:rPr>
        <w:t>No spectrum fee</w:t>
      </w:r>
    </w:p>
    <w:p w:rsidR="00E71677" w:rsidRPr="00BD6197" w:rsidRDefault="00E71677" w:rsidP="00E71677">
      <w:pPr>
        <w:rPr>
          <w:lang w:val="en-US"/>
        </w:rPr>
      </w:pPr>
      <w:r w:rsidRPr="00BD6197">
        <w:rPr>
          <w:lang w:val="en-US"/>
        </w:rPr>
        <w:t>In Indonesia, there are several services of spectrum which are not charged by a spectrum fee. The users are granted a spectrum license without any obligation to pay the spectrum fee. Those spectra are used for the services, such as:</w:t>
      </w:r>
    </w:p>
    <w:p w:rsidR="00E71677" w:rsidRPr="00BD6197" w:rsidRDefault="00E71677" w:rsidP="00E71677">
      <w:pPr>
        <w:pStyle w:val="enumlev1"/>
        <w:rPr>
          <w:lang w:val="en-US"/>
        </w:rPr>
      </w:pPr>
      <w:r w:rsidRPr="00BD6197">
        <w:rPr>
          <w:lang w:val="en-US"/>
        </w:rPr>
        <w:t>–</w:t>
      </w:r>
      <w:r w:rsidRPr="00BD6197">
        <w:rPr>
          <w:lang w:val="en-US"/>
        </w:rPr>
        <w:tab/>
        <w:t>Special telecommunication for national defense</w:t>
      </w:r>
    </w:p>
    <w:p w:rsidR="00E71677" w:rsidRPr="00BD6197" w:rsidRDefault="00E71677" w:rsidP="00E71677">
      <w:pPr>
        <w:pStyle w:val="enumlev1"/>
        <w:rPr>
          <w:lang w:val="en-US"/>
        </w:rPr>
      </w:pPr>
      <w:r w:rsidRPr="00BD6197">
        <w:rPr>
          <w:lang w:val="en-US"/>
        </w:rPr>
        <w:t>–</w:t>
      </w:r>
      <w:r w:rsidRPr="00BD6197">
        <w:rPr>
          <w:lang w:val="en-US"/>
        </w:rPr>
        <w:tab/>
        <w:t>Special telecommunication for special service</w:t>
      </w:r>
    </w:p>
    <w:p w:rsidR="00E71677" w:rsidRPr="00BD6197" w:rsidRDefault="00E71677" w:rsidP="00E71677">
      <w:pPr>
        <w:pStyle w:val="enumlev1"/>
        <w:rPr>
          <w:lang w:val="en-US"/>
        </w:rPr>
      </w:pPr>
      <w:r w:rsidRPr="00BD6197">
        <w:rPr>
          <w:lang w:val="en-US"/>
        </w:rPr>
        <w:t>–</w:t>
      </w:r>
      <w:r w:rsidRPr="00BD6197">
        <w:rPr>
          <w:lang w:val="en-US"/>
        </w:rPr>
        <w:tab/>
        <w:t xml:space="preserve">Special telecommunication for government services that are used by the foreign embassy in Indonesia </w:t>
      </w:r>
    </w:p>
    <w:p w:rsidR="00E71677" w:rsidRPr="00BD6197" w:rsidRDefault="00E71677" w:rsidP="00E71677">
      <w:pPr>
        <w:pStyle w:val="enumlev1"/>
        <w:rPr>
          <w:lang w:val="en-US"/>
        </w:rPr>
      </w:pPr>
      <w:r w:rsidRPr="00BD6197">
        <w:rPr>
          <w:lang w:val="en-US"/>
        </w:rPr>
        <w:t>–</w:t>
      </w:r>
      <w:r w:rsidRPr="00BD6197">
        <w:rPr>
          <w:lang w:val="en-US"/>
        </w:rPr>
        <w:tab/>
        <w:t>Low power devices under 10 mWatt</w:t>
      </w:r>
    </w:p>
    <w:p w:rsidR="00E71677" w:rsidRPr="00BD6197" w:rsidRDefault="00E71677" w:rsidP="00E71677">
      <w:pPr>
        <w:pStyle w:val="enumlev1"/>
        <w:rPr>
          <w:lang w:val="en-US"/>
        </w:rPr>
      </w:pPr>
      <w:r w:rsidRPr="00BD6197">
        <w:rPr>
          <w:lang w:val="en-US"/>
        </w:rPr>
        <w:t>–</w:t>
      </w:r>
      <w:r w:rsidRPr="00BD6197">
        <w:rPr>
          <w:lang w:val="en-US"/>
        </w:rPr>
        <w:tab/>
        <w:t>Wireless data service in the frequency band 2 400-2 483 MHz</w:t>
      </w:r>
    </w:p>
    <w:p w:rsidR="00E71677" w:rsidRPr="00BD6197" w:rsidRDefault="00E71677" w:rsidP="00E71677">
      <w:pPr>
        <w:pStyle w:val="enumlev1"/>
        <w:rPr>
          <w:lang w:val="en-US"/>
        </w:rPr>
      </w:pPr>
      <w:r w:rsidRPr="00BD6197">
        <w:rPr>
          <w:lang w:val="en-US"/>
        </w:rPr>
        <w:t>–</w:t>
      </w:r>
      <w:r w:rsidRPr="00BD6197">
        <w:rPr>
          <w:lang w:val="en-US"/>
        </w:rPr>
        <w:tab/>
        <w:t>The frequency band used for ISM (Industry, Science, Medical).</w:t>
      </w:r>
    </w:p>
    <w:p w:rsidR="00E71677" w:rsidRPr="00BD6197" w:rsidRDefault="00E71677" w:rsidP="00E71677">
      <w:pPr>
        <w:pStyle w:val="Heading3"/>
        <w:rPr>
          <w:lang w:val="en-US"/>
        </w:rPr>
      </w:pPr>
      <w:bookmarkStart w:id="2203" w:name="_Toc462234171"/>
      <w:bookmarkStart w:id="2204" w:name="_Toc518394269"/>
      <w:r w:rsidRPr="00BD6197">
        <w:rPr>
          <w:lang w:val="en-US"/>
        </w:rPr>
        <w:t>5.2.13</w:t>
      </w:r>
      <w:r w:rsidRPr="00BD6197">
        <w:rPr>
          <w:lang w:val="en-US"/>
        </w:rPr>
        <w:tab/>
        <w:t>Colombia’s procedure for determining the occupation level in a specific geographic area for point-to-point links</w:t>
      </w:r>
      <w:bookmarkEnd w:id="2203"/>
      <w:bookmarkEnd w:id="2204"/>
    </w:p>
    <w:p w:rsidR="00E71677" w:rsidRPr="00BD6197" w:rsidRDefault="00E71677" w:rsidP="00E71677">
      <w:pPr>
        <w:rPr>
          <w:lang w:val="en-US"/>
        </w:rPr>
      </w:pPr>
      <w:r w:rsidRPr="00A01420">
        <w:rPr>
          <w:lang w:val="en-US"/>
        </w:rPr>
        <w:t xml:space="preserve">The government of Colombia shares the </w:t>
      </w:r>
      <w:r w:rsidRPr="00BD6197">
        <w:rPr>
          <w:lang w:val="en-US"/>
        </w:rPr>
        <w:t xml:space="preserve">following </w:t>
      </w:r>
      <w:r w:rsidRPr="00A01420">
        <w:rPr>
          <w:lang w:val="en-US"/>
        </w:rPr>
        <w:t xml:space="preserve">results of a study that will lead to the determination of the </w:t>
      </w:r>
      <w:r w:rsidRPr="00BD6197">
        <w:rPr>
          <w:lang w:val="en-US"/>
        </w:rPr>
        <w:t>parameters to include in the spectrum fees regime.  The text below shows the inclusion of a parameter that reflects the spectrum demand and the cost of opportunity for microwave links for certain frequency bands.</w:t>
      </w:r>
    </w:p>
    <w:p w:rsidR="00E71677" w:rsidRPr="00A01420" w:rsidRDefault="00E71677" w:rsidP="00E71677">
      <w:pPr>
        <w:pStyle w:val="Headingb"/>
        <w:rPr>
          <w:lang w:val="en-US"/>
        </w:rPr>
      </w:pPr>
      <w:bookmarkStart w:id="2205" w:name="_Toc454285008"/>
      <w:bookmarkStart w:id="2206" w:name="_Toc462234172"/>
      <w:r w:rsidRPr="00A01420">
        <w:rPr>
          <w:lang w:val="en-US"/>
        </w:rPr>
        <w:t>Background</w:t>
      </w:r>
      <w:bookmarkEnd w:id="2205"/>
      <w:bookmarkEnd w:id="2206"/>
    </w:p>
    <w:p w:rsidR="00E71677" w:rsidRPr="00BD6197" w:rsidRDefault="00E71677" w:rsidP="00E71677">
      <w:pPr>
        <w:rPr>
          <w:lang w:val="en-US"/>
        </w:rPr>
      </w:pPr>
      <w:r w:rsidRPr="00BD6197">
        <w:rPr>
          <w:lang w:val="en-US"/>
        </w:rPr>
        <w:t>The Information and Communication Technologies Law issued in 2009 in Colombia (Law # 1341) ordered to promote the optimal use of the spectrum given its strategic importance for the country and in order to improve competitiveness, quality services and efficiency for the consumers. In this regard, all national and territorial governmental entities involved in spectrum management must adopt the necessary measures for reaching these objectives.</w:t>
      </w:r>
    </w:p>
    <w:p w:rsidR="00E71677" w:rsidRPr="00BD6197" w:rsidRDefault="00E71677" w:rsidP="00E71677">
      <w:pPr>
        <w:rPr>
          <w:lang w:val="en-US"/>
        </w:rPr>
      </w:pPr>
      <w:r w:rsidRPr="00BD6197">
        <w:rPr>
          <w:szCs w:val="24"/>
          <w:lang w:val="en-US"/>
        </w:rPr>
        <w:t>The law 1341 also created the National Spectrum Agency, ANE is its Spanish acronym. This entity is in charge of giving technical support on spectrum management issues, in particular on planning, monitoring and control of the spectrum, as well as advising the Ministry of Information and Communication Technologies on frequencies assignment and the definition or adjustment of the spectrum fee regime.</w:t>
      </w:r>
    </w:p>
    <w:p w:rsidR="00E71677" w:rsidRPr="00BD6197" w:rsidRDefault="00E71677" w:rsidP="00E71677">
      <w:pPr>
        <w:rPr>
          <w:lang w:val="en-US"/>
        </w:rPr>
      </w:pPr>
      <w:r w:rsidRPr="00BD6197">
        <w:rPr>
          <w:szCs w:val="24"/>
          <w:lang w:val="en-US"/>
        </w:rPr>
        <w:lastRenderedPageBreak/>
        <w:t>In this regard, ANE has developed several studies that identified some aspects for being introduced in the spectrum fee regime. Amidst the measures is a coefficient called Efficiency Factor (Fe) that applies in the point-to-point links formula and will have an important role to steer improvements toward a more efficient distribution of spectrum and its use.</w:t>
      </w:r>
    </w:p>
    <w:p w:rsidR="00E71677" w:rsidRPr="00A01420" w:rsidRDefault="00E71677" w:rsidP="00E71677">
      <w:pPr>
        <w:pStyle w:val="Headingb"/>
        <w:rPr>
          <w:szCs w:val="24"/>
          <w:lang w:val="en-US"/>
        </w:rPr>
      </w:pPr>
      <w:bookmarkStart w:id="2207" w:name="_Toc454285009"/>
      <w:bookmarkStart w:id="2208" w:name="_Toc462234173"/>
      <w:r w:rsidRPr="00A01420">
        <w:rPr>
          <w:lang w:val="en-US"/>
        </w:rPr>
        <w:t>The efficiency factor for point to point links</w:t>
      </w:r>
      <w:bookmarkEnd w:id="2207"/>
      <w:bookmarkEnd w:id="2208"/>
    </w:p>
    <w:p w:rsidR="00E71677" w:rsidRPr="00BD6197" w:rsidRDefault="00E71677" w:rsidP="00E71677">
      <w:pPr>
        <w:rPr>
          <w:lang w:val="en-US"/>
        </w:rPr>
      </w:pPr>
      <w:r w:rsidRPr="00BD6197">
        <w:rPr>
          <w:lang w:val="en-US"/>
        </w:rPr>
        <w:t>The national spectrum fee regime in Colombia is organised by the kind of links and applies for frequencies different from IMT bands. In the latter case, the fees are fixed through market mechanisms given that the frequency assignment processes are made by auction processes, most of the time.</w:t>
      </w:r>
    </w:p>
    <w:p w:rsidR="00E71677" w:rsidRPr="00BD6197" w:rsidRDefault="00E71677" w:rsidP="00E71677">
      <w:pPr>
        <w:rPr>
          <w:lang w:val="en-US"/>
        </w:rPr>
      </w:pPr>
      <w:r w:rsidRPr="00BD6197">
        <w:rPr>
          <w:lang w:val="en-US"/>
        </w:rPr>
        <w:t xml:space="preserve">Thus, the spectrum fee regime contains distinct formulas related to: </w:t>
      </w:r>
    </w:p>
    <w:p w:rsidR="00E71677" w:rsidRPr="00BD6197" w:rsidRDefault="00E71677" w:rsidP="00E71677">
      <w:pPr>
        <w:pStyle w:val="enumlev1"/>
        <w:rPr>
          <w:lang w:val="en-US"/>
        </w:rPr>
      </w:pPr>
      <w:r w:rsidRPr="00BD6197">
        <w:rPr>
          <w:lang w:val="en-US"/>
        </w:rPr>
        <w:t>a)</w:t>
      </w:r>
      <w:r w:rsidRPr="00BD6197">
        <w:rPr>
          <w:lang w:val="en-US"/>
        </w:rPr>
        <w:tab/>
        <w:t xml:space="preserve">the links in the HF bands; </w:t>
      </w:r>
    </w:p>
    <w:p w:rsidR="00E71677" w:rsidRPr="00BD6197" w:rsidRDefault="00E71677" w:rsidP="00E71677">
      <w:pPr>
        <w:pStyle w:val="enumlev1"/>
        <w:rPr>
          <w:lang w:val="en-US"/>
        </w:rPr>
      </w:pPr>
      <w:r w:rsidRPr="00BD6197">
        <w:rPr>
          <w:lang w:val="en-US"/>
        </w:rPr>
        <w:t>b)</w:t>
      </w:r>
      <w:r w:rsidRPr="00BD6197">
        <w:rPr>
          <w:lang w:val="en-US"/>
        </w:rPr>
        <w:tab/>
        <w:t xml:space="preserve">the point to point links, and </w:t>
      </w:r>
    </w:p>
    <w:p w:rsidR="00E71677" w:rsidRPr="00BD6197" w:rsidRDefault="00E71677" w:rsidP="00E71677">
      <w:pPr>
        <w:pStyle w:val="enumlev1"/>
        <w:rPr>
          <w:lang w:val="en-US"/>
        </w:rPr>
      </w:pPr>
      <w:r w:rsidRPr="00BD6197">
        <w:rPr>
          <w:lang w:val="en-US"/>
        </w:rPr>
        <w:t>c)</w:t>
      </w:r>
      <w:r w:rsidRPr="00BD6197">
        <w:rPr>
          <w:lang w:val="en-US"/>
        </w:rPr>
        <w:tab/>
        <w:t xml:space="preserve">the point to multipoint links. </w:t>
      </w:r>
    </w:p>
    <w:p w:rsidR="00E71677" w:rsidRPr="00BD6197" w:rsidRDefault="00E71677" w:rsidP="00E71677">
      <w:pPr>
        <w:rPr>
          <w:lang w:val="en-US"/>
        </w:rPr>
      </w:pPr>
      <w:r w:rsidRPr="00BD6197">
        <w:rPr>
          <w:szCs w:val="24"/>
          <w:lang w:val="en-US"/>
        </w:rPr>
        <w:t xml:space="preserve">As a result of the application of the distinct formulas and the growth of the spectrum demand, in some specific geographic areas and locations, the spectrum became </w:t>
      </w:r>
      <w:r w:rsidRPr="00BD6197">
        <w:rPr>
          <w:b/>
          <w:bCs/>
          <w:szCs w:val="24"/>
          <w:lang w:val="en-US"/>
        </w:rPr>
        <w:t xml:space="preserve">congested. </w:t>
      </w:r>
      <w:r w:rsidRPr="00BD6197">
        <w:rPr>
          <w:szCs w:val="24"/>
          <w:lang w:val="en-US"/>
        </w:rPr>
        <w:t>Therefore, it was necessary to design and include in the corresponding formulas a factor that reflects the resource scarcity and promote decisions based on opportunity cost, among other criteria.</w:t>
      </w:r>
    </w:p>
    <w:p w:rsidR="00E71677" w:rsidRPr="00BD6197" w:rsidRDefault="00E71677" w:rsidP="00E71677">
      <w:pPr>
        <w:rPr>
          <w:lang w:val="en-US"/>
        </w:rPr>
      </w:pPr>
      <w:r w:rsidRPr="00BD6197">
        <w:rPr>
          <w:lang w:val="en-US"/>
        </w:rPr>
        <w:t xml:space="preserve">In this regard, ANE developed a study in order to identify the changes that were needed. Amidst other factors and modifications required, the Efficiency Factor was included in the point-to-point links formula. </w:t>
      </w:r>
    </w:p>
    <w:p w:rsidR="00E71677" w:rsidRPr="00BD6197" w:rsidRDefault="00E71677" w:rsidP="00E71677">
      <w:pPr>
        <w:spacing w:after="240"/>
        <w:rPr>
          <w:lang w:val="en-US"/>
        </w:rPr>
      </w:pPr>
      <w:r w:rsidRPr="00BD6197">
        <w:rPr>
          <w:lang w:val="en-US"/>
        </w:rPr>
        <w:t xml:space="preserve">This factor encompasses technical and economic criteria that promote efficiency in the spectrum assignment and its use. It is related to the current spectrum permissions in specific geographic areas (the resource demand). </w:t>
      </w:r>
    </w:p>
    <w:tbl>
      <w:tblPr>
        <w:tblW w:w="6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860"/>
        <w:gridCol w:w="1780"/>
        <w:gridCol w:w="1900"/>
      </w:tblGrid>
      <w:tr w:rsidR="00E71677" w:rsidRPr="00BD6197" w:rsidTr="000F2BA7">
        <w:trPr>
          <w:trHeight w:val="640"/>
          <w:jc w:val="center"/>
        </w:trPr>
        <w:tc>
          <w:tcPr>
            <w:tcW w:w="2860" w:type="dxa"/>
            <w:shd w:val="clear" w:color="auto" w:fill="auto"/>
            <w:tcMar>
              <w:top w:w="15" w:type="dxa"/>
              <w:left w:w="108" w:type="dxa"/>
              <w:bottom w:w="0" w:type="dxa"/>
              <w:right w:w="108" w:type="dxa"/>
            </w:tcMar>
            <w:hideMark/>
          </w:tcPr>
          <w:p w:rsidR="00E71677" w:rsidRPr="00BD6197" w:rsidRDefault="00E71677" w:rsidP="00F810D3">
            <w:pPr>
              <w:pStyle w:val="Tablehead"/>
              <w:keepLines/>
              <w:rPr>
                <w:lang w:val="en-US"/>
              </w:rPr>
            </w:pPr>
            <w:r w:rsidRPr="00BD6197">
              <w:rPr>
                <w:lang w:val="en-US"/>
              </w:rPr>
              <w:t>Band Occupation Level</w:t>
            </w:r>
            <w:r w:rsidRPr="00BD6197">
              <w:rPr>
                <w:lang w:val="en-US"/>
              </w:rPr>
              <w:br/>
              <w:t>(BOL)</w:t>
            </w:r>
            <w:r w:rsidRPr="00BD6197">
              <w:rPr>
                <w:lang w:val="en-US"/>
              </w:rPr>
              <w:br/>
              <w:t>Percentage</w:t>
            </w:r>
          </w:p>
        </w:tc>
        <w:tc>
          <w:tcPr>
            <w:tcW w:w="1780" w:type="dxa"/>
            <w:shd w:val="clear" w:color="auto" w:fill="auto"/>
            <w:tcMar>
              <w:top w:w="15" w:type="dxa"/>
              <w:left w:w="108" w:type="dxa"/>
              <w:bottom w:w="0" w:type="dxa"/>
              <w:right w:w="108" w:type="dxa"/>
            </w:tcMar>
            <w:hideMark/>
          </w:tcPr>
          <w:p w:rsidR="00E71677" w:rsidRPr="00BD6197" w:rsidRDefault="00E71677" w:rsidP="00F810D3">
            <w:pPr>
              <w:pStyle w:val="Tablehead"/>
              <w:keepLines/>
              <w:rPr>
                <w:lang w:val="en-US"/>
              </w:rPr>
            </w:pPr>
            <w:r w:rsidRPr="00BD6197">
              <w:rPr>
                <w:lang w:val="en-US"/>
              </w:rPr>
              <w:t>Congestion Level</w:t>
            </w:r>
          </w:p>
        </w:tc>
        <w:tc>
          <w:tcPr>
            <w:tcW w:w="1900" w:type="dxa"/>
            <w:shd w:val="clear" w:color="auto" w:fill="auto"/>
            <w:tcMar>
              <w:top w:w="15" w:type="dxa"/>
              <w:left w:w="108" w:type="dxa"/>
              <w:bottom w:w="0" w:type="dxa"/>
              <w:right w:w="108" w:type="dxa"/>
            </w:tcMar>
            <w:hideMark/>
          </w:tcPr>
          <w:p w:rsidR="00E71677" w:rsidRPr="00BD6197" w:rsidRDefault="00E71677" w:rsidP="00F810D3">
            <w:pPr>
              <w:pStyle w:val="Tablehead"/>
              <w:keepLines/>
              <w:rPr>
                <w:lang w:val="en-US"/>
              </w:rPr>
            </w:pPr>
            <w:r w:rsidRPr="00BD6197">
              <w:rPr>
                <w:lang w:val="en-US"/>
              </w:rPr>
              <w:t>Efficiency Factor (Fe)</w:t>
            </w:r>
          </w:p>
        </w:tc>
      </w:tr>
      <w:tr w:rsidR="00E71677" w:rsidRPr="00BD6197" w:rsidTr="000F2BA7">
        <w:trPr>
          <w:trHeight w:val="320"/>
          <w:jc w:val="center"/>
        </w:trPr>
        <w:tc>
          <w:tcPr>
            <w:tcW w:w="2860" w:type="dxa"/>
            <w:shd w:val="clear" w:color="auto" w:fill="auto"/>
            <w:tcMar>
              <w:top w:w="15" w:type="dxa"/>
              <w:left w:w="108" w:type="dxa"/>
              <w:bottom w:w="0" w:type="dxa"/>
              <w:right w:w="108" w:type="dxa"/>
            </w:tcMar>
            <w:vAlign w:val="center"/>
            <w:hideMark/>
          </w:tcPr>
          <w:p w:rsidR="00E71677" w:rsidRPr="00BD6197" w:rsidRDefault="00E71677" w:rsidP="00F810D3">
            <w:pPr>
              <w:pStyle w:val="Tabletext"/>
              <w:keepNext/>
              <w:keepLines/>
              <w:jc w:val="center"/>
              <w:rPr>
                <w:lang w:val="en-US"/>
              </w:rPr>
            </w:pPr>
            <w:r w:rsidRPr="00BD6197">
              <w:rPr>
                <w:lang w:val="en-US"/>
              </w:rPr>
              <w:t>0% &lt; BOL ≤ 75%</w:t>
            </w:r>
          </w:p>
        </w:tc>
        <w:tc>
          <w:tcPr>
            <w:tcW w:w="1780" w:type="dxa"/>
            <w:shd w:val="clear" w:color="auto" w:fill="auto"/>
            <w:tcMar>
              <w:top w:w="15" w:type="dxa"/>
              <w:left w:w="108" w:type="dxa"/>
              <w:bottom w:w="0" w:type="dxa"/>
              <w:right w:w="108" w:type="dxa"/>
            </w:tcMar>
            <w:vAlign w:val="center"/>
            <w:hideMark/>
          </w:tcPr>
          <w:p w:rsidR="00E71677" w:rsidRPr="00BD6197" w:rsidRDefault="00E71677" w:rsidP="00F810D3">
            <w:pPr>
              <w:pStyle w:val="Tabletext"/>
              <w:keepNext/>
              <w:keepLines/>
              <w:jc w:val="center"/>
              <w:rPr>
                <w:lang w:val="en-US"/>
              </w:rPr>
            </w:pPr>
            <w:r w:rsidRPr="00BD6197">
              <w:rPr>
                <w:lang w:val="en-US"/>
              </w:rPr>
              <w:t>Low</w:t>
            </w:r>
          </w:p>
        </w:tc>
        <w:tc>
          <w:tcPr>
            <w:tcW w:w="1900" w:type="dxa"/>
            <w:shd w:val="clear" w:color="auto" w:fill="auto"/>
            <w:tcMar>
              <w:top w:w="15" w:type="dxa"/>
              <w:left w:w="108" w:type="dxa"/>
              <w:bottom w:w="0" w:type="dxa"/>
              <w:right w:w="108" w:type="dxa"/>
            </w:tcMar>
            <w:vAlign w:val="center"/>
            <w:hideMark/>
          </w:tcPr>
          <w:p w:rsidR="00E71677" w:rsidRPr="00BD6197" w:rsidRDefault="00E71677" w:rsidP="00F810D3">
            <w:pPr>
              <w:pStyle w:val="Tabletext"/>
              <w:keepNext/>
              <w:keepLines/>
              <w:jc w:val="center"/>
              <w:rPr>
                <w:lang w:val="en-US"/>
              </w:rPr>
            </w:pPr>
            <w:r w:rsidRPr="00BD6197">
              <w:rPr>
                <w:lang w:val="en-US"/>
              </w:rPr>
              <w:t>1</w:t>
            </w:r>
          </w:p>
        </w:tc>
      </w:tr>
      <w:tr w:rsidR="00E71677" w:rsidRPr="00BD6197" w:rsidTr="000F2BA7">
        <w:trPr>
          <w:trHeight w:val="320"/>
          <w:jc w:val="center"/>
        </w:trPr>
        <w:tc>
          <w:tcPr>
            <w:tcW w:w="2860" w:type="dxa"/>
            <w:shd w:val="clear" w:color="auto" w:fill="auto"/>
            <w:tcMar>
              <w:top w:w="15" w:type="dxa"/>
              <w:left w:w="108" w:type="dxa"/>
              <w:bottom w:w="0" w:type="dxa"/>
              <w:right w:w="108" w:type="dxa"/>
            </w:tcMar>
            <w:vAlign w:val="center"/>
            <w:hideMark/>
          </w:tcPr>
          <w:p w:rsidR="00E71677" w:rsidRPr="00BD6197" w:rsidRDefault="00E71677" w:rsidP="00F810D3">
            <w:pPr>
              <w:pStyle w:val="Tabletext"/>
              <w:keepNext/>
              <w:keepLines/>
              <w:jc w:val="center"/>
              <w:rPr>
                <w:lang w:val="en-US"/>
              </w:rPr>
            </w:pPr>
            <w:r w:rsidRPr="00BD6197">
              <w:rPr>
                <w:lang w:val="en-US"/>
              </w:rPr>
              <w:t>75% &lt; BOL ≤ 90%</w:t>
            </w:r>
          </w:p>
        </w:tc>
        <w:tc>
          <w:tcPr>
            <w:tcW w:w="1780" w:type="dxa"/>
            <w:shd w:val="clear" w:color="auto" w:fill="auto"/>
            <w:tcMar>
              <w:top w:w="15" w:type="dxa"/>
              <w:left w:w="108" w:type="dxa"/>
              <w:bottom w:w="0" w:type="dxa"/>
              <w:right w:w="108" w:type="dxa"/>
            </w:tcMar>
            <w:vAlign w:val="center"/>
            <w:hideMark/>
          </w:tcPr>
          <w:p w:rsidR="00E71677" w:rsidRPr="00BD6197" w:rsidRDefault="00E71677" w:rsidP="00F810D3">
            <w:pPr>
              <w:pStyle w:val="Tabletext"/>
              <w:keepNext/>
              <w:keepLines/>
              <w:jc w:val="center"/>
              <w:rPr>
                <w:lang w:val="en-US"/>
              </w:rPr>
            </w:pPr>
            <w:r w:rsidRPr="00BD6197">
              <w:rPr>
                <w:lang w:val="en-US"/>
              </w:rPr>
              <w:t>Medium</w:t>
            </w:r>
          </w:p>
        </w:tc>
        <w:tc>
          <w:tcPr>
            <w:tcW w:w="1900" w:type="dxa"/>
            <w:shd w:val="clear" w:color="auto" w:fill="auto"/>
            <w:tcMar>
              <w:top w:w="15" w:type="dxa"/>
              <w:left w:w="108" w:type="dxa"/>
              <w:bottom w:w="0" w:type="dxa"/>
              <w:right w:w="108" w:type="dxa"/>
            </w:tcMar>
            <w:vAlign w:val="center"/>
            <w:hideMark/>
          </w:tcPr>
          <w:p w:rsidR="00E71677" w:rsidRPr="00BD6197" w:rsidRDefault="00E71677" w:rsidP="00F810D3">
            <w:pPr>
              <w:pStyle w:val="Tabletext"/>
              <w:keepNext/>
              <w:keepLines/>
              <w:jc w:val="center"/>
              <w:rPr>
                <w:lang w:val="en-US"/>
              </w:rPr>
            </w:pPr>
            <w:r w:rsidRPr="00BD6197">
              <w:rPr>
                <w:lang w:val="en-US"/>
              </w:rPr>
              <w:t>1.1</w:t>
            </w:r>
          </w:p>
        </w:tc>
      </w:tr>
      <w:tr w:rsidR="00E71677" w:rsidRPr="00BD6197" w:rsidTr="000F2BA7">
        <w:trPr>
          <w:trHeight w:val="640"/>
          <w:jc w:val="center"/>
        </w:trPr>
        <w:tc>
          <w:tcPr>
            <w:tcW w:w="2860" w:type="dxa"/>
            <w:shd w:val="clear" w:color="auto" w:fill="auto"/>
            <w:tcMar>
              <w:top w:w="15" w:type="dxa"/>
              <w:left w:w="108" w:type="dxa"/>
              <w:bottom w:w="0" w:type="dxa"/>
              <w:right w:w="108" w:type="dxa"/>
            </w:tcMar>
            <w:vAlign w:val="center"/>
            <w:hideMark/>
          </w:tcPr>
          <w:p w:rsidR="00E71677" w:rsidRPr="00BD6197" w:rsidRDefault="00E71677" w:rsidP="00F810D3">
            <w:pPr>
              <w:pStyle w:val="Tabletext"/>
              <w:keepNext/>
              <w:keepLines/>
              <w:jc w:val="center"/>
              <w:rPr>
                <w:lang w:val="en-US"/>
              </w:rPr>
            </w:pPr>
            <w:r w:rsidRPr="00BD6197">
              <w:rPr>
                <w:lang w:val="en-US"/>
              </w:rPr>
              <w:t>BOL &gt; 90%</w:t>
            </w:r>
          </w:p>
        </w:tc>
        <w:tc>
          <w:tcPr>
            <w:tcW w:w="1780" w:type="dxa"/>
            <w:vMerge w:val="restart"/>
            <w:shd w:val="clear" w:color="auto" w:fill="auto"/>
            <w:tcMar>
              <w:top w:w="15" w:type="dxa"/>
              <w:left w:w="108" w:type="dxa"/>
              <w:bottom w:w="0" w:type="dxa"/>
              <w:right w:w="108" w:type="dxa"/>
            </w:tcMar>
            <w:vAlign w:val="center"/>
            <w:hideMark/>
          </w:tcPr>
          <w:p w:rsidR="00E71677" w:rsidRPr="00BD6197" w:rsidRDefault="00E71677" w:rsidP="00F810D3">
            <w:pPr>
              <w:pStyle w:val="Tabletext"/>
              <w:keepNext/>
              <w:keepLines/>
              <w:jc w:val="center"/>
              <w:rPr>
                <w:lang w:val="en-US"/>
              </w:rPr>
            </w:pPr>
            <w:r w:rsidRPr="00BD6197">
              <w:rPr>
                <w:lang w:val="en-US"/>
              </w:rPr>
              <w:t>Saturated Band</w:t>
            </w:r>
          </w:p>
        </w:tc>
        <w:tc>
          <w:tcPr>
            <w:tcW w:w="1900" w:type="dxa"/>
            <w:vMerge w:val="restart"/>
            <w:shd w:val="clear" w:color="auto" w:fill="auto"/>
            <w:tcMar>
              <w:top w:w="15" w:type="dxa"/>
              <w:left w:w="108" w:type="dxa"/>
              <w:bottom w:w="0" w:type="dxa"/>
              <w:right w:w="108" w:type="dxa"/>
            </w:tcMar>
            <w:vAlign w:val="center"/>
            <w:hideMark/>
          </w:tcPr>
          <w:p w:rsidR="00E71677" w:rsidRPr="00BD6197" w:rsidRDefault="00E71677" w:rsidP="00F810D3">
            <w:pPr>
              <w:pStyle w:val="Tabletext"/>
              <w:keepNext/>
              <w:keepLines/>
              <w:jc w:val="center"/>
              <w:rPr>
                <w:lang w:val="en-US"/>
              </w:rPr>
            </w:pPr>
            <w:r w:rsidRPr="00BD6197">
              <w:rPr>
                <w:lang w:val="en-US"/>
              </w:rPr>
              <w:t>1.3</w:t>
            </w:r>
          </w:p>
        </w:tc>
      </w:tr>
      <w:tr w:rsidR="00E71677" w:rsidRPr="00D17B5B" w:rsidTr="000F2BA7">
        <w:trPr>
          <w:trHeight w:val="960"/>
          <w:jc w:val="center"/>
        </w:trPr>
        <w:tc>
          <w:tcPr>
            <w:tcW w:w="2860" w:type="dxa"/>
            <w:shd w:val="clear" w:color="auto" w:fill="auto"/>
            <w:tcMar>
              <w:top w:w="15" w:type="dxa"/>
              <w:left w:w="108" w:type="dxa"/>
              <w:bottom w:w="0" w:type="dxa"/>
              <w:right w:w="108" w:type="dxa"/>
            </w:tcMar>
            <w:vAlign w:val="center"/>
            <w:hideMark/>
          </w:tcPr>
          <w:p w:rsidR="00E71677" w:rsidRPr="00BD6197" w:rsidRDefault="00E71677" w:rsidP="000F2BA7">
            <w:pPr>
              <w:pStyle w:val="Tabletext"/>
              <w:jc w:val="center"/>
              <w:rPr>
                <w:lang w:val="en-US"/>
              </w:rPr>
            </w:pPr>
            <w:r w:rsidRPr="00BD6197">
              <w:rPr>
                <w:lang w:val="en-US"/>
              </w:rPr>
              <w:t>Or, the evidence of the existence of a channel with frequency reuse, only for the Point-to-Point links</w:t>
            </w:r>
          </w:p>
        </w:tc>
        <w:tc>
          <w:tcPr>
            <w:tcW w:w="0" w:type="auto"/>
            <w:vMerge/>
            <w:shd w:val="clear" w:color="auto" w:fill="auto"/>
            <w:vAlign w:val="center"/>
            <w:hideMark/>
          </w:tcPr>
          <w:p w:rsidR="00E71677" w:rsidRPr="00BD6197" w:rsidRDefault="00E71677" w:rsidP="000F2BA7">
            <w:pPr>
              <w:pStyle w:val="Tabletext"/>
              <w:jc w:val="center"/>
              <w:rPr>
                <w:rFonts w:ascii="Arial" w:hAnsi="Arial" w:cs="Arial"/>
                <w:sz w:val="36"/>
                <w:szCs w:val="36"/>
                <w:lang w:val="en-US" w:eastAsia="es-CO"/>
              </w:rPr>
            </w:pPr>
          </w:p>
        </w:tc>
        <w:tc>
          <w:tcPr>
            <w:tcW w:w="0" w:type="auto"/>
            <w:vMerge/>
            <w:shd w:val="clear" w:color="auto" w:fill="auto"/>
            <w:vAlign w:val="center"/>
            <w:hideMark/>
          </w:tcPr>
          <w:p w:rsidR="00E71677" w:rsidRPr="00BD6197" w:rsidRDefault="00E71677" w:rsidP="000F2BA7">
            <w:pPr>
              <w:pStyle w:val="Tabletext"/>
              <w:jc w:val="center"/>
              <w:rPr>
                <w:rFonts w:ascii="Arial" w:hAnsi="Arial" w:cs="Arial"/>
                <w:sz w:val="36"/>
                <w:szCs w:val="36"/>
                <w:lang w:val="en-US" w:eastAsia="es-CO"/>
              </w:rPr>
            </w:pPr>
          </w:p>
        </w:tc>
      </w:tr>
    </w:tbl>
    <w:p w:rsidR="00E71677" w:rsidRPr="00BD6197" w:rsidRDefault="00E71677" w:rsidP="00E71677">
      <w:pPr>
        <w:pStyle w:val="Tablefin"/>
        <w:rPr>
          <w:lang w:val="en-US"/>
        </w:rPr>
      </w:pPr>
    </w:p>
    <w:p w:rsidR="00E71677" w:rsidRPr="00BD6197" w:rsidRDefault="00E71677" w:rsidP="00E71677">
      <w:pPr>
        <w:rPr>
          <w:lang w:val="en-US"/>
        </w:rPr>
      </w:pPr>
      <w:r w:rsidRPr="00BD6197">
        <w:rPr>
          <w:color w:val="000000"/>
          <w:lang w:val="en-US"/>
        </w:rPr>
        <w:t>The efficiency factor will apply for those Point-to-Point Links in the par</w:t>
      </w:r>
      <w:r w:rsidRPr="00BD6197">
        <w:rPr>
          <w:lang w:val="en-US"/>
        </w:rPr>
        <w:t>ticular places identified by the government with an occupation level over 75% in a particular band and its corresponding congestion level that goes from medium to saturated, as can be observed in the illustrated chart. This factor also applies when it has been verified that there would be at least a channel with frequency re-use.</w:t>
      </w:r>
    </w:p>
    <w:p w:rsidR="00E71677" w:rsidRPr="00BD6197" w:rsidRDefault="00E71677" w:rsidP="00E71677">
      <w:pPr>
        <w:rPr>
          <w:lang w:val="en-US"/>
        </w:rPr>
      </w:pPr>
      <w:r w:rsidRPr="00BD6197">
        <w:rPr>
          <w:szCs w:val="24"/>
          <w:lang w:val="en-US"/>
        </w:rPr>
        <w:t xml:space="preserve">The formula demanded to know the spectrum occupation levels on which the congestion levels were established and its respective efficiency factors. </w:t>
      </w:r>
    </w:p>
    <w:p w:rsidR="00E71677" w:rsidRPr="00A01420" w:rsidRDefault="00E71677" w:rsidP="00E71677">
      <w:pPr>
        <w:pStyle w:val="Headingb"/>
        <w:rPr>
          <w:lang w:val="en-US"/>
        </w:rPr>
      </w:pPr>
      <w:bookmarkStart w:id="2209" w:name="_Toc454285010"/>
      <w:bookmarkStart w:id="2210" w:name="_Toc462234174"/>
      <w:r w:rsidRPr="00A01420">
        <w:rPr>
          <w:lang w:val="en-US"/>
        </w:rPr>
        <w:lastRenderedPageBreak/>
        <w:t>Procedure for determining the occupation level in a specific geographic area for point-to-point links</w:t>
      </w:r>
      <w:bookmarkEnd w:id="2209"/>
      <w:bookmarkEnd w:id="2210"/>
    </w:p>
    <w:p w:rsidR="00E71677" w:rsidRPr="00BD6197" w:rsidRDefault="00E71677" w:rsidP="00E71677">
      <w:pPr>
        <w:rPr>
          <w:lang w:val="en-US"/>
        </w:rPr>
      </w:pPr>
      <w:r w:rsidRPr="00BD6197">
        <w:rPr>
          <w:szCs w:val="24"/>
          <w:lang w:val="en-US"/>
        </w:rPr>
        <w:t>The procedure for identifying the occupation levels was defined as follows:</w:t>
      </w:r>
    </w:p>
    <w:p w:rsidR="00E71677" w:rsidRPr="00BD6197" w:rsidRDefault="00E71677" w:rsidP="00E71677">
      <w:pPr>
        <w:pStyle w:val="enumlev1"/>
        <w:rPr>
          <w:lang w:val="en-US"/>
        </w:rPr>
      </w:pPr>
      <w:r w:rsidRPr="00BD6197">
        <w:rPr>
          <w:lang w:val="en-US"/>
        </w:rPr>
        <w:t>1</w:t>
      </w:r>
      <w:r w:rsidRPr="00BD6197">
        <w:rPr>
          <w:lang w:val="en-US"/>
        </w:rPr>
        <w:tab/>
        <w:t>Debugging database of radiolinks (point-to-point links), in order to remove the expired legal permissions, and correct some imprecise information.</w:t>
      </w:r>
    </w:p>
    <w:p w:rsidR="00E71677" w:rsidRPr="00BD6197" w:rsidRDefault="00E71677" w:rsidP="00E71677">
      <w:pPr>
        <w:pStyle w:val="enumlev1"/>
        <w:rPr>
          <w:lang w:val="en-US"/>
        </w:rPr>
      </w:pPr>
      <w:r w:rsidRPr="00BD6197">
        <w:rPr>
          <w:lang w:val="en-US"/>
        </w:rPr>
        <w:t>2</w:t>
      </w:r>
      <w:r w:rsidRPr="00BD6197">
        <w:rPr>
          <w:lang w:val="en-US"/>
        </w:rPr>
        <w:tab/>
        <w:t>Organising the already clean database of assigned frequencies by frequency band, according to the National Frequency Band Allocation Table.</w:t>
      </w:r>
    </w:p>
    <w:p w:rsidR="00E71677" w:rsidRPr="00BD6197" w:rsidRDefault="00E71677" w:rsidP="00E71677">
      <w:pPr>
        <w:pStyle w:val="enumlev1"/>
        <w:rPr>
          <w:lang w:val="en-US"/>
        </w:rPr>
      </w:pPr>
      <w:r w:rsidRPr="00BD6197">
        <w:rPr>
          <w:lang w:val="en-US"/>
        </w:rPr>
        <w:t>3</w:t>
      </w:r>
      <w:r w:rsidRPr="00BD6197">
        <w:rPr>
          <w:lang w:val="en-US"/>
        </w:rPr>
        <w:tab/>
        <w:t>Defining geographic locations, so that the clean database of assigned frequencies could be grouped according to its location. For this purpose, each geographic location refers to installed infrastructures in a specific area known by a common name and coordinates. It means that the installed infrastructures are close enough to generate interference, if their permits let them work both in co-channel or adjacent channel.</w:t>
      </w:r>
    </w:p>
    <w:p w:rsidR="00E71677" w:rsidRPr="00BD6197" w:rsidRDefault="00E71677" w:rsidP="00E71677">
      <w:pPr>
        <w:pStyle w:val="enumlev1"/>
        <w:rPr>
          <w:lang w:val="en-US"/>
        </w:rPr>
      </w:pPr>
      <w:r w:rsidRPr="00BD6197">
        <w:rPr>
          <w:lang w:val="en-US"/>
        </w:rPr>
        <w:t>4</w:t>
      </w:r>
      <w:r w:rsidRPr="00BD6197">
        <w:rPr>
          <w:lang w:val="en-US"/>
        </w:rPr>
        <w:tab/>
        <w:t>Determining of the congested locations, grouped by frequency band.</w:t>
      </w:r>
    </w:p>
    <w:p w:rsidR="00E71677" w:rsidRPr="00BD6197" w:rsidRDefault="00E71677" w:rsidP="00E71677">
      <w:pPr>
        <w:pStyle w:val="enumlev2"/>
        <w:rPr>
          <w:lang w:val="en-US"/>
        </w:rPr>
      </w:pPr>
      <w:r w:rsidRPr="00BD6197">
        <w:rPr>
          <w:lang w:val="en-US"/>
        </w:rPr>
        <w:t>a)</w:t>
      </w:r>
      <w:r w:rsidRPr="00BD6197">
        <w:rPr>
          <w:lang w:val="en-US"/>
        </w:rPr>
        <w:tab/>
        <w:t>This activity starts with the definition of a reference parameter that allows to identify the congestion limits of a specific geographic location on the different bands. The chosen parameter is the Amount of Usable Spectrum in a particular frequency band in each geographic location.</w:t>
      </w:r>
    </w:p>
    <w:p w:rsidR="00E71677" w:rsidRPr="00BD6197" w:rsidRDefault="00E71677" w:rsidP="00E71677">
      <w:pPr>
        <w:pStyle w:val="enumlev2"/>
        <w:rPr>
          <w:lang w:val="en-US"/>
        </w:rPr>
      </w:pPr>
      <w:r w:rsidRPr="00BD6197">
        <w:rPr>
          <w:lang w:val="en-US"/>
        </w:rPr>
        <w:t>b)</w:t>
      </w:r>
      <w:r w:rsidRPr="00BD6197">
        <w:rPr>
          <w:lang w:val="en-US"/>
        </w:rPr>
        <w:tab/>
        <w:t>The amounts of usable spectrum are calculated based on the National Frequency Band Allocation Table and its specific channel arrangements, all of which are based on ITU Recommendations.</w:t>
      </w:r>
    </w:p>
    <w:p w:rsidR="00E71677" w:rsidRPr="00BD6197" w:rsidRDefault="00E71677" w:rsidP="00E71677">
      <w:pPr>
        <w:pStyle w:val="enumlev2"/>
        <w:rPr>
          <w:lang w:val="en-US"/>
        </w:rPr>
      </w:pPr>
      <w:r w:rsidRPr="00BD6197">
        <w:rPr>
          <w:lang w:val="en-US"/>
        </w:rPr>
        <w:t>c)</w:t>
      </w:r>
      <w:r w:rsidRPr="00BD6197">
        <w:rPr>
          <w:lang w:val="en-US"/>
        </w:rPr>
        <w:tab/>
        <w:t>Then, the Amounts of Assigned Spectrum are measured by adding the amounts of assigned spectrum in the database.</w:t>
      </w:r>
    </w:p>
    <w:p w:rsidR="00E71677" w:rsidRPr="00BD6197" w:rsidRDefault="00E71677" w:rsidP="00E71677">
      <w:pPr>
        <w:pStyle w:val="enumlev2"/>
        <w:rPr>
          <w:lang w:val="en-US"/>
        </w:rPr>
      </w:pPr>
      <w:r w:rsidRPr="00BD6197">
        <w:rPr>
          <w:lang w:val="en-US"/>
        </w:rPr>
        <w:t>d)</w:t>
      </w:r>
      <w:r w:rsidRPr="00BD6197">
        <w:rPr>
          <w:lang w:val="en-US"/>
        </w:rPr>
        <w:tab/>
        <w:t>The occupation levels in the different geographic locations on the distinct frequencies are defined applying the relation between the amount of assigned spectrum and the amount of usable spectrum.</w:t>
      </w:r>
    </w:p>
    <w:p w:rsidR="00E71677" w:rsidRPr="00BD6197" w:rsidRDefault="00E71677" w:rsidP="00E71677">
      <w:pPr>
        <w:pStyle w:val="enumlev2"/>
        <w:rPr>
          <w:lang w:val="en-US"/>
        </w:rPr>
      </w:pPr>
      <w:r w:rsidRPr="00BD6197">
        <w:rPr>
          <w:lang w:val="en-US"/>
        </w:rPr>
        <w:t>e)</w:t>
      </w:r>
      <w:r w:rsidRPr="00BD6197">
        <w:rPr>
          <w:lang w:val="en-US"/>
        </w:rPr>
        <w:tab/>
        <w:t xml:space="preserve">The concept of Congested Geographic Locations, where the efficiency factors apply, is defined as the circular area having an extent determined by the length of the radius from the specified central point. The central points are those fixed by the coordinates mentioned before (see point number 3). </w:t>
      </w:r>
    </w:p>
    <w:p w:rsidR="00E71677" w:rsidRPr="00BD6197" w:rsidRDefault="00E71677" w:rsidP="00E71677">
      <w:pPr>
        <w:pStyle w:val="enumlev2"/>
        <w:rPr>
          <w:lang w:val="en-US"/>
        </w:rPr>
      </w:pPr>
      <w:r w:rsidRPr="00BD6197">
        <w:rPr>
          <w:lang w:val="en-US"/>
        </w:rPr>
        <w:t>f)</w:t>
      </w:r>
      <w:r w:rsidRPr="00BD6197">
        <w:rPr>
          <w:lang w:val="en-US"/>
        </w:rPr>
        <w:tab/>
        <w:t xml:space="preserve">Based on the experience and the information obtained from the database and the simulation tool, it is necessary to determine a radius. In the case of Colombia this radius is 600 meters because this distance was the maximum for including all the existing base stations in the congested geographic locations. </w:t>
      </w:r>
    </w:p>
    <w:p w:rsidR="00E71677" w:rsidRPr="00BD6197" w:rsidRDefault="00E71677" w:rsidP="00E71677">
      <w:pPr>
        <w:pStyle w:val="enumlev1"/>
        <w:rPr>
          <w:lang w:val="en-US"/>
        </w:rPr>
      </w:pPr>
      <w:r w:rsidRPr="00BD6197">
        <w:rPr>
          <w:lang w:val="en-US"/>
        </w:rPr>
        <w:t>5</w:t>
      </w:r>
      <w:r w:rsidRPr="00BD6197">
        <w:rPr>
          <w:lang w:val="en-US"/>
        </w:rPr>
        <w:tab/>
        <w:t>In parallel, ANE fixes the occupation ranges with their respective congestion levels and determines the corresponding factors. These factors have been called Efficiency Factors, and they will modify the point-to-point links formula in order to promote efficiency in the assignment and use of the spectrum.</w:t>
      </w:r>
    </w:p>
    <w:p w:rsidR="00E71677" w:rsidRPr="00BD6197" w:rsidRDefault="00E71677" w:rsidP="00E71677">
      <w:pPr>
        <w:rPr>
          <w:lang w:val="en-US"/>
        </w:rPr>
      </w:pPr>
      <w:r w:rsidRPr="00BD6197">
        <w:rPr>
          <w:lang w:val="en-US"/>
        </w:rPr>
        <w:t>The occupation and congestion levels are shown in the chart above. They will last for two years, and studies must be developed for identifying the new occupation levels of the different places and areas for the following two years. The results must be published by the government timely, in order to let operators calculate and pay the annual spectrum fees without fines or sanctions.</w:t>
      </w:r>
    </w:p>
    <w:p w:rsidR="00173AFD" w:rsidRPr="00BD6197" w:rsidRDefault="00173AFD" w:rsidP="00173AFD">
      <w:pPr>
        <w:rPr>
          <w:lang w:val="en-US"/>
        </w:rPr>
      </w:pPr>
      <w:r w:rsidRPr="00BD6197">
        <w:rPr>
          <w:lang w:val="en-US"/>
        </w:rPr>
        <w:t>In the case of point-to-multipoint links, in order to determine the congestion of a band, the procedure is similar as stated previously with a few adjustments. Specially because the congested area would be a bigger location like a city or even the whole country.</w:t>
      </w:r>
    </w:p>
    <w:p w:rsidR="00173AFD" w:rsidRPr="00A01420" w:rsidRDefault="00173AFD" w:rsidP="00173AFD">
      <w:pPr>
        <w:pStyle w:val="Headingb"/>
        <w:rPr>
          <w:lang w:val="en-US"/>
        </w:rPr>
      </w:pPr>
      <w:bookmarkStart w:id="2211" w:name="_Toc454285011"/>
      <w:bookmarkStart w:id="2212" w:name="_Toc462234175"/>
      <w:r w:rsidRPr="00A01420">
        <w:rPr>
          <w:lang w:val="en-US"/>
        </w:rPr>
        <w:lastRenderedPageBreak/>
        <w:t>Calculations example for a point-to-point link</w:t>
      </w:r>
      <w:bookmarkEnd w:id="2211"/>
      <w:bookmarkEnd w:id="2212"/>
    </w:p>
    <w:p w:rsidR="00173AFD" w:rsidRPr="00BD6197" w:rsidRDefault="00173AFD" w:rsidP="00173AFD">
      <w:pPr>
        <w:rPr>
          <w:lang w:val="en-US"/>
        </w:rPr>
      </w:pPr>
      <w:r w:rsidRPr="00BD6197">
        <w:rPr>
          <w:lang w:val="en-US"/>
        </w:rPr>
        <w:t xml:space="preserve">The first step for calculating the fees is to replace in the formula the parameters with the particular values for each parameter. </w:t>
      </w:r>
    </w:p>
    <w:p w:rsidR="00173AFD" w:rsidRPr="00BD6197" w:rsidRDefault="00173AFD" w:rsidP="00173AFD">
      <w:pPr>
        <w:pStyle w:val="Equation"/>
        <w:rPr>
          <w:lang w:val="en-US"/>
        </w:rPr>
      </w:pPr>
      <w:r w:rsidRPr="00BD6197">
        <w:rPr>
          <w:lang w:val="en-US"/>
        </w:rPr>
        <w:tab/>
      </w:r>
      <w:r w:rsidRPr="00BD6197">
        <w:rPr>
          <w:lang w:val="en-US"/>
        </w:rPr>
        <w:tab/>
        <w:t>VAC = AB * Fv * Fe * SMMLV</w:t>
      </w:r>
    </w:p>
    <w:p w:rsidR="00173AFD" w:rsidRPr="00BD6197" w:rsidRDefault="00173AFD" w:rsidP="00173AFD">
      <w:pPr>
        <w:rPr>
          <w:lang w:val="en-US"/>
        </w:rPr>
      </w:pPr>
      <w:r w:rsidRPr="00BD6197">
        <w:rPr>
          <w:lang w:val="en-US"/>
        </w:rPr>
        <w:t>where</w:t>
      </w:r>
      <w:r w:rsidRPr="00BD6197">
        <w:rPr>
          <w:b/>
          <w:bCs/>
          <w:lang w:val="en-US"/>
        </w:rPr>
        <w:t>:</w:t>
      </w:r>
    </w:p>
    <w:p w:rsidR="00173AFD" w:rsidRPr="000F7C3E" w:rsidRDefault="00173AFD" w:rsidP="00173AFD">
      <w:pPr>
        <w:pStyle w:val="Equationlegend"/>
        <w:rPr>
          <w:szCs w:val="24"/>
        </w:rPr>
      </w:pPr>
      <w:r w:rsidRPr="000F7C3E">
        <w:rPr>
          <w:szCs w:val="24"/>
        </w:rPr>
        <w:tab/>
        <w:t>VAC:</w:t>
      </w:r>
      <w:r w:rsidRPr="000F7C3E">
        <w:rPr>
          <w:szCs w:val="24"/>
        </w:rPr>
        <w:tab/>
        <w:t>Annual Fee Value</w:t>
      </w:r>
    </w:p>
    <w:p w:rsidR="00173AFD" w:rsidRPr="000F7C3E" w:rsidRDefault="00173AFD" w:rsidP="00173AFD">
      <w:pPr>
        <w:pStyle w:val="Equationlegend"/>
        <w:rPr>
          <w:szCs w:val="24"/>
        </w:rPr>
      </w:pPr>
      <w:r w:rsidRPr="000F7C3E">
        <w:rPr>
          <w:szCs w:val="24"/>
        </w:rPr>
        <w:tab/>
        <w:t>AB:</w:t>
      </w:r>
      <w:r w:rsidRPr="000F7C3E">
        <w:rPr>
          <w:szCs w:val="24"/>
        </w:rPr>
        <w:tab/>
        <w:t>Bandwidth</w:t>
      </w:r>
    </w:p>
    <w:p w:rsidR="00173AFD" w:rsidRPr="000F7C3E" w:rsidRDefault="00173AFD" w:rsidP="00173AFD">
      <w:pPr>
        <w:pStyle w:val="Equationlegend"/>
        <w:rPr>
          <w:szCs w:val="24"/>
        </w:rPr>
      </w:pPr>
      <w:r w:rsidRPr="000F7C3E">
        <w:rPr>
          <w:szCs w:val="24"/>
        </w:rPr>
        <w:tab/>
        <w:t>Fv:</w:t>
      </w:r>
      <w:r w:rsidRPr="000F7C3E">
        <w:rPr>
          <w:szCs w:val="24"/>
        </w:rPr>
        <w:tab/>
        <w:t>Weighting Band Factor</w:t>
      </w:r>
    </w:p>
    <w:p w:rsidR="00173AFD" w:rsidRPr="000F7C3E" w:rsidRDefault="00173AFD" w:rsidP="00173AFD">
      <w:pPr>
        <w:pStyle w:val="Equationlegend"/>
        <w:rPr>
          <w:szCs w:val="24"/>
        </w:rPr>
      </w:pPr>
      <w:r w:rsidRPr="000F7C3E">
        <w:rPr>
          <w:szCs w:val="24"/>
        </w:rPr>
        <w:tab/>
        <w:t>Fe:</w:t>
      </w:r>
      <w:r w:rsidRPr="000F7C3E">
        <w:rPr>
          <w:szCs w:val="24"/>
        </w:rPr>
        <w:tab/>
        <w:t>Efficiency Factor (new element included in the formula)</w:t>
      </w:r>
    </w:p>
    <w:p w:rsidR="00173AFD" w:rsidRPr="000F7C3E" w:rsidRDefault="00173AFD" w:rsidP="00173AFD">
      <w:pPr>
        <w:pStyle w:val="Equationlegend"/>
        <w:rPr>
          <w:szCs w:val="24"/>
        </w:rPr>
      </w:pPr>
      <w:r w:rsidRPr="000F7C3E">
        <w:rPr>
          <w:szCs w:val="24"/>
        </w:rPr>
        <w:tab/>
        <w:t>SMMLV</w:t>
      </w:r>
      <w:r w:rsidRPr="000F7C3E">
        <w:rPr>
          <w:szCs w:val="24"/>
        </w:rPr>
        <w:tab/>
        <w:t xml:space="preserve">Monthly </w:t>
      </w:r>
      <w:r w:rsidR="0091356A" w:rsidRPr="000F7C3E">
        <w:rPr>
          <w:szCs w:val="24"/>
        </w:rPr>
        <w:t>Minimum</w:t>
      </w:r>
      <w:r w:rsidRPr="000F7C3E">
        <w:rPr>
          <w:szCs w:val="24"/>
        </w:rPr>
        <w:t xml:space="preserve"> Salary, issued legally every year (</w:t>
      </w:r>
      <w:r w:rsidR="0091356A" w:rsidRPr="000F7C3E">
        <w:rPr>
          <w:szCs w:val="24"/>
        </w:rPr>
        <w:t>minimum</w:t>
      </w:r>
      <w:r w:rsidRPr="000F7C3E">
        <w:rPr>
          <w:szCs w:val="24"/>
        </w:rPr>
        <w:t xml:space="preserve"> wage for a whole month)</w:t>
      </w:r>
      <w:r>
        <w:rPr>
          <w:szCs w:val="24"/>
        </w:rPr>
        <w:t>.</w:t>
      </w:r>
    </w:p>
    <w:p w:rsidR="00173AFD" w:rsidRPr="00BD6197" w:rsidRDefault="00173AFD" w:rsidP="00173AFD">
      <w:pPr>
        <w:rPr>
          <w:lang w:val="en-US"/>
        </w:rPr>
      </w:pPr>
      <w:r w:rsidRPr="00BD6197">
        <w:rPr>
          <w:lang w:val="en-US"/>
        </w:rPr>
        <w:t>Thus, for a point-to-point link in the 23 GHz band whose Fv is 0.38 with 28 MHz of bandwidth and a SMMLV of 250 USD for a specific year, the VAC would be 2660 USD.</w:t>
      </w:r>
    </w:p>
    <w:p w:rsidR="00173AFD" w:rsidRPr="00BD6197" w:rsidRDefault="00173AFD" w:rsidP="00173AFD">
      <w:pPr>
        <w:rPr>
          <w:lang w:val="en-US"/>
        </w:rPr>
      </w:pPr>
      <w:r w:rsidRPr="00BD6197">
        <w:rPr>
          <w:lang w:val="en-US"/>
        </w:rPr>
        <w:t>On the other hand, if the place where the link is situated had a congestion level between 75% and 90% or “medium level” the efficiency factor would be 1.1</w:t>
      </w:r>
      <w:r w:rsidRPr="00BD6197">
        <w:rPr>
          <w:b/>
          <w:bCs/>
          <w:lang w:val="en-US"/>
        </w:rPr>
        <w:t>.</w:t>
      </w:r>
      <w:r w:rsidRPr="00BD6197">
        <w:rPr>
          <w:lang w:val="en-US"/>
        </w:rPr>
        <w:t xml:space="preserve"> In this case, the VAC would be 2 926 USD.</w:t>
      </w:r>
    </w:p>
    <w:p w:rsidR="00173AFD" w:rsidRPr="00BD6197" w:rsidRDefault="00173AFD" w:rsidP="00173AFD">
      <w:pPr>
        <w:rPr>
          <w:lang w:val="en-US"/>
        </w:rPr>
      </w:pPr>
      <w:r w:rsidRPr="00BD6197">
        <w:rPr>
          <w:lang w:val="en-US"/>
        </w:rPr>
        <w:t>If the link is located in an area or location with a “saturated band” level, the efficiency factor is 1.3 and its VAC would reach 3458 USD.</w:t>
      </w:r>
    </w:p>
    <w:p w:rsidR="00173AFD" w:rsidRPr="00BD6197" w:rsidRDefault="00173AFD" w:rsidP="00173AFD">
      <w:pPr>
        <w:rPr>
          <w:lang w:val="en-US"/>
        </w:rPr>
      </w:pPr>
      <w:r w:rsidRPr="00BD6197">
        <w:rPr>
          <w:lang w:val="en-US"/>
        </w:rPr>
        <w:t>Colombia published a list of 82 congested geographic locations.</w:t>
      </w:r>
    </w:p>
    <w:p w:rsidR="00173AFD" w:rsidRPr="00BD6197" w:rsidRDefault="00173AFD" w:rsidP="00173AFD">
      <w:pPr>
        <w:pStyle w:val="Heading2"/>
        <w:rPr>
          <w:lang w:val="en-US"/>
        </w:rPr>
      </w:pPr>
      <w:bookmarkStart w:id="2213" w:name="_Toc392515933"/>
      <w:bookmarkStart w:id="2214" w:name="_Toc462234176"/>
      <w:bookmarkStart w:id="2215" w:name="_Toc518394270"/>
      <w:r w:rsidRPr="00BD6197">
        <w:rPr>
          <w:lang w:val="en-US"/>
        </w:rPr>
        <w:t>5.3</w:t>
      </w:r>
      <w:r w:rsidRPr="00BD6197">
        <w:rPr>
          <w:lang w:val="en-US"/>
        </w:rPr>
        <w:tab/>
        <w:t>Experience using alternative resources</w:t>
      </w:r>
      <w:bookmarkEnd w:id="2213"/>
      <w:bookmarkEnd w:id="2214"/>
      <w:bookmarkEnd w:id="2215"/>
    </w:p>
    <w:p w:rsidR="00173AFD" w:rsidRPr="00BD6197" w:rsidRDefault="00173AFD" w:rsidP="00173AFD">
      <w:pPr>
        <w:rPr>
          <w:lang w:val="en-US"/>
        </w:rPr>
      </w:pPr>
      <w:r w:rsidRPr="00BD6197">
        <w:rPr>
          <w:lang w:val="en-US"/>
        </w:rPr>
        <w:t>Many administrations have used alternative resources to support national spectrum management for a number of years. The following information reviews some of this experience.</w:t>
      </w:r>
    </w:p>
    <w:p w:rsidR="00173AFD" w:rsidRPr="00BD6197" w:rsidRDefault="00173AFD" w:rsidP="00173AFD">
      <w:pPr>
        <w:pStyle w:val="Heading3"/>
        <w:rPr>
          <w:b w:val="0"/>
          <w:lang w:val="en-US"/>
        </w:rPr>
      </w:pPr>
      <w:bookmarkStart w:id="2216" w:name="_Toc459746773"/>
      <w:bookmarkStart w:id="2217" w:name="_Toc459792679"/>
      <w:bookmarkStart w:id="2218" w:name="_Toc459793843"/>
      <w:bookmarkStart w:id="2219" w:name="_Toc459793985"/>
      <w:bookmarkStart w:id="2220" w:name="_Toc459970442"/>
      <w:bookmarkStart w:id="2221" w:name="_Toc497033238"/>
      <w:bookmarkStart w:id="2222" w:name="_Toc497034036"/>
      <w:bookmarkStart w:id="2223" w:name="_Toc289868876"/>
      <w:bookmarkStart w:id="2224" w:name="_Toc289869036"/>
      <w:bookmarkStart w:id="2225" w:name="_Toc289932342"/>
      <w:bookmarkStart w:id="2226" w:name="_Toc289933387"/>
      <w:bookmarkStart w:id="2227" w:name="_Toc291852950"/>
      <w:bookmarkStart w:id="2228" w:name="_Toc392515934"/>
      <w:bookmarkStart w:id="2229" w:name="_Toc462234177"/>
      <w:bookmarkStart w:id="2230" w:name="_Toc518394271"/>
      <w:r w:rsidRPr="00BD6197">
        <w:rPr>
          <w:lang w:val="en-US"/>
        </w:rPr>
        <w:t>5.3.1</w:t>
      </w:r>
      <w:r w:rsidRPr="00BD6197">
        <w:rPr>
          <w:lang w:val="en-US"/>
        </w:rPr>
        <w:tab/>
        <w:t>Canada</w:t>
      </w:r>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p>
    <w:p w:rsidR="00173AFD" w:rsidRPr="00BD6197" w:rsidRDefault="00173AFD" w:rsidP="00173AFD">
      <w:pPr>
        <w:pStyle w:val="Heading4"/>
        <w:rPr>
          <w:lang w:val="en-US"/>
        </w:rPr>
      </w:pPr>
      <w:bookmarkStart w:id="2231" w:name="_Toc497033239"/>
      <w:bookmarkStart w:id="2232" w:name="_Toc497034037"/>
      <w:r w:rsidRPr="00BD6197">
        <w:rPr>
          <w:lang w:val="en-US"/>
        </w:rPr>
        <w:t>5.3.1.1</w:t>
      </w:r>
      <w:r w:rsidRPr="00BD6197">
        <w:rPr>
          <w:lang w:val="en-US"/>
        </w:rPr>
        <w:tab/>
        <w:t>Consultation process</w:t>
      </w:r>
      <w:bookmarkEnd w:id="2231"/>
      <w:bookmarkEnd w:id="2232"/>
    </w:p>
    <w:p w:rsidR="00173AFD" w:rsidRPr="00BD6197" w:rsidRDefault="00173AFD" w:rsidP="00173AFD">
      <w:pPr>
        <w:rPr>
          <w:lang w:val="en-US"/>
        </w:rPr>
      </w:pPr>
      <w:r w:rsidRPr="00BD6197">
        <w:rPr>
          <w:lang w:val="en-US"/>
        </w:rPr>
        <w:t xml:space="preserve">In accordance with the Statutory Instruments Act and the Statutory Instruments Regulations, federal departments and agencies are required to demonstrate that Canadians have been consulted and that they have had an opportunity to participate in developing or modifying regulations and regulatory programmes. In Canada the </w:t>
      </w:r>
      <w:r w:rsidRPr="00BD6197">
        <w:rPr>
          <w:i/>
          <w:lang w:val="en-US"/>
        </w:rPr>
        <w:t>Canada Gazette</w:t>
      </w:r>
      <w:r w:rsidRPr="00BD6197">
        <w:rPr>
          <w:lang w:val="en-US"/>
        </w:rPr>
        <w:t xml:space="preserve"> contains formal public notices, official appointments, proposed regulations, regulations and public Acts of Parliament from government departments and agencies. All consultations and notices are posted on the Industry Canada’s Web site, providing an opportunity for the public to provide comments and reply comments.  </w:t>
      </w:r>
    </w:p>
    <w:p w:rsidR="00173AFD" w:rsidRPr="00BD6197" w:rsidRDefault="00173AFD" w:rsidP="00173AFD">
      <w:pPr>
        <w:rPr>
          <w:b/>
          <w:lang w:val="en-US"/>
        </w:rPr>
      </w:pPr>
      <w:r w:rsidRPr="00BD6197">
        <w:rPr>
          <w:lang w:val="en-US"/>
        </w:rPr>
        <w:t xml:space="preserve">The Government of Canada also consults with industry members via the Radio Advisory Board of Canada (RABC). The RABC is the main body in the private sector that provides advice of a technical nature regarding the management and use of the radio frequency spectrum to the Government of Canada. The RABC represents most sectors of the radiocommunication business in Canada, including manufacturers, wireless carriers and service providers, network operators, broadcasters, public safety and national security radio network operators and users. The RABC is organized in a number of committees, such as the mobile and personal communications, fixed wireless communications, broadcasting and electromagnetic compatibility. The Canadian Administration participates in these meetings as observer. The RABC advises the Administration on matters related to policy, standards, technical and procedures development. Engineering analyses on channelling plans, interference calculations, sharing scenarios are often conducted in the RABC and have provided significant inputs to the Canadian spectrum management process. </w:t>
      </w:r>
    </w:p>
    <w:p w:rsidR="00173AFD" w:rsidRPr="00BD6197" w:rsidRDefault="00173AFD" w:rsidP="00173AFD">
      <w:pPr>
        <w:pStyle w:val="Heading4"/>
        <w:rPr>
          <w:lang w:val="en-US"/>
        </w:rPr>
      </w:pPr>
      <w:bookmarkStart w:id="2233" w:name="_Toc497033240"/>
      <w:bookmarkStart w:id="2234" w:name="_Toc497034038"/>
      <w:r w:rsidRPr="00BD6197">
        <w:rPr>
          <w:lang w:val="en-US"/>
        </w:rPr>
        <w:lastRenderedPageBreak/>
        <w:t>5.3.1.2</w:t>
      </w:r>
      <w:r w:rsidRPr="00BD6197">
        <w:rPr>
          <w:lang w:val="en-US"/>
        </w:rPr>
        <w:tab/>
        <w:t>Frequency coordination process</w:t>
      </w:r>
      <w:bookmarkEnd w:id="2233"/>
      <w:bookmarkEnd w:id="2234"/>
    </w:p>
    <w:p w:rsidR="00173AFD" w:rsidRPr="00BD6197" w:rsidRDefault="00173AFD" w:rsidP="00173AFD">
      <w:pPr>
        <w:rPr>
          <w:lang w:val="en-US"/>
        </w:rPr>
      </w:pPr>
      <w:r w:rsidRPr="00BD6197">
        <w:rPr>
          <w:lang w:val="en-US"/>
        </w:rPr>
        <w:t>The Canadian national spectrum management organization makes use of frequency coordinators in a number of cases.</w:t>
      </w:r>
    </w:p>
    <w:p w:rsidR="00173AFD" w:rsidRPr="00BD6197" w:rsidRDefault="00173AFD" w:rsidP="00173AFD">
      <w:pPr>
        <w:rPr>
          <w:b/>
          <w:lang w:val="en-US"/>
        </w:rPr>
      </w:pPr>
      <w:r w:rsidRPr="00BD6197">
        <w:rPr>
          <w:lang w:val="en-US"/>
        </w:rPr>
        <w:t>In the case of fixed service and the fixed</w:t>
      </w:r>
      <w:r w:rsidRPr="00BD6197">
        <w:rPr>
          <w:lang w:val="en-US"/>
        </w:rPr>
        <w:noBreakHyphen/>
        <w:t>satellite service frequency applications, while the Department of Industry is responsible for processing licence applications, including the examination of interference potential, international coordination, etc., domestic coordination is the responsibility of the applicant. The fixed service users maintain their own databases from which they coordinate with each other. The majority of the coordination is done within the Frequency Coordination System Association which is a non</w:t>
      </w:r>
      <w:r w:rsidRPr="00BD6197">
        <w:rPr>
          <w:lang w:val="en-US"/>
        </w:rPr>
        <w:noBreakHyphen/>
        <w:t>profit Canadian corporation, with major telephone companies as its members. It operates and administers a computerized Microwave Information and Coordination System.</w:t>
      </w:r>
    </w:p>
    <w:p w:rsidR="00173AFD" w:rsidRPr="00BD6197" w:rsidRDefault="00173AFD" w:rsidP="00173AFD">
      <w:pPr>
        <w:pStyle w:val="Heading4"/>
        <w:rPr>
          <w:lang w:val="en-US"/>
        </w:rPr>
      </w:pPr>
      <w:bookmarkStart w:id="2235" w:name="_Toc497033242"/>
      <w:bookmarkStart w:id="2236" w:name="_Toc497034040"/>
      <w:r w:rsidRPr="00BD6197">
        <w:rPr>
          <w:lang w:val="en-US"/>
        </w:rPr>
        <w:t>5.3.1.3</w:t>
      </w:r>
      <w:r w:rsidRPr="00BD6197">
        <w:rPr>
          <w:lang w:val="en-US"/>
        </w:rPr>
        <w:tab/>
        <w:t>Information dissemination</w:t>
      </w:r>
      <w:bookmarkEnd w:id="2235"/>
      <w:bookmarkEnd w:id="2236"/>
    </w:p>
    <w:p w:rsidR="00173AFD" w:rsidRPr="00BD6197" w:rsidRDefault="00173AFD" w:rsidP="00173AFD">
      <w:pPr>
        <w:rPr>
          <w:lang w:val="en-US"/>
        </w:rPr>
      </w:pPr>
      <w:r w:rsidRPr="00BD6197">
        <w:rPr>
          <w:lang w:val="en-US"/>
        </w:rPr>
        <w:t>In order to facilitate the dissemination of information the assigned frequency records are made available to the general public through Internet access or on a CD-ROM format.</w:t>
      </w:r>
    </w:p>
    <w:p w:rsidR="00173AFD" w:rsidRPr="00BD6197" w:rsidRDefault="00173AFD" w:rsidP="00173AFD">
      <w:pPr>
        <w:pStyle w:val="Heading3"/>
        <w:rPr>
          <w:lang w:val="en-US"/>
        </w:rPr>
      </w:pPr>
      <w:bookmarkStart w:id="2237" w:name="_Toc459746774"/>
      <w:bookmarkStart w:id="2238" w:name="_Toc459792680"/>
      <w:bookmarkStart w:id="2239" w:name="_Toc459793844"/>
      <w:bookmarkStart w:id="2240" w:name="_Toc459793986"/>
      <w:bookmarkStart w:id="2241" w:name="_Toc459970443"/>
      <w:bookmarkStart w:id="2242" w:name="_Toc497033243"/>
      <w:bookmarkStart w:id="2243" w:name="_Toc497034041"/>
      <w:bookmarkStart w:id="2244" w:name="_Toc289868877"/>
      <w:bookmarkStart w:id="2245" w:name="_Toc289869037"/>
      <w:bookmarkStart w:id="2246" w:name="_Toc289932343"/>
      <w:bookmarkStart w:id="2247" w:name="_Toc289933388"/>
      <w:bookmarkStart w:id="2248" w:name="_Toc291852951"/>
      <w:bookmarkStart w:id="2249" w:name="_Toc392515935"/>
      <w:bookmarkStart w:id="2250" w:name="_Toc462234178"/>
      <w:bookmarkStart w:id="2251" w:name="_Toc518394272"/>
      <w:r w:rsidRPr="00BD6197">
        <w:rPr>
          <w:lang w:val="en-US"/>
        </w:rPr>
        <w:t>5.3.2</w:t>
      </w:r>
      <w:r w:rsidRPr="00BD6197">
        <w:rPr>
          <w:lang w:val="en-US"/>
        </w:rPr>
        <w:tab/>
        <w:t>Germany</w:t>
      </w:r>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p>
    <w:p w:rsidR="00173AFD" w:rsidRPr="00BD6197" w:rsidRDefault="00173AFD" w:rsidP="00173AFD">
      <w:pPr>
        <w:rPr>
          <w:lang w:val="en-US"/>
        </w:rPr>
      </w:pPr>
      <w:r w:rsidRPr="00BD6197">
        <w:rPr>
          <w:lang w:val="en-US"/>
        </w:rPr>
        <w:t xml:space="preserve">In Germany, user associations perform some limited spectrum management functions for private mobile radio (PMR) systems. These associations have been successfully involved in the frequency assignment procedure for more than 25 years </w:t>
      </w:r>
      <w:r w:rsidRPr="00BD6197">
        <w:rPr>
          <w:rFonts w:ascii="TimesNewRoman" w:hAnsi="TimesNewRoman" w:cs="TimesNewRoman"/>
          <w:lang w:val="en-US"/>
        </w:rPr>
        <w:t>and are today invited to support their member within the assignment procedure</w:t>
      </w:r>
      <w:r w:rsidRPr="00BD6197">
        <w:rPr>
          <w:lang w:val="en-US"/>
        </w:rPr>
        <w:t>.</w:t>
      </w:r>
    </w:p>
    <w:p w:rsidR="00173AFD" w:rsidRPr="00BD6197" w:rsidRDefault="00173AFD" w:rsidP="00173AFD">
      <w:pPr>
        <w:rPr>
          <w:lang w:val="en-US"/>
        </w:rPr>
      </w:pPr>
      <w:r w:rsidRPr="00BD6197">
        <w:rPr>
          <w:lang w:val="en-US"/>
        </w:rPr>
        <w:t xml:space="preserve">The experts of these associations advise their members in all aspects of PMR use. They explain national regulations and support user planning of PMR networks. The association could recommend to the regulatory authority characteristics of a PMR network such as frequency, coverage area, antenna height, call sign, etc. Normally, all relevant technical standards, rules for frequency planning and other licensing conditions are taken into account in the recommendation of the user association. The regulatory authority is able to follow these recommendations in almost all cases and assigns </w:t>
      </w:r>
      <w:r w:rsidRPr="00BD6197">
        <w:rPr>
          <w:rFonts w:ascii="TimesNewRoman" w:hAnsi="TimesNewRoman" w:cs="TimesNewRoman"/>
          <w:lang w:val="en-US"/>
        </w:rPr>
        <w:t xml:space="preserve">the frequency </w:t>
      </w:r>
      <w:r w:rsidRPr="00BD6197">
        <w:rPr>
          <w:lang w:val="en-US"/>
        </w:rPr>
        <w:t>accordingly. International coordination is, however, always carried out by the regulatory authority.</w:t>
      </w:r>
    </w:p>
    <w:p w:rsidR="00173AFD" w:rsidRPr="00BD6197" w:rsidRDefault="00173AFD" w:rsidP="00173AFD">
      <w:pPr>
        <w:rPr>
          <w:lang w:val="en-US"/>
        </w:rPr>
      </w:pPr>
      <w:r w:rsidRPr="00BD6197">
        <w:rPr>
          <w:lang w:val="en-US"/>
        </w:rPr>
        <w:t>The users associations are financed by contributions from their members and work for the benefit of the PMR users. They contribute to the medium and long-range planning process for the frequency spectrum representing the spectrum requirements of their members to the regulatory authority. They provide a valuable link between the regulatory authority and the users.</w:t>
      </w:r>
    </w:p>
    <w:p w:rsidR="00173AFD" w:rsidRPr="00BD6197" w:rsidRDefault="00173AFD" w:rsidP="00173AFD">
      <w:pPr>
        <w:pStyle w:val="Heading3"/>
        <w:rPr>
          <w:lang w:val="en-US"/>
        </w:rPr>
      </w:pPr>
      <w:bookmarkStart w:id="2252" w:name="_Toc459746775"/>
      <w:bookmarkStart w:id="2253" w:name="_Toc459792681"/>
      <w:bookmarkStart w:id="2254" w:name="_Toc459793845"/>
      <w:bookmarkStart w:id="2255" w:name="_Toc459793987"/>
      <w:bookmarkStart w:id="2256" w:name="_Toc459970444"/>
      <w:bookmarkStart w:id="2257" w:name="_Toc497033244"/>
      <w:bookmarkStart w:id="2258" w:name="_Toc497034042"/>
      <w:bookmarkStart w:id="2259" w:name="_Toc289868878"/>
      <w:bookmarkStart w:id="2260" w:name="_Toc289869038"/>
      <w:bookmarkStart w:id="2261" w:name="_Toc289932344"/>
      <w:bookmarkStart w:id="2262" w:name="_Toc289933389"/>
      <w:bookmarkStart w:id="2263" w:name="_Toc291852952"/>
      <w:bookmarkStart w:id="2264" w:name="_Toc392515936"/>
      <w:bookmarkStart w:id="2265" w:name="_Toc462234179"/>
      <w:bookmarkStart w:id="2266" w:name="_Toc518394273"/>
      <w:r w:rsidRPr="00BD6197">
        <w:rPr>
          <w:lang w:val="en-US"/>
        </w:rPr>
        <w:t>5.3.3</w:t>
      </w:r>
      <w:r w:rsidRPr="00BD6197">
        <w:rPr>
          <w:lang w:val="en-US"/>
        </w:rPr>
        <w:tab/>
        <w:t>Israel</w:t>
      </w:r>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p>
    <w:p w:rsidR="00173AFD" w:rsidRPr="00BD6197" w:rsidRDefault="00173AFD" w:rsidP="00173AFD">
      <w:pPr>
        <w:rPr>
          <w:lang w:val="en-US"/>
        </w:rPr>
      </w:pPr>
      <w:r w:rsidRPr="00BD6197">
        <w:rPr>
          <w:lang w:val="en-US"/>
        </w:rPr>
        <w:t>Israel takes advantage of private sector resources to perform some spectrum management functions.</w:t>
      </w:r>
    </w:p>
    <w:p w:rsidR="00173AFD" w:rsidRPr="00BD6197" w:rsidRDefault="00173AFD" w:rsidP="00173AFD">
      <w:pPr>
        <w:rPr>
          <w:lang w:val="en-US"/>
        </w:rPr>
      </w:pPr>
      <w:r w:rsidRPr="00BD6197">
        <w:rPr>
          <w:lang w:val="en-US"/>
        </w:rPr>
        <w:t>In the past there were some operators who assisted the administration by assigning their own frequencies in a specified band. Today this is done only with trunking operators, cellular operators and in some cases for point-to-point microwave links.</w:t>
      </w:r>
    </w:p>
    <w:p w:rsidR="00173AFD" w:rsidRPr="00BD6197" w:rsidRDefault="00173AFD" w:rsidP="00173AFD">
      <w:pPr>
        <w:rPr>
          <w:lang w:val="en-US"/>
        </w:rPr>
      </w:pPr>
      <w:r w:rsidRPr="00BD6197">
        <w:rPr>
          <w:lang w:val="en-US"/>
        </w:rPr>
        <w:t>The Administration still receives support from operators and the industry in participating in ITU work, like World Radiocommunication Conferences and the Radiocommunication study groups (examples: TADIRAN in Radiocommunication Study Group 1, Motorola Israel in Radiocommunication Study Group 8).</w:t>
      </w:r>
    </w:p>
    <w:p w:rsidR="00173AFD" w:rsidRPr="00BD6197" w:rsidRDefault="00173AFD" w:rsidP="00173AFD">
      <w:pPr>
        <w:pStyle w:val="Heading3"/>
        <w:rPr>
          <w:lang w:val="en-US"/>
        </w:rPr>
      </w:pPr>
      <w:bookmarkStart w:id="2267" w:name="_Toc459746776"/>
      <w:bookmarkStart w:id="2268" w:name="_Toc459792682"/>
      <w:bookmarkStart w:id="2269" w:name="_Toc459793846"/>
      <w:bookmarkStart w:id="2270" w:name="_Toc459793988"/>
      <w:bookmarkStart w:id="2271" w:name="_Toc459970445"/>
      <w:bookmarkStart w:id="2272" w:name="_Toc497033245"/>
      <w:bookmarkStart w:id="2273" w:name="_Toc497034043"/>
      <w:bookmarkStart w:id="2274" w:name="_Toc289868879"/>
      <w:bookmarkStart w:id="2275" w:name="_Toc289869039"/>
      <w:bookmarkStart w:id="2276" w:name="_Toc289932345"/>
      <w:bookmarkStart w:id="2277" w:name="_Toc289933390"/>
      <w:bookmarkStart w:id="2278" w:name="_Toc291852953"/>
      <w:bookmarkStart w:id="2279" w:name="_Toc392515937"/>
      <w:bookmarkStart w:id="2280" w:name="_Toc462234180"/>
      <w:bookmarkStart w:id="2281" w:name="_Toc518394274"/>
      <w:r w:rsidRPr="00BD6197">
        <w:rPr>
          <w:lang w:val="en-US"/>
        </w:rPr>
        <w:t>5.3.4</w:t>
      </w:r>
      <w:r w:rsidRPr="00BD6197">
        <w:rPr>
          <w:lang w:val="en-US"/>
        </w:rPr>
        <w:tab/>
        <w:t>Russia</w:t>
      </w:r>
      <w:bookmarkEnd w:id="2267"/>
      <w:bookmarkEnd w:id="2268"/>
      <w:bookmarkEnd w:id="2269"/>
      <w:bookmarkEnd w:id="2270"/>
      <w:bookmarkEnd w:id="2271"/>
      <w:bookmarkEnd w:id="2272"/>
      <w:bookmarkEnd w:id="2273"/>
      <w:r w:rsidRPr="00BD6197">
        <w:rPr>
          <w:lang w:val="en-US"/>
        </w:rPr>
        <w:t>n Federation</w:t>
      </w:r>
      <w:bookmarkEnd w:id="2274"/>
      <w:bookmarkEnd w:id="2275"/>
      <w:bookmarkEnd w:id="2276"/>
      <w:bookmarkEnd w:id="2277"/>
      <w:bookmarkEnd w:id="2278"/>
      <w:bookmarkEnd w:id="2279"/>
      <w:bookmarkEnd w:id="2280"/>
      <w:bookmarkEnd w:id="2281"/>
    </w:p>
    <w:p w:rsidR="00173AFD" w:rsidRPr="00BD6197" w:rsidRDefault="00173AFD" w:rsidP="00173AFD">
      <w:pPr>
        <w:rPr>
          <w:spacing w:val="-2"/>
          <w:lang w:val="en-US"/>
        </w:rPr>
      </w:pPr>
      <w:r w:rsidRPr="00BD6197">
        <w:rPr>
          <w:lang w:val="en-US"/>
        </w:rPr>
        <w:t xml:space="preserve">In the Russian Federation great support to governmental spectrum management activities is provided through various scientific, development and design organizations, which play the role of frequency coordinators and spectrum management consultants. While administratively these organizations may </w:t>
      </w:r>
      <w:r w:rsidRPr="00BD6197">
        <w:rPr>
          <w:lang w:val="en-US"/>
        </w:rPr>
        <w:lastRenderedPageBreak/>
        <w:t>belong to different ministries and other governmental bodies, they are actually providing independent expertise in many fields of radiocommunications, and particularly of spectrum management, to the Russian Federation telecommunication Administration, as well as to private radio operators and various commercial organizations supporting their activities. Due to close collaboration with the Russian Federation telecommunication Administration on the one hand and with radio operators on the other hand, and through active participation in relevant regional and international activities, they are</w:t>
      </w:r>
      <w:r w:rsidRPr="00BD6197">
        <w:rPr>
          <w:spacing w:val="-2"/>
          <w:lang w:val="en-US"/>
        </w:rPr>
        <w:t xml:space="preserve"> very familiar with what is needed for the development and improvement in different radio services and in spectrum management issues at the national, regional and international levels.</w:t>
      </w:r>
    </w:p>
    <w:p w:rsidR="00173AFD" w:rsidRPr="00BD6197" w:rsidRDefault="00173AFD" w:rsidP="00173AFD">
      <w:pPr>
        <w:rPr>
          <w:lang w:val="en-US"/>
        </w:rPr>
      </w:pPr>
      <w:r w:rsidRPr="00BD6197">
        <w:rPr>
          <w:lang w:val="en-US"/>
        </w:rPr>
        <w:t>Such spectrum management organizations include research institutes, particularly the Radio Research and Development Institute (NIIR) together with its branches, type-approval testing laboratories, private operator associations and consulting firms operating on a commercial basis.</w:t>
      </w:r>
    </w:p>
    <w:p w:rsidR="00173AFD" w:rsidRPr="00BD6197" w:rsidRDefault="00173AFD" w:rsidP="00173AFD">
      <w:pPr>
        <w:rPr>
          <w:lang w:val="en-US"/>
        </w:rPr>
      </w:pPr>
      <w:r w:rsidRPr="00BD6197">
        <w:rPr>
          <w:lang w:val="en-US"/>
        </w:rPr>
        <w:t>The main assistance to the telecommunication Administration provided by these organizations are:</w:t>
      </w:r>
    </w:p>
    <w:p w:rsidR="00173AFD" w:rsidRPr="00BD6197" w:rsidRDefault="00173AFD" w:rsidP="00173AFD">
      <w:pPr>
        <w:pStyle w:val="enumlev1"/>
        <w:rPr>
          <w:lang w:val="en-US"/>
        </w:rPr>
      </w:pPr>
      <w:r w:rsidRPr="00BD6197">
        <w:rPr>
          <w:lang w:val="en-US"/>
        </w:rPr>
        <w:t>–</w:t>
      </w:r>
      <w:r w:rsidRPr="00BD6197">
        <w:rPr>
          <w:lang w:val="en-US"/>
        </w:rPr>
        <w:tab/>
        <w:t>conducting, at the request of the Administration, systematic interference analysis for fixed (microwave) and fixed</w:t>
      </w:r>
      <w:r w:rsidRPr="00BD6197">
        <w:rPr>
          <w:lang w:val="en-US"/>
        </w:rPr>
        <w:noBreakHyphen/>
        <w:t>satellite service frequency applications including issues of domestic and international coordination;</w:t>
      </w:r>
    </w:p>
    <w:p w:rsidR="00173AFD" w:rsidRPr="00BD6197" w:rsidRDefault="00173AFD" w:rsidP="00173AFD">
      <w:pPr>
        <w:pStyle w:val="enumlev1"/>
        <w:rPr>
          <w:lang w:val="en-US"/>
        </w:rPr>
      </w:pPr>
      <w:r w:rsidRPr="00BD6197">
        <w:rPr>
          <w:lang w:val="en-US"/>
        </w:rPr>
        <w:t>–</w:t>
      </w:r>
      <w:r w:rsidRPr="00BD6197">
        <w:rPr>
          <w:lang w:val="en-US"/>
        </w:rPr>
        <w:tab/>
        <w:t>conducting frequency-site planning of radio transmitters for sound and TV broadcasting services;</w:t>
      </w:r>
    </w:p>
    <w:p w:rsidR="00173AFD" w:rsidRPr="00BD6197" w:rsidRDefault="00173AFD" w:rsidP="00173AFD">
      <w:pPr>
        <w:pStyle w:val="enumlev1"/>
        <w:rPr>
          <w:lang w:val="en-US"/>
        </w:rPr>
      </w:pPr>
      <w:r w:rsidRPr="00BD6197">
        <w:rPr>
          <w:lang w:val="en-US"/>
        </w:rPr>
        <w:t>–</w:t>
      </w:r>
      <w:r w:rsidRPr="00BD6197">
        <w:rPr>
          <w:lang w:val="en-US"/>
        </w:rPr>
        <w:tab/>
        <w:t>conducting experimental investigations of the potential for allocating additional TV and sound broadcasting channels for areas with specific terrain problems. Based on conclusions provided, the administration issues relevant frequency permissions and licences for operational activities;</w:t>
      </w:r>
    </w:p>
    <w:p w:rsidR="00173AFD" w:rsidRPr="00BD6197" w:rsidRDefault="00173AFD" w:rsidP="00173AFD">
      <w:pPr>
        <w:pStyle w:val="enumlev1"/>
        <w:rPr>
          <w:lang w:val="en-US"/>
        </w:rPr>
      </w:pPr>
      <w:r w:rsidRPr="00BD6197">
        <w:rPr>
          <w:lang w:val="en-US"/>
        </w:rPr>
        <w:t>–</w:t>
      </w:r>
      <w:r w:rsidRPr="00BD6197">
        <w:rPr>
          <w:lang w:val="en-US"/>
        </w:rPr>
        <w:tab/>
        <w:t>developing various draft standards, specifications, recommendations, etc. concerning radiocommunications networks and equipment development, EMC analysis and frequency planning, frequency sharing criteria and conditions to be approved by the Administration; recently these activities more and more concern relevant regulatory and legislative matters as well.</w:t>
      </w:r>
    </w:p>
    <w:p w:rsidR="00173AFD" w:rsidRPr="00BD6197" w:rsidRDefault="00173AFD" w:rsidP="00173AFD">
      <w:pPr>
        <w:rPr>
          <w:lang w:val="en-US"/>
        </w:rPr>
      </w:pPr>
      <w:r w:rsidRPr="00BD6197">
        <w:rPr>
          <w:lang w:val="en-US"/>
        </w:rPr>
        <w:t>As far as it concerns assistance to radio operators, the main issues are the following:</w:t>
      </w:r>
    </w:p>
    <w:p w:rsidR="00173AFD" w:rsidRPr="00BD6197" w:rsidRDefault="00173AFD" w:rsidP="00173AFD">
      <w:pPr>
        <w:pStyle w:val="enumlev1"/>
        <w:rPr>
          <w:lang w:val="en-US"/>
        </w:rPr>
      </w:pPr>
      <w:r w:rsidRPr="00BD6197">
        <w:rPr>
          <w:lang w:val="en-US"/>
        </w:rPr>
        <w:t>–</w:t>
      </w:r>
      <w:r w:rsidRPr="00BD6197">
        <w:rPr>
          <w:lang w:val="en-US"/>
        </w:rPr>
        <w:tab/>
        <w:t>explanation of national, regional and international regulations in their implementation with respect to various radio services;</w:t>
      </w:r>
    </w:p>
    <w:p w:rsidR="00173AFD" w:rsidRPr="00BD6197" w:rsidRDefault="00173AFD" w:rsidP="00173AFD">
      <w:pPr>
        <w:pStyle w:val="enumlev1"/>
        <w:rPr>
          <w:lang w:val="en-US"/>
        </w:rPr>
      </w:pPr>
      <w:r w:rsidRPr="00BD6197">
        <w:rPr>
          <w:lang w:val="en-US"/>
        </w:rPr>
        <w:t>–</w:t>
      </w:r>
      <w:r w:rsidRPr="00BD6197">
        <w:rPr>
          <w:lang w:val="en-US"/>
        </w:rPr>
        <w:tab/>
        <w:t>assistance in user planning of relevant radio networks particularly cellular, trunking etc., using all relevant technical standards, rules for frequency planning and other licensing conditions;</w:t>
      </w:r>
    </w:p>
    <w:p w:rsidR="00173AFD" w:rsidRPr="00BD6197" w:rsidRDefault="00173AFD" w:rsidP="00173AFD">
      <w:pPr>
        <w:pStyle w:val="enumlev1"/>
        <w:rPr>
          <w:lang w:val="en-US"/>
        </w:rPr>
      </w:pPr>
      <w:r w:rsidRPr="00BD6197">
        <w:rPr>
          <w:lang w:val="en-US"/>
        </w:rPr>
        <w:t>–</w:t>
      </w:r>
      <w:r w:rsidRPr="00BD6197">
        <w:rPr>
          <w:lang w:val="en-US"/>
        </w:rPr>
        <w:tab/>
        <w:t>preliminary analysis of interference-free broadcasting channels for commercial sound and TV broadcasters, calculation of service areas, etc.;</w:t>
      </w:r>
    </w:p>
    <w:p w:rsidR="00173AFD" w:rsidRPr="00BD6197" w:rsidRDefault="00173AFD" w:rsidP="00173AFD">
      <w:pPr>
        <w:pStyle w:val="enumlev1"/>
        <w:rPr>
          <w:lang w:val="en-US"/>
        </w:rPr>
      </w:pPr>
      <w:r w:rsidRPr="00BD6197">
        <w:rPr>
          <w:lang w:val="en-US"/>
        </w:rPr>
        <w:t>–</w:t>
      </w:r>
      <w:r w:rsidRPr="00BD6197">
        <w:rPr>
          <w:lang w:val="en-US"/>
        </w:rPr>
        <w:tab/>
        <w:t>assistance in preparation of relevant licence application and bid documentation;</w:t>
      </w:r>
    </w:p>
    <w:p w:rsidR="00173AFD" w:rsidRPr="00BD6197" w:rsidRDefault="00173AFD" w:rsidP="00173AFD">
      <w:pPr>
        <w:pStyle w:val="enumlev1"/>
        <w:rPr>
          <w:lang w:val="en-US"/>
        </w:rPr>
      </w:pPr>
      <w:r w:rsidRPr="00BD6197">
        <w:rPr>
          <w:lang w:val="en-US"/>
        </w:rPr>
        <w:t>–</w:t>
      </w:r>
      <w:r w:rsidRPr="00BD6197">
        <w:rPr>
          <w:lang w:val="en-US"/>
        </w:rPr>
        <w:tab/>
        <w:t>assistance to various state and commercial enterprises in the field of industrial interference limitation.</w:t>
      </w:r>
    </w:p>
    <w:p w:rsidR="00173AFD" w:rsidRPr="00BD6197" w:rsidRDefault="00173AFD" w:rsidP="00173AFD">
      <w:pPr>
        <w:pStyle w:val="Heading3"/>
        <w:rPr>
          <w:lang w:val="en-US"/>
        </w:rPr>
      </w:pPr>
      <w:bookmarkStart w:id="2282" w:name="_Toc459746777"/>
      <w:bookmarkStart w:id="2283" w:name="_Toc459792683"/>
      <w:bookmarkStart w:id="2284" w:name="_Toc459793847"/>
      <w:bookmarkStart w:id="2285" w:name="_Toc459793989"/>
      <w:bookmarkStart w:id="2286" w:name="_Toc459970446"/>
      <w:bookmarkStart w:id="2287" w:name="_Toc497033246"/>
      <w:bookmarkStart w:id="2288" w:name="_Toc497034044"/>
      <w:bookmarkStart w:id="2289" w:name="_Toc289868880"/>
      <w:bookmarkStart w:id="2290" w:name="_Toc289869040"/>
      <w:bookmarkStart w:id="2291" w:name="_Toc289932346"/>
      <w:bookmarkStart w:id="2292" w:name="_Toc289933391"/>
      <w:bookmarkStart w:id="2293" w:name="_Toc291852954"/>
      <w:bookmarkStart w:id="2294" w:name="_Toc392515938"/>
      <w:bookmarkStart w:id="2295" w:name="_Toc462234181"/>
      <w:bookmarkStart w:id="2296" w:name="_Toc518394275"/>
      <w:r w:rsidRPr="00BD6197">
        <w:rPr>
          <w:lang w:val="en-US"/>
        </w:rPr>
        <w:t>5.3.5</w:t>
      </w:r>
      <w:r w:rsidRPr="00BD6197">
        <w:rPr>
          <w:lang w:val="en-US"/>
        </w:rPr>
        <w:tab/>
        <w:t>United States</w:t>
      </w:r>
      <w:bookmarkEnd w:id="2282"/>
      <w:bookmarkEnd w:id="2283"/>
      <w:bookmarkEnd w:id="2284"/>
      <w:bookmarkEnd w:id="2285"/>
      <w:bookmarkEnd w:id="2286"/>
      <w:bookmarkEnd w:id="2287"/>
      <w:bookmarkEnd w:id="2288"/>
      <w:r w:rsidRPr="00BD6197">
        <w:rPr>
          <w:lang w:val="en-US"/>
        </w:rPr>
        <w:t xml:space="preserve"> of America</w:t>
      </w:r>
      <w:bookmarkEnd w:id="2289"/>
      <w:bookmarkEnd w:id="2290"/>
      <w:bookmarkEnd w:id="2291"/>
      <w:bookmarkEnd w:id="2292"/>
      <w:bookmarkEnd w:id="2293"/>
      <w:bookmarkEnd w:id="2294"/>
      <w:bookmarkEnd w:id="2295"/>
      <w:bookmarkEnd w:id="2296"/>
    </w:p>
    <w:p w:rsidR="00173AFD" w:rsidRPr="00BD6197" w:rsidRDefault="00173AFD" w:rsidP="00173AFD">
      <w:pPr>
        <w:rPr>
          <w:b/>
          <w:lang w:val="en-US"/>
        </w:rPr>
      </w:pPr>
      <w:r w:rsidRPr="00BD6197">
        <w:rPr>
          <w:lang w:val="en-US"/>
        </w:rPr>
        <w:t>The United States of America makes wide use of frequency coordinators, interested communications groups, and private sector s</w:t>
      </w:r>
      <w:bookmarkStart w:id="2297" w:name="_Toc394384948"/>
      <w:bookmarkStart w:id="2298" w:name="_Toc394385552"/>
      <w:r w:rsidRPr="00BD6197">
        <w:rPr>
          <w:lang w:val="en-US"/>
        </w:rPr>
        <w:t>pectrum management consultants.</w:t>
      </w:r>
    </w:p>
    <w:p w:rsidR="00173AFD" w:rsidRPr="00BD6197" w:rsidRDefault="00173AFD" w:rsidP="00173AFD">
      <w:pPr>
        <w:pStyle w:val="Heading4"/>
        <w:rPr>
          <w:lang w:val="en-US"/>
        </w:rPr>
      </w:pPr>
      <w:bookmarkStart w:id="2299" w:name="_Toc497033247"/>
      <w:bookmarkStart w:id="2300" w:name="_Toc497034045"/>
      <w:r w:rsidRPr="00BD6197">
        <w:rPr>
          <w:lang w:val="en-US"/>
        </w:rPr>
        <w:t>5.3.5.1</w:t>
      </w:r>
      <w:r w:rsidRPr="00BD6197">
        <w:rPr>
          <w:lang w:val="en-US"/>
        </w:rPr>
        <w:tab/>
        <w:t>Use of interested communications groups</w:t>
      </w:r>
      <w:bookmarkEnd w:id="2297"/>
      <w:bookmarkEnd w:id="2298"/>
      <w:bookmarkEnd w:id="2299"/>
      <w:bookmarkEnd w:id="2300"/>
    </w:p>
    <w:p w:rsidR="00173AFD" w:rsidRPr="00BD6197" w:rsidRDefault="00173AFD" w:rsidP="00173AFD">
      <w:pPr>
        <w:rPr>
          <w:lang w:val="en-US"/>
        </w:rPr>
      </w:pPr>
      <w:r w:rsidRPr="00BD6197">
        <w:rPr>
          <w:lang w:val="en-US"/>
        </w:rPr>
        <w:t xml:space="preserve">The United States of America spectrum management organizations also make significant use of advisory committees. The FCC for instance develops its radio conference proposals through an open advisory committee process. Furthermore, the National Telecommunications and Information Administration (NTIA), as the manager of United States of America government agency use of radio </w:t>
      </w:r>
      <w:r w:rsidRPr="00BD6197">
        <w:rPr>
          <w:lang w:val="en-US"/>
        </w:rPr>
        <w:lastRenderedPageBreak/>
        <w:t>systems, relies heavily on the Inter-department Radio Advisory Committee (IRAC), its subcommittees (planning, technical, and radio conference), and ad hoc committees for advice on regulation and policy development. This committee is the longest standing advisory committee in the United States of America government. Though this is not a private sector body, it represents an excellent example of using advisory bodies or collections of experts. NTIA also seeks the advice, with regard to spectrum management policy, from a joint government/private sector group, the Frequency Management Advisory Committee (FMAC).</w:t>
      </w:r>
    </w:p>
    <w:p w:rsidR="00173AFD" w:rsidRPr="00BD6197" w:rsidRDefault="00173AFD" w:rsidP="00173AFD">
      <w:pPr>
        <w:rPr>
          <w:lang w:val="en-US"/>
        </w:rPr>
      </w:pPr>
      <w:r w:rsidRPr="00BD6197">
        <w:rPr>
          <w:lang w:val="en-US"/>
        </w:rPr>
        <w:t>The FCC has also successfully employed a technique known as negotiated rulemakings whereby it has placed system developers and spectrum advocates in a position of jointly developing the very regulations and standards which will be used to regulate their activities.</w:t>
      </w:r>
      <w:bookmarkStart w:id="2301" w:name="_Toc394384949"/>
      <w:bookmarkStart w:id="2302" w:name="_Toc394385553"/>
      <w:r w:rsidRPr="00BD6197">
        <w:rPr>
          <w:lang w:val="en-US"/>
        </w:rPr>
        <w:t xml:space="preserve"> </w:t>
      </w:r>
    </w:p>
    <w:p w:rsidR="00173AFD" w:rsidRPr="00BD6197" w:rsidRDefault="00173AFD" w:rsidP="00173AFD">
      <w:pPr>
        <w:rPr>
          <w:b/>
          <w:lang w:val="en-US"/>
        </w:rPr>
      </w:pPr>
      <w:r w:rsidRPr="00BD6197">
        <w:rPr>
          <w:lang w:val="en-US"/>
        </w:rPr>
        <w:t xml:space="preserve">The FCC list of advisory committees may be found at </w:t>
      </w:r>
      <w:hyperlink r:id="rId318" w:history="1">
        <w:r w:rsidRPr="00BD6197">
          <w:rPr>
            <w:rStyle w:val="Hyperlink"/>
            <w:lang w:val="en-US"/>
          </w:rPr>
          <w:t>http://www.fcc.gov/encyclopedia/advisory-committees-fcc</w:t>
        </w:r>
      </w:hyperlink>
      <w:r w:rsidRPr="00BD6197">
        <w:rPr>
          <w:lang w:val="en-US"/>
        </w:rPr>
        <w:t>.</w:t>
      </w:r>
    </w:p>
    <w:p w:rsidR="00173AFD" w:rsidRPr="00BD6197" w:rsidRDefault="00173AFD" w:rsidP="00173AFD">
      <w:pPr>
        <w:pStyle w:val="Heading4"/>
        <w:rPr>
          <w:lang w:val="en-US"/>
        </w:rPr>
      </w:pPr>
      <w:bookmarkStart w:id="2303" w:name="_Toc497033248"/>
      <w:bookmarkStart w:id="2304" w:name="_Toc497034046"/>
      <w:r w:rsidRPr="00BD6197">
        <w:rPr>
          <w:lang w:val="en-US"/>
        </w:rPr>
        <w:t>5.3.5.2</w:t>
      </w:r>
      <w:r w:rsidRPr="00BD6197">
        <w:rPr>
          <w:lang w:val="en-US"/>
        </w:rPr>
        <w:tab/>
        <w:t>United States of America use of frequency coordinators</w:t>
      </w:r>
      <w:bookmarkEnd w:id="2301"/>
      <w:bookmarkEnd w:id="2302"/>
      <w:bookmarkEnd w:id="2303"/>
      <w:bookmarkEnd w:id="2304"/>
    </w:p>
    <w:p w:rsidR="00173AFD" w:rsidRPr="00BD6197" w:rsidRDefault="00173AFD" w:rsidP="00173AFD">
      <w:pPr>
        <w:rPr>
          <w:lang w:val="en-US"/>
        </w:rPr>
      </w:pPr>
      <w:r w:rsidRPr="00BD6197">
        <w:rPr>
          <w:lang w:val="en-US"/>
        </w:rPr>
        <w:t>Under FCC rules, prior to applying for a station licence for certain services, an applicant must provide technical coordination information or evidence of prior coordination of the station with existing stations. Private groups often perform this prior coordination function.</w:t>
      </w:r>
    </w:p>
    <w:p w:rsidR="00173AFD" w:rsidRPr="00BD6197" w:rsidRDefault="00173AFD" w:rsidP="00173AFD">
      <w:pPr>
        <w:rPr>
          <w:lang w:val="en-US"/>
        </w:rPr>
      </w:pPr>
      <w:r w:rsidRPr="00BD6197">
        <w:rPr>
          <w:lang w:val="en-US"/>
        </w:rPr>
        <w:t>In the private land mobile radio services (PLMRS), the FCC has certified groups for specific sub-allocations (e.g., public safety, industrial, and land transportation services) to coordinate frequency assignments prior to their application for the actual licence. Under this system, applicants proposing new stations or modifying existing licences send their completed applications to the appropriate certified coordinator. The coordinator checks the application for completeness, accuracy, and compliance with the FCC’s rules, recommends the most suitable frequency for the applicant, and forwards the completed application to the FCC, which issues the licence directly to the applicant upon approval. The FCC oversees the performance of these coordinating committees. Performance consistently below FCC standards could lead to an inquiry and eventual decertification of the coordinator. In cases of disagreement between the applicant and the coordinator, the FCC has final authority to resolve the problem.</w:t>
      </w:r>
    </w:p>
    <w:p w:rsidR="00173AFD" w:rsidRPr="00BD6197" w:rsidRDefault="00173AFD" w:rsidP="00173AFD">
      <w:pPr>
        <w:rPr>
          <w:lang w:val="en-US"/>
        </w:rPr>
      </w:pPr>
      <w:r w:rsidRPr="00BD6197">
        <w:rPr>
          <w:lang w:val="en-US"/>
        </w:rPr>
        <w:t>Prior coordination takes place in other services, such as the FCC’s point-to-point microwave radio service and the private operational fixed microwave service. Prior to obtaining a licence, applicants for these services are required to engineer their proposed systems to avoid interference and to coordinate with existing applicants and licensees who could potentially experience interference from these proposed systems. Coordination in these bands is typically done by the applicant or their private frequency coordination consultant and depends largely upon industry cooperation. There are no certified coordinators for these bands. The applicant must certify that the coordination process has been completed before the application is accepted for filing. Private frequency coordinators charge a fee for their services.</w:t>
      </w:r>
    </w:p>
    <w:p w:rsidR="00173AFD" w:rsidRPr="00BD6197" w:rsidRDefault="00173AFD" w:rsidP="00173AFD">
      <w:pPr>
        <w:rPr>
          <w:lang w:val="en-US"/>
        </w:rPr>
      </w:pPr>
      <w:r w:rsidRPr="00BD6197">
        <w:rPr>
          <w:lang w:val="en-US"/>
        </w:rPr>
        <w:t>Through this requirement for prior coordination, the FCC attempts to ensure that interference conflicts are resolved through private negotiations before applications are filed. Successful coordination through this method lessens the need for federal government administrative processes to resolve conflicting private claims to the spectrum. Since the FCC established requirements for frequency coordination within the microwave bands in 1975 and implemented the certified frequency coordinator program for the PLMRS bands in 1986, the speed of service has improved and the FCC’s licensing burden has been reduced. Further, the first recourse of action for licensees involved in interference problems is to seek the assistance of the coordinator. In most cases, the coordinator can find a solution to the problem without the FCC ever being involved.</w:t>
      </w:r>
    </w:p>
    <w:p w:rsidR="00173AFD" w:rsidRPr="00BD6197" w:rsidRDefault="00173AFD" w:rsidP="00173AFD">
      <w:pPr>
        <w:rPr>
          <w:lang w:val="en-US"/>
        </w:rPr>
      </w:pPr>
      <w:r w:rsidRPr="00BD6197">
        <w:rPr>
          <w:lang w:val="en-US"/>
        </w:rPr>
        <w:t>The frequency coordinators for public safety may be found at:</w:t>
      </w:r>
    </w:p>
    <w:p w:rsidR="00173AFD" w:rsidRPr="00BD6197" w:rsidRDefault="003C5F80" w:rsidP="00173AFD">
      <w:pPr>
        <w:rPr>
          <w:lang w:val="en-US"/>
        </w:rPr>
      </w:pPr>
      <w:hyperlink r:id="rId319" w:history="1">
        <w:r w:rsidR="00173AFD" w:rsidRPr="00BD6197">
          <w:rPr>
            <w:rStyle w:val="Hyperlink"/>
            <w:lang w:val="en-US"/>
          </w:rPr>
          <w:t>http://www.fcc.gov/encyclopedia/public-safety-frequency-coordinators</w:t>
        </w:r>
      </w:hyperlink>
      <w:r w:rsidR="00173AFD" w:rsidRPr="00BD6197">
        <w:rPr>
          <w:lang w:val="en-US"/>
        </w:rPr>
        <w:t xml:space="preserve">, while the frequency coordinators for PLMRS may be found at </w:t>
      </w:r>
      <w:hyperlink r:id="rId320" w:history="1">
        <w:r w:rsidR="00173AFD" w:rsidRPr="00BD6197">
          <w:rPr>
            <w:rStyle w:val="Hyperlink"/>
            <w:lang w:val="en-US"/>
          </w:rPr>
          <w:t>http://wireless.fcc.gov/services/index.htm?job=licensing_</w:t>
        </w:r>
        <w:r w:rsidR="00173AFD" w:rsidRPr="00BD6197">
          <w:rPr>
            <w:rStyle w:val="Hyperlink"/>
            <w:lang w:val="en-US"/>
          </w:rPr>
          <w:br/>
          <w:t>3&amp;id=industrial_business</w:t>
        </w:r>
      </w:hyperlink>
      <w:r w:rsidR="00173AFD" w:rsidRPr="00BD6197">
        <w:rPr>
          <w:lang w:val="en-US"/>
        </w:rPr>
        <w:t>.</w:t>
      </w:r>
    </w:p>
    <w:p w:rsidR="00173AFD" w:rsidRPr="00BD6197" w:rsidRDefault="00173AFD" w:rsidP="00173AFD">
      <w:pPr>
        <w:pStyle w:val="Heading4"/>
        <w:rPr>
          <w:lang w:val="en-US"/>
        </w:rPr>
      </w:pPr>
      <w:bookmarkStart w:id="2305" w:name="_Toc394384950"/>
      <w:bookmarkStart w:id="2306" w:name="_Toc394385554"/>
      <w:bookmarkStart w:id="2307" w:name="_Toc497033249"/>
      <w:bookmarkStart w:id="2308" w:name="_Toc497034047"/>
      <w:r w:rsidRPr="00BD6197">
        <w:rPr>
          <w:lang w:val="en-US"/>
        </w:rPr>
        <w:t>5.3.5.3</w:t>
      </w:r>
      <w:r w:rsidRPr="00BD6197">
        <w:rPr>
          <w:lang w:val="en-US"/>
        </w:rPr>
        <w:tab/>
        <w:t>United States of America use of spectrum management consultants</w:t>
      </w:r>
      <w:bookmarkEnd w:id="2305"/>
      <w:bookmarkEnd w:id="2306"/>
      <w:bookmarkEnd w:id="2307"/>
      <w:bookmarkEnd w:id="2308"/>
    </w:p>
    <w:p w:rsidR="00173AFD" w:rsidRPr="00BD6197" w:rsidRDefault="00173AFD" w:rsidP="00173AFD">
      <w:pPr>
        <w:rPr>
          <w:lang w:val="en-US"/>
        </w:rPr>
      </w:pPr>
      <w:r w:rsidRPr="00BD6197">
        <w:rPr>
          <w:lang w:val="en-US"/>
        </w:rPr>
        <w:t>While NTIA and the FCC currently make limited use of spectrum management consultants, federal agencies with significant communications interests but limited staff resources make extensive use of technical consultants and functional support contractors. These groups play an active role in the wide array of advisory and ad hoc committees performing engineering analysis and preparing committee documents. In many cases, they represent government agency interests in delegations to international bodies.</w:t>
      </w:r>
    </w:p>
    <w:p w:rsidR="00173AFD" w:rsidRPr="00BD6197" w:rsidRDefault="00173AFD" w:rsidP="00173AFD">
      <w:pPr>
        <w:pStyle w:val="Heading3"/>
        <w:rPr>
          <w:lang w:val="en-US"/>
        </w:rPr>
      </w:pPr>
      <w:bookmarkStart w:id="2309" w:name="_Toc289868881"/>
      <w:bookmarkStart w:id="2310" w:name="_Toc289869041"/>
      <w:bookmarkStart w:id="2311" w:name="_Toc289932347"/>
      <w:bookmarkStart w:id="2312" w:name="_Toc289933392"/>
      <w:bookmarkStart w:id="2313" w:name="_Toc291852955"/>
      <w:bookmarkStart w:id="2314" w:name="_Toc392515939"/>
      <w:bookmarkStart w:id="2315" w:name="_Toc462234182"/>
      <w:bookmarkStart w:id="2316" w:name="_Toc518394276"/>
      <w:r w:rsidRPr="00BD6197">
        <w:rPr>
          <w:lang w:val="en-US"/>
        </w:rPr>
        <w:t>5.3.6</w:t>
      </w:r>
      <w:r w:rsidRPr="00BD6197">
        <w:rPr>
          <w:lang w:val="en-US"/>
        </w:rPr>
        <w:tab/>
        <w:t>China’s experience with alternative resources</w:t>
      </w:r>
      <w:bookmarkEnd w:id="2309"/>
      <w:bookmarkEnd w:id="2310"/>
      <w:bookmarkEnd w:id="2311"/>
      <w:bookmarkEnd w:id="2312"/>
      <w:bookmarkEnd w:id="2313"/>
      <w:bookmarkEnd w:id="2314"/>
      <w:bookmarkEnd w:id="2315"/>
      <w:bookmarkEnd w:id="2316"/>
    </w:p>
    <w:p w:rsidR="00173AFD" w:rsidRPr="00BD6197" w:rsidRDefault="00173AFD" w:rsidP="00173AFD">
      <w:pPr>
        <w:rPr>
          <w:lang w:val="en-US"/>
        </w:rPr>
      </w:pPr>
      <w:r w:rsidRPr="00BD6197">
        <w:rPr>
          <w:lang w:val="en-US"/>
        </w:rPr>
        <w:t xml:space="preserve">In China, </w:t>
      </w:r>
      <w:r w:rsidRPr="00BD6197">
        <w:rPr>
          <w:lang w:val="en-US" w:eastAsia="zh-CN"/>
        </w:rPr>
        <w:t xml:space="preserve">the </w:t>
      </w:r>
      <w:r w:rsidRPr="00BD6197">
        <w:rPr>
          <w:lang w:val="en-US"/>
        </w:rPr>
        <w:t xml:space="preserve">Advisory Committee of Experts on Radio frequency Planning provides advices to the China’s Radio Administration on a wide variety of issues related to policies, standards and technical development of spectrum management. The </w:t>
      </w:r>
      <w:r w:rsidRPr="00BD6197">
        <w:rPr>
          <w:lang w:val="en-US" w:eastAsia="zh-CN"/>
        </w:rPr>
        <w:t>a</w:t>
      </w:r>
      <w:r w:rsidRPr="00BD6197">
        <w:rPr>
          <w:lang w:val="en-US"/>
        </w:rPr>
        <w:t xml:space="preserve">dvisory </w:t>
      </w:r>
      <w:r w:rsidRPr="00BD6197">
        <w:rPr>
          <w:lang w:val="en-US" w:eastAsia="zh-CN"/>
        </w:rPr>
        <w:t>c</w:t>
      </w:r>
      <w:r w:rsidRPr="00BD6197">
        <w:rPr>
          <w:lang w:val="en-US"/>
        </w:rPr>
        <w:t xml:space="preserve">ommittee, which was established in 2000, basically comprises famous and experienced experts in mobile communication and satellite communication fields. </w:t>
      </w:r>
    </w:p>
    <w:p w:rsidR="00173AFD" w:rsidRPr="00BD6197" w:rsidRDefault="00173AFD" w:rsidP="00173AFD">
      <w:pPr>
        <w:keepNext/>
        <w:keepLines/>
        <w:rPr>
          <w:lang w:val="en-US"/>
        </w:rPr>
      </w:pPr>
      <w:r w:rsidRPr="00BD6197">
        <w:rPr>
          <w:lang w:val="en-US"/>
        </w:rPr>
        <w:t>The main assistance provided by Advisory Committee of Experts on Radio frequency Planning is:</w:t>
      </w:r>
    </w:p>
    <w:p w:rsidR="00173AFD" w:rsidRPr="00BD6197" w:rsidRDefault="00173AFD" w:rsidP="00173AFD">
      <w:pPr>
        <w:pStyle w:val="enumlev1"/>
        <w:rPr>
          <w:lang w:val="en-US"/>
        </w:rPr>
      </w:pPr>
      <w:r w:rsidRPr="00BD6197">
        <w:rPr>
          <w:lang w:val="en-US"/>
        </w:rPr>
        <w:t>–</w:t>
      </w:r>
      <w:r w:rsidRPr="00BD6197">
        <w:rPr>
          <w:lang w:val="en-US"/>
        </w:rPr>
        <w:tab/>
        <w:t>Follow-up researches on revision of Radio Regulation of ITU, the study results of frequency sharing, the trends and the developments of radio spectrum planning in other countries, putting forward the advices on China’s radio spectrum allocation, allotment and assignment.</w:t>
      </w:r>
    </w:p>
    <w:p w:rsidR="00173AFD" w:rsidRPr="00BD6197" w:rsidRDefault="00173AFD" w:rsidP="00173AFD">
      <w:pPr>
        <w:pStyle w:val="enumlev1"/>
        <w:rPr>
          <w:lang w:val="en-US"/>
        </w:rPr>
      </w:pPr>
      <w:r w:rsidRPr="00BD6197">
        <w:rPr>
          <w:lang w:val="en-US"/>
        </w:rPr>
        <w:t>–</w:t>
      </w:r>
      <w:r w:rsidRPr="00BD6197">
        <w:rPr>
          <w:lang w:val="en-US"/>
        </w:rPr>
        <w:tab/>
        <w:t>Follow-up studies on the international trends and developments of new radio applications and technologies, bringing forward the strategic spectrum planning of new radio applications and technologies in China.</w:t>
      </w:r>
    </w:p>
    <w:p w:rsidR="00173AFD" w:rsidRPr="00BD6197" w:rsidRDefault="00173AFD" w:rsidP="00173AFD">
      <w:pPr>
        <w:pStyle w:val="enumlev1"/>
        <w:rPr>
          <w:lang w:val="en-US"/>
        </w:rPr>
      </w:pPr>
      <w:r w:rsidRPr="00BD6197">
        <w:rPr>
          <w:lang w:val="en-US"/>
        </w:rPr>
        <w:t>–</w:t>
      </w:r>
      <w:r w:rsidRPr="00BD6197">
        <w:rPr>
          <w:lang w:val="en-US"/>
        </w:rPr>
        <w:tab/>
        <w:t>Providing advices to the exploitation and utilization of spectrum and satellite orbits.</w:t>
      </w:r>
    </w:p>
    <w:p w:rsidR="00173AFD" w:rsidRPr="00BD6197" w:rsidRDefault="00173AFD" w:rsidP="00173AFD">
      <w:pPr>
        <w:pStyle w:val="enumlev1"/>
        <w:rPr>
          <w:lang w:val="en-US"/>
        </w:rPr>
      </w:pPr>
      <w:r w:rsidRPr="00BD6197">
        <w:rPr>
          <w:lang w:val="en-US"/>
        </w:rPr>
        <w:t>–</w:t>
      </w:r>
      <w:r w:rsidRPr="00BD6197">
        <w:rPr>
          <w:lang w:val="en-US"/>
        </w:rPr>
        <w:tab/>
        <w:t>Deliberating on the draft of national Regulations on Radio Frequency Allocation.</w:t>
      </w:r>
    </w:p>
    <w:p w:rsidR="00173AFD" w:rsidRPr="00BD6197" w:rsidRDefault="00173AFD" w:rsidP="00173AFD">
      <w:pPr>
        <w:pStyle w:val="enumlev1"/>
        <w:rPr>
          <w:lang w:val="en-US"/>
        </w:rPr>
      </w:pPr>
      <w:r w:rsidRPr="00BD6197">
        <w:rPr>
          <w:lang w:val="en-US"/>
        </w:rPr>
        <w:t>–</w:t>
      </w:r>
      <w:r w:rsidRPr="00BD6197">
        <w:rPr>
          <w:lang w:val="en-US"/>
        </w:rPr>
        <w:tab/>
        <w:t>Deliberating on the scientific research projects related to radio frequency planning, the methods and criteria of radio frequency sharing.</w:t>
      </w:r>
    </w:p>
    <w:p w:rsidR="00173AFD" w:rsidRPr="00BD6197" w:rsidRDefault="00173AFD" w:rsidP="00173AFD">
      <w:pPr>
        <w:rPr>
          <w:lang w:val="en-US"/>
        </w:rPr>
      </w:pPr>
      <w:r w:rsidRPr="00BD6197">
        <w:rPr>
          <w:lang w:val="en-US"/>
        </w:rPr>
        <w:t xml:space="preserve">In China, different experts are invited to join the </w:t>
      </w:r>
      <w:r w:rsidRPr="00BD6197">
        <w:rPr>
          <w:lang w:val="en-US" w:eastAsia="zh-CN"/>
        </w:rPr>
        <w:t>a</w:t>
      </w:r>
      <w:r w:rsidRPr="00BD6197">
        <w:rPr>
          <w:lang w:val="en-US"/>
        </w:rPr>
        <w:t xml:space="preserve">dvisory </w:t>
      </w:r>
      <w:r w:rsidRPr="00BD6197">
        <w:rPr>
          <w:lang w:val="en-US" w:eastAsia="zh-CN"/>
        </w:rPr>
        <w:t>c</w:t>
      </w:r>
      <w:r w:rsidRPr="00BD6197">
        <w:rPr>
          <w:lang w:val="en-US"/>
        </w:rPr>
        <w:t>ommittee every five years, upon issuance of the formal letter of appointment. Every five years, there may be some adjustment</w:t>
      </w:r>
      <w:r w:rsidRPr="00BD6197">
        <w:rPr>
          <w:lang w:val="en-US" w:eastAsia="zh-CN"/>
        </w:rPr>
        <w:t>s</w:t>
      </w:r>
      <w:r w:rsidRPr="00BD6197">
        <w:rPr>
          <w:lang w:val="en-US"/>
        </w:rPr>
        <w:t xml:space="preserve"> to the members list. Usually, the Advisory Committee of Experts on Radio frequency Planning, under which a secretary office is established to be responsible for the daily affairs, consists of experts from Chinese research institutes, universities, enterprises, and science and technology commission belonging to different minist</w:t>
      </w:r>
      <w:r w:rsidRPr="00BD6197">
        <w:rPr>
          <w:lang w:val="en-US" w:eastAsia="zh-CN"/>
        </w:rPr>
        <w:t>rie</w:t>
      </w:r>
      <w:r w:rsidRPr="00BD6197">
        <w:rPr>
          <w:lang w:val="en-US"/>
        </w:rPr>
        <w:t>s and other government bodies and so on. The members of the committee, working by letter or email during daily time, actually provide broadly based, independent, objective, unbiased and technical expertise in different fields. If necessary, a conference will be convened for some special topics for discussion.</w:t>
      </w:r>
    </w:p>
    <w:p w:rsidR="00173AFD" w:rsidRPr="00BD6197" w:rsidRDefault="00173AFD" w:rsidP="00173AFD">
      <w:pPr>
        <w:rPr>
          <w:lang w:val="en-US"/>
        </w:rPr>
      </w:pPr>
      <w:r w:rsidRPr="00BD6197">
        <w:rPr>
          <w:lang w:val="en-US"/>
        </w:rPr>
        <w:t xml:space="preserve">From 2000 until now, the Advisory Committee of Experts on Radio frequency Planning has discussed many topics related to national frequency planning, and provided some important and significant advices to the national spectrum management, which plays an important role in deeply studying national frequency and satellite orbit planning and management, promoting the application of new radio technologies, and following up the international trends and developments on radio spectrum management. Especially in the revision of national Regulations on Radio Frequency Allocation, issuance of frequency planning for 3G mobile communication systems, the study of the items of WRC </w:t>
      </w:r>
      <w:r w:rsidRPr="00BD6197">
        <w:rPr>
          <w:lang w:val="en-US" w:eastAsia="zh-CN"/>
        </w:rPr>
        <w:t>and so on</w:t>
      </w:r>
      <w:r w:rsidRPr="00BD6197">
        <w:rPr>
          <w:lang w:val="en-US"/>
        </w:rPr>
        <w:t>, the advices from Advisory Committee of Experts on Radio frequency Planning are the important factors that the administration would consider when making policies.</w:t>
      </w:r>
    </w:p>
    <w:p w:rsidR="0041268E" w:rsidRPr="00BD6197" w:rsidRDefault="0041268E" w:rsidP="0041268E">
      <w:pPr>
        <w:pStyle w:val="Heading2"/>
        <w:rPr>
          <w:lang w:val="en-US"/>
        </w:rPr>
      </w:pPr>
      <w:bookmarkStart w:id="2317" w:name="_Toc289868882"/>
      <w:bookmarkStart w:id="2318" w:name="_Toc289869042"/>
      <w:bookmarkStart w:id="2319" w:name="_Toc289932348"/>
      <w:bookmarkStart w:id="2320" w:name="_Toc289933393"/>
      <w:bookmarkStart w:id="2321" w:name="_Toc291852956"/>
      <w:bookmarkStart w:id="2322" w:name="_Toc392515940"/>
      <w:bookmarkStart w:id="2323" w:name="_Toc462234183"/>
      <w:bookmarkStart w:id="2324" w:name="_Toc518394277"/>
      <w:r w:rsidRPr="00BD6197">
        <w:rPr>
          <w:lang w:val="en-US"/>
        </w:rPr>
        <w:lastRenderedPageBreak/>
        <w:t>5.4</w:t>
      </w:r>
      <w:r w:rsidRPr="00BD6197">
        <w:rPr>
          <w:lang w:val="en-US"/>
        </w:rPr>
        <w:tab/>
        <w:t>Other experiences</w:t>
      </w:r>
      <w:bookmarkEnd w:id="2317"/>
      <w:bookmarkEnd w:id="2318"/>
      <w:bookmarkEnd w:id="2319"/>
      <w:bookmarkEnd w:id="2320"/>
      <w:bookmarkEnd w:id="2321"/>
      <w:bookmarkEnd w:id="2322"/>
      <w:bookmarkEnd w:id="2323"/>
      <w:bookmarkEnd w:id="2324"/>
    </w:p>
    <w:p w:rsidR="0041268E" w:rsidRPr="00BD6197" w:rsidRDefault="0041268E" w:rsidP="0041268E">
      <w:pPr>
        <w:pStyle w:val="Heading3"/>
        <w:rPr>
          <w:lang w:val="en-US"/>
        </w:rPr>
      </w:pPr>
      <w:bookmarkStart w:id="2325" w:name="_Toc459746779"/>
      <w:bookmarkStart w:id="2326" w:name="_Toc459792685"/>
      <w:bookmarkStart w:id="2327" w:name="_Toc459793849"/>
      <w:bookmarkStart w:id="2328" w:name="_Toc459793991"/>
      <w:bookmarkStart w:id="2329" w:name="_Toc459970448"/>
      <w:bookmarkStart w:id="2330" w:name="_Toc497033251"/>
      <w:bookmarkStart w:id="2331" w:name="_Toc497034049"/>
      <w:bookmarkStart w:id="2332" w:name="_Toc289868883"/>
      <w:bookmarkStart w:id="2333" w:name="_Toc289869043"/>
      <w:bookmarkStart w:id="2334" w:name="_Toc289932349"/>
      <w:bookmarkStart w:id="2335" w:name="_Toc289933394"/>
      <w:bookmarkStart w:id="2336" w:name="_Toc291852957"/>
      <w:bookmarkStart w:id="2337" w:name="_Toc392515941"/>
      <w:bookmarkStart w:id="2338" w:name="_Toc462234184"/>
      <w:bookmarkStart w:id="2339" w:name="_Toc518394278"/>
      <w:r w:rsidRPr="00BD6197">
        <w:rPr>
          <w:lang w:val="en-US"/>
        </w:rPr>
        <w:t>5.4.1</w:t>
      </w:r>
      <w:r w:rsidRPr="00BD6197">
        <w:rPr>
          <w:lang w:val="en-US"/>
        </w:rPr>
        <w:tab/>
        <w:t>Amateur services</w:t>
      </w:r>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p>
    <w:p w:rsidR="0041268E" w:rsidRPr="00BD6197" w:rsidRDefault="0041268E" w:rsidP="0041268E">
      <w:pPr>
        <w:rPr>
          <w:lang w:val="en-US"/>
        </w:rPr>
      </w:pPr>
      <w:r w:rsidRPr="00BD6197">
        <w:rPr>
          <w:lang w:val="en-US"/>
        </w:rPr>
        <w:t>Generally, amateur stations are not assigned specific frequencies by government spectrum managers but are free to select operating frequencies according to current band occupancy and propagation conditions. National, regional and local band plans are established by informal agreement to arrange compatible intra</w:t>
      </w:r>
      <w:r w:rsidRPr="00BD6197">
        <w:rPr>
          <w:lang w:val="en-US"/>
        </w:rPr>
        <w:noBreakHyphen/>
        <w:t>service uses, principally by class of emission, such as telegraphy, data and voice.</w:t>
      </w:r>
    </w:p>
    <w:p w:rsidR="0041268E" w:rsidRPr="00BD6197" w:rsidRDefault="0041268E" w:rsidP="0041268E">
      <w:pPr>
        <w:rPr>
          <w:lang w:val="en-US"/>
        </w:rPr>
      </w:pPr>
      <w:r w:rsidRPr="00BD6197">
        <w:rPr>
          <w:lang w:val="en-US"/>
        </w:rPr>
        <w:t>The major exceptions to stations selecting frequencies in real-time are VHF/UHF voice repeaters, packet radio</w:t>
      </w:r>
      <w:r w:rsidRPr="00BD6197">
        <w:rPr>
          <w:lang w:val="en-US"/>
        </w:rPr>
        <w:noBreakHyphen/>
        <w:t>relay stations and propagation research beacons, which use specific frequencies on a long</w:t>
      </w:r>
      <w:r w:rsidRPr="00BD6197">
        <w:rPr>
          <w:lang w:val="en-US"/>
        </w:rPr>
        <w:noBreakHyphen/>
        <w:t>term basis. Some administrations have regulations that encourage the establishment of private sector frequency coordinators, particularly to maintain user databases and, by recommendation rather than assignment, coordinate the selection of voice repeater frequencies to minimize interference within their geographic areas.</w:t>
      </w:r>
    </w:p>
    <w:p w:rsidR="0041268E" w:rsidRPr="00BD6197" w:rsidRDefault="0041268E" w:rsidP="0041268E">
      <w:pPr>
        <w:rPr>
          <w:lang w:val="en-US"/>
        </w:rPr>
      </w:pPr>
      <w:r w:rsidRPr="00BD6197">
        <w:rPr>
          <w:lang w:val="en-US"/>
        </w:rPr>
        <w:t>Amateur</w:t>
      </w:r>
      <w:r w:rsidRPr="00BD6197">
        <w:rPr>
          <w:lang w:val="en-US"/>
        </w:rPr>
        <w:noBreakHyphen/>
        <w:t>satellite frequencies are international in nature and are coordinated through amateur</w:t>
      </w:r>
      <w:r w:rsidRPr="00BD6197">
        <w:rPr>
          <w:lang w:val="en-US"/>
        </w:rPr>
        <w:noBreakHyphen/>
        <w:t>satellite organizations known as Radio Amateur Satellite Corporation (USA) (AMSAT).</w:t>
      </w:r>
    </w:p>
    <w:p w:rsidR="0041268E" w:rsidRPr="00BD6197" w:rsidRDefault="0041268E" w:rsidP="0041268E">
      <w:pPr>
        <w:rPr>
          <w:lang w:val="en-US"/>
        </w:rPr>
      </w:pPr>
      <w:r w:rsidRPr="00BD6197">
        <w:rPr>
          <w:lang w:val="en-US"/>
        </w:rPr>
        <w:t>The three International Amateur Radio Union (IARU) regional organizations also establish informal band plans. The IARU and AMSAT organizations cooperate in matters concerning frequency usage.</w:t>
      </w:r>
    </w:p>
    <w:p w:rsidR="0041268E" w:rsidRPr="00BD6197" w:rsidRDefault="0041268E" w:rsidP="0041268E">
      <w:pPr>
        <w:pStyle w:val="Heading3"/>
        <w:rPr>
          <w:lang w:val="en-US"/>
        </w:rPr>
      </w:pPr>
      <w:bookmarkStart w:id="2340" w:name="_Toc459746780"/>
      <w:bookmarkStart w:id="2341" w:name="_Toc459792686"/>
      <w:bookmarkStart w:id="2342" w:name="_Toc459793850"/>
      <w:bookmarkStart w:id="2343" w:name="_Toc459793992"/>
      <w:bookmarkStart w:id="2344" w:name="_Toc459970449"/>
      <w:bookmarkStart w:id="2345" w:name="_Toc497033252"/>
      <w:bookmarkStart w:id="2346" w:name="_Toc497034050"/>
      <w:bookmarkStart w:id="2347" w:name="_Toc289868884"/>
      <w:bookmarkStart w:id="2348" w:name="_Toc289869044"/>
      <w:bookmarkStart w:id="2349" w:name="_Toc289932350"/>
      <w:bookmarkStart w:id="2350" w:name="_Toc289933395"/>
      <w:bookmarkStart w:id="2351" w:name="_Toc291852958"/>
      <w:bookmarkStart w:id="2352" w:name="_Toc392515942"/>
      <w:bookmarkStart w:id="2353" w:name="_Toc462234185"/>
      <w:bookmarkStart w:id="2354" w:name="_Toc518394279"/>
      <w:r w:rsidRPr="00BD6197">
        <w:rPr>
          <w:lang w:val="en-US"/>
        </w:rPr>
        <w:t>5.4.2</w:t>
      </w:r>
      <w:r w:rsidRPr="00BD6197">
        <w:rPr>
          <w:lang w:val="en-US"/>
        </w:rPr>
        <w:tab/>
        <w:t>Area and high density systems</w:t>
      </w:r>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p>
    <w:p w:rsidR="0041268E" w:rsidRPr="00BD6197" w:rsidRDefault="0041268E" w:rsidP="0041268E">
      <w:pPr>
        <w:rPr>
          <w:lang w:val="en-US"/>
        </w:rPr>
      </w:pPr>
      <w:r w:rsidRPr="00BD6197">
        <w:rPr>
          <w:lang w:val="en-US"/>
        </w:rPr>
        <w:t>Most administrations have experience with authorizing area systems to a range of frequencies. This has been done primarily for cellular, PCS and other area and high density systems.</w:t>
      </w:r>
    </w:p>
    <w:p w:rsidR="0041268E" w:rsidRPr="00BD6197" w:rsidRDefault="0041268E" w:rsidP="0041268E">
      <w:pPr>
        <w:pStyle w:val="Heading3"/>
        <w:rPr>
          <w:lang w:val="en-US"/>
        </w:rPr>
      </w:pPr>
      <w:bookmarkStart w:id="2355" w:name="_Toc289868885"/>
      <w:bookmarkStart w:id="2356" w:name="_Toc289869045"/>
      <w:bookmarkStart w:id="2357" w:name="_Toc289932351"/>
      <w:bookmarkStart w:id="2358" w:name="_Toc289933396"/>
      <w:bookmarkStart w:id="2359" w:name="_Toc291852959"/>
      <w:bookmarkStart w:id="2360" w:name="_Toc392515943"/>
      <w:bookmarkStart w:id="2361" w:name="_Toc462234186"/>
      <w:bookmarkStart w:id="2362" w:name="_Toc518394280"/>
      <w:r w:rsidRPr="00BD6197">
        <w:rPr>
          <w:lang w:val="en-US"/>
        </w:rPr>
        <w:t>5.4.3</w:t>
      </w:r>
      <w:r w:rsidRPr="00BD6197">
        <w:rPr>
          <w:lang w:val="en-US"/>
        </w:rPr>
        <w:tab/>
        <w:t>Space services, orbital use and spectrum fees</w:t>
      </w:r>
      <w:bookmarkEnd w:id="2355"/>
      <w:bookmarkEnd w:id="2356"/>
      <w:bookmarkEnd w:id="2357"/>
      <w:bookmarkEnd w:id="2358"/>
      <w:bookmarkEnd w:id="2359"/>
      <w:bookmarkEnd w:id="2360"/>
      <w:bookmarkEnd w:id="2361"/>
      <w:bookmarkEnd w:id="2362"/>
    </w:p>
    <w:p w:rsidR="0041268E" w:rsidRPr="00BD6197" w:rsidRDefault="0041268E" w:rsidP="0041268E">
      <w:pPr>
        <w:rPr>
          <w:rFonts w:eastAsia="Batang"/>
          <w:lang w:val="en-US" w:eastAsia="ko-KR"/>
        </w:rPr>
      </w:pPr>
      <w:r w:rsidRPr="00BD6197">
        <w:rPr>
          <w:rFonts w:eastAsia="Batang"/>
          <w:lang w:val="en-US" w:eastAsia="ko-KR"/>
        </w:rPr>
        <w:t xml:space="preserve">Continued access to satellite spectrum requires a balance approach in the administrations’ revenue generating policies that does not affect the long-term viability of satellite services and the industry as a whole. The impact of fees, auctions and other revenue generating approaches, taken as a whole from all countries in which satellite resources are provided, can make deployment of this critical infrastructure economically unfeasible. As an example, a lack of harmonized national approaches on the fee structures of planned integrated MSS and complementary ground component systems that may contribute to more efficient use of spectrum could impede development of such integrated systems. Economic options may help in improving the efficient use of the orbit and spectrum resources. It could limit coordination filings to “serious” and more carefully tailored ones, it may increase resources to BR. On the other hand, it might be seen as an extension of ITU regulatory competence and consequential reduction in national sovereignty, not mentioning the difficulty of agreeing to fee levels and the disadvantage to entities in developing countries. Fees may not be a deterrent to major players and could decrease competition. </w:t>
      </w:r>
    </w:p>
    <w:p w:rsidR="0041268E" w:rsidRPr="00BD6197" w:rsidRDefault="0041268E" w:rsidP="0041268E">
      <w:pPr>
        <w:rPr>
          <w:rFonts w:eastAsia="Batang"/>
          <w:lang w:val="en-US" w:eastAsia="ko-KR"/>
        </w:rPr>
      </w:pPr>
      <w:r w:rsidRPr="00BD6197">
        <w:rPr>
          <w:rFonts w:eastAsia="Batang"/>
          <w:lang w:val="en-US" w:eastAsia="ko-KR"/>
        </w:rPr>
        <w:t xml:space="preserve">This topic is not within the competence of ITU, because fee structures are within the sovereignty of national administrations. Nevertheless, this topic could serve as a means of thought leadership and focusing attention on a substantial issue that is affecting the satellite community and may be one of the potential instruments guaranteeing efficient use of satellite spectrum. </w:t>
      </w:r>
    </w:p>
    <w:p w:rsidR="0041268E" w:rsidRPr="00BD6197" w:rsidRDefault="0041268E" w:rsidP="0041268E">
      <w:pPr>
        <w:rPr>
          <w:iCs/>
          <w:lang w:val="en-US"/>
        </w:rPr>
      </w:pPr>
      <w:r w:rsidRPr="00BD6197">
        <w:rPr>
          <w:iCs/>
          <w:lang w:val="en-US"/>
        </w:rPr>
        <w:t>A coordinated approach with respect to models for satellite fees could lead to a more efficient use of satellite spectrum globally and facilitate cost estimations by satellite operators. In this respect, ITU may provide an excellent platform for discussions on models for satellite spectrum fees, it may study and suggest calculation methods and criteria and undertake benchmarking i.e. compare spectrum models applied by administrations for comparable satellite services.</w:t>
      </w:r>
    </w:p>
    <w:p w:rsidR="0041268E" w:rsidRPr="00BD6197" w:rsidRDefault="0041268E" w:rsidP="0041268E">
      <w:pPr>
        <w:pStyle w:val="Reftitle"/>
        <w:keepNext/>
        <w:keepLines/>
        <w:rPr>
          <w:lang w:val="en-US"/>
        </w:rPr>
      </w:pPr>
      <w:bookmarkStart w:id="2363" w:name="_Toc289933397"/>
      <w:bookmarkStart w:id="2364" w:name="_Toc291852960"/>
      <w:bookmarkStart w:id="2365" w:name="_Toc392515944"/>
      <w:bookmarkStart w:id="2366" w:name="_Toc462234187"/>
      <w:r w:rsidRPr="00BD6197">
        <w:rPr>
          <w:lang w:val="en-US"/>
        </w:rPr>
        <w:lastRenderedPageBreak/>
        <w:t>References</w:t>
      </w:r>
      <w:bookmarkEnd w:id="2363"/>
      <w:bookmarkEnd w:id="2364"/>
      <w:bookmarkEnd w:id="2365"/>
      <w:bookmarkEnd w:id="2366"/>
    </w:p>
    <w:p w:rsidR="0041268E" w:rsidRPr="00BD6197" w:rsidRDefault="0041268E" w:rsidP="0041268E">
      <w:pPr>
        <w:pStyle w:val="Reftext"/>
        <w:keepNext/>
        <w:keepLines/>
        <w:widowControl w:val="0"/>
        <w:rPr>
          <w:lang w:val="en-US"/>
        </w:rPr>
      </w:pPr>
      <w:r w:rsidRPr="00BD6197">
        <w:rPr>
          <w:lang w:val="en-US"/>
        </w:rPr>
        <w:t>[1]</w:t>
      </w:r>
      <w:r w:rsidRPr="00BD6197">
        <w:rPr>
          <w:lang w:val="en-US"/>
        </w:rPr>
        <w:tab/>
        <w:t>YOUSSEF M., KALMAN E., BENZONI, L. [June, 1995] Technico-Economic Methods For Radio Spectrum Assignment. IEEE Communications Magazine.</w:t>
      </w:r>
    </w:p>
    <w:p w:rsidR="0041268E" w:rsidRPr="00BD6197" w:rsidRDefault="0041268E" w:rsidP="0041268E">
      <w:pPr>
        <w:pStyle w:val="Reftext"/>
        <w:widowControl w:val="0"/>
        <w:rPr>
          <w:lang w:val="en-US"/>
        </w:rPr>
      </w:pPr>
      <w:r w:rsidRPr="00BD6197">
        <w:rPr>
          <w:lang w:val="en-US"/>
        </w:rPr>
        <w:t>[2]</w:t>
      </w:r>
      <w:r w:rsidRPr="00BD6197">
        <w:rPr>
          <w:lang w:val="en-US"/>
        </w:rPr>
        <w:tab/>
        <w:t>NERA and Smith System Engineering (1995), “The Economic impact of the Use of Radio in the UK” for the Radiocommunications Agency (RA) and the Office of Telecommunications (Oftel) and now replaced by the report by Europe Economics for OFCOM for the year ending 31 March 2006.</w:t>
      </w:r>
    </w:p>
    <w:p w:rsidR="0041268E" w:rsidRPr="00BD6197" w:rsidRDefault="0041268E" w:rsidP="0041268E">
      <w:pPr>
        <w:pStyle w:val="Reftext"/>
        <w:widowControl w:val="0"/>
        <w:rPr>
          <w:lang w:val="en-US"/>
        </w:rPr>
      </w:pPr>
      <w:r w:rsidRPr="00BD6197">
        <w:rPr>
          <w:lang w:val="en-US"/>
        </w:rPr>
        <w:t>[3]</w:t>
      </w:r>
      <w:r w:rsidRPr="00BD6197">
        <w:rPr>
          <w:lang w:val="en-US"/>
        </w:rPr>
        <w:tab/>
        <w:t>NOZDRIN, V. [2003] Spectrum pricing. Regional Radiocommunication Seminar, Lusaka 2003.</w:t>
      </w:r>
    </w:p>
    <w:p w:rsidR="0041268E" w:rsidRPr="00BD6197" w:rsidRDefault="0041268E" w:rsidP="0041268E">
      <w:pPr>
        <w:pStyle w:val="Reftext"/>
        <w:widowControl w:val="0"/>
        <w:rPr>
          <w:lang w:val="en-US"/>
        </w:rPr>
      </w:pPr>
      <w:r w:rsidRPr="00BD6197">
        <w:rPr>
          <w:lang w:val="en-US"/>
        </w:rPr>
        <w:t>[4]</w:t>
      </w:r>
      <w:r w:rsidRPr="00BD6197">
        <w:rPr>
          <w:lang w:val="en-US"/>
        </w:rPr>
        <w:tab/>
        <w:t>ERC Report 76 (1999) “The role of spectrum pricing as a means of supporting spectrum management”.</w:t>
      </w:r>
    </w:p>
    <w:p w:rsidR="0041268E" w:rsidRPr="00BD6197" w:rsidRDefault="0041268E" w:rsidP="0041268E">
      <w:pPr>
        <w:pStyle w:val="Reftext"/>
        <w:widowControl w:val="0"/>
        <w:rPr>
          <w:lang w:val="en-US"/>
        </w:rPr>
      </w:pPr>
      <w:r w:rsidRPr="00BD6197">
        <w:rPr>
          <w:lang w:val="en-US"/>
        </w:rPr>
        <w:t>[5]</w:t>
      </w:r>
      <w:r w:rsidRPr="00BD6197">
        <w:rPr>
          <w:lang w:val="en-US"/>
        </w:rPr>
        <w:tab/>
        <w:t xml:space="preserve">MCMILLAN [1994] </w:t>
      </w:r>
      <w:r w:rsidRPr="00BD6197">
        <w:rPr>
          <w:bCs/>
          <w:lang w:val="en-US" w:eastAsia="zh-CN"/>
        </w:rPr>
        <w:t xml:space="preserve">Why auction the spectrum? </w:t>
      </w:r>
      <w:r w:rsidRPr="00BD6197">
        <w:rPr>
          <w:lang w:val="en-US"/>
        </w:rPr>
        <w:t>University of California.</w:t>
      </w:r>
    </w:p>
    <w:p w:rsidR="0041268E" w:rsidRPr="00BD6197" w:rsidRDefault="0041268E" w:rsidP="0041268E">
      <w:pPr>
        <w:pStyle w:val="Reftext"/>
        <w:widowControl w:val="0"/>
        <w:rPr>
          <w:lang w:val="en-US"/>
        </w:rPr>
      </w:pPr>
      <w:r w:rsidRPr="00BD6197">
        <w:rPr>
          <w:lang w:val="en-US"/>
        </w:rPr>
        <w:t>[6]</w:t>
      </w:r>
      <w:r w:rsidRPr="00BD6197">
        <w:rPr>
          <w:lang w:val="en-US"/>
        </w:rPr>
        <w:tab/>
        <w:t xml:space="preserve">MCMILLAN, J. [Summer 1994] Selling Spectrum Rights. </w:t>
      </w:r>
      <w:r w:rsidRPr="00BD6197">
        <w:rPr>
          <w:i/>
          <w:lang w:val="en-US"/>
        </w:rPr>
        <w:t>J. Economic Perspectives</w:t>
      </w:r>
      <w:r w:rsidRPr="00BD6197">
        <w:rPr>
          <w:lang w:val="en-US"/>
        </w:rPr>
        <w:t>, Vol. 8, </w:t>
      </w:r>
      <w:r w:rsidRPr="00BD6197">
        <w:rPr>
          <w:b/>
          <w:bCs/>
          <w:lang w:val="en-US"/>
        </w:rPr>
        <w:t>3</w:t>
      </w:r>
      <w:r w:rsidRPr="00BD6197">
        <w:rPr>
          <w:lang w:val="en-US"/>
        </w:rPr>
        <w:t>, p. 145-162.</w:t>
      </w:r>
    </w:p>
    <w:p w:rsidR="0041268E" w:rsidRPr="00BD6197" w:rsidRDefault="0041268E" w:rsidP="0041268E">
      <w:pPr>
        <w:pStyle w:val="Reftext"/>
        <w:widowControl w:val="0"/>
        <w:rPr>
          <w:lang w:val="en-US"/>
        </w:rPr>
      </w:pPr>
      <w:r w:rsidRPr="00BD6197">
        <w:rPr>
          <w:lang w:val="en-US"/>
        </w:rPr>
        <w:t>[7]</w:t>
      </w:r>
      <w:r w:rsidRPr="00BD6197">
        <w:rPr>
          <w:lang w:val="en-US"/>
        </w:rPr>
        <w:tab/>
        <w:t xml:space="preserve">BYKHOVSKY, M.A., KUSHTUEV, A.I., NOZDRIN, V.V. and PAVLIOUK, A.P. [1998]  Auctions as an effective contemporary method of spectrum management. </w:t>
      </w:r>
      <w:r w:rsidRPr="00BD6197">
        <w:rPr>
          <w:i/>
          <w:iCs/>
          <w:lang w:val="en-US"/>
        </w:rPr>
        <w:t>Elektrosvyaz.</w:t>
      </w:r>
    </w:p>
    <w:p w:rsidR="0041268E" w:rsidRDefault="0041268E" w:rsidP="0041268E">
      <w:pPr>
        <w:pStyle w:val="Reftext"/>
        <w:widowControl w:val="0"/>
        <w:rPr>
          <w:i/>
          <w:iCs/>
          <w:lang w:val="en-US"/>
        </w:rPr>
      </w:pPr>
      <w:r w:rsidRPr="00BD6197">
        <w:rPr>
          <w:lang w:val="en-US"/>
        </w:rPr>
        <w:t>[8]</w:t>
      </w:r>
      <w:r w:rsidRPr="00BD6197">
        <w:rPr>
          <w:lang w:val="en-US"/>
        </w:rPr>
        <w:tab/>
        <w:t xml:space="preserve">BYKHOVSKY, M.A. [1993] Frequency planning of cellular mobile networks. </w:t>
      </w:r>
      <w:r w:rsidRPr="00BD6197">
        <w:rPr>
          <w:i/>
          <w:iCs/>
          <w:lang w:val="en-US"/>
        </w:rPr>
        <w:t>Elektrosvyaz.</w:t>
      </w:r>
    </w:p>
    <w:p w:rsidR="007B2832" w:rsidRPr="007B2832" w:rsidRDefault="007B2832" w:rsidP="007B2832">
      <w:pPr>
        <w:pStyle w:val="Reftext"/>
        <w:rPr>
          <w:lang w:val="en-GB"/>
        </w:rPr>
      </w:pPr>
      <w:r w:rsidRPr="007B2832">
        <w:rPr>
          <w:lang w:val="en-GB"/>
        </w:rPr>
        <w:t>[9]</w:t>
      </w:r>
      <w:r w:rsidRPr="007B2832">
        <w:rPr>
          <w:lang w:val="en-GB"/>
        </w:rPr>
        <w:tab/>
        <w:t xml:space="preserve">Mazar H. (2016) ’Radio Spectrum Management: Policies, Regulations and Techniques’ </w:t>
      </w:r>
      <w:hyperlink r:id="rId321">
        <w:r w:rsidRPr="007B2832">
          <w:rPr>
            <w:rStyle w:val="InternetLink"/>
            <w:color w:val="auto"/>
            <w:u w:val="none"/>
            <w:lang w:val="en-GB"/>
          </w:rPr>
          <w:t>Wiley</w:t>
        </w:r>
      </w:hyperlink>
      <w:r w:rsidRPr="007B2832">
        <w:rPr>
          <w:lang w:val="en-GB"/>
        </w:rPr>
        <w:t>.</w:t>
      </w:r>
    </w:p>
    <w:p w:rsidR="007B2832" w:rsidRPr="007B2832" w:rsidRDefault="007B2832" w:rsidP="007B2832">
      <w:pPr>
        <w:pStyle w:val="Reftext"/>
        <w:rPr>
          <w:lang w:val="en-GB"/>
        </w:rPr>
      </w:pPr>
      <w:r w:rsidRPr="007B2832">
        <w:rPr>
          <w:lang w:val="en-GB"/>
        </w:rPr>
        <w:t>[10]</w:t>
      </w:r>
      <w:r w:rsidRPr="007B2832">
        <w:rPr>
          <w:lang w:val="en-GB"/>
        </w:rPr>
        <w:tab/>
      </w:r>
      <w:bookmarkStart w:id="2367" w:name="_Hlk514539658"/>
      <w:r w:rsidRPr="007B2832">
        <w:rPr>
          <w:szCs w:val="24"/>
          <w:lang w:val="en-GB"/>
        </w:rPr>
        <w:t xml:space="preserve">ITU-D </w:t>
      </w:r>
      <w:hyperlink r:id="rId322">
        <w:r w:rsidRPr="007B2832">
          <w:rPr>
            <w:rStyle w:val="InternetLink"/>
            <w:color w:val="auto"/>
            <w:szCs w:val="24"/>
            <w:u w:val="none"/>
            <w:lang w:val="en-GB"/>
          </w:rPr>
          <w:t>Report</w:t>
        </w:r>
      </w:hyperlink>
      <w:r w:rsidRPr="007B2832">
        <w:rPr>
          <w:szCs w:val="24"/>
          <w:lang w:val="en-GB"/>
        </w:rPr>
        <w:t xml:space="preserve"> (2016) </w:t>
      </w:r>
      <w:r w:rsidRPr="007B2832">
        <w:rPr>
          <w:color w:val="006600"/>
          <w:szCs w:val="24"/>
          <w:lang w:val="en-GB"/>
        </w:rPr>
        <w:t xml:space="preserve">– </w:t>
      </w:r>
      <w:r w:rsidRPr="007B2832">
        <w:rPr>
          <w:lang w:val="en-GB"/>
        </w:rPr>
        <w:t>Guidelines for the Review of spectrum pricing methodologies and the preparation of spectrum fees schedules</w:t>
      </w:r>
      <w:bookmarkEnd w:id="2367"/>
      <w:r w:rsidRPr="007B2832">
        <w:rPr>
          <w:lang w:val="en-GB"/>
        </w:rPr>
        <w:t>.</w:t>
      </w:r>
    </w:p>
    <w:p w:rsidR="007B2832" w:rsidRPr="007B2832" w:rsidRDefault="007B2832" w:rsidP="0041268E">
      <w:pPr>
        <w:pStyle w:val="Reftext"/>
        <w:widowControl w:val="0"/>
        <w:rPr>
          <w:lang w:val="en-GB"/>
        </w:rPr>
      </w:pPr>
    </w:p>
    <w:p w:rsidR="0041268E" w:rsidRPr="00BD6197" w:rsidRDefault="0041268E" w:rsidP="0041268E">
      <w:pPr>
        <w:pStyle w:val="AnnexNoTitle"/>
        <w:spacing w:before="0"/>
        <w:rPr>
          <w:lang w:val="en-US"/>
        </w:rPr>
      </w:pPr>
      <w:r w:rsidRPr="00BD6197">
        <w:rPr>
          <w:lang w:val="en-US"/>
        </w:rPr>
        <w:br w:type="page"/>
      </w:r>
      <w:bookmarkStart w:id="2368" w:name="_Toc289933398"/>
      <w:bookmarkStart w:id="2369" w:name="_Toc291852961"/>
      <w:bookmarkStart w:id="2370" w:name="_Toc392515945"/>
      <w:bookmarkStart w:id="2371" w:name="_Toc462234188"/>
      <w:bookmarkStart w:id="2372" w:name="_Toc518394281"/>
      <w:r w:rsidRPr="00BD6197">
        <w:rPr>
          <w:lang w:val="en-US"/>
        </w:rPr>
        <w:lastRenderedPageBreak/>
        <w:t>GLOSSARY</w:t>
      </w:r>
      <w:bookmarkEnd w:id="2368"/>
      <w:bookmarkEnd w:id="2369"/>
      <w:bookmarkEnd w:id="2370"/>
      <w:bookmarkEnd w:id="2371"/>
      <w:bookmarkEnd w:id="2372"/>
    </w:p>
    <w:p w:rsidR="0041268E" w:rsidRPr="00BD6197" w:rsidRDefault="0041268E" w:rsidP="0041268E">
      <w:pPr>
        <w:pStyle w:val="Normalaftertitle"/>
        <w:rPr>
          <w:lang w:val="en-US"/>
        </w:rPr>
      </w:pPr>
      <w:r w:rsidRPr="00BD6197">
        <w:rPr>
          <w:lang w:val="en-US"/>
        </w:rPr>
        <w:t xml:space="preserve">Terms defined in this glossary are printed in </w:t>
      </w:r>
      <w:r w:rsidRPr="00BD6197">
        <w:rPr>
          <w:i/>
          <w:lang w:val="en-US"/>
        </w:rPr>
        <w:t>italics</w:t>
      </w:r>
      <w:r w:rsidRPr="00BD6197">
        <w:rPr>
          <w:lang w:val="en-US"/>
        </w:rPr>
        <w:t>.</w:t>
      </w:r>
    </w:p>
    <w:p w:rsidR="0041268E" w:rsidRPr="00BD6197" w:rsidRDefault="0041268E" w:rsidP="0041268E">
      <w:pPr>
        <w:rPr>
          <w:lang w:val="en-US"/>
        </w:rPr>
      </w:pPr>
      <w:r w:rsidRPr="00BD6197">
        <w:rPr>
          <w:lang w:val="en-US"/>
        </w:rPr>
        <w:t>For convenience and in the interests of clarity, the following definitions have been used and are specific to this document. The definitions of the terms “allotment” and “assignment” differ slightly from those given in Nos 1.17 and 1.18, respectively, of the Radio Regulations.</w:t>
      </w:r>
    </w:p>
    <w:p w:rsidR="0041268E" w:rsidRPr="00BD6197" w:rsidRDefault="0041268E" w:rsidP="0041268E">
      <w:pPr>
        <w:pStyle w:val="Reftext"/>
        <w:rPr>
          <w:lang w:val="en-US"/>
        </w:rPr>
      </w:pPr>
      <w:r w:rsidRPr="00BD6197">
        <w:rPr>
          <w:lang w:val="en-US"/>
        </w:rPr>
        <w:t>1.</w:t>
      </w:r>
      <w:r w:rsidRPr="00BD6197">
        <w:rPr>
          <w:lang w:val="en-US"/>
        </w:rPr>
        <w:tab/>
        <w:t>A</w:t>
      </w:r>
      <w:r w:rsidRPr="00BD6197">
        <w:rPr>
          <w:i/>
          <w:iCs/>
          <w:lang w:val="en-US"/>
        </w:rPr>
        <w:t>ssignment</w:t>
      </w:r>
      <w:r w:rsidRPr="00BD6197">
        <w:rPr>
          <w:lang w:val="en-US"/>
        </w:rPr>
        <w:t>: any authorization to use a frequency at a given site and under identified conditions. Such a frequency is referred to as an</w:t>
      </w:r>
      <w:r w:rsidRPr="00BD6197">
        <w:rPr>
          <w:i/>
          <w:iCs/>
          <w:lang w:val="en-US"/>
        </w:rPr>
        <w:t xml:space="preserve"> assigned frequency</w:t>
      </w:r>
      <w:r w:rsidRPr="00BD6197">
        <w:rPr>
          <w:lang w:val="en-US"/>
        </w:rPr>
        <w:t>.</w:t>
      </w:r>
    </w:p>
    <w:p w:rsidR="0041268E" w:rsidRPr="00BD6197" w:rsidRDefault="0041268E" w:rsidP="0041268E">
      <w:pPr>
        <w:pStyle w:val="Reftext"/>
        <w:rPr>
          <w:lang w:val="en-US"/>
        </w:rPr>
      </w:pPr>
      <w:r w:rsidRPr="00BD6197">
        <w:rPr>
          <w:lang w:val="en-US"/>
        </w:rPr>
        <w:t>2.</w:t>
      </w:r>
      <w:r w:rsidRPr="00BD6197">
        <w:rPr>
          <w:lang w:val="en-US"/>
        </w:rPr>
        <w:tab/>
      </w:r>
      <w:r w:rsidRPr="00BD6197">
        <w:rPr>
          <w:i/>
          <w:iCs/>
          <w:lang w:val="en-US"/>
        </w:rPr>
        <w:t>Allocation surface</w:t>
      </w:r>
      <w:r w:rsidRPr="00BD6197">
        <w:rPr>
          <w:lang w:val="en-US"/>
        </w:rPr>
        <w:t xml:space="preserve"> of an assignment: that part of the territory within which the assigned frequency may be used.</w:t>
      </w:r>
    </w:p>
    <w:p w:rsidR="0041268E" w:rsidRPr="00BD6197" w:rsidRDefault="0041268E" w:rsidP="0041268E">
      <w:pPr>
        <w:pStyle w:val="Reftext"/>
        <w:rPr>
          <w:lang w:val="en-US"/>
        </w:rPr>
      </w:pPr>
      <w:r w:rsidRPr="00BD6197">
        <w:rPr>
          <w:lang w:val="en-US"/>
        </w:rPr>
        <w:t>3.</w:t>
      </w:r>
      <w:r w:rsidRPr="00BD6197">
        <w:rPr>
          <w:lang w:val="en-US"/>
        </w:rPr>
        <w:tab/>
      </w:r>
      <w:r w:rsidRPr="00BD6197">
        <w:rPr>
          <w:i/>
          <w:iCs/>
          <w:lang w:val="en-US"/>
        </w:rPr>
        <w:t>Allotment</w:t>
      </w:r>
      <w:r w:rsidRPr="00BD6197">
        <w:rPr>
          <w:lang w:val="en-US"/>
        </w:rPr>
        <w:t xml:space="preserve">: any authorization to use a block of frequencies within a given geographic area. Such frequencies are known as </w:t>
      </w:r>
      <w:r w:rsidRPr="00BD6197">
        <w:rPr>
          <w:i/>
          <w:iCs/>
          <w:lang w:val="en-US"/>
        </w:rPr>
        <w:t>allotted frequencies</w:t>
      </w:r>
      <w:r w:rsidRPr="00BD6197">
        <w:rPr>
          <w:lang w:val="en-US"/>
        </w:rPr>
        <w:t>.</w:t>
      </w:r>
    </w:p>
    <w:p w:rsidR="0041268E" w:rsidRPr="00BD6197" w:rsidRDefault="0041268E" w:rsidP="0041268E">
      <w:pPr>
        <w:rPr>
          <w:lang w:val="en-US"/>
        </w:rPr>
      </w:pPr>
      <w:r w:rsidRPr="00BD6197">
        <w:rPr>
          <w:b/>
          <w:lang w:val="en-US"/>
        </w:rPr>
        <w:t>Administrative pricing</w:t>
      </w:r>
      <w:r w:rsidRPr="00BD6197">
        <w:rPr>
          <w:bCs/>
          <w:lang w:val="en-US"/>
        </w:rPr>
        <w:t>:  </w:t>
      </w:r>
      <w:r w:rsidRPr="00BD6197">
        <w:rPr>
          <w:lang w:val="en-US"/>
        </w:rPr>
        <w:t xml:space="preserve">A form of </w:t>
      </w:r>
      <w:r w:rsidRPr="00BD6197">
        <w:rPr>
          <w:i/>
          <w:lang w:val="en-US"/>
        </w:rPr>
        <w:t>spectrum pricing</w:t>
      </w:r>
      <w:r w:rsidRPr="00BD6197">
        <w:rPr>
          <w:lang w:val="en-US"/>
        </w:rPr>
        <w:t xml:space="preserve"> in which </w:t>
      </w:r>
      <w:r w:rsidRPr="00BD6197">
        <w:rPr>
          <w:i/>
          <w:lang w:val="en-US"/>
        </w:rPr>
        <w:t xml:space="preserve">equipment licence </w:t>
      </w:r>
      <w:r w:rsidRPr="00BD6197">
        <w:rPr>
          <w:lang w:val="en-US"/>
        </w:rPr>
        <w:t>fees</w:t>
      </w:r>
      <w:r w:rsidRPr="00BD6197">
        <w:rPr>
          <w:i/>
          <w:lang w:val="en-US"/>
        </w:rPr>
        <w:t xml:space="preserve"> </w:t>
      </w:r>
      <w:r w:rsidRPr="00BD6197">
        <w:rPr>
          <w:lang w:val="en-US"/>
        </w:rPr>
        <w:t xml:space="preserve">or charges for </w:t>
      </w:r>
      <w:r w:rsidRPr="00BD6197">
        <w:rPr>
          <w:i/>
          <w:lang w:val="en-US"/>
        </w:rPr>
        <w:t>spectrum rights</w:t>
      </w:r>
      <w:r w:rsidRPr="00BD6197">
        <w:rPr>
          <w:lang w:val="en-US"/>
        </w:rPr>
        <w:t xml:space="preserve"> are set by the spectrum manager. Administrative pricing may include such variants as:</w:t>
      </w:r>
    </w:p>
    <w:p w:rsidR="0041268E" w:rsidRPr="00BD6197" w:rsidRDefault="0041268E" w:rsidP="0041268E">
      <w:pPr>
        <w:pStyle w:val="enumlev1"/>
        <w:rPr>
          <w:lang w:val="en-US"/>
        </w:rPr>
      </w:pPr>
      <w:r w:rsidRPr="00BD6197">
        <w:rPr>
          <w:lang w:val="en-US"/>
        </w:rPr>
        <w:t>–</w:t>
      </w:r>
      <w:r w:rsidRPr="00BD6197">
        <w:rPr>
          <w:lang w:val="en-US"/>
        </w:rPr>
        <w:tab/>
      </w:r>
      <w:r w:rsidRPr="00BD6197">
        <w:rPr>
          <w:lang w:val="en-US"/>
        </w:rPr>
        <w:fldChar w:fldCharType="begin"/>
      </w:r>
      <w:r w:rsidRPr="00BD6197">
        <w:rPr>
          <w:lang w:val="en-US"/>
        </w:rPr>
        <w:instrText xml:space="preserve">seq level0 \h \r0 </w:instrText>
      </w:r>
      <w:r w:rsidRPr="00BD6197">
        <w:rPr>
          <w:lang w:val="en-US"/>
        </w:rPr>
        <w:fldChar w:fldCharType="end"/>
      </w:r>
      <w:r w:rsidRPr="00BD6197">
        <w:rPr>
          <w:lang w:val="en-US"/>
        </w:rPr>
        <w:fldChar w:fldCharType="begin"/>
      </w:r>
      <w:r w:rsidRPr="00BD6197">
        <w:rPr>
          <w:lang w:val="en-US"/>
        </w:rPr>
        <w:instrText xml:space="preserve">seq level1 \h \r0 </w:instrText>
      </w:r>
      <w:r w:rsidRPr="00BD6197">
        <w:rPr>
          <w:lang w:val="en-US"/>
        </w:rPr>
        <w:fldChar w:fldCharType="end"/>
      </w:r>
      <w:r w:rsidRPr="00BD6197">
        <w:rPr>
          <w:lang w:val="en-US"/>
        </w:rPr>
        <w:fldChar w:fldCharType="begin"/>
      </w:r>
      <w:r w:rsidRPr="00BD6197">
        <w:rPr>
          <w:lang w:val="en-US"/>
        </w:rPr>
        <w:instrText xml:space="preserve">seq level2 \h \r0 </w:instrText>
      </w:r>
      <w:r w:rsidRPr="00BD6197">
        <w:rPr>
          <w:lang w:val="en-US"/>
        </w:rPr>
        <w:fldChar w:fldCharType="end"/>
      </w:r>
      <w:r w:rsidRPr="00BD6197">
        <w:rPr>
          <w:lang w:val="en-US"/>
        </w:rPr>
        <w:fldChar w:fldCharType="begin"/>
      </w:r>
      <w:r w:rsidRPr="00BD6197">
        <w:rPr>
          <w:lang w:val="en-US"/>
        </w:rPr>
        <w:instrText xml:space="preserve">seq level3 \h \r0 </w:instrText>
      </w:r>
      <w:r w:rsidRPr="00BD6197">
        <w:rPr>
          <w:lang w:val="en-US"/>
        </w:rPr>
        <w:fldChar w:fldCharType="end"/>
      </w:r>
      <w:r w:rsidRPr="00BD6197">
        <w:rPr>
          <w:lang w:val="en-US"/>
        </w:rPr>
        <w:fldChar w:fldCharType="begin"/>
      </w:r>
      <w:r w:rsidRPr="00BD6197">
        <w:rPr>
          <w:lang w:val="en-US"/>
        </w:rPr>
        <w:instrText xml:space="preserve">seq level4 \h \r0 </w:instrText>
      </w:r>
      <w:r w:rsidRPr="00BD6197">
        <w:rPr>
          <w:lang w:val="en-US"/>
        </w:rPr>
        <w:fldChar w:fldCharType="end"/>
      </w:r>
      <w:r w:rsidRPr="00BD6197">
        <w:rPr>
          <w:lang w:val="en-US"/>
        </w:rPr>
        <w:fldChar w:fldCharType="begin"/>
      </w:r>
      <w:r w:rsidRPr="00BD6197">
        <w:rPr>
          <w:lang w:val="en-US"/>
        </w:rPr>
        <w:instrText xml:space="preserve">seq level5 \h \r0 </w:instrText>
      </w:r>
      <w:r w:rsidRPr="00BD6197">
        <w:rPr>
          <w:lang w:val="en-US"/>
        </w:rPr>
        <w:fldChar w:fldCharType="end"/>
      </w:r>
      <w:r w:rsidRPr="00BD6197">
        <w:rPr>
          <w:lang w:val="en-US"/>
        </w:rPr>
        <w:fldChar w:fldCharType="begin"/>
      </w:r>
      <w:r w:rsidRPr="00BD6197">
        <w:rPr>
          <w:lang w:val="en-US"/>
        </w:rPr>
        <w:instrText xml:space="preserve">seq level6 \h \r0 </w:instrText>
      </w:r>
      <w:r w:rsidRPr="00BD6197">
        <w:rPr>
          <w:lang w:val="en-US"/>
        </w:rPr>
        <w:fldChar w:fldCharType="end"/>
      </w:r>
      <w:r w:rsidRPr="00BD6197">
        <w:rPr>
          <w:lang w:val="en-US"/>
        </w:rPr>
        <w:fldChar w:fldCharType="begin"/>
      </w:r>
      <w:r w:rsidRPr="00BD6197">
        <w:rPr>
          <w:lang w:val="en-US"/>
        </w:rPr>
        <w:instrText xml:space="preserve">seq level7 \h \r0 </w:instrText>
      </w:r>
      <w:r w:rsidRPr="00BD6197">
        <w:rPr>
          <w:lang w:val="en-US"/>
        </w:rPr>
        <w:fldChar w:fldCharType="end"/>
      </w:r>
      <w:r w:rsidRPr="00BD6197">
        <w:rPr>
          <w:i/>
          <w:lang w:val="en-US"/>
        </w:rPr>
        <w:t>shadow pricing</w:t>
      </w:r>
      <w:r w:rsidRPr="00BD6197">
        <w:rPr>
          <w:lang w:val="en-US"/>
        </w:rPr>
        <w:t xml:space="preserve"> (see below);</w:t>
      </w:r>
    </w:p>
    <w:p w:rsidR="0041268E" w:rsidRPr="00BD6197" w:rsidRDefault="0041268E" w:rsidP="0041268E">
      <w:pPr>
        <w:pStyle w:val="enumlev1"/>
        <w:rPr>
          <w:lang w:val="en-US"/>
        </w:rPr>
      </w:pPr>
      <w:r w:rsidRPr="00BD6197">
        <w:rPr>
          <w:i/>
          <w:lang w:val="en-US"/>
        </w:rPr>
        <w:t>–</w:t>
      </w:r>
      <w:r w:rsidRPr="00BD6197">
        <w:rPr>
          <w:i/>
          <w:lang w:val="en-US"/>
        </w:rPr>
        <w:tab/>
        <w:t>incentive pricing</w:t>
      </w:r>
      <w:r w:rsidRPr="00BD6197">
        <w:rPr>
          <w:lang w:val="en-US"/>
        </w:rPr>
        <w:t>, where fees are set with the intention of promoting efficient spectrum use;</w:t>
      </w:r>
    </w:p>
    <w:p w:rsidR="0041268E" w:rsidRPr="00BD6197" w:rsidRDefault="0041268E" w:rsidP="0041268E">
      <w:pPr>
        <w:pStyle w:val="enumlev1"/>
        <w:rPr>
          <w:lang w:val="en-US"/>
        </w:rPr>
      </w:pPr>
      <w:r w:rsidRPr="00BD6197">
        <w:rPr>
          <w:i/>
          <w:lang w:val="en-US"/>
        </w:rPr>
        <w:t>–</w:t>
      </w:r>
      <w:r w:rsidRPr="00BD6197">
        <w:rPr>
          <w:i/>
          <w:lang w:val="en-US"/>
        </w:rPr>
        <w:tab/>
        <w:t>regulatory pricing</w:t>
      </w:r>
      <w:r w:rsidRPr="00BD6197">
        <w:rPr>
          <w:lang w:val="en-US"/>
        </w:rPr>
        <w:t>, where fees are set unrelated to market considerations, for example, to recover spectrum management costs.</w:t>
      </w:r>
    </w:p>
    <w:p w:rsidR="0041268E" w:rsidRPr="00BD6197" w:rsidRDefault="0041268E" w:rsidP="0041268E">
      <w:pPr>
        <w:rPr>
          <w:lang w:val="en-US"/>
        </w:rPr>
      </w:pPr>
      <w:r w:rsidRPr="00BD6197">
        <w:rPr>
          <w:b/>
          <w:lang w:val="en-US"/>
        </w:rPr>
        <w:t>Apparatus licence</w:t>
      </w:r>
      <w:r w:rsidRPr="00BD6197">
        <w:rPr>
          <w:bCs/>
          <w:lang w:val="en-US"/>
        </w:rPr>
        <w:t>:  </w:t>
      </w:r>
      <w:r w:rsidRPr="00BD6197">
        <w:rPr>
          <w:lang w:val="en-US"/>
        </w:rPr>
        <w:t>A permission to install and use radio equipment. This will specify the frequency or frequency band to be used and may also impose terms and conditions restricting matters such as the type of apparatus to be used, power, coverage area, geographical location or service to be provided. The extent and specificity of the restrictions will depend on circumstances and the characteristics of the service in question.</w:t>
      </w:r>
    </w:p>
    <w:p w:rsidR="0041268E" w:rsidRPr="00BD6197" w:rsidRDefault="0041268E" w:rsidP="0041268E">
      <w:pPr>
        <w:rPr>
          <w:lang w:val="en-US"/>
        </w:rPr>
      </w:pPr>
      <w:r w:rsidRPr="00BD6197">
        <w:rPr>
          <w:b/>
          <w:lang w:val="en-US"/>
        </w:rPr>
        <w:t>Auction</w:t>
      </w:r>
      <w:r w:rsidRPr="00BD6197">
        <w:rPr>
          <w:bCs/>
          <w:lang w:val="en-US"/>
        </w:rPr>
        <w:t>:  </w:t>
      </w:r>
      <w:r w:rsidRPr="00BD6197">
        <w:rPr>
          <w:lang w:val="en-US"/>
        </w:rPr>
        <w:t xml:space="preserve">A form of </w:t>
      </w:r>
      <w:r w:rsidRPr="00BD6197">
        <w:rPr>
          <w:i/>
          <w:lang w:val="en-US"/>
        </w:rPr>
        <w:t>spectrum pricing</w:t>
      </w:r>
      <w:r w:rsidRPr="00BD6197">
        <w:rPr>
          <w:lang w:val="en-US"/>
        </w:rPr>
        <w:t xml:space="preserve"> – as well as a spectrum assignment mechanism – in which </w:t>
      </w:r>
      <w:r w:rsidRPr="00BD6197">
        <w:rPr>
          <w:i/>
          <w:lang w:val="en-US"/>
        </w:rPr>
        <w:t xml:space="preserve">apparatus licences </w:t>
      </w:r>
      <w:r w:rsidRPr="00BD6197">
        <w:rPr>
          <w:lang w:val="en-US"/>
        </w:rPr>
        <w:t xml:space="preserve">or </w:t>
      </w:r>
      <w:r w:rsidRPr="00BD6197">
        <w:rPr>
          <w:i/>
          <w:lang w:val="en-US"/>
        </w:rPr>
        <w:t>spectrum rights</w:t>
      </w:r>
      <w:r w:rsidRPr="00BD6197">
        <w:rPr>
          <w:lang w:val="en-US"/>
        </w:rPr>
        <w:t xml:space="preserve"> are assigned to the winner(s) of a competitive process selected on the basis of price. (In some countries, other factors, such as quality of service, speed of roll-out and financial viability, may also be taken into account, either in the assessment of the bids or as pre</w:t>
      </w:r>
      <w:r w:rsidRPr="00BD6197">
        <w:rPr>
          <w:lang w:val="en-US"/>
        </w:rPr>
        <w:noBreakHyphen/>
        <w:t>qualification criteria.)</w:t>
      </w:r>
      <w:r w:rsidRPr="00BD6197">
        <w:rPr>
          <w:i/>
          <w:lang w:val="en-US"/>
        </w:rPr>
        <w:t xml:space="preserve"> Auctions</w:t>
      </w:r>
      <w:r w:rsidRPr="00BD6197">
        <w:rPr>
          <w:lang w:val="en-US"/>
        </w:rPr>
        <w:t xml:space="preserve"> may take various forms, including:</w:t>
      </w:r>
    </w:p>
    <w:p w:rsidR="0041268E" w:rsidRPr="00BD6197" w:rsidRDefault="0041268E" w:rsidP="0041268E">
      <w:pPr>
        <w:pStyle w:val="enumlev1"/>
        <w:rPr>
          <w:lang w:val="en-US"/>
        </w:rPr>
      </w:pPr>
      <w:r w:rsidRPr="00BD6197">
        <w:rPr>
          <w:lang w:val="en-US"/>
        </w:rPr>
        <w:t>–</w:t>
      </w:r>
      <w:r w:rsidRPr="00BD6197">
        <w:rPr>
          <w:lang w:val="en-US"/>
        </w:rPr>
        <w:tab/>
      </w:r>
      <w:r w:rsidRPr="00BD6197">
        <w:rPr>
          <w:lang w:val="en-US"/>
        </w:rPr>
        <w:fldChar w:fldCharType="begin"/>
      </w:r>
      <w:r w:rsidRPr="00BD6197">
        <w:rPr>
          <w:lang w:val="en-US"/>
        </w:rPr>
        <w:instrText xml:space="preserve">seq level0 \h \r0 </w:instrText>
      </w:r>
      <w:r w:rsidRPr="00BD6197">
        <w:rPr>
          <w:lang w:val="en-US"/>
        </w:rPr>
        <w:fldChar w:fldCharType="end"/>
      </w:r>
      <w:r w:rsidRPr="00BD6197">
        <w:rPr>
          <w:lang w:val="en-US"/>
        </w:rPr>
        <w:fldChar w:fldCharType="begin"/>
      </w:r>
      <w:r w:rsidRPr="00BD6197">
        <w:rPr>
          <w:lang w:val="en-US"/>
        </w:rPr>
        <w:instrText xml:space="preserve">seq level1 \h \r0 </w:instrText>
      </w:r>
      <w:r w:rsidRPr="00BD6197">
        <w:rPr>
          <w:lang w:val="en-US"/>
        </w:rPr>
        <w:fldChar w:fldCharType="end"/>
      </w:r>
      <w:r w:rsidRPr="00BD6197">
        <w:rPr>
          <w:lang w:val="en-US"/>
        </w:rPr>
        <w:fldChar w:fldCharType="begin"/>
      </w:r>
      <w:r w:rsidRPr="00BD6197">
        <w:rPr>
          <w:lang w:val="en-US"/>
        </w:rPr>
        <w:instrText xml:space="preserve">seq level2 \h \r0 </w:instrText>
      </w:r>
      <w:r w:rsidRPr="00BD6197">
        <w:rPr>
          <w:lang w:val="en-US"/>
        </w:rPr>
        <w:fldChar w:fldCharType="end"/>
      </w:r>
      <w:r w:rsidRPr="00BD6197">
        <w:rPr>
          <w:lang w:val="en-US"/>
        </w:rPr>
        <w:fldChar w:fldCharType="begin"/>
      </w:r>
      <w:r w:rsidRPr="00BD6197">
        <w:rPr>
          <w:lang w:val="en-US"/>
        </w:rPr>
        <w:instrText xml:space="preserve">seq level3 \h \r0 </w:instrText>
      </w:r>
      <w:r w:rsidRPr="00BD6197">
        <w:rPr>
          <w:lang w:val="en-US"/>
        </w:rPr>
        <w:fldChar w:fldCharType="end"/>
      </w:r>
      <w:r w:rsidRPr="00BD6197">
        <w:rPr>
          <w:lang w:val="en-US"/>
        </w:rPr>
        <w:fldChar w:fldCharType="begin"/>
      </w:r>
      <w:r w:rsidRPr="00BD6197">
        <w:rPr>
          <w:lang w:val="en-US"/>
        </w:rPr>
        <w:instrText xml:space="preserve">seq level4 \h \r0 </w:instrText>
      </w:r>
      <w:r w:rsidRPr="00BD6197">
        <w:rPr>
          <w:lang w:val="en-US"/>
        </w:rPr>
        <w:fldChar w:fldCharType="end"/>
      </w:r>
      <w:r w:rsidRPr="00BD6197">
        <w:rPr>
          <w:lang w:val="en-US"/>
        </w:rPr>
        <w:fldChar w:fldCharType="begin"/>
      </w:r>
      <w:r w:rsidRPr="00BD6197">
        <w:rPr>
          <w:lang w:val="en-US"/>
        </w:rPr>
        <w:instrText xml:space="preserve">seq level5 \h \r0 </w:instrText>
      </w:r>
      <w:r w:rsidRPr="00BD6197">
        <w:rPr>
          <w:lang w:val="en-US"/>
        </w:rPr>
        <w:fldChar w:fldCharType="end"/>
      </w:r>
      <w:r w:rsidRPr="00BD6197">
        <w:rPr>
          <w:lang w:val="en-US"/>
        </w:rPr>
        <w:fldChar w:fldCharType="begin"/>
      </w:r>
      <w:r w:rsidRPr="00BD6197">
        <w:rPr>
          <w:lang w:val="en-US"/>
        </w:rPr>
        <w:instrText xml:space="preserve">seq level6 \h \r0 </w:instrText>
      </w:r>
      <w:r w:rsidRPr="00BD6197">
        <w:rPr>
          <w:lang w:val="en-US"/>
        </w:rPr>
        <w:fldChar w:fldCharType="end"/>
      </w:r>
      <w:r w:rsidRPr="00BD6197">
        <w:rPr>
          <w:lang w:val="en-US"/>
        </w:rPr>
        <w:fldChar w:fldCharType="begin"/>
      </w:r>
      <w:r w:rsidRPr="00BD6197">
        <w:rPr>
          <w:lang w:val="en-US"/>
        </w:rPr>
        <w:instrText xml:space="preserve">seq level7 \h \r0 </w:instrText>
      </w:r>
      <w:r w:rsidRPr="00BD6197">
        <w:rPr>
          <w:lang w:val="en-US"/>
        </w:rPr>
        <w:fldChar w:fldCharType="end"/>
      </w:r>
      <w:r w:rsidRPr="00BD6197">
        <w:rPr>
          <w:lang w:val="en-US"/>
        </w:rPr>
        <w:t xml:space="preserve">the </w:t>
      </w:r>
      <w:r w:rsidRPr="00BD6197">
        <w:rPr>
          <w:i/>
          <w:lang w:val="en-US"/>
        </w:rPr>
        <w:t>English auction</w:t>
      </w:r>
      <w:r w:rsidRPr="00BD6197">
        <w:rPr>
          <w:lang w:val="en-US"/>
        </w:rPr>
        <w:t>, where the auctioneer increases the price until a single bidder is left;</w:t>
      </w:r>
    </w:p>
    <w:p w:rsidR="0041268E" w:rsidRPr="00BD6197" w:rsidRDefault="0041268E" w:rsidP="0041268E">
      <w:pPr>
        <w:pStyle w:val="enumlev1"/>
        <w:rPr>
          <w:lang w:val="en-US"/>
        </w:rPr>
      </w:pPr>
      <w:r w:rsidRPr="00BD6197">
        <w:rPr>
          <w:lang w:val="en-US"/>
        </w:rPr>
        <w:t>–</w:t>
      </w:r>
      <w:r w:rsidRPr="00BD6197">
        <w:rPr>
          <w:lang w:val="en-US"/>
        </w:rPr>
        <w:tab/>
        <w:t xml:space="preserve">the </w:t>
      </w:r>
      <w:r w:rsidRPr="00BD6197">
        <w:rPr>
          <w:i/>
          <w:lang w:val="en-US"/>
        </w:rPr>
        <w:t>first-price sealed bid auction</w:t>
      </w:r>
      <w:r w:rsidRPr="00BD6197">
        <w:rPr>
          <w:lang w:val="en-US"/>
        </w:rPr>
        <w:t>, where bidders submit sealed bids and the highest wins;</w:t>
      </w:r>
    </w:p>
    <w:p w:rsidR="0041268E" w:rsidRPr="00BD6197" w:rsidRDefault="0041268E" w:rsidP="0041268E">
      <w:pPr>
        <w:pStyle w:val="enumlev1"/>
        <w:rPr>
          <w:lang w:val="en-US"/>
        </w:rPr>
      </w:pPr>
      <w:r w:rsidRPr="00BD6197">
        <w:rPr>
          <w:lang w:val="en-US"/>
        </w:rPr>
        <w:t>–</w:t>
      </w:r>
      <w:r w:rsidRPr="00BD6197">
        <w:rPr>
          <w:lang w:val="en-US"/>
        </w:rPr>
        <w:tab/>
        <w:t xml:space="preserve">the </w:t>
      </w:r>
      <w:r w:rsidRPr="00BD6197">
        <w:rPr>
          <w:i/>
          <w:lang w:val="en-US"/>
        </w:rPr>
        <w:t>second-price sealed bid auction</w:t>
      </w:r>
      <w:r w:rsidRPr="00BD6197">
        <w:rPr>
          <w:lang w:val="en-US"/>
        </w:rPr>
        <w:t>, where bidders submit sealed bids and the highest bidder wins but pays the second highest amount bid;</w:t>
      </w:r>
    </w:p>
    <w:p w:rsidR="0041268E" w:rsidRPr="00BD6197" w:rsidRDefault="0041268E" w:rsidP="0041268E">
      <w:pPr>
        <w:pStyle w:val="enumlev1"/>
        <w:rPr>
          <w:lang w:val="en-US"/>
        </w:rPr>
      </w:pPr>
      <w:r w:rsidRPr="00BD6197">
        <w:rPr>
          <w:lang w:val="en-US"/>
        </w:rPr>
        <w:t>–</w:t>
      </w:r>
      <w:r w:rsidRPr="00BD6197">
        <w:rPr>
          <w:lang w:val="en-US"/>
        </w:rPr>
        <w:tab/>
        <w:t xml:space="preserve">the </w:t>
      </w:r>
      <w:r w:rsidRPr="00BD6197">
        <w:rPr>
          <w:i/>
          <w:lang w:val="en-US"/>
        </w:rPr>
        <w:t>Dutch auction</w:t>
      </w:r>
      <w:r w:rsidRPr="00BD6197">
        <w:rPr>
          <w:lang w:val="en-US"/>
        </w:rPr>
        <w:t>, where the auctioneer announces a high price and reduces it until a bidder shouts “mine”;</w:t>
      </w:r>
    </w:p>
    <w:p w:rsidR="0041268E" w:rsidRPr="00BD6197" w:rsidRDefault="0041268E" w:rsidP="0041268E">
      <w:pPr>
        <w:pStyle w:val="enumlev1"/>
        <w:rPr>
          <w:lang w:val="en-US"/>
        </w:rPr>
      </w:pPr>
      <w:r w:rsidRPr="00BD6197">
        <w:rPr>
          <w:lang w:val="en-US"/>
        </w:rPr>
        <w:t>–</w:t>
      </w:r>
      <w:r w:rsidRPr="00BD6197">
        <w:rPr>
          <w:rFonts w:ascii="Symbol" w:hAnsi="Symbol"/>
          <w:lang w:val="en-US"/>
        </w:rPr>
        <w:tab/>
      </w:r>
      <w:r w:rsidRPr="00BD6197">
        <w:rPr>
          <w:lang w:val="en-US"/>
        </w:rPr>
        <w:t xml:space="preserve">the </w:t>
      </w:r>
      <w:r w:rsidRPr="00BD6197">
        <w:rPr>
          <w:i/>
          <w:lang w:val="en-US"/>
        </w:rPr>
        <w:t>simultaneous multiple round</w:t>
      </w:r>
      <w:r w:rsidRPr="00BD6197">
        <w:rPr>
          <w:lang w:val="en-US"/>
        </w:rPr>
        <w:t xml:space="preserve"> </w:t>
      </w:r>
      <w:r w:rsidRPr="00BD6197">
        <w:rPr>
          <w:i/>
          <w:lang w:val="en-US"/>
        </w:rPr>
        <w:t xml:space="preserve">auction, </w:t>
      </w:r>
      <w:r w:rsidRPr="00BD6197">
        <w:rPr>
          <w:lang w:val="en-US"/>
        </w:rPr>
        <w:t xml:space="preserve">as first practiced by the Federal Communications Commission (FCC) in the United States of America. This involves multiple rounds of bidding for a number of lots that are offered simultaneously. The highest bid on each lot is revealed to all bidders before the next round when bids are again accepted on all lots. The identity of the high bidder may or may not be revealed after each round, but is revealed at the auction’s close. The process continues until a round occurs in which no new bids are submitted on any lots. This variant is more complex than single-round auctions but offers bidders greater flexibility to combine lots in different ways, and, because it is more open than a sealed bid process, limits the impact of the </w:t>
      </w:r>
      <w:r w:rsidRPr="00BD6197">
        <w:rPr>
          <w:i/>
          <w:lang w:val="en-US"/>
        </w:rPr>
        <w:t>winner’s curse</w:t>
      </w:r>
      <w:r w:rsidRPr="00BD6197">
        <w:rPr>
          <w:lang w:val="en-US"/>
        </w:rPr>
        <w:t>,</w:t>
      </w:r>
      <w:r w:rsidRPr="00BD6197">
        <w:rPr>
          <w:i/>
          <w:lang w:val="en-US"/>
        </w:rPr>
        <w:t xml:space="preserve"> </w:t>
      </w:r>
      <w:r w:rsidRPr="00BD6197">
        <w:rPr>
          <w:lang w:val="en-US"/>
        </w:rPr>
        <w:t>allowing bidders to bid with more confidence.</w:t>
      </w:r>
    </w:p>
    <w:p w:rsidR="0041268E" w:rsidRPr="00BD6197" w:rsidRDefault="0041268E" w:rsidP="0041268E">
      <w:pPr>
        <w:rPr>
          <w:lang w:val="en-US"/>
        </w:rPr>
      </w:pPr>
      <w:r w:rsidRPr="00BD6197">
        <w:rPr>
          <w:i/>
          <w:lang w:val="en-US"/>
        </w:rPr>
        <w:lastRenderedPageBreak/>
        <w:t>Auctions</w:t>
      </w:r>
      <w:r w:rsidRPr="00BD6197">
        <w:rPr>
          <w:lang w:val="en-US"/>
        </w:rPr>
        <w:t xml:space="preserve"> are commonly considered to have advantages of economic efficiency, transparency and speed compared to alternative assignment methods and also capture the market value of spectrum rights for the administration holding the auction. They can give rise to anti-competitive outcomes if they result in large operators acquiring an undue concentration of the available spectrum but various safeguards against this can be introduced, for example restrictions on the amount of spectrum an individual bidder may win or “use it or lose it” provisions to prevent hoarding.</w:t>
      </w:r>
    </w:p>
    <w:p w:rsidR="0041268E" w:rsidRPr="00BD6197" w:rsidRDefault="0041268E" w:rsidP="0041268E">
      <w:pPr>
        <w:rPr>
          <w:lang w:val="en-US"/>
        </w:rPr>
      </w:pPr>
      <w:r w:rsidRPr="00BD6197">
        <w:rPr>
          <w:b/>
          <w:lang w:val="en-US"/>
        </w:rPr>
        <w:t>Bidding credit</w:t>
      </w:r>
      <w:r w:rsidRPr="00BD6197">
        <w:rPr>
          <w:bCs/>
          <w:lang w:val="en-US"/>
        </w:rPr>
        <w:t>:  </w:t>
      </w:r>
      <w:r w:rsidRPr="00BD6197">
        <w:rPr>
          <w:lang w:val="en-US"/>
        </w:rPr>
        <w:t>A discount given to certain bidders to promote socially desirable goods. Bidding credits were given to smaller, entrepreneurial firms in some FCC auctions. For example, a 25% bidding credit would mean that if an entrepreneurial firm submitted a winning bid of USD 1</w:t>
      </w:r>
      <w:r w:rsidRPr="00BD6197">
        <w:rPr>
          <w:rFonts w:ascii="Tms Rmn" w:hAnsi="Tms Rmn"/>
          <w:sz w:val="12"/>
          <w:lang w:val="en-US"/>
        </w:rPr>
        <w:t> </w:t>
      </w:r>
      <w:r w:rsidRPr="00BD6197">
        <w:rPr>
          <w:lang w:val="en-US"/>
        </w:rPr>
        <w:t>000</w:t>
      </w:r>
      <w:r w:rsidRPr="00BD6197">
        <w:rPr>
          <w:rFonts w:ascii="Tms Rmn" w:hAnsi="Tms Rmn"/>
          <w:sz w:val="12"/>
          <w:lang w:val="en-US"/>
        </w:rPr>
        <w:t> </w:t>
      </w:r>
      <w:r w:rsidRPr="00BD6197">
        <w:rPr>
          <w:lang w:val="en-US"/>
        </w:rPr>
        <w:t>000, it would pay only USD 750</w:t>
      </w:r>
      <w:r w:rsidRPr="00BD6197">
        <w:rPr>
          <w:rFonts w:ascii="Tms Rmn" w:hAnsi="Tms Rmn"/>
          <w:sz w:val="12"/>
          <w:lang w:val="en-US"/>
        </w:rPr>
        <w:t> </w:t>
      </w:r>
      <w:r w:rsidRPr="00BD6197">
        <w:rPr>
          <w:lang w:val="en-US"/>
        </w:rPr>
        <w:t xml:space="preserve">000. Originally, bidding credits were also proposed for women and racial minorities; however, the FCC dropped this proposal after the United States of America Supreme Court’s </w:t>
      </w:r>
      <w:r w:rsidRPr="00BD6197">
        <w:rPr>
          <w:i/>
          <w:lang w:val="en-US"/>
        </w:rPr>
        <w:t xml:space="preserve">Adarand </w:t>
      </w:r>
      <w:r w:rsidRPr="00BD6197">
        <w:rPr>
          <w:lang w:val="en-US"/>
        </w:rPr>
        <w:t>decision, which declared that such preferences were discriminatory, and therefore illegal.</w:t>
      </w:r>
    </w:p>
    <w:p w:rsidR="0041268E" w:rsidRPr="00BD6197" w:rsidRDefault="0041268E" w:rsidP="0041268E">
      <w:pPr>
        <w:rPr>
          <w:b/>
          <w:lang w:val="en-US"/>
        </w:rPr>
      </w:pPr>
      <w:r w:rsidRPr="00BD6197">
        <w:rPr>
          <w:b/>
          <w:lang w:val="en-US"/>
        </w:rPr>
        <w:t>Differential rent</w:t>
      </w:r>
      <w:r w:rsidRPr="00BD6197">
        <w:rPr>
          <w:bCs/>
          <w:lang w:val="en-US"/>
        </w:rPr>
        <w:t>:  </w:t>
      </w:r>
      <w:r w:rsidRPr="00BD6197">
        <w:rPr>
          <w:lang w:val="en-US"/>
        </w:rPr>
        <w:t>Rent attributable to varying characteristics of a resource, e.g., more desirable propagation characteristics in one frequency band than another frequency band.</w:t>
      </w:r>
    </w:p>
    <w:p w:rsidR="0041268E" w:rsidRPr="00BD6197" w:rsidRDefault="0041268E" w:rsidP="0041268E">
      <w:pPr>
        <w:rPr>
          <w:lang w:val="en-US"/>
        </w:rPr>
      </w:pPr>
      <w:r w:rsidRPr="00BD6197">
        <w:rPr>
          <w:b/>
          <w:lang w:val="en-US"/>
        </w:rPr>
        <w:t>First-come, first-served</w:t>
      </w:r>
      <w:r w:rsidRPr="00BD6197">
        <w:rPr>
          <w:bCs/>
          <w:lang w:val="en-US"/>
        </w:rPr>
        <w:t>:  </w:t>
      </w:r>
      <w:r w:rsidRPr="00BD6197">
        <w:rPr>
          <w:lang w:val="en-US"/>
        </w:rPr>
        <w:t>An assignment procedure in which spectrum is assigned to applicants until it is exhausted, subject only to compliance with minimum technical or financial criteria. This procedure has tended to be used for small scale assignments, such as individual private business radio and fixed links licences. It works best where spectrum is not scarce.</w:t>
      </w:r>
    </w:p>
    <w:p w:rsidR="0041268E" w:rsidRPr="00BD6197" w:rsidRDefault="0041268E" w:rsidP="0041268E">
      <w:pPr>
        <w:rPr>
          <w:lang w:val="en-US"/>
        </w:rPr>
      </w:pPr>
      <w:r w:rsidRPr="00BD6197">
        <w:rPr>
          <w:b/>
          <w:lang w:val="en-US"/>
        </w:rPr>
        <w:t>Gross domestic product (GDP)</w:t>
      </w:r>
      <w:r w:rsidRPr="00BD6197">
        <w:rPr>
          <w:bCs/>
          <w:lang w:val="en-US"/>
        </w:rPr>
        <w:t>:  </w:t>
      </w:r>
      <w:r w:rsidRPr="00BD6197">
        <w:rPr>
          <w:lang w:val="en-US"/>
        </w:rPr>
        <w:t>The sum of the value of all final goods and services sold within the geographic borders of a country in a year.</w:t>
      </w:r>
    </w:p>
    <w:p w:rsidR="0041268E" w:rsidRPr="00BD6197" w:rsidRDefault="0041268E" w:rsidP="0041268E">
      <w:pPr>
        <w:rPr>
          <w:lang w:val="en-US"/>
        </w:rPr>
      </w:pPr>
      <w:r w:rsidRPr="00BD6197">
        <w:rPr>
          <w:b/>
          <w:lang w:val="en-US"/>
        </w:rPr>
        <w:t>Lottery</w:t>
      </w:r>
      <w:r w:rsidRPr="00BD6197">
        <w:rPr>
          <w:bCs/>
          <w:lang w:val="en-US"/>
        </w:rPr>
        <w:t>:  </w:t>
      </w:r>
      <w:r w:rsidRPr="00BD6197">
        <w:rPr>
          <w:lang w:val="en-US"/>
        </w:rPr>
        <w:t xml:space="preserve">A process for assigning </w:t>
      </w:r>
      <w:r w:rsidRPr="00BD6197">
        <w:rPr>
          <w:i/>
          <w:lang w:val="en-US"/>
        </w:rPr>
        <w:t xml:space="preserve">apparatus licences </w:t>
      </w:r>
      <w:r w:rsidRPr="00BD6197">
        <w:rPr>
          <w:lang w:val="en-US"/>
        </w:rPr>
        <w:t xml:space="preserve">or </w:t>
      </w:r>
      <w:r w:rsidRPr="00BD6197">
        <w:rPr>
          <w:i/>
          <w:lang w:val="en-US"/>
        </w:rPr>
        <w:t xml:space="preserve">spectrum rights </w:t>
      </w:r>
      <w:r w:rsidRPr="00BD6197">
        <w:rPr>
          <w:lang w:val="en-US"/>
        </w:rPr>
        <w:t xml:space="preserve">to applicants selected at random. </w:t>
      </w:r>
      <w:r w:rsidRPr="00BD6197">
        <w:rPr>
          <w:i/>
          <w:lang w:val="en-US"/>
        </w:rPr>
        <w:t>Lotteries</w:t>
      </w:r>
      <w:r w:rsidRPr="00BD6197">
        <w:rPr>
          <w:lang w:val="en-US"/>
        </w:rPr>
        <w:t xml:space="preserve"> have the advantage of speed and simplicity but they are unlikely to lead to an economically optimum outcome and can give rise to speculative applications because of the prospect of windfall gains.</w:t>
      </w:r>
    </w:p>
    <w:p w:rsidR="0041268E" w:rsidRPr="00BD6197" w:rsidRDefault="0041268E" w:rsidP="0041268E">
      <w:pPr>
        <w:rPr>
          <w:lang w:val="en-US"/>
        </w:rPr>
      </w:pPr>
      <w:r w:rsidRPr="00BD6197">
        <w:rPr>
          <w:b/>
          <w:lang w:val="en-US"/>
        </w:rPr>
        <w:t>Mutual exclusivity</w:t>
      </w:r>
      <w:r w:rsidRPr="00BD6197">
        <w:rPr>
          <w:bCs/>
          <w:lang w:val="en-US"/>
        </w:rPr>
        <w:t>:  </w:t>
      </w:r>
      <w:r w:rsidRPr="00BD6197">
        <w:rPr>
          <w:lang w:val="en-US"/>
        </w:rPr>
        <w:t>A situation in which two or more applicants are competing for the same spectrum assignment.</w:t>
      </w:r>
    </w:p>
    <w:p w:rsidR="0041268E" w:rsidRPr="00BD6197" w:rsidRDefault="0041268E" w:rsidP="0041268E">
      <w:pPr>
        <w:rPr>
          <w:lang w:val="en-US"/>
        </w:rPr>
      </w:pPr>
      <w:r w:rsidRPr="00BD6197">
        <w:rPr>
          <w:b/>
          <w:lang w:val="en-US"/>
        </w:rPr>
        <w:t>Oligopoly</w:t>
      </w:r>
      <w:r w:rsidRPr="00BD6197">
        <w:rPr>
          <w:bCs/>
          <w:lang w:val="en-US"/>
        </w:rPr>
        <w:t>:  </w:t>
      </w:r>
      <w:r w:rsidRPr="00BD6197">
        <w:rPr>
          <w:lang w:val="en-US"/>
        </w:rPr>
        <w:t>A situation in which only a small number of firms are supplying a product or service. This situation may be contrasted with a monopoly situation, in which there is only one firm supplying a product or service.</w:t>
      </w:r>
    </w:p>
    <w:p w:rsidR="0041268E" w:rsidRPr="00BD6197" w:rsidRDefault="0041268E" w:rsidP="0041268E">
      <w:pPr>
        <w:rPr>
          <w:lang w:val="en-US"/>
        </w:rPr>
      </w:pPr>
      <w:r w:rsidRPr="00BD6197">
        <w:rPr>
          <w:b/>
          <w:lang w:val="en-US"/>
        </w:rPr>
        <w:t>Opportunity cost</w:t>
      </w:r>
      <w:r w:rsidRPr="00BD6197">
        <w:rPr>
          <w:bCs/>
          <w:lang w:val="en-US"/>
        </w:rPr>
        <w:t>:  </w:t>
      </w:r>
      <w:r w:rsidRPr="00BD6197">
        <w:rPr>
          <w:lang w:val="en-US"/>
        </w:rPr>
        <w:t>The benefits foregone by not putting a resource to its best alternative use. For example, the best alternative use of a frequency band currently used for a broadcast service might be for a mobile service. In an auction, the bidder with the highest willingness to pay will generally win, with a bid that is just above the valuation of the bidder with the second highest willingness to pay. This second highest valuation represents the opportunity cost.</w:t>
      </w:r>
    </w:p>
    <w:p w:rsidR="0041268E" w:rsidRPr="00BD6197" w:rsidRDefault="0041268E" w:rsidP="0041268E">
      <w:pPr>
        <w:rPr>
          <w:lang w:val="en-US"/>
        </w:rPr>
      </w:pPr>
      <w:r w:rsidRPr="00BD6197">
        <w:rPr>
          <w:b/>
          <w:lang w:val="en-US"/>
        </w:rPr>
        <w:t>Resource rents</w:t>
      </w:r>
      <w:r w:rsidRPr="00BD6197">
        <w:rPr>
          <w:bCs/>
          <w:lang w:val="en-US"/>
        </w:rPr>
        <w:t>:  </w:t>
      </w:r>
      <w:r w:rsidRPr="00BD6197">
        <w:rPr>
          <w:lang w:val="en-US"/>
        </w:rPr>
        <w:t>The term economists use to categorize the value of a resource. The rent accruing to a resource right, such as a spectrum right, can be quantified by the price that the right would sell for in an open market.</w:t>
      </w:r>
    </w:p>
    <w:p w:rsidR="0041268E" w:rsidRPr="00BD6197" w:rsidRDefault="0041268E" w:rsidP="0041268E">
      <w:pPr>
        <w:rPr>
          <w:lang w:val="en-US"/>
        </w:rPr>
      </w:pPr>
      <w:r w:rsidRPr="00BD6197">
        <w:rPr>
          <w:b/>
          <w:lang w:val="en-US"/>
        </w:rPr>
        <w:t>Scarcity rent</w:t>
      </w:r>
      <w:r w:rsidRPr="00BD6197">
        <w:rPr>
          <w:bCs/>
          <w:lang w:val="en-US"/>
        </w:rPr>
        <w:t>:  </w:t>
      </w:r>
      <w:r w:rsidRPr="00BD6197">
        <w:rPr>
          <w:lang w:val="en-US"/>
        </w:rPr>
        <w:t>Rent attributable to a resource demand exceeding supply at zero price.</w:t>
      </w:r>
    </w:p>
    <w:p w:rsidR="0041268E" w:rsidRPr="00BD6197" w:rsidRDefault="0041268E" w:rsidP="0041268E">
      <w:pPr>
        <w:rPr>
          <w:b/>
          <w:lang w:val="en-US"/>
        </w:rPr>
      </w:pPr>
      <w:r w:rsidRPr="00BD6197">
        <w:rPr>
          <w:b/>
          <w:lang w:val="en-US"/>
        </w:rPr>
        <w:t>Secondary trading</w:t>
      </w:r>
      <w:r w:rsidRPr="00BD6197">
        <w:rPr>
          <w:bCs/>
          <w:lang w:val="en-US"/>
        </w:rPr>
        <w:t>:  </w:t>
      </w:r>
      <w:r w:rsidRPr="00BD6197">
        <w:rPr>
          <w:lang w:val="en-US"/>
        </w:rPr>
        <w:t xml:space="preserve">Buying and selling of </w:t>
      </w:r>
      <w:r w:rsidRPr="00BD6197">
        <w:rPr>
          <w:i/>
          <w:lang w:val="en-US"/>
        </w:rPr>
        <w:t xml:space="preserve">apparatus licences </w:t>
      </w:r>
      <w:r w:rsidRPr="00BD6197">
        <w:rPr>
          <w:lang w:val="en-US"/>
        </w:rPr>
        <w:t xml:space="preserve">or </w:t>
      </w:r>
      <w:r w:rsidRPr="00BD6197">
        <w:rPr>
          <w:i/>
          <w:lang w:val="en-US"/>
        </w:rPr>
        <w:t>spectrum rights</w:t>
      </w:r>
      <w:r w:rsidRPr="00BD6197">
        <w:rPr>
          <w:lang w:val="en-US"/>
        </w:rPr>
        <w:t xml:space="preserve"> after initial assignment by the spectrum manager. Dealing may take place directly between the parties or through an intermediary.</w:t>
      </w:r>
    </w:p>
    <w:p w:rsidR="0041268E" w:rsidRPr="00BD6197" w:rsidRDefault="0041268E" w:rsidP="0041268E">
      <w:pPr>
        <w:rPr>
          <w:b/>
          <w:lang w:val="en-US"/>
        </w:rPr>
      </w:pPr>
      <w:r w:rsidRPr="00BD6197">
        <w:rPr>
          <w:b/>
          <w:lang w:val="en-US"/>
        </w:rPr>
        <w:t>Shadow pricing</w:t>
      </w:r>
      <w:r w:rsidRPr="00BD6197">
        <w:rPr>
          <w:bCs/>
          <w:lang w:val="en-US"/>
        </w:rPr>
        <w:t>:  </w:t>
      </w:r>
      <w:r w:rsidRPr="00BD6197">
        <w:rPr>
          <w:lang w:val="en-US"/>
        </w:rPr>
        <w:t>A form of administrative pricing in which the price is set according to a predetermined formula intended to mimic the effect of market forces. Parameters commonly used include bandwidth, frequency location, geographical location and coverage area.</w:t>
      </w:r>
    </w:p>
    <w:p w:rsidR="0041268E" w:rsidRPr="00BD6197" w:rsidRDefault="0041268E" w:rsidP="0041268E">
      <w:pPr>
        <w:rPr>
          <w:lang w:val="en-US"/>
        </w:rPr>
      </w:pPr>
      <w:r w:rsidRPr="00BD6197">
        <w:rPr>
          <w:b/>
          <w:lang w:val="en-US"/>
        </w:rPr>
        <w:lastRenderedPageBreak/>
        <w:t>Spectrum pricing</w:t>
      </w:r>
      <w:r w:rsidRPr="00BD6197">
        <w:rPr>
          <w:bCs/>
          <w:lang w:val="en-US"/>
        </w:rPr>
        <w:t>:  </w:t>
      </w:r>
      <w:r w:rsidRPr="00BD6197">
        <w:rPr>
          <w:lang w:val="en-US"/>
        </w:rPr>
        <w:t xml:space="preserve">A generic term currently used to denote the denoting of the use of pricing as a spectrum management tool. It covers both </w:t>
      </w:r>
      <w:r w:rsidRPr="00BD6197">
        <w:rPr>
          <w:i/>
          <w:lang w:val="en-US"/>
        </w:rPr>
        <w:t>administrative incentive pricing</w:t>
      </w:r>
      <w:r w:rsidRPr="00BD6197">
        <w:rPr>
          <w:lang w:val="en-US"/>
        </w:rPr>
        <w:t xml:space="preserve"> and </w:t>
      </w:r>
      <w:r w:rsidRPr="00BD6197">
        <w:rPr>
          <w:i/>
          <w:lang w:val="en-US"/>
        </w:rPr>
        <w:t>auctions</w:t>
      </w:r>
      <w:r w:rsidRPr="00BD6197">
        <w:rPr>
          <w:lang w:val="en-US"/>
        </w:rPr>
        <w:t xml:space="preserve"> of either </w:t>
      </w:r>
      <w:r w:rsidRPr="00BD6197">
        <w:rPr>
          <w:i/>
          <w:lang w:val="en-US"/>
        </w:rPr>
        <w:t>apparatus licences</w:t>
      </w:r>
      <w:r w:rsidRPr="00BD6197">
        <w:rPr>
          <w:lang w:val="en-US"/>
        </w:rPr>
        <w:t xml:space="preserve"> or </w:t>
      </w:r>
      <w:r w:rsidRPr="00BD6197">
        <w:rPr>
          <w:i/>
          <w:lang w:val="en-US"/>
        </w:rPr>
        <w:t>spectrum rights</w:t>
      </w:r>
      <w:r w:rsidRPr="00BD6197">
        <w:rPr>
          <w:lang w:val="en-US"/>
        </w:rPr>
        <w:t xml:space="preserve">. Under </w:t>
      </w:r>
      <w:r w:rsidRPr="00BD6197">
        <w:rPr>
          <w:i/>
          <w:lang w:val="en-US"/>
        </w:rPr>
        <w:t>spectrum pricing</w:t>
      </w:r>
      <w:r w:rsidRPr="00BD6197">
        <w:rPr>
          <w:lang w:val="en-US"/>
        </w:rPr>
        <w:t>, charges are not set by reference to the fully allocated costs of spectrum management attributable to particular user categories but are intended to balance supply of and demand for spectrum or to achieve other spectrum management policy objectives, such as facilitating the introduction of new services or promoting competition.</w:t>
      </w:r>
    </w:p>
    <w:p w:rsidR="0041268E" w:rsidRPr="00BD6197" w:rsidRDefault="0041268E" w:rsidP="0041268E">
      <w:pPr>
        <w:rPr>
          <w:lang w:val="en-US"/>
        </w:rPr>
      </w:pPr>
      <w:r w:rsidRPr="00BD6197">
        <w:rPr>
          <w:b/>
          <w:lang w:val="en-US"/>
        </w:rPr>
        <w:t>Spectrum rights</w:t>
      </w:r>
      <w:r w:rsidRPr="00BD6197">
        <w:rPr>
          <w:bCs/>
          <w:lang w:val="en-US"/>
        </w:rPr>
        <w:t>:  </w:t>
      </w:r>
      <w:r w:rsidRPr="00BD6197">
        <w:rPr>
          <w:lang w:val="en-US"/>
        </w:rPr>
        <w:t xml:space="preserve">The right, analogous to a property right, to use a specified frequency or range of frequencies in a particular location or throughout a nation or region for a particular time period within the ITU Radio Regulations. Where such rights have been introduced, restrictions on the type of equipment to be used or service to be provided may be minimal apart from technical non-interference conditions in relation to adjacent </w:t>
      </w:r>
      <w:r w:rsidRPr="00BD6197">
        <w:rPr>
          <w:i/>
          <w:lang w:val="en-US"/>
        </w:rPr>
        <w:t>spectrum rights</w:t>
      </w:r>
      <w:r w:rsidRPr="00BD6197">
        <w:rPr>
          <w:lang w:val="en-US"/>
        </w:rPr>
        <w:t xml:space="preserve">. It may be possible to assemble </w:t>
      </w:r>
      <w:r w:rsidRPr="00BD6197">
        <w:rPr>
          <w:i/>
          <w:lang w:val="en-US"/>
        </w:rPr>
        <w:t>spectrum rights</w:t>
      </w:r>
      <w:r w:rsidRPr="00BD6197">
        <w:rPr>
          <w:lang w:val="en-US"/>
        </w:rPr>
        <w:t xml:space="preserve"> to provide increased bandwidth or coverage area or both.</w:t>
      </w:r>
    </w:p>
    <w:p w:rsidR="0041268E" w:rsidRPr="00BD6197" w:rsidRDefault="0041268E" w:rsidP="0041268E">
      <w:pPr>
        <w:rPr>
          <w:lang w:val="en-US"/>
        </w:rPr>
      </w:pPr>
      <w:r w:rsidRPr="00BD6197">
        <w:rPr>
          <w:b/>
          <w:lang w:val="en-US"/>
        </w:rPr>
        <w:t>Threshold qualifications</w:t>
      </w:r>
      <w:r w:rsidRPr="00BD6197">
        <w:rPr>
          <w:bCs/>
          <w:lang w:val="en-US"/>
        </w:rPr>
        <w:t>:  </w:t>
      </w:r>
      <w:r w:rsidRPr="00BD6197">
        <w:rPr>
          <w:lang w:val="en-US"/>
        </w:rPr>
        <w:t>Qualifications that are a prerequisite to participate in some process, such as a lottery or auction. Threshold qualifications may include financial and technical viability, and a service plan that satisfies certain social goals.</w:t>
      </w:r>
    </w:p>
    <w:p w:rsidR="0041268E" w:rsidRPr="00BD6197" w:rsidRDefault="0041268E" w:rsidP="0041268E">
      <w:pPr>
        <w:rPr>
          <w:lang w:val="en-US"/>
        </w:rPr>
      </w:pPr>
      <w:r w:rsidRPr="00BD6197">
        <w:rPr>
          <w:b/>
          <w:lang w:val="en-US"/>
        </w:rPr>
        <w:t>Unjust enrichment</w:t>
      </w:r>
      <w:r w:rsidRPr="00BD6197">
        <w:rPr>
          <w:bCs/>
          <w:lang w:val="en-US"/>
        </w:rPr>
        <w:t>:  </w:t>
      </w:r>
      <w:r w:rsidRPr="00BD6197">
        <w:rPr>
          <w:lang w:val="en-US"/>
        </w:rPr>
        <w:t>An award, such as the award of a valuable frequency assignment, to a person or company that exceeds that person’s or company’s entitlement to the award.</w:t>
      </w:r>
    </w:p>
    <w:p w:rsidR="0041268E" w:rsidRPr="00BD6197" w:rsidRDefault="0041268E" w:rsidP="0041268E">
      <w:pPr>
        <w:rPr>
          <w:lang w:val="en-US"/>
        </w:rPr>
      </w:pPr>
      <w:r w:rsidRPr="00BD6197">
        <w:rPr>
          <w:b/>
          <w:lang w:val="en-US"/>
        </w:rPr>
        <w:t>Winner’s curse</w:t>
      </w:r>
      <w:r w:rsidRPr="00BD6197">
        <w:rPr>
          <w:bCs/>
          <w:lang w:val="en-US"/>
        </w:rPr>
        <w:t>:  </w:t>
      </w:r>
      <w:r w:rsidRPr="00BD6197">
        <w:rPr>
          <w:lang w:val="en-US"/>
        </w:rPr>
        <w:t xml:space="preserve">A possible effect of an auction, most commonly a sealed-bid auction. Assuming that some bidders will overestimate the value of the lot, the winner may be the most optimistic rather than the most </w:t>
      </w:r>
      <w:r w:rsidR="00FF51D2" w:rsidRPr="00BD6197">
        <w:rPr>
          <w:lang w:val="en-US"/>
        </w:rPr>
        <w:t>skillful</w:t>
      </w:r>
      <w:r w:rsidRPr="00BD6197">
        <w:rPr>
          <w:lang w:val="en-US"/>
        </w:rPr>
        <w:t xml:space="preserve"> in assessing the value of the lot. In a sealed-bid auction, auction proceeds may be reduced as bidders attempt to minimize this effect. </w:t>
      </w:r>
      <w:r w:rsidRPr="00BD6197">
        <w:rPr>
          <w:i/>
          <w:lang w:val="en-US"/>
        </w:rPr>
        <w:t>Winner’s curse</w:t>
      </w:r>
      <w:r w:rsidRPr="00BD6197">
        <w:rPr>
          <w:lang w:val="en-US"/>
        </w:rPr>
        <w:t xml:space="preserve"> can be reduced or eliminated by careful design, particularly by using multiple round auctions (see </w:t>
      </w:r>
      <w:r w:rsidRPr="00BD6197">
        <w:rPr>
          <w:i/>
          <w:lang w:val="en-US"/>
        </w:rPr>
        <w:t>simultaneous multi-round auction</w:t>
      </w:r>
      <w:r w:rsidRPr="00BD6197">
        <w:rPr>
          <w:lang w:val="en-US"/>
        </w:rPr>
        <w:t>).</w:t>
      </w:r>
    </w:p>
    <w:p w:rsidR="0041268E" w:rsidRPr="00BD6197" w:rsidRDefault="0041268E" w:rsidP="0041268E">
      <w:pPr>
        <w:rPr>
          <w:lang w:val="en-US"/>
        </w:rPr>
      </w:pPr>
    </w:p>
    <w:p w:rsidR="0041268E" w:rsidRPr="00BD6197" w:rsidRDefault="0041268E" w:rsidP="0041268E">
      <w:pPr>
        <w:rPr>
          <w:lang w:val="en-US"/>
        </w:rPr>
      </w:pPr>
    </w:p>
    <w:p w:rsidR="0041268E" w:rsidRPr="00BD6197" w:rsidRDefault="0041268E" w:rsidP="0041268E">
      <w:pPr>
        <w:rPr>
          <w:lang w:val="en-US"/>
        </w:rPr>
      </w:pPr>
    </w:p>
    <w:p w:rsidR="0041268E" w:rsidRPr="00BD6197" w:rsidRDefault="0041268E" w:rsidP="0041268E">
      <w:pPr>
        <w:pStyle w:val="AnnexNoTitle"/>
        <w:rPr>
          <w:lang w:val="en-US"/>
        </w:rPr>
      </w:pPr>
      <w:bookmarkStart w:id="2373" w:name="_Toc289868886"/>
      <w:bookmarkStart w:id="2374" w:name="_Toc289933399"/>
      <w:bookmarkStart w:id="2375" w:name="_Toc291852962"/>
      <w:bookmarkStart w:id="2376" w:name="_Toc392515946"/>
      <w:bookmarkStart w:id="2377" w:name="_Toc462234189"/>
      <w:bookmarkStart w:id="2378" w:name="_Toc518394282"/>
      <w:r w:rsidRPr="00BD6197">
        <w:rPr>
          <w:lang w:val="en-US"/>
        </w:rPr>
        <w:t>Annex 1</w:t>
      </w:r>
      <w:bookmarkEnd w:id="2373"/>
      <w:bookmarkEnd w:id="2374"/>
      <w:bookmarkEnd w:id="2375"/>
      <w:bookmarkEnd w:id="2376"/>
      <w:bookmarkEnd w:id="2377"/>
      <w:bookmarkEnd w:id="2378"/>
    </w:p>
    <w:p w:rsidR="0041268E" w:rsidRPr="00BD6197" w:rsidRDefault="0041268E" w:rsidP="0041268E">
      <w:pPr>
        <w:pStyle w:val="Heading3"/>
        <w:rPr>
          <w:lang w:val="en-US"/>
        </w:rPr>
      </w:pPr>
      <w:bookmarkStart w:id="2379" w:name="_Toc289868887"/>
      <w:bookmarkStart w:id="2380" w:name="_Toc289869046"/>
      <w:bookmarkStart w:id="2381" w:name="_Toc289932352"/>
      <w:bookmarkStart w:id="2382" w:name="_Toc289933400"/>
      <w:bookmarkStart w:id="2383" w:name="_Toc291852963"/>
      <w:bookmarkStart w:id="2384" w:name="_Toc392515947"/>
      <w:bookmarkStart w:id="2385" w:name="_Toc454285026"/>
      <w:bookmarkStart w:id="2386" w:name="_Toc462234190"/>
      <w:bookmarkStart w:id="2387" w:name="_Toc518394283"/>
      <w:r w:rsidRPr="00BD6197">
        <w:rPr>
          <w:lang w:val="en-US"/>
        </w:rPr>
        <w:t>A.1.1</w:t>
      </w:r>
      <w:r w:rsidRPr="00BD6197">
        <w:rPr>
          <w:lang w:val="en-US"/>
        </w:rPr>
        <w:tab/>
        <w:t>Spectrum Fees Regulations of the United Arab Emirates</w:t>
      </w:r>
      <w:bookmarkEnd w:id="2379"/>
      <w:bookmarkEnd w:id="2380"/>
      <w:bookmarkEnd w:id="2381"/>
      <w:bookmarkEnd w:id="2382"/>
      <w:bookmarkEnd w:id="2383"/>
      <w:bookmarkEnd w:id="2384"/>
      <w:bookmarkEnd w:id="2385"/>
      <w:bookmarkEnd w:id="2386"/>
      <w:bookmarkEnd w:id="2387"/>
    </w:p>
    <w:p w:rsidR="0041268E" w:rsidRPr="00BD6197" w:rsidRDefault="0041268E" w:rsidP="0041268E">
      <w:pPr>
        <w:pStyle w:val="ArtNo"/>
        <w:rPr>
          <w:lang w:val="en-US"/>
        </w:rPr>
      </w:pPr>
      <w:r w:rsidRPr="00BD6197">
        <w:rPr>
          <w:lang w:val="en-US"/>
        </w:rPr>
        <w:t>ARTICLE (1)</w:t>
      </w:r>
    </w:p>
    <w:p w:rsidR="0041268E" w:rsidRPr="00BD6197" w:rsidRDefault="0041268E" w:rsidP="0041268E">
      <w:pPr>
        <w:pStyle w:val="Arttitle"/>
        <w:rPr>
          <w:lang w:val="en-US"/>
        </w:rPr>
      </w:pPr>
      <w:bookmarkStart w:id="2388" w:name="_Toc237657972"/>
      <w:r w:rsidRPr="00BD6197">
        <w:rPr>
          <w:lang w:val="en-US"/>
        </w:rPr>
        <w:t>Purpose</w:t>
      </w:r>
      <w:bookmarkEnd w:id="2388"/>
    </w:p>
    <w:p w:rsidR="0041268E" w:rsidRPr="00BD6197" w:rsidRDefault="0041268E" w:rsidP="0041268E">
      <w:pPr>
        <w:pStyle w:val="enumlev1"/>
        <w:rPr>
          <w:lang w:val="en-US"/>
        </w:rPr>
      </w:pPr>
      <w:r w:rsidRPr="00BD6197">
        <w:rPr>
          <w:lang w:val="en-US"/>
        </w:rPr>
        <w:t>1.1</w:t>
      </w:r>
      <w:r w:rsidRPr="00BD6197">
        <w:rPr>
          <w:lang w:val="en-US"/>
        </w:rPr>
        <w:tab/>
        <w:t>In accordance with the Federal Law by Decree No. 3 of 2003 as amended and its Executive Order, these Regulations sets the spectrum Fees schedule for Frequency Spectrum and Wireless Equipment</w:t>
      </w:r>
      <w:r w:rsidRPr="00BD6197" w:rsidDel="00475BFE">
        <w:rPr>
          <w:lang w:val="en-US"/>
        </w:rPr>
        <w:t xml:space="preserve"> </w:t>
      </w:r>
      <w:r w:rsidRPr="00BD6197">
        <w:rPr>
          <w:lang w:val="en-US"/>
        </w:rPr>
        <w:t>Authorization. The spectrum Fees shall be collected in advance for applying, registering, authorizing, issuing or renewing Authorization, unless exempted in these Regulations.</w:t>
      </w:r>
    </w:p>
    <w:p w:rsidR="0041268E" w:rsidRPr="00BD6197" w:rsidRDefault="0041268E" w:rsidP="0041268E">
      <w:pPr>
        <w:pStyle w:val="ArtNo"/>
        <w:rPr>
          <w:lang w:val="en-US"/>
        </w:rPr>
      </w:pPr>
      <w:r w:rsidRPr="00BD6197">
        <w:rPr>
          <w:lang w:val="en-US"/>
        </w:rPr>
        <w:lastRenderedPageBreak/>
        <w:t>ARTICLE (2)</w:t>
      </w:r>
    </w:p>
    <w:p w:rsidR="0041268E" w:rsidRPr="00BD6197" w:rsidRDefault="0041268E" w:rsidP="0041268E">
      <w:pPr>
        <w:pStyle w:val="Arttitle"/>
        <w:rPr>
          <w:lang w:val="en-US"/>
        </w:rPr>
      </w:pPr>
      <w:bookmarkStart w:id="2389" w:name="_Toc237657973"/>
      <w:r w:rsidRPr="00BD6197">
        <w:rPr>
          <w:lang w:val="en-US"/>
        </w:rPr>
        <w:t>Definitions</w:t>
      </w:r>
      <w:bookmarkEnd w:id="2389"/>
    </w:p>
    <w:p w:rsidR="0041268E" w:rsidRPr="00BD6197" w:rsidRDefault="0041268E" w:rsidP="0041268E">
      <w:pPr>
        <w:pStyle w:val="enumlev1"/>
        <w:keepNext/>
        <w:keepLines/>
        <w:rPr>
          <w:lang w:val="en-US"/>
        </w:rPr>
      </w:pPr>
      <w:r w:rsidRPr="00BD6197">
        <w:rPr>
          <w:lang w:val="en-US"/>
        </w:rPr>
        <w:t>2.1</w:t>
      </w:r>
      <w:r w:rsidRPr="00BD6197">
        <w:rPr>
          <w:lang w:val="en-US"/>
        </w:rPr>
        <w:tab/>
        <w:t>In applying these Regulations, the following terms shall have the following meanings unless the context requires otherwise, whereas any term undefined in the following shall be defined in line with the Federal Law by Decree No. 3 of 2003 as amended and its Executive Order:</w:t>
      </w:r>
    </w:p>
    <w:p w:rsidR="0041268E" w:rsidRPr="00BD6197" w:rsidRDefault="0041268E" w:rsidP="0041268E">
      <w:pPr>
        <w:pStyle w:val="enumlev1"/>
        <w:rPr>
          <w:lang w:val="en-US"/>
        </w:rPr>
      </w:pPr>
      <w:r w:rsidRPr="00BD6197">
        <w:rPr>
          <w:lang w:val="en-US"/>
        </w:rPr>
        <w:t>2.1.1</w:t>
      </w:r>
      <w:r w:rsidRPr="00BD6197">
        <w:rPr>
          <w:lang w:val="en-US"/>
        </w:rPr>
        <w:tab/>
      </w:r>
      <w:r w:rsidRPr="00BD6197">
        <w:rPr>
          <w:b/>
          <w:lang w:val="en-US"/>
        </w:rPr>
        <w:t>“Applicant”</w:t>
      </w:r>
      <w:r w:rsidRPr="00BD6197">
        <w:rPr>
          <w:lang w:val="en-US"/>
        </w:rPr>
        <w:t xml:space="preserve"> means any Person who has applied for a License or an Authorization in accordance with the Telecom Law or other Regulatory Instruments issued by the TRA.</w:t>
      </w:r>
    </w:p>
    <w:p w:rsidR="0041268E" w:rsidRPr="00BD6197" w:rsidRDefault="0041268E" w:rsidP="0041268E">
      <w:pPr>
        <w:pStyle w:val="enumlev1"/>
        <w:rPr>
          <w:lang w:val="en-US"/>
        </w:rPr>
      </w:pPr>
      <w:r w:rsidRPr="00BD6197">
        <w:rPr>
          <w:lang w:val="en-US"/>
        </w:rPr>
        <w:t>2.1.2</w:t>
      </w:r>
      <w:r w:rsidRPr="00BD6197">
        <w:rPr>
          <w:lang w:val="en-US"/>
        </w:rPr>
        <w:tab/>
      </w:r>
      <w:r w:rsidRPr="00BD6197">
        <w:rPr>
          <w:b/>
          <w:lang w:val="en-US"/>
        </w:rPr>
        <w:t xml:space="preserve">“Application” </w:t>
      </w:r>
      <w:r w:rsidRPr="00BD6197">
        <w:rPr>
          <w:lang w:val="en-US"/>
        </w:rPr>
        <w:t>means the request for issuance of a License or an Authorization, received at the TRA on prescribed forms as per the procedure in vogue.</w:t>
      </w:r>
    </w:p>
    <w:p w:rsidR="0041268E" w:rsidRPr="00BD6197" w:rsidRDefault="0041268E" w:rsidP="0041268E">
      <w:pPr>
        <w:pStyle w:val="enumlev1"/>
        <w:rPr>
          <w:b/>
          <w:lang w:val="en-US"/>
        </w:rPr>
      </w:pPr>
      <w:r w:rsidRPr="00BD6197">
        <w:rPr>
          <w:lang w:val="en-US"/>
        </w:rPr>
        <w:t>2.1.3</w:t>
      </w:r>
      <w:r w:rsidRPr="00BD6197">
        <w:rPr>
          <w:lang w:val="en-US"/>
        </w:rPr>
        <w:tab/>
      </w:r>
      <w:r w:rsidRPr="00BD6197">
        <w:rPr>
          <w:b/>
          <w:lang w:val="en-US"/>
        </w:rPr>
        <w:t xml:space="preserve">“Assigned Frequency” </w:t>
      </w:r>
      <w:r w:rsidRPr="00BD6197">
        <w:rPr>
          <w:lang w:val="en-US"/>
        </w:rPr>
        <w:t>means the centre of the frequency band assigned to a station by the TRA.</w:t>
      </w:r>
    </w:p>
    <w:p w:rsidR="0041268E" w:rsidRPr="00BD6197" w:rsidRDefault="0041268E" w:rsidP="0041268E">
      <w:pPr>
        <w:pStyle w:val="enumlev1"/>
        <w:rPr>
          <w:lang w:val="en-US"/>
        </w:rPr>
      </w:pPr>
      <w:r w:rsidRPr="00BD6197">
        <w:rPr>
          <w:lang w:val="en-US"/>
        </w:rPr>
        <w:t>2.1.4</w:t>
      </w:r>
      <w:r w:rsidRPr="00BD6197">
        <w:rPr>
          <w:lang w:val="en-US"/>
        </w:rPr>
        <w:tab/>
      </w:r>
      <w:r w:rsidRPr="00BD6197">
        <w:rPr>
          <w:b/>
          <w:lang w:val="en-US"/>
        </w:rPr>
        <w:t xml:space="preserve">“TRA” </w:t>
      </w:r>
      <w:r w:rsidRPr="00BD6197">
        <w:rPr>
          <w:lang w:val="en-US"/>
        </w:rPr>
        <w:t>means the General Authority for Regulating the Telecommunications Sector known as Telecommunications Regulatory Authority (TRA) established pursuant to the provisions of Article 6 of the UAE Federal Law by Decree No. 3 of 2003.</w:t>
      </w:r>
    </w:p>
    <w:p w:rsidR="0041268E" w:rsidRPr="00BD6197" w:rsidRDefault="0041268E" w:rsidP="0041268E">
      <w:pPr>
        <w:pStyle w:val="enumlev1"/>
        <w:rPr>
          <w:lang w:val="en-US"/>
        </w:rPr>
      </w:pPr>
      <w:r w:rsidRPr="00BD6197">
        <w:rPr>
          <w:lang w:val="en-US"/>
        </w:rPr>
        <w:t>2.1.5</w:t>
      </w:r>
      <w:r w:rsidRPr="00BD6197">
        <w:rPr>
          <w:lang w:val="en-US"/>
        </w:rPr>
        <w:tab/>
      </w:r>
      <w:r w:rsidRPr="00BD6197">
        <w:rPr>
          <w:b/>
          <w:lang w:val="en-US"/>
        </w:rPr>
        <w:t xml:space="preserve">“Authorization” </w:t>
      </w:r>
      <w:r w:rsidRPr="00BD6197">
        <w:rPr>
          <w:lang w:val="en-US"/>
        </w:rPr>
        <w:t>means a valid Frequency Spectrum Authorization granted by the TRA.</w:t>
      </w:r>
    </w:p>
    <w:p w:rsidR="0041268E" w:rsidRPr="00BD6197" w:rsidRDefault="0041268E" w:rsidP="0041268E">
      <w:pPr>
        <w:pStyle w:val="enumlev1"/>
        <w:rPr>
          <w:lang w:val="en-US"/>
        </w:rPr>
      </w:pPr>
      <w:r w:rsidRPr="00BD6197">
        <w:rPr>
          <w:lang w:val="en-US"/>
        </w:rPr>
        <w:t>2.1.6</w:t>
      </w:r>
      <w:r w:rsidRPr="00BD6197">
        <w:rPr>
          <w:lang w:val="en-US"/>
        </w:rPr>
        <w:tab/>
      </w:r>
      <w:r w:rsidRPr="00BD6197">
        <w:rPr>
          <w:b/>
          <w:lang w:val="en-US"/>
        </w:rPr>
        <w:t xml:space="preserve">“Authorized User” </w:t>
      </w:r>
      <w:r w:rsidRPr="00BD6197">
        <w:rPr>
          <w:lang w:val="en-US"/>
        </w:rPr>
        <w:t>means a Person that has been granted an Authorization by the TRA.</w:t>
      </w:r>
    </w:p>
    <w:p w:rsidR="0041268E" w:rsidRPr="00BD6197" w:rsidRDefault="0041268E" w:rsidP="0041268E">
      <w:pPr>
        <w:pStyle w:val="enumlev1"/>
        <w:rPr>
          <w:lang w:val="en-US"/>
        </w:rPr>
      </w:pPr>
      <w:r w:rsidRPr="00BD6197">
        <w:rPr>
          <w:lang w:val="en-US"/>
        </w:rPr>
        <w:t>2.1.7</w:t>
      </w:r>
      <w:r w:rsidRPr="00BD6197">
        <w:rPr>
          <w:lang w:val="en-US"/>
        </w:rPr>
        <w:tab/>
      </w:r>
      <w:r w:rsidRPr="00BD6197">
        <w:rPr>
          <w:b/>
          <w:lang w:val="en-US"/>
        </w:rPr>
        <w:t>“Class Authorization”</w:t>
      </w:r>
      <w:r w:rsidRPr="00BD6197">
        <w:rPr>
          <w:lang w:val="en-US"/>
        </w:rPr>
        <w:t xml:space="preserve"> means the Authorization which permits the operation of Wireless Equipment by any Person within designated frequency bands subject to the terms and conditions stipulated by the TRA.</w:t>
      </w:r>
    </w:p>
    <w:p w:rsidR="0041268E" w:rsidRPr="00BD6197" w:rsidRDefault="0041268E" w:rsidP="0041268E">
      <w:pPr>
        <w:pStyle w:val="enumlev1"/>
        <w:rPr>
          <w:lang w:val="en-US"/>
        </w:rPr>
      </w:pPr>
      <w:r w:rsidRPr="00BD6197">
        <w:rPr>
          <w:lang w:val="en-US"/>
        </w:rPr>
        <w:t>2.1.8</w:t>
      </w:r>
      <w:r w:rsidRPr="00BD6197">
        <w:rPr>
          <w:lang w:val="en-US"/>
        </w:rPr>
        <w:tab/>
      </w:r>
      <w:r w:rsidRPr="00BD6197">
        <w:rPr>
          <w:b/>
          <w:lang w:val="en-US"/>
        </w:rPr>
        <w:t>“National Spectrum Plan”</w:t>
      </w:r>
      <w:r w:rsidRPr="00BD6197">
        <w:rPr>
          <w:lang w:val="en-US"/>
        </w:rPr>
        <w:t xml:space="preserve"> means Radio Frequency Allocation plan for the UAE and any modifications thereof.</w:t>
      </w:r>
    </w:p>
    <w:p w:rsidR="0041268E" w:rsidRPr="00BD6197" w:rsidRDefault="0041268E" w:rsidP="0041268E">
      <w:pPr>
        <w:pStyle w:val="enumlev1"/>
        <w:rPr>
          <w:lang w:val="en-US"/>
        </w:rPr>
      </w:pPr>
      <w:r w:rsidRPr="00BD6197">
        <w:rPr>
          <w:lang w:val="en-US"/>
        </w:rPr>
        <w:t>2.1.9</w:t>
      </w:r>
      <w:r w:rsidRPr="00BD6197">
        <w:rPr>
          <w:lang w:val="en-US"/>
        </w:rPr>
        <w:tab/>
      </w:r>
      <w:r w:rsidRPr="00BD6197">
        <w:rPr>
          <w:b/>
          <w:lang w:val="en-US"/>
        </w:rPr>
        <w:t>“Person”</w:t>
      </w:r>
      <w:r w:rsidRPr="00BD6197">
        <w:rPr>
          <w:lang w:val="en-US"/>
        </w:rPr>
        <w:t xml:space="preserve"> will include “juridical entities” as well as “natural persons”.</w:t>
      </w:r>
    </w:p>
    <w:p w:rsidR="0041268E" w:rsidRPr="00BD6197" w:rsidRDefault="0041268E" w:rsidP="0041268E">
      <w:pPr>
        <w:pStyle w:val="enumlev1"/>
        <w:rPr>
          <w:lang w:val="en-US"/>
        </w:rPr>
      </w:pPr>
      <w:r w:rsidRPr="00BD6197">
        <w:rPr>
          <w:lang w:val="en-US"/>
        </w:rPr>
        <w:t>2.1.10</w:t>
      </w:r>
      <w:r w:rsidRPr="00BD6197">
        <w:rPr>
          <w:lang w:val="en-US"/>
        </w:rPr>
        <w:tab/>
      </w:r>
      <w:r w:rsidRPr="00BD6197">
        <w:rPr>
          <w:b/>
          <w:lang w:val="en-US"/>
        </w:rPr>
        <w:t xml:space="preserve">“Radiocommunication Service” </w:t>
      </w:r>
      <w:r w:rsidRPr="00BD6197">
        <w:rPr>
          <w:lang w:val="en-US"/>
        </w:rPr>
        <w:t>means the transmitting or receiving of Radio Frequency which may be used for the conveyance of data, or messages or voice or visual images, or for the operation or control of machinery or apparatus.</w:t>
      </w:r>
    </w:p>
    <w:p w:rsidR="0041268E" w:rsidRPr="00BD6197" w:rsidRDefault="0041268E" w:rsidP="0041268E">
      <w:pPr>
        <w:pStyle w:val="enumlev1"/>
        <w:rPr>
          <w:lang w:val="en-US"/>
        </w:rPr>
      </w:pPr>
      <w:r w:rsidRPr="00BD6197">
        <w:rPr>
          <w:lang w:val="en-US"/>
        </w:rPr>
        <w:t>2.1.11</w:t>
      </w:r>
      <w:r w:rsidRPr="00BD6197">
        <w:rPr>
          <w:lang w:val="en-US"/>
        </w:rPr>
        <w:tab/>
      </w:r>
      <w:r w:rsidRPr="00BD6197">
        <w:rPr>
          <w:b/>
          <w:lang w:val="en-US"/>
        </w:rPr>
        <w:t xml:space="preserve">“Radio Frequency” </w:t>
      </w:r>
      <w:r w:rsidRPr="00BD6197">
        <w:rPr>
          <w:lang w:val="en-US"/>
        </w:rPr>
        <w:t>means radiated electromagnetic energy measured in Hz or cycles/sec.</w:t>
      </w:r>
    </w:p>
    <w:p w:rsidR="0041268E" w:rsidRPr="00BD6197" w:rsidRDefault="0041268E" w:rsidP="0041268E">
      <w:pPr>
        <w:pStyle w:val="enumlev1"/>
        <w:rPr>
          <w:lang w:val="en-US"/>
        </w:rPr>
      </w:pPr>
      <w:r w:rsidRPr="00BD6197">
        <w:rPr>
          <w:lang w:val="en-US"/>
        </w:rPr>
        <w:t>2.1.12</w:t>
      </w:r>
      <w:r w:rsidRPr="00BD6197">
        <w:rPr>
          <w:lang w:val="en-US"/>
        </w:rPr>
        <w:tab/>
      </w:r>
      <w:r w:rsidRPr="00BD6197">
        <w:rPr>
          <w:b/>
          <w:lang w:val="en-US"/>
        </w:rPr>
        <w:t xml:space="preserve">“Frequency Spectrum Authorization” </w:t>
      </w:r>
      <w:r w:rsidRPr="00BD6197">
        <w:rPr>
          <w:lang w:val="en-US"/>
        </w:rPr>
        <w:t>means an authorization, which permits the use of Radio Frequency subject to terms and conditions as stipulated by the TRA.</w:t>
      </w:r>
    </w:p>
    <w:p w:rsidR="0041268E" w:rsidRPr="00BD6197" w:rsidRDefault="0041268E" w:rsidP="0041268E">
      <w:pPr>
        <w:pStyle w:val="enumlev1"/>
        <w:rPr>
          <w:lang w:val="en-US"/>
        </w:rPr>
      </w:pPr>
      <w:r w:rsidRPr="00BD6197">
        <w:rPr>
          <w:lang w:val="en-US"/>
        </w:rPr>
        <w:t>2.1.13</w:t>
      </w:r>
      <w:r w:rsidRPr="00BD6197">
        <w:rPr>
          <w:lang w:val="en-US"/>
        </w:rPr>
        <w:tab/>
      </w:r>
      <w:r w:rsidRPr="00BD6197">
        <w:rPr>
          <w:b/>
          <w:lang w:val="en-US"/>
        </w:rPr>
        <w:t>“Regulatory Instruments”</w:t>
      </w:r>
      <w:r w:rsidRPr="00BD6197">
        <w:rPr>
          <w:lang w:val="en-US"/>
        </w:rPr>
        <w:t xml:space="preserve"> means any instrument issued by the Authority under its powers, and includes without limitation; Regulations, violation decisions, directives, instructions, guidance and recommendations and regulatory policies.</w:t>
      </w:r>
    </w:p>
    <w:p w:rsidR="0041268E" w:rsidRPr="00BD6197" w:rsidRDefault="0041268E" w:rsidP="0041268E">
      <w:pPr>
        <w:pStyle w:val="enumlev1"/>
        <w:rPr>
          <w:lang w:val="en-US"/>
        </w:rPr>
      </w:pPr>
      <w:r w:rsidRPr="00BD6197">
        <w:rPr>
          <w:lang w:val="en-US"/>
        </w:rPr>
        <w:t>2.1.14</w:t>
      </w:r>
      <w:r w:rsidRPr="00BD6197">
        <w:rPr>
          <w:lang w:val="en-US"/>
        </w:rPr>
        <w:tab/>
      </w:r>
      <w:r w:rsidRPr="00BD6197">
        <w:rPr>
          <w:b/>
          <w:lang w:val="en-US"/>
        </w:rPr>
        <w:t xml:space="preserve">“Station” </w:t>
      </w:r>
      <w:r w:rsidRPr="00BD6197">
        <w:rPr>
          <w:lang w:val="en-US"/>
        </w:rPr>
        <w:t>means an installation operated by an Authorized User, for carrying on a Radiocommunication Service.</w:t>
      </w:r>
    </w:p>
    <w:p w:rsidR="0041268E" w:rsidRPr="00BD6197" w:rsidRDefault="0041268E" w:rsidP="0041268E">
      <w:pPr>
        <w:pStyle w:val="enumlev1"/>
        <w:rPr>
          <w:lang w:val="en-US"/>
        </w:rPr>
      </w:pPr>
      <w:r w:rsidRPr="00BD6197">
        <w:rPr>
          <w:lang w:val="en-US"/>
        </w:rPr>
        <w:t>2.1.15</w:t>
      </w:r>
      <w:r w:rsidRPr="00BD6197">
        <w:rPr>
          <w:lang w:val="en-US"/>
        </w:rPr>
        <w:tab/>
      </w:r>
      <w:r w:rsidRPr="00BD6197">
        <w:rPr>
          <w:b/>
          <w:lang w:val="en-US"/>
        </w:rPr>
        <w:t xml:space="preserve">“Temporary Authorization” </w:t>
      </w:r>
      <w:r w:rsidRPr="00BD6197">
        <w:rPr>
          <w:lang w:val="en-US"/>
        </w:rPr>
        <w:t>means an Authorization issued by the TRA which permits the use of Assigned Frequency for a period up to 90 days.</w:t>
      </w:r>
    </w:p>
    <w:p w:rsidR="0041268E" w:rsidRPr="00BD6197" w:rsidRDefault="0041268E" w:rsidP="0041268E">
      <w:pPr>
        <w:pStyle w:val="enumlev1"/>
        <w:rPr>
          <w:lang w:val="en-US"/>
        </w:rPr>
      </w:pPr>
      <w:r w:rsidRPr="00BD6197">
        <w:rPr>
          <w:lang w:val="en-US"/>
        </w:rPr>
        <w:t>2.1.16</w:t>
      </w:r>
      <w:r w:rsidRPr="00BD6197">
        <w:rPr>
          <w:lang w:val="en-US"/>
        </w:rPr>
        <w:tab/>
      </w:r>
      <w:r w:rsidRPr="00BD6197">
        <w:rPr>
          <w:b/>
          <w:lang w:val="en-US"/>
        </w:rPr>
        <w:t xml:space="preserve">“UAE” </w:t>
      </w:r>
      <w:r w:rsidRPr="00BD6197">
        <w:rPr>
          <w:lang w:val="en-US"/>
        </w:rPr>
        <w:t>means the United Arab Emirates including its territorial waters and the airspace above.</w:t>
      </w:r>
    </w:p>
    <w:p w:rsidR="0041268E" w:rsidRPr="00BD6197" w:rsidRDefault="0041268E" w:rsidP="0041268E">
      <w:pPr>
        <w:pStyle w:val="enumlev1"/>
        <w:rPr>
          <w:b/>
          <w:lang w:val="en-US"/>
        </w:rPr>
      </w:pPr>
      <w:r w:rsidRPr="00BD6197">
        <w:rPr>
          <w:lang w:val="en-US"/>
        </w:rPr>
        <w:t>2.1.17</w:t>
      </w:r>
      <w:r w:rsidRPr="00BD6197">
        <w:rPr>
          <w:lang w:val="en-US"/>
        </w:rPr>
        <w:tab/>
      </w:r>
      <w:r w:rsidRPr="00BD6197">
        <w:rPr>
          <w:b/>
          <w:lang w:val="en-US"/>
        </w:rPr>
        <w:t xml:space="preserve">“Wireless Equipment” </w:t>
      </w:r>
      <w:r w:rsidRPr="00BD6197">
        <w:rPr>
          <w:lang w:val="en-US"/>
        </w:rPr>
        <w:t>means a category of Telecommunication Apparatus used for Radiocommunication Service.</w:t>
      </w:r>
    </w:p>
    <w:p w:rsidR="0041268E" w:rsidRPr="00BD6197" w:rsidRDefault="0041268E" w:rsidP="0041268E">
      <w:pPr>
        <w:pStyle w:val="ArtNo"/>
        <w:rPr>
          <w:lang w:val="en-US"/>
        </w:rPr>
      </w:pPr>
      <w:r w:rsidRPr="00BD6197">
        <w:rPr>
          <w:lang w:val="en-US"/>
        </w:rPr>
        <w:lastRenderedPageBreak/>
        <w:t>ARTICLE (3)</w:t>
      </w:r>
    </w:p>
    <w:p w:rsidR="0041268E" w:rsidRPr="00BD6197" w:rsidRDefault="0041268E" w:rsidP="0041268E">
      <w:pPr>
        <w:pStyle w:val="Arttitle"/>
        <w:rPr>
          <w:lang w:val="en-US"/>
        </w:rPr>
      </w:pPr>
      <w:bookmarkStart w:id="2390" w:name="_Toc237657974"/>
      <w:r w:rsidRPr="00BD6197">
        <w:rPr>
          <w:lang w:val="en-US"/>
        </w:rPr>
        <w:t>Application processing Fees</w:t>
      </w:r>
      <w:bookmarkEnd w:id="2390"/>
    </w:p>
    <w:p w:rsidR="0041268E" w:rsidRPr="00BD6197" w:rsidRDefault="0041268E" w:rsidP="0041268E">
      <w:pPr>
        <w:pStyle w:val="enumlev1"/>
        <w:rPr>
          <w:lang w:val="en-US"/>
        </w:rPr>
      </w:pPr>
      <w:r w:rsidRPr="00BD6197">
        <w:rPr>
          <w:lang w:val="en-US"/>
        </w:rPr>
        <w:t>3.1</w:t>
      </w:r>
      <w:r w:rsidRPr="00BD6197">
        <w:rPr>
          <w:lang w:val="en-US"/>
        </w:rPr>
        <w:tab/>
        <w:t>Each Application for the Frequency Spectrum Authorization shall require an advance non-refundable payment of Five Hundred (500)</w:t>
      </w:r>
      <w:r w:rsidRPr="00BD6197">
        <w:rPr>
          <w:b/>
          <w:bCs/>
          <w:lang w:val="en-US"/>
        </w:rPr>
        <w:t xml:space="preserve"> </w:t>
      </w:r>
      <w:r w:rsidRPr="00BD6197">
        <w:rPr>
          <w:lang w:val="en-US"/>
        </w:rPr>
        <w:t>Dirhams for processing the Application, irrespective of the final status of the Application towards grant or rejection of the Application. The TRA may advise certain Governmental Entities, licensed operators or any major user to accumulate the Application processing Fees for payment along with the spectrum Fees. The invoice and receipt for the Application processing Fees shall only be issued upon request from the Applicant. The Application shall only be considered for processing upon the proof of the payment provided by the Applicant. The Application processing Fee for modification of an Authorization will be raised with the annual spectrum Fees invoice.</w:t>
      </w:r>
    </w:p>
    <w:p w:rsidR="0041268E" w:rsidRPr="00BD6197" w:rsidRDefault="0041268E" w:rsidP="0041268E">
      <w:pPr>
        <w:pStyle w:val="ArtNo"/>
        <w:rPr>
          <w:lang w:val="en-US"/>
        </w:rPr>
      </w:pPr>
      <w:r w:rsidRPr="00BD6197">
        <w:rPr>
          <w:lang w:val="en-US"/>
        </w:rPr>
        <w:t>ARTICLE (4)</w:t>
      </w:r>
    </w:p>
    <w:p w:rsidR="0041268E" w:rsidRPr="00BD6197" w:rsidRDefault="0041268E" w:rsidP="0041268E">
      <w:pPr>
        <w:pStyle w:val="Arttitle"/>
        <w:rPr>
          <w:lang w:val="en-US"/>
        </w:rPr>
      </w:pPr>
      <w:bookmarkStart w:id="2391" w:name="_Toc237657975"/>
      <w:r w:rsidRPr="00BD6197">
        <w:rPr>
          <w:lang w:val="en-US"/>
        </w:rPr>
        <w:t>Application processing Fees</w:t>
      </w:r>
      <w:bookmarkEnd w:id="2391"/>
      <w:r w:rsidRPr="00BD6197">
        <w:rPr>
          <w:lang w:val="en-US"/>
        </w:rPr>
        <w:t xml:space="preserve"> Exemption</w:t>
      </w:r>
    </w:p>
    <w:p w:rsidR="0041268E" w:rsidRPr="00BD6197" w:rsidRDefault="0041268E" w:rsidP="0041268E">
      <w:pPr>
        <w:pStyle w:val="enumlev1"/>
        <w:rPr>
          <w:lang w:val="en-US"/>
        </w:rPr>
      </w:pPr>
      <w:r w:rsidRPr="00BD6197">
        <w:rPr>
          <w:lang w:val="en-US"/>
        </w:rPr>
        <w:t>4.1</w:t>
      </w:r>
      <w:r w:rsidRPr="00BD6197">
        <w:rPr>
          <w:lang w:val="en-US"/>
        </w:rPr>
        <w:tab/>
        <w:t>The following Applications shall be exempted from the Application processing Fees:</w:t>
      </w:r>
    </w:p>
    <w:p w:rsidR="0041268E" w:rsidRPr="00BD6197" w:rsidRDefault="0041268E" w:rsidP="0041268E">
      <w:pPr>
        <w:pStyle w:val="enumlev2"/>
        <w:rPr>
          <w:lang w:val="en-US"/>
        </w:rPr>
      </w:pPr>
      <w:r w:rsidRPr="00BD6197">
        <w:rPr>
          <w:lang w:val="en-US"/>
        </w:rPr>
        <w:t>a)</w:t>
      </w:r>
      <w:r w:rsidRPr="00BD6197">
        <w:rPr>
          <w:lang w:val="en-US"/>
        </w:rPr>
        <w:tab/>
        <w:t>Application for Small Fishing Boats. (Fishing Trawls.)</w:t>
      </w:r>
    </w:p>
    <w:p w:rsidR="0041268E" w:rsidRPr="00BD6197" w:rsidRDefault="0041268E" w:rsidP="0041268E">
      <w:pPr>
        <w:pStyle w:val="enumlev2"/>
        <w:rPr>
          <w:lang w:val="en-US"/>
        </w:rPr>
      </w:pPr>
      <w:r w:rsidRPr="00BD6197">
        <w:rPr>
          <w:lang w:val="en-US"/>
        </w:rPr>
        <w:t>b)</w:t>
      </w:r>
      <w:r w:rsidRPr="00BD6197">
        <w:rPr>
          <w:lang w:val="en-US"/>
        </w:rPr>
        <w:tab/>
        <w:t>Application for Amateur Authorization.</w:t>
      </w:r>
    </w:p>
    <w:p w:rsidR="0041268E" w:rsidRPr="00BD6197" w:rsidRDefault="0041268E" w:rsidP="0041268E">
      <w:pPr>
        <w:pStyle w:val="enumlev2"/>
        <w:rPr>
          <w:lang w:val="en-US"/>
        </w:rPr>
      </w:pPr>
      <w:r w:rsidRPr="00BD6197">
        <w:rPr>
          <w:lang w:val="en-US"/>
        </w:rPr>
        <w:t>c)</w:t>
      </w:r>
      <w:r w:rsidRPr="00BD6197">
        <w:rPr>
          <w:lang w:val="en-US"/>
        </w:rPr>
        <w:tab/>
        <w:t>Application for personal use of Private Mobile Radio for Camel jockeys and Hunting.</w:t>
      </w:r>
    </w:p>
    <w:p w:rsidR="0041268E" w:rsidRPr="00BD6197" w:rsidRDefault="0041268E" w:rsidP="0041268E">
      <w:pPr>
        <w:pStyle w:val="enumlev2"/>
        <w:rPr>
          <w:lang w:val="en-US"/>
        </w:rPr>
      </w:pPr>
      <w:r w:rsidRPr="00BD6197">
        <w:rPr>
          <w:lang w:val="en-US"/>
        </w:rPr>
        <w:t>d)</w:t>
      </w:r>
      <w:r w:rsidRPr="00BD6197">
        <w:rPr>
          <w:lang w:val="en-US"/>
        </w:rPr>
        <w:tab/>
        <w:t>Application by non-commercial clubs for hobbies like Aeromodelling.</w:t>
      </w:r>
    </w:p>
    <w:p w:rsidR="0041268E" w:rsidRPr="00BD6197" w:rsidRDefault="0041268E" w:rsidP="0041268E">
      <w:pPr>
        <w:pStyle w:val="enumlev2"/>
        <w:rPr>
          <w:lang w:val="en-US"/>
        </w:rPr>
      </w:pPr>
      <w:r w:rsidRPr="00BD6197">
        <w:rPr>
          <w:lang w:val="en-US"/>
        </w:rPr>
        <w:t>e)</w:t>
      </w:r>
      <w:r w:rsidRPr="00BD6197">
        <w:rPr>
          <w:lang w:val="en-US"/>
        </w:rPr>
        <w:tab/>
        <w:t>Application by research and educational institutions for private use.</w:t>
      </w:r>
    </w:p>
    <w:p w:rsidR="0041268E" w:rsidRPr="00BD6197" w:rsidRDefault="0041268E" w:rsidP="0041268E">
      <w:pPr>
        <w:pStyle w:val="enumlev2"/>
        <w:rPr>
          <w:lang w:val="en-US"/>
        </w:rPr>
      </w:pPr>
      <w:r w:rsidRPr="00BD6197">
        <w:rPr>
          <w:lang w:val="en-US"/>
        </w:rPr>
        <w:t>f)</w:t>
      </w:r>
      <w:r w:rsidRPr="00BD6197">
        <w:rPr>
          <w:lang w:val="en-US"/>
        </w:rPr>
        <w:tab/>
        <w:t>Application by Foreign Missions, Consulates and Embassies for official correspondence or visits of dignitaries when submitted through the UAE Ministry of Foreign Affairs.</w:t>
      </w:r>
    </w:p>
    <w:p w:rsidR="0041268E" w:rsidRPr="00BD6197" w:rsidRDefault="0041268E" w:rsidP="0041268E">
      <w:pPr>
        <w:pStyle w:val="ArtNo"/>
        <w:rPr>
          <w:lang w:val="en-US"/>
        </w:rPr>
      </w:pPr>
      <w:r w:rsidRPr="00BD6197">
        <w:rPr>
          <w:lang w:val="en-US"/>
        </w:rPr>
        <w:t>ARTICLE (5)</w:t>
      </w:r>
    </w:p>
    <w:p w:rsidR="0041268E" w:rsidRPr="00BD6197" w:rsidRDefault="0041268E" w:rsidP="0041268E">
      <w:pPr>
        <w:pStyle w:val="Arttitle"/>
        <w:rPr>
          <w:lang w:val="en-US"/>
        </w:rPr>
      </w:pPr>
      <w:bookmarkStart w:id="2392" w:name="_Toc237657976"/>
      <w:r w:rsidRPr="00BD6197">
        <w:rPr>
          <w:lang w:val="en-US"/>
        </w:rPr>
        <w:t>Spectrum Fees for New Application</w:t>
      </w:r>
      <w:bookmarkEnd w:id="2392"/>
    </w:p>
    <w:p w:rsidR="0041268E" w:rsidRPr="00BD6197" w:rsidRDefault="0041268E" w:rsidP="0041268E">
      <w:pPr>
        <w:pStyle w:val="enumlev1"/>
        <w:rPr>
          <w:lang w:val="en-US"/>
        </w:rPr>
      </w:pPr>
      <w:r w:rsidRPr="00BD6197">
        <w:rPr>
          <w:lang w:val="en-US"/>
        </w:rPr>
        <w:t>5.1</w:t>
      </w:r>
      <w:r w:rsidRPr="00BD6197">
        <w:rPr>
          <w:lang w:val="en-US"/>
        </w:rPr>
        <w:tab/>
        <w:t>The Spectrum Fees shall be payable in advance. Upon successful processing of a new Application, the TRA shall inform the Applicant of the spectrum Fees, calculated for the period of validity of the Authorization, starting from the date of invoice. The Applicant shall submit to the TRA, the proof of payment immediately and not later than thirty (30) days from the date of issuing of Invoice. The receipt of the Fees by the TRA based on verification by the TRA shall be considered as completion of the payment for issuance of the Authorization. If payment is not received, the TRA shall cancel the Application and if the Applicant requires pursuing such Application, the Applicant shall be required to re</w:t>
      </w:r>
      <w:r w:rsidRPr="00BD6197">
        <w:rPr>
          <w:lang w:val="en-US"/>
        </w:rPr>
        <w:noBreakHyphen/>
        <w:t>submit the Application with new Application processing Fee.</w:t>
      </w:r>
    </w:p>
    <w:p w:rsidR="0041268E" w:rsidRPr="00BD6197" w:rsidRDefault="0041268E" w:rsidP="0041268E">
      <w:pPr>
        <w:pStyle w:val="ArtNo"/>
        <w:rPr>
          <w:lang w:val="en-US"/>
        </w:rPr>
      </w:pPr>
      <w:r w:rsidRPr="00BD6197">
        <w:rPr>
          <w:lang w:val="en-US"/>
        </w:rPr>
        <w:t>ARTICLE (6)</w:t>
      </w:r>
    </w:p>
    <w:p w:rsidR="0041268E" w:rsidRPr="00BD6197" w:rsidRDefault="0041268E" w:rsidP="0041268E">
      <w:pPr>
        <w:pStyle w:val="Arttitle"/>
        <w:rPr>
          <w:lang w:val="en-US"/>
        </w:rPr>
      </w:pPr>
      <w:bookmarkStart w:id="2393" w:name="_Toc237657977"/>
      <w:r w:rsidRPr="00BD6197">
        <w:rPr>
          <w:lang w:val="en-US"/>
        </w:rPr>
        <w:t>Spectrum Fees for renewal of Authorization</w:t>
      </w:r>
      <w:bookmarkEnd w:id="2393"/>
    </w:p>
    <w:p w:rsidR="0041268E" w:rsidRPr="00BD6197" w:rsidRDefault="0041268E" w:rsidP="0041268E">
      <w:pPr>
        <w:pStyle w:val="enumlev1"/>
        <w:keepLines/>
        <w:rPr>
          <w:lang w:val="en-US"/>
        </w:rPr>
      </w:pPr>
      <w:r w:rsidRPr="00BD6197">
        <w:rPr>
          <w:lang w:val="en-US"/>
        </w:rPr>
        <w:t>6.1</w:t>
      </w:r>
      <w:r w:rsidRPr="00BD6197">
        <w:rPr>
          <w:lang w:val="en-US"/>
        </w:rPr>
        <w:tab/>
        <w:t xml:space="preserve">The Authorized User shall be responsible to apply to the TRA for renewal of the Authorization, within the period, thirty (30) days before the expiry of the Authorization. A grace period of fifteen (15) days after expiry may be given to the Authorized User by the TRA to pay the Spectrum Fees for renewal without any additional Fees. </w:t>
      </w:r>
    </w:p>
    <w:p w:rsidR="0041268E" w:rsidRPr="00BD6197" w:rsidRDefault="0041268E" w:rsidP="0041268E">
      <w:pPr>
        <w:pStyle w:val="ArtNo"/>
        <w:rPr>
          <w:lang w:val="en-US"/>
        </w:rPr>
      </w:pPr>
      <w:r w:rsidRPr="00BD6197">
        <w:rPr>
          <w:lang w:val="en-US"/>
        </w:rPr>
        <w:lastRenderedPageBreak/>
        <w:t>ARTICLE (7)</w:t>
      </w:r>
    </w:p>
    <w:p w:rsidR="0041268E" w:rsidRPr="00BD6197" w:rsidRDefault="0041268E" w:rsidP="0041268E">
      <w:pPr>
        <w:pStyle w:val="Arttitle"/>
        <w:rPr>
          <w:lang w:val="en-US"/>
        </w:rPr>
      </w:pPr>
      <w:bookmarkStart w:id="2394" w:name="_Toc237657978"/>
      <w:r w:rsidRPr="00BD6197">
        <w:rPr>
          <w:lang w:val="en-US"/>
        </w:rPr>
        <w:t>Additional Fees for delayed renewal of Authorization</w:t>
      </w:r>
      <w:bookmarkEnd w:id="2394"/>
    </w:p>
    <w:p w:rsidR="0041268E" w:rsidRPr="00BD6197" w:rsidRDefault="0041268E" w:rsidP="0041268E">
      <w:pPr>
        <w:pStyle w:val="enumlev1"/>
        <w:rPr>
          <w:lang w:val="en-US"/>
        </w:rPr>
      </w:pPr>
      <w:r w:rsidRPr="00BD6197">
        <w:rPr>
          <w:lang w:val="en-US"/>
        </w:rPr>
        <w:t>7.1</w:t>
      </w:r>
      <w:r w:rsidRPr="00BD6197">
        <w:rPr>
          <w:lang w:val="en-US"/>
        </w:rPr>
        <w:tab/>
        <w:t xml:space="preserve">The TRA shall raise a new invoice (superseding the unpaid invoice) with an additional Fee of 10% of the amount due for Spectrum Fees after 15 days of the expiry of the Authorization up to a maximum of 45 days from the expiry of Authorization after which the TRA will cancel such Authorization. </w:t>
      </w:r>
    </w:p>
    <w:p w:rsidR="0041268E" w:rsidRPr="00BD6197" w:rsidRDefault="0041268E" w:rsidP="0041268E">
      <w:pPr>
        <w:pStyle w:val="ArtNo"/>
        <w:rPr>
          <w:lang w:val="en-US"/>
        </w:rPr>
      </w:pPr>
      <w:r w:rsidRPr="00BD6197">
        <w:rPr>
          <w:lang w:val="en-US"/>
        </w:rPr>
        <w:t>ARTICLE (8)</w:t>
      </w:r>
    </w:p>
    <w:p w:rsidR="0041268E" w:rsidRPr="00BD6197" w:rsidRDefault="0041268E" w:rsidP="0041268E">
      <w:pPr>
        <w:pStyle w:val="Arttitle"/>
        <w:rPr>
          <w:lang w:val="en-US"/>
        </w:rPr>
      </w:pPr>
      <w:bookmarkStart w:id="2395" w:name="_Toc237657979"/>
      <w:r w:rsidRPr="00BD6197">
        <w:rPr>
          <w:lang w:val="en-US"/>
        </w:rPr>
        <w:t>Authorization reproduction Fees</w:t>
      </w:r>
      <w:bookmarkEnd w:id="2395"/>
    </w:p>
    <w:p w:rsidR="0041268E" w:rsidRPr="00BD6197" w:rsidRDefault="0041268E" w:rsidP="0041268E">
      <w:pPr>
        <w:pStyle w:val="enumlev1"/>
        <w:rPr>
          <w:lang w:val="en-US"/>
        </w:rPr>
      </w:pPr>
      <w:r w:rsidRPr="00BD6197">
        <w:rPr>
          <w:lang w:val="en-US"/>
        </w:rPr>
        <w:t>8.1</w:t>
      </w:r>
      <w:r w:rsidRPr="00BD6197">
        <w:rPr>
          <w:lang w:val="en-US"/>
        </w:rPr>
        <w:tab/>
        <w:t>In case the Authorization is damaged or lost, the Authorized User shall have to apply to the TRA for reproduction of the Authorization. A non-refundable payment of One Hundred (100) Dirhams</w:t>
      </w:r>
      <w:r w:rsidRPr="00BD6197">
        <w:rPr>
          <w:b/>
          <w:bCs/>
          <w:lang w:val="en-US"/>
        </w:rPr>
        <w:t xml:space="preserve"> </w:t>
      </w:r>
      <w:r w:rsidRPr="00BD6197">
        <w:rPr>
          <w:lang w:val="en-US"/>
        </w:rPr>
        <w:t xml:space="preserve">shall be charged in advance for the reproduction of each Authorization requested. </w:t>
      </w:r>
    </w:p>
    <w:p w:rsidR="0041268E" w:rsidRPr="00BD6197" w:rsidRDefault="0041268E" w:rsidP="0041268E">
      <w:pPr>
        <w:pStyle w:val="ArtNo"/>
        <w:rPr>
          <w:lang w:val="en-US"/>
        </w:rPr>
      </w:pPr>
      <w:r w:rsidRPr="00BD6197">
        <w:rPr>
          <w:lang w:val="en-US"/>
        </w:rPr>
        <w:t>ARTICLE (9)</w:t>
      </w:r>
    </w:p>
    <w:p w:rsidR="0041268E" w:rsidRPr="00BD6197" w:rsidRDefault="0041268E" w:rsidP="0041268E">
      <w:pPr>
        <w:pStyle w:val="Arttitle"/>
        <w:rPr>
          <w:lang w:val="en-US"/>
        </w:rPr>
      </w:pPr>
      <w:bookmarkStart w:id="2396" w:name="_Toc237657980"/>
      <w:r w:rsidRPr="00BD6197">
        <w:rPr>
          <w:lang w:val="en-US"/>
        </w:rPr>
        <w:t>Authorization modification Fees</w:t>
      </w:r>
      <w:bookmarkEnd w:id="2396"/>
    </w:p>
    <w:p w:rsidR="0041268E" w:rsidRPr="00BD6197" w:rsidRDefault="0041268E" w:rsidP="0041268E">
      <w:pPr>
        <w:pStyle w:val="enumlev1"/>
        <w:rPr>
          <w:color w:val="000000"/>
          <w:lang w:val="en-US"/>
        </w:rPr>
      </w:pPr>
      <w:r w:rsidRPr="00BD6197">
        <w:rPr>
          <w:lang w:val="en-US"/>
        </w:rPr>
        <w:t>9.1</w:t>
      </w:r>
      <w:r w:rsidRPr="00BD6197">
        <w:rPr>
          <w:lang w:val="en-US"/>
        </w:rPr>
        <w:tab/>
        <w:t>The Authorized User can apply for modification of an Authorization. A non-refundable payment of One Hundred (100) Dirhams</w:t>
      </w:r>
      <w:r w:rsidRPr="00BD6197">
        <w:rPr>
          <w:b/>
          <w:bCs/>
          <w:lang w:val="en-US"/>
        </w:rPr>
        <w:t xml:space="preserve"> </w:t>
      </w:r>
      <w:r w:rsidRPr="00BD6197">
        <w:rPr>
          <w:lang w:val="en-US"/>
        </w:rPr>
        <w:t xml:space="preserve">shall be charged for the modification of the Authorization requested. Modifications of contact details in the Authorization shall require the reproduction Fees as mentioned in Article 8 above before issuing of an Authorization. The request of modification of any site data or addition of Wireless Equipment or change of technical data shall require payment of Application processing Fees as mentioned at Article 3 above. In case the modification is approved by the TRA, the annual Spectrum Fees shall be calculated on prorate basis. The Authorized User shall pay the difference in advance to the TRA. If the difference is in favour of the Authorized User, no reimbursement shall be made by the TRA and the annual Spectrum Fees for subsequent year shall be calculated based on the revised Fees. </w:t>
      </w:r>
      <w:r w:rsidRPr="00BD6197">
        <w:rPr>
          <w:color w:val="000000"/>
          <w:lang w:val="en-US"/>
        </w:rPr>
        <w:t>The Application processing Fee for modification or reproduction of an Authorization will be raised with the annual spectrum Fees invoice.</w:t>
      </w:r>
    </w:p>
    <w:p w:rsidR="0041268E" w:rsidRPr="00BD6197" w:rsidRDefault="0041268E" w:rsidP="0041268E">
      <w:pPr>
        <w:pStyle w:val="ArtNo"/>
        <w:rPr>
          <w:lang w:val="en-US"/>
        </w:rPr>
      </w:pPr>
      <w:r w:rsidRPr="00BD6197">
        <w:rPr>
          <w:lang w:val="en-US"/>
        </w:rPr>
        <w:t>ARTICLE (10)</w:t>
      </w:r>
    </w:p>
    <w:p w:rsidR="0041268E" w:rsidRPr="00BD6197" w:rsidRDefault="0041268E" w:rsidP="0041268E">
      <w:pPr>
        <w:pStyle w:val="Arttitle"/>
        <w:rPr>
          <w:lang w:val="en-US"/>
        </w:rPr>
      </w:pPr>
      <w:bookmarkStart w:id="2397" w:name="_Toc237657981"/>
      <w:r w:rsidRPr="00BD6197">
        <w:rPr>
          <w:lang w:val="en-US"/>
        </w:rPr>
        <w:t>Authorization cancellation Fees</w:t>
      </w:r>
      <w:bookmarkEnd w:id="2397"/>
    </w:p>
    <w:p w:rsidR="0041268E" w:rsidRPr="00BD6197" w:rsidRDefault="0041268E" w:rsidP="0041268E">
      <w:pPr>
        <w:pStyle w:val="enumlev1"/>
        <w:rPr>
          <w:lang w:val="en-US"/>
        </w:rPr>
      </w:pPr>
      <w:r w:rsidRPr="00BD6197">
        <w:rPr>
          <w:lang w:val="en-US"/>
        </w:rPr>
        <w:t>10.1</w:t>
      </w:r>
      <w:r w:rsidRPr="00BD6197">
        <w:rPr>
          <w:lang w:val="en-US"/>
        </w:rPr>
        <w:tab/>
        <w:t xml:space="preserve">The Authorized User can apply for cancellation of the Authorization. There will be no Fees for cancellation and no reimbursements shall be made by the TRA for any balance amount. </w:t>
      </w:r>
    </w:p>
    <w:p w:rsidR="0041268E" w:rsidRPr="00BD6197" w:rsidRDefault="0041268E" w:rsidP="0041268E">
      <w:pPr>
        <w:pStyle w:val="ArtNo"/>
        <w:rPr>
          <w:lang w:val="en-US"/>
        </w:rPr>
      </w:pPr>
      <w:r w:rsidRPr="00BD6197">
        <w:rPr>
          <w:lang w:val="en-US"/>
        </w:rPr>
        <w:t>ARTICLE (11)</w:t>
      </w:r>
    </w:p>
    <w:p w:rsidR="0041268E" w:rsidRPr="00BD6197" w:rsidRDefault="0041268E" w:rsidP="0041268E">
      <w:pPr>
        <w:pStyle w:val="Arttitle"/>
        <w:rPr>
          <w:lang w:val="en-US"/>
        </w:rPr>
      </w:pPr>
      <w:bookmarkStart w:id="2398" w:name="_Toc237657982"/>
      <w:r w:rsidRPr="00BD6197">
        <w:rPr>
          <w:lang w:val="en-US"/>
        </w:rPr>
        <w:t>Spectrum Fees for Public Land Mobile (Cellular) Service</w:t>
      </w:r>
      <w:bookmarkEnd w:id="2398"/>
    </w:p>
    <w:p w:rsidR="0041268E" w:rsidRPr="00BD6197" w:rsidRDefault="0041268E" w:rsidP="0041268E">
      <w:pPr>
        <w:pStyle w:val="enumlev1"/>
        <w:rPr>
          <w:lang w:val="en-US"/>
        </w:rPr>
      </w:pPr>
      <w:r w:rsidRPr="00BD6197">
        <w:rPr>
          <w:lang w:val="en-US"/>
        </w:rPr>
        <w:t>11.1</w:t>
      </w:r>
      <w:r w:rsidRPr="00BD6197">
        <w:rPr>
          <w:lang w:val="en-US"/>
        </w:rPr>
        <w:tab/>
        <w:t xml:space="preserve">The Annual Spectrum Fees for the Public Land Mobile (cellular) services (including GSM, UMTS and IMT) shall be calculated as follows: </w:t>
      </w:r>
    </w:p>
    <w:p w:rsidR="0041268E" w:rsidRPr="00BD6197" w:rsidRDefault="0041268E" w:rsidP="0041268E">
      <w:pPr>
        <w:pStyle w:val="Equation"/>
        <w:rPr>
          <w:lang w:val="en-US"/>
        </w:rPr>
      </w:pPr>
      <w:r w:rsidRPr="00BD6197">
        <w:rPr>
          <w:lang w:val="en-US"/>
        </w:rPr>
        <w:tab/>
      </w:r>
      <w:r w:rsidRPr="00BD6197">
        <w:rPr>
          <w:lang w:val="en-US"/>
        </w:rPr>
        <w:tab/>
        <w:t>Spectrum Price = [FF × CF × P × BW] / 4 000</w:t>
      </w:r>
    </w:p>
    <w:p w:rsidR="0041268E" w:rsidRPr="00BD6197" w:rsidRDefault="0041268E" w:rsidP="0041268E">
      <w:pPr>
        <w:pStyle w:val="enumlev1"/>
        <w:rPr>
          <w:lang w:val="en-US"/>
        </w:rPr>
      </w:pPr>
      <w:r w:rsidRPr="00BD6197">
        <w:rPr>
          <w:lang w:val="en-US"/>
        </w:rPr>
        <w:tab/>
        <w:t xml:space="preserve">where: </w:t>
      </w:r>
    </w:p>
    <w:p w:rsidR="0041268E" w:rsidRPr="00BD6197" w:rsidRDefault="0041268E" w:rsidP="0041268E">
      <w:pPr>
        <w:pStyle w:val="enumlev1"/>
        <w:rPr>
          <w:lang w:val="en-US"/>
        </w:rPr>
      </w:pPr>
      <w:r w:rsidRPr="00BD6197">
        <w:rPr>
          <w:b/>
          <w:bCs/>
          <w:lang w:val="en-US"/>
        </w:rPr>
        <w:tab/>
        <w:t xml:space="preserve">FF </w:t>
      </w:r>
      <w:r w:rsidRPr="00BD6197">
        <w:rPr>
          <w:lang w:val="en-US"/>
        </w:rPr>
        <w:t>= Frequency Factor which will be determined as follows:</w:t>
      </w:r>
    </w:p>
    <w:p w:rsidR="0041268E" w:rsidRPr="00BD6197" w:rsidRDefault="0041268E" w:rsidP="0041268E">
      <w:pPr>
        <w:pStyle w:val="Blanc"/>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1"/>
        <w:gridCol w:w="2923"/>
      </w:tblGrid>
      <w:tr w:rsidR="0041268E" w:rsidRPr="00BD6197" w:rsidTr="000F2BA7">
        <w:trPr>
          <w:trHeight w:val="390"/>
          <w:jc w:val="center"/>
        </w:trPr>
        <w:tc>
          <w:tcPr>
            <w:tcW w:w="2921" w:type="dxa"/>
          </w:tcPr>
          <w:p w:rsidR="0041268E" w:rsidRPr="00BD6197" w:rsidRDefault="0041268E" w:rsidP="000F2BA7">
            <w:pPr>
              <w:pStyle w:val="Tablehead"/>
              <w:rPr>
                <w:lang w:val="en-US"/>
              </w:rPr>
            </w:pPr>
            <w:r w:rsidRPr="00BD6197">
              <w:rPr>
                <w:lang w:val="en-US"/>
              </w:rPr>
              <w:t>Frequency Range</w:t>
            </w:r>
          </w:p>
        </w:tc>
        <w:tc>
          <w:tcPr>
            <w:tcW w:w="2923" w:type="dxa"/>
          </w:tcPr>
          <w:p w:rsidR="0041268E" w:rsidRPr="00BD6197" w:rsidRDefault="0041268E" w:rsidP="000F2BA7">
            <w:pPr>
              <w:pStyle w:val="Tablehead"/>
              <w:rPr>
                <w:lang w:val="en-US"/>
              </w:rPr>
            </w:pPr>
            <w:r w:rsidRPr="00BD6197">
              <w:rPr>
                <w:lang w:val="en-US"/>
              </w:rPr>
              <w:t>Frequency Factor (FF)</w:t>
            </w:r>
          </w:p>
        </w:tc>
      </w:tr>
      <w:tr w:rsidR="0041268E" w:rsidRPr="00BD6197" w:rsidTr="000F2BA7">
        <w:trPr>
          <w:trHeight w:val="390"/>
          <w:jc w:val="center"/>
        </w:trPr>
        <w:tc>
          <w:tcPr>
            <w:tcW w:w="2921" w:type="dxa"/>
          </w:tcPr>
          <w:p w:rsidR="0041268E" w:rsidRPr="00BD6197" w:rsidRDefault="0041268E" w:rsidP="000F2BA7">
            <w:pPr>
              <w:pStyle w:val="Tabletext"/>
              <w:jc w:val="center"/>
              <w:rPr>
                <w:lang w:val="en-US"/>
              </w:rPr>
            </w:pPr>
            <w:r w:rsidRPr="00BD6197">
              <w:rPr>
                <w:lang w:val="en-US"/>
              </w:rPr>
              <w:t>900 MHz or less</w:t>
            </w:r>
          </w:p>
        </w:tc>
        <w:tc>
          <w:tcPr>
            <w:tcW w:w="2923" w:type="dxa"/>
          </w:tcPr>
          <w:p w:rsidR="0041268E" w:rsidRPr="00BD6197" w:rsidRDefault="0041268E" w:rsidP="000F2BA7">
            <w:pPr>
              <w:pStyle w:val="Tabletext"/>
              <w:jc w:val="center"/>
              <w:rPr>
                <w:lang w:val="en-US"/>
              </w:rPr>
            </w:pPr>
            <w:r w:rsidRPr="00BD6197">
              <w:rPr>
                <w:lang w:val="en-US"/>
              </w:rPr>
              <w:t>1.00</w:t>
            </w:r>
          </w:p>
        </w:tc>
      </w:tr>
      <w:tr w:rsidR="0041268E" w:rsidRPr="00BD6197" w:rsidTr="000F2BA7">
        <w:trPr>
          <w:trHeight w:val="390"/>
          <w:jc w:val="center"/>
        </w:trPr>
        <w:tc>
          <w:tcPr>
            <w:tcW w:w="2921" w:type="dxa"/>
          </w:tcPr>
          <w:p w:rsidR="0041268E" w:rsidRPr="00BD6197" w:rsidRDefault="0041268E" w:rsidP="000F2BA7">
            <w:pPr>
              <w:pStyle w:val="Tabletext"/>
              <w:jc w:val="center"/>
              <w:rPr>
                <w:lang w:val="en-US"/>
              </w:rPr>
            </w:pPr>
            <w:r w:rsidRPr="00BD6197">
              <w:rPr>
                <w:lang w:val="en-US"/>
              </w:rPr>
              <w:t>1800 MHz</w:t>
            </w:r>
          </w:p>
        </w:tc>
        <w:tc>
          <w:tcPr>
            <w:tcW w:w="2923" w:type="dxa"/>
          </w:tcPr>
          <w:p w:rsidR="0041268E" w:rsidRPr="00BD6197" w:rsidRDefault="0041268E" w:rsidP="000F2BA7">
            <w:pPr>
              <w:pStyle w:val="Tabletext"/>
              <w:jc w:val="center"/>
              <w:rPr>
                <w:lang w:val="en-US"/>
              </w:rPr>
            </w:pPr>
            <w:r w:rsidRPr="00BD6197">
              <w:rPr>
                <w:lang w:val="en-US"/>
              </w:rPr>
              <w:t>0.75</w:t>
            </w:r>
          </w:p>
        </w:tc>
      </w:tr>
      <w:tr w:rsidR="0041268E" w:rsidRPr="00BD6197" w:rsidTr="000F2BA7">
        <w:trPr>
          <w:trHeight w:val="390"/>
          <w:jc w:val="center"/>
        </w:trPr>
        <w:tc>
          <w:tcPr>
            <w:tcW w:w="2921" w:type="dxa"/>
          </w:tcPr>
          <w:p w:rsidR="0041268E" w:rsidRPr="00BD6197" w:rsidRDefault="0041268E" w:rsidP="000F2BA7">
            <w:pPr>
              <w:pStyle w:val="Tabletext"/>
              <w:jc w:val="center"/>
              <w:rPr>
                <w:lang w:val="en-US"/>
              </w:rPr>
            </w:pPr>
            <w:r w:rsidRPr="00BD6197">
              <w:rPr>
                <w:lang w:val="en-US"/>
              </w:rPr>
              <w:t>2.1 GHz</w:t>
            </w:r>
          </w:p>
        </w:tc>
        <w:tc>
          <w:tcPr>
            <w:tcW w:w="2923" w:type="dxa"/>
          </w:tcPr>
          <w:p w:rsidR="0041268E" w:rsidRPr="00BD6197" w:rsidRDefault="0041268E" w:rsidP="000F2BA7">
            <w:pPr>
              <w:pStyle w:val="Tabletext"/>
              <w:jc w:val="center"/>
              <w:rPr>
                <w:lang w:val="en-US"/>
              </w:rPr>
            </w:pPr>
            <w:r w:rsidRPr="00BD6197">
              <w:rPr>
                <w:lang w:val="en-US"/>
              </w:rPr>
              <w:t>0.60</w:t>
            </w:r>
          </w:p>
        </w:tc>
      </w:tr>
      <w:tr w:rsidR="0041268E" w:rsidRPr="00BD6197" w:rsidTr="000F2BA7">
        <w:trPr>
          <w:trHeight w:val="406"/>
          <w:jc w:val="center"/>
        </w:trPr>
        <w:tc>
          <w:tcPr>
            <w:tcW w:w="2921" w:type="dxa"/>
            <w:tcBorders>
              <w:bottom w:val="single" w:sz="4" w:space="0" w:color="auto"/>
            </w:tcBorders>
          </w:tcPr>
          <w:p w:rsidR="0041268E" w:rsidRPr="00BD6197" w:rsidRDefault="0041268E" w:rsidP="000F2BA7">
            <w:pPr>
              <w:pStyle w:val="Tabletext"/>
              <w:jc w:val="center"/>
              <w:rPr>
                <w:lang w:val="en-US"/>
              </w:rPr>
            </w:pPr>
            <w:r w:rsidRPr="00BD6197">
              <w:rPr>
                <w:lang w:val="en-US"/>
              </w:rPr>
              <w:t>2.5 GHz</w:t>
            </w:r>
          </w:p>
        </w:tc>
        <w:tc>
          <w:tcPr>
            <w:tcW w:w="2923" w:type="dxa"/>
            <w:tcBorders>
              <w:bottom w:val="single" w:sz="4" w:space="0" w:color="auto"/>
            </w:tcBorders>
          </w:tcPr>
          <w:p w:rsidR="0041268E" w:rsidRPr="00BD6197" w:rsidRDefault="0041268E" w:rsidP="000F2BA7">
            <w:pPr>
              <w:pStyle w:val="Tabletext"/>
              <w:jc w:val="center"/>
              <w:rPr>
                <w:lang w:val="en-US"/>
              </w:rPr>
            </w:pPr>
            <w:r w:rsidRPr="00BD6197">
              <w:rPr>
                <w:lang w:val="en-US"/>
              </w:rPr>
              <w:t>0.50</w:t>
            </w:r>
          </w:p>
        </w:tc>
      </w:tr>
      <w:tr w:rsidR="0041268E" w:rsidRPr="00D17B5B" w:rsidTr="000F2BA7">
        <w:trPr>
          <w:trHeight w:val="406"/>
          <w:jc w:val="center"/>
        </w:trPr>
        <w:tc>
          <w:tcPr>
            <w:tcW w:w="5844" w:type="dxa"/>
            <w:gridSpan w:val="2"/>
            <w:tcBorders>
              <w:left w:val="nil"/>
              <w:bottom w:val="nil"/>
              <w:right w:val="nil"/>
            </w:tcBorders>
          </w:tcPr>
          <w:p w:rsidR="0041268E" w:rsidRPr="00BD6197" w:rsidRDefault="0041268E" w:rsidP="000F2BA7">
            <w:pPr>
              <w:pStyle w:val="TableLegendNote"/>
            </w:pPr>
            <w:r w:rsidRPr="00BD6197">
              <w:t>NOTE 1 –</w:t>
            </w:r>
            <w:r w:rsidRPr="00BD6197">
              <w:rPr>
                <w:lang w:eastAsia="ko-KR"/>
              </w:rPr>
              <w:t> </w:t>
            </w:r>
            <w:r w:rsidRPr="00BD6197">
              <w:t>The TRA shall have the sole discretion to determine the Frequency Factor (FF) for any other frequency range not mentioned above, requested for Public Land Mobile or similar services.</w:t>
            </w:r>
          </w:p>
        </w:tc>
      </w:tr>
    </w:tbl>
    <w:p w:rsidR="0041268E" w:rsidRPr="00BD6197" w:rsidRDefault="0041268E" w:rsidP="0041268E">
      <w:pPr>
        <w:pStyle w:val="Tablefin"/>
        <w:rPr>
          <w:lang w:val="en-US"/>
        </w:rPr>
      </w:pPr>
    </w:p>
    <w:p w:rsidR="0041268E" w:rsidRPr="00BD6197" w:rsidRDefault="0041268E" w:rsidP="0041268E">
      <w:pPr>
        <w:pStyle w:val="enumlev1"/>
        <w:rPr>
          <w:lang w:val="en-US"/>
        </w:rPr>
      </w:pPr>
      <w:r w:rsidRPr="00BD6197">
        <w:rPr>
          <w:b/>
          <w:bCs/>
          <w:lang w:val="en-US"/>
        </w:rPr>
        <w:tab/>
        <w:t xml:space="preserve">CF </w:t>
      </w:r>
      <w:r w:rsidRPr="00BD6197">
        <w:rPr>
          <w:lang w:val="en-US"/>
        </w:rPr>
        <w:t>=</w:t>
      </w:r>
      <w:r w:rsidRPr="00BD6197">
        <w:rPr>
          <w:b/>
          <w:bCs/>
          <w:lang w:val="en-US"/>
        </w:rPr>
        <w:t xml:space="preserve"> </w:t>
      </w:r>
      <w:r w:rsidRPr="00BD6197">
        <w:rPr>
          <w:lang w:val="en-US"/>
        </w:rPr>
        <w:t xml:space="preserve">Coverage Factor depending on the geographical area which will be determined as follows: </w:t>
      </w:r>
    </w:p>
    <w:p w:rsidR="0041268E" w:rsidRPr="00BD6197" w:rsidRDefault="0041268E" w:rsidP="0041268E">
      <w:pPr>
        <w:pStyle w:val="Blanc"/>
        <w:rPr>
          <w:lang w:val="en-US"/>
        </w:rPr>
      </w:pPr>
    </w:p>
    <w:tbl>
      <w:tblPr>
        <w:tblW w:w="8879"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75"/>
        <w:gridCol w:w="1438"/>
        <w:gridCol w:w="1617"/>
        <w:gridCol w:w="2872"/>
        <w:gridCol w:w="2077"/>
      </w:tblGrid>
      <w:tr w:rsidR="0041268E" w:rsidRPr="00BD6197" w:rsidTr="000F2BA7">
        <w:trPr>
          <w:trHeight w:val="335"/>
          <w:jc w:val="right"/>
        </w:trPr>
        <w:tc>
          <w:tcPr>
            <w:tcW w:w="875" w:type="dxa"/>
          </w:tcPr>
          <w:p w:rsidR="0041268E" w:rsidRPr="00BD6197" w:rsidRDefault="0041268E" w:rsidP="000F2BA7">
            <w:pPr>
              <w:pStyle w:val="Tablehead"/>
              <w:rPr>
                <w:lang w:val="en-US"/>
              </w:rPr>
            </w:pPr>
            <w:r w:rsidRPr="00BD6197">
              <w:rPr>
                <w:lang w:val="en-US"/>
              </w:rPr>
              <w:t xml:space="preserve">Area </w:t>
            </w:r>
          </w:p>
        </w:tc>
        <w:tc>
          <w:tcPr>
            <w:tcW w:w="1440" w:type="dxa"/>
          </w:tcPr>
          <w:p w:rsidR="0041268E" w:rsidRPr="00BD6197" w:rsidRDefault="0041268E" w:rsidP="000F2BA7">
            <w:pPr>
              <w:pStyle w:val="Tablehead"/>
              <w:rPr>
                <w:lang w:val="en-US"/>
              </w:rPr>
            </w:pPr>
            <w:r w:rsidRPr="00BD6197">
              <w:rPr>
                <w:lang w:val="en-US"/>
              </w:rPr>
              <w:t xml:space="preserve">Rural area or within premises </w:t>
            </w:r>
          </w:p>
        </w:tc>
        <w:tc>
          <w:tcPr>
            <w:tcW w:w="1620" w:type="dxa"/>
          </w:tcPr>
          <w:p w:rsidR="0041268E" w:rsidRPr="00BD6197" w:rsidRDefault="0041268E" w:rsidP="000F2BA7">
            <w:pPr>
              <w:pStyle w:val="Tablehead"/>
              <w:rPr>
                <w:lang w:val="en-US"/>
              </w:rPr>
            </w:pPr>
            <w:r w:rsidRPr="00BD6197">
              <w:rPr>
                <w:lang w:val="en-US"/>
              </w:rPr>
              <w:t>Urban city area within one Emirate</w:t>
            </w:r>
          </w:p>
        </w:tc>
        <w:tc>
          <w:tcPr>
            <w:tcW w:w="2880" w:type="dxa"/>
          </w:tcPr>
          <w:p w:rsidR="0041268E" w:rsidRPr="00BD6197" w:rsidRDefault="0041268E" w:rsidP="000F2BA7">
            <w:pPr>
              <w:pStyle w:val="Tablehead"/>
              <w:rPr>
                <w:lang w:val="en-US"/>
              </w:rPr>
            </w:pPr>
            <w:r w:rsidRPr="00BD6197">
              <w:rPr>
                <w:lang w:val="en-US"/>
              </w:rPr>
              <w:t xml:space="preserve">Emirate wide </w:t>
            </w:r>
          </w:p>
        </w:tc>
        <w:tc>
          <w:tcPr>
            <w:tcW w:w="2081" w:type="dxa"/>
          </w:tcPr>
          <w:p w:rsidR="0041268E" w:rsidRPr="00BD6197" w:rsidRDefault="0041268E" w:rsidP="000F2BA7">
            <w:pPr>
              <w:pStyle w:val="Tablehead"/>
              <w:rPr>
                <w:lang w:val="en-US"/>
              </w:rPr>
            </w:pPr>
            <w:r w:rsidRPr="00BD6197">
              <w:rPr>
                <w:lang w:val="en-US"/>
              </w:rPr>
              <w:t xml:space="preserve">More than Three Emirates </w:t>
            </w:r>
          </w:p>
        </w:tc>
      </w:tr>
      <w:tr w:rsidR="0041268E" w:rsidRPr="00BD6197" w:rsidTr="000F2BA7">
        <w:trPr>
          <w:trHeight w:val="335"/>
          <w:jc w:val="right"/>
        </w:trPr>
        <w:tc>
          <w:tcPr>
            <w:tcW w:w="875" w:type="dxa"/>
          </w:tcPr>
          <w:p w:rsidR="0041268E" w:rsidRPr="00BD6197" w:rsidRDefault="0041268E" w:rsidP="000F2BA7">
            <w:pPr>
              <w:pStyle w:val="Tabletext"/>
              <w:jc w:val="center"/>
              <w:rPr>
                <w:lang w:val="en-US"/>
              </w:rPr>
            </w:pPr>
            <w:r w:rsidRPr="00BD6197">
              <w:rPr>
                <w:lang w:val="en-US"/>
              </w:rPr>
              <w:t>CF</w:t>
            </w:r>
          </w:p>
        </w:tc>
        <w:tc>
          <w:tcPr>
            <w:tcW w:w="1440" w:type="dxa"/>
          </w:tcPr>
          <w:p w:rsidR="0041268E" w:rsidRPr="00BD6197" w:rsidRDefault="0041268E" w:rsidP="000F2BA7">
            <w:pPr>
              <w:pStyle w:val="Tabletext"/>
              <w:jc w:val="center"/>
              <w:rPr>
                <w:lang w:val="en-US"/>
              </w:rPr>
            </w:pPr>
            <w:r w:rsidRPr="00BD6197">
              <w:rPr>
                <w:lang w:val="en-US"/>
              </w:rPr>
              <w:t>100</w:t>
            </w:r>
          </w:p>
        </w:tc>
        <w:tc>
          <w:tcPr>
            <w:tcW w:w="1620" w:type="dxa"/>
          </w:tcPr>
          <w:p w:rsidR="0041268E" w:rsidRPr="00BD6197" w:rsidRDefault="0041268E" w:rsidP="000F2BA7">
            <w:pPr>
              <w:pStyle w:val="Tabletext"/>
              <w:jc w:val="center"/>
              <w:rPr>
                <w:lang w:val="en-US"/>
              </w:rPr>
            </w:pPr>
            <w:r w:rsidRPr="00BD6197">
              <w:rPr>
                <w:lang w:val="en-US"/>
              </w:rPr>
              <w:t>500</w:t>
            </w:r>
          </w:p>
        </w:tc>
        <w:tc>
          <w:tcPr>
            <w:tcW w:w="2880" w:type="dxa"/>
          </w:tcPr>
          <w:p w:rsidR="0041268E" w:rsidRPr="00BD6197" w:rsidRDefault="0041268E" w:rsidP="000F2BA7">
            <w:pPr>
              <w:pStyle w:val="Tabletext"/>
              <w:rPr>
                <w:lang w:val="en-US"/>
              </w:rPr>
            </w:pPr>
            <w:r w:rsidRPr="00BD6197">
              <w:rPr>
                <w:lang w:val="en-US"/>
              </w:rPr>
              <w:t>2.000 for Abu Dhabi or Dubai</w:t>
            </w:r>
          </w:p>
          <w:p w:rsidR="0041268E" w:rsidRPr="00BD6197" w:rsidRDefault="0041268E" w:rsidP="000F2BA7">
            <w:pPr>
              <w:pStyle w:val="Tabletext"/>
              <w:rPr>
                <w:lang w:val="en-US"/>
              </w:rPr>
            </w:pPr>
            <w:r w:rsidRPr="00BD6197">
              <w:rPr>
                <w:lang w:val="en-US"/>
              </w:rPr>
              <w:t>1.000 for other Emirates</w:t>
            </w:r>
          </w:p>
        </w:tc>
        <w:tc>
          <w:tcPr>
            <w:tcW w:w="2081" w:type="dxa"/>
          </w:tcPr>
          <w:p w:rsidR="0041268E" w:rsidRPr="00BD6197" w:rsidRDefault="0041268E" w:rsidP="000F2BA7">
            <w:pPr>
              <w:pStyle w:val="Tabletext"/>
              <w:jc w:val="center"/>
              <w:rPr>
                <w:lang w:val="en-US"/>
              </w:rPr>
            </w:pPr>
            <w:r w:rsidRPr="00BD6197">
              <w:rPr>
                <w:lang w:val="en-US"/>
              </w:rPr>
              <w:t>4.000</w:t>
            </w:r>
          </w:p>
        </w:tc>
      </w:tr>
    </w:tbl>
    <w:p w:rsidR="0041268E" w:rsidRPr="00BD6197" w:rsidRDefault="0041268E" w:rsidP="0041268E">
      <w:pPr>
        <w:pStyle w:val="Tablefin"/>
        <w:rPr>
          <w:lang w:val="en-US"/>
        </w:rPr>
      </w:pPr>
    </w:p>
    <w:p w:rsidR="0041268E" w:rsidRPr="00BD6197" w:rsidRDefault="0041268E" w:rsidP="0041268E">
      <w:pPr>
        <w:pStyle w:val="enumlev1"/>
        <w:rPr>
          <w:lang w:val="en-US"/>
        </w:rPr>
      </w:pPr>
      <w:r w:rsidRPr="00BD6197">
        <w:rPr>
          <w:b/>
          <w:bCs/>
          <w:lang w:val="en-US"/>
        </w:rPr>
        <w:tab/>
        <w:t xml:space="preserve">P </w:t>
      </w:r>
      <w:r w:rsidRPr="00BD6197">
        <w:rPr>
          <w:lang w:val="en-US"/>
        </w:rPr>
        <w:t>= Price per MHz, presently set at 978,560 AED (Nine Hundred Seventy Eight Thousands Five Hundred and Sixty Only) per year. The TRA may conduct a study at appropriate intervals to review this price.</w:t>
      </w:r>
    </w:p>
    <w:p w:rsidR="0041268E" w:rsidRPr="00BD6197" w:rsidRDefault="0041268E" w:rsidP="0041268E">
      <w:pPr>
        <w:pStyle w:val="enumlev1"/>
        <w:rPr>
          <w:lang w:val="en-US"/>
        </w:rPr>
      </w:pPr>
      <w:r w:rsidRPr="00BD6197">
        <w:rPr>
          <w:b/>
          <w:bCs/>
          <w:lang w:val="en-US"/>
        </w:rPr>
        <w:tab/>
        <w:t>BW</w:t>
      </w:r>
      <w:r w:rsidRPr="00BD6197">
        <w:rPr>
          <w:lang w:val="en-US"/>
        </w:rPr>
        <w:t xml:space="preserve"> = Assigned Bandwidth in MHz where for duplex assignment of 2 × 20 MHz shall be taken as 40 MHz.</w:t>
      </w:r>
    </w:p>
    <w:p w:rsidR="0041268E" w:rsidRPr="00BD6197" w:rsidRDefault="0041268E" w:rsidP="0041268E">
      <w:pPr>
        <w:pStyle w:val="Note"/>
        <w:ind w:left="794" w:hanging="794"/>
        <w:rPr>
          <w:lang w:val="en-US"/>
        </w:rPr>
      </w:pPr>
      <w:r w:rsidRPr="00BD6197">
        <w:rPr>
          <w:b/>
          <w:bCs/>
          <w:lang w:val="en-US"/>
        </w:rPr>
        <w:tab/>
      </w:r>
      <w:r w:rsidRPr="00BD6197">
        <w:rPr>
          <w:lang w:val="en-US"/>
        </w:rPr>
        <w:t>NOTE 1 – The TRA shall have the sole discretion to determine the Coverage Factor for an Application.</w:t>
      </w:r>
    </w:p>
    <w:p w:rsidR="0041268E" w:rsidRPr="00BD6197" w:rsidRDefault="0041268E" w:rsidP="0041268E">
      <w:pPr>
        <w:pStyle w:val="ArtNo"/>
        <w:rPr>
          <w:lang w:val="en-US"/>
        </w:rPr>
      </w:pPr>
      <w:r w:rsidRPr="00BD6197">
        <w:rPr>
          <w:lang w:val="en-US"/>
        </w:rPr>
        <w:t>ARTICLE (12)</w:t>
      </w:r>
    </w:p>
    <w:p w:rsidR="0041268E" w:rsidRPr="00BD6197" w:rsidRDefault="0041268E" w:rsidP="0041268E">
      <w:pPr>
        <w:pStyle w:val="Arttitle"/>
        <w:rPr>
          <w:lang w:val="en-US"/>
        </w:rPr>
      </w:pPr>
      <w:bookmarkStart w:id="2399" w:name="_Toc237657983"/>
      <w:r w:rsidRPr="00BD6197">
        <w:rPr>
          <w:lang w:val="en-US"/>
        </w:rPr>
        <w:t>Spectrum Fees for Private Mobile Radio, Paging, Trunking</w:t>
      </w:r>
      <w:bookmarkEnd w:id="2399"/>
      <w:r w:rsidRPr="00BD6197">
        <w:rPr>
          <w:lang w:val="en-US"/>
        </w:rPr>
        <w:t xml:space="preserve"> and PAMR</w:t>
      </w:r>
    </w:p>
    <w:p w:rsidR="0041268E" w:rsidRPr="00BD6197" w:rsidRDefault="0041268E" w:rsidP="0041268E">
      <w:pPr>
        <w:pStyle w:val="enumlev1"/>
        <w:rPr>
          <w:lang w:val="en-US"/>
        </w:rPr>
      </w:pPr>
      <w:r w:rsidRPr="00BD6197">
        <w:rPr>
          <w:lang w:val="en-US"/>
        </w:rPr>
        <w:t>12.1</w:t>
      </w:r>
      <w:r w:rsidRPr="00BD6197">
        <w:rPr>
          <w:lang w:val="en-US"/>
        </w:rPr>
        <w:tab/>
        <w:t xml:space="preserve">The Annual Spectrum Fees for Private Mobile Radio (in the frequency range of 30 MHz to 700 MHz) shall be calculated as follows: </w:t>
      </w:r>
    </w:p>
    <w:p w:rsidR="0041268E" w:rsidRPr="00BD6197" w:rsidRDefault="0041268E" w:rsidP="0041268E">
      <w:pPr>
        <w:pStyle w:val="Equation"/>
        <w:rPr>
          <w:lang w:val="en-US"/>
        </w:rPr>
      </w:pPr>
      <w:r w:rsidRPr="00BD6197">
        <w:rPr>
          <w:lang w:val="en-US"/>
        </w:rPr>
        <w:tab/>
      </w:r>
      <w:r w:rsidRPr="00BD6197">
        <w:rPr>
          <w:lang w:val="en-US"/>
        </w:rPr>
        <w:tab/>
        <w:t>Spectrum Fees = NC × CF + SUM (WE × 500 × PF)</w:t>
      </w:r>
    </w:p>
    <w:p w:rsidR="0041268E" w:rsidRPr="00BD6197" w:rsidRDefault="0041268E" w:rsidP="0041268E">
      <w:pPr>
        <w:pStyle w:val="enumlev1"/>
        <w:keepNext/>
        <w:keepLines/>
        <w:rPr>
          <w:lang w:val="en-US"/>
        </w:rPr>
      </w:pPr>
      <w:r w:rsidRPr="00BD6197">
        <w:rPr>
          <w:lang w:val="en-US"/>
        </w:rPr>
        <w:tab/>
        <w:t xml:space="preserve">where: </w:t>
      </w:r>
    </w:p>
    <w:p w:rsidR="0041268E" w:rsidRPr="00BD6197" w:rsidRDefault="0041268E" w:rsidP="0041268E">
      <w:pPr>
        <w:pStyle w:val="enumlev1"/>
        <w:keepNext/>
        <w:keepLines/>
        <w:rPr>
          <w:lang w:val="en-US"/>
        </w:rPr>
      </w:pPr>
      <w:r w:rsidRPr="00BD6197">
        <w:rPr>
          <w:b/>
          <w:bCs/>
          <w:lang w:val="en-US"/>
        </w:rPr>
        <w:tab/>
        <w:t xml:space="preserve">NC </w:t>
      </w:r>
      <w:r w:rsidRPr="00BD6197">
        <w:rPr>
          <w:lang w:val="en-US"/>
        </w:rPr>
        <w:t>=</w:t>
      </w:r>
      <w:r w:rsidRPr="00BD6197">
        <w:rPr>
          <w:b/>
          <w:bCs/>
          <w:lang w:val="en-US"/>
        </w:rPr>
        <w:t xml:space="preserve"> </w:t>
      </w:r>
      <w:r w:rsidRPr="00BD6197">
        <w:rPr>
          <w:lang w:val="en-US"/>
        </w:rPr>
        <w:t xml:space="preserve">Number of Channels (6.25 kHz bandwidth equivalents each) that will be assigned to the Applicant. </w:t>
      </w:r>
    </w:p>
    <w:p w:rsidR="0041268E" w:rsidRPr="00BD6197" w:rsidRDefault="0041268E" w:rsidP="0041268E">
      <w:pPr>
        <w:pStyle w:val="enumlev1"/>
        <w:rPr>
          <w:lang w:val="en-US"/>
        </w:rPr>
      </w:pPr>
      <w:r w:rsidRPr="00BD6197">
        <w:rPr>
          <w:b/>
          <w:bCs/>
          <w:lang w:val="en-US"/>
        </w:rPr>
        <w:tab/>
        <w:t xml:space="preserve">WE </w:t>
      </w:r>
      <w:r w:rsidRPr="00BD6197">
        <w:rPr>
          <w:lang w:val="en-US"/>
        </w:rPr>
        <w:t>=</w:t>
      </w:r>
      <w:r w:rsidRPr="00BD6197">
        <w:rPr>
          <w:b/>
          <w:bCs/>
          <w:lang w:val="en-US"/>
        </w:rPr>
        <w:t xml:space="preserve"> </w:t>
      </w:r>
      <w:r w:rsidRPr="00BD6197">
        <w:rPr>
          <w:lang w:val="en-US"/>
        </w:rPr>
        <w:t xml:space="preserve">Wireless Equipment (including handhelds) will be included in the calculation. </w:t>
      </w:r>
    </w:p>
    <w:p w:rsidR="0041268E" w:rsidRPr="00BD6197" w:rsidRDefault="0041268E" w:rsidP="0041268E">
      <w:pPr>
        <w:pStyle w:val="enumlev1"/>
        <w:rPr>
          <w:lang w:val="en-US"/>
        </w:rPr>
      </w:pPr>
      <w:r w:rsidRPr="00BD6197">
        <w:rPr>
          <w:b/>
          <w:bCs/>
          <w:lang w:val="en-US"/>
        </w:rPr>
        <w:tab/>
        <w:t xml:space="preserve">SUM (WE × 500 × PF) </w:t>
      </w:r>
      <w:r w:rsidRPr="00BD6197">
        <w:rPr>
          <w:lang w:val="en-US"/>
        </w:rPr>
        <w:t>=</w:t>
      </w:r>
      <w:r w:rsidRPr="00BD6197">
        <w:rPr>
          <w:b/>
          <w:bCs/>
          <w:lang w:val="en-US"/>
        </w:rPr>
        <w:t xml:space="preserve"> </w:t>
      </w:r>
      <w:r w:rsidRPr="00BD6197">
        <w:rPr>
          <w:lang w:val="en-US"/>
        </w:rPr>
        <w:t xml:space="preserve">Total sum of (each Wireless Equipment multiplied by 500 multiplied by Power Factor). </w:t>
      </w:r>
    </w:p>
    <w:p w:rsidR="0041268E" w:rsidRPr="00BD6197" w:rsidRDefault="0041268E" w:rsidP="0041268E">
      <w:pPr>
        <w:pStyle w:val="enumlev1"/>
        <w:rPr>
          <w:lang w:val="en-US"/>
        </w:rPr>
      </w:pPr>
      <w:r w:rsidRPr="00BD6197">
        <w:rPr>
          <w:b/>
          <w:bCs/>
          <w:lang w:val="en-US"/>
        </w:rPr>
        <w:tab/>
        <w:t xml:space="preserve">PF </w:t>
      </w:r>
      <w:r w:rsidRPr="00BD6197">
        <w:rPr>
          <w:lang w:val="en-US"/>
        </w:rPr>
        <w:t>=</w:t>
      </w:r>
      <w:r w:rsidRPr="00BD6197">
        <w:rPr>
          <w:b/>
          <w:bCs/>
          <w:lang w:val="en-US"/>
        </w:rPr>
        <w:t xml:space="preserve"> </w:t>
      </w:r>
      <w:r w:rsidRPr="00BD6197">
        <w:rPr>
          <w:lang w:val="en-US"/>
        </w:rPr>
        <w:t xml:space="preserve">Power Factor depending on the authorized radiated power (e.i.r.p.) for the Equipment which will be determined as follows: </w:t>
      </w:r>
    </w:p>
    <w:p w:rsidR="0041268E" w:rsidRPr="00BD6197" w:rsidRDefault="0041268E" w:rsidP="0041268E">
      <w:pPr>
        <w:pStyle w:val="Blanc"/>
        <w:rPr>
          <w:lang w:val="en-US"/>
        </w:rPr>
      </w:pPr>
    </w:p>
    <w:tbl>
      <w:tblPr>
        <w:tblW w:w="8879"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513"/>
        <w:gridCol w:w="1931"/>
        <w:gridCol w:w="1156"/>
        <w:gridCol w:w="1517"/>
        <w:gridCol w:w="1654"/>
        <w:gridCol w:w="1108"/>
      </w:tblGrid>
      <w:tr w:rsidR="0041268E" w:rsidRPr="00BD6197" w:rsidTr="000F2BA7">
        <w:trPr>
          <w:trHeight w:val="330"/>
          <w:jc w:val="right"/>
        </w:trPr>
        <w:tc>
          <w:tcPr>
            <w:tcW w:w="1513" w:type="dxa"/>
          </w:tcPr>
          <w:p w:rsidR="0041268E" w:rsidRPr="00BD6197" w:rsidRDefault="0041268E" w:rsidP="000F2BA7">
            <w:pPr>
              <w:pStyle w:val="Tablehead"/>
              <w:rPr>
                <w:lang w:val="en-US"/>
              </w:rPr>
            </w:pPr>
            <w:r w:rsidRPr="00BD6197">
              <w:rPr>
                <w:lang w:val="en-US"/>
              </w:rPr>
              <w:t xml:space="preserve">Power </w:t>
            </w:r>
          </w:p>
        </w:tc>
        <w:tc>
          <w:tcPr>
            <w:tcW w:w="0" w:type="auto"/>
          </w:tcPr>
          <w:p w:rsidR="0041268E" w:rsidRPr="00BD6197" w:rsidRDefault="0041268E" w:rsidP="000F2BA7">
            <w:pPr>
              <w:pStyle w:val="Tablehead"/>
              <w:rPr>
                <w:lang w:val="en-US"/>
              </w:rPr>
            </w:pPr>
            <w:r w:rsidRPr="00BD6197">
              <w:rPr>
                <w:lang w:val="en-US"/>
              </w:rPr>
              <w:t>Less than 1 W</w:t>
            </w:r>
          </w:p>
        </w:tc>
        <w:tc>
          <w:tcPr>
            <w:tcW w:w="0" w:type="auto"/>
          </w:tcPr>
          <w:p w:rsidR="0041268E" w:rsidRPr="00BD6197" w:rsidRDefault="0041268E" w:rsidP="000F2BA7">
            <w:pPr>
              <w:pStyle w:val="Tablehead"/>
              <w:rPr>
                <w:lang w:val="en-US"/>
              </w:rPr>
            </w:pPr>
            <w:r w:rsidRPr="00BD6197">
              <w:rPr>
                <w:lang w:val="en-US"/>
              </w:rPr>
              <w:t xml:space="preserve">1 – 5 W </w:t>
            </w:r>
          </w:p>
        </w:tc>
        <w:tc>
          <w:tcPr>
            <w:tcW w:w="0" w:type="auto"/>
          </w:tcPr>
          <w:p w:rsidR="0041268E" w:rsidRPr="00BD6197" w:rsidRDefault="0041268E" w:rsidP="000F2BA7">
            <w:pPr>
              <w:pStyle w:val="Tablehead"/>
              <w:rPr>
                <w:lang w:val="en-US"/>
              </w:rPr>
            </w:pPr>
            <w:r w:rsidRPr="00BD6197">
              <w:rPr>
                <w:lang w:val="en-US"/>
              </w:rPr>
              <w:t xml:space="preserve">&gt; 5 – 10 W </w:t>
            </w:r>
          </w:p>
        </w:tc>
        <w:tc>
          <w:tcPr>
            <w:tcW w:w="0" w:type="auto"/>
          </w:tcPr>
          <w:p w:rsidR="0041268E" w:rsidRPr="00BD6197" w:rsidRDefault="0041268E" w:rsidP="000F2BA7">
            <w:pPr>
              <w:pStyle w:val="Tablehead"/>
              <w:rPr>
                <w:lang w:val="en-US"/>
              </w:rPr>
            </w:pPr>
            <w:r w:rsidRPr="00BD6197">
              <w:rPr>
                <w:lang w:val="en-US"/>
              </w:rPr>
              <w:t xml:space="preserve">&gt; 10 – 20 W </w:t>
            </w:r>
          </w:p>
        </w:tc>
        <w:tc>
          <w:tcPr>
            <w:tcW w:w="0" w:type="auto"/>
          </w:tcPr>
          <w:p w:rsidR="0041268E" w:rsidRPr="00BD6197" w:rsidRDefault="0041268E" w:rsidP="000F2BA7">
            <w:pPr>
              <w:pStyle w:val="Tablehead"/>
              <w:rPr>
                <w:lang w:val="en-US"/>
              </w:rPr>
            </w:pPr>
            <w:r w:rsidRPr="00BD6197">
              <w:rPr>
                <w:lang w:val="en-US"/>
              </w:rPr>
              <w:t>&gt; 20 W</w:t>
            </w:r>
          </w:p>
        </w:tc>
      </w:tr>
      <w:tr w:rsidR="0041268E" w:rsidRPr="00BD6197" w:rsidTr="000F2BA7">
        <w:trPr>
          <w:trHeight w:val="330"/>
          <w:jc w:val="right"/>
        </w:trPr>
        <w:tc>
          <w:tcPr>
            <w:tcW w:w="1513" w:type="dxa"/>
          </w:tcPr>
          <w:p w:rsidR="0041268E" w:rsidRPr="00BD6197" w:rsidRDefault="0041268E" w:rsidP="000F2BA7">
            <w:pPr>
              <w:pStyle w:val="Tabletext"/>
              <w:jc w:val="center"/>
              <w:rPr>
                <w:lang w:val="en-US"/>
              </w:rPr>
            </w:pPr>
            <w:r w:rsidRPr="00BD6197">
              <w:rPr>
                <w:lang w:val="en-US"/>
              </w:rPr>
              <w:t>PF</w:t>
            </w:r>
          </w:p>
        </w:tc>
        <w:tc>
          <w:tcPr>
            <w:tcW w:w="0" w:type="auto"/>
          </w:tcPr>
          <w:p w:rsidR="0041268E" w:rsidRPr="00BD6197" w:rsidRDefault="0041268E" w:rsidP="000F2BA7">
            <w:pPr>
              <w:pStyle w:val="Tabletext"/>
              <w:jc w:val="center"/>
              <w:rPr>
                <w:lang w:val="en-US"/>
              </w:rPr>
            </w:pPr>
            <w:r w:rsidRPr="00BD6197">
              <w:rPr>
                <w:lang w:val="en-US"/>
              </w:rPr>
              <w:t>0.25</w:t>
            </w:r>
          </w:p>
        </w:tc>
        <w:tc>
          <w:tcPr>
            <w:tcW w:w="0" w:type="auto"/>
          </w:tcPr>
          <w:p w:rsidR="0041268E" w:rsidRPr="00BD6197" w:rsidRDefault="0041268E" w:rsidP="000F2BA7">
            <w:pPr>
              <w:pStyle w:val="Tabletext"/>
              <w:jc w:val="center"/>
              <w:rPr>
                <w:lang w:val="en-US"/>
              </w:rPr>
            </w:pPr>
            <w:r w:rsidRPr="00BD6197">
              <w:rPr>
                <w:lang w:val="en-US"/>
              </w:rPr>
              <w:t>1</w:t>
            </w:r>
          </w:p>
        </w:tc>
        <w:tc>
          <w:tcPr>
            <w:tcW w:w="0" w:type="auto"/>
          </w:tcPr>
          <w:p w:rsidR="0041268E" w:rsidRPr="00BD6197" w:rsidRDefault="0041268E" w:rsidP="000F2BA7">
            <w:pPr>
              <w:pStyle w:val="Tabletext"/>
              <w:jc w:val="center"/>
              <w:rPr>
                <w:lang w:val="en-US"/>
              </w:rPr>
            </w:pPr>
            <w:r w:rsidRPr="00BD6197">
              <w:rPr>
                <w:lang w:val="en-US"/>
              </w:rPr>
              <w:t>2</w:t>
            </w:r>
          </w:p>
        </w:tc>
        <w:tc>
          <w:tcPr>
            <w:tcW w:w="0" w:type="auto"/>
          </w:tcPr>
          <w:p w:rsidR="0041268E" w:rsidRPr="00BD6197" w:rsidRDefault="0041268E" w:rsidP="000F2BA7">
            <w:pPr>
              <w:pStyle w:val="Tabletext"/>
              <w:jc w:val="center"/>
              <w:rPr>
                <w:lang w:val="en-US"/>
              </w:rPr>
            </w:pPr>
            <w:r w:rsidRPr="00BD6197">
              <w:rPr>
                <w:lang w:val="en-US"/>
              </w:rPr>
              <w:t>3</w:t>
            </w:r>
          </w:p>
        </w:tc>
        <w:tc>
          <w:tcPr>
            <w:tcW w:w="0" w:type="auto"/>
          </w:tcPr>
          <w:p w:rsidR="0041268E" w:rsidRPr="00BD6197" w:rsidRDefault="0041268E" w:rsidP="000F2BA7">
            <w:pPr>
              <w:pStyle w:val="Tabletext"/>
              <w:jc w:val="center"/>
              <w:rPr>
                <w:lang w:val="en-US"/>
              </w:rPr>
            </w:pPr>
            <w:r w:rsidRPr="00BD6197">
              <w:rPr>
                <w:lang w:val="en-US"/>
              </w:rPr>
              <w:t>4</w:t>
            </w:r>
          </w:p>
        </w:tc>
      </w:tr>
    </w:tbl>
    <w:p w:rsidR="0041268E" w:rsidRPr="00BD6197" w:rsidRDefault="0041268E" w:rsidP="0041268E">
      <w:pPr>
        <w:pStyle w:val="Tablefin"/>
        <w:rPr>
          <w:lang w:val="en-US"/>
        </w:rPr>
      </w:pPr>
    </w:p>
    <w:p w:rsidR="0041268E" w:rsidRPr="00BD6197" w:rsidRDefault="0041268E" w:rsidP="0041268E">
      <w:pPr>
        <w:pStyle w:val="enumlev1"/>
        <w:rPr>
          <w:lang w:val="en-US"/>
        </w:rPr>
      </w:pPr>
      <w:r w:rsidRPr="00BD6197">
        <w:rPr>
          <w:b/>
          <w:bCs/>
          <w:lang w:val="en-US"/>
        </w:rPr>
        <w:tab/>
        <w:t xml:space="preserve">CF </w:t>
      </w:r>
      <w:r w:rsidRPr="00BD6197">
        <w:rPr>
          <w:lang w:val="en-US"/>
        </w:rPr>
        <w:t>=</w:t>
      </w:r>
      <w:r w:rsidRPr="00BD6197">
        <w:rPr>
          <w:b/>
          <w:bCs/>
          <w:lang w:val="en-US"/>
        </w:rPr>
        <w:t xml:space="preserve"> </w:t>
      </w:r>
      <w:r w:rsidRPr="00BD6197">
        <w:rPr>
          <w:lang w:val="en-US"/>
        </w:rPr>
        <w:t xml:space="preserve">Coverage Factor depending on the geographical area which will be determined as follows: </w:t>
      </w:r>
    </w:p>
    <w:p w:rsidR="0041268E" w:rsidRPr="00BD6197" w:rsidRDefault="0041268E" w:rsidP="0041268E">
      <w:pPr>
        <w:pStyle w:val="Blanc"/>
        <w:rPr>
          <w:lang w:val="en-US"/>
        </w:rPr>
      </w:pPr>
    </w:p>
    <w:tbl>
      <w:tblPr>
        <w:tblW w:w="888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61"/>
        <w:gridCol w:w="1440"/>
        <w:gridCol w:w="1620"/>
        <w:gridCol w:w="2801"/>
        <w:gridCol w:w="2160"/>
      </w:tblGrid>
      <w:tr w:rsidR="0041268E" w:rsidRPr="00BD6197" w:rsidTr="000F2BA7">
        <w:trPr>
          <w:trHeight w:val="335"/>
          <w:jc w:val="right"/>
        </w:trPr>
        <w:tc>
          <w:tcPr>
            <w:tcW w:w="861" w:type="dxa"/>
          </w:tcPr>
          <w:p w:rsidR="0041268E" w:rsidRPr="00BD6197" w:rsidRDefault="0041268E" w:rsidP="000F2BA7">
            <w:pPr>
              <w:pStyle w:val="Tablehead"/>
              <w:rPr>
                <w:lang w:val="en-US"/>
              </w:rPr>
            </w:pPr>
            <w:r w:rsidRPr="00BD6197">
              <w:rPr>
                <w:lang w:val="en-US"/>
              </w:rPr>
              <w:t xml:space="preserve">Area </w:t>
            </w:r>
          </w:p>
        </w:tc>
        <w:tc>
          <w:tcPr>
            <w:tcW w:w="1440" w:type="dxa"/>
          </w:tcPr>
          <w:p w:rsidR="0041268E" w:rsidRPr="00BD6197" w:rsidRDefault="0041268E" w:rsidP="000F2BA7">
            <w:pPr>
              <w:pStyle w:val="Tablehead"/>
              <w:rPr>
                <w:lang w:val="en-US"/>
              </w:rPr>
            </w:pPr>
            <w:r w:rsidRPr="00BD6197">
              <w:rPr>
                <w:lang w:val="en-US"/>
              </w:rPr>
              <w:t xml:space="preserve">Rural area or within premises </w:t>
            </w:r>
          </w:p>
        </w:tc>
        <w:tc>
          <w:tcPr>
            <w:tcW w:w="1620" w:type="dxa"/>
          </w:tcPr>
          <w:p w:rsidR="0041268E" w:rsidRPr="00BD6197" w:rsidRDefault="0041268E" w:rsidP="000F2BA7">
            <w:pPr>
              <w:pStyle w:val="Tablehead"/>
              <w:rPr>
                <w:lang w:val="en-US"/>
              </w:rPr>
            </w:pPr>
            <w:r w:rsidRPr="00BD6197">
              <w:rPr>
                <w:lang w:val="en-US"/>
              </w:rPr>
              <w:t>Urban city area within one Emirate</w:t>
            </w:r>
          </w:p>
        </w:tc>
        <w:tc>
          <w:tcPr>
            <w:tcW w:w="2801" w:type="dxa"/>
          </w:tcPr>
          <w:p w:rsidR="0041268E" w:rsidRPr="00BD6197" w:rsidRDefault="0041268E" w:rsidP="000F2BA7">
            <w:pPr>
              <w:pStyle w:val="Tablehead"/>
              <w:rPr>
                <w:lang w:val="en-US"/>
              </w:rPr>
            </w:pPr>
            <w:r w:rsidRPr="00BD6197">
              <w:rPr>
                <w:lang w:val="en-US"/>
              </w:rPr>
              <w:t xml:space="preserve">Emirate wide </w:t>
            </w:r>
          </w:p>
        </w:tc>
        <w:tc>
          <w:tcPr>
            <w:tcW w:w="2160" w:type="dxa"/>
          </w:tcPr>
          <w:p w:rsidR="0041268E" w:rsidRPr="00BD6197" w:rsidRDefault="0041268E" w:rsidP="000F2BA7">
            <w:pPr>
              <w:pStyle w:val="Tablehead"/>
              <w:rPr>
                <w:lang w:val="en-US"/>
              </w:rPr>
            </w:pPr>
            <w:r w:rsidRPr="00BD6197">
              <w:rPr>
                <w:lang w:val="en-US"/>
              </w:rPr>
              <w:t xml:space="preserve">More than Three Emirates </w:t>
            </w:r>
          </w:p>
        </w:tc>
      </w:tr>
      <w:tr w:rsidR="0041268E" w:rsidRPr="00BD6197" w:rsidTr="000F2BA7">
        <w:trPr>
          <w:trHeight w:val="335"/>
          <w:jc w:val="right"/>
        </w:trPr>
        <w:tc>
          <w:tcPr>
            <w:tcW w:w="861" w:type="dxa"/>
            <w:tcBorders>
              <w:bottom w:val="single" w:sz="2" w:space="0" w:color="auto"/>
            </w:tcBorders>
          </w:tcPr>
          <w:p w:rsidR="0041268E" w:rsidRPr="00BD6197" w:rsidRDefault="0041268E" w:rsidP="000F2BA7">
            <w:pPr>
              <w:pStyle w:val="Tabletext"/>
              <w:jc w:val="center"/>
              <w:rPr>
                <w:lang w:val="en-US"/>
              </w:rPr>
            </w:pPr>
            <w:r w:rsidRPr="00BD6197">
              <w:rPr>
                <w:lang w:val="en-US"/>
              </w:rPr>
              <w:t>CF</w:t>
            </w:r>
          </w:p>
        </w:tc>
        <w:tc>
          <w:tcPr>
            <w:tcW w:w="1440" w:type="dxa"/>
            <w:tcBorders>
              <w:bottom w:val="single" w:sz="2" w:space="0" w:color="auto"/>
            </w:tcBorders>
          </w:tcPr>
          <w:p w:rsidR="0041268E" w:rsidRPr="00BD6197" w:rsidRDefault="0041268E" w:rsidP="000F2BA7">
            <w:pPr>
              <w:pStyle w:val="Tabletext"/>
              <w:jc w:val="center"/>
              <w:rPr>
                <w:lang w:val="en-US"/>
              </w:rPr>
            </w:pPr>
            <w:r w:rsidRPr="00BD6197">
              <w:rPr>
                <w:lang w:val="en-US"/>
              </w:rPr>
              <w:t>100</w:t>
            </w:r>
          </w:p>
        </w:tc>
        <w:tc>
          <w:tcPr>
            <w:tcW w:w="1620" w:type="dxa"/>
            <w:tcBorders>
              <w:bottom w:val="single" w:sz="2" w:space="0" w:color="auto"/>
            </w:tcBorders>
          </w:tcPr>
          <w:p w:rsidR="0041268E" w:rsidRPr="00BD6197" w:rsidRDefault="0041268E" w:rsidP="000F2BA7">
            <w:pPr>
              <w:pStyle w:val="Tabletext"/>
              <w:jc w:val="center"/>
              <w:rPr>
                <w:lang w:val="en-US"/>
              </w:rPr>
            </w:pPr>
            <w:r w:rsidRPr="00BD6197">
              <w:rPr>
                <w:lang w:val="en-US"/>
              </w:rPr>
              <w:t>500</w:t>
            </w:r>
          </w:p>
        </w:tc>
        <w:tc>
          <w:tcPr>
            <w:tcW w:w="2801" w:type="dxa"/>
            <w:tcBorders>
              <w:bottom w:val="single" w:sz="2" w:space="0" w:color="auto"/>
            </w:tcBorders>
          </w:tcPr>
          <w:p w:rsidR="0041268E" w:rsidRPr="00BD6197" w:rsidRDefault="0041268E" w:rsidP="000F2BA7">
            <w:pPr>
              <w:pStyle w:val="Tabletext"/>
              <w:rPr>
                <w:lang w:val="en-US"/>
              </w:rPr>
            </w:pPr>
            <w:r w:rsidRPr="00BD6197">
              <w:rPr>
                <w:lang w:val="en-US"/>
              </w:rPr>
              <w:t>2.000 for Abu Dhabi or Dubai</w:t>
            </w:r>
          </w:p>
          <w:p w:rsidR="0041268E" w:rsidRPr="00BD6197" w:rsidRDefault="0041268E" w:rsidP="000F2BA7">
            <w:pPr>
              <w:pStyle w:val="Tabletext"/>
              <w:rPr>
                <w:lang w:val="en-US"/>
              </w:rPr>
            </w:pPr>
            <w:r w:rsidRPr="00BD6197">
              <w:rPr>
                <w:lang w:val="en-US"/>
              </w:rPr>
              <w:t>1.000 for other Emirates</w:t>
            </w:r>
          </w:p>
        </w:tc>
        <w:tc>
          <w:tcPr>
            <w:tcW w:w="2160" w:type="dxa"/>
            <w:tcBorders>
              <w:bottom w:val="single" w:sz="2" w:space="0" w:color="auto"/>
            </w:tcBorders>
          </w:tcPr>
          <w:p w:rsidR="0041268E" w:rsidRPr="00BD6197" w:rsidRDefault="0041268E" w:rsidP="000F2BA7">
            <w:pPr>
              <w:pStyle w:val="Tabletext"/>
              <w:jc w:val="center"/>
              <w:rPr>
                <w:lang w:val="en-US"/>
              </w:rPr>
            </w:pPr>
            <w:r w:rsidRPr="00BD6197">
              <w:rPr>
                <w:lang w:val="en-US"/>
              </w:rPr>
              <w:t>4.000</w:t>
            </w:r>
          </w:p>
        </w:tc>
      </w:tr>
      <w:tr w:rsidR="0041268E" w:rsidRPr="00D17B5B" w:rsidTr="000F2BA7">
        <w:trPr>
          <w:trHeight w:val="335"/>
          <w:jc w:val="right"/>
        </w:trPr>
        <w:tc>
          <w:tcPr>
            <w:tcW w:w="8882" w:type="dxa"/>
            <w:gridSpan w:val="5"/>
            <w:tcBorders>
              <w:left w:val="nil"/>
              <w:bottom w:val="nil"/>
              <w:right w:val="nil"/>
            </w:tcBorders>
          </w:tcPr>
          <w:p w:rsidR="0041268E" w:rsidRPr="00BD6197" w:rsidRDefault="0041268E" w:rsidP="000F2BA7">
            <w:pPr>
              <w:pStyle w:val="TableLegendNote"/>
            </w:pPr>
            <w:r w:rsidRPr="00BD6197">
              <w:t>NOTE 1 – The TRA shall have the sole discretion to determine the Coverage Factor for an Application.</w:t>
            </w:r>
          </w:p>
          <w:p w:rsidR="0041268E" w:rsidRPr="00BD6197" w:rsidRDefault="0041268E" w:rsidP="000F2BA7">
            <w:pPr>
              <w:pStyle w:val="TableLegendNote"/>
            </w:pPr>
            <w:r w:rsidRPr="00BD6197">
              <w:t xml:space="preserve">NOTE 2 – Private Mobile Radios Onboard Vessels shall be charged with </w:t>
            </w:r>
            <w:r w:rsidRPr="00BD6197">
              <w:rPr>
                <w:b/>
                <w:bCs/>
              </w:rPr>
              <w:t>CF</w:t>
            </w:r>
            <w:r w:rsidRPr="00BD6197">
              <w:t xml:space="preserve"> = 100.</w:t>
            </w:r>
          </w:p>
        </w:tc>
      </w:tr>
    </w:tbl>
    <w:p w:rsidR="0041268E" w:rsidRPr="00BD6197" w:rsidRDefault="0041268E" w:rsidP="0041268E">
      <w:pPr>
        <w:pStyle w:val="Tablefin"/>
        <w:rPr>
          <w:lang w:val="en-US"/>
        </w:rPr>
      </w:pPr>
    </w:p>
    <w:p w:rsidR="0041268E" w:rsidRPr="00BD6197" w:rsidRDefault="0041268E" w:rsidP="0041268E">
      <w:pPr>
        <w:pStyle w:val="enumlev1"/>
        <w:rPr>
          <w:lang w:val="en-US"/>
        </w:rPr>
      </w:pPr>
      <w:r w:rsidRPr="00BD6197">
        <w:rPr>
          <w:lang w:val="en-US"/>
        </w:rPr>
        <w:t>12.2</w:t>
      </w:r>
      <w:r w:rsidRPr="00BD6197">
        <w:rPr>
          <w:lang w:val="en-US"/>
        </w:rPr>
        <w:tab/>
        <w:t>The Annual Spectrum Fees for Private Mobile Radio (vehicles only) which are not localized (i.e. not connected to a base station) shall be calculated as follows:</w:t>
      </w:r>
    </w:p>
    <w:p w:rsidR="0041268E" w:rsidRPr="00BD6197" w:rsidRDefault="0041268E" w:rsidP="0041268E">
      <w:pPr>
        <w:pStyle w:val="Equation"/>
        <w:rPr>
          <w:lang w:val="en-US"/>
        </w:rPr>
      </w:pPr>
      <w:r w:rsidRPr="00BD6197">
        <w:rPr>
          <w:lang w:val="en-US"/>
        </w:rPr>
        <w:tab/>
      </w:r>
      <w:r w:rsidRPr="00BD6197">
        <w:rPr>
          <w:lang w:val="en-US"/>
        </w:rPr>
        <w:tab/>
        <w:t>Spectrum Fees = NC × CF</w:t>
      </w:r>
    </w:p>
    <w:p w:rsidR="0041268E" w:rsidRPr="00BD6197" w:rsidRDefault="0041268E" w:rsidP="0041268E">
      <w:pPr>
        <w:pStyle w:val="enumlev1"/>
        <w:rPr>
          <w:lang w:val="en-US"/>
        </w:rPr>
      </w:pPr>
      <w:r w:rsidRPr="00BD6197">
        <w:rPr>
          <w:lang w:val="en-US"/>
        </w:rPr>
        <w:tab/>
        <w:t>where:</w:t>
      </w:r>
    </w:p>
    <w:p w:rsidR="0041268E" w:rsidRPr="00BD6197" w:rsidRDefault="0041268E" w:rsidP="0041268E">
      <w:pPr>
        <w:pStyle w:val="enumlev1"/>
        <w:rPr>
          <w:lang w:val="en-US"/>
        </w:rPr>
      </w:pPr>
      <w:r w:rsidRPr="00BD6197">
        <w:rPr>
          <w:b/>
          <w:bCs/>
          <w:lang w:val="en-US"/>
        </w:rPr>
        <w:tab/>
        <w:t xml:space="preserve">NC </w:t>
      </w:r>
      <w:r w:rsidRPr="00BD6197">
        <w:rPr>
          <w:lang w:val="en-US"/>
        </w:rPr>
        <w:t>=</w:t>
      </w:r>
      <w:r w:rsidRPr="00BD6197">
        <w:rPr>
          <w:b/>
          <w:bCs/>
          <w:lang w:val="en-US"/>
        </w:rPr>
        <w:t xml:space="preserve"> </w:t>
      </w:r>
      <w:r w:rsidRPr="00BD6197">
        <w:rPr>
          <w:lang w:val="en-US"/>
        </w:rPr>
        <w:t xml:space="preserve">Number of Channels (12.5 kHz bandwidth equivalents each) that will be assigned to the Applicant. </w:t>
      </w:r>
    </w:p>
    <w:p w:rsidR="0041268E" w:rsidRPr="00BD6197" w:rsidRDefault="0041268E" w:rsidP="0041268E">
      <w:pPr>
        <w:pStyle w:val="enumlev1"/>
        <w:rPr>
          <w:lang w:val="en-US"/>
        </w:rPr>
      </w:pPr>
      <w:r w:rsidRPr="00BD6197">
        <w:rPr>
          <w:b/>
          <w:bCs/>
          <w:lang w:val="en-US"/>
        </w:rPr>
        <w:tab/>
        <w:t xml:space="preserve">CF </w:t>
      </w:r>
      <w:r w:rsidRPr="00BD6197">
        <w:rPr>
          <w:lang w:val="en-US"/>
        </w:rPr>
        <w:t>=</w:t>
      </w:r>
      <w:r w:rsidRPr="00BD6197">
        <w:rPr>
          <w:b/>
          <w:bCs/>
          <w:lang w:val="en-US"/>
        </w:rPr>
        <w:t xml:space="preserve"> </w:t>
      </w:r>
      <w:r w:rsidRPr="00BD6197">
        <w:rPr>
          <w:lang w:val="en-US"/>
        </w:rPr>
        <w:t xml:space="preserve">Coverage Factor depending on the geographical area which will be determined as follows: </w:t>
      </w:r>
    </w:p>
    <w:p w:rsidR="0041268E" w:rsidRPr="00BD6197" w:rsidRDefault="0041268E" w:rsidP="0041268E">
      <w:pPr>
        <w:pStyle w:val="Blanc"/>
        <w:rPr>
          <w:lang w:val="en-US"/>
        </w:rPr>
      </w:pPr>
    </w:p>
    <w:tbl>
      <w:tblPr>
        <w:tblW w:w="888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61"/>
        <w:gridCol w:w="1440"/>
        <w:gridCol w:w="1620"/>
        <w:gridCol w:w="2801"/>
        <w:gridCol w:w="2160"/>
      </w:tblGrid>
      <w:tr w:rsidR="0041268E" w:rsidRPr="00BD6197" w:rsidTr="000F2BA7">
        <w:trPr>
          <w:trHeight w:val="335"/>
          <w:jc w:val="right"/>
        </w:trPr>
        <w:tc>
          <w:tcPr>
            <w:tcW w:w="861" w:type="dxa"/>
          </w:tcPr>
          <w:p w:rsidR="0041268E" w:rsidRPr="00BD6197" w:rsidRDefault="0041268E" w:rsidP="000F2BA7">
            <w:pPr>
              <w:pStyle w:val="Tablehead"/>
              <w:rPr>
                <w:lang w:val="en-US"/>
              </w:rPr>
            </w:pPr>
            <w:r w:rsidRPr="00BD6197">
              <w:rPr>
                <w:lang w:val="en-US"/>
              </w:rPr>
              <w:t xml:space="preserve">Area </w:t>
            </w:r>
          </w:p>
        </w:tc>
        <w:tc>
          <w:tcPr>
            <w:tcW w:w="1440" w:type="dxa"/>
          </w:tcPr>
          <w:p w:rsidR="0041268E" w:rsidRPr="00BD6197" w:rsidRDefault="0041268E" w:rsidP="000F2BA7">
            <w:pPr>
              <w:pStyle w:val="Tablehead"/>
              <w:rPr>
                <w:lang w:val="en-US"/>
              </w:rPr>
            </w:pPr>
            <w:r w:rsidRPr="00BD6197">
              <w:rPr>
                <w:lang w:val="en-US"/>
              </w:rPr>
              <w:t xml:space="preserve">Rural area or within premises </w:t>
            </w:r>
          </w:p>
        </w:tc>
        <w:tc>
          <w:tcPr>
            <w:tcW w:w="1620" w:type="dxa"/>
          </w:tcPr>
          <w:p w:rsidR="0041268E" w:rsidRPr="00BD6197" w:rsidRDefault="0041268E" w:rsidP="000F2BA7">
            <w:pPr>
              <w:pStyle w:val="Tablehead"/>
              <w:rPr>
                <w:lang w:val="en-US"/>
              </w:rPr>
            </w:pPr>
            <w:r w:rsidRPr="00BD6197">
              <w:rPr>
                <w:lang w:val="en-US"/>
              </w:rPr>
              <w:t>Urban city area within one Emirate</w:t>
            </w:r>
          </w:p>
        </w:tc>
        <w:tc>
          <w:tcPr>
            <w:tcW w:w="2801" w:type="dxa"/>
          </w:tcPr>
          <w:p w:rsidR="0041268E" w:rsidRPr="00BD6197" w:rsidRDefault="0041268E" w:rsidP="000F2BA7">
            <w:pPr>
              <w:pStyle w:val="Tablehead"/>
              <w:rPr>
                <w:lang w:val="en-US"/>
              </w:rPr>
            </w:pPr>
            <w:r w:rsidRPr="00BD6197">
              <w:rPr>
                <w:lang w:val="en-US"/>
              </w:rPr>
              <w:t xml:space="preserve">Emirate wide </w:t>
            </w:r>
          </w:p>
        </w:tc>
        <w:tc>
          <w:tcPr>
            <w:tcW w:w="2160" w:type="dxa"/>
          </w:tcPr>
          <w:p w:rsidR="0041268E" w:rsidRPr="00BD6197" w:rsidRDefault="0041268E" w:rsidP="000F2BA7">
            <w:pPr>
              <w:pStyle w:val="Tablehead"/>
              <w:rPr>
                <w:lang w:val="en-US"/>
              </w:rPr>
            </w:pPr>
            <w:r w:rsidRPr="00BD6197">
              <w:rPr>
                <w:lang w:val="en-US"/>
              </w:rPr>
              <w:t xml:space="preserve">More than Three Emirates </w:t>
            </w:r>
          </w:p>
        </w:tc>
      </w:tr>
      <w:tr w:rsidR="0041268E" w:rsidRPr="00BD6197" w:rsidTr="000F2BA7">
        <w:trPr>
          <w:trHeight w:val="335"/>
          <w:jc w:val="right"/>
        </w:trPr>
        <w:tc>
          <w:tcPr>
            <w:tcW w:w="861" w:type="dxa"/>
            <w:tcBorders>
              <w:bottom w:val="single" w:sz="2" w:space="0" w:color="auto"/>
            </w:tcBorders>
          </w:tcPr>
          <w:p w:rsidR="0041268E" w:rsidRPr="00BD6197" w:rsidRDefault="0041268E" w:rsidP="000F2BA7">
            <w:pPr>
              <w:pStyle w:val="Tabletext"/>
              <w:jc w:val="center"/>
              <w:rPr>
                <w:lang w:val="en-US"/>
              </w:rPr>
            </w:pPr>
            <w:r w:rsidRPr="00BD6197">
              <w:rPr>
                <w:lang w:val="en-US"/>
              </w:rPr>
              <w:t>CF</w:t>
            </w:r>
          </w:p>
        </w:tc>
        <w:tc>
          <w:tcPr>
            <w:tcW w:w="1440" w:type="dxa"/>
            <w:tcBorders>
              <w:bottom w:val="single" w:sz="2" w:space="0" w:color="auto"/>
            </w:tcBorders>
          </w:tcPr>
          <w:p w:rsidR="0041268E" w:rsidRPr="00BD6197" w:rsidRDefault="0041268E" w:rsidP="000F2BA7">
            <w:pPr>
              <w:pStyle w:val="Tabletext"/>
              <w:jc w:val="center"/>
              <w:rPr>
                <w:lang w:val="en-US"/>
              </w:rPr>
            </w:pPr>
            <w:r w:rsidRPr="00BD6197">
              <w:rPr>
                <w:lang w:val="en-US"/>
              </w:rPr>
              <w:t>100</w:t>
            </w:r>
          </w:p>
        </w:tc>
        <w:tc>
          <w:tcPr>
            <w:tcW w:w="1620" w:type="dxa"/>
            <w:tcBorders>
              <w:bottom w:val="single" w:sz="2" w:space="0" w:color="auto"/>
            </w:tcBorders>
          </w:tcPr>
          <w:p w:rsidR="0041268E" w:rsidRPr="00BD6197" w:rsidRDefault="0041268E" w:rsidP="000F2BA7">
            <w:pPr>
              <w:pStyle w:val="Tabletext"/>
              <w:jc w:val="center"/>
              <w:rPr>
                <w:lang w:val="en-US"/>
              </w:rPr>
            </w:pPr>
            <w:r w:rsidRPr="00BD6197">
              <w:rPr>
                <w:lang w:val="en-US"/>
              </w:rPr>
              <w:t>500</w:t>
            </w:r>
          </w:p>
        </w:tc>
        <w:tc>
          <w:tcPr>
            <w:tcW w:w="2801" w:type="dxa"/>
            <w:tcBorders>
              <w:bottom w:val="single" w:sz="2" w:space="0" w:color="auto"/>
            </w:tcBorders>
          </w:tcPr>
          <w:p w:rsidR="0041268E" w:rsidRPr="00BD6197" w:rsidRDefault="0041268E" w:rsidP="00C502EC">
            <w:pPr>
              <w:pStyle w:val="Tabletext"/>
              <w:rPr>
                <w:lang w:val="en-US"/>
              </w:rPr>
            </w:pPr>
            <w:r w:rsidRPr="00BD6197">
              <w:rPr>
                <w:lang w:val="en-US"/>
              </w:rPr>
              <w:t>2.000 for Abu Dhabi or Dubai and 1.000 for other Emirates</w:t>
            </w:r>
          </w:p>
        </w:tc>
        <w:tc>
          <w:tcPr>
            <w:tcW w:w="2160" w:type="dxa"/>
            <w:tcBorders>
              <w:bottom w:val="single" w:sz="2" w:space="0" w:color="auto"/>
            </w:tcBorders>
          </w:tcPr>
          <w:p w:rsidR="0041268E" w:rsidRPr="00BD6197" w:rsidRDefault="0041268E" w:rsidP="000F2BA7">
            <w:pPr>
              <w:pStyle w:val="Tabletext"/>
              <w:jc w:val="center"/>
              <w:rPr>
                <w:lang w:val="en-US"/>
              </w:rPr>
            </w:pPr>
            <w:r w:rsidRPr="00BD6197">
              <w:rPr>
                <w:lang w:val="en-US"/>
              </w:rPr>
              <w:t>4.000</w:t>
            </w:r>
          </w:p>
        </w:tc>
      </w:tr>
      <w:tr w:rsidR="0041268E" w:rsidRPr="00D17B5B" w:rsidTr="000F2BA7">
        <w:trPr>
          <w:trHeight w:val="335"/>
          <w:jc w:val="right"/>
        </w:trPr>
        <w:tc>
          <w:tcPr>
            <w:tcW w:w="8882" w:type="dxa"/>
            <w:gridSpan w:val="5"/>
            <w:tcBorders>
              <w:left w:val="nil"/>
              <w:bottom w:val="nil"/>
              <w:right w:val="nil"/>
            </w:tcBorders>
          </w:tcPr>
          <w:p w:rsidR="0041268E" w:rsidRPr="00BD6197" w:rsidRDefault="0041268E" w:rsidP="000F2BA7">
            <w:pPr>
              <w:pStyle w:val="TableLegendNote"/>
            </w:pPr>
            <w:r w:rsidRPr="00BD6197">
              <w:t>NOTE 1 –</w:t>
            </w:r>
            <w:r w:rsidRPr="00BD6197">
              <w:rPr>
                <w:b/>
                <w:bCs/>
              </w:rPr>
              <w:t xml:space="preserve"> </w:t>
            </w:r>
            <w:r w:rsidRPr="00BD6197">
              <w:t>The TRA shall have the sole discretion to determine the Coverage Factor for an Application.</w:t>
            </w:r>
          </w:p>
        </w:tc>
      </w:tr>
    </w:tbl>
    <w:p w:rsidR="0041268E" w:rsidRPr="00BD6197" w:rsidRDefault="0041268E" w:rsidP="0041268E">
      <w:pPr>
        <w:pStyle w:val="Tablefin"/>
        <w:rPr>
          <w:lang w:val="en-US"/>
        </w:rPr>
      </w:pPr>
    </w:p>
    <w:p w:rsidR="0041268E" w:rsidRPr="00BD6197" w:rsidRDefault="0041268E" w:rsidP="0041268E">
      <w:pPr>
        <w:pStyle w:val="enumlev1"/>
        <w:rPr>
          <w:lang w:val="en-US"/>
        </w:rPr>
      </w:pPr>
      <w:r w:rsidRPr="00BD6197">
        <w:rPr>
          <w:lang w:val="en-US"/>
        </w:rPr>
        <w:t>12.3</w:t>
      </w:r>
      <w:r w:rsidRPr="00BD6197">
        <w:rPr>
          <w:lang w:val="en-US"/>
        </w:rPr>
        <w:tab/>
        <w:t>The Annual Spectrum Fees for Private Mobile Radio used by the Taxi companies shall be calculated for the base station in accordance with the Article 12.2 and separate Fees of 300 AED for each Taxi fitted with a radio.</w:t>
      </w:r>
    </w:p>
    <w:p w:rsidR="0041268E" w:rsidRPr="00BD6197" w:rsidRDefault="0041268E" w:rsidP="0041268E">
      <w:pPr>
        <w:pStyle w:val="enumlev1"/>
        <w:rPr>
          <w:color w:val="000000"/>
          <w:lang w:val="en-US"/>
        </w:rPr>
      </w:pPr>
      <w:r w:rsidRPr="00BD6197">
        <w:rPr>
          <w:lang w:val="en-US"/>
        </w:rPr>
        <w:t>12.4</w:t>
      </w:r>
      <w:r w:rsidRPr="00BD6197">
        <w:rPr>
          <w:lang w:val="en-US"/>
        </w:rPr>
        <w:tab/>
        <w:t xml:space="preserve">The Annual Spectrum Fees for Private Mobile Radio used in the Camel Race Tracks </w:t>
      </w:r>
      <w:r w:rsidRPr="00BD6197">
        <w:rPr>
          <w:color w:val="000000"/>
          <w:lang w:val="en-US"/>
        </w:rPr>
        <w:t xml:space="preserve">shall be calculated as follows: </w:t>
      </w:r>
    </w:p>
    <w:p w:rsidR="0041268E" w:rsidRPr="00BD6197" w:rsidRDefault="0041268E" w:rsidP="0041268E">
      <w:pPr>
        <w:pStyle w:val="Equation"/>
        <w:rPr>
          <w:lang w:val="en-US"/>
        </w:rPr>
      </w:pPr>
      <w:r w:rsidRPr="00BD6197">
        <w:rPr>
          <w:lang w:val="en-US"/>
        </w:rPr>
        <w:tab/>
      </w:r>
      <w:r w:rsidRPr="00BD6197">
        <w:rPr>
          <w:lang w:val="en-US"/>
        </w:rPr>
        <w:tab/>
        <w:t>Spectrum Fees = NC × 50 + WE × 100</w:t>
      </w:r>
    </w:p>
    <w:p w:rsidR="0041268E" w:rsidRPr="00BD6197" w:rsidRDefault="0041268E" w:rsidP="0041268E">
      <w:pPr>
        <w:pStyle w:val="enumlev1"/>
        <w:rPr>
          <w:lang w:val="en-US"/>
        </w:rPr>
      </w:pPr>
      <w:r w:rsidRPr="00BD6197">
        <w:rPr>
          <w:lang w:val="en-US"/>
        </w:rPr>
        <w:tab/>
        <w:t xml:space="preserve">where: </w:t>
      </w:r>
    </w:p>
    <w:p w:rsidR="0041268E" w:rsidRPr="00BD6197" w:rsidRDefault="0041268E" w:rsidP="0041268E">
      <w:pPr>
        <w:pStyle w:val="enumlev1"/>
        <w:rPr>
          <w:lang w:val="en-US"/>
        </w:rPr>
      </w:pPr>
      <w:r w:rsidRPr="00BD6197">
        <w:rPr>
          <w:b/>
          <w:bCs/>
          <w:lang w:val="en-US"/>
        </w:rPr>
        <w:tab/>
        <w:t xml:space="preserve">NC </w:t>
      </w:r>
      <w:r w:rsidRPr="00BD6197">
        <w:rPr>
          <w:lang w:val="en-US"/>
        </w:rPr>
        <w:t>=</w:t>
      </w:r>
      <w:r w:rsidRPr="00BD6197">
        <w:rPr>
          <w:b/>
          <w:bCs/>
          <w:lang w:val="en-US"/>
        </w:rPr>
        <w:t xml:space="preserve"> </w:t>
      </w:r>
      <w:r w:rsidRPr="00BD6197">
        <w:rPr>
          <w:lang w:val="en-US"/>
        </w:rPr>
        <w:t xml:space="preserve">Number of Channels (6.25 kHz bandwidth equivalents each) that will be assigned to the Applicant. </w:t>
      </w:r>
    </w:p>
    <w:p w:rsidR="0041268E" w:rsidRPr="00BD6197" w:rsidRDefault="0041268E" w:rsidP="0041268E">
      <w:pPr>
        <w:pStyle w:val="enumlev1"/>
        <w:rPr>
          <w:lang w:val="en-US"/>
        </w:rPr>
      </w:pPr>
      <w:r w:rsidRPr="00BD6197">
        <w:rPr>
          <w:b/>
          <w:bCs/>
          <w:lang w:val="en-US"/>
        </w:rPr>
        <w:tab/>
        <w:t xml:space="preserve">WE </w:t>
      </w:r>
      <w:r w:rsidRPr="00BD6197">
        <w:rPr>
          <w:lang w:val="en-US"/>
        </w:rPr>
        <w:t>=</w:t>
      </w:r>
      <w:r w:rsidRPr="00BD6197">
        <w:rPr>
          <w:b/>
          <w:bCs/>
          <w:lang w:val="en-US"/>
        </w:rPr>
        <w:t xml:space="preserve"> </w:t>
      </w:r>
      <w:r w:rsidRPr="00BD6197">
        <w:rPr>
          <w:lang w:val="en-US"/>
        </w:rPr>
        <w:t xml:space="preserve">Wireless Equipment (including handhelds) will be included in the calculation. </w:t>
      </w:r>
    </w:p>
    <w:p w:rsidR="0041268E" w:rsidRPr="00BD6197" w:rsidRDefault="0041268E" w:rsidP="0041268E">
      <w:pPr>
        <w:pStyle w:val="enumlev1"/>
        <w:rPr>
          <w:lang w:val="en-US"/>
        </w:rPr>
      </w:pPr>
      <w:r w:rsidRPr="00BD6197">
        <w:rPr>
          <w:lang w:val="en-US"/>
        </w:rPr>
        <w:lastRenderedPageBreak/>
        <w:t xml:space="preserve">12.5 </w:t>
      </w:r>
      <w:r w:rsidRPr="00BD6197">
        <w:rPr>
          <w:lang w:val="en-US"/>
        </w:rPr>
        <w:tab/>
        <w:t xml:space="preserve">The Annual Spectrum Fees for Public Paging shall be calculated for the base station in accordance with the Article 12.1 with no additional Fees for handheld pagers. </w:t>
      </w:r>
    </w:p>
    <w:p w:rsidR="0041268E" w:rsidRPr="00BD6197" w:rsidRDefault="0041268E" w:rsidP="0041268E">
      <w:pPr>
        <w:pStyle w:val="enumlev1"/>
        <w:rPr>
          <w:lang w:val="en-US"/>
        </w:rPr>
      </w:pPr>
      <w:r w:rsidRPr="00BD6197">
        <w:rPr>
          <w:lang w:val="en-US"/>
        </w:rPr>
        <w:t xml:space="preserve">12.6 </w:t>
      </w:r>
      <w:r w:rsidRPr="00BD6197">
        <w:rPr>
          <w:lang w:val="en-US"/>
        </w:rPr>
        <w:tab/>
        <w:t xml:space="preserve">The Annual Spectrum Fees for Analog Trunking (like MPT 1327) shall be calculated in accordance with the Article 12.1 above. </w:t>
      </w:r>
    </w:p>
    <w:p w:rsidR="0041268E" w:rsidRPr="00BD6197" w:rsidRDefault="0041268E" w:rsidP="0041268E">
      <w:pPr>
        <w:pStyle w:val="enumlev1"/>
        <w:rPr>
          <w:color w:val="000000"/>
          <w:lang w:val="en-US"/>
        </w:rPr>
      </w:pPr>
      <w:r w:rsidRPr="00BD6197">
        <w:rPr>
          <w:lang w:val="en-US"/>
        </w:rPr>
        <w:t>12.7</w:t>
      </w:r>
      <w:r w:rsidRPr="00BD6197">
        <w:rPr>
          <w:lang w:val="en-US"/>
        </w:rPr>
        <w:tab/>
        <w:t>The Annual Spectrum Fees for Digital Trunking (like TETRA, TETRAPOL, EDACS, APCO, etc.) shall be calculated as follows:</w:t>
      </w:r>
    </w:p>
    <w:p w:rsidR="0041268E" w:rsidRPr="00BD6197" w:rsidRDefault="0041268E" w:rsidP="0041268E">
      <w:pPr>
        <w:pStyle w:val="Equation"/>
        <w:rPr>
          <w:lang w:val="en-US"/>
        </w:rPr>
      </w:pPr>
      <w:r w:rsidRPr="00BD6197">
        <w:rPr>
          <w:lang w:val="en-US"/>
        </w:rPr>
        <w:tab/>
      </w:r>
      <w:r w:rsidRPr="00BD6197">
        <w:rPr>
          <w:lang w:val="en-US"/>
        </w:rPr>
        <w:tab/>
        <w:t>Spectrum Fees = NC × CF</w:t>
      </w:r>
    </w:p>
    <w:p w:rsidR="0041268E" w:rsidRPr="00BD6197" w:rsidRDefault="0041268E" w:rsidP="0041268E">
      <w:pPr>
        <w:pStyle w:val="enumlev1"/>
        <w:rPr>
          <w:lang w:val="en-US"/>
        </w:rPr>
      </w:pPr>
      <w:r w:rsidRPr="00BD6197">
        <w:rPr>
          <w:lang w:val="en-US"/>
        </w:rPr>
        <w:tab/>
        <w:t xml:space="preserve">where: </w:t>
      </w:r>
    </w:p>
    <w:p w:rsidR="0041268E" w:rsidRPr="00BD6197" w:rsidRDefault="0041268E" w:rsidP="0041268E">
      <w:pPr>
        <w:pStyle w:val="enumlev1"/>
        <w:rPr>
          <w:lang w:val="en-US"/>
        </w:rPr>
      </w:pPr>
      <w:r w:rsidRPr="00BD6197">
        <w:rPr>
          <w:b/>
          <w:bCs/>
          <w:lang w:val="en-US"/>
        </w:rPr>
        <w:tab/>
        <w:t xml:space="preserve">NC </w:t>
      </w:r>
      <w:r w:rsidRPr="00BD6197">
        <w:rPr>
          <w:lang w:val="en-US"/>
        </w:rPr>
        <w:t>=</w:t>
      </w:r>
      <w:r w:rsidRPr="00BD6197">
        <w:rPr>
          <w:b/>
          <w:bCs/>
          <w:lang w:val="en-US"/>
        </w:rPr>
        <w:t xml:space="preserve"> </w:t>
      </w:r>
      <w:r w:rsidRPr="00BD6197">
        <w:rPr>
          <w:lang w:val="en-US"/>
        </w:rPr>
        <w:t xml:space="preserve">Number of Channels (25 kHz unpaired bandwidth equivalents each) that will be assigned to the Applicant. </w:t>
      </w:r>
    </w:p>
    <w:p w:rsidR="0041268E" w:rsidRPr="00BD6197" w:rsidRDefault="0041268E" w:rsidP="0041268E">
      <w:pPr>
        <w:pStyle w:val="enumlev1"/>
        <w:rPr>
          <w:lang w:val="en-US"/>
        </w:rPr>
      </w:pPr>
      <w:r w:rsidRPr="00BD6197">
        <w:rPr>
          <w:b/>
          <w:bCs/>
          <w:lang w:val="en-US"/>
        </w:rPr>
        <w:tab/>
        <w:t xml:space="preserve">CF </w:t>
      </w:r>
      <w:r w:rsidRPr="00BD6197">
        <w:rPr>
          <w:lang w:val="en-US"/>
        </w:rPr>
        <w:t>=</w:t>
      </w:r>
      <w:r w:rsidRPr="00BD6197">
        <w:rPr>
          <w:b/>
          <w:bCs/>
          <w:lang w:val="en-US"/>
        </w:rPr>
        <w:t xml:space="preserve"> </w:t>
      </w:r>
      <w:r w:rsidRPr="00BD6197">
        <w:rPr>
          <w:lang w:val="en-US"/>
        </w:rPr>
        <w:t xml:space="preserve">Coverage Factor depending on the geographical area which will be determined as follows: </w:t>
      </w:r>
    </w:p>
    <w:p w:rsidR="0041268E" w:rsidRPr="00BD6197" w:rsidRDefault="0041268E" w:rsidP="0041268E">
      <w:pPr>
        <w:pStyle w:val="Blanc"/>
        <w:rPr>
          <w:lang w:val="en-US"/>
        </w:rPr>
      </w:pPr>
    </w:p>
    <w:tbl>
      <w:tblPr>
        <w:tblW w:w="888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861"/>
        <w:gridCol w:w="1440"/>
        <w:gridCol w:w="1620"/>
        <w:gridCol w:w="2801"/>
        <w:gridCol w:w="2160"/>
      </w:tblGrid>
      <w:tr w:rsidR="0041268E" w:rsidRPr="00BD6197" w:rsidTr="000F2BA7">
        <w:trPr>
          <w:trHeight w:val="335"/>
          <w:jc w:val="right"/>
        </w:trPr>
        <w:tc>
          <w:tcPr>
            <w:tcW w:w="861" w:type="dxa"/>
          </w:tcPr>
          <w:p w:rsidR="0041268E" w:rsidRPr="00BD6197" w:rsidRDefault="0041268E" w:rsidP="000F2BA7">
            <w:pPr>
              <w:pStyle w:val="Tablehead"/>
              <w:rPr>
                <w:lang w:val="en-US"/>
              </w:rPr>
            </w:pPr>
            <w:r w:rsidRPr="00BD6197">
              <w:rPr>
                <w:lang w:val="en-US"/>
              </w:rPr>
              <w:t xml:space="preserve">Area </w:t>
            </w:r>
          </w:p>
        </w:tc>
        <w:tc>
          <w:tcPr>
            <w:tcW w:w="1440" w:type="dxa"/>
          </w:tcPr>
          <w:p w:rsidR="0041268E" w:rsidRPr="00BD6197" w:rsidRDefault="0041268E" w:rsidP="000F2BA7">
            <w:pPr>
              <w:pStyle w:val="Tablehead"/>
              <w:rPr>
                <w:lang w:val="en-US"/>
              </w:rPr>
            </w:pPr>
            <w:r w:rsidRPr="00BD6197">
              <w:rPr>
                <w:lang w:val="en-US"/>
              </w:rPr>
              <w:t xml:space="preserve">Rural area or within premises </w:t>
            </w:r>
          </w:p>
        </w:tc>
        <w:tc>
          <w:tcPr>
            <w:tcW w:w="1620" w:type="dxa"/>
          </w:tcPr>
          <w:p w:rsidR="0041268E" w:rsidRPr="00BD6197" w:rsidRDefault="0041268E" w:rsidP="000F2BA7">
            <w:pPr>
              <w:pStyle w:val="Tablehead"/>
              <w:rPr>
                <w:lang w:val="en-US"/>
              </w:rPr>
            </w:pPr>
            <w:r w:rsidRPr="00BD6197">
              <w:rPr>
                <w:lang w:val="en-US"/>
              </w:rPr>
              <w:t>Urban city area within one Emirate</w:t>
            </w:r>
          </w:p>
        </w:tc>
        <w:tc>
          <w:tcPr>
            <w:tcW w:w="2801" w:type="dxa"/>
          </w:tcPr>
          <w:p w:rsidR="0041268E" w:rsidRPr="00BD6197" w:rsidRDefault="0041268E" w:rsidP="000F2BA7">
            <w:pPr>
              <w:pStyle w:val="Tablehead"/>
              <w:rPr>
                <w:lang w:val="en-US"/>
              </w:rPr>
            </w:pPr>
            <w:r w:rsidRPr="00BD6197">
              <w:rPr>
                <w:lang w:val="en-US"/>
              </w:rPr>
              <w:t xml:space="preserve">Emirate wide </w:t>
            </w:r>
          </w:p>
        </w:tc>
        <w:tc>
          <w:tcPr>
            <w:tcW w:w="2160" w:type="dxa"/>
          </w:tcPr>
          <w:p w:rsidR="0041268E" w:rsidRPr="00BD6197" w:rsidRDefault="0041268E" w:rsidP="000F2BA7">
            <w:pPr>
              <w:pStyle w:val="Tablehead"/>
              <w:rPr>
                <w:lang w:val="en-US"/>
              </w:rPr>
            </w:pPr>
            <w:r w:rsidRPr="00BD6197">
              <w:rPr>
                <w:lang w:val="en-US"/>
              </w:rPr>
              <w:t xml:space="preserve">More than Three Emirates </w:t>
            </w:r>
          </w:p>
        </w:tc>
      </w:tr>
      <w:tr w:rsidR="0041268E" w:rsidRPr="00BD6197" w:rsidTr="000F2BA7">
        <w:trPr>
          <w:trHeight w:val="335"/>
          <w:jc w:val="right"/>
        </w:trPr>
        <w:tc>
          <w:tcPr>
            <w:tcW w:w="861" w:type="dxa"/>
            <w:tcBorders>
              <w:bottom w:val="single" w:sz="2" w:space="0" w:color="auto"/>
            </w:tcBorders>
          </w:tcPr>
          <w:p w:rsidR="0041268E" w:rsidRPr="00BD6197" w:rsidRDefault="0041268E" w:rsidP="000F2BA7">
            <w:pPr>
              <w:pStyle w:val="Tabletext"/>
              <w:jc w:val="center"/>
              <w:rPr>
                <w:lang w:val="en-US"/>
              </w:rPr>
            </w:pPr>
            <w:r w:rsidRPr="00BD6197">
              <w:rPr>
                <w:lang w:val="en-US"/>
              </w:rPr>
              <w:t>CF</w:t>
            </w:r>
          </w:p>
        </w:tc>
        <w:tc>
          <w:tcPr>
            <w:tcW w:w="1440" w:type="dxa"/>
            <w:tcBorders>
              <w:bottom w:val="single" w:sz="2" w:space="0" w:color="auto"/>
            </w:tcBorders>
          </w:tcPr>
          <w:p w:rsidR="0041268E" w:rsidRPr="00BD6197" w:rsidRDefault="0041268E" w:rsidP="000F2BA7">
            <w:pPr>
              <w:pStyle w:val="Tabletext"/>
              <w:jc w:val="center"/>
              <w:rPr>
                <w:lang w:val="en-US"/>
              </w:rPr>
            </w:pPr>
            <w:r w:rsidRPr="00BD6197">
              <w:rPr>
                <w:lang w:val="en-US"/>
              </w:rPr>
              <w:t>100</w:t>
            </w:r>
          </w:p>
        </w:tc>
        <w:tc>
          <w:tcPr>
            <w:tcW w:w="1620" w:type="dxa"/>
            <w:tcBorders>
              <w:bottom w:val="single" w:sz="2" w:space="0" w:color="auto"/>
            </w:tcBorders>
          </w:tcPr>
          <w:p w:rsidR="0041268E" w:rsidRPr="00BD6197" w:rsidRDefault="0041268E" w:rsidP="000F2BA7">
            <w:pPr>
              <w:pStyle w:val="Tabletext"/>
              <w:jc w:val="center"/>
              <w:rPr>
                <w:lang w:val="en-US"/>
              </w:rPr>
            </w:pPr>
            <w:r w:rsidRPr="00BD6197">
              <w:rPr>
                <w:lang w:val="en-US"/>
              </w:rPr>
              <w:t>500</w:t>
            </w:r>
          </w:p>
        </w:tc>
        <w:tc>
          <w:tcPr>
            <w:tcW w:w="2801" w:type="dxa"/>
            <w:tcBorders>
              <w:bottom w:val="single" w:sz="2" w:space="0" w:color="auto"/>
            </w:tcBorders>
          </w:tcPr>
          <w:p w:rsidR="0041268E" w:rsidRPr="00BD6197" w:rsidRDefault="0041268E" w:rsidP="000F2BA7">
            <w:pPr>
              <w:pStyle w:val="Tabletext"/>
              <w:rPr>
                <w:lang w:val="en-US"/>
              </w:rPr>
            </w:pPr>
            <w:r w:rsidRPr="00BD6197">
              <w:rPr>
                <w:lang w:val="en-US"/>
              </w:rPr>
              <w:t>2.000 for Abu Dhabi or Dubai</w:t>
            </w:r>
          </w:p>
          <w:p w:rsidR="0041268E" w:rsidRPr="00BD6197" w:rsidRDefault="0041268E" w:rsidP="000F2BA7">
            <w:pPr>
              <w:pStyle w:val="Tabletext"/>
              <w:rPr>
                <w:lang w:val="en-US"/>
              </w:rPr>
            </w:pPr>
            <w:r w:rsidRPr="00BD6197">
              <w:rPr>
                <w:lang w:val="en-US"/>
              </w:rPr>
              <w:t>1.000 for other Emirates</w:t>
            </w:r>
          </w:p>
        </w:tc>
        <w:tc>
          <w:tcPr>
            <w:tcW w:w="2160" w:type="dxa"/>
            <w:tcBorders>
              <w:bottom w:val="single" w:sz="2" w:space="0" w:color="auto"/>
            </w:tcBorders>
          </w:tcPr>
          <w:p w:rsidR="0041268E" w:rsidRPr="00BD6197" w:rsidRDefault="0041268E" w:rsidP="000F2BA7">
            <w:pPr>
              <w:pStyle w:val="Tabletext"/>
              <w:jc w:val="center"/>
              <w:rPr>
                <w:lang w:val="en-US"/>
              </w:rPr>
            </w:pPr>
            <w:r w:rsidRPr="00BD6197">
              <w:rPr>
                <w:lang w:val="en-US"/>
              </w:rPr>
              <w:t>4.000</w:t>
            </w:r>
          </w:p>
        </w:tc>
      </w:tr>
      <w:tr w:rsidR="0041268E" w:rsidRPr="00D17B5B" w:rsidTr="000F2BA7">
        <w:trPr>
          <w:trHeight w:val="335"/>
          <w:jc w:val="right"/>
        </w:trPr>
        <w:tc>
          <w:tcPr>
            <w:tcW w:w="8882" w:type="dxa"/>
            <w:gridSpan w:val="5"/>
            <w:tcBorders>
              <w:left w:val="nil"/>
              <w:bottom w:val="nil"/>
              <w:right w:val="nil"/>
            </w:tcBorders>
          </w:tcPr>
          <w:p w:rsidR="0041268E" w:rsidRPr="00BD6197" w:rsidRDefault="0041268E" w:rsidP="000F2BA7">
            <w:pPr>
              <w:pStyle w:val="TableLegendNote"/>
            </w:pPr>
            <w:r w:rsidRPr="00BD6197">
              <w:t>NOTE 1 – The TRA shall have the sole discretion to determine the Coverage Factor for an Application.</w:t>
            </w:r>
          </w:p>
        </w:tc>
      </w:tr>
    </w:tbl>
    <w:p w:rsidR="0041268E" w:rsidRPr="00BD6197" w:rsidRDefault="0041268E" w:rsidP="0041268E">
      <w:pPr>
        <w:pStyle w:val="Tablefin"/>
        <w:rPr>
          <w:lang w:val="en-US"/>
        </w:rPr>
      </w:pPr>
    </w:p>
    <w:p w:rsidR="0041268E" w:rsidRPr="00BD6197" w:rsidRDefault="0041268E" w:rsidP="0041268E">
      <w:pPr>
        <w:pStyle w:val="ArtNo"/>
        <w:rPr>
          <w:lang w:val="en-US"/>
        </w:rPr>
      </w:pPr>
      <w:r w:rsidRPr="00BD6197">
        <w:rPr>
          <w:lang w:val="en-US"/>
        </w:rPr>
        <w:t>ARTICLE (13)</w:t>
      </w:r>
    </w:p>
    <w:p w:rsidR="0041268E" w:rsidRPr="00BD6197" w:rsidRDefault="0041268E" w:rsidP="0041268E">
      <w:pPr>
        <w:pStyle w:val="Arttitle"/>
        <w:rPr>
          <w:lang w:val="en-US"/>
        </w:rPr>
      </w:pPr>
      <w:bookmarkStart w:id="2400" w:name="_Toc237657984"/>
      <w:r w:rsidRPr="00BD6197">
        <w:rPr>
          <w:lang w:val="en-US"/>
        </w:rPr>
        <w:t>Spectrum Fees for Fixed (point to point) links</w:t>
      </w:r>
      <w:bookmarkEnd w:id="2400"/>
      <w:r w:rsidRPr="00BD6197">
        <w:rPr>
          <w:lang w:val="en-US"/>
        </w:rPr>
        <w:t xml:space="preserve"> </w:t>
      </w:r>
    </w:p>
    <w:p w:rsidR="0041268E" w:rsidRPr="00BD6197" w:rsidRDefault="0041268E" w:rsidP="0041268E">
      <w:pPr>
        <w:pStyle w:val="enumlev1"/>
        <w:rPr>
          <w:lang w:val="en-US"/>
        </w:rPr>
      </w:pPr>
      <w:r w:rsidRPr="00BD6197">
        <w:rPr>
          <w:lang w:val="en-US"/>
        </w:rPr>
        <w:t>13.1</w:t>
      </w:r>
      <w:r w:rsidRPr="00BD6197">
        <w:rPr>
          <w:lang w:val="en-US"/>
        </w:rPr>
        <w:tab/>
        <w:t xml:space="preserve">The Annual Spectrum Fees for each fixed point to point link above 2 GHz shall be calculated as follows: </w:t>
      </w:r>
    </w:p>
    <w:p w:rsidR="0041268E" w:rsidRPr="00BD6197" w:rsidRDefault="0041268E" w:rsidP="0041268E">
      <w:pPr>
        <w:pStyle w:val="Blanc"/>
        <w:rPr>
          <w:lang w:val="en-US"/>
        </w:rPr>
      </w:pPr>
    </w:p>
    <w:p w:rsidR="0041268E" w:rsidRPr="00BD6197" w:rsidRDefault="0041268E" w:rsidP="0041268E">
      <w:pPr>
        <w:pStyle w:val="Equation"/>
        <w:rPr>
          <w:lang w:val="en-US"/>
        </w:rPr>
      </w:pPr>
      <w:r w:rsidRPr="00BD6197">
        <w:rPr>
          <w:lang w:val="en-US"/>
        </w:rPr>
        <w:tab/>
      </w:r>
      <w:r w:rsidRPr="00BD6197">
        <w:rPr>
          <w:lang w:val="en-US"/>
        </w:rPr>
        <w:tab/>
        <w:t>Spectrum Fees = F × 2 000 + BW × 1000</w:t>
      </w:r>
    </w:p>
    <w:p w:rsidR="0041268E" w:rsidRPr="00BD6197" w:rsidRDefault="0041268E" w:rsidP="0041268E">
      <w:pPr>
        <w:pStyle w:val="enumlev1"/>
        <w:keepNext/>
        <w:keepLines/>
        <w:rPr>
          <w:lang w:val="en-US"/>
        </w:rPr>
      </w:pPr>
      <w:r w:rsidRPr="00BD6197">
        <w:rPr>
          <w:lang w:val="en-US"/>
        </w:rPr>
        <w:tab/>
        <w:t xml:space="preserve">where: </w:t>
      </w:r>
    </w:p>
    <w:p w:rsidR="0041268E" w:rsidRPr="00BD6197" w:rsidRDefault="0041268E" w:rsidP="0041268E">
      <w:pPr>
        <w:pStyle w:val="enumlev1"/>
        <w:keepNext/>
        <w:keepLines/>
        <w:rPr>
          <w:lang w:val="en-US"/>
        </w:rPr>
      </w:pPr>
      <w:r w:rsidRPr="00BD6197">
        <w:rPr>
          <w:b/>
          <w:bCs/>
          <w:lang w:val="en-US"/>
        </w:rPr>
        <w:tab/>
        <w:t xml:space="preserve">F </w:t>
      </w:r>
      <w:r w:rsidRPr="00BD6197">
        <w:rPr>
          <w:lang w:val="en-US"/>
        </w:rPr>
        <w:t>=</w:t>
      </w:r>
      <w:r w:rsidRPr="00BD6197">
        <w:rPr>
          <w:b/>
          <w:bCs/>
          <w:lang w:val="en-US"/>
        </w:rPr>
        <w:t xml:space="preserve"> </w:t>
      </w:r>
      <w:r w:rsidRPr="00BD6197">
        <w:rPr>
          <w:lang w:val="en-US"/>
        </w:rPr>
        <w:t xml:space="preserve">Frequency range factor as follows: </w:t>
      </w:r>
      <w:r w:rsidRPr="00BD6197">
        <w:rPr>
          <w:lang w:val="en-US"/>
        </w:rPr>
        <w:tab/>
        <w:t xml:space="preserve"> </w:t>
      </w:r>
      <w:r w:rsidRPr="00BD6197">
        <w:rPr>
          <w:b/>
          <w:bCs/>
          <w:lang w:val="en-US"/>
        </w:rPr>
        <w:t xml:space="preserve">BW </w:t>
      </w:r>
      <w:r w:rsidRPr="00BD6197">
        <w:rPr>
          <w:lang w:val="en-US"/>
        </w:rPr>
        <w:t>=</w:t>
      </w:r>
      <w:r w:rsidRPr="00BD6197">
        <w:rPr>
          <w:b/>
          <w:bCs/>
          <w:lang w:val="en-US"/>
        </w:rPr>
        <w:t xml:space="preserve"> </w:t>
      </w:r>
      <w:r w:rsidRPr="00BD6197">
        <w:rPr>
          <w:lang w:val="en-US"/>
        </w:rPr>
        <w:t xml:space="preserve">Bandwidth factor as follows: </w:t>
      </w:r>
    </w:p>
    <w:p w:rsidR="0041268E" w:rsidRPr="00BD6197" w:rsidRDefault="0041268E" w:rsidP="0041268E">
      <w:pPr>
        <w:tabs>
          <w:tab w:val="clear" w:pos="794"/>
          <w:tab w:val="clear" w:pos="1191"/>
          <w:tab w:val="clear" w:pos="1588"/>
          <w:tab w:val="clear" w:pos="1985"/>
        </w:tabs>
        <w:overflowPunct/>
        <w:autoSpaceDE/>
        <w:autoSpaceDN/>
        <w:adjustRightInd/>
        <w:spacing w:before="0"/>
        <w:textAlignment w:val="auto"/>
        <w:rPr>
          <w:sz w:val="16"/>
          <w:lang w:val="en-US"/>
        </w:rPr>
      </w:pPr>
    </w:p>
    <w:p w:rsidR="0041268E" w:rsidRPr="00BD6197" w:rsidRDefault="0041268E" w:rsidP="0041268E">
      <w:pPr>
        <w:pStyle w:val="Blanc"/>
        <w:rPr>
          <w:lang w:val="en-US"/>
        </w:rPr>
      </w:pPr>
    </w:p>
    <w:tbl>
      <w:tblPr>
        <w:tblW w:w="0" w:type="auto"/>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2447"/>
        <w:gridCol w:w="1071"/>
        <w:gridCol w:w="892"/>
        <w:gridCol w:w="2413"/>
        <w:gridCol w:w="1097"/>
      </w:tblGrid>
      <w:tr w:rsidR="0041268E" w:rsidRPr="00BD6197" w:rsidTr="000F2BA7">
        <w:trPr>
          <w:trHeight w:val="608"/>
        </w:trPr>
        <w:tc>
          <w:tcPr>
            <w:tcW w:w="2447" w:type="dxa"/>
          </w:tcPr>
          <w:p w:rsidR="0041268E" w:rsidRPr="00BD6197" w:rsidRDefault="0041268E" w:rsidP="00C502EC">
            <w:pPr>
              <w:pStyle w:val="Tablehead"/>
              <w:keepLines/>
              <w:rPr>
                <w:lang w:val="en-US"/>
              </w:rPr>
            </w:pPr>
            <w:r w:rsidRPr="00BD6197">
              <w:rPr>
                <w:lang w:val="en-US"/>
              </w:rPr>
              <w:t xml:space="preserve">Frequency Range </w:t>
            </w:r>
          </w:p>
        </w:tc>
        <w:tc>
          <w:tcPr>
            <w:tcW w:w="1071" w:type="dxa"/>
          </w:tcPr>
          <w:p w:rsidR="0041268E" w:rsidRPr="00BD6197" w:rsidRDefault="0041268E" w:rsidP="00C502EC">
            <w:pPr>
              <w:pStyle w:val="Tablehead"/>
              <w:keepLines/>
              <w:rPr>
                <w:lang w:val="en-US"/>
              </w:rPr>
            </w:pPr>
            <w:r w:rsidRPr="00BD6197">
              <w:rPr>
                <w:lang w:val="en-US"/>
              </w:rPr>
              <w:t xml:space="preserve">F </w:t>
            </w:r>
            <w:r w:rsidRPr="00BD6197">
              <w:rPr>
                <w:lang w:val="en-US"/>
              </w:rPr>
              <w:br/>
              <w:t xml:space="preserve">Factor </w:t>
            </w:r>
          </w:p>
        </w:tc>
        <w:tc>
          <w:tcPr>
            <w:tcW w:w="892" w:type="dxa"/>
            <w:tcBorders>
              <w:top w:val="nil"/>
              <w:bottom w:val="nil"/>
            </w:tcBorders>
          </w:tcPr>
          <w:p w:rsidR="0041268E" w:rsidRPr="00BD6197" w:rsidRDefault="0041268E" w:rsidP="00C502EC">
            <w:pPr>
              <w:pStyle w:val="Tablehead"/>
              <w:keepLines/>
              <w:rPr>
                <w:lang w:val="en-US"/>
              </w:rPr>
            </w:pPr>
          </w:p>
        </w:tc>
        <w:tc>
          <w:tcPr>
            <w:tcW w:w="2413" w:type="dxa"/>
          </w:tcPr>
          <w:p w:rsidR="0041268E" w:rsidRPr="00BD6197" w:rsidRDefault="0041268E" w:rsidP="00C502EC">
            <w:pPr>
              <w:pStyle w:val="Tablehead"/>
              <w:keepLines/>
              <w:rPr>
                <w:lang w:val="en-US"/>
              </w:rPr>
            </w:pPr>
            <w:r w:rsidRPr="00BD6197">
              <w:rPr>
                <w:lang w:val="en-US"/>
              </w:rPr>
              <w:t xml:space="preserve">Bandwidth </w:t>
            </w:r>
          </w:p>
        </w:tc>
        <w:tc>
          <w:tcPr>
            <w:tcW w:w="1097" w:type="dxa"/>
          </w:tcPr>
          <w:p w:rsidR="0041268E" w:rsidRPr="00BD6197" w:rsidRDefault="0041268E" w:rsidP="00C502EC">
            <w:pPr>
              <w:pStyle w:val="Tablehead"/>
              <w:keepLines/>
              <w:rPr>
                <w:lang w:val="en-US"/>
              </w:rPr>
            </w:pPr>
            <w:r w:rsidRPr="00BD6197">
              <w:rPr>
                <w:lang w:val="en-US"/>
              </w:rPr>
              <w:t xml:space="preserve">BW </w:t>
            </w:r>
            <w:r w:rsidRPr="00BD6197">
              <w:rPr>
                <w:lang w:val="en-US"/>
              </w:rPr>
              <w:br/>
              <w:t xml:space="preserve">Factor </w:t>
            </w:r>
          </w:p>
        </w:tc>
      </w:tr>
      <w:tr w:rsidR="0041268E" w:rsidRPr="00BD6197" w:rsidTr="000F2BA7">
        <w:trPr>
          <w:trHeight w:val="319"/>
        </w:trPr>
        <w:tc>
          <w:tcPr>
            <w:tcW w:w="2447" w:type="dxa"/>
          </w:tcPr>
          <w:p w:rsidR="0041268E" w:rsidRPr="00BD6197" w:rsidRDefault="0041268E" w:rsidP="00C502EC">
            <w:pPr>
              <w:pStyle w:val="Tabletext"/>
              <w:keepNext/>
              <w:keepLines/>
              <w:jc w:val="center"/>
              <w:rPr>
                <w:lang w:val="en-US"/>
              </w:rPr>
            </w:pPr>
            <w:r w:rsidRPr="00BD6197">
              <w:rPr>
                <w:lang w:val="en-US"/>
              </w:rPr>
              <w:t>2 GHz – 3 GHz</w:t>
            </w:r>
          </w:p>
        </w:tc>
        <w:tc>
          <w:tcPr>
            <w:tcW w:w="1071" w:type="dxa"/>
          </w:tcPr>
          <w:p w:rsidR="0041268E" w:rsidRPr="00BD6197" w:rsidRDefault="0041268E" w:rsidP="00C502EC">
            <w:pPr>
              <w:pStyle w:val="Tabletext"/>
              <w:keepNext/>
              <w:keepLines/>
              <w:jc w:val="center"/>
              <w:rPr>
                <w:lang w:val="en-US"/>
              </w:rPr>
            </w:pPr>
            <w:r w:rsidRPr="00BD6197">
              <w:rPr>
                <w:lang w:val="en-US"/>
              </w:rPr>
              <w:t>4</w:t>
            </w:r>
          </w:p>
        </w:tc>
        <w:tc>
          <w:tcPr>
            <w:tcW w:w="892" w:type="dxa"/>
            <w:tcBorders>
              <w:top w:val="nil"/>
              <w:bottom w:val="nil"/>
            </w:tcBorders>
          </w:tcPr>
          <w:p w:rsidR="0041268E" w:rsidRPr="00BD6197" w:rsidRDefault="0041268E" w:rsidP="00C502EC">
            <w:pPr>
              <w:pStyle w:val="Tabletext"/>
              <w:keepNext/>
              <w:keepLines/>
              <w:rPr>
                <w:lang w:val="en-US"/>
              </w:rPr>
            </w:pPr>
          </w:p>
        </w:tc>
        <w:tc>
          <w:tcPr>
            <w:tcW w:w="2413" w:type="dxa"/>
          </w:tcPr>
          <w:p w:rsidR="0041268E" w:rsidRPr="00BD6197" w:rsidRDefault="0041268E" w:rsidP="00C502EC">
            <w:pPr>
              <w:pStyle w:val="Tabletext"/>
              <w:keepNext/>
              <w:keepLines/>
              <w:jc w:val="center"/>
              <w:rPr>
                <w:lang w:val="en-US"/>
              </w:rPr>
            </w:pPr>
            <w:r w:rsidRPr="00BD6197">
              <w:rPr>
                <w:lang w:val="en-US"/>
              </w:rPr>
              <w:t>7 MHz or less</w:t>
            </w:r>
          </w:p>
        </w:tc>
        <w:tc>
          <w:tcPr>
            <w:tcW w:w="1097" w:type="dxa"/>
          </w:tcPr>
          <w:p w:rsidR="0041268E" w:rsidRPr="00BD6197" w:rsidRDefault="0041268E" w:rsidP="00C502EC">
            <w:pPr>
              <w:pStyle w:val="Tabletext"/>
              <w:keepNext/>
              <w:keepLines/>
              <w:jc w:val="center"/>
              <w:rPr>
                <w:lang w:val="en-US"/>
              </w:rPr>
            </w:pPr>
            <w:r w:rsidRPr="00BD6197">
              <w:rPr>
                <w:lang w:val="en-US"/>
              </w:rPr>
              <w:t>1</w:t>
            </w:r>
          </w:p>
        </w:tc>
      </w:tr>
      <w:tr w:rsidR="0041268E" w:rsidRPr="00BD6197" w:rsidTr="000F2BA7">
        <w:trPr>
          <w:trHeight w:val="319"/>
        </w:trPr>
        <w:tc>
          <w:tcPr>
            <w:tcW w:w="2447" w:type="dxa"/>
          </w:tcPr>
          <w:p w:rsidR="0041268E" w:rsidRPr="00BD6197" w:rsidRDefault="0041268E" w:rsidP="00C502EC">
            <w:pPr>
              <w:pStyle w:val="Tabletext"/>
              <w:keepNext/>
              <w:keepLines/>
              <w:jc w:val="center"/>
              <w:rPr>
                <w:lang w:val="en-US"/>
              </w:rPr>
            </w:pPr>
            <w:r w:rsidRPr="00BD6197">
              <w:rPr>
                <w:lang w:val="en-US"/>
              </w:rPr>
              <w:t>&gt; 3 GHz – 14 GHz</w:t>
            </w:r>
          </w:p>
        </w:tc>
        <w:tc>
          <w:tcPr>
            <w:tcW w:w="1071" w:type="dxa"/>
          </w:tcPr>
          <w:p w:rsidR="0041268E" w:rsidRPr="00BD6197" w:rsidRDefault="0041268E" w:rsidP="00C502EC">
            <w:pPr>
              <w:pStyle w:val="Tabletext"/>
              <w:keepNext/>
              <w:keepLines/>
              <w:jc w:val="center"/>
              <w:rPr>
                <w:lang w:val="en-US"/>
              </w:rPr>
            </w:pPr>
            <w:r w:rsidRPr="00BD6197">
              <w:rPr>
                <w:lang w:val="en-US"/>
              </w:rPr>
              <w:t>3</w:t>
            </w:r>
          </w:p>
        </w:tc>
        <w:tc>
          <w:tcPr>
            <w:tcW w:w="892" w:type="dxa"/>
            <w:tcBorders>
              <w:top w:val="nil"/>
              <w:bottom w:val="nil"/>
            </w:tcBorders>
          </w:tcPr>
          <w:p w:rsidR="0041268E" w:rsidRPr="00BD6197" w:rsidRDefault="0041268E" w:rsidP="00C502EC">
            <w:pPr>
              <w:pStyle w:val="Tabletext"/>
              <w:keepNext/>
              <w:keepLines/>
              <w:rPr>
                <w:lang w:val="en-US"/>
              </w:rPr>
            </w:pPr>
          </w:p>
        </w:tc>
        <w:tc>
          <w:tcPr>
            <w:tcW w:w="2413" w:type="dxa"/>
          </w:tcPr>
          <w:p w:rsidR="0041268E" w:rsidRPr="00BD6197" w:rsidRDefault="0041268E" w:rsidP="00C502EC">
            <w:pPr>
              <w:pStyle w:val="Tabletext"/>
              <w:keepNext/>
              <w:keepLines/>
              <w:jc w:val="center"/>
              <w:rPr>
                <w:lang w:val="en-US"/>
              </w:rPr>
            </w:pPr>
            <w:r w:rsidRPr="00BD6197">
              <w:rPr>
                <w:lang w:val="en-US"/>
              </w:rPr>
              <w:t>&gt; 7 MHz – 28 MHz</w:t>
            </w:r>
          </w:p>
        </w:tc>
        <w:tc>
          <w:tcPr>
            <w:tcW w:w="1097" w:type="dxa"/>
          </w:tcPr>
          <w:p w:rsidR="0041268E" w:rsidRPr="00BD6197" w:rsidRDefault="0041268E" w:rsidP="00C502EC">
            <w:pPr>
              <w:pStyle w:val="Tabletext"/>
              <w:keepNext/>
              <w:keepLines/>
              <w:jc w:val="center"/>
              <w:rPr>
                <w:lang w:val="en-US"/>
              </w:rPr>
            </w:pPr>
            <w:r w:rsidRPr="00BD6197">
              <w:rPr>
                <w:lang w:val="en-US"/>
              </w:rPr>
              <w:t>2</w:t>
            </w:r>
          </w:p>
        </w:tc>
      </w:tr>
      <w:tr w:rsidR="0041268E" w:rsidRPr="00BD6197" w:rsidTr="000F2BA7">
        <w:trPr>
          <w:trHeight w:val="319"/>
        </w:trPr>
        <w:tc>
          <w:tcPr>
            <w:tcW w:w="2447" w:type="dxa"/>
          </w:tcPr>
          <w:p w:rsidR="0041268E" w:rsidRPr="00BD6197" w:rsidRDefault="0041268E" w:rsidP="00C502EC">
            <w:pPr>
              <w:pStyle w:val="Tabletext"/>
              <w:keepNext/>
              <w:keepLines/>
              <w:jc w:val="center"/>
              <w:rPr>
                <w:lang w:val="en-US"/>
              </w:rPr>
            </w:pPr>
            <w:r w:rsidRPr="00BD6197">
              <w:rPr>
                <w:lang w:val="en-US"/>
              </w:rPr>
              <w:t>&gt; 14 GHz – 40 GHz</w:t>
            </w:r>
          </w:p>
        </w:tc>
        <w:tc>
          <w:tcPr>
            <w:tcW w:w="1071" w:type="dxa"/>
          </w:tcPr>
          <w:p w:rsidR="0041268E" w:rsidRPr="00BD6197" w:rsidRDefault="0041268E" w:rsidP="00C502EC">
            <w:pPr>
              <w:pStyle w:val="Tabletext"/>
              <w:keepNext/>
              <w:keepLines/>
              <w:jc w:val="center"/>
              <w:rPr>
                <w:lang w:val="en-US"/>
              </w:rPr>
            </w:pPr>
            <w:r w:rsidRPr="00BD6197">
              <w:rPr>
                <w:lang w:val="en-US"/>
              </w:rPr>
              <w:t>2</w:t>
            </w:r>
          </w:p>
        </w:tc>
        <w:tc>
          <w:tcPr>
            <w:tcW w:w="892" w:type="dxa"/>
            <w:tcBorders>
              <w:top w:val="nil"/>
              <w:bottom w:val="nil"/>
            </w:tcBorders>
          </w:tcPr>
          <w:p w:rsidR="0041268E" w:rsidRPr="00BD6197" w:rsidRDefault="0041268E" w:rsidP="00C502EC">
            <w:pPr>
              <w:pStyle w:val="Tabletext"/>
              <w:keepNext/>
              <w:keepLines/>
              <w:rPr>
                <w:lang w:val="en-US"/>
              </w:rPr>
            </w:pPr>
          </w:p>
        </w:tc>
        <w:tc>
          <w:tcPr>
            <w:tcW w:w="2413" w:type="dxa"/>
          </w:tcPr>
          <w:p w:rsidR="0041268E" w:rsidRPr="00BD6197" w:rsidRDefault="0041268E" w:rsidP="00C502EC">
            <w:pPr>
              <w:pStyle w:val="Tabletext"/>
              <w:keepNext/>
              <w:keepLines/>
              <w:jc w:val="center"/>
              <w:rPr>
                <w:lang w:val="en-US"/>
              </w:rPr>
            </w:pPr>
            <w:r w:rsidRPr="00BD6197">
              <w:rPr>
                <w:lang w:val="en-US"/>
              </w:rPr>
              <w:t>&gt; 28 MHz – 56 MHz</w:t>
            </w:r>
          </w:p>
        </w:tc>
        <w:tc>
          <w:tcPr>
            <w:tcW w:w="1097" w:type="dxa"/>
          </w:tcPr>
          <w:p w:rsidR="0041268E" w:rsidRPr="00BD6197" w:rsidRDefault="0041268E" w:rsidP="00C502EC">
            <w:pPr>
              <w:pStyle w:val="Tabletext"/>
              <w:keepNext/>
              <w:keepLines/>
              <w:jc w:val="center"/>
              <w:rPr>
                <w:lang w:val="en-US"/>
              </w:rPr>
            </w:pPr>
            <w:r w:rsidRPr="00BD6197">
              <w:rPr>
                <w:lang w:val="en-US"/>
              </w:rPr>
              <w:t>3</w:t>
            </w:r>
          </w:p>
        </w:tc>
      </w:tr>
      <w:tr w:rsidR="0041268E" w:rsidRPr="00BD6197" w:rsidTr="000F2BA7">
        <w:trPr>
          <w:trHeight w:val="319"/>
        </w:trPr>
        <w:tc>
          <w:tcPr>
            <w:tcW w:w="2447" w:type="dxa"/>
          </w:tcPr>
          <w:p w:rsidR="0041268E" w:rsidRPr="00BD6197" w:rsidRDefault="0041268E" w:rsidP="00C502EC">
            <w:pPr>
              <w:pStyle w:val="Tabletext"/>
              <w:keepNext/>
              <w:keepLines/>
              <w:jc w:val="center"/>
              <w:rPr>
                <w:lang w:val="en-US"/>
              </w:rPr>
            </w:pPr>
            <w:r w:rsidRPr="00BD6197">
              <w:rPr>
                <w:lang w:val="en-US"/>
              </w:rPr>
              <w:t>Above 40 GHz</w:t>
            </w:r>
          </w:p>
        </w:tc>
        <w:tc>
          <w:tcPr>
            <w:tcW w:w="1071" w:type="dxa"/>
          </w:tcPr>
          <w:p w:rsidR="0041268E" w:rsidRPr="00BD6197" w:rsidRDefault="0041268E" w:rsidP="00C502EC">
            <w:pPr>
              <w:pStyle w:val="Tabletext"/>
              <w:keepNext/>
              <w:keepLines/>
              <w:jc w:val="center"/>
              <w:rPr>
                <w:lang w:val="en-US"/>
              </w:rPr>
            </w:pPr>
            <w:r w:rsidRPr="00BD6197">
              <w:rPr>
                <w:lang w:val="en-US"/>
              </w:rPr>
              <w:t>1</w:t>
            </w:r>
          </w:p>
        </w:tc>
        <w:tc>
          <w:tcPr>
            <w:tcW w:w="892" w:type="dxa"/>
            <w:tcBorders>
              <w:top w:val="nil"/>
              <w:bottom w:val="nil"/>
            </w:tcBorders>
          </w:tcPr>
          <w:p w:rsidR="0041268E" w:rsidRPr="00BD6197" w:rsidRDefault="0041268E" w:rsidP="00C502EC">
            <w:pPr>
              <w:pStyle w:val="Tabletext"/>
              <w:keepNext/>
              <w:keepLines/>
              <w:rPr>
                <w:lang w:val="en-US"/>
              </w:rPr>
            </w:pPr>
          </w:p>
        </w:tc>
        <w:tc>
          <w:tcPr>
            <w:tcW w:w="2413" w:type="dxa"/>
          </w:tcPr>
          <w:p w:rsidR="0041268E" w:rsidRPr="00BD6197" w:rsidRDefault="0041268E" w:rsidP="00C502EC">
            <w:pPr>
              <w:pStyle w:val="Tabletext"/>
              <w:keepNext/>
              <w:keepLines/>
              <w:jc w:val="center"/>
              <w:rPr>
                <w:lang w:val="en-US"/>
              </w:rPr>
            </w:pPr>
            <w:r w:rsidRPr="00BD6197">
              <w:rPr>
                <w:lang w:val="en-US"/>
              </w:rPr>
              <w:t>More than 56 MHz</w:t>
            </w:r>
          </w:p>
        </w:tc>
        <w:tc>
          <w:tcPr>
            <w:tcW w:w="1097" w:type="dxa"/>
          </w:tcPr>
          <w:p w:rsidR="0041268E" w:rsidRPr="00BD6197" w:rsidRDefault="0041268E" w:rsidP="00C502EC">
            <w:pPr>
              <w:pStyle w:val="Tabletext"/>
              <w:keepNext/>
              <w:keepLines/>
              <w:jc w:val="center"/>
              <w:rPr>
                <w:lang w:val="en-US"/>
              </w:rPr>
            </w:pPr>
            <w:r w:rsidRPr="00BD6197">
              <w:rPr>
                <w:lang w:val="en-US"/>
              </w:rPr>
              <w:t>4</w:t>
            </w:r>
          </w:p>
        </w:tc>
      </w:tr>
    </w:tbl>
    <w:p w:rsidR="0041268E" w:rsidRPr="00BD6197" w:rsidRDefault="0041268E" w:rsidP="0041268E">
      <w:pPr>
        <w:pStyle w:val="Tablefin"/>
        <w:rPr>
          <w:lang w:val="en-US"/>
        </w:rPr>
      </w:pPr>
    </w:p>
    <w:p w:rsidR="0041268E" w:rsidRPr="00BD6197" w:rsidRDefault="0041268E" w:rsidP="0041268E">
      <w:pPr>
        <w:pStyle w:val="enumlev1"/>
        <w:rPr>
          <w:lang w:val="en-US"/>
        </w:rPr>
      </w:pPr>
      <w:r w:rsidRPr="00BD6197">
        <w:rPr>
          <w:lang w:val="en-US"/>
        </w:rPr>
        <w:t>13.2</w:t>
      </w:r>
      <w:r w:rsidRPr="00BD6197">
        <w:rPr>
          <w:lang w:val="en-US"/>
        </w:rPr>
        <w:tab/>
        <w:t>The bandwidth for each Fixed Point to Point link above 2 GHz shall be calculated based on the channel bandwidth (e.g. frequency pair with each frequency of 3.5 MHz + 3.5 MHz = 7 MHz shall be having BW factor of 1). The frequency diversity shall be charged as a separate link but space diversity and hot standby operations shall not add to the Fees.</w:t>
      </w:r>
    </w:p>
    <w:p w:rsidR="0041268E" w:rsidRPr="00BD6197" w:rsidRDefault="0041268E" w:rsidP="0041268E">
      <w:pPr>
        <w:pStyle w:val="enumlev1"/>
        <w:rPr>
          <w:lang w:val="en-US"/>
        </w:rPr>
      </w:pPr>
      <w:r w:rsidRPr="00BD6197">
        <w:rPr>
          <w:lang w:val="en-US"/>
        </w:rPr>
        <w:lastRenderedPageBreak/>
        <w:t>13.3</w:t>
      </w:r>
      <w:r w:rsidRPr="00BD6197">
        <w:rPr>
          <w:lang w:val="en-US"/>
        </w:rPr>
        <w:tab/>
        <w:t xml:space="preserve">For unidirectional links and links using the same carrier frequency for transmit and receive, the bandwidth factor will be the assigned bandwidth. </w:t>
      </w:r>
    </w:p>
    <w:p w:rsidR="0041268E" w:rsidRPr="00BD6197" w:rsidRDefault="0041268E" w:rsidP="0041268E">
      <w:pPr>
        <w:pStyle w:val="enumlev1"/>
        <w:rPr>
          <w:lang w:val="en-US"/>
        </w:rPr>
      </w:pPr>
      <w:r w:rsidRPr="00BD6197">
        <w:rPr>
          <w:lang w:val="en-US"/>
        </w:rPr>
        <w:t>13.4</w:t>
      </w:r>
      <w:r w:rsidRPr="00BD6197">
        <w:rPr>
          <w:lang w:val="en-US"/>
        </w:rPr>
        <w:tab/>
        <w:t>In exceptional cases, as decided by the TRA, where frequency pairs are assigned for all UAE point-to-point links above 2 GHz, the annual spectrum Fees shall be ten times the annual spectrum Fees for one link (same parameters) based on a re-use factor of 10.</w:t>
      </w:r>
    </w:p>
    <w:p w:rsidR="0041268E" w:rsidRPr="00BD6197" w:rsidRDefault="0041268E" w:rsidP="0041268E">
      <w:pPr>
        <w:pStyle w:val="enumlev1"/>
        <w:rPr>
          <w:lang w:val="en-US"/>
        </w:rPr>
      </w:pPr>
      <w:r w:rsidRPr="00BD6197">
        <w:rPr>
          <w:lang w:val="en-US"/>
        </w:rPr>
        <w:t>13.5</w:t>
      </w:r>
      <w:r w:rsidRPr="00BD6197">
        <w:rPr>
          <w:lang w:val="en-US"/>
        </w:rPr>
        <w:tab/>
        <w:t xml:space="preserve">The Annual Spectrum Fees for each fixed point to point link below 2 GHz with capacity less than 64 kbps shall be calculated as follows: </w:t>
      </w:r>
    </w:p>
    <w:p w:rsidR="0041268E" w:rsidRPr="00BD6197" w:rsidRDefault="0041268E" w:rsidP="0041268E">
      <w:pPr>
        <w:pStyle w:val="Blanc"/>
        <w:rPr>
          <w:lang w:val="en-US"/>
        </w:rPr>
      </w:pPr>
    </w:p>
    <w:p w:rsidR="0041268E" w:rsidRPr="00BD6197" w:rsidRDefault="0041268E" w:rsidP="0041268E">
      <w:pPr>
        <w:pStyle w:val="Equation"/>
        <w:rPr>
          <w:lang w:val="en-US"/>
        </w:rPr>
      </w:pPr>
      <w:r w:rsidRPr="00BD6197">
        <w:rPr>
          <w:lang w:val="en-US"/>
        </w:rPr>
        <w:tab/>
      </w:r>
      <w:r w:rsidRPr="00BD6197">
        <w:rPr>
          <w:lang w:val="en-US"/>
        </w:rPr>
        <w:tab/>
        <w:t>Spectrum Fees = BW × 1 000</w:t>
      </w:r>
    </w:p>
    <w:p w:rsidR="0041268E" w:rsidRPr="00BD6197" w:rsidRDefault="0041268E" w:rsidP="0041268E">
      <w:pPr>
        <w:pStyle w:val="enumlev1"/>
        <w:rPr>
          <w:lang w:val="en-US"/>
        </w:rPr>
      </w:pPr>
      <w:r w:rsidRPr="00BD6197">
        <w:rPr>
          <w:lang w:val="en-US"/>
        </w:rPr>
        <w:tab/>
        <w:t xml:space="preserve">where: </w:t>
      </w:r>
    </w:p>
    <w:p w:rsidR="0041268E" w:rsidRPr="00BD6197" w:rsidRDefault="0041268E" w:rsidP="0041268E">
      <w:pPr>
        <w:pStyle w:val="enumlev1"/>
        <w:rPr>
          <w:lang w:val="en-US"/>
        </w:rPr>
      </w:pPr>
      <w:r w:rsidRPr="00BD6197">
        <w:rPr>
          <w:b/>
          <w:bCs/>
          <w:lang w:val="en-US"/>
        </w:rPr>
        <w:tab/>
        <w:t>BW</w:t>
      </w:r>
      <w:r w:rsidRPr="00BD6197">
        <w:rPr>
          <w:lang w:val="en-US"/>
        </w:rPr>
        <w:t xml:space="preserve"> is the total bandwidth in kHz for all channels of that link.</w:t>
      </w:r>
    </w:p>
    <w:p w:rsidR="0041268E" w:rsidRPr="00BD6197" w:rsidRDefault="0041268E" w:rsidP="0041268E">
      <w:pPr>
        <w:pStyle w:val="enumlev1"/>
        <w:rPr>
          <w:lang w:val="en-US"/>
        </w:rPr>
      </w:pPr>
      <w:r w:rsidRPr="00BD6197">
        <w:rPr>
          <w:lang w:val="en-US"/>
        </w:rPr>
        <w:t>13.6</w:t>
      </w:r>
      <w:r w:rsidRPr="00BD6197">
        <w:rPr>
          <w:lang w:val="en-US"/>
        </w:rPr>
        <w:tab/>
        <w:t xml:space="preserve">The Annual Spectrum Fees for Fixed Point to Point link below 2 GHz with high capacity equal or above 64 kbps shall be calculated as follows: </w:t>
      </w:r>
    </w:p>
    <w:p w:rsidR="0041268E" w:rsidRPr="00BD6197" w:rsidRDefault="0041268E" w:rsidP="0041268E">
      <w:pPr>
        <w:pStyle w:val="Blanc"/>
        <w:rPr>
          <w:lang w:val="en-US"/>
        </w:rPr>
      </w:pPr>
    </w:p>
    <w:p w:rsidR="0041268E" w:rsidRPr="00BD6197" w:rsidRDefault="0041268E" w:rsidP="0041268E">
      <w:pPr>
        <w:pStyle w:val="Equation"/>
        <w:rPr>
          <w:lang w:val="en-US"/>
        </w:rPr>
      </w:pPr>
      <w:r w:rsidRPr="00BD6197">
        <w:rPr>
          <w:lang w:val="en-US"/>
        </w:rPr>
        <w:tab/>
      </w:r>
      <w:r w:rsidRPr="00BD6197">
        <w:rPr>
          <w:lang w:val="en-US"/>
        </w:rPr>
        <w:tab/>
        <w:t>Spectrum Fees = BW × 2 000</w:t>
      </w:r>
    </w:p>
    <w:p w:rsidR="0041268E" w:rsidRPr="00BD6197" w:rsidRDefault="0041268E" w:rsidP="0041268E">
      <w:pPr>
        <w:pStyle w:val="enumlev1"/>
        <w:rPr>
          <w:lang w:val="en-US"/>
        </w:rPr>
      </w:pPr>
      <w:r w:rsidRPr="00BD6197">
        <w:rPr>
          <w:lang w:val="en-US"/>
        </w:rPr>
        <w:tab/>
        <w:t>where:</w:t>
      </w:r>
    </w:p>
    <w:p w:rsidR="0041268E" w:rsidRPr="00BD6197" w:rsidRDefault="0041268E" w:rsidP="0041268E">
      <w:pPr>
        <w:pStyle w:val="enumlev1"/>
        <w:rPr>
          <w:lang w:val="en-US"/>
        </w:rPr>
      </w:pPr>
      <w:r w:rsidRPr="00BD6197">
        <w:rPr>
          <w:b/>
          <w:bCs/>
          <w:lang w:val="en-US"/>
        </w:rPr>
        <w:tab/>
        <w:t>BW</w:t>
      </w:r>
      <w:r w:rsidRPr="00BD6197">
        <w:rPr>
          <w:lang w:val="en-US"/>
        </w:rPr>
        <w:t xml:space="preserve"> is the total bandwidth in MHz for all channels of that link.</w:t>
      </w:r>
    </w:p>
    <w:p w:rsidR="0041268E" w:rsidRPr="00BD6197" w:rsidRDefault="0041268E" w:rsidP="0041268E">
      <w:pPr>
        <w:pStyle w:val="ArtNo"/>
        <w:rPr>
          <w:lang w:val="en-US"/>
        </w:rPr>
      </w:pPr>
      <w:r w:rsidRPr="00BD6197">
        <w:rPr>
          <w:lang w:val="en-US"/>
        </w:rPr>
        <w:t>ARTICLE (14)</w:t>
      </w:r>
    </w:p>
    <w:p w:rsidR="0041268E" w:rsidRPr="00BD6197" w:rsidRDefault="0041268E" w:rsidP="0041268E">
      <w:pPr>
        <w:pStyle w:val="Arttitle"/>
        <w:rPr>
          <w:lang w:val="en-US"/>
        </w:rPr>
      </w:pPr>
      <w:bookmarkStart w:id="2401" w:name="_Toc237657985"/>
      <w:r w:rsidRPr="00BD6197">
        <w:rPr>
          <w:lang w:val="en-US"/>
        </w:rPr>
        <w:t xml:space="preserve">Spectrum Fees for FWA (PMP, WLL), SCADA, Telemetry, </w:t>
      </w:r>
      <w:r w:rsidRPr="00BD6197">
        <w:rPr>
          <w:lang w:val="en-US"/>
        </w:rPr>
        <w:br/>
        <w:t>Mesh Networks</w:t>
      </w:r>
      <w:bookmarkEnd w:id="2401"/>
      <w:r w:rsidRPr="00BD6197">
        <w:rPr>
          <w:lang w:val="en-US"/>
        </w:rPr>
        <w:t xml:space="preserve"> </w:t>
      </w:r>
    </w:p>
    <w:p w:rsidR="0041268E" w:rsidRPr="00BD6197" w:rsidRDefault="0041268E" w:rsidP="0041268E">
      <w:pPr>
        <w:pStyle w:val="enumlev1"/>
        <w:rPr>
          <w:lang w:val="en-US"/>
        </w:rPr>
      </w:pPr>
      <w:r w:rsidRPr="00BD6197">
        <w:rPr>
          <w:lang w:val="en-US"/>
        </w:rPr>
        <w:t>14.1</w:t>
      </w:r>
      <w:r w:rsidRPr="00BD6197">
        <w:rPr>
          <w:lang w:val="en-US"/>
        </w:rPr>
        <w:tab/>
        <w:t xml:space="preserve">The Annual Spectrum Fees for Fixed Wireless Access (including Wireless Local loop and Point to multipoint), SCADA, Telemetry and Mesh networks below 2 GHz shall be calculated as follows: </w:t>
      </w:r>
    </w:p>
    <w:p w:rsidR="0041268E" w:rsidRPr="00BD6197" w:rsidRDefault="0041268E" w:rsidP="0041268E">
      <w:pPr>
        <w:pStyle w:val="Blanc"/>
        <w:rPr>
          <w:lang w:val="en-US"/>
        </w:rPr>
      </w:pPr>
    </w:p>
    <w:p w:rsidR="0041268E" w:rsidRPr="00BD6197" w:rsidRDefault="0041268E" w:rsidP="0041268E">
      <w:pPr>
        <w:pStyle w:val="Equation"/>
        <w:rPr>
          <w:lang w:val="en-US"/>
        </w:rPr>
      </w:pPr>
      <w:r w:rsidRPr="00BD6197">
        <w:rPr>
          <w:lang w:val="en-US"/>
        </w:rPr>
        <w:tab/>
      </w:r>
      <w:r w:rsidRPr="00BD6197">
        <w:rPr>
          <w:lang w:val="en-US"/>
        </w:rPr>
        <w:tab/>
        <w:t>Spectrum Fees = BW × CF × 10</w:t>
      </w:r>
    </w:p>
    <w:p w:rsidR="0041268E" w:rsidRPr="00BD6197" w:rsidRDefault="0041268E" w:rsidP="0041268E">
      <w:pPr>
        <w:pStyle w:val="enumlev1"/>
        <w:rPr>
          <w:b/>
          <w:bCs/>
          <w:color w:val="000000"/>
          <w:lang w:val="en-US"/>
        </w:rPr>
      </w:pPr>
      <w:r w:rsidRPr="00BD6197">
        <w:rPr>
          <w:lang w:val="en-US"/>
        </w:rPr>
        <w:tab/>
        <w:t>where:</w:t>
      </w:r>
      <w:r w:rsidRPr="00BD6197">
        <w:rPr>
          <w:b/>
          <w:bCs/>
          <w:color w:val="000000"/>
          <w:lang w:val="en-US"/>
        </w:rPr>
        <w:t xml:space="preserve"> </w:t>
      </w:r>
    </w:p>
    <w:p w:rsidR="0041268E" w:rsidRPr="00BD6197" w:rsidRDefault="0041268E" w:rsidP="0041268E">
      <w:pPr>
        <w:pStyle w:val="enumlev1"/>
        <w:rPr>
          <w:lang w:val="en-US"/>
        </w:rPr>
      </w:pPr>
      <w:r w:rsidRPr="00BD6197">
        <w:rPr>
          <w:b/>
          <w:bCs/>
          <w:lang w:val="en-US"/>
        </w:rPr>
        <w:tab/>
        <w:t xml:space="preserve">BW </w:t>
      </w:r>
      <w:r w:rsidRPr="00BD6197">
        <w:rPr>
          <w:lang w:val="en-US"/>
        </w:rPr>
        <w:t>=</w:t>
      </w:r>
      <w:r w:rsidRPr="00BD6197">
        <w:rPr>
          <w:b/>
          <w:bCs/>
          <w:lang w:val="en-US"/>
        </w:rPr>
        <w:t xml:space="preserve"> </w:t>
      </w:r>
      <w:r w:rsidRPr="00BD6197">
        <w:rPr>
          <w:lang w:val="en-US"/>
        </w:rPr>
        <w:t>Total Bandwidth in kHz.</w:t>
      </w:r>
    </w:p>
    <w:p w:rsidR="0041268E" w:rsidRPr="00BD6197" w:rsidRDefault="0041268E" w:rsidP="0041268E">
      <w:pPr>
        <w:pStyle w:val="enumlev1"/>
        <w:rPr>
          <w:lang w:val="en-US"/>
        </w:rPr>
      </w:pPr>
      <w:r w:rsidRPr="00BD6197">
        <w:rPr>
          <w:b/>
          <w:bCs/>
          <w:lang w:val="en-US"/>
        </w:rPr>
        <w:tab/>
        <w:t xml:space="preserve">CF </w:t>
      </w:r>
      <w:r w:rsidRPr="00BD6197">
        <w:rPr>
          <w:lang w:val="en-US"/>
        </w:rPr>
        <w:t>=</w:t>
      </w:r>
      <w:r w:rsidRPr="00BD6197">
        <w:rPr>
          <w:b/>
          <w:bCs/>
          <w:lang w:val="en-US"/>
        </w:rPr>
        <w:t xml:space="preserve"> </w:t>
      </w:r>
      <w:r w:rsidRPr="00BD6197">
        <w:rPr>
          <w:lang w:val="en-US"/>
        </w:rPr>
        <w:t xml:space="preserve">Coverage Factor depending on the geographical area which will be determined as follows: </w:t>
      </w:r>
    </w:p>
    <w:p w:rsidR="0041268E" w:rsidRPr="00BD6197" w:rsidRDefault="0041268E" w:rsidP="0041268E">
      <w:pPr>
        <w:pStyle w:val="Blanc"/>
        <w:rPr>
          <w:lang w:val="en-US"/>
        </w:rPr>
      </w:pPr>
    </w:p>
    <w:tbl>
      <w:tblPr>
        <w:tblW w:w="888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041"/>
        <w:gridCol w:w="1440"/>
        <w:gridCol w:w="1620"/>
        <w:gridCol w:w="2621"/>
        <w:gridCol w:w="2160"/>
      </w:tblGrid>
      <w:tr w:rsidR="0041268E" w:rsidRPr="00BD6197" w:rsidTr="000F2BA7">
        <w:trPr>
          <w:trHeight w:val="335"/>
          <w:jc w:val="right"/>
        </w:trPr>
        <w:tc>
          <w:tcPr>
            <w:tcW w:w="1041" w:type="dxa"/>
          </w:tcPr>
          <w:p w:rsidR="0041268E" w:rsidRPr="00BD6197" w:rsidRDefault="0041268E" w:rsidP="000F2BA7">
            <w:pPr>
              <w:pStyle w:val="Tablehead"/>
              <w:rPr>
                <w:lang w:val="en-US"/>
              </w:rPr>
            </w:pPr>
            <w:r w:rsidRPr="00BD6197">
              <w:rPr>
                <w:lang w:val="en-US"/>
              </w:rPr>
              <w:t xml:space="preserve">Area </w:t>
            </w:r>
          </w:p>
        </w:tc>
        <w:tc>
          <w:tcPr>
            <w:tcW w:w="1440" w:type="dxa"/>
          </w:tcPr>
          <w:p w:rsidR="0041268E" w:rsidRPr="00BD6197" w:rsidRDefault="0041268E" w:rsidP="000F2BA7">
            <w:pPr>
              <w:pStyle w:val="Tablehead"/>
              <w:rPr>
                <w:lang w:val="en-US"/>
              </w:rPr>
            </w:pPr>
            <w:r w:rsidRPr="00BD6197">
              <w:rPr>
                <w:lang w:val="en-US"/>
              </w:rPr>
              <w:t xml:space="preserve">Rural area or within premises </w:t>
            </w:r>
          </w:p>
        </w:tc>
        <w:tc>
          <w:tcPr>
            <w:tcW w:w="1620" w:type="dxa"/>
          </w:tcPr>
          <w:p w:rsidR="0041268E" w:rsidRPr="00BD6197" w:rsidRDefault="0041268E" w:rsidP="000F2BA7">
            <w:pPr>
              <w:pStyle w:val="Tablehead"/>
              <w:rPr>
                <w:lang w:val="en-US"/>
              </w:rPr>
            </w:pPr>
            <w:r w:rsidRPr="00BD6197">
              <w:rPr>
                <w:lang w:val="en-US"/>
              </w:rPr>
              <w:t>Urban city area within one Emirate</w:t>
            </w:r>
          </w:p>
        </w:tc>
        <w:tc>
          <w:tcPr>
            <w:tcW w:w="2621" w:type="dxa"/>
          </w:tcPr>
          <w:p w:rsidR="0041268E" w:rsidRPr="00BD6197" w:rsidRDefault="0041268E" w:rsidP="000F2BA7">
            <w:pPr>
              <w:pStyle w:val="Tablehead"/>
              <w:rPr>
                <w:lang w:val="en-US"/>
              </w:rPr>
            </w:pPr>
            <w:r w:rsidRPr="00BD6197">
              <w:rPr>
                <w:lang w:val="en-US"/>
              </w:rPr>
              <w:t xml:space="preserve">Emirate wide </w:t>
            </w:r>
          </w:p>
        </w:tc>
        <w:tc>
          <w:tcPr>
            <w:tcW w:w="2160" w:type="dxa"/>
          </w:tcPr>
          <w:p w:rsidR="0041268E" w:rsidRPr="00BD6197" w:rsidRDefault="0041268E" w:rsidP="000F2BA7">
            <w:pPr>
              <w:pStyle w:val="Tablehead"/>
              <w:rPr>
                <w:lang w:val="en-US"/>
              </w:rPr>
            </w:pPr>
            <w:r w:rsidRPr="00BD6197">
              <w:rPr>
                <w:lang w:val="en-US"/>
              </w:rPr>
              <w:t xml:space="preserve">More than Three Emirates </w:t>
            </w:r>
          </w:p>
        </w:tc>
      </w:tr>
      <w:tr w:rsidR="0041268E" w:rsidRPr="00BD6197" w:rsidTr="000F2BA7">
        <w:trPr>
          <w:trHeight w:val="335"/>
          <w:jc w:val="right"/>
        </w:trPr>
        <w:tc>
          <w:tcPr>
            <w:tcW w:w="1041" w:type="dxa"/>
            <w:tcBorders>
              <w:bottom w:val="single" w:sz="2" w:space="0" w:color="auto"/>
            </w:tcBorders>
          </w:tcPr>
          <w:p w:rsidR="0041268E" w:rsidRPr="00BD6197" w:rsidRDefault="0041268E" w:rsidP="000F2BA7">
            <w:pPr>
              <w:pStyle w:val="Tabletext"/>
              <w:jc w:val="center"/>
              <w:rPr>
                <w:lang w:val="en-US"/>
              </w:rPr>
            </w:pPr>
            <w:r w:rsidRPr="00BD6197">
              <w:rPr>
                <w:lang w:val="en-US"/>
              </w:rPr>
              <w:t>CF</w:t>
            </w:r>
          </w:p>
        </w:tc>
        <w:tc>
          <w:tcPr>
            <w:tcW w:w="1440" w:type="dxa"/>
            <w:tcBorders>
              <w:bottom w:val="single" w:sz="2" w:space="0" w:color="auto"/>
            </w:tcBorders>
          </w:tcPr>
          <w:p w:rsidR="0041268E" w:rsidRPr="00BD6197" w:rsidRDefault="0041268E" w:rsidP="000F2BA7">
            <w:pPr>
              <w:pStyle w:val="Tabletext"/>
              <w:jc w:val="center"/>
              <w:rPr>
                <w:lang w:val="en-US"/>
              </w:rPr>
            </w:pPr>
            <w:r w:rsidRPr="00BD6197">
              <w:rPr>
                <w:lang w:val="en-US"/>
              </w:rPr>
              <w:t>100</w:t>
            </w:r>
          </w:p>
        </w:tc>
        <w:tc>
          <w:tcPr>
            <w:tcW w:w="1620" w:type="dxa"/>
            <w:tcBorders>
              <w:bottom w:val="single" w:sz="2" w:space="0" w:color="auto"/>
            </w:tcBorders>
          </w:tcPr>
          <w:p w:rsidR="0041268E" w:rsidRPr="00BD6197" w:rsidRDefault="0041268E" w:rsidP="000F2BA7">
            <w:pPr>
              <w:pStyle w:val="Tabletext"/>
              <w:jc w:val="center"/>
              <w:rPr>
                <w:lang w:val="en-US"/>
              </w:rPr>
            </w:pPr>
            <w:r w:rsidRPr="00BD6197">
              <w:rPr>
                <w:lang w:val="en-US"/>
              </w:rPr>
              <w:t>500</w:t>
            </w:r>
          </w:p>
        </w:tc>
        <w:tc>
          <w:tcPr>
            <w:tcW w:w="2621" w:type="dxa"/>
            <w:tcBorders>
              <w:bottom w:val="single" w:sz="2" w:space="0" w:color="auto"/>
            </w:tcBorders>
          </w:tcPr>
          <w:p w:rsidR="0041268E" w:rsidRPr="00BD6197" w:rsidRDefault="0041268E" w:rsidP="000F2BA7">
            <w:pPr>
              <w:pStyle w:val="Tabletext"/>
              <w:rPr>
                <w:lang w:val="en-US"/>
              </w:rPr>
            </w:pPr>
            <w:r w:rsidRPr="00BD6197">
              <w:rPr>
                <w:lang w:val="en-US"/>
              </w:rPr>
              <w:t>2.000 for Abu Dhabi or Dubai, 1.000 for other Emirates</w:t>
            </w:r>
          </w:p>
        </w:tc>
        <w:tc>
          <w:tcPr>
            <w:tcW w:w="2160" w:type="dxa"/>
            <w:tcBorders>
              <w:bottom w:val="single" w:sz="2" w:space="0" w:color="auto"/>
            </w:tcBorders>
          </w:tcPr>
          <w:p w:rsidR="0041268E" w:rsidRPr="00BD6197" w:rsidRDefault="0041268E" w:rsidP="000F2BA7">
            <w:pPr>
              <w:pStyle w:val="Tabletext"/>
              <w:jc w:val="center"/>
              <w:rPr>
                <w:lang w:val="en-US"/>
              </w:rPr>
            </w:pPr>
            <w:r w:rsidRPr="00BD6197">
              <w:rPr>
                <w:lang w:val="en-US"/>
              </w:rPr>
              <w:t>4.000</w:t>
            </w:r>
          </w:p>
        </w:tc>
      </w:tr>
      <w:tr w:rsidR="0041268E" w:rsidRPr="00D17B5B" w:rsidTr="000F2BA7">
        <w:trPr>
          <w:trHeight w:val="335"/>
          <w:jc w:val="right"/>
        </w:trPr>
        <w:tc>
          <w:tcPr>
            <w:tcW w:w="8882" w:type="dxa"/>
            <w:gridSpan w:val="5"/>
            <w:tcBorders>
              <w:left w:val="nil"/>
              <w:bottom w:val="nil"/>
              <w:right w:val="nil"/>
            </w:tcBorders>
          </w:tcPr>
          <w:p w:rsidR="0041268E" w:rsidRPr="00BD6197" w:rsidRDefault="0041268E" w:rsidP="000F2BA7">
            <w:pPr>
              <w:pStyle w:val="TableLegendNote"/>
            </w:pPr>
            <w:r w:rsidRPr="00BD6197">
              <w:t>NOTE 1 –</w:t>
            </w:r>
            <w:r w:rsidRPr="00BD6197">
              <w:rPr>
                <w:b/>
                <w:bCs/>
              </w:rPr>
              <w:t xml:space="preserve"> </w:t>
            </w:r>
            <w:r w:rsidRPr="00BD6197">
              <w:t>The TRA shall have the sole discretion to determine the Coverage Factor for an Application.</w:t>
            </w:r>
          </w:p>
        </w:tc>
      </w:tr>
    </w:tbl>
    <w:p w:rsidR="0041268E" w:rsidRPr="00BD6197" w:rsidRDefault="0041268E" w:rsidP="0041268E">
      <w:pPr>
        <w:pStyle w:val="Tablefin"/>
        <w:rPr>
          <w:lang w:val="en-US"/>
        </w:rPr>
      </w:pPr>
    </w:p>
    <w:p w:rsidR="0041268E" w:rsidRPr="00BD6197" w:rsidRDefault="0041268E" w:rsidP="0041268E">
      <w:pPr>
        <w:pStyle w:val="enumlev1"/>
        <w:rPr>
          <w:lang w:val="en-US"/>
        </w:rPr>
      </w:pPr>
      <w:r w:rsidRPr="00BD6197">
        <w:rPr>
          <w:lang w:val="en-US"/>
        </w:rPr>
        <w:t>14.2</w:t>
      </w:r>
      <w:r w:rsidRPr="00BD6197">
        <w:rPr>
          <w:lang w:val="en-US"/>
        </w:rPr>
        <w:tab/>
        <w:t xml:space="preserve">The Annual Spectrum Fees for Fixed Wireless Access (including Wireless Local loop and Point to multipoint), SCADA, Fixed Broadband and mesh networks above 2 GHz shall be calculated as follows: </w:t>
      </w:r>
    </w:p>
    <w:p w:rsidR="0041268E" w:rsidRPr="00BD6197" w:rsidRDefault="0041268E" w:rsidP="0041268E">
      <w:pPr>
        <w:pStyle w:val="Equation"/>
        <w:rPr>
          <w:lang w:val="en-US"/>
        </w:rPr>
      </w:pPr>
      <w:r w:rsidRPr="00BD6197">
        <w:rPr>
          <w:lang w:val="en-US"/>
        </w:rPr>
        <w:tab/>
      </w:r>
      <w:r w:rsidRPr="00BD6197">
        <w:rPr>
          <w:lang w:val="en-US"/>
        </w:rPr>
        <w:tab/>
        <w:t>Spectrum Fees = BW × CF × FF</w:t>
      </w:r>
    </w:p>
    <w:p w:rsidR="0041268E" w:rsidRPr="00BD6197" w:rsidRDefault="0041268E" w:rsidP="0041268E">
      <w:pPr>
        <w:pStyle w:val="enumlev1"/>
        <w:rPr>
          <w:b/>
          <w:bCs/>
          <w:color w:val="000000"/>
          <w:lang w:val="en-US"/>
        </w:rPr>
      </w:pPr>
      <w:r w:rsidRPr="00BD6197">
        <w:rPr>
          <w:lang w:val="en-US"/>
        </w:rPr>
        <w:tab/>
        <w:t>where:</w:t>
      </w:r>
      <w:r w:rsidRPr="00BD6197">
        <w:rPr>
          <w:b/>
          <w:bCs/>
          <w:color w:val="000000"/>
          <w:lang w:val="en-US"/>
        </w:rPr>
        <w:t xml:space="preserve"> </w:t>
      </w:r>
    </w:p>
    <w:p w:rsidR="0041268E" w:rsidRPr="00BD6197" w:rsidRDefault="0041268E" w:rsidP="0041268E">
      <w:pPr>
        <w:pStyle w:val="enumlev1"/>
        <w:rPr>
          <w:lang w:val="en-US"/>
        </w:rPr>
      </w:pPr>
      <w:r w:rsidRPr="00BD6197">
        <w:rPr>
          <w:b/>
          <w:bCs/>
          <w:lang w:val="en-US"/>
        </w:rPr>
        <w:lastRenderedPageBreak/>
        <w:tab/>
        <w:t xml:space="preserve">BW </w:t>
      </w:r>
      <w:r w:rsidRPr="00BD6197">
        <w:rPr>
          <w:lang w:val="en-US"/>
        </w:rPr>
        <w:t>=</w:t>
      </w:r>
      <w:r w:rsidRPr="00BD6197">
        <w:rPr>
          <w:b/>
          <w:bCs/>
          <w:lang w:val="en-US"/>
        </w:rPr>
        <w:t xml:space="preserve"> </w:t>
      </w:r>
      <w:r w:rsidRPr="00BD6197">
        <w:rPr>
          <w:lang w:val="en-US"/>
        </w:rPr>
        <w:t>Total Bandwidth in MHz.</w:t>
      </w:r>
    </w:p>
    <w:p w:rsidR="0041268E" w:rsidRPr="00BD6197" w:rsidRDefault="0041268E" w:rsidP="0041268E">
      <w:pPr>
        <w:pStyle w:val="Note"/>
        <w:ind w:left="794" w:hanging="794"/>
        <w:rPr>
          <w:i/>
          <w:iCs/>
          <w:lang w:val="en-US"/>
        </w:rPr>
      </w:pPr>
      <w:r w:rsidRPr="00BD6197">
        <w:rPr>
          <w:b/>
          <w:bCs/>
          <w:i/>
          <w:iCs/>
          <w:lang w:val="en-US"/>
        </w:rPr>
        <w:tab/>
      </w:r>
      <w:r w:rsidRPr="00BD6197">
        <w:rPr>
          <w:i/>
          <w:iCs/>
          <w:lang w:val="en-US"/>
        </w:rPr>
        <w:t>NOTE 1 – For networks (including vehicles) using both 2.4 and 5.8 GHz, total bandwidth of both bands will be added.</w:t>
      </w:r>
    </w:p>
    <w:p w:rsidR="0041268E" w:rsidRPr="00BD6197" w:rsidRDefault="0041268E" w:rsidP="0041268E">
      <w:pPr>
        <w:pStyle w:val="enumlev1"/>
        <w:rPr>
          <w:lang w:val="en-US"/>
        </w:rPr>
      </w:pPr>
      <w:r w:rsidRPr="00BD6197">
        <w:rPr>
          <w:b/>
          <w:bCs/>
          <w:lang w:val="en-US"/>
        </w:rPr>
        <w:tab/>
        <w:t xml:space="preserve">CF </w:t>
      </w:r>
      <w:r w:rsidRPr="00BD6197">
        <w:rPr>
          <w:lang w:val="en-US"/>
        </w:rPr>
        <w:t>=</w:t>
      </w:r>
      <w:r w:rsidRPr="00BD6197">
        <w:rPr>
          <w:b/>
          <w:bCs/>
          <w:lang w:val="en-US"/>
        </w:rPr>
        <w:t xml:space="preserve"> </w:t>
      </w:r>
      <w:r w:rsidRPr="00BD6197">
        <w:rPr>
          <w:lang w:val="en-US"/>
        </w:rPr>
        <w:t xml:space="preserve">Coverage Factor depending on the geographical area which will be determined as follows: </w:t>
      </w:r>
    </w:p>
    <w:p w:rsidR="0041268E" w:rsidRPr="00BD6197" w:rsidRDefault="0041268E" w:rsidP="0041268E">
      <w:pPr>
        <w:pStyle w:val="Blanc"/>
        <w:rPr>
          <w:lang w:val="en-US"/>
        </w:rPr>
      </w:pPr>
    </w:p>
    <w:tbl>
      <w:tblPr>
        <w:tblW w:w="888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1039"/>
        <w:gridCol w:w="1442"/>
        <w:gridCol w:w="1616"/>
        <w:gridCol w:w="2625"/>
        <w:gridCol w:w="2160"/>
      </w:tblGrid>
      <w:tr w:rsidR="0041268E" w:rsidRPr="00BD6197" w:rsidTr="000F2BA7">
        <w:trPr>
          <w:trHeight w:val="335"/>
          <w:jc w:val="right"/>
        </w:trPr>
        <w:tc>
          <w:tcPr>
            <w:tcW w:w="1039" w:type="dxa"/>
          </w:tcPr>
          <w:p w:rsidR="0041268E" w:rsidRPr="00BD6197" w:rsidRDefault="0041268E" w:rsidP="000F2BA7">
            <w:pPr>
              <w:pStyle w:val="Tablehead"/>
              <w:rPr>
                <w:lang w:val="en-US"/>
              </w:rPr>
            </w:pPr>
            <w:r w:rsidRPr="00BD6197">
              <w:rPr>
                <w:lang w:val="en-US"/>
              </w:rPr>
              <w:t xml:space="preserve">Area </w:t>
            </w:r>
          </w:p>
        </w:tc>
        <w:tc>
          <w:tcPr>
            <w:tcW w:w="1442" w:type="dxa"/>
          </w:tcPr>
          <w:p w:rsidR="0041268E" w:rsidRPr="00BD6197" w:rsidRDefault="0041268E" w:rsidP="000F2BA7">
            <w:pPr>
              <w:pStyle w:val="Tablehead"/>
              <w:rPr>
                <w:lang w:val="en-US"/>
              </w:rPr>
            </w:pPr>
            <w:r w:rsidRPr="00BD6197">
              <w:rPr>
                <w:lang w:val="en-US"/>
              </w:rPr>
              <w:t xml:space="preserve">Rural area or within premises </w:t>
            </w:r>
          </w:p>
        </w:tc>
        <w:tc>
          <w:tcPr>
            <w:tcW w:w="1616" w:type="dxa"/>
          </w:tcPr>
          <w:p w:rsidR="0041268E" w:rsidRPr="00BD6197" w:rsidRDefault="0041268E" w:rsidP="000F2BA7">
            <w:pPr>
              <w:pStyle w:val="Tablehead"/>
              <w:rPr>
                <w:lang w:val="en-US"/>
              </w:rPr>
            </w:pPr>
            <w:r w:rsidRPr="00BD6197">
              <w:rPr>
                <w:lang w:val="en-US"/>
              </w:rPr>
              <w:t>Urban city area within one Emirate</w:t>
            </w:r>
          </w:p>
        </w:tc>
        <w:tc>
          <w:tcPr>
            <w:tcW w:w="2625" w:type="dxa"/>
          </w:tcPr>
          <w:p w:rsidR="0041268E" w:rsidRPr="00BD6197" w:rsidRDefault="0041268E" w:rsidP="000F2BA7">
            <w:pPr>
              <w:pStyle w:val="Tablehead"/>
              <w:rPr>
                <w:lang w:val="en-US"/>
              </w:rPr>
            </w:pPr>
            <w:r w:rsidRPr="00BD6197">
              <w:rPr>
                <w:lang w:val="en-US"/>
              </w:rPr>
              <w:t xml:space="preserve">Emirate wide </w:t>
            </w:r>
          </w:p>
        </w:tc>
        <w:tc>
          <w:tcPr>
            <w:tcW w:w="2160" w:type="dxa"/>
          </w:tcPr>
          <w:p w:rsidR="0041268E" w:rsidRPr="00BD6197" w:rsidRDefault="0041268E" w:rsidP="000F2BA7">
            <w:pPr>
              <w:pStyle w:val="Tablehead"/>
              <w:rPr>
                <w:lang w:val="en-US"/>
              </w:rPr>
            </w:pPr>
            <w:r w:rsidRPr="00BD6197">
              <w:rPr>
                <w:lang w:val="en-US"/>
              </w:rPr>
              <w:t xml:space="preserve">More than Three Emirates </w:t>
            </w:r>
          </w:p>
        </w:tc>
      </w:tr>
      <w:tr w:rsidR="0041268E" w:rsidRPr="00BD6197" w:rsidTr="000F2BA7">
        <w:trPr>
          <w:trHeight w:val="335"/>
          <w:jc w:val="right"/>
        </w:trPr>
        <w:tc>
          <w:tcPr>
            <w:tcW w:w="1039" w:type="dxa"/>
          </w:tcPr>
          <w:p w:rsidR="0041268E" w:rsidRPr="00BD6197" w:rsidRDefault="0041268E" w:rsidP="000F2BA7">
            <w:pPr>
              <w:pStyle w:val="Tabletext"/>
              <w:jc w:val="center"/>
              <w:rPr>
                <w:lang w:val="en-US"/>
              </w:rPr>
            </w:pPr>
            <w:r w:rsidRPr="00BD6197">
              <w:rPr>
                <w:lang w:val="en-US"/>
              </w:rPr>
              <w:t>CF</w:t>
            </w:r>
          </w:p>
        </w:tc>
        <w:tc>
          <w:tcPr>
            <w:tcW w:w="1442" w:type="dxa"/>
          </w:tcPr>
          <w:p w:rsidR="0041268E" w:rsidRPr="00BD6197" w:rsidRDefault="0041268E" w:rsidP="000F2BA7">
            <w:pPr>
              <w:pStyle w:val="Tabletext"/>
              <w:jc w:val="center"/>
              <w:rPr>
                <w:lang w:val="en-US"/>
              </w:rPr>
            </w:pPr>
            <w:r w:rsidRPr="00BD6197">
              <w:rPr>
                <w:lang w:val="en-US"/>
              </w:rPr>
              <w:t>100</w:t>
            </w:r>
          </w:p>
        </w:tc>
        <w:tc>
          <w:tcPr>
            <w:tcW w:w="1616" w:type="dxa"/>
          </w:tcPr>
          <w:p w:rsidR="0041268E" w:rsidRPr="00BD6197" w:rsidRDefault="0041268E" w:rsidP="000F2BA7">
            <w:pPr>
              <w:pStyle w:val="Tabletext"/>
              <w:jc w:val="center"/>
              <w:rPr>
                <w:lang w:val="en-US"/>
              </w:rPr>
            </w:pPr>
            <w:r w:rsidRPr="00BD6197">
              <w:rPr>
                <w:lang w:val="en-US"/>
              </w:rPr>
              <w:t>500</w:t>
            </w:r>
          </w:p>
        </w:tc>
        <w:tc>
          <w:tcPr>
            <w:tcW w:w="2625" w:type="dxa"/>
          </w:tcPr>
          <w:p w:rsidR="0041268E" w:rsidRPr="00BD6197" w:rsidRDefault="0041268E" w:rsidP="000F2BA7">
            <w:pPr>
              <w:pStyle w:val="Tabletext"/>
              <w:rPr>
                <w:lang w:val="en-US"/>
              </w:rPr>
            </w:pPr>
            <w:r w:rsidRPr="00BD6197">
              <w:rPr>
                <w:lang w:val="en-US"/>
              </w:rPr>
              <w:t>2.000 for Abu Dhabi or Dubai and 1.000 for other Emirates</w:t>
            </w:r>
          </w:p>
        </w:tc>
        <w:tc>
          <w:tcPr>
            <w:tcW w:w="2160" w:type="dxa"/>
          </w:tcPr>
          <w:p w:rsidR="0041268E" w:rsidRPr="00BD6197" w:rsidRDefault="0041268E" w:rsidP="000F2BA7">
            <w:pPr>
              <w:pStyle w:val="Tabletext"/>
              <w:jc w:val="center"/>
              <w:rPr>
                <w:color w:val="000000"/>
                <w:lang w:val="en-US"/>
              </w:rPr>
            </w:pPr>
            <w:r w:rsidRPr="00BD6197">
              <w:rPr>
                <w:color w:val="000000"/>
                <w:lang w:val="en-US"/>
              </w:rPr>
              <w:t>4.000</w:t>
            </w:r>
          </w:p>
        </w:tc>
      </w:tr>
    </w:tbl>
    <w:p w:rsidR="0041268E" w:rsidRPr="00BD6197" w:rsidRDefault="0041268E" w:rsidP="0041268E">
      <w:pPr>
        <w:pStyle w:val="Tablefin"/>
        <w:rPr>
          <w:lang w:val="en-US"/>
        </w:rPr>
      </w:pPr>
    </w:p>
    <w:p w:rsidR="0041268E" w:rsidRPr="00BD6197" w:rsidRDefault="0041268E" w:rsidP="0041268E">
      <w:pPr>
        <w:pStyle w:val="enumlev1"/>
        <w:rPr>
          <w:lang w:val="en-US"/>
        </w:rPr>
      </w:pPr>
      <w:r w:rsidRPr="00BD6197">
        <w:rPr>
          <w:lang w:val="en-US"/>
        </w:rPr>
        <w:tab/>
        <w:t>FF = Frequency Factor which will be determined as follows:</w:t>
      </w:r>
    </w:p>
    <w:p w:rsidR="0041268E" w:rsidRPr="00BD6197" w:rsidRDefault="0041268E" w:rsidP="0041268E">
      <w:pPr>
        <w:pStyle w:val="Blanc"/>
        <w:rPr>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1"/>
        <w:gridCol w:w="2923"/>
      </w:tblGrid>
      <w:tr w:rsidR="0041268E" w:rsidRPr="00BD6197" w:rsidTr="000F2BA7">
        <w:trPr>
          <w:trHeight w:val="390"/>
          <w:jc w:val="center"/>
        </w:trPr>
        <w:tc>
          <w:tcPr>
            <w:tcW w:w="2921" w:type="dxa"/>
          </w:tcPr>
          <w:p w:rsidR="0041268E" w:rsidRPr="00BD6197" w:rsidRDefault="0041268E" w:rsidP="000F2BA7">
            <w:pPr>
              <w:pStyle w:val="Tablehead"/>
              <w:rPr>
                <w:lang w:val="en-US"/>
              </w:rPr>
            </w:pPr>
            <w:r w:rsidRPr="00BD6197">
              <w:rPr>
                <w:lang w:val="en-US"/>
              </w:rPr>
              <w:t>Frequency Range</w:t>
            </w:r>
          </w:p>
        </w:tc>
        <w:tc>
          <w:tcPr>
            <w:tcW w:w="2923" w:type="dxa"/>
          </w:tcPr>
          <w:p w:rsidR="0041268E" w:rsidRPr="00BD6197" w:rsidRDefault="0041268E" w:rsidP="000F2BA7">
            <w:pPr>
              <w:pStyle w:val="Tablehead"/>
              <w:rPr>
                <w:lang w:val="en-US"/>
              </w:rPr>
            </w:pPr>
            <w:r w:rsidRPr="00BD6197">
              <w:rPr>
                <w:lang w:val="en-US"/>
              </w:rPr>
              <w:t>Frequency Factor (FF)</w:t>
            </w:r>
          </w:p>
        </w:tc>
      </w:tr>
      <w:tr w:rsidR="0041268E" w:rsidRPr="00BD6197" w:rsidTr="000F2BA7">
        <w:trPr>
          <w:trHeight w:val="390"/>
          <w:jc w:val="center"/>
        </w:trPr>
        <w:tc>
          <w:tcPr>
            <w:tcW w:w="2921" w:type="dxa"/>
          </w:tcPr>
          <w:p w:rsidR="0041268E" w:rsidRPr="00BD6197" w:rsidRDefault="0041268E" w:rsidP="000F2BA7">
            <w:pPr>
              <w:pStyle w:val="Tabletext"/>
              <w:jc w:val="center"/>
              <w:rPr>
                <w:lang w:val="en-US"/>
              </w:rPr>
            </w:pPr>
            <w:r w:rsidRPr="00BD6197">
              <w:rPr>
                <w:lang w:val="en-US"/>
              </w:rPr>
              <w:t xml:space="preserve">2 GHz &lt; </w:t>
            </w:r>
            <w:r w:rsidRPr="00BD6197">
              <w:rPr>
                <w:i/>
                <w:iCs/>
                <w:lang w:val="en-US"/>
              </w:rPr>
              <w:t>f</w:t>
            </w:r>
            <w:r w:rsidRPr="00BD6197">
              <w:rPr>
                <w:lang w:val="en-US"/>
              </w:rPr>
              <w:t xml:space="preserve"> ≤ 6 GHz</w:t>
            </w:r>
          </w:p>
        </w:tc>
        <w:tc>
          <w:tcPr>
            <w:tcW w:w="2923" w:type="dxa"/>
          </w:tcPr>
          <w:p w:rsidR="0041268E" w:rsidRPr="00BD6197" w:rsidRDefault="0041268E" w:rsidP="000F2BA7">
            <w:pPr>
              <w:pStyle w:val="Tabletext"/>
              <w:jc w:val="center"/>
              <w:rPr>
                <w:lang w:val="en-US"/>
              </w:rPr>
            </w:pPr>
            <w:r w:rsidRPr="00BD6197">
              <w:rPr>
                <w:lang w:val="en-US"/>
              </w:rPr>
              <w:t>5</w:t>
            </w:r>
          </w:p>
        </w:tc>
      </w:tr>
      <w:tr w:rsidR="0041268E" w:rsidRPr="00BD6197" w:rsidTr="000F2BA7">
        <w:trPr>
          <w:trHeight w:val="390"/>
          <w:jc w:val="center"/>
        </w:trPr>
        <w:tc>
          <w:tcPr>
            <w:tcW w:w="2921" w:type="dxa"/>
          </w:tcPr>
          <w:p w:rsidR="0041268E" w:rsidRPr="00BD6197" w:rsidRDefault="0041268E" w:rsidP="000F2BA7">
            <w:pPr>
              <w:pStyle w:val="Tabletext"/>
              <w:jc w:val="center"/>
              <w:rPr>
                <w:lang w:val="en-US"/>
              </w:rPr>
            </w:pPr>
            <w:r w:rsidRPr="00BD6197">
              <w:rPr>
                <w:lang w:val="en-US"/>
              </w:rPr>
              <w:t xml:space="preserve">6 GHz &lt; </w:t>
            </w:r>
            <w:r w:rsidRPr="00BD6197">
              <w:rPr>
                <w:i/>
                <w:iCs/>
                <w:lang w:val="en-US"/>
              </w:rPr>
              <w:t>f</w:t>
            </w:r>
            <w:r w:rsidRPr="00BD6197">
              <w:rPr>
                <w:lang w:val="en-US"/>
              </w:rPr>
              <w:t xml:space="preserve"> ≤ 11 GHz</w:t>
            </w:r>
          </w:p>
        </w:tc>
        <w:tc>
          <w:tcPr>
            <w:tcW w:w="2923" w:type="dxa"/>
          </w:tcPr>
          <w:p w:rsidR="0041268E" w:rsidRPr="00BD6197" w:rsidRDefault="0041268E" w:rsidP="000F2BA7">
            <w:pPr>
              <w:pStyle w:val="Tabletext"/>
              <w:jc w:val="center"/>
              <w:rPr>
                <w:lang w:val="en-US"/>
              </w:rPr>
            </w:pPr>
            <w:r w:rsidRPr="00BD6197">
              <w:rPr>
                <w:lang w:val="en-US"/>
              </w:rPr>
              <w:t>4</w:t>
            </w:r>
          </w:p>
        </w:tc>
      </w:tr>
      <w:tr w:rsidR="0041268E" w:rsidRPr="00BD6197" w:rsidTr="000F2BA7">
        <w:trPr>
          <w:trHeight w:val="390"/>
          <w:jc w:val="center"/>
        </w:trPr>
        <w:tc>
          <w:tcPr>
            <w:tcW w:w="2921" w:type="dxa"/>
          </w:tcPr>
          <w:p w:rsidR="0041268E" w:rsidRPr="00BD6197" w:rsidRDefault="0041268E" w:rsidP="000F2BA7">
            <w:pPr>
              <w:pStyle w:val="Tabletext"/>
              <w:jc w:val="center"/>
              <w:rPr>
                <w:lang w:val="en-US"/>
              </w:rPr>
            </w:pPr>
            <w:r w:rsidRPr="00BD6197">
              <w:rPr>
                <w:lang w:val="en-US"/>
              </w:rPr>
              <w:t xml:space="preserve">11 GHz &lt; </w:t>
            </w:r>
            <w:r w:rsidRPr="00BD6197">
              <w:rPr>
                <w:i/>
                <w:iCs/>
                <w:lang w:val="en-US"/>
              </w:rPr>
              <w:t>f</w:t>
            </w:r>
            <w:r w:rsidRPr="00BD6197">
              <w:rPr>
                <w:lang w:val="en-US"/>
              </w:rPr>
              <w:t xml:space="preserve"> ≤ 14 GHz</w:t>
            </w:r>
          </w:p>
        </w:tc>
        <w:tc>
          <w:tcPr>
            <w:tcW w:w="2923" w:type="dxa"/>
          </w:tcPr>
          <w:p w:rsidR="0041268E" w:rsidRPr="00BD6197" w:rsidRDefault="0041268E" w:rsidP="000F2BA7">
            <w:pPr>
              <w:pStyle w:val="Tabletext"/>
              <w:jc w:val="center"/>
              <w:rPr>
                <w:lang w:val="en-US"/>
              </w:rPr>
            </w:pPr>
            <w:r w:rsidRPr="00BD6197">
              <w:rPr>
                <w:lang w:val="en-US"/>
              </w:rPr>
              <w:t>3</w:t>
            </w:r>
          </w:p>
        </w:tc>
      </w:tr>
      <w:tr w:rsidR="0041268E" w:rsidRPr="00BD6197" w:rsidTr="000F2BA7">
        <w:trPr>
          <w:trHeight w:val="406"/>
          <w:jc w:val="center"/>
        </w:trPr>
        <w:tc>
          <w:tcPr>
            <w:tcW w:w="2921" w:type="dxa"/>
          </w:tcPr>
          <w:p w:rsidR="0041268E" w:rsidRPr="00BD6197" w:rsidRDefault="0041268E" w:rsidP="000F2BA7">
            <w:pPr>
              <w:pStyle w:val="Tabletext"/>
              <w:jc w:val="center"/>
              <w:rPr>
                <w:lang w:val="en-US"/>
              </w:rPr>
            </w:pPr>
            <w:r w:rsidRPr="00BD6197">
              <w:rPr>
                <w:lang w:val="en-US"/>
              </w:rPr>
              <w:t xml:space="preserve">14 GHz &lt; </w:t>
            </w:r>
            <w:r w:rsidRPr="00BD6197">
              <w:rPr>
                <w:i/>
                <w:iCs/>
                <w:lang w:val="en-US"/>
              </w:rPr>
              <w:t>f</w:t>
            </w:r>
            <w:r w:rsidRPr="00BD6197">
              <w:rPr>
                <w:lang w:val="en-US"/>
              </w:rPr>
              <w:t xml:space="preserve"> ≤ 40 GHz</w:t>
            </w:r>
          </w:p>
        </w:tc>
        <w:tc>
          <w:tcPr>
            <w:tcW w:w="2923" w:type="dxa"/>
          </w:tcPr>
          <w:p w:rsidR="0041268E" w:rsidRPr="00BD6197" w:rsidRDefault="0041268E" w:rsidP="000F2BA7">
            <w:pPr>
              <w:pStyle w:val="Tabletext"/>
              <w:jc w:val="center"/>
              <w:rPr>
                <w:lang w:val="en-US"/>
              </w:rPr>
            </w:pPr>
            <w:r w:rsidRPr="00BD6197">
              <w:rPr>
                <w:lang w:val="en-US"/>
              </w:rPr>
              <w:t>2</w:t>
            </w:r>
          </w:p>
        </w:tc>
      </w:tr>
      <w:tr w:rsidR="0041268E" w:rsidRPr="00BD6197" w:rsidTr="000F2BA7">
        <w:trPr>
          <w:trHeight w:val="406"/>
          <w:jc w:val="center"/>
        </w:trPr>
        <w:tc>
          <w:tcPr>
            <w:tcW w:w="2921" w:type="dxa"/>
          </w:tcPr>
          <w:p w:rsidR="0041268E" w:rsidRPr="00BD6197" w:rsidRDefault="0041268E" w:rsidP="000F2BA7">
            <w:pPr>
              <w:pStyle w:val="Tabletext"/>
              <w:jc w:val="center"/>
              <w:rPr>
                <w:lang w:val="en-US"/>
              </w:rPr>
            </w:pPr>
            <w:r w:rsidRPr="00BD6197">
              <w:rPr>
                <w:lang w:val="en-US"/>
              </w:rPr>
              <w:t xml:space="preserve">40 GHz &lt; </w:t>
            </w:r>
            <w:r w:rsidRPr="00BD6197">
              <w:rPr>
                <w:i/>
                <w:iCs/>
                <w:lang w:val="en-US"/>
              </w:rPr>
              <w:t>f</w:t>
            </w:r>
          </w:p>
        </w:tc>
        <w:tc>
          <w:tcPr>
            <w:tcW w:w="2923" w:type="dxa"/>
          </w:tcPr>
          <w:p w:rsidR="0041268E" w:rsidRPr="00BD6197" w:rsidRDefault="0041268E" w:rsidP="000F2BA7">
            <w:pPr>
              <w:pStyle w:val="Tabletext"/>
              <w:jc w:val="center"/>
              <w:rPr>
                <w:lang w:val="en-US"/>
              </w:rPr>
            </w:pPr>
            <w:r w:rsidRPr="00BD6197">
              <w:rPr>
                <w:lang w:val="en-US"/>
              </w:rPr>
              <w:t>1</w:t>
            </w:r>
          </w:p>
        </w:tc>
      </w:tr>
      <w:tr w:rsidR="0041268E" w:rsidRPr="00D17B5B" w:rsidTr="000F2BA7">
        <w:trPr>
          <w:trHeight w:val="406"/>
          <w:jc w:val="center"/>
        </w:trPr>
        <w:tc>
          <w:tcPr>
            <w:tcW w:w="5844" w:type="dxa"/>
            <w:gridSpan w:val="2"/>
            <w:tcBorders>
              <w:left w:val="nil"/>
              <w:bottom w:val="nil"/>
              <w:right w:val="nil"/>
            </w:tcBorders>
          </w:tcPr>
          <w:p w:rsidR="0041268E" w:rsidRPr="00FB16F7" w:rsidRDefault="0041268E" w:rsidP="000F2BA7">
            <w:pPr>
              <w:pStyle w:val="Tablelegend"/>
              <w:rPr>
                <w:lang w:val="en-US"/>
              </w:rPr>
            </w:pPr>
            <w:r w:rsidRPr="00FB16F7">
              <w:rPr>
                <w:i/>
                <w:iCs/>
                <w:lang w:val="en-US"/>
              </w:rPr>
              <w:t>f</w:t>
            </w:r>
            <w:r w:rsidRPr="00FB16F7">
              <w:rPr>
                <w:lang w:val="en-US"/>
              </w:rPr>
              <w:t xml:space="preserve"> = Assigned Frequency.</w:t>
            </w:r>
          </w:p>
          <w:p w:rsidR="0041268E" w:rsidRPr="00BD6197" w:rsidRDefault="0041268E" w:rsidP="000F2BA7">
            <w:pPr>
              <w:pStyle w:val="TableLegendNote"/>
            </w:pPr>
            <w:r w:rsidRPr="00BD6197">
              <w:t>NOTE 1 – The TRA shall have the sole discretion to determine the Coverage Factor for an Application.</w:t>
            </w:r>
          </w:p>
        </w:tc>
      </w:tr>
    </w:tbl>
    <w:p w:rsidR="0041268E" w:rsidRPr="00BD6197" w:rsidRDefault="0041268E" w:rsidP="0041268E">
      <w:pPr>
        <w:pStyle w:val="ArtNo"/>
        <w:rPr>
          <w:lang w:val="en-US"/>
        </w:rPr>
      </w:pPr>
      <w:r w:rsidRPr="00BD6197">
        <w:rPr>
          <w:lang w:val="en-US"/>
        </w:rPr>
        <w:t>ARTICLE (15)</w:t>
      </w:r>
    </w:p>
    <w:p w:rsidR="0041268E" w:rsidRPr="00BD6197" w:rsidRDefault="0041268E" w:rsidP="0041268E">
      <w:pPr>
        <w:pStyle w:val="Arttitle"/>
        <w:rPr>
          <w:lang w:val="en-US"/>
        </w:rPr>
      </w:pPr>
      <w:bookmarkStart w:id="2402" w:name="_Toc237657986"/>
      <w:r w:rsidRPr="00BD6197">
        <w:rPr>
          <w:lang w:val="en-US"/>
        </w:rPr>
        <w:t>Spectrum Fees for Optical and Laser links</w:t>
      </w:r>
      <w:bookmarkEnd w:id="2402"/>
      <w:r w:rsidRPr="00BD6197">
        <w:rPr>
          <w:lang w:val="en-US"/>
        </w:rPr>
        <w:t xml:space="preserve"> </w:t>
      </w:r>
    </w:p>
    <w:p w:rsidR="0041268E" w:rsidRPr="00BD6197" w:rsidRDefault="0041268E" w:rsidP="0041268E">
      <w:pPr>
        <w:pStyle w:val="enumlev1"/>
        <w:rPr>
          <w:b/>
          <w:bCs/>
          <w:color w:val="000000"/>
          <w:lang w:val="en-US"/>
        </w:rPr>
      </w:pPr>
      <w:r w:rsidRPr="00BD6197">
        <w:rPr>
          <w:lang w:val="en-US"/>
        </w:rPr>
        <w:t>15.1</w:t>
      </w:r>
      <w:r w:rsidRPr="00BD6197">
        <w:rPr>
          <w:lang w:val="en-US"/>
        </w:rPr>
        <w:tab/>
        <w:t xml:space="preserve">The Annual Spectrum Fees for free space Optical and Laser links shall be </w:t>
      </w:r>
      <w:r w:rsidRPr="00BD6197">
        <w:rPr>
          <w:color w:val="000000"/>
          <w:lang w:val="en-US"/>
        </w:rPr>
        <w:t>fifty (50) Dirhams.</w:t>
      </w:r>
      <w:r w:rsidRPr="00BD6197">
        <w:rPr>
          <w:b/>
          <w:bCs/>
          <w:color w:val="000000"/>
          <w:lang w:val="en-US"/>
        </w:rPr>
        <w:t xml:space="preserve"> </w:t>
      </w:r>
    </w:p>
    <w:p w:rsidR="0041268E" w:rsidRPr="00BD6197" w:rsidRDefault="0041268E" w:rsidP="0041268E">
      <w:pPr>
        <w:pStyle w:val="ArtNo"/>
        <w:rPr>
          <w:lang w:val="en-US"/>
        </w:rPr>
      </w:pPr>
      <w:r w:rsidRPr="00BD6197">
        <w:rPr>
          <w:lang w:val="en-US"/>
        </w:rPr>
        <w:t>ARTICLE (16)</w:t>
      </w:r>
    </w:p>
    <w:p w:rsidR="0041268E" w:rsidRPr="00BD6197" w:rsidRDefault="0041268E" w:rsidP="0041268E">
      <w:pPr>
        <w:pStyle w:val="Arttitle"/>
        <w:rPr>
          <w:lang w:val="en-US"/>
        </w:rPr>
      </w:pPr>
      <w:bookmarkStart w:id="2403" w:name="_Toc237657987"/>
      <w:r w:rsidRPr="00BD6197">
        <w:rPr>
          <w:lang w:val="en-US"/>
        </w:rPr>
        <w:t>Spectrum Fees for WLAN and Cordless Telephony</w:t>
      </w:r>
      <w:bookmarkEnd w:id="2403"/>
      <w:r w:rsidRPr="00BD6197">
        <w:rPr>
          <w:lang w:val="en-US"/>
        </w:rPr>
        <w:t xml:space="preserve"> </w:t>
      </w:r>
    </w:p>
    <w:p w:rsidR="0041268E" w:rsidRPr="00BD6197" w:rsidRDefault="0041268E" w:rsidP="0041268E">
      <w:pPr>
        <w:pStyle w:val="enumlev1"/>
        <w:rPr>
          <w:b/>
          <w:bCs/>
          <w:color w:val="000000"/>
          <w:lang w:val="en-US"/>
        </w:rPr>
      </w:pPr>
      <w:r w:rsidRPr="00BD6197">
        <w:rPr>
          <w:lang w:val="en-US"/>
        </w:rPr>
        <w:t>16.1</w:t>
      </w:r>
      <w:r w:rsidRPr="00BD6197">
        <w:rPr>
          <w:lang w:val="en-US"/>
        </w:rPr>
        <w:tab/>
        <w:t>The indoor use of WLAN and DECT based Cordless Telephony if operated as per the TRA regulations, shall be exempted from the Spectrum Fees.</w:t>
      </w:r>
      <w:r w:rsidRPr="00BD6197">
        <w:rPr>
          <w:b/>
          <w:bCs/>
          <w:color w:val="000000"/>
          <w:lang w:val="en-US"/>
        </w:rPr>
        <w:t xml:space="preserve"> </w:t>
      </w:r>
    </w:p>
    <w:p w:rsidR="0041268E" w:rsidRPr="00BD6197" w:rsidRDefault="0041268E" w:rsidP="0041268E">
      <w:pPr>
        <w:pStyle w:val="ArtNo"/>
        <w:rPr>
          <w:lang w:val="en-US"/>
        </w:rPr>
      </w:pPr>
      <w:r w:rsidRPr="00BD6197">
        <w:rPr>
          <w:lang w:val="en-US"/>
        </w:rPr>
        <w:t>ARTICLE (17)</w:t>
      </w:r>
    </w:p>
    <w:p w:rsidR="0041268E" w:rsidRPr="00BD6197" w:rsidRDefault="0041268E" w:rsidP="0041268E">
      <w:pPr>
        <w:pStyle w:val="Arttitle"/>
        <w:rPr>
          <w:lang w:val="en-US"/>
        </w:rPr>
      </w:pPr>
      <w:bookmarkStart w:id="2404" w:name="_Toc237657988"/>
      <w:r w:rsidRPr="00BD6197">
        <w:rPr>
          <w:lang w:val="en-US"/>
        </w:rPr>
        <w:t>Spectrum Fees for GMPCS</w:t>
      </w:r>
      <w:bookmarkEnd w:id="2404"/>
      <w:r w:rsidRPr="00BD6197">
        <w:rPr>
          <w:lang w:val="en-US"/>
        </w:rPr>
        <w:t xml:space="preserve"> </w:t>
      </w:r>
    </w:p>
    <w:p w:rsidR="0041268E" w:rsidRPr="00BD6197" w:rsidRDefault="0041268E" w:rsidP="0041268E">
      <w:pPr>
        <w:pStyle w:val="enumlev1"/>
        <w:rPr>
          <w:lang w:val="en-US"/>
        </w:rPr>
      </w:pPr>
      <w:r w:rsidRPr="00BD6197">
        <w:rPr>
          <w:lang w:val="en-US"/>
        </w:rPr>
        <w:t>17.1</w:t>
      </w:r>
      <w:r w:rsidRPr="00BD6197">
        <w:rPr>
          <w:lang w:val="en-US"/>
        </w:rPr>
        <w:tab/>
        <w:t xml:space="preserve">The Annual Spectrum Fees for Global Mobile Personal Communication by Satellite (GMPCS) Service (including its land based, aeronautical and maritime use) shall be calculated as follows: </w:t>
      </w:r>
    </w:p>
    <w:p w:rsidR="0041268E" w:rsidRPr="00BD6197" w:rsidRDefault="0041268E" w:rsidP="0041268E">
      <w:pPr>
        <w:pStyle w:val="Equation"/>
        <w:rPr>
          <w:lang w:val="en-US"/>
        </w:rPr>
      </w:pPr>
      <w:r w:rsidRPr="00BD6197">
        <w:rPr>
          <w:lang w:val="en-US"/>
        </w:rPr>
        <w:tab/>
      </w:r>
      <w:r w:rsidRPr="00BD6197">
        <w:rPr>
          <w:lang w:val="en-US"/>
        </w:rPr>
        <w:tab/>
        <w:t>Spectrum Fees = BW × 5 000</w:t>
      </w:r>
    </w:p>
    <w:p w:rsidR="0041268E" w:rsidRPr="00BD6197" w:rsidRDefault="0041268E" w:rsidP="0041268E">
      <w:pPr>
        <w:pStyle w:val="enumlev1"/>
        <w:rPr>
          <w:lang w:val="en-US"/>
        </w:rPr>
      </w:pPr>
      <w:r w:rsidRPr="00BD6197">
        <w:rPr>
          <w:lang w:val="en-US"/>
        </w:rPr>
        <w:lastRenderedPageBreak/>
        <w:tab/>
        <w:t xml:space="preserve">Where </w:t>
      </w:r>
      <w:r w:rsidRPr="00BD6197">
        <w:rPr>
          <w:b/>
          <w:bCs/>
          <w:lang w:val="en-US"/>
        </w:rPr>
        <w:t xml:space="preserve">BW </w:t>
      </w:r>
      <w:r w:rsidRPr="00BD6197">
        <w:rPr>
          <w:lang w:val="en-US"/>
        </w:rPr>
        <w:t>=</w:t>
      </w:r>
      <w:r w:rsidRPr="00BD6197">
        <w:rPr>
          <w:b/>
          <w:bCs/>
          <w:lang w:val="en-US"/>
        </w:rPr>
        <w:t xml:space="preserve"> </w:t>
      </w:r>
      <w:r w:rsidRPr="00BD6197">
        <w:rPr>
          <w:lang w:val="en-US"/>
        </w:rPr>
        <w:t>Bandwidth Factor based on 2 × 1 MHz Bandwidth used and shall be determined as follows:</w:t>
      </w:r>
    </w:p>
    <w:p w:rsidR="0041268E" w:rsidRPr="00BD6197" w:rsidRDefault="0041268E" w:rsidP="0041268E">
      <w:pPr>
        <w:pStyle w:val="Blanc"/>
        <w:rPr>
          <w:lang w:val="en-US"/>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firstRow="0" w:lastRow="0" w:firstColumn="0" w:lastColumn="0" w:noHBand="0" w:noVBand="0"/>
      </w:tblPr>
      <w:tblGrid>
        <w:gridCol w:w="3361"/>
        <w:gridCol w:w="1261"/>
      </w:tblGrid>
      <w:tr w:rsidR="0041268E" w:rsidRPr="00BD6197" w:rsidTr="000F2BA7">
        <w:trPr>
          <w:trHeight w:val="332"/>
          <w:jc w:val="center"/>
        </w:trPr>
        <w:tc>
          <w:tcPr>
            <w:tcW w:w="0" w:type="auto"/>
          </w:tcPr>
          <w:p w:rsidR="0041268E" w:rsidRPr="00BD6197" w:rsidRDefault="0041268E" w:rsidP="000F2BA7">
            <w:pPr>
              <w:pStyle w:val="Tablehead"/>
              <w:rPr>
                <w:lang w:val="en-US"/>
              </w:rPr>
            </w:pPr>
            <w:r w:rsidRPr="00BD6197">
              <w:rPr>
                <w:lang w:val="en-US"/>
              </w:rPr>
              <w:t xml:space="preserve">Bandwidth </w:t>
            </w:r>
          </w:p>
        </w:tc>
        <w:tc>
          <w:tcPr>
            <w:tcW w:w="0" w:type="auto"/>
          </w:tcPr>
          <w:p w:rsidR="0041268E" w:rsidRPr="00BD6197" w:rsidRDefault="0041268E" w:rsidP="000F2BA7">
            <w:pPr>
              <w:pStyle w:val="Tablehead"/>
              <w:rPr>
                <w:lang w:val="en-US"/>
              </w:rPr>
            </w:pPr>
            <w:r w:rsidRPr="00BD6197">
              <w:rPr>
                <w:lang w:val="en-US"/>
              </w:rPr>
              <w:t>BW Factor</w:t>
            </w:r>
          </w:p>
        </w:tc>
      </w:tr>
      <w:tr w:rsidR="0041268E" w:rsidRPr="00BD6197" w:rsidTr="000F2BA7">
        <w:trPr>
          <w:trHeight w:val="319"/>
          <w:jc w:val="center"/>
        </w:trPr>
        <w:tc>
          <w:tcPr>
            <w:tcW w:w="0" w:type="auto"/>
          </w:tcPr>
          <w:p w:rsidR="0041268E" w:rsidRPr="00BD6197" w:rsidRDefault="0041268E" w:rsidP="000F2BA7">
            <w:pPr>
              <w:pStyle w:val="Tabletext"/>
              <w:keepNext/>
              <w:keepLines/>
              <w:rPr>
                <w:lang w:val="en-US"/>
              </w:rPr>
            </w:pPr>
            <w:r w:rsidRPr="00BD6197">
              <w:rPr>
                <w:lang w:val="en-US"/>
              </w:rPr>
              <w:t xml:space="preserve">Less than 2 × 1 MHz </w:t>
            </w:r>
          </w:p>
        </w:tc>
        <w:tc>
          <w:tcPr>
            <w:tcW w:w="0" w:type="auto"/>
          </w:tcPr>
          <w:p w:rsidR="0041268E" w:rsidRPr="00BD6197" w:rsidRDefault="0041268E" w:rsidP="000F2BA7">
            <w:pPr>
              <w:pStyle w:val="Tabletext"/>
              <w:keepNext/>
              <w:keepLines/>
              <w:jc w:val="center"/>
              <w:rPr>
                <w:lang w:val="en-US"/>
              </w:rPr>
            </w:pPr>
            <w:r w:rsidRPr="00BD6197">
              <w:rPr>
                <w:lang w:val="en-US"/>
              </w:rPr>
              <w:t>3</w:t>
            </w:r>
          </w:p>
        </w:tc>
      </w:tr>
      <w:tr w:rsidR="0041268E" w:rsidRPr="00BD6197" w:rsidTr="000F2BA7">
        <w:trPr>
          <w:trHeight w:val="319"/>
          <w:jc w:val="center"/>
        </w:trPr>
        <w:tc>
          <w:tcPr>
            <w:tcW w:w="0" w:type="auto"/>
          </w:tcPr>
          <w:p w:rsidR="0041268E" w:rsidRPr="00BD6197" w:rsidRDefault="0041268E" w:rsidP="000F2BA7">
            <w:pPr>
              <w:pStyle w:val="Tabletext"/>
              <w:keepNext/>
              <w:keepLines/>
              <w:rPr>
                <w:lang w:val="en-US"/>
              </w:rPr>
            </w:pPr>
            <w:r w:rsidRPr="00BD6197">
              <w:rPr>
                <w:lang w:val="en-US"/>
              </w:rPr>
              <w:t xml:space="preserve">2 × 1 MHz – Less than 4 × 1 MHz </w:t>
            </w:r>
          </w:p>
        </w:tc>
        <w:tc>
          <w:tcPr>
            <w:tcW w:w="0" w:type="auto"/>
          </w:tcPr>
          <w:p w:rsidR="0041268E" w:rsidRPr="00BD6197" w:rsidRDefault="0041268E" w:rsidP="000F2BA7">
            <w:pPr>
              <w:pStyle w:val="Tabletext"/>
              <w:keepNext/>
              <w:keepLines/>
              <w:jc w:val="center"/>
              <w:rPr>
                <w:lang w:val="en-US"/>
              </w:rPr>
            </w:pPr>
            <w:r w:rsidRPr="00BD6197">
              <w:rPr>
                <w:lang w:val="en-US"/>
              </w:rPr>
              <w:t>6</w:t>
            </w:r>
          </w:p>
        </w:tc>
      </w:tr>
      <w:tr w:rsidR="0041268E" w:rsidRPr="00BD6197" w:rsidTr="000F2BA7">
        <w:trPr>
          <w:trHeight w:val="319"/>
          <w:jc w:val="center"/>
        </w:trPr>
        <w:tc>
          <w:tcPr>
            <w:tcW w:w="0" w:type="auto"/>
          </w:tcPr>
          <w:p w:rsidR="0041268E" w:rsidRPr="00BD6197" w:rsidRDefault="0041268E" w:rsidP="000F2BA7">
            <w:pPr>
              <w:pStyle w:val="Tabletext"/>
              <w:keepNext/>
              <w:keepLines/>
              <w:rPr>
                <w:lang w:val="en-US"/>
              </w:rPr>
            </w:pPr>
            <w:r w:rsidRPr="00BD6197">
              <w:rPr>
                <w:lang w:val="en-US"/>
              </w:rPr>
              <w:t xml:space="preserve">4 × 1 MHz – Less than 6 × 1 MHz </w:t>
            </w:r>
          </w:p>
        </w:tc>
        <w:tc>
          <w:tcPr>
            <w:tcW w:w="0" w:type="auto"/>
          </w:tcPr>
          <w:p w:rsidR="0041268E" w:rsidRPr="00BD6197" w:rsidRDefault="0041268E" w:rsidP="000F2BA7">
            <w:pPr>
              <w:pStyle w:val="Tabletext"/>
              <w:keepNext/>
              <w:keepLines/>
              <w:jc w:val="center"/>
              <w:rPr>
                <w:lang w:val="en-US"/>
              </w:rPr>
            </w:pPr>
            <w:r w:rsidRPr="00BD6197">
              <w:rPr>
                <w:lang w:val="en-US"/>
              </w:rPr>
              <w:t>9</w:t>
            </w:r>
          </w:p>
        </w:tc>
      </w:tr>
      <w:tr w:rsidR="0041268E" w:rsidRPr="00BD6197" w:rsidTr="000F2BA7">
        <w:trPr>
          <w:trHeight w:val="319"/>
          <w:jc w:val="center"/>
        </w:trPr>
        <w:tc>
          <w:tcPr>
            <w:tcW w:w="0" w:type="auto"/>
          </w:tcPr>
          <w:p w:rsidR="0041268E" w:rsidRPr="00BD6197" w:rsidRDefault="0041268E" w:rsidP="000F2BA7">
            <w:pPr>
              <w:pStyle w:val="Tabletext"/>
              <w:keepNext/>
              <w:keepLines/>
              <w:rPr>
                <w:lang w:val="en-US"/>
              </w:rPr>
            </w:pPr>
            <w:r w:rsidRPr="00BD6197">
              <w:rPr>
                <w:lang w:val="en-US"/>
              </w:rPr>
              <w:t xml:space="preserve">6 × 1 MHz – Less than 8 × 1 MHz </w:t>
            </w:r>
          </w:p>
        </w:tc>
        <w:tc>
          <w:tcPr>
            <w:tcW w:w="0" w:type="auto"/>
          </w:tcPr>
          <w:p w:rsidR="0041268E" w:rsidRPr="00BD6197" w:rsidRDefault="0041268E" w:rsidP="000F2BA7">
            <w:pPr>
              <w:pStyle w:val="Tabletext"/>
              <w:keepNext/>
              <w:keepLines/>
              <w:jc w:val="center"/>
              <w:rPr>
                <w:lang w:val="en-US"/>
              </w:rPr>
            </w:pPr>
            <w:r w:rsidRPr="00BD6197">
              <w:rPr>
                <w:lang w:val="en-US"/>
              </w:rPr>
              <w:t>12</w:t>
            </w:r>
          </w:p>
        </w:tc>
      </w:tr>
      <w:tr w:rsidR="0041268E" w:rsidRPr="00BD6197" w:rsidTr="000F2BA7">
        <w:trPr>
          <w:trHeight w:val="319"/>
          <w:jc w:val="center"/>
        </w:trPr>
        <w:tc>
          <w:tcPr>
            <w:tcW w:w="0" w:type="auto"/>
          </w:tcPr>
          <w:p w:rsidR="0041268E" w:rsidRPr="00BD6197" w:rsidRDefault="0041268E" w:rsidP="000F2BA7">
            <w:pPr>
              <w:pStyle w:val="Tabletext"/>
              <w:keepNext/>
              <w:keepLines/>
              <w:rPr>
                <w:lang w:val="en-US"/>
              </w:rPr>
            </w:pPr>
            <w:r w:rsidRPr="00BD6197">
              <w:rPr>
                <w:lang w:val="en-US"/>
              </w:rPr>
              <w:t xml:space="preserve">8 × 1 MHz – Less than 10 × 1 MHz </w:t>
            </w:r>
          </w:p>
        </w:tc>
        <w:tc>
          <w:tcPr>
            <w:tcW w:w="0" w:type="auto"/>
          </w:tcPr>
          <w:p w:rsidR="0041268E" w:rsidRPr="00BD6197" w:rsidRDefault="0041268E" w:rsidP="000F2BA7">
            <w:pPr>
              <w:pStyle w:val="Tabletext"/>
              <w:keepNext/>
              <w:keepLines/>
              <w:jc w:val="center"/>
              <w:rPr>
                <w:lang w:val="en-US"/>
              </w:rPr>
            </w:pPr>
            <w:r w:rsidRPr="00BD6197">
              <w:rPr>
                <w:lang w:val="en-US"/>
              </w:rPr>
              <w:t>15</w:t>
            </w:r>
          </w:p>
        </w:tc>
      </w:tr>
      <w:tr w:rsidR="0041268E" w:rsidRPr="00BD6197" w:rsidTr="000F2BA7">
        <w:trPr>
          <w:trHeight w:val="319"/>
          <w:jc w:val="center"/>
        </w:trPr>
        <w:tc>
          <w:tcPr>
            <w:tcW w:w="0" w:type="auto"/>
          </w:tcPr>
          <w:p w:rsidR="0041268E" w:rsidRPr="00BD6197" w:rsidRDefault="0041268E" w:rsidP="000F2BA7">
            <w:pPr>
              <w:pStyle w:val="Tabletext"/>
              <w:keepNext/>
              <w:keepLines/>
              <w:rPr>
                <w:lang w:val="en-US"/>
              </w:rPr>
            </w:pPr>
            <w:r w:rsidRPr="00BD6197">
              <w:rPr>
                <w:lang w:val="en-US"/>
              </w:rPr>
              <w:t xml:space="preserve">10 × 1 MHz </w:t>
            </w:r>
          </w:p>
        </w:tc>
        <w:tc>
          <w:tcPr>
            <w:tcW w:w="0" w:type="auto"/>
          </w:tcPr>
          <w:p w:rsidR="0041268E" w:rsidRPr="00BD6197" w:rsidRDefault="0041268E" w:rsidP="000F2BA7">
            <w:pPr>
              <w:pStyle w:val="Tabletext"/>
              <w:keepNext/>
              <w:keepLines/>
              <w:jc w:val="center"/>
              <w:rPr>
                <w:lang w:val="en-US"/>
              </w:rPr>
            </w:pPr>
            <w:r w:rsidRPr="00BD6197">
              <w:rPr>
                <w:lang w:val="en-US"/>
              </w:rPr>
              <w:t>18</w:t>
            </w:r>
          </w:p>
        </w:tc>
      </w:tr>
      <w:tr w:rsidR="0041268E" w:rsidRPr="00BD6197" w:rsidTr="000F2BA7">
        <w:trPr>
          <w:trHeight w:val="319"/>
          <w:jc w:val="center"/>
        </w:trPr>
        <w:tc>
          <w:tcPr>
            <w:tcW w:w="0" w:type="auto"/>
          </w:tcPr>
          <w:p w:rsidR="0041268E" w:rsidRPr="00BD6197" w:rsidRDefault="0041268E" w:rsidP="000F2BA7">
            <w:pPr>
              <w:pStyle w:val="Tabletext"/>
              <w:keepNext/>
              <w:keepLines/>
              <w:rPr>
                <w:lang w:val="en-US"/>
              </w:rPr>
            </w:pPr>
            <w:r w:rsidRPr="00BD6197">
              <w:rPr>
                <w:lang w:val="en-US"/>
              </w:rPr>
              <w:t xml:space="preserve">For each additional 2 × 1 MHz </w:t>
            </w:r>
          </w:p>
        </w:tc>
        <w:tc>
          <w:tcPr>
            <w:tcW w:w="0" w:type="auto"/>
          </w:tcPr>
          <w:p w:rsidR="0041268E" w:rsidRPr="00BD6197" w:rsidRDefault="0041268E" w:rsidP="000F2BA7">
            <w:pPr>
              <w:pStyle w:val="Tabletext"/>
              <w:keepNext/>
              <w:keepLines/>
              <w:jc w:val="center"/>
              <w:rPr>
                <w:lang w:val="en-US"/>
              </w:rPr>
            </w:pPr>
            <w:r w:rsidRPr="00BD6197">
              <w:rPr>
                <w:lang w:val="en-US"/>
              </w:rPr>
              <w:t>3</w:t>
            </w:r>
          </w:p>
        </w:tc>
      </w:tr>
    </w:tbl>
    <w:p w:rsidR="0041268E" w:rsidRPr="00BD6197" w:rsidRDefault="0041268E" w:rsidP="0041268E">
      <w:pPr>
        <w:pStyle w:val="Tablefin"/>
        <w:rPr>
          <w:lang w:val="en-US"/>
        </w:rPr>
      </w:pPr>
    </w:p>
    <w:p w:rsidR="0041268E" w:rsidRPr="00BD6197" w:rsidRDefault="0041268E" w:rsidP="0041268E">
      <w:pPr>
        <w:pStyle w:val="ArtNo"/>
        <w:rPr>
          <w:lang w:val="en-US"/>
        </w:rPr>
      </w:pPr>
      <w:r w:rsidRPr="00BD6197">
        <w:rPr>
          <w:lang w:val="en-US"/>
        </w:rPr>
        <w:t>ARTICLE (18)</w:t>
      </w:r>
    </w:p>
    <w:p w:rsidR="0041268E" w:rsidRPr="00BD6197" w:rsidRDefault="0041268E" w:rsidP="0041268E">
      <w:pPr>
        <w:pStyle w:val="Arttitle"/>
        <w:rPr>
          <w:lang w:val="en-US"/>
        </w:rPr>
      </w:pPr>
      <w:bookmarkStart w:id="2405" w:name="_Toc237657989"/>
      <w:r w:rsidRPr="00BD6197">
        <w:rPr>
          <w:lang w:val="en-US"/>
        </w:rPr>
        <w:t>Spectrum Fees for Amateur</w:t>
      </w:r>
      <w:bookmarkEnd w:id="2405"/>
      <w:r w:rsidRPr="00BD6197">
        <w:rPr>
          <w:lang w:val="en-US"/>
        </w:rPr>
        <w:t xml:space="preserve"> </w:t>
      </w:r>
    </w:p>
    <w:p w:rsidR="0041268E" w:rsidRPr="00BD6197" w:rsidRDefault="0041268E" w:rsidP="0041268E">
      <w:pPr>
        <w:pStyle w:val="enumlev1"/>
        <w:rPr>
          <w:lang w:val="en-US"/>
        </w:rPr>
      </w:pPr>
      <w:r w:rsidRPr="00BD6197">
        <w:rPr>
          <w:lang w:val="en-US"/>
        </w:rPr>
        <w:t>18.1</w:t>
      </w:r>
      <w:r w:rsidRPr="00BD6197">
        <w:rPr>
          <w:lang w:val="en-US"/>
        </w:rPr>
        <w:tab/>
        <w:t xml:space="preserve">The Annual Fees for Amateur license shall be Two Hundred (200) AED payable in advance. </w:t>
      </w:r>
    </w:p>
    <w:p w:rsidR="0041268E" w:rsidRPr="00BD6197" w:rsidRDefault="0041268E" w:rsidP="0041268E">
      <w:pPr>
        <w:pStyle w:val="ArtNo"/>
        <w:rPr>
          <w:lang w:val="en-US"/>
        </w:rPr>
      </w:pPr>
      <w:r w:rsidRPr="00BD6197">
        <w:rPr>
          <w:lang w:val="en-US"/>
        </w:rPr>
        <w:t>ARTICLE (19)</w:t>
      </w:r>
    </w:p>
    <w:p w:rsidR="0041268E" w:rsidRPr="00BD6197" w:rsidRDefault="0041268E" w:rsidP="0041268E">
      <w:pPr>
        <w:pStyle w:val="Arttitle"/>
        <w:rPr>
          <w:lang w:val="en-US"/>
        </w:rPr>
      </w:pPr>
      <w:bookmarkStart w:id="2406" w:name="_Toc237657990"/>
      <w:r w:rsidRPr="00BD6197">
        <w:rPr>
          <w:lang w:val="en-US"/>
        </w:rPr>
        <w:t>Spectrum Fees for Aeronautical Radio Stations</w:t>
      </w:r>
      <w:bookmarkEnd w:id="2406"/>
      <w:r w:rsidRPr="00BD6197">
        <w:rPr>
          <w:lang w:val="en-US"/>
        </w:rPr>
        <w:t xml:space="preserve"> </w:t>
      </w:r>
    </w:p>
    <w:p w:rsidR="0041268E" w:rsidRPr="00BD6197" w:rsidRDefault="0041268E" w:rsidP="0041268E">
      <w:pPr>
        <w:pStyle w:val="enumlev1"/>
        <w:rPr>
          <w:lang w:val="en-US"/>
        </w:rPr>
      </w:pPr>
      <w:r w:rsidRPr="00BD6197">
        <w:rPr>
          <w:lang w:val="en-US"/>
        </w:rPr>
        <w:t>19.1</w:t>
      </w:r>
      <w:r w:rsidRPr="00BD6197">
        <w:rPr>
          <w:lang w:val="en-US"/>
        </w:rPr>
        <w:tab/>
        <w:t>The Annual Fees for each aircraft and helicopter license shall be One Thousand (1 000) Dirhams. This shall include all Wireless Equipment onboard.</w:t>
      </w:r>
    </w:p>
    <w:p w:rsidR="0041268E" w:rsidRPr="00BD6197" w:rsidRDefault="0041268E" w:rsidP="0041268E">
      <w:pPr>
        <w:pStyle w:val="enumlev1"/>
        <w:rPr>
          <w:lang w:val="en-US"/>
        </w:rPr>
      </w:pPr>
      <w:r w:rsidRPr="00BD6197">
        <w:rPr>
          <w:lang w:val="en-US"/>
        </w:rPr>
        <w:t>19.2</w:t>
      </w:r>
      <w:r w:rsidRPr="00BD6197">
        <w:rPr>
          <w:lang w:val="en-US"/>
        </w:rPr>
        <w:tab/>
        <w:t xml:space="preserve">The Annual Fees for gliders and balloons shall be Three Hundred (300) Dirhams. </w:t>
      </w:r>
    </w:p>
    <w:p w:rsidR="0041268E" w:rsidRPr="00BD6197" w:rsidRDefault="0041268E" w:rsidP="0041268E">
      <w:pPr>
        <w:pStyle w:val="enumlev1"/>
        <w:rPr>
          <w:rtl/>
          <w:lang w:val="en-US"/>
        </w:rPr>
      </w:pPr>
      <w:r w:rsidRPr="00BD6197">
        <w:rPr>
          <w:lang w:val="en-US"/>
        </w:rPr>
        <w:t>19.3</w:t>
      </w:r>
      <w:r w:rsidRPr="00BD6197">
        <w:rPr>
          <w:lang w:val="en-US"/>
        </w:rPr>
        <w:tab/>
        <w:t xml:space="preserve">The Annual Fees for ground to air links shall be in accordance with Article (12). </w:t>
      </w:r>
    </w:p>
    <w:p w:rsidR="0041268E" w:rsidRPr="00BD6197" w:rsidRDefault="0041268E" w:rsidP="0041268E">
      <w:pPr>
        <w:pStyle w:val="enumlev1"/>
        <w:rPr>
          <w:lang w:val="en-US"/>
        </w:rPr>
      </w:pPr>
      <w:r w:rsidRPr="00BD6197">
        <w:rPr>
          <w:szCs w:val="24"/>
          <w:rtl/>
          <w:lang w:val="en-US"/>
        </w:rPr>
        <w:t>19.4</w:t>
      </w:r>
      <w:r w:rsidRPr="00BD6197">
        <w:rPr>
          <w:rtl/>
          <w:lang w:val="en-US"/>
        </w:rPr>
        <w:tab/>
      </w:r>
      <w:r w:rsidRPr="00BD6197">
        <w:rPr>
          <w:lang w:val="en-US"/>
        </w:rPr>
        <w:t>The ground to air HF links shall be charged in accordance with Article (13).</w:t>
      </w:r>
    </w:p>
    <w:p w:rsidR="0041268E" w:rsidRPr="00BD6197" w:rsidRDefault="0041268E" w:rsidP="0041268E">
      <w:pPr>
        <w:pStyle w:val="ArtNo"/>
        <w:rPr>
          <w:lang w:val="en-US"/>
        </w:rPr>
      </w:pPr>
      <w:r w:rsidRPr="00BD6197">
        <w:rPr>
          <w:lang w:val="en-US"/>
        </w:rPr>
        <w:t>ARTICLE (20)</w:t>
      </w:r>
    </w:p>
    <w:p w:rsidR="0041268E" w:rsidRPr="00BD6197" w:rsidRDefault="0041268E" w:rsidP="0041268E">
      <w:pPr>
        <w:pStyle w:val="Arttitle"/>
        <w:rPr>
          <w:lang w:val="en-US"/>
        </w:rPr>
      </w:pPr>
      <w:bookmarkStart w:id="2407" w:name="_Toc237657991"/>
      <w:r w:rsidRPr="00BD6197">
        <w:rPr>
          <w:lang w:val="en-US"/>
        </w:rPr>
        <w:t>Spectrum Fees for Maritime Radio Services</w:t>
      </w:r>
      <w:bookmarkEnd w:id="2407"/>
      <w:r w:rsidRPr="00BD6197">
        <w:rPr>
          <w:lang w:val="en-US"/>
        </w:rPr>
        <w:t xml:space="preserve"> </w:t>
      </w:r>
    </w:p>
    <w:p w:rsidR="0041268E" w:rsidRPr="00BD6197" w:rsidRDefault="0041268E" w:rsidP="0041268E">
      <w:pPr>
        <w:pStyle w:val="enumlev1"/>
        <w:rPr>
          <w:lang w:val="en-US"/>
        </w:rPr>
      </w:pPr>
      <w:r w:rsidRPr="00BD6197">
        <w:rPr>
          <w:lang w:val="en-US"/>
        </w:rPr>
        <w:t>20.1</w:t>
      </w:r>
      <w:r w:rsidRPr="00BD6197">
        <w:rPr>
          <w:lang w:val="en-US"/>
        </w:rPr>
        <w:tab/>
        <w:t>Spectrum Fees for each small fishing boat license shall be Two Hundred (200) Dirhams for two years.</w:t>
      </w:r>
    </w:p>
    <w:p w:rsidR="0041268E" w:rsidRPr="00BD6197" w:rsidRDefault="0041268E" w:rsidP="0041268E">
      <w:pPr>
        <w:pStyle w:val="enumlev1"/>
        <w:rPr>
          <w:lang w:val="en-US"/>
        </w:rPr>
      </w:pPr>
      <w:r w:rsidRPr="00BD6197">
        <w:rPr>
          <w:lang w:val="en-US"/>
        </w:rPr>
        <w:t>20.2</w:t>
      </w:r>
      <w:r w:rsidRPr="00BD6197">
        <w:rPr>
          <w:lang w:val="en-US"/>
        </w:rPr>
        <w:tab/>
        <w:t>The Annual Spectrum Fees for each pleasure boat license shall be Five Hundred (500) Dirhams.</w:t>
      </w:r>
    </w:p>
    <w:p w:rsidR="0041268E" w:rsidRPr="00BD6197" w:rsidRDefault="0041268E" w:rsidP="0041268E">
      <w:pPr>
        <w:pStyle w:val="enumlev1"/>
        <w:rPr>
          <w:lang w:val="en-US"/>
        </w:rPr>
      </w:pPr>
      <w:r w:rsidRPr="00BD6197">
        <w:rPr>
          <w:lang w:val="en-US"/>
        </w:rPr>
        <w:t>20.3</w:t>
      </w:r>
      <w:r w:rsidRPr="00BD6197">
        <w:rPr>
          <w:lang w:val="en-US"/>
        </w:rPr>
        <w:tab/>
        <w:t xml:space="preserve">The Annual Spectrum Fees for each Coastal Ship </w:t>
      </w:r>
      <w:r w:rsidRPr="00BD6197">
        <w:rPr>
          <w:color w:val="000000"/>
          <w:lang w:val="en-US"/>
        </w:rPr>
        <w:t xml:space="preserve">(within domestic water and without MMSI) </w:t>
      </w:r>
      <w:r w:rsidRPr="00BD6197">
        <w:rPr>
          <w:lang w:val="en-US"/>
        </w:rPr>
        <w:t xml:space="preserve">license shall be Five Hundred (500) Dirhams. </w:t>
      </w:r>
    </w:p>
    <w:p w:rsidR="0041268E" w:rsidRPr="00BD6197" w:rsidRDefault="0041268E" w:rsidP="0041268E">
      <w:pPr>
        <w:pStyle w:val="enumlev1"/>
        <w:rPr>
          <w:lang w:val="en-US"/>
        </w:rPr>
      </w:pPr>
      <w:r w:rsidRPr="00BD6197">
        <w:rPr>
          <w:lang w:val="en-US"/>
        </w:rPr>
        <w:t>20.4</w:t>
      </w:r>
      <w:r w:rsidRPr="00BD6197">
        <w:rPr>
          <w:lang w:val="en-US"/>
        </w:rPr>
        <w:tab/>
        <w:t xml:space="preserve">The Annual Spectrum Fees for each Ship </w:t>
      </w:r>
      <w:r w:rsidRPr="00BD6197">
        <w:rPr>
          <w:color w:val="000000"/>
          <w:lang w:val="en-US"/>
        </w:rPr>
        <w:t xml:space="preserve">(going outside domestic water or with MMSI) </w:t>
      </w:r>
      <w:r w:rsidRPr="00BD6197">
        <w:rPr>
          <w:lang w:val="en-US"/>
        </w:rPr>
        <w:t xml:space="preserve">license shall be One Thousand (1 000) Dirhams. </w:t>
      </w:r>
    </w:p>
    <w:p w:rsidR="0041268E" w:rsidRPr="00BD6197" w:rsidRDefault="0041268E" w:rsidP="0041268E">
      <w:pPr>
        <w:pStyle w:val="Note"/>
        <w:ind w:left="794" w:hanging="794"/>
        <w:rPr>
          <w:i/>
          <w:iCs/>
          <w:lang w:val="en-US"/>
        </w:rPr>
      </w:pPr>
      <w:r w:rsidRPr="00BD6197">
        <w:rPr>
          <w:b/>
          <w:bCs/>
          <w:i/>
          <w:iCs/>
          <w:lang w:val="en-US"/>
        </w:rPr>
        <w:tab/>
      </w:r>
      <w:r w:rsidRPr="00BD6197">
        <w:rPr>
          <w:i/>
          <w:iCs/>
          <w:lang w:val="en-US"/>
        </w:rPr>
        <w:t>NOTE 1 – The Article 21.3 &amp; 21.4 shall be subject to the use of International Marine Frequency Channel as per the ITU Radio Regulations otherwise the Application will be treated as Private Mobile Radio.</w:t>
      </w:r>
    </w:p>
    <w:p w:rsidR="0041268E" w:rsidRPr="00BD6197" w:rsidRDefault="0041268E" w:rsidP="0041268E">
      <w:pPr>
        <w:pStyle w:val="ArtNo"/>
        <w:rPr>
          <w:lang w:val="en-US"/>
        </w:rPr>
      </w:pPr>
      <w:r w:rsidRPr="00BD6197">
        <w:rPr>
          <w:lang w:val="en-US"/>
        </w:rPr>
        <w:lastRenderedPageBreak/>
        <w:t>ARTICLE (21)</w:t>
      </w:r>
    </w:p>
    <w:p w:rsidR="0041268E" w:rsidRPr="00BD6197" w:rsidRDefault="0041268E" w:rsidP="0041268E">
      <w:pPr>
        <w:pStyle w:val="Arttitle"/>
        <w:rPr>
          <w:lang w:val="en-US"/>
        </w:rPr>
      </w:pPr>
      <w:bookmarkStart w:id="2408" w:name="_Toc237657992"/>
      <w:r w:rsidRPr="00BD6197">
        <w:rPr>
          <w:lang w:val="en-US"/>
        </w:rPr>
        <w:t>Spectrum Fees for Space and Ancillary Services</w:t>
      </w:r>
      <w:bookmarkEnd w:id="2408"/>
    </w:p>
    <w:p w:rsidR="0041268E" w:rsidRPr="00BD6197" w:rsidRDefault="0041268E" w:rsidP="0041268E">
      <w:pPr>
        <w:pStyle w:val="enumlev1"/>
        <w:rPr>
          <w:lang w:val="en-US"/>
        </w:rPr>
      </w:pPr>
      <w:r w:rsidRPr="00BD6197">
        <w:rPr>
          <w:lang w:val="en-US"/>
        </w:rPr>
        <w:t>21.1</w:t>
      </w:r>
      <w:r w:rsidRPr="00BD6197">
        <w:rPr>
          <w:lang w:val="en-US"/>
        </w:rPr>
        <w:tab/>
        <w:t>The Annual Spectrum Fees for each private VSAT shall be Five Thousand (5 000) Dirhams.</w:t>
      </w:r>
    </w:p>
    <w:p w:rsidR="0041268E" w:rsidRPr="00BD6197" w:rsidRDefault="0041268E" w:rsidP="0041268E">
      <w:pPr>
        <w:pStyle w:val="enumlev1"/>
        <w:rPr>
          <w:lang w:val="en-US"/>
        </w:rPr>
      </w:pPr>
      <w:r w:rsidRPr="00BD6197">
        <w:rPr>
          <w:lang w:val="en-US"/>
        </w:rPr>
        <w:t>21.2</w:t>
      </w:r>
      <w:r w:rsidRPr="00BD6197">
        <w:rPr>
          <w:lang w:val="en-US"/>
        </w:rPr>
        <w:tab/>
        <w:t xml:space="preserve">The Annual Spectrum Fees for each Earth Station antenna shall be Fifty Thousand (50 000) Dirhams. </w:t>
      </w:r>
    </w:p>
    <w:p w:rsidR="0041268E" w:rsidRPr="00BD6197" w:rsidRDefault="0041268E" w:rsidP="0041268E">
      <w:pPr>
        <w:pStyle w:val="enumlev1"/>
        <w:rPr>
          <w:lang w:val="en-US"/>
        </w:rPr>
      </w:pPr>
      <w:r w:rsidRPr="00BD6197">
        <w:rPr>
          <w:lang w:val="en-US"/>
        </w:rPr>
        <w:t>21.3</w:t>
      </w:r>
      <w:r w:rsidRPr="00BD6197">
        <w:rPr>
          <w:lang w:val="en-US"/>
        </w:rPr>
        <w:tab/>
        <w:t xml:space="preserve">The TVRO (Television receive only) shall not be charged. </w:t>
      </w:r>
    </w:p>
    <w:p w:rsidR="0041268E" w:rsidRPr="00BD6197" w:rsidRDefault="0041268E" w:rsidP="0041268E">
      <w:pPr>
        <w:pStyle w:val="enumlev1"/>
        <w:rPr>
          <w:lang w:val="en-US"/>
        </w:rPr>
      </w:pPr>
      <w:r w:rsidRPr="00BD6197">
        <w:rPr>
          <w:lang w:val="en-US"/>
        </w:rPr>
        <w:t>21.4</w:t>
      </w:r>
      <w:r w:rsidRPr="00BD6197">
        <w:rPr>
          <w:lang w:val="en-US"/>
        </w:rPr>
        <w:tab/>
        <w:t>The Annual Spectrum Fees for each DSNG shall be Five Thousand (5 000) Dirhams.</w:t>
      </w:r>
    </w:p>
    <w:p w:rsidR="0041268E" w:rsidRPr="00BD6197" w:rsidRDefault="0041268E" w:rsidP="0041268E">
      <w:pPr>
        <w:pStyle w:val="enumlev1"/>
        <w:rPr>
          <w:lang w:val="en-US"/>
        </w:rPr>
      </w:pPr>
      <w:r w:rsidRPr="00BD6197">
        <w:rPr>
          <w:lang w:val="en-US"/>
        </w:rPr>
        <w:t>21.5</w:t>
      </w:r>
      <w:r w:rsidRPr="00BD6197">
        <w:rPr>
          <w:lang w:val="en-US"/>
        </w:rPr>
        <w:tab/>
        <w:t>The Annual Spectrum Fees for offering Aeronautical Mobile Satellite Service shall be Ten Thousand (10 000) Dirhams.</w:t>
      </w:r>
    </w:p>
    <w:p w:rsidR="0041268E" w:rsidRPr="00BD6197" w:rsidRDefault="0041268E" w:rsidP="0041268E">
      <w:pPr>
        <w:pStyle w:val="enumlev1"/>
        <w:rPr>
          <w:lang w:val="en-US"/>
        </w:rPr>
      </w:pPr>
      <w:r w:rsidRPr="00BD6197">
        <w:rPr>
          <w:lang w:val="en-US"/>
        </w:rPr>
        <w:t>21.6</w:t>
      </w:r>
      <w:r w:rsidRPr="00BD6197">
        <w:rPr>
          <w:lang w:val="en-US"/>
        </w:rPr>
        <w:tab/>
        <w:t>The Annual Spectrum Fees for offering Maritime Mobile Satellite Service shall be Ten Thousand (10 000) Dirhams.</w:t>
      </w:r>
    </w:p>
    <w:p w:rsidR="0041268E" w:rsidRPr="00BD6197" w:rsidRDefault="0041268E" w:rsidP="0041268E">
      <w:pPr>
        <w:pStyle w:val="enumlev1"/>
        <w:rPr>
          <w:lang w:val="en-US"/>
        </w:rPr>
      </w:pPr>
      <w:r w:rsidRPr="00BD6197">
        <w:rPr>
          <w:lang w:val="en-US"/>
        </w:rPr>
        <w:t>21.7</w:t>
      </w:r>
      <w:r w:rsidRPr="00BD6197">
        <w:rPr>
          <w:lang w:val="en-US"/>
        </w:rPr>
        <w:tab/>
        <w:t>The Annual Spectrum Fees for offering Earth Exploration Satellite service shall be Ten Thousand (10 000) Dirhams.</w:t>
      </w:r>
    </w:p>
    <w:p w:rsidR="0041268E" w:rsidRPr="00BD6197" w:rsidRDefault="0041268E" w:rsidP="0041268E">
      <w:pPr>
        <w:pStyle w:val="enumlev1"/>
        <w:rPr>
          <w:lang w:val="en-US"/>
        </w:rPr>
      </w:pPr>
      <w:r w:rsidRPr="00BD6197">
        <w:rPr>
          <w:lang w:val="en-US"/>
        </w:rPr>
        <w:t>21.8</w:t>
      </w:r>
      <w:r w:rsidRPr="00BD6197">
        <w:rPr>
          <w:lang w:val="en-US"/>
        </w:rPr>
        <w:tab/>
        <w:t>The Annual Spectrum Fees for HAPS shall be determined by the TRA based on the purpose of use.</w:t>
      </w:r>
    </w:p>
    <w:p w:rsidR="0041268E" w:rsidRPr="00BD6197" w:rsidRDefault="0041268E" w:rsidP="0041268E">
      <w:pPr>
        <w:pStyle w:val="ArtNo"/>
        <w:rPr>
          <w:lang w:val="en-US"/>
        </w:rPr>
      </w:pPr>
      <w:r w:rsidRPr="00BD6197">
        <w:rPr>
          <w:lang w:val="en-US"/>
        </w:rPr>
        <w:t>ARTICLE (22)</w:t>
      </w:r>
    </w:p>
    <w:p w:rsidR="0041268E" w:rsidRPr="00BD6197" w:rsidRDefault="0041268E" w:rsidP="0041268E">
      <w:pPr>
        <w:pStyle w:val="Arttitle"/>
        <w:rPr>
          <w:lang w:val="en-US"/>
        </w:rPr>
      </w:pPr>
      <w:bookmarkStart w:id="2409" w:name="_Toc237657993"/>
      <w:r w:rsidRPr="00BD6197">
        <w:rPr>
          <w:lang w:val="en-US"/>
        </w:rPr>
        <w:t>Spectrum Fees for Radionavigation stations</w:t>
      </w:r>
      <w:bookmarkEnd w:id="2409"/>
    </w:p>
    <w:p w:rsidR="0041268E" w:rsidRPr="00BD6197" w:rsidRDefault="0041268E" w:rsidP="0041268E">
      <w:pPr>
        <w:pStyle w:val="enumlev1"/>
        <w:rPr>
          <w:color w:val="000000"/>
          <w:lang w:val="en-US"/>
        </w:rPr>
      </w:pPr>
      <w:r w:rsidRPr="00BD6197">
        <w:rPr>
          <w:lang w:val="en-US"/>
        </w:rPr>
        <w:t>22.1</w:t>
      </w:r>
      <w:r w:rsidRPr="00BD6197">
        <w:rPr>
          <w:lang w:val="en-US"/>
        </w:rPr>
        <w:tab/>
        <w:t>The Annual Spectrum Fees for each Radionavigation Station shall be One Thousand (1 000) Dirhams.</w:t>
      </w:r>
    </w:p>
    <w:p w:rsidR="0041268E" w:rsidRPr="00BD6197" w:rsidRDefault="0041268E" w:rsidP="0041268E">
      <w:pPr>
        <w:pStyle w:val="ArtNo"/>
        <w:rPr>
          <w:lang w:val="en-US"/>
        </w:rPr>
      </w:pPr>
      <w:r w:rsidRPr="00BD6197">
        <w:rPr>
          <w:lang w:val="en-US"/>
        </w:rPr>
        <w:t>ARTICLE (23)</w:t>
      </w:r>
    </w:p>
    <w:p w:rsidR="0041268E" w:rsidRPr="00BD6197" w:rsidRDefault="0041268E" w:rsidP="0041268E">
      <w:pPr>
        <w:pStyle w:val="Arttitle"/>
        <w:rPr>
          <w:lang w:val="en-US"/>
        </w:rPr>
      </w:pPr>
      <w:bookmarkStart w:id="2410" w:name="_Toc237657994"/>
      <w:r w:rsidRPr="00BD6197">
        <w:rPr>
          <w:lang w:val="en-US"/>
        </w:rPr>
        <w:t>Spectrum Fees for Radio Astronomy stations</w:t>
      </w:r>
      <w:bookmarkEnd w:id="2410"/>
    </w:p>
    <w:p w:rsidR="0041268E" w:rsidRPr="00BD6197" w:rsidRDefault="0041268E" w:rsidP="0041268E">
      <w:pPr>
        <w:pStyle w:val="enumlev1"/>
        <w:rPr>
          <w:color w:val="000000"/>
          <w:lang w:val="en-US"/>
        </w:rPr>
      </w:pPr>
      <w:r w:rsidRPr="00BD6197">
        <w:rPr>
          <w:lang w:val="en-US"/>
        </w:rPr>
        <w:t>23.1</w:t>
      </w:r>
      <w:r w:rsidRPr="00BD6197">
        <w:rPr>
          <w:lang w:val="en-US"/>
        </w:rPr>
        <w:tab/>
        <w:t>The Annual Spectrum Fees for each Radio Astronomy Station shall be Five Hundred (500) Dirhams.</w:t>
      </w:r>
    </w:p>
    <w:p w:rsidR="0041268E" w:rsidRPr="00BD6197" w:rsidRDefault="0041268E" w:rsidP="0041268E">
      <w:pPr>
        <w:pStyle w:val="ArtNo"/>
        <w:rPr>
          <w:lang w:val="en-US"/>
        </w:rPr>
      </w:pPr>
      <w:r w:rsidRPr="00BD6197">
        <w:rPr>
          <w:lang w:val="en-US"/>
        </w:rPr>
        <w:t>ARTICLE (24)</w:t>
      </w:r>
    </w:p>
    <w:p w:rsidR="0041268E" w:rsidRPr="00BD6197" w:rsidRDefault="0041268E" w:rsidP="0041268E">
      <w:pPr>
        <w:pStyle w:val="Arttitle"/>
        <w:rPr>
          <w:lang w:val="en-US"/>
        </w:rPr>
      </w:pPr>
      <w:bookmarkStart w:id="2411" w:name="_Toc237657995"/>
      <w:r w:rsidRPr="00BD6197">
        <w:rPr>
          <w:lang w:val="en-US"/>
        </w:rPr>
        <w:t>Spectrum Fees for Radiolocation stations</w:t>
      </w:r>
      <w:bookmarkEnd w:id="2411"/>
    </w:p>
    <w:p w:rsidR="0041268E" w:rsidRPr="00BD6197" w:rsidRDefault="0041268E" w:rsidP="0041268E">
      <w:pPr>
        <w:pStyle w:val="enumlev1"/>
        <w:rPr>
          <w:lang w:val="en-US"/>
        </w:rPr>
      </w:pPr>
      <w:r w:rsidRPr="00BD6197">
        <w:rPr>
          <w:lang w:val="en-US"/>
        </w:rPr>
        <w:t>24.1</w:t>
      </w:r>
      <w:r w:rsidRPr="00BD6197">
        <w:rPr>
          <w:lang w:val="en-US"/>
        </w:rPr>
        <w:tab/>
        <w:t>The Annual Spectrum Fees for each maritime coastal radar, weather radar, ground based radar, aeronautical surveillance, approach control, oceanic, surface movement and tracking shall be Five Thousand (5 000) Dirhams.</w:t>
      </w:r>
    </w:p>
    <w:p w:rsidR="0041268E" w:rsidRPr="00BD6197" w:rsidRDefault="0041268E" w:rsidP="0041268E">
      <w:pPr>
        <w:pStyle w:val="ArtNo"/>
        <w:rPr>
          <w:lang w:val="en-US"/>
        </w:rPr>
      </w:pPr>
      <w:r w:rsidRPr="00BD6197">
        <w:rPr>
          <w:lang w:val="en-US"/>
        </w:rPr>
        <w:t>ARTICLE (25)</w:t>
      </w:r>
    </w:p>
    <w:p w:rsidR="0041268E" w:rsidRPr="00BD6197" w:rsidRDefault="0041268E" w:rsidP="0041268E">
      <w:pPr>
        <w:pStyle w:val="Arttitle"/>
        <w:rPr>
          <w:lang w:val="en-US"/>
        </w:rPr>
      </w:pPr>
      <w:bookmarkStart w:id="2412" w:name="_Toc199215049"/>
      <w:bookmarkStart w:id="2413" w:name="_Toc237657996"/>
      <w:r w:rsidRPr="00BD6197">
        <w:rPr>
          <w:lang w:val="en-US"/>
        </w:rPr>
        <w:t>Spectrum Fees for Broadcasting Service</w:t>
      </w:r>
      <w:bookmarkEnd w:id="2412"/>
      <w:bookmarkEnd w:id="2413"/>
    </w:p>
    <w:p w:rsidR="0041268E" w:rsidRPr="00BD6197" w:rsidRDefault="0041268E" w:rsidP="0041268E">
      <w:pPr>
        <w:pStyle w:val="enumlev1"/>
        <w:keepNext/>
        <w:keepLines/>
        <w:rPr>
          <w:lang w:val="en-US"/>
        </w:rPr>
      </w:pPr>
      <w:bookmarkStart w:id="2414" w:name="_Toc195057825"/>
      <w:r w:rsidRPr="00BD6197">
        <w:rPr>
          <w:lang w:val="en-US"/>
        </w:rPr>
        <w:t>25.1</w:t>
      </w:r>
      <w:r w:rsidRPr="00BD6197">
        <w:rPr>
          <w:lang w:val="en-US"/>
        </w:rPr>
        <w:tab/>
        <w:t>Terrestrial Sound and Television Broadcasting</w:t>
      </w:r>
      <w:bookmarkEnd w:id="2414"/>
    </w:p>
    <w:p w:rsidR="0041268E" w:rsidRPr="00BD6197" w:rsidRDefault="0041268E" w:rsidP="0041268E">
      <w:pPr>
        <w:pStyle w:val="enumlev1"/>
        <w:keepNext/>
        <w:keepLines/>
        <w:rPr>
          <w:b/>
          <w:lang w:val="en-US"/>
        </w:rPr>
      </w:pPr>
      <w:r w:rsidRPr="00BD6197">
        <w:rPr>
          <w:lang w:val="en-US"/>
        </w:rPr>
        <w:tab/>
        <w:t>Annual Spectrum Fees for one individual Broadcasting Station shall be calculated as follows:</w:t>
      </w:r>
    </w:p>
    <w:p w:rsidR="0041268E" w:rsidRPr="00BD6197" w:rsidRDefault="0041268E" w:rsidP="0041268E">
      <w:pPr>
        <w:pStyle w:val="Blanc"/>
        <w:rPr>
          <w:lang w:val="en-US"/>
        </w:rPr>
      </w:pPr>
    </w:p>
    <w:p w:rsidR="0041268E" w:rsidRPr="00BD6197" w:rsidRDefault="0041268E" w:rsidP="0041268E">
      <w:pPr>
        <w:pStyle w:val="Equation"/>
        <w:rPr>
          <w:lang w:val="en-US"/>
        </w:rPr>
      </w:pPr>
      <w:r w:rsidRPr="00BD6197">
        <w:rPr>
          <w:lang w:val="en-US"/>
        </w:rPr>
        <w:tab/>
      </w:r>
      <w:r w:rsidRPr="00BD6197">
        <w:rPr>
          <w:lang w:val="en-US"/>
        </w:rPr>
        <w:tab/>
        <w:t>Spectrum Fees (per Station) = B + (P × ST × SZ × H × C)</w:t>
      </w:r>
    </w:p>
    <w:p w:rsidR="0041268E" w:rsidRPr="00BD6197" w:rsidRDefault="0041268E" w:rsidP="0041268E">
      <w:pPr>
        <w:pStyle w:val="enumlev1"/>
        <w:rPr>
          <w:bCs/>
          <w:lang w:val="en-US"/>
        </w:rPr>
      </w:pPr>
      <w:r w:rsidRPr="00BD6197">
        <w:rPr>
          <w:bCs/>
          <w:lang w:val="en-US"/>
        </w:rPr>
        <w:lastRenderedPageBreak/>
        <w:t xml:space="preserve">where: </w:t>
      </w:r>
    </w:p>
    <w:p w:rsidR="0041268E" w:rsidRPr="00BD6197" w:rsidRDefault="0041268E" w:rsidP="0041268E">
      <w:pPr>
        <w:pStyle w:val="enumlev1"/>
        <w:rPr>
          <w:lang w:val="en-US"/>
        </w:rPr>
      </w:pPr>
      <w:r w:rsidRPr="00BD6197">
        <w:rPr>
          <w:bCs/>
          <w:lang w:val="en-US"/>
        </w:rPr>
        <w:tab/>
      </w:r>
      <w:r w:rsidRPr="00BD6197">
        <w:rPr>
          <w:b/>
          <w:lang w:val="en-US"/>
        </w:rPr>
        <w:t xml:space="preserve">B </w:t>
      </w:r>
      <w:r w:rsidRPr="00BD6197">
        <w:rPr>
          <w:bCs/>
          <w:lang w:val="en-US"/>
        </w:rPr>
        <w:t>=</w:t>
      </w:r>
      <w:r w:rsidRPr="00BD6197">
        <w:rPr>
          <w:b/>
          <w:lang w:val="en-US"/>
        </w:rPr>
        <w:t xml:space="preserve"> Basic Fee = </w:t>
      </w:r>
      <w:r w:rsidRPr="00BD6197">
        <w:rPr>
          <w:lang w:val="en-US"/>
        </w:rPr>
        <w:t xml:space="preserve">40.000 (Forty Thousands) Dirhams. </w:t>
      </w:r>
    </w:p>
    <w:p w:rsidR="0041268E" w:rsidRPr="00BD6197" w:rsidRDefault="0041268E" w:rsidP="0041268E">
      <w:pPr>
        <w:pStyle w:val="enumlev1"/>
        <w:rPr>
          <w:lang w:val="en-US"/>
        </w:rPr>
      </w:pPr>
      <w:r w:rsidRPr="00BD6197">
        <w:rPr>
          <w:b/>
          <w:lang w:val="en-US"/>
        </w:rPr>
        <w:tab/>
        <w:t xml:space="preserve">P </w:t>
      </w:r>
      <w:r w:rsidRPr="00BD6197">
        <w:rPr>
          <w:bCs/>
          <w:lang w:val="en-US"/>
        </w:rPr>
        <w:t>=</w:t>
      </w:r>
      <w:r w:rsidRPr="00BD6197">
        <w:rPr>
          <w:b/>
          <w:lang w:val="en-US"/>
        </w:rPr>
        <w:t xml:space="preserve"> Power Factor </w:t>
      </w:r>
      <w:r w:rsidRPr="00BD6197">
        <w:rPr>
          <w:lang w:val="en-US"/>
        </w:rPr>
        <w:t>shall be the power; expressed in kilowatts [KW] equals the transmitter output power (in case of LW, MW or SW transmissions) and Effective Radiated Power (e.r.p.) in all other cases.</w:t>
      </w:r>
    </w:p>
    <w:p w:rsidR="0041268E" w:rsidRPr="00BD6197" w:rsidRDefault="0041268E" w:rsidP="0041268E">
      <w:pPr>
        <w:pStyle w:val="enumlev1"/>
        <w:rPr>
          <w:bCs/>
          <w:lang w:val="en-US"/>
        </w:rPr>
      </w:pPr>
      <w:r w:rsidRPr="00BD6197">
        <w:rPr>
          <w:b/>
          <w:lang w:val="en-US"/>
        </w:rPr>
        <w:tab/>
        <w:t xml:space="preserve">ST </w:t>
      </w:r>
      <w:r w:rsidRPr="00BD6197">
        <w:rPr>
          <w:bCs/>
          <w:lang w:val="en-US"/>
        </w:rPr>
        <w:t>=</w:t>
      </w:r>
      <w:r w:rsidRPr="00BD6197">
        <w:rPr>
          <w:b/>
          <w:lang w:val="en-US"/>
        </w:rPr>
        <w:t xml:space="preserve"> Service Type Factor </w:t>
      </w:r>
      <w:r w:rsidRPr="00BD6197">
        <w:rPr>
          <w:lang w:val="en-US"/>
        </w:rPr>
        <w:t>shall be calculated as</w:t>
      </w:r>
      <w:r w:rsidRPr="00BD6197">
        <w:rPr>
          <w:sz w:val="26"/>
          <w:szCs w:val="26"/>
          <w:lang w:val="en-US"/>
        </w:rPr>
        <w:t xml:space="preserve"> follows</w:t>
      </w:r>
      <w:r w:rsidRPr="00BD6197">
        <w:rPr>
          <w:bCs/>
          <w:sz w:val="26"/>
          <w:szCs w:val="26"/>
          <w:lang w:val="en-US"/>
        </w:rPr>
        <w:t>:</w:t>
      </w:r>
      <w:r w:rsidRPr="00BD6197">
        <w:rPr>
          <w:bCs/>
          <w:lang w:val="en-US"/>
        </w:rPr>
        <w:t xml:space="preserve"> </w:t>
      </w:r>
    </w:p>
    <w:p w:rsidR="0041268E" w:rsidRPr="00BD6197" w:rsidRDefault="0041268E" w:rsidP="0041268E">
      <w:pPr>
        <w:pStyle w:val="Note"/>
        <w:ind w:left="794" w:hanging="794"/>
        <w:rPr>
          <w:lang w:val="en-US"/>
        </w:rPr>
      </w:pPr>
      <w:r w:rsidRPr="00BD6197">
        <w:rPr>
          <w:lang w:val="en-US"/>
        </w:rPr>
        <w:tab/>
        <w:t>NOTE 1 – In case of using Single Frequency Network (SFN) the complete network shall be treated as one single transmitter and the Basic Fee shall be charged once for that SFN whereas the remaining part of Spectrum Fees shall be charged per station basis.</w:t>
      </w:r>
    </w:p>
    <w:p w:rsidR="0041268E" w:rsidRPr="00BD6197" w:rsidRDefault="0041268E" w:rsidP="0041268E">
      <w:pPr>
        <w:pStyle w:val="TableNo"/>
        <w:rPr>
          <w:lang w:val="en-US"/>
        </w:rPr>
      </w:pPr>
      <w:r w:rsidRPr="00BD6197">
        <w:rPr>
          <w:lang w:val="en-US"/>
        </w:rPr>
        <w:t>TABLE 1</w:t>
      </w:r>
    </w:p>
    <w:p w:rsidR="0041268E" w:rsidRPr="00BD6197" w:rsidRDefault="0041268E" w:rsidP="0041268E">
      <w:pPr>
        <w:pStyle w:val="Tabletitle"/>
        <w:rPr>
          <w:lang w:val="en-US"/>
        </w:rPr>
      </w:pPr>
      <w:r w:rsidRPr="00BD6197">
        <w:rPr>
          <w:lang w:val="en-US"/>
        </w:rPr>
        <w:t>Definition of Service Type Factors (ST) for Sound Broadcasting Services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800"/>
        <w:gridCol w:w="2430"/>
        <w:gridCol w:w="1530"/>
        <w:gridCol w:w="1769"/>
      </w:tblGrid>
      <w:tr w:rsidR="0041268E" w:rsidRPr="00BD6197" w:rsidTr="000F2BA7">
        <w:trPr>
          <w:trHeight w:val="454"/>
          <w:jc w:val="center"/>
        </w:trPr>
        <w:tc>
          <w:tcPr>
            <w:tcW w:w="7529" w:type="dxa"/>
            <w:gridSpan w:val="4"/>
            <w:vAlign w:val="center"/>
          </w:tcPr>
          <w:p w:rsidR="0041268E" w:rsidRPr="00BD6197" w:rsidRDefault="0041268E" w:rsidP="000F2BA7">
            <w:pPr>
              <w:pStyle w:val="Tablehead"/>
              <w:rPr>
                <w:lang w:val="en-US"/>
              </w:rPr>
            </w:pPr>
            <w:r w:rsidRPr="00BD6197">
              <w:rPr>
                <w:lang w:val="en-US"/>
              </w:rPr>
              <w:t>Sound Broadcasting Service</w:t>
            </w:r>
          </w:p>
        </w:tc>
      </w:tr>
      <w:tr w:rsidR="0041268E" w:rsidRPr="00BD6197" w:rsidTr="000F2BA7">
        <w:trPr>
          <w:trHeight w:val="454"/>
          <w:jc w:val="center"/>
        </w:trPr>
        <w:tc>
          <w:tcPr>
            <w:tcW w:w="1800" w:type="dxa"/>
            <w:vAlign w:val="center"/>
          </w:tcPr>
          <w:p w:rsidR="0041268E" w:rsidRPr="00BD6197" w:rsidRDefault="0041268E" w:rsidP="000F2BA7">
            <w:pPr>
              <w:pStyle w:val="Tablehead"/>
              <w:rPr>
                <w:lang w:val="en-US"/>
              </w:rPr>
            </w:pPr>
            <w:r w:rsidRPr="00BD6197">
              <w:rPr>
                <w:lang w:val="en-US"/>
              </w:rPr>
              <w:t>Service Type</w:t>
            </w:r>
          </w:p>
        </w:tc>
        <w:tc>
          <w:tcPr>
            <w:tcW w:w="2430" w:type="dxa"/>
            <w:vAlign w:val="center"/>
          </w:tcPr>
          <w:p w:rsidR="0041268E" w:rsidRPr="00BD6197" w:rsidRDefault="0041268E" w:rsidP="000F2BA7">
            <w:pPr>
              <w:pStyle w:val="Tablehead"/>
              <w:rPr>
                <w:lang w:val="en-US"/>
              </w:rPr>
            </w:pPr>
            <w:r w:rsidRPr="00BD6197">
              <w:rPr>
                <w:lang w:val="en-US"/>
              </w:rPr>
              <w:t>Frequency Range</w:t>
            </w:r>
          </w:p>
        </w:tc>
        <w:tc>
          <w:tcPr>
            <w:tcW w:w="1530" w:type="dxa"/>
            <w:vAlign w:val="center"/>
          </w:tcPr>
          <w:p w:rsidR="0041268E" w:rsidRPr="00BD6197" w:rsidRDefault="0041268E" w:rsidP="000F2BA7">
            <w:pPr>
              <w:pStyle w:val="Tablehead"/>
              <w:rPr>
                <w:lang w:val="en-US"/>
              </w:rPr>
            </w:pPr>
            <w:r w:rsidRPr="00BD6197">
              <w:rPr>
                <w:lang w:val="en-US"/>
              </w:rPr>
              <w:t>Bandwidth</w:t>
            </w:r>
          </w:p>
        </w:tc>
        <w:tc>
          <w:tcPr>
            <w:tcW w:w="1769" w:type="dxa"/>
            <w:vAlign w:val="center"/>
          </w:tcPr>
          <w:p w:rsidR="0041268E" w:rsidRPr="00BD6197" w:rsidRDefault="0041268E" w:rsidP="000F2BA7">
            <w:pPr>
              <w:pStyle w:val="Tablehead"/>
              <w:rPr>
                <w:lang w:val="en-US"/>
              </w:rPr>
            </w:pPr>
            <w:r w:rsidRPr="00BD6197">
              <w:rPr>
                <w:lang w:val="en-US"/>
              </w:rPr>
              <w:t>Service Type Factor (ST)</w:t>
            </w:r>
          </w:p>
        </w:tc>
      </w:tr>
      <w:tr w:rsidR="0041268E" w:rsidRPr="00BD6197" w:rsidTr="000F2BA7">
        <w:trPr>
          <w:trHeight w:val="454"/>
          <w:jc w:val="center"/>
        </w:trPr>
        <w:tc>
          <w:tcPr>
            <w:tcW w:w="1800" w:type="dxa"/>
            <w:vMerge w:val="restart"/>
          </w:tcPr>
          <w:p w:rsidR="0041268E" w:rsidRPr="00BD6197" w:rsidRDefault="0041268E" w:rsidP="000F2BA7">
            <w:pPr>
              <w:pStyle w:val="Tabletext"/>
              <w:rPr>
                <w:lang w:val="en-US"/>
              </w:rPr>
            </w:pPr>
            <w:r w:rsidRPr="00BD6197">
              <w:rPr>
                <w:lang w:val="en-US"/>
              </w:rPr>
              <w:t>LF/MF Sound Broadcasting</w:t>
            </w:r>
          </w:p>
        </w:tc>
        <w:tc>
          <w:tcPr>
            <w:tcW w:w="2430" w:type="dxa"/>
          </w:tcPr>
          <w:p w:rsidR="0041268E" w:rsidRPr="00BD6197" w:rsidRDefault="0041268E" w:rsidP="000F2BA7">
            <w:pPr>
              <w:pStyle w:val="Tabletext"/>
              <w:jc w:val="center"/>
              <w:rPr>
                <w:lang w:val="en-US"/>
              </w:rPr>
            </w:pPr>
            <w:r w:rsidRPr="00BD6197">
              <w:rPr>
                <w:lang w:val="en-US"/>
              </w:rPr>
              <w:t>148.5-283.5 kHz</w:t>
            </w:r>
          </w:p>
        </w:tc>
        <w:tc>
          <w:tcPr>
            <w:tcW w:w="1530" w:type="dxa"/>
          </w:tcPr>
          <w:p w:rsidR="0041268E" w:rsidRPr="00BD6197" w:rsidRDefault="0041268E" w:rsidP="000F2BA7">
            <w:pPr>
              <w:pStyle w:val="Tabletext"/>
              <w:jc w:val="center"/>
              <w:rPr>
                <w:lang w:val="en-US"/>
              </w:rPr>
            </w:pPr>
            <w:r w:rsidRPr="00BD6197">
              <w:rPr>
                <w:lang w:val="en-US"/>
              </w:rPr>
              <w:t>9 kHz</w:t>
            </w:r>
          </w:p>
        </w:tc>
        <w:tc>
          <w:tcPr>
            <w:tcW w:w="1769" w:type="dxa"/>
            <w:vMerge w:val="restart"/>
          </w:tcPr>
          <w:p w:rsidR="0041268E" w:rsidRPr="00BD6197" w:rsidRDefault="0041268E" w:rsidP="000F2BA7">
            <w:pPr>
              <w:pStyle w:val="Tabletext"/>
              <w:jc w:val="center"/>
              <w:rPr>
                <w:lang w:val="en-US"/>
              </w:rPr>
            </w:pPr>
            <w:r w:rsidRPr="00BD6197">
              <w:rPr>
                <w:lang w:val="en-US"/>
              </w:rPr>
              <w:t>4.5</w:t>
            </w:r>
          </w:p>
        </w:tc>
      </w:tr>
      <w:tr w:rsidR="0041268E" w:rsidRPr="00BD6197" w:rsidTr="000F2BA7">
        <w:trPr>
          <w:trHeight w:val="454"/>
          <w:jc w:val="center"/>
        </w:trPr>
        <w:tc>
          <w:tcPr>
            <w:tcW w:w="1800" w:type="dxa"/>
            <w:vMerge/>
          </w:tcPr>
          <w:p w:rsidR="0041268E" w:rsidRPr="00BD6197" w:rsidRDefault="0041268E" w:rsidP="000F2BA7">
            <w:pPr>
              <w:pStyle w:val="Tabletext"/>
              <w:rPr>
                <w:lang w:val="en-US"/>
              </w:rPr>
            </w:pPr>
          </w:p>
        </w:tc>
        <w:tc>
          <w:tcPr>
            <w:tcW w:w="2430" w:type="dxa"/>
          </w:tcPr>
          <w:p w:rsidR="0041268E" w:rsidRPr="00BD6197" w:rsidRDefault="0041268E" w:rsidP="000F2BA7">
            <w:pPr>
              <w:pStyle w:val="Tabletext"/>
              <w:jc w:val="center"/>
              <w:rPr>
                <w:lang w:val="en-US"/>
              </w:rPr>
            </w:pPr>
            <w:r w:rsidRPr="00BD6197">
              <w:rPr>
                <w:lang w:val="en-US"/>
              </w:rPr>
              <w:t>526.5-1,606.5 kHz</w:t>
            </w:r>
          </w:p>
        </w:tc>
        <w:tc>
          <w:tcPr>
            <w:tcW w:w="1530" w:type="dxa"/>
          </w:tcPr>
          <w:p w:rsidR="0041268E" w:rsidRPr="00BD6197" w:rsidRDefault="0041268E" w:rsidP="000F2BA7">
            <w:pPr>
              <w:pStyle w:val="Tabletext"/>
              <w:jc w:val="center"/>
              <w:rPr>
                <w:lang w:val="en-US"/>
              </w:rPr>
            </w:pPr>
            <w:r w:rsidRPr="00BD6197">
              <w:rPr>
                <w:lang w:val="en-US"/>
              </w:rPr>
              <w:t>9 kHz</w:t>
            </w:r>
          </w:p>
        </w:tc>
        <w:tc>
          <w:tcPr>
            <w:tcW w:w="1769" w:type="dxa"/>
            <w:vMerge/>
          </w:tcPr>
          <w:p w:rsidR="0041268E" w:rsidRPr="00BD6197" w:rsidRDefault="0041268E" w:rsidP="000F2BA7">
            <w:pPr>
              <w:pStyle w:val="Tabletext"/>
              <w:jc w:val="center"/>
              <w:rPr>
                <w:lang w:val="en-US"/>
              </w:rPr>
            </w:pPr>
          </w:p>
        </w:tc>
      </w:tr>
      <w:tr w:rsidR="0041268E" w:rsidRPr="00BD6197" w:rsidTr="000F2BA7">
        <w:trPr>
          <w:trHeight w:val="454"/>
          <w:jc w:val="center"/>
        </w:trPr>
        <w:tc>
          <w:tcPr>
            <w:tcW w:w="1800" w:type="dxa"/>
            <w:vMerge w:val="restart"/>
          </w:tcPr>
          <w:p w:rsidR="0041268E" w:rsidRPr="00BD6197" w:rsidRDefault="0041268E" w:rsidP="000F2BA7">
            <w:pPr>
              <w:pStyle w:val="Tabletext"/>
              <w:rPr>
                <w:lang w:val="en-US"/>
              </w:rPr>
            </w:pPr>
            <w:r w:rsidRPr="00BD6197">
              <w:rPr>
                <w:lang w:val="en-US"/>
              </w:rPr>
              <w:t>VHF Sound Broadcasting</w:t>
            </w:r>
          </w:p>
        </w:tc>
        <w:tc>
          <w:tcPr>
            <w:tcW w:w="2430" w:type="dxa"/>
          </w:tcPr>
          <w:p w:rsidR="0041268E" w:rsidRPr="00BD6197" w:rsidRDefault="0041268E" w:rsidP="000F2BA7">
            <w:pPr>
              <w:pStyle w:val="Tabletext"/>
              <w:jc w:val="center"/>
              <w:rPr>
                <w:lang w:val="en-US"/>
              </w:rPr>
            </w:pPr>
            <w:r w:rsidRPr="00BD6197">
              <w:rPr>
                <w:lang w:val="en-US"/>
              </w:rPr>
              <w:t>87.5-108 MHz</w:t>
            </w:r>
          </w:p>
        </w:tc>
        <w:tc>
          <w:tcPr>
            <w:tcW w:w="1530" w:type="dxa"/>
          </w:tcPr>
          <w:p w:rsidR="0041268E" w:rsidRPr="00BD6197" w:rsidRDefault="0041268E" w:rsidP="000F2BA7">
            <w:pPr>
              <w:pStyle w:val="Tabletext"/>
              <w:jc w:val="center"/>
              <w:rPr>
                <w:lang w:val="en-US"/>
              </w:rPr>
            </w:pPr>
            <w:r w:rsidRPr="00BD6197">
              <w:rPr>
                <w:lang w:val="en-US"/>
              </w:rPr>
              <w:t>200 kHz</w:t>
            </w:r>
          </w:p>
        </w:tc>
        <w:tc>
          <w:tcPr>
            <w:tcW w:w="1769" w:type="dxa"/>
          </w:tcPr>
          <w:p w:rsidR="0041268E" w:rsidRPr="00BD6197" w:rsidRDefault="0041268E" w:rsidP="000F2BA7">
            <w:pPr>
              <w:pStyle w:val="Tabletext"/>
              <w:jc w:val="center"/>
              <w:rPr>
                <w:lang w:val="en-US"/>
              </w:rPr>
            </w:pPr>
            <w:r w:rsidRPr="00BD6197">
              <w:rPr>
                <w:lang w:val="en-US"/>
              </w:rPr>
              <w:t>11</w:t>
            </w:r>
          </w:p>
        </w:tc>
      </w:tr>
      <w:tr w:rsidR="0041268E" w:rsidRPr="00BD6197" w:rsidTr="000F2BA7">
        <w:trPr>
          <w:trHeight w:val="454"/>
          <w:jc w:val="center"/>
        </w:trPr>
        <w:tc>
          <w:tcPr>
            <w:tcW w:w="1800" w:type="dxa"/>
            <w:vMerge/>
          </w:tcPr>
          <w:p w:rsidR="0041268E" w:rsidRPr="00BD6197" w:rsidDel="00192A8E" w:rsidRDefault="0041268E" w:rsidP="000F2BA7">
            <w:pPr>
              <w:pStyle w:val="Tabletext"/>
              <w:rPr>
                <w:lang w:val="en-US"/>
              </w:rPr>
            </w:pPr>
          </w:p>
        </w:tc>
        <w:tc>
          <w:tcPr>
            <w:tcW w:w="2430" w:type="dxa"/>
          </w:tcPr>
          <w:p w:rsidR="0041268E" w:rsidRPr="00BD6197" w:rsidRDefault="0041268E" w:rsidP="000F2BA7">
            <w:pPr>
              <w:pStyle w:val="Tabletext"/>
              <w:jc w:val="center"/>
              <w:rPr>
                <w:lang w:val="en-US"/>
              </w:rPr>
            </w:pPr>
            <w:r w:rsidRPr="00BD6197">
              <w:rPr>
                <w:lang w:val="en-US"/>
              </w:rPr>
              <w:t>174-230 MHz</w:t>
            </w:r>
          </w:p>
        </w:tc>
        <w:tc>
          <w:tcPr>
            <w:tcW w:w="1530" w:type="dxa"/>
          </w:tcPr>
          <w:p w:rsidR="0041268E" w:rsidRPr="00BD6197" w:rsidRDefault="0041268E" w:rsidP="000F2BA7">
            <w:pPr>
              <w:pStyle w:val="Tabletext"/>
              <w:jc w:val="center"/>
              <w:rPr>
                <w:lang w:val="en-US"/>
              </w:rPr>
            </w:pPr>
            <w:r w:rsidRPr="00BD6197">
              <w:rPr>
                <w:lang w:val="en-US"/>
              </w:rPr>
              <w:t>1.536 MHz</w:t>
            </w:r>
          </w:p>
        </w:tc>
        <w:tc>
          <w:tcPr>
            <w:tcW w:w="1769" w:type="dxa"/>
          </w:tcPr>
          <w:p w:rsidR="0041268E" w:rsidRPr="00BD6197" w:rsidRDefault="0041268E" w:rsidP="000F2BA7">
            <w:pPr>
              <w:pStyle w:val="Tabletext"/>
              <w:jc w:val="center"/>
              <w:rPr>
                <w:lang w:val="en-US"/>
              </w:rPr>
            </w:pPr>
            <w:r w:rsidRPr="00BD6197">
              <w:rPr>
                <w:lang w:val="en-US"/>
              </w:rPr>
              <w:t>21</w:t>
            </w:r>
          </w:p>
        </w:tc>
      </w:tr>
    </w:tbl>
    <w:p w:rsidR="0041268E" w:rsidRDefault="0041268E" w:rsidP="0041268E">
      <w:pPr>
        <w:pStyle w:val="Tablefin"/>
      </w:pPr>
    </w:p>
    <w:p w:rsidR="0041268E" w:rsidRDefault="0041268E" w:rsidP="0041268E">
      <w:pPr>
        <w:rPr>
          <w:sz w:val="20"/>
          <w:lang w:val="en-US"/>
        </w:rPr>
      </w:pPr>
      <w:r>
        <w:rPr>
          <w:lang w:val="en-US"/>
        </w:rPr>
        <w:br w:type="page"/>
      </w:r>
    </w:p>
    <w:p w:rsidR="0041268E" w:rsidRPr="00BD6197" w:rsidRDefault="0041268E" w:rsidP="0041268E">
      <w:pPr>
        <w:pStyle w:val="TableNo"/>
        <w:rPr>
          <w:lang w:val="en-US"/>
        </w:rPr>
      </w:pPr>
      <w:r w:rsidRPr="00BD6197">
        <w:rPr>
          <w:lang w:val="en-US"/>
        </w:rPr>
        <w:lastRenderedPageBreak/>
        <w:t>TABLE 2</w:t>
      </w:r>
    </w:p>
    <w:p w:rsidR="0041268E" w:rsidRPr="00BD6197" w:rsidRDefault="0041268E" w:rsidP="0041268E">
      <w:pPr>
        <w:pStyle w:val="Tabletitle"/>
        <w:rPr>
          <w:lang w:val="en-US"/>
        </w:rPr>
      </w:pPr>
      <w:r w:rsidRPr="00BD6197">
        <w:rPr>
          <w:lang w:val="en-US"/>
        </w:rPr>
        <w:t>Definition of Service Type Factors (ST) for TV Broadcasting Services</w:t>
      </w:r>
    </w:p>
    <w:tbl>
      <w:tblPr>
        <w:tblW w:w="0" w:type="auto"/>
        <w:jc w:val="center"/>
        <w:tblBorders>
          <w:top w:val="single" w:sz="2" w:space="0" w:color="auto"/>
          <w:left w:val="single" w:sz="2" w:space="0" w:color="auto"/>
          <w:bottom w:val="single" w:sz="2" w:space="0" w:color="auto"/>
          <w:right w:val="single" w:sz="2" w:space="0" w:color="auto"/>
          <w:insideH w:val="single" w:sz="2" w:space="0" w:color="auto"/>
        </w:tblBorders>
        <w:tblLook w:val="01E0" w:firstRow="1" w:lastRow="1" w:firstColumn="1" w:lastColumn="1" w:noHBand="0" w:noVBand="0"/>
      </w:tblPr>
      <w:tblGrid>
        <w:gridCol w:w="1660"/>
        <w:gridCol w:w="2568"/>
        <w:gridCol w:w="1443"/>
        <w:gridCol w:w="2117"/>
      </w:tblGrid>
      <w:tr w:rsidR="0041268E" w:rsidRPr="00BD6197" w:rsidTr="000F2BA7">
        <w:trPr>
          <w:trHeight w:val="397"/>
          <w:jc w:val="center"/>
        </w:trPr>
        <w:tc>
          <w:tcPr>
            <w:tcW w:w="7788" w:type="dxa"/>
            <w:gridSpan w:val="4"/>
            <w:tcBorders>
              <w:bottom w:val="single" w:sz="2" w:space="0" w:color="auto"/>
            </w:tcBorders>
            <w:vAlign w:val="center"/>
          </w:tcPr>
          <w:p w:rsidR="0041268E" w:rsidRPr="00BD6197" w:rsidRDefault="0041268E" w:rsidP="000F2BA7">
            <w:pPr>
              <w:pStyle w:val="Tablehead"/>
              <w:rPr>
                <w:lang w:val="en-US"/>
              </w:rPr>
            </w:pPr>
            <w:r w:rsidRPr="00BD6197">
              <w:rPr>
                <w:lang w:val="en-US"/>
              </w:rPr>
              <w:t>TV Broadcasting Service</w:t>
            </w:r>
          </w:p>
        </w:tc>
      </w:tr>
      <w:tr w:rsidR="0041268E" w:rsidRPr="00BD6197" w:rsidTr="000F2BA7">
        <w:trPr>
          <w:trHeight w:val="397"/>
          <w:jc w:val="center"/>
        </w:trPr>
        <w:tc>
          <w:tcPr>
            <w:tcW w:w="1660" w:type="dxa"/>
            <w:tcBorders>
              <w:right w:val="single" w:sz="2" w:space="0" w:color="auto"/>
            </w:tcBorders>
            <w:vAlign w:val="center"/>
          </w:tcPr>
          <w:p w:rsidR="0041268E" w:rsidRPr="00BD6197" w:rsidRDefault="0041268E" w:rsidP="000F2BA7">
            <w:pPr>
              <w:pStyle w:val="Tablehead"/>
              <w:rPr>
                <w:lang w:val="en-US"/>
              </w:rPr>
            </w:pPr>
            <w:r w:rsidRPr="00BD6197">
              <w:rPr>
                <w:lang w:val="en-US"/>
              </w:rPr>
              <w:t>Service Type</w:t>
            </w:r>
          </w:p>
        </w:tc>
        <w:tc>
          <w:tcPr>
            <w:tcW w:w="2568" w:type="dxa"/>
            <w:tcBorders>
              <w:left w:val="single" w:sz="2" w:space="0" w:color="auto"/>
              <w:right w:val="single" w:sz="2" w:space="0" w:color="auto"/>
            </w:tcBorders>
            <w:vAlign w:val="center"/>
          </w:tcPr>
          <w:p w:rsidR="0041268E" w:rsidRPr="00BD6197" w:rsidRDefault="0041268E" w:rsidP="000F2BA7">
            <w:pPr>
              <w:pStyle w:val="Tablehead"/>
              <w:rPr>
                <w:lang w:val="en-US"/>
              </w:rPr>
            </w:pPr>
            <w:r w:rsidRPr="00BD6197">
              <w:rPr>
                <w:lang w:val="en-US"/>
              </w:rPr>
              <w:t>Frequency Range</w:t>
            </w:r>
          </w:p>
        </w:tc>
        <w:tc>
          <w:tcPr>
            <w:tcW w:w="1443" w:type="dxa"/>
            <w:tcBorders>
              <w:left w:val="single" w:sz="2" w:space="0" w:color="auto"/>
              <w:right w:val="single" w:sz="2" w:space="0" w:color="auto"/>
            </w:tcBorders>
            <w:vAlign w:val="center"/>
          </w:tcPr>
          <w:p w:rsidR="0041268E" w:rsidRPr="00BD6197" w:rsidRDefault="0041268E" w:rsidP="000F2BA7">
            <w:pPr>
              <w:pStyle w:val="Tablehead"/>
              <w:rPr>
                <w:lang w:val="en-US"/>
              </w:rPr>
            </w:pPr>
            <w:r w:rsidRPr="00BD6197">
              <w:rPr>
                <w:lang w:val="en-US"/>
              </w:rPr>
              <w:t>Bandwidth</w:t>
            </w:r>
          </w:p>
        </w:tc>
        <w:tc>
          <w:tcPr>
            <w:tcW w:w="2117" w:type="dxa"/>
            <w:tcBorders>
              <w:left w:val="single" w:sz="2" w:space="0" w:color="auto"/>
            </w:tcBorders>
            <w:vAlign w:val="center"/>
          </w:tcPr>
          <w:p w:rsidR="0041268E" w:rsidRPr="00BD6197" w:rsidRDefault="0041268E" w:rsidP="000F2BA7">
            <w:pPr>
              <w:pStyle w:val="Tablehead"/>
              <w:rPr>
                <w:lang w:val="en-US"/>
              </w:rPr>
            </w:pPr>
            <w:r w:rsidRPr="00BD6197">
              <w:rPr>
                <w:lang w:val="en-US"/>
              </w:rPr>
              <w:t>Service Type Factor (ST)</w:t>
            </w:r>
          </w:p>
        </w:tc>
      </w:tr>
      <w:tr w:rsidR="0041268E" w:rsidRPr="00BD6197" w:rsidTr="000F2BA7">
        <w:trPr>
          <w:trHeight w:val="397"/>
          <w:jc w:val="center"/>
        </w:trPr>
        <w:tc>
          <w:tcPr>
            <w:tcW w:w="1660" w:type="dxa"/>
            <w:vMerge w:val="restart"/>
            <w:tcBorders>
              <w:right w:val="single" w:sz="2" w:space="0" w:color="auto"/>
            </w:tcBorders>
          </w:tcPr>
          <w:p w:rsidR="0041268E" w:rsidRPr="00BD6197" w:rsidRDefault="0041268E" w:rsidP="000F2BA7">
            <w:pPr>
              <w:pStyle w:val="Tabletext"/>
              <w:rPr>
                <w:lang w:val="en-US"/>
              </w:rPr>
            </w:pPr>
            <w:r w:rsidRPr="00BD6197">
              <w:rPr>
                <w:lang w:val="en-US"/>
              </w:rPr>
              <w:t>Terrestrial Analogue TV</w:t>
            </w:r>
          </w:p>
        </w:tc>
        <w:tc>
          <w:tcPr>
            <w:tcW w:w="2568" w:type="dxa"/>
            <w:tcBorders>
              <w:left w:val="single" w:sz="2" w:space="0" w:color="auto"/>
              <w:right w:val="single" w:sz="2" w:space="0" w:color="auto"/>
            </w:tcBorders>
          </w:tcPr>
          <w:p w:rsidR="0041268E" w:rsidRPr="00BD6197" w:rsidRDefault="0041268E" w:rsidP="000F2BA7">
            <w:pPr>
              <w:pStyle w:val="Tabletext"/>
              <w:jc w:val="center"/>
              <w:rPr>
                <w:lang w:val="en-US"/>
              </w:rPr>
            </w:pPr>
            <w:r w:rsidRPr="00BD6197">
              <w:rPr>
                <w:lang w:val="en-US"/>
              </w:rPr>
              <w:t>47-68 MHz</w:t>
            </w:r>
          </w:p>
        </w:tc>
        <w:tc>
          <w:tcPr>
            <w:tcW w:w="1443" w:type="dxa"/>
            <w:vMerge w:val="restart"/>
            <w:tcBorders>
              <w:left w:val="single" w:sz="2" w:space="0" w:color="auto"/>
              <w:right w:val="single" w:sz="2" w:space="0" w:color="auto"/>
            </w:tcBorders>
          </w:tcPr>
          <w:p w:rsidR="0041268E" w:rsidRPr="00BD6197" w:rsidRDefault="0041268E" w:rsidP="000F2BA7">
            <w:pPr>
              <w:pStyle w:val="Tabletext"/>
              <w:jc w:val="center"/>
              <w:rPr>
                <w:lang w:val="en-US"/>
              </w:rPr>
            </w:pPr>
            <w:r w:rsidRPr="00BD6197">
              <w:rPr>
                <w:lang w:val="en-US"/>
              </w:rPr>
              <w:t>7 MHz</w:t>
            </w:r>
          </w:p>
        </w:tc>
        <w:tc>
          <w:tcPr>
            <w:tcW w:w="2117" w:type="dxa"/>
            <w:vMerge w:val="restart"/>
            <w:tcBorders>
              <w:left w:val="single" w:sz="2" w:space="0" w:color="auto"/>
            </w:tcBorders>
          </w:tcPr>
          <w:p w:rsidR="0041268E" w:rsidRPr="00BD6197" w:rsidRDefault="0041268E" w:rsidP="000F2BA7">
            <w:pPr>
              <w:pStyle w:val="Tabletext"/>
              <w:jc w:val="center"/>
              <w:rPr>
                <w:lang w:val="en-US"/>
              </w:rPr>
            </w:pPr>
            <w:r w:rsidRPr="00BD6197">
              <w:rPr>
                <w:lang w:val="en-US"/>
              </w:rPr>
              <w:t>12</w:t>
            </w:r>
          </w:p>
        </w:tc>
      </w:tr>
      <w:tr w:rsidR="0041268E" w:rsidRPr="00BD6197" w:rsidTr="000F2BA7">
        <w:trPr>
          <w:trHeight w:val="397"/>
          <w:jc w:val="center"/>
        </w:trPr>
        <w:tc>
          <w:tcPr>
            <w:tcW w:w="1660" w:type="dxa"/>
            <w:vMerge/>
            <w:tcBorders>
              <w:right w:val="single" w:sz="2" w:space="0" w:color="auto"/>
            </w:tcBorders>
            <w:vAlign w:val="center"/>
          </w:tcPr>
          <w:p w:rsidR="0041268E" w:rsidRPr="00BD6197" w:rsidRDefault="0041268E" w:rsidP="000F2BA7">
            <w:pPr>
              <w:pStyle w:val="Tabletext"/>
              <w:rPr>
                <w:lang w:val="en-US"/>
              </w:rPr>
            </w:pPr>
          </w:p>
        </w:tc>
        <w:tc>
          <w:tcPr>
            <w:tcW w:w="2568" w:type="dxa"/>
            <w:tcBorders>
              <w:left w:val="single" w:sz="2" w:space="0" w:color="auto"/>
              <w:right w:val="single" w:sz="2" w:space="0" w:color="auto"/>
            </w:tcBorders>
          </w:tcPr>
          <w:p w:rsidR="0041268E" w:rsidRPr="00BD6197" w:rsidRDefault="0041268E" w:rsidP="000F2BA7">
            <w:pPr>
              <w:pStyle w:val="Tabletext"/>
              <w:jc w:val="center"/>
              <w:rPr>
                <w:lang w:val="en-US"/>
              </w:rPr>
            </w:pPr>
            <w:r w:rsidRPr="00BD6197">
              <w:rPr>
                <w:lang w:val="en-US"/>
              </w:rPr>
              <w:t>174-230 MHz</w:t>
            </w:r>
          </w:p>
        </w:tc>
        <w:tc>
          <w:tcPr>
            <w:tcW w:w="1443" w:type="dxa"/>
            <w:vMerge/>
            <w:tcBorders>
              <w:left w:val="single" w:sz="2" w:space="0" w:color="auto"/>
              <w:right w:val="single" w:sz="2" w:space="0" w:color="auto"/>
            </w:tcBorders>
          </w:tcPr>
          <w:p w:rsidR="0041268E" w:rsidRPr="00BD6197" w:rsidRDefault="0041268E" w:rsidP="000F2BA7">
            <w:pPr>
              <w:pStyle w:val="Tabletext"/>
              <w:jc w:val="center"/>
              <w:rPr>
                <w:lang w:val="en-US"/>
              </w:rPr>
            </w:pPr>
          </w:p>
        </w:tc>
        <w:tc>
          <w:tcPr>
            <w:tcW w:w="2117" w:type="dxa"/>
            <w:vMerge/>
            <w:tcBorders>
              <w:left w:val="single" w:sz="2" w:space="0" w:color="auto"/>
            </w:tcBorders>
          </w:tcPr>
          <w:p w:rsidR="0041268E" w:rsidRPr="00BD6197" w:rsidRDefault="0041268E" w:rsidP="000F2BA7">
            <w:pPr>
              <w:pStyle w:val="Tabletext"/>
              <w:jc w:val="center"/>
              <w:rPr>
                <w:lang w:val="en-US"/>
              </w:rPr>
            </w:pPr>
          </w:p>
        </w:tc>
      </w:tr>
      <w:tr w:rsidR="0041268E" w:rsidRPr="00BD6197" w:rsidTr="000F2BA7">
        <w:trPr>
          <w:trHeight w:val="397"/>
          <w:jc w:val="center"/>
        </w:trPr>
        <w:tc>
          <w:tcPr>
            <w:tcW w:w="1660" w:type="dxa"/>
            <w:vMerge/>
            <w:tcBorders>
              <w:right w:val="single" w:sz="2" w:space="0" w:color="auto"/>
            </w:tcBorders>
            <w:vAlign w:val="center"/>
          </w:tcPr>
          <w:p w:rsidR="0041268E" w:rsidRPr="00BD6197" w:rsidRDefault="0041268E" w:rsidP="000F2BA7">
            <w:pPr>
              <w:pStyle w:val="Tabletext"/>
              <w:rPr>
                <w:lang w:val="en-US"/>
              </w:rPr>
            </w:pPr>
          </w:p>
        </w:tc>
        <w:tc>
          <w:tcPr>
            <w:tcW w:w="2568" w:type="dxa"/>
            <w:tcBorders>
              <w:left w:val="single" w:sz="2" w:space="0" w:color="auto"/>
              <w:right w:val="single" w:sz="2" w:space="0" w:color="auto"/>
            </w:tcBorders>
          </w:tcPr>
          <w:p w:rsidR="0041268E" w:rsidRPr="00BD6197" w:rsidRDefault="0041268E" w:rsidP="000F2BA7">
            <w:pPr>
              <w:pStyle w:val="Tabletext"/>
              <w:jc w:val="center"/>
              <w:rPr>
                <w:lang w:val="en-US"/>
              </w:rPr>
            </w:pPr>
            <w:r w:rsidRPr="00BD6197">
              <w:rPr>
                <w:lang w:val="en-US"/>
              </w:rPr>
              <w:t>470-862 MHz</w:t>
            </w:r>
          </w:p>
        </w:tc>
        <w:tc>
          <w:tcPr>
            <w:tcW w:w="1443" w:type="dxa"/>
            <w:tcBorders>
              <w:left w:val="single" w:sz="2" w:space="0" w:color="auto"/>
              <w:right w:val="single" w:sz="2" w:space="0" w:color="auto"/>
            </w:tcBorders>
          </w:tcPr>
          <w:p w:rsidR="0041268E" w:rsidRPr="00BD6197" w:rsidRDefault="0041268E" w:rsidP="000F2BA7">
            <w:pPr>
              <w:pStyle w:val="Tabletext"/>
              <w:jc w:val="center"/>
              <w:rPr>
                <w:lang w:val="en-US"/>
              </w:rPr>
            </w:pPr>
            <w:r w:rsidRPr="00BD6197">
              <w:rPr>
                <w:lang w:val="en-US"/>
              </w:rPr>
              <w:t>8 MHz</w:t>
            </w:r>
          </w:p>
        </w:tc>
        <w:tc>
          <w:tcPr>
            <w:tcW w:w="2117" w:type="dxa"/>
            <w:tcBorders>
              <w:left w:val="single" w:sz="2" w:space="0" w:color="auto"/>
            </w:tcBorders>
          </w:tcPr>
          <w:p w:rsidR="0041268E" w:rsidRPr="00BD6197" w:rsidRDefault="0041268E" w:rsidP="000F2BA7">
            <w:pPr>
              <w:pStyle w:val="Tabletext"/>
              <w:jc w:val="center"/>
              <w:rPr>
                <w:lang w:val="en-US"/>
              </w:rPr>
            </w:pPr>
            <w:r w:rsidRPr="00BD6197">
              <w:rPr>
                <w:lang w:val="en-US"/>
              </w:rPr>
              <w:t>14</w:t>
            </w:r>
          </w:p>
        </w:tc>
      </w:tr>
      <w:tr w:rsidR="0041268E" w:rsidRPr="00BD6197" w:rsidTr="000F2BA7">
        <w:trPr>
          <w:trHeight w:val="397"/>
          <w:jc w:val="center"/>
        </w:trPr>
        <w:tc>
          <w:tcPr>
            <w:tcW w:w="1660" w:type="dxa"/>
            <w:vMerge w:val="restart"/>
            <w:tcBorders>
              <w:right w:val="single" w:sz="2" w:space="0" w:color="auto"/>
            </w:tcBorders>
          </w:tcPr>
          <w:p w:rsidR="0041268E" w:rsidRPr="00BD6197" w:rsidRDefault="0041268E" w:rsidP="000F2BA7">
            <w:pPr>
              <w:pStyle w:val="Tabletext"/>
              <w:rPr>
                <w:lang w:val="en-US"/>
              </w:rPr>
            </w:pPr>
            <w:r w:rsidRPr="00BD6197">
              <w:rPr>
                <w:lang w:val="en-US"/>
              </w:rPr>
              <w:t>Terrestrial Digital TV Broadcasting</w:t>
            </w:r>
          </w:p>
        </w:tc>
        <w:tc>
          <w:tcPr>
            <w:tcW w:w="2568" w:type="dxa"/>
            <w:tcBorders>
              <w:left w:val="single" w:sz="2" w:space="0" w:color="auto"/>
              <w:right w:val="single" w:sz="2" w:space="0" w:color="auto"/>
            </w:tcBorders>
          </w:tcPr>
          <w:p w:rsidR="0041268E" w:rsidRPr="00BD6197" w:rsidRDefault="0041268E" w:rsidP="000F2BA7">
            <w:pPr>
              <w:pStyle w:val="Tabletext"/>
              <w:jc w:val="center"/>
              <w:rPr>
                <w:lang w:val="en-US"/>
              </w:rPr>
            </w:pPr>
            <w:r w:rsidRPr="00BD6197">
              <w:rPr>
                <w:lang w:val="en-US"/>
              </w:rPr>
              <w:t>174-230 MHz</w:t>
            </w:r>
          </w:p>
        </w:tc>
        <w:tc>
          <w:tcPr>
            <w:tcW w:w="1443" w:type="dxa"/>
            <w:tcBorders>
              <w:left w:val="single" w:sz="2" w:space="0" w:color="auto"/>
              <w:right w:val="single" w:sz="2" w:space="0" w:color="auto"/>
            </w:tcBorders>
          </w:tcPr>
          <w:p w:rsidR="0041268E" w:rsidRPr="00BD6197" w:rsidRDefault="0041268E" w:rsidP="000F2BA7">
            <w:pPr>
              <w:pStyle w:val="Tabletext"/>
              <w:jc w:val="center"/>
              <w:rPr>
                <w:lang w:val="en-US"/>
              </w:rPr>
            </w:pPr>
            <w:r w:rsidRPr="00BD6197">
              <w:rPr>
                <w:lang w:val="en-US"/>
              </w:rPr>
              <w:t>7 MHz</w:t>
            </w:r>
          </w:p>
        </w:tc>
        <w:tc>
          <w:tcPr>
            <w:tcW w:w="2117" w:type="dxa"/>
            <w:tcBorders>
              <w:left w:val="single" w:sz="2" w:space="0" w:color="auto"/>
            </w:tcBorders>
          </w:tcPr>
          <w:p w:rsidR="0041268E" w:rsidRPr="00BD6197" w:rsidRDefault="0041268E" w:rsidP="000F2BA7">
            <w:pPr>
              <w:pStyle w:val="Tabletext"/>
              <w:jc w:val="center"/>
              <w:rPr>
                <w:lang w:val="en-US"/>
              </w:rPr>
            </w:pPr>
            <w:r w:rsidRPr="00BD6197">
              <w:rPr>
                <w:lang w:val="en-US"/>
              </w:rPr>
              <w:t>60</w:t>
            </w:r>
          </w:p>
        </w:tc>
      </w:tr>
      <w:tr w:rsidR="0041268E" w:rsidRPr="00BD6197" w:rsidTr="000F2BA7">
        <w:trPr>
          <w:trHeight w:val="397"/>
          <w:jc w:val="center"/>
        </w:trPr>
        <w:tc>
          <w:tcPr>
            <w:tcW w:w="1660" w:type="dxa"/>
            <w:vMerge/>
            <w:tcBorders>
              <w:right w:val="single" w:sz="2" w:space="0" w:color="auto"/>
            </w:tcBorders>
            <w:vAlign w:val="center"/>
          </w:tcPr>
          <w:p w:rsidR="0041268E" w:rsidRPr="00BD6197" w:rsidRDefault="0041268E" w:rsidP="000F2BA7">
            <w:pPr>
              <w:pStyle w:val="Tabletext"/>
              <w:rPr>
                <w:lang w:val="en-US"/>
              </w:rPr>
            </w:pPr>
          </w:p>
        </w:tc>
        <w:tc>
          <w:tcPr>
            <w:tcW w:w="2568" w:type="dxa"/>
            <w:tcBorders>
              <w:left w:val="single" w:sz="2" w:space="0" w:color="auto"/>
              <w:right w:val="single" w:sz="2" w:space="0" w:color="auto"/>
            </w:tcBorders>
          </w:tcPr>
          <w:p w:rsidR="0041268E" w:rsidRPr="00BD6197" w:rsidRDefault="0041268E" w:rsidP="000F2BA7">
            <w:pPr>
              <w:pStyle w:val="Tabletext"/>
              <w:jc w:val="center"/>
              <w:rPr>
                <w:lang w:val="en-US"/>
              </w:rPr>
            </w:pPr>
            <w:r w:rsidRPr="00BD6197">
              <w:rPr>
                <w:lang w:val="en-US"/>
              </w:rPr>
              <w:t>470-862 MHz</w:t>
            </w:r>
          </w:p>
        </w:tc>
        <w:tc>
          <w:tcPr>
            <w:tcW w:w="1443" w:type="dxa"/>
            <w:tcBorders>
              <w:left w:val="single" w:sz="2" w:space="0" w:color="auto"/>
              <w:right w:val="single" w:sz="2" w:space="0" w:color="auto"/>
            </w:tcBorders>
          </w:tcPr>
          <w:p w:rsidR="0041268E" w:rsidRPr="00BD6197" w:rsidRDefault="0041268E" w:rsidP="000F2BA7">
            <w:pPr>
              <w:pStyle w:val="Tabletext"/>
              <w:jc w:val="center"/>
              <w:rPr>
                <w:lang w:val="en-US"/>
              </w:rPr>
            </w:pPr>
            <w:r w:rsidRPr="00BD6197">
              <w:rPr>
                <w:lang w:val="en-US"/>
              </w:rPr>
              <w:t>8 MHz</w:t>
            </w:r>
          </w:p>
        </w:tc>
        <w:tc>
          <w:tcPr>
            <w:tcW w:w="2117" w:type="dxa"/>
            <w:tcBorders>
              <w:left w:val="single" w:sz="2" w:space="0" w:color="auto"/>
            </w:tcBorders>
          </w:tcPr>
          <w:p w:rsidR="0041268E" w:rsidRPr="00BD6197" w:rsidRDefault="0041268E" w:rsidP="000F2BA7">
            <w:pPr>
              <w:pStyle w:val="Tabletext"/>
              <w:jc w:val="center"/>
              <w:rPr>
                <w:lang w:val="en-US"/>
              </w:rPr>
            </w:pPr>
            <w:r w:rsidRPr="00BD6197">
              <w:rPr>
                <w:lang w:val="en-US"/>
              </w:rPr>
              <w:t>68</w:t>
            </w:r>
          </w:p>
        </w:tc>
      </w:tr>
      <w:tr w:rsidR="0041268E" w:rsidRPr="00BD6197" w:rsidTr="000F2BA7">
        <w:trPr>
          <w:trHeight w:val="397"/>
          <w:jc w:val="center"/>
        </w:trPr>
        <w:tc>
          <w:tcPr>
            <w:tcW w:w="1660" w:type="dxa"/>
            <w:vMerge w:val="restart"/>
            <w:tcBorders>
              <w:right w:val="single" w:sz="2" w:space="0" w:color="auto"/>
            </w:tcBorders>
          </w:tcPr>
          <w:p w:rsidR="0041268E" w:rsidRPr="00BD6197" w:rsidRDefault="0041268E" w:rsidP="000F2BA7">
            <w:pPr>
              <w:pStyle w:val="Tabletext"/>
              <w:rPr>
                <w:lang w:val="en-US"/>
              </w:rPr>
            </w:pPr>
            <w:r w:rsidRPr="00BD6197">
              <w:rPr>
                <w:lang w:val="en-US"/>
              </w:rPr>
              <w:t>Terrestrial Mobile TV Broadcasting</w:t>
            </w:r>
          </w:p>
        </w:tc>
        <w:tc>
          <w:tcPr>
            <w:tcW w:w="2568" w:type="dxa"/>
            <w:tcBorders>
              <w:left w:val="single" w:sz="2" w:space="0" w:color="auto"/>
              <w:right w:val="single" w:sz="2" w:space="0" w:color="auto"/>
            </w:tcBorders>
          </w:tcPr>
          <w:p w:rsidR="0041268E" w:rsidRPr="00BD6197" w:rsidRDefault="0041268E" w:rsidP="000F2BA7">
            <w:pPr>
              <w:pStyle w:val="Tabletext"/>
              <w:jc w:val="center"/>
              <w:rPr>
                <w:lang w:val="en-US"/>
              </w:rPr>
            </w:pPr>
            <w:r w:rsidRPr="00BD6197">
              <w:rPr>
                <w:lang w:val="en-US"/>
              </w:rPr>
              <w:t>174-230 MHz</w:t>
            </w:r>
          </w:p>
        </w:tc>
        <w:tc>
          <w:tcPr>
            <w:tcW w:w="1443" w:type="dxa"/>
            <w:tcBorders>
              <w:left w:val="single" w:sz="2" w:space="0" w:color="auto"/>
              <w:right w:val="single" w:sz="2" w:space="0" w:color="auto"/>
            </w:tcBorders>
          </w:tcPr>
          <w:p w:rsidR="0041268E" w:rsidRPr="00BD6197" w:rsidRDefault="0041268E" w:rsidP="000F2BA7">
            <w:pPr>
              <w:pStyle w:val="Tabletext"/>
              <w:jc w:val="center"/>
              <w:rPr>
                <w:lang w:val="en-US"/>
              </w:rPr>
            </w:pPr>
            <w:r w:rsidRPr="00BD6197">
              <w:rPr>
                <w:lang w:val="en-US"/>
              </w:rPr>
              <w:t>7 MHz</w:t>
            </w:r>
          </w:p>
        </w:tc>
        <w:tc>
          <w:tcPr>
            <w:tcW w:w="2117" w:type="dxa"/>
            <w:tcBorders>
              <w:left w:val="single" w:sz="2" w:space="0" w:color="auto"/>
            </w:tcBorders>
          </w:tcPr>
          <w:p w:rsidR="0041268E" w:rsidRPr="00BD6197" w:rsidRDefault="0041268E" w:rsidP="000F2BA7">
            <w:pPr>
              <w:pStyle w:val="Tabletext"/>
              <w:jc w:val="center"/>
              <w:rPr>
                <w:lang w:val="en-US"/>
              </w:rPr>
            </w:pPr>
            <w:r w:rsidRPr="00BD6197">
              <w:rPr>
                <w:lang w:val="en-US"/>
              </w:rPr>
              <w:t>119</w:t>
            </w:r>
          </w:p>
        </w:tc>
      </w:tr>
      <w:tr w:rsidR="0041268E" w:rsidRPr="00BD6197" w:rsidTr="000F2BA7">
        <w:trPr>
          <w:trHeight w:val="397"/>
          <w:jc w:val="center"/>
        </w:trPr>
        <w:tc>
          <w:tcPr>
            <w:tcW w:w="1660" w:type="dxa"/>
            <w:vMerge/>
            <w:tcBorders>
              <w:bottom w:val="single" w:sz="2" w:space="0" w:color="auto"/>
              <w:right w:val="single" w:sz="2" w:space="0" w:color="auto"/>
            </w:tcBorders>
          </w:tcPr>
          <w:p w:rsidR="0041268E" w:rsidRPr="00BD6197" w:rsidRDefault="0041268E" w:rsidP="000F2BA7">
            <w:pPr>
              <w:pStyle w:val="Tabletext"/>
              <w:rPr>
                <w:lang w:val="en-US"/>
              </w:rPr>
            </w:pPr>
          </w:p>
        </w:tc>
        <w:tc>
          <w:tcPr>
            <w:tcW w:w="2568" w:type="dxa"/>
            <w:tcBorders>
              <w:left w:val="single" w:sz="2" w:space="0" w:color="auto"/>
              <w:bottom w:val="single" w:sz="2" w:space="0" w:color="auto"/>
              <w:right w:val="single" w:sz="2" w:space="0" w:color="auto"/>
            </w:tcBorders>
          </w:tcPr>
          <w:p w:rsidR="0041268E" w:rsidRPr="00BD6197" w:rsidRDefault="0041268E" w:rsidP="000F2BA7">
            <w:pPr>
              <w:pStyle w:val="Tabletext"/>
              <w:jc w:val="center"/>
              <w:rPr>
                <w:lang w:val="en-US"/>
              </w:rPr>
            </w:pPr>
            <w:r w:rsidRPr="00BD6197">
              <w:rPr>
                <w:lang w:val="en-US"/>
              </w:rPr>
              <w:t>470-862 MHz</w:t>
            </w:r>
          </w:p>
        </w:tc>
        <w:tc>
          <w:tcPr>
            <w:tcW w:w="1443" w:type="dxa"/>
            <w:tcBorders>
              <w:left w:val="single" w:sz="2" w:space="0" w:color="auto"/>
              <w:bottom w:val="single" w:sz="2" w:space="0" w:color="auto"/>
              <w:right w:val="single" w:sz="2" w:space="0" w:color="auto"/>
            </w:tcBorders>
          </w:tcPr>
          <w:p w:rsidR="0041268E" w:rsidRPr="00BD6197" w:rsidRDefault="0041268E" w:rsidP="000F2BA7">
            <w:pPr>
              <w:pStyle w:val="Tabletext"/>
              <w:jc w:val="center"/>
              <w:rPr>
                <w:lang w:val="en-US"/>
              </w:rPr>
            </w:pPr>
            <w:r w:rsidRPr="00BD6197">
              <w:rPr>
                <w:lang w:val="en-US"/>
              </w:rPr>
              <w:t>8 MHz</w:t>
            </w:r>
          </w:p>
        </w:tc>
        <w:tc>
          <w:tcPr>
            <w:tcW w:w="2117" w:type="dxa"/>
            <w:tcBorders>
              <w:left w:val="single" w:sz="2" w:space="0" w:color="auto"/>
              <w:bottom w:val="single" w:sz="2" w:space="0" w:color="auto"/>
            </w:tcBorders>
          </w:tcPr>
          <w:p w:rsidR="0041268E" w:rsidRPr="00BD6197" w:rsidRDefault="0041268E" w:rsidP="000F2BA7">
            <w:pPr>
              <w:pStyle w:val="Tabletext"/>
              <w:jc w:val="center"/>
              <w:rPr>
                <w:lang w:val="en-US"/>
              </w:rPr>
            </w:pPr>
            <w:r w:rsidRPr="00BD6197">
              <w:rPr>
                <w:lang w:val="en-US"/>
              </w:rPr>
              <w:t>136</w:t>
            </w:r>
          </w:p>
        </w:tc>
      </w:tr>
      <w:tr w:rsidR="0041268E" w:rsidRPr="00D17B5B" w:rsidTr="000F2BA7">
        <w:trPr>
          <w:trHeight w:val="397"/>
          <w:jc w:val="center"/>
        </w:trPr>
        <w:tc>
          <w:tcPr>
            <w:tcW w:w="7788" w:type="dxa"/>
            <w:gridSpan w:val="4"/>
            <w:tcBorders>
              <w:left w:val="nil"/>
              <w:bottom w:val="nil"/>
              <w:right w:val="nil"/>
            </w:tcBorders>
          </w:tcPr>
          <w:p w:rsidR="0041268E" w:rsidRPr="00BD6197" w:rsidRDefault="0041268E" w:rsidP="000F2BA7">
            <w:pPr>
              <w:pStyle w:val="TableLegendNote"/>
            </w:pPr>
            <w:r w:rsidRPr="00BD6197">
              <w:t>NOTE 1 –</w:t>
            </w:r>
            <w:r w:rsidRPr="00BD6197">
              <w:rPr>
                <w:lang w:bidi="ar-AE"/>
              </w:rPr>
              <w:t xml:space="preserve"> </w:t>
            </w:r>
            <w:r w:rsidRPr="00BD6197">
              <w:t>The Service Type Factor for Terrestrial Analog TV shall be applicable till December 2015. Afterwards, the Service Type Factor for Terrestrial Digital TV Broadcasting shall be applied for Terrestrial Analog TV.</w:t>
            </w:r>
          </w:p>
          <w:p w:rsidR="0041268E" w:rsidRPr="00BD6197" w:rsidRDefault="0041268E" w:rsidP="000F2BA7">
            <w:pPr>
              <w:pStyle w:val="TableLegendNote"/>
            </w:pPr>
            <w:r w:rsidRPr="00BD6197">
              <w:t xml:space="preserve">NOTE 2 – Service Type Factor can be calculated on prorate basis with respect to above mentioned bandwidth and closest frequency range if similar Broadcasting Service is required to be authorized in any frequency band not mentioned above. </w:t>
            </w:r>
          </w:p>
        </w:tc>
      </w:tr>
    </w:tbl>
    <w:p w:rsidR="0041268E" w:rsidRPr="00BD6197" w:rsidRDefault="0041268E" w:rsidP="0041268E">
      <w:pPr>
        <w:pStyle w:val="Tablefin"/>
        <w:rPr>
          <w:lang w:val="en-US"/>
        </w:rPr>
      </w:pPr>
      <w:bookmarkStart w:id="2415" w:name="_Toc195057728"/>
    </w:p>
    <w:bookmarkEnd w:id="2415"/>
    <w:p w:rsidR="0041268E" w:rsidRPr="00BD6197" w:rsidRDefault="0041268E" w:rsidP="0041268E">
      <w:pPr>
        <w:pStyle w:val="enumlev1"/>
        <w:rPr>
          <w:lang w:val="en-US"/>
        </w:rPr>
      </w:pPr>
      <w:r w:rsidRPr="00BD6197">
        <w:rPr>
          <w:lang w:val="en-US"/>
        </w:rPr>
        <w:tab/>
        <w:t>SZ = Service Zone Factor as follows:</w:t>
      </w:r>
    </w:p>
    <w:p w:rsidR="0041268E" w:rsidRPr="00BD6197" w:rsidRDefault="0041268E" w:rsidP="0041268E">
      <w:pPr>
        <w:pStyle w:val="TableNo"/>
        <w:rPr>
          <w:lang w:val="en-US"/>
        </w:rPr>
      </w:pPr>
      <w:bookmarkStart w:id="2416" w:name="_Toc195057730"/>
      <w:r w:rsidRPr="00BD6197">
        <w:rPr>
          <w:lang w:val="en-US"/>
        </w:rPr>
        <w:t>TABLE 3</w:t>
      </w:r>
    </w:p>
    <w:p w:rsidR="0041268E" w:rsidRPr="00BD6197" w:rsidRDefault="0041268E" w:rsidP="0041268E">
      <w:pPr>
        <w:pStyle w:val="Tabletitle"/>
        <w:rPr>
          <w:lang w:val="en-US"/>
        </w:rPr>
      </w:pPr>
      <w:r w:rsidRPr="00BD6197">
        <w:rPr>
          <w:lang w:val="en-US"/>
        </w:rPr>
        <w:t>Definition of Service Zones Factors (SZ)</w:t>
      </w:r>
      <w:bookmarkEnd w:id="24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3610"/>
        <w:gridCol w:w="2700"/>
      </w:tblGrid>
      <w:tr w:rsidR="0041268E" w:rsidRPr="00BD6197" w:rsidTr="000F2BA7">
        <w:trPr>
          <w:trHeight w:val="680"/>
          <w:jc w:val="center"/>
        </w:trPr>
        <w:tc>
          <w:tcPr>
            <w:tcW w:w="1764" w:type="dxa"/>
            <w:shd w:val="clear" w:color="auto" w:fill="auto"/>
            <w:vAlign w:val="center"/>
          </w:tcPr>
          <w:p w:rsidR="0041268E" w:rsidRPr="00BD6197" w:rsidRDefault="0041268E" w:rsidP="000F2BA7">
            <w:pPr>
              <w:pStyle w:val="Tablehead"/>
              <w:rPr>
                <w:lang w:val="en-US"/>
              </w:rPr>
            </w:pPr>
            <w:r w:rsidRPr="00BD6197">
              <w:rPr>
                <w:lang w:val="en-US"/>
              </w:rPr>
              <w:t>Service Zone Factor (SZ)</w:t>
            </w:r>
          </w:p>
        </w:tc>
        <w:tc>
          <w:tcPr>
            <w:tcW w:w="3610" w:type="dxa"/>
            <w:shd w:val="clear" w:color="auto" w:fill="auto"/>
            <w:vAlign w:val="center"/>
          </w:tcPr>
          <w:p w:rsidR="0041268E" w:rsidRPr="00BD6197" w:rsidRDefault="0041268E" w:rsidP="000F2BA7">
            <w:pPr>
              <w:pStyle w:val="Tablehead"/>
              <w:rPr>
                <w:lang w:val="en-US"/>
              </w:rPr>
            </w:pPr>
            <w:r w:rsidRPr="00BD6197">
              <w:rPr>
                <w:lang w:val="en-US"/>
              </w:rPr>
              <w:t>Service Zone</w:t>
            </w:r>
          </w:p>
        </w:tc>
        <w:tc>
          <w:tcPr>
            <w:tcW w:w="2700" w:type="dxa"/>
            <w:shd w:val="clear" w:color="auto" w:fill="auto"/>
            <w:vAlign w:val="center"/>
          </w:tcPr>
          <w:p w:rsidR="0041268E" w:rsidRPr="00BD6197" w:rsidRDefault="0041268E" w:rsidP="000F2BA7">
            <w:pPr>
              <w:pStyle w:val="Tablehead"/>
              <w:rPr>
                <w:lang w:val="en-US"/>
              </w:rPr>
            </w:pPr>
            <w:r w:rsidRPr="00BD6197">
              <w:rPr>
                <w:lang w:val="en-US"/>
              </w:rPr>
              <w:t>Polygon Corners</w:t>
            </w:r>
          </w:p>
        </w:tc>
      </w:tr>
      <w:tr w:rsidR="0041268E" w:rsidRPr="00BD6197" w:rsidTr="000F2BA7">
        <w:trPr>
          <w:trHeight w:val="1142"/>
          <w:jc w:val="center"/>
        </w:trPr>
        <w:tc>
          <w:tcPr>
            <w:tcW w:w="1764" w:type="dxa"/>
            <w:vMerge w:val="restart"/>
          </w:tcPr>
          <w:p w:rsidR="0041268E" w:rsidRPr="00BD6197" w:rsidRDefault="0041268E" w:rsidP="000F2BA7">
            <w:pPr>
              <w:pStyle w:val="Tabletext"/>
              <w:rPr>
                <w:lang w:val="en-US" w:eastAsia="de-DE"/>
              </w:rPr>
            </w:pPr>
            <w:r w:rsidRPr="00BD6197">
              <w:rPr>
                <w:lang w:val="en-US" w:eastAsia="de-DE"/>
              </w:rPr>
              <w:t>1.00 (high)</w:t>
            </w:r>
          </w:p>
        </w:tc>
        <w:tc>
          <w:tcPr>
            <w:tcW w:w="3610" w:type="dxa"/>
            <w:tcBorders>
              <w:bottom w:val="single" w:sz="4" w:space="0" w:color="auto"/>
            </w:tcBorders>
          </w:tcPr>
          <w:p w:rsidR="0041268E" w:rsidRPr="00BD6197" w:rsidRDefault="0041268E" w:rsidP="000F2BA7">
            <w:pPr>
              <w:pStyle w:val="Tabletext"/>
              <w:rPr>
                <w:lang w:val="en-US" w:eastAsia="de-DE"/>
              </w:rPr>
            </w:pPr>
            <w:r w:rsidRPr="00BD6197">
              <w:rPr>
                <w:lang w:val="en-US" w:eastAsia="de-DE"/>
              </w:rPr>
              <w:t>City and environs of Abu Dhabi</w:t>
            </w:r>
          </w:p>
        </w:tc>
        <w:tc>
          <w:tcPr>
            <w:tcW w:w="2700" w:type="dxa"/>
            <w:tcBorders>
              <w:bottom w:val="single" w:sz="4" w:space="0" w:color="auto"/>
            </w:tcBorders>
          </w:tcPr>
          <w:p w:rsidR="0041268E" w:rsidRPr="00731EA7" w:rsidRDefault="0041268E" w:rsidP="000F2BA7">
            <w:pPr>
              <w:pStyle w:val="Tabletext"/>
              <w:rPr>
                <w:lang w:val="es-ES"/>
              </w:rPr>
            </w:pPr>
            <w:r w:rsidRPr="00731EA7">
              <w:rPr>
                <w:lang w:val="es-ES"/>
              </w:rPr>
              <w:t>54° 30’ E – 24° 45’ N</w:t>
            </w:r>
          </w:p>
          <w:p w:rsidR="0041268E" w:rsidRPr="00731EA7" w:rsidRDefault="0041268E" w:rsidP="000F2BA7">
            <w:pPr>
              <w:pStyle w:val="Tabletext"/>
              <w:rPr>
                <w:lang w:val="es-ES"/>
              </w:rPr>
            </w:pPr>
            <w:r w:rsidRPr="00731EA7">
              <w:rPr>
                <w:lang w:val="es-ES"/>
              </w:rPr>
              <w:t>55° 15’ E – 24° 40’ N</w:t>
            </w:r>
          </w:p>
          <w:p w:rsidR="0041268E" w:rsidRPr="00731EA7" w:rsidRDefault="0041268E" w:rsidP="000F2BA7">
            <w:pPr>
              <w:pStyle w:val="Tabletext"/>
              <w:rPr>
                <w:lang w:val="es-ES"/>
              </w:rPr>
            </w:pPr>
            <w:r w:rsidRPr="00731EA7">
              <w:rPr>
                <w:lang w:val="es-ES"/>
              </w:rPr>
              <w:t>55° 00’ E – 24° 05’ N</w:t>
            </w:r>
          </w:p>
          <w:p w:rsidR="0041268E" w:rsidRPr="00BD6197" w:rsidRDefault="0041268E" w:rsidP="000F2BA7">
            <w:pPr>
              <w:pStyle w:val="Tabletext"/>
              <w:rPr>
                <w:lang w:val="en-US"/>
              </w:rPr>
            </w:pPr>
            <w:r w:rsidRPr="00BD6197">
              <w:rPr>
                <w:lang w:val="en-US"/>
              </w:rPr>
              <w:t>54° 00’ E – 24° 20’ N</w:t>
            </w:r>
          </w:p>
        </w:tc>
      </w:tr>
      <w:tr w:rsidR="0041268E" w:rsidRPr="00BD6197" w:rsidTr="000F2BA7">
        <w:trPr>
          <w:trHeight w:val="1192"/>
          <w:jc w:val="center"/>
        </w:trPr>
        <w:tc>
          <w:tcPr>
            <w:tcW w:w="1764" w:type="dxa"/>
            <w:vMerge/>
          </w:tcPr>
          <w:p w:rsidR="0041268E" w:rsidRPr="00BD6197" w:rsidRDefault="0041268E" w:rsidP="000F2BA7">
            <w:pPr>
              <w:pStyle w:val="Tabletext"/>
              <w:rPr>
                <w:lang w:val="en-US"/>
              </w:rPr>
            </w:pPr>
          </w:p>
        </w:tc>
        <w:tc>
          <w:tcPr>
            <w:tcW w:w="3610" w:type="dxa"/>
            <w:tcBorders>
              <w:bottom w:val="single" w:sz="4" w:space="0" w:color="auto"/>
            </w:tcBorders>
          </w:tcPr>
          <w:p w:rsidR="0041268E" w:rsidRPr="00BD6197" w:rsidRDefault="0041268E" w:rsidP="000F2BA7">
            <w:pPr>
              <w:pStyle w:val="Tabletext"/>
              <w:rPr>
                <w:lang w:val="en-US"/>
              </w:rPr>
            </w:pPr>
            <w:r w:rsidRPr="00BD6197">
              <w:rPr>
                <w:lang w:val="en-US"/>
              </w:rPr>
              <w:t>Cities and environs of Dubai, Sharjah, Ajman and Umm Al Quwein</w:t>
            </w:r>
          </w:p>
        </w:tc>
        <w:tc>
          <w:tcPr>
            <w:tcW w:w="2700" w:type="dxa"/>
            <w:tcBorders>
              <w:bottom w:val="single" w:sz="4" w:space="0" w:color="auto"/>
            </w:tcBorders>
          </w:tcPr>
          <w:p w:rsidR="0041268E" w:rsidRPr="00731EA7" w:rsidRDefault="0041268E" w:rsidP="000F2BA7">
            <w:pPr>
              <w:pStyle w:val="Tabletext"/>
              <w:rPr>
                <w:lang w:val="es-ES"/>
              </w:rPr>
            </w:pPr>
            <w:r w:rsidRPr="00731EA7">
              <w:rPr>
                <w:lang w:val="es-ES"/>
              </w:rPr>
              <w:t>55° 30’ E – 25° 40’ N</w:t>
            </w:r>
          </w:p>
          <w:p w:rsidR="0041268E" w:rsidRPr="00731EA7" w:rsidRDefault="0041268E" w:rsidP="000F2BA7">
            <w:pPr>
              <w:pStyle w:val="Tabletext"/>
              <w:rPr>
                <w:lang w:val="es-ES"/>
              </w:rPr>
            </w:pPr>
            <w:r w:rsidRPr="00731EA7">
              <w:rPr>
                <w:lang w:val="es-ES"/>
              </w:rPr>
              <w:t>55° 55’ E – 25° 20’ N</w:t>
            </w:r>
          </w:p>
          <w:p w:rsidR="0041268E" w:rsidRPr="00731EA7" w:rsidRDefault="0041268E" w:rsidP="000F2BA7">
            <w:pPr>
              <w:pStyle w:val="Tabletext"/>
              <w:rPr>
                <w:lang w:val="es-ES"/>
              </w:rPr>
            </w:pPr>
            <w:r w:rsidRPr="00731EA7">
              <w:rPr>
                <w:lang w:val="es-ES"/>
              </w:rPr>
              <w:t>55° 15’ E – 24° 40’ N</w:t>
            </w:r>
          </w:p>
          <w:p w:rsidR="0041268E" w:rsidRPr="00BD6197" w:rsidRDefault="0041268E" w:rsidP="000F2BA7">
            <w:pPr>
              <w:pStyle w:val="Tabletext"/>
              <w:rPr>
                <w:lang w:val="en-US"/>
              </w:rPr>
            </w:pPr>
            <w:r w:rsidRPr="00BD6197">
              <w:rPr>
                <w:lang w:val="en-US"/>
              </w:rPr>
              <w:t>54° 30’ E – 24° 45’ N</w:t>
            </w:r>
          </w:p>
        </w:tc>
      </w:tr>
    </w:tbl>
    <w:p w:rsidR="00C502EC" w:rsidRDefault="00C502EC" w:rsidP="00FB16F7">
      <w:pPr>
        <w:pStyle w:val="TableNo"/>
        <w:rPr>
          <w:lang w:val="en-US"/>
        </w:rPr>
      </w:pPr>
      <w:r>
        <w:rPr>
          <w:lang w:val="en-US"/>
        </w:rPr>
        <w:br w:type="page"/>
      </w:r>
    </w:p>
    <w:p w:rsidR="00FB16F7" w:rsidRPr="00BD6197" w:rsidRDefault="00FB16F7" w:rsidP="00FB16F7">
      <w:pPr>
        <w:pStyle w:val="TableNo"/>
        <w:rPr>
          <w:lang w:val="en-US"/>
        </w:rPr>
      </w:pPr>
      <w:r w:rsidRPr="00BD6197">
        <w:rPr>
          <w:lang w:val="en-US"/>
        </w:rPr>
        <w:lastRenderedPageBreak/>
        <w:t>TABLE 3 (</w:t>
      </w:r>
      <w:r w:rsidRPr="00BD6197">
        <w:rPr>
          <w:i/>
          <w:iCs/>
          <w:lang w:val="en-US"/>
        </w:rPr>
        <w:t>end</w:t>
      </w:r>
      <w:r w:rsidRPr="00BD6197">
        <w:rPr>
          <w:lang w:val="en-US"/>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64"/>
        <w:gridCol w:w="3610"/>
        <w:gridCol w:w="2700"/>
      </w:tblGrid>
      <w:tr w:rsidR="00FB16F7" w:rsidRPr="00BD6197" w:rsidTr="000F2BA7">
        <w:trPr>
          <w:trHeight w:val="680"/>
          <w:jc w:val="center"/>
        </w:trPr>
        <w:tc>
          <w:tcPr>
            <w:tcW w:w="1764" w:type="dxa"/>
            <w:shd w:val="clear" w:color="auto" w:fill="auto"/>
            <w:vAlign w:val="center"/>
          </w:tcPr>
          <w:p w:rsidR="00FB16F7" w:rsidRPr="00BD6197" w:rsidRDefault="00FB16F7" w:rsidP="000F2BA7">
            <w:pPr>
              <w:pStyle w:val="Tablehead"/>
              <w:rPr>
                <w:lang w:val="en-US"/>
              </w:rPr>
            </w:pPr>
            <w:r w:rsidRPr="00BD6197">
              <w:rPr>
                <w:lang w:val="en-US"/>
              </w:rPr>
              <w:t>Service Zone Factor (SZ)</w:t>
            </w:r>
          </w:p>
        </w:tc>
        <w:tc>
          <w:tcPr>
            <w:tcW w:w="3610" w:type="dxa"/>
            <w:shd w:val="clear" w:color="auto" w:fill="auto"/>
            <w:vAlign w:val="center"/>
          </w:tcPr>
          <w:p w:rsidR="00FB16F7" w:rsidRPr="00BD6197" w:rsidRDefault="00FB16F7" w:rsidP="000F2BA7">
            <w:pPr>
              <w:pStyle w:val="Tablehead"/>
              <w:rPr>
                <w:lang w:val="en-US"/>
              </w:rPr>
            </w:pPr>
            <w:r w:rsidRPr="00BD6197">
              <w:rPr>
                <w:lang w:val="en-US"/>
              </w:rPr>
              <w:t>Service Zone</w:t>
            </w:r>
          </w:p>
        </w:tc>
        <w:tc>
          <w:tcPr>
            <w:tcW w:w="2700" w:type="dxa"/>
            <w:shd w:val="clear" w:color="auto" w:fill="auto"/>
            <w:vAlign w:val="center"/>
          </w:tcPr>
          <w:p w:rsidR="00FB16F7" w:rsidRPr="00BD6197" w:rsidRDefault="00FB16F7" w:rsidP="000F2BA7">
            <w:pPr>
              <w:pStyle w:val="Tablehead"/>
              <w:rPr>
                <w:lang w:val="en-US"/>
              </w:rPr>
            </w:pPr>
            <w:r w:rsidRPr="00BD6197">
              <w:rPr>
                <w:lang w:val="en-US"/>
              </w:rPr>
              <w:t>Polygon Corners</w:t>
            </w:r>
          </w:p>
        </w:tc>
      </w:tr>
      <w:tr w:rsidR="00FB16F7" w:rsidRPr="00BD6197" w:rsidTr="000F2BA7">
        <w:trPr>
          <w:trHeight w:val="1057"/>
          <w:jc w:val="center"/>
        </w:trPr>
        <w:tc>
          <w:tcPr>
            <w:tcW w:w="1764" w:type="dxa"/>
            <w:vMerge w:val="restart"/>
          </w:tcPr>
          <w:p w:rsidR="00FB16F7" w:rsidRPr="00BD6197" w:rsidRDefault="00FB16F7" w:rsidP="000F2BA7">
            <w:pPr>
              <w:pStyle w:val="Tabletext"/>
              <w:rPr>
                <w:lang w:val="en-US"/>
              </w:rPr>
            </w:pPr>
            <w:r w:rsidRPr="00BD6197">
              <w:rPr>
                <w:lang w:val="en-US"/>
              </w:rPr>
              <w:t>0.75 (medium)</w:t>
            </w:r>
          </w:p>
        </w:tc>
        <w:tc>
          <w:tcPr>
            <w:tcW w:w="3610" w:type="dxa"/>
          </w:tcPr>
          <w:p w:rsidR="00FB16F7" w:rsidRPr="00BD6197" w:rsidRDefault="00FB16F7" w:rsidP="000F2BA7">
            <w:pPr>
              <w:pStyle w:val="Tabletext"/>
              <w:rPr>
                <w:lang w:val="en-US"/>
              </w:rPr>
            </w:pPr>
            <w:r w:rsidRPr="00BD6197">
              <w:rPr>
                <w:lang w:val="en-US"/>
              </w:rPr>
              <w:t>Area between Abu Dhabi and Al Ain</w:t>
            </w:r>
          </w:p>
        </w:tc>
        <w:tc>
          <w:tcPr>
            <w:tcW w:w="2700" w:type="dxa"/>
          </w:tcPr>
          <w:p w:rsidR="00FB16F7" w:rsidRPr="00731EA7" w:rsidRDefault="00FB16F7" w:rsidP="000F2BA7">
            <w:pPr>
              <w:pStyle w:val="Tabletext"/>
              <w:rPr>
                <w:lang w:val="es-ES"/>
              </w:rPr>
            </w:pPr>
            <w:r w:rsidRPr="00731EA7">
              <w:rPr>
                <w:lang w:val="es-ES"/>
              </w:rPr>
              <w:t>55° 00’ E – 24° 20’ N</w:t>
            </w:r>
          </w:p>
          <w:p w:rsidR="00FB16F7" w:rsidRPr="00731EA7" w:rsidRDefault="00FB16F7" w:rsidP="000F2BA7">
            <w:pPr>
              <w:pStyle w:val="Tabletext"/>
              <w:rPr>
                <w:lang w:val="es-ES"/>
              </w:rPr>
            </w:pPr>
            <w:r w:rsidRPr="00731EA7">
              <w:rPr>
                <w:lang w:val="es-ES"/>
              </w:rPr>
              <w:t>55° 30’ E – 24° 20’ N</w:t>
            </w:r>
          </w:p>
          <w:p w:rsidR="00FB16F7" w:rsidRPr="00731EA7" w:rsidRDefault="00FB16F7" w:rsidP="000F2BA7">
            <w:pPr>
              <w:pStyle w:val="Tabletext"/>
              <w:rPr>
                <w:lang w:val="es-ES"/>
              </w:rPr>
            </w:pPr>
            <w:r w:rsidRPr="00731EA7">
              <w:rPr>
                <w:lang w:val="es-ES"/>
              </w:rPr>
              <w:t>55° 30’ E – 24° 00’ N</w:t>
            </w:r>
          </w:p>
          <w:p w:rsidR="00FB16F7" w:rsidRPr="00BD6197" w:rsidRDefault="00FB16F7" w:rsidP="000F2BA7">
            <w:pPr>
              <w:pStyle w:val="Tabletext"/>
              <w:rPr>
                <w:lang w:val="en-US"/>
              </w:rPr>
            </w:pPr>
            <w:r w:rsidRPr="00BD6197">
              <w:rPr>
                <w:lang w:val="en-US"/>
              </w:rPr>
              <w:t>55° 00’ E – 24° 05’ N</w:t>
            </w:r>
          </w:p>
        </w:tc>
      </w:tr>
      <w:tr w:rsidR="00FB16F7" w:rsidRPr="00BD6197" w:rsidTr="000F2BA7">
        <w:trPr>
          <w:trHeight w:val="1057"/>
          <w:jc w:val="center"/>
        </w:trPr>
        <w:tc>
          <w:tcPr>
            <w:tcW w:w="1764" w:type="dxa"/>
            <w:vMerge/>
          </w:tcPr>
          <w:p w:rsidR="00FB16F7" w:rsidRPr="00BD6197" w:rsidRDefault="00FB16F7" w:rsidP="000F2BA7">
            <w:pPr>
              <w:pStyle w:val="Tabletext"/>
              <w:rPr>
                <w:lang w:val="en-US"/>
              </w:rPr>
            </w:pPr>
          </w:p>
        </w:tc>
        <w:tc>
          <w:tcPr>
            <w:tcW w:w="3610" w:type="dxa"/>
          </w:tcPr>
          <w:p w:rsidR="00FB16F7" w:rsidRPr="00BD6197" w:rsidRDefault="00FB16F7" w:rsidP="000F2BA7">
            <w:pPr>
              <w:pStyle w:val="Tabletext"/>
              <w:rPr>
                <w:lang w:val="en-US"/>
              </w:rPr>
            </w:pPr>
            <w:r w:rsidRPr="00BD6197">
              <w:rPr>
                <w:lang w:val="en-US" w:eastAsia="de-DE"/>
              </w:rPr>
              <w:t>City and environs of Al Ain</w:t>
            </w:r>
          </w:p>
        </w:tc>
        <w:tc>
          <w:tcPr>
            <w:tcW w:w="2700" w:type="dxa"/>
          </w:tcPr>
          <w:p w:rsidR="00FB16F7" w:rsidRPr="00731EA7" w:rsidRDefault="00FB16F7" w:rsidP="000F2BA7">
            <w:pPr>
              <w:pStyle w:val="Tabletext"/>
              <w:rPr>
                <w:lang w:val="es-ES"/>
              </w:rPr>
            </w:pPr>
            <w:r w:rsidRPr="00731EA7">
              <w:rPr>
                <w:lang w:val="es-ES"/>
              </w:rPr>
              <w:t>55° 30’ E – 24° 20’ N</w:t>
            </w:r>
          </w:p>
          <w:p w:rsidR="00FB16F7" w:rsidRPr="00731EA7" w:rsidRDefault="00FB16F7" w:rsidP="000F2BA7">
            <w:pPr>
              <w:pStyle w:val="Tabletext"/>
              <w:rPr>
                <w:lang w:val="es-ES"/>
              </w:rPr>
            </w:pPr>
            <w:r w:rsidRPr="00731EA7">
              <w:rPr>
                <w:lang w:val="es-ES"/>
              </w:rPr>
              <w:t>55° 50’ E – 24° 20’ N</w:t>
            </w:r>
          </w:p>
          <w:p w:rsidR="00FB16F7" w:rsidRPr="00731EA7" w:rsidRDefault="00FB16F7" w:rsidP="000F2BA7">
            <w:pPr>
              <w:pStyle w:val="Tabletext"/>
              <w:rPr>
                <w:lang w:val="es-ES"/>
              </w:rPr>
            </w:pPr>
            <w:r w:rsidRPr="00731EA7">
              <w:rPr>
                <w:lang w:val="es-ES"/>
              </w:rPr>
              <w:t>55° 50’ E – 24° 00’ N</w:t>
            </w:r>
          </w:p>
          <w:p w:rsidR="00FB16F7" w:rsidRPr="00BD6197" w:rsidRDefault="00FB16F7" w:rsidP="000F2BA7">
            <w:pPr>
              <w:pStyle w:val="Tabletext"/>
              <w:rPr>
                <w:lang w:val="en-US"/>
              </w:rPr>
            </w:pPr>
            <w:r w:rsidRPr="00BD6197">
              <w:rPr>
                <w:lang w:val="en-US"/>
              </w:rPr>
              <w:t>55° 30’ E – 24° 00’ N</w:t>
            </w:r>
          </w:p>
        </w:tc>
      </w:tr>
      <w:tr w:rsidR="00FB16F7" w:rsidRPr="00BD6197" w:rsidTr="000F2BA7">
        <w:trPr>
          <w:trHeight w:val="1237"/>
          <w:jc w:val="center"/>
        </w:trPr>
        <w:tc>
          <w:tcPr>
            <w:tcW w:w="1764" w:type="dxa"/>
            <w:vMerge/>
          </w:tcPr>
          <w:p w:rsidR="00FB16F7" w:rsidRPr="00BD6197" w:rsidRDefault="00FB16F7" w:rsidP="000F2BA7">
            <w:pPr>
              <w:pStyle w:val="Tabletext"/>
              <w:rPr>
                <w:lang w:val="en-US"/>
              </w:rPr>
            </w:pPr>
          </w:p>
        </w:tc>
        <w:tc>
          <w:tcPr>
            <w:tcW w:w="3610" w:type="dxa"/>
          </w:tcPr>
          <w:p w:rsidR="00FB16F7" w:rsidRPr="00BD6197" w:rsidRDefault="00FB16F7" w:rsidP="000F2BA7">
            <w:pPr>
              <w:pStyle w:val="Tabletext"/>
              <w:rPr>
                <w:lang w:val="en-US" w:eastAsia="de-DE"/>
              </w:rPr>
            </w:pPr>
            <w:r w:rsidRPr="00BD6197">
              <w:rPr>
                <w:lang w:val="en-US" w:eastAsia="de-DE"/>
              </w:rPr>
              <w:t>City and environs of Fujairah</w:t>
            </w:r>
          </w:p>
        </w:tc>
        <w:tc>
          <w:tcPr>
            <w:tcW w:w="2700" w:type="dxa"/>
            <w:vAlign w:val="center"/>
          </w:tcPr>
          <w:p w:rsidR="00FB16F7" w:rsidRPr="00731EA7" w:rsidRDefault="00FB16F7" w:rsidP="000F2BA7">
            <w:pPr>
              <w:pStyle w:val="Tabletext"/>
              <w:rPr>
                <w:lang w:val="es-ES"/>
              </w:rPr>
            </w:pPr>
            <w:r w:rsidRPr="00731EA7">
              <w:rPr>
                <w:lang w:val="es-ES"/>
              </w:rPr>
              <w:t>56° 15’ E – 25° 15’ N</w:t>
            </w:r>
          </w:p>
          <w:p w:rsidR="00FB16F7" w:rsidRPr="00731EA7" w:rsidRDefault="00FB16F7" w:rsidP="000F2BA7">
            <w:pPr>
              <w:pStyle w:val="Tabletext"/>
              <w:rPr>
                <w:lang w:val="es-ES"/>
              </w:rPr>
            </w:pPr>
            <w:r w:rsidRPr="00731EA7">
              <w:rPr>
                <w:lang w:val="es-ES"/>
              </w:rPr>
              <w:t>56° 25’ E – 25° 15’ N</w:t>
            </w:r>
          </w:p>
          <w:p w:rsidR="00FB16F7" w:rsidRPr="00731EA7" w:rsidRDefault="00FB16F7" w:rsidP="000F2BA7">
            <w:pPr>
              <w:pStyle w:val="Tabletext"/>
              <w:rPr>
                <w:lang w:val="es-ES"/>
              </w:rPr>
            </w:pPr>
            <w:r w:rsidRPr="00731EA7">
              <w:rPr>
                <w:lang w:val="es-ES"/>
              </w:rPr>
              <w:t>56° 25’ E – 25° 00’ N</w:t>
            </w:r>
          </w:p>
          <w:p w:rsidR="00FB16F7" w:rsidRPr="00BD6197" w:rsidRDefault="00FB16F7" w:rsidP="000F2BA7">
            <w:pPr>
              <w:pStyle w:val="Tabletext"/>
              <w:rPr>
                <w:lang w:val="en-US"/>
              </w:rPr>
            </w:pPr>
            <w:r w:rsidRPr="00BD6197">
              <w:rPr>
                <w:lang w:val="en-US"/>
              </w:rPr>
              <w:t>56° 15’ E – 25° 00’ N</w:t>
            </w:r>
          </w:p>
        </w:tc>
      </w:tr>
      <w:tr w:rsidR="00FB16F7" w:rsidRPr="00BD6197" w:rsidTr="000F2BA7">
        <w:trPr>
          <w:trHeight w:val="1250"/>
          <w:jc w:val="center"/>
        </w:trPr>
        <w:tc>
          <w:tcPr>
            <w:tcW w:w="1764" w:type="dxa"/>
            <w:vMerge/>
          </w:tcPr>
          <w:p w:rsidR="00FB16F7" w:rsidRPr="00BD6197" w:rsidRDefault="00FB16F7" w:rsidP="000F2BA7">
            <w:pPr>
              <w:pStyle w:val="Tabletext"/>
              <w:rPr>
                <w:lang w:val="en-US"/>
              </w:rPr>
            </w:pPr>
          </w:p>
        </w:tc>
        <w:tc>
          <w:tcPr>
            <w:tcW w:w="3610" w:type="dxa"/>
          </w:tcPr>
          <w:p w:rsidR="00FB16F7" w:rsidRPr="00BD6197" w:rsidRDefault="00FB16F7" w:rsidP="000F2BA7">
            <w:pPr>
              <w:pStyle w:val="Tabletext"/>
              <w:rPr>
                <w:lang w:val="en-US" w:eastAsia="de-DE"/>
              </w:rPr>
            </w:pPr>
            <w:r w:rsidRPr="00BD6197">
              <w:rPr>
                <w:lang w:val="en-US" w:eastAsia="de-DE"/>
              </w:rPr>
              <w:t>City and environs of Ras Al Khaimah</w:t>
            </w:r>
          </w:p>
        </w:tc>
        <w:tc>
          <w:tcPr>
            <w:tcW w:w="2700" w:type="dxa"/>
            <w:vAlign w:val="center"/>
          </w:tcPr>
          <w:p w:rsidR="00FB16F7" w:rsidRPr="00731EA7" w:rsidRDefault="00FB16F7" w:rsidP="000F2BA7">
            <w:pPr>
              <w:pStyle w:val="Tabletext"/>
              <w:rPr>
                <w:lang w:val="es-ES" w:eastAsia="de-DE"/>
              </w:rPr>
            </w:pPr>
            <w:r w:rsidRPr="00731EA7">
              <w:rPr>
                <w:lang w:val="es-ES" w:eastAsia="de-DE"/>
              </w:rPr>
              <w:t>55° 50’ E – 25° 55’ N</w:t>
            </w:r>
          </w:p>
          <w:p w:rsidR="00FB16F7" w:rsidRPr="00731EA7" w:rsidRDefault="00FB16F7" w:rsidP="000F2BA7">
            <w:pPr>
              <w:pStyle w:val="Tabletext"/>
              <w:rPr>
                <w:lang w:val="es-ES" w:eastAsia="de-DE"/>
              </w:rPr>
            </w:pPr>
            <w:r w:rsidRPr="00731EA7">
              <w:rPr>
                <w:lang w:val="es-ES" w:eastAsia="de-DE"/>
              </w:rPr>
              <w:t>56° 05’ E – 25° 55’ N</w:t>
            </w:r>
          </w:p>
          <w:p w:rsidR="00FB16F7" w:rsidRPr="00731EA7" w:rsidRDefault="00FB16F7" w:rsidP="000F2BA7">
            <w:pPr>
              <w:pStyle w:val="Tabletext"/>
              <w:rPr>
                <w:lang w:val="es-ES" w:eastAsia="de-DE"/>
              </w:rPr>
            </w:pPr>
            <w:r w:rsidRPr="00731EA7">
              <w:rPr>
                <w:lang w:val="es-ES" w:eastAsia="de-DE"/>
              </w:rPr>
              <w:t>56° 05’ E – 25° 40’ N</w:t>
            </w:r>
          </w:p>
          <w:p w:rsidR="00FB16F7" w:rsidRPr="00BD6197" w:rsidRDefault="00FB16F7" w:rsidP="000F2BA7">
            <w:pPr>
              <w:pStyle w:val="Tabletext"/>
              <w:rPr>
                <w:lang w:val="en-US" w:eastAsia="de-DE"/>
              </w:rPr>
            </w:pPr>
            <w:r w:rsidRPr="00BD6197">
              <w:rPr>
                <w:lang w:val="en-US" w:eastAsia="de-DE"/>
              </w:rPr>
              <w:t>55° 50’ E – 25° 40’ N</w:t>
            </w:r>
          </w:p>
        </w:tc>
      </w:tr>
      <w:tr w:rsidR="00FB16F7" w:rsidRPr="00D17B5B" w:rsidTr="000F2BA7">
        <w:trPr>
          <w:trHeight w:val="958"/>
          <w:jc w:val="center"/>
        </w:trPr>
        <w:tc>
          <w:tcPr>
            <w:tcW w:w="1764" w:type="dxa"/>
            <w:vMerge/>
          </w:tcPr>
          <w:p w:rsidR="00FB16F7" w:rsidRPr="00BD6197" w:rsidRDefault="00FB16F7" w:rsidP="000F2BA7">
            <w:pPr>
              <w:pStyle w:val="Tabletext"/>
              <w:rPr>
                <w:lang w:val="en-US"/>
              </w:rPr>
            </w:pPr>
          </w:p>
        </w:tc>
        <w:tc>
          <w:tcPr>
            <w:tcW w:w="3610" w:type="dxa"/>
            <w:vAlign w:val="center"/>
          </w:tcPr>
          <w:p w:rsidR="00FB16F7" w:rsidRPr="00BD6197" w:rsidRDefault="00FB16F7" w:rsidP="000F2BA7">
            <w:pPr>
              <w:pStyle w:val="Tabletext"/>
              <w:rPr>
                <w:lang w:val="en-US" w:eastAsia="de-DE"/>
              </w:rPr>
            </w:pPr>
            <w:r w:rsidRPr="00BD6197">
              <w:rPr>
                <w:lang w:val="en-US" w:eastAsia="de-DE"/>
              </w:rPr>
              <w:t xml:space="preserve">Area between </w:t>
            </w:r>
            <w:r w:rsidRPr="00BD6197">
              <w:rPr>
                <w:lang w:val="en-US"/>
              </w:rPr>
              <w:t xml:space="preserve">Umm Al Quwein and </w:t>
            </w:r>
            <w:r w:rsidRPr="00BD6197">
              <w:rPr>
                <w:lang w:val="en-US" w:eastAsia="de-DE"/>
              </w:rPr>
              <w:t>Ras Al Khaimah</w:t>
            </w:r>
          </w:p>
        </w:tc>
        <w:tc>
          <w:tcPr>
            <w:tcW w:w="2700" w:type="dxa"/>
          </w:tcPr>
          <w:p w:rsidR="00FB16F7" w:rsidRPr="00731EA7" w:rsidRDefault="00FB16F7" w:rsidP="000F2BA7">
            <w:pPr>
              <w:pStyle w:val="Tabletext"/>
              <w:rPr>
                <w:lang w:val="es-ES"/>
              </w:rPr>
            </w:pPr>
            <w:r w:rsidRPr="00731EA7">
              <w:rPr>
                <w:lang w:val="es-ES"/>
              </w:rPr>
              <w:t>55° 30’ E – 25° 40’ N</w:t>
            </w:r>
          </w:p>
          <w:p w:rsidR="00FB16F7" w:rsidRPr="00731EA7" w:rsidRDefault="00FB16F7" w:rsidP="000F2BA7">
            <w:pPr>
              <w:pStyle w:val="Tabletext"/>
              <w:rPr>
                <w:lang w:val="es-ES"/>
              </w:rPr>
            </w:pPr>
            <w:r w:rsidRPr="00731EA7">
              <w:rPr>
                <w:lang w:val="es-ES"/>
              </w:rPr>
              <w:t>56° 05’ E – 25° 40’ N</w:t>
            </w:r>
          </w:p>
          <w:p w:rsidR="00FB16F7" w:rsidRPr="00731EA7" w:rsidRDefault="00FB16F7" w:rsidP="000F2BA7">
            <w:pPr>
              <w:pStyle w:val="Tabletext"/>
              <w:rPr>
                <w:lang w:val="es-ES"/>
              </w:rPr>
            </w:pPr>
            <w:r w:rsidRPr="00731EA7">
              <w:rPr>
                <w:lang w:val="es-ES"/>
              </w:rPr>
              <w:t>55° 55’ E – 25° 20’ N</w:t>
            </w:r>
          </w:p>
        </w:tc>
      </w:tr>
      <w:tr w:rsidR="00FB16F7" w:rsidRPr="00BD6197" w:rsidTr="000F2BA7">
        <w:trPr>
          <w:trHeight w:val="350"/>
          <w:jc w:val="center"/>
        </w:trPr>
        <w:tc>
          <w:tcPr>
            <w:tcW w:w="1764" w:type="dxa"/>
            <w:tcBorders>
              <w:bottom w:val="single" w:sz="4" w:space="0" w:color="auto"/>
            </w:tcBorders>
            <w:vAlign w:val="center"/>
          </w:tcPr>
          <w:p w:rsidR="00FB16F7" w:rsidRPr="00BD6197" w:rsidRDefault="00FB16F7" w:rsidP="000F2BA7">
            <w:pPr>
              <w:pStyle w:val="Tabletext"/>
              <w:rPr>
                <w:lang w:val="en-US" w:eastAsia="de-DE"/>
              </w:rPr>
            </w:pPr>
            <w:r w:rsidRPr="00BD6197">
              <w:rPr>
                <w:lang w:val="en-US" w:eastAsia="de-DE"/>
              </w:rPr>
              <w:t>0.50 (low)</w:t>
            </w:r>
          </w:p>
        </w:tc>
        <w:tc>
          <w:tcPr>
            <w:tcW w:w="6310" w:type="dxa"/>
            <w:gridSpan w:val="2"/>
            <w:tcBorders>
              <w:bottom w:val="single" w:sz="4" w:space="0" w:color="auto"/>
            </w:tcBorders>
            <w:vAlign w:val="center"/>
          </w:tcPr>
          <w:p w:rsidR="00FB16F7" w:rsidRPr="00BD6197" w:rsidRDefault="00FB16F7" w:rsidP="000F2BA7">
            <w:pPr>
              <w:pStyle w:val="Tabletext"/>
              <w:rPr>
                <w:lang w:val="en-US" w:eastAsia="de-DE"/>
              </w:rPr>
            </w:pPr>
            <w:r w:rsidRPr="00BD6197">
              <w:rPr>
                <w:lang w:val="en-US" w:eastAsia="de-DE"/>
              </w:rPr>
              <w:t>All remaining areas</w:t>
            </w:r>
          </w:p>
        </w:tc>
      </w:tr>
      <w:tr w:rsidR="00FB16F7" w:rsidRPr="00D17B5B" w:rsidTr="000F2BA7">
        <w:trPr>
          <w:trHeight w:val="350"/>
          <w:jc w:val="center"/>
        </w:trPr>
        <w:tc>
          <w:tcPr>
            <w:tcW w:w="8074" w:type="dxa"/>
            <w:gridSpan w:val="3"/>
            <w:tcBorders>
              <w:left w:val="nil"/>
              <w:bottom w:val="nil"/>
              <w:right w:val="nil"/>
            </w:tcBorders>
            <w:vAlign w:val="center"/>
          </w:tcPr>
          <w:p w:rsidR="00FB16F7" w:rsidRPr="00BD6197" w:rsidRDefault="00FB16F7" w:rsidP="000F2BA7">
            <w:pPr>
              <w:pStyle w:val="TableLegendNote"/>
            </w:pPr>
            <w:r w:rsidRPr="00BD6197">
              <w:t>NOTE 1 – Any transmission from a certain location having medium or low Service Zone Factor into (partly or entirely) a higher Service Zone will upgrade this particular station in Service Zone Factor to the higher level which may be also a two step increase and the decision of the TRA shall be final in this regard. The TRA shall have the sole discretion to determine Service Zone for an Application.</w:t>
            </w:r>
          </w:p>
          <w:p w:rsidR="00FB16F7" w:rsidRPr="00BD6197" w:rsidRDefault="00FB16F7" w:rsidP="000F2BA7">
            <w:pPr>
              <w:pStyle w:val="TableLegendNote"/>
              <w:rPr>
                <w:lang w:eastAsia="de-DE"/>
              </w:rPr>
            </w:pPr>
            <w:r w:rsidRPr="00BD6197">
              <w:t xml:space="preserve">NOTE 2 – For Broadcasting Services in the HF and lower frequency bands, the Service Zone Factor </w:t>
            </w:r>
            <w:r w:rsidRPr="00BD6197">
              <w:rPr>
                <w:b/>
                <w:bCs/>
              </w:rPr>
              <w:t>SZ</w:t>
            </w:r>
            <w:r w:rsidRPr="00BD6197">
              <w:t xml:space="preserve"> = 1.</w:t>
            </w:r>
          </w:p>
        </w:tc>
      </w:tr>
    </w:tbl>
    <w:p w:rsidR="00FB16F7" w:rsidRPr="00BD6197" w:rsidRDefault="00FB16F7" w:rsidP="00FB16F7">
      <w:pPr>
        <w:pStyle w:val="Tablefin"/>
        <w:rPr>
          <w:lang w:val="en-US"/>
        </w:rPr>
      </w:pPr>
    </w:p>
    <w:p w:rsidR="00FB16F7" w:rsidRPr="00BD6197" w:rsidRDefault="00FB16F7" w:rsidP="00FB16F7">
      <w:pPr>
        <w:pStyle w:val="enumlev1"/>
        <w:rPr>
          <w:lang w:val="en-US"/>
        </w:rPr>
      </w:pPr>
      <w:r w:rsidRPr="00BD6197">
        <w:rPr>
          <w:b/>
          <w:lang w:val="en-US"/>
        </w:rPr>
        <w:tab/>
        <w:t xml:space="preserve">H </w:t>
      </w:r>
      <w:r w:rsidRPr="00BD6197">
        <w:rPr>
          <w:bCs/>
          <w:lang w:val="en-US"/>
        </w:rPr>
        <w:t>=</w:t>
      </w:r>
      <w:r w:rsidRPr="00BD6197">
        <w:rPr>
          <w:b/>
          <w:lang w:val="en-US"/>
        </w:rPr>
        <w:t xml:space="preserve"> Antenna Height Factor </w:t>
      </w:r>
      <w:r w:rsidRPr="00BD6197">
        <w:rPr>
          <w:lang w:val="en-US"/>
        </w:rPr>
        <w:t>is the Antenna Height above ground level in meters including building, tower and a hill.</w:t>
      </w:r>
    </w:p>
    <w:p w:rsidR="00FB16F7" w:rsidRPr="00BD6197" w:rsidRDefault="00FB16F7" w:rsidP="00FB16F7">
      <w:pPr>
        <w:pStyle w:val="enumlev1"/>
        <w:rPr>
          <w:b/>
          <w:lang w:val="en-US"/>
        </w:rPr>
      </w:pPr>
      <w:r w:rsidRPr="00BD6197">
        <w:rPr>
          <w:lang w:val="en-US"/>
        </w:rPr>
        <w:tab/>
      </w:r>
      <w:r w:rsidRPr="00BD6197">
        <w:rPr>
          <w:b/>
          <w:lang w:val="en-US"/>
        </w:rPr>
        <w:t xml:space="preserve">C </w:t>
      </w:r>
      <w:r w:rsidRPr="00BD6197">
        <w:rPr>
          <w:bCs/>
          <w:lang w:val="en-US"/>
        </w:rPr>
        <w:t>=</w:t>
      </w:r>
      <w:r w:rsidRPr="00BD6197">
        <w:rPr>
          <w:b/>
          <w:lang w:val="en-US"/>
        </w:rPr>
        <w:t xml:space="preserve"> Correction Factor as follows</w:t>
      </w:r>
      <w:r w:rsidRPr="00BD6197">
        <w:rPr>
          <w:bCs/>
          <w:lang w:val="en-US"/>
        </w:rPr>
        <w:t>:</w:t>
      </w:r>
    </w:p>
    <w:p w:rsidR="00FB16F7" w:rsidRPr="00BD6197" w:rsidRDefault="00FB16F7" w:rsidP="00FB16F7">
      <w:pPr>
        <w:pStyle w:val="enumlev2"/>
        <w:rPr>
          <w:lang w:val="en-US"/>
        </w:rPr>
      </w:pPr>
      <w:r w:rsidRPr="00BD6197">
        <w:rPr>
          <w:lang w:val="en-US"/>
        </w:rPr>
        <w:t>a)</w:t>
      </w:r>
      <w:r w:rsidRPr="00BD6197">
        <w:rPr>
          <w:lang w:val="en-US"/>
        </w:rPr>
        <w:tab/>
        <w:t xml:space="preserve">For Governmental Broadcasting Stations which are operating on a non-commercial basis, a Correction Factor </w:t>
      </w:r>
      <w:r w:rsidRPr="00BD6197">
        <w:rPr>
          <w:b/>
          <w:bCs/>
          <w:lang w:val="en-US"/>
        </w:rPr>
        <w:t>C</w:t>
      </w:r>
      <w:r w:rsidRPr="00BD6197">
        <w:rPr>
          <w:lang w:val="en-US"/>
        </w:rPr>
        <w:t xml:space="preserve"> = 0.5 shall be applied.</w:t>
      </w:r>
    </w:p>
    <w:p w:rsidR="00FB16F7" w:rsidRPr="00BD6197" w:rsidRDefault="00FB16F7" w:rsidP="00FB16F7">
      <w:pPr>
        <w:pStyle w:val="enumlev2"/>
        <w:rPr>
          <w:lang w:val="en-US"/>
        </w:rPr>
      </w:pPr>
      <w:r w:rsidRPr="00BD6197">
        <w:rPr>
          <w:lang w:val="en-US"/>
        </w:rPr>
        <w:t>b)</w:t>
      </w:r>
      <w:r w:rsidRPr="00BD6197">
        <w:rPr>
          <w:lang w:val="en-US"/>
        </w:rPr>
        <w:tab/>
        <w:t>For promoting digital switchover, digital terrestrial audio and video broadcasting transmitters (excluding Terrestrial Mobile TV Broadcasting – Handheld) shall be granted a reduction of 50% during the period before 30</w:t>
      </w:r>
      <w:r w:rsidRPr="00BD6197">
        <w:rPr>
          <w:vertAlign w:val="superscript"/>
          <w:lang w:val="en-US"/>
        </w:rPr>
        <w:t>th</w:t>
      </w:r>
      <w:r w:rsidRPr="00BD6197">
        <w:rPr>
          <w:lang w:val="en-US"/>
        </w:rPr>
        <w:t xml:space="preserve"> December 2015; (i.e. Correction Factor </w:t>
      </w:r>
      <w:r w:rsidRPr="00BD6197">
        <w:rPr>
          <w:b/>
          <w:bCs/>
          <w:lang w:val="en-US"/>
        </w:rPr>
        <w:t>C</w:t>
      </w:r>
      <w:r w:rsidRPr="00BD6197">
        <w:rPr>
          <w:lang w:val="en-US"/>
        </w:rPr>
        <w:t xml:space="preserve"> = 0.5). This reduction is only limited to the above specified period and may be accompanied with other conditions as determined by the TRA.</w:t>
      </w:r>
    </w:p>
    <w:p w:rsidR="00FB16F7" w:rsidRPr="00BD6197" w:rsidRDefault="00FB16F7" w:rsidP="00FB16F7">
      <w:pPr>
        <w:pStyle w:val="enumlev2"/>
        <w:rPr>
          <w:lang w:val="en-US"/>
        </w:rPr>
      </w:pPr>
      <w:r w:rsidRPr="00BD6197">
        <w:rPr>
          <w:lang w:val="en-US"/>
        </w:rPr>
        <w:t>c)</w:t>
      </w:r>
      <w:r w:rsidRPr="00BD6197">
        <w:rPr>
          <w:lang w:val="en-US"/>
        </w:rPr>
        <w:tab/>
        <w:t xml:space="preserve">For all other assignments, the value of Correction Factor </w:t>
      </w:r>
      <w:r w:rsidRPr="00BD6197">
        <w:rPr>
          <w:b/>
          <w:bCs/>
          <w:lang w:val="en-US"/>
        </w:rPr>
        <w:t>C</w:t>
      </w:r>
      <w:r w:rsidRPr="00BD6197">
        <w:rPr>
          <w:lang w:val="en-US"/>
        </w:rPr>
        <w:t xml:space="preserve"> = 1.</w:t>
      </w:r>
    </w:p>
    <w:p w:rsidR="00FB16F7" w:rsidRPr="00BD6197" w:rsidRDefault="00FB16F7" w:rsidP="00FB16F7">
      <w:pPr>
        <w:pStyle w:val="enumlev1"/>
        <w:keepNext/>
        <w:keepLines/>
        <w:rPr>
          <w:lang w:val="en-US"/>
        </w:rPr>
      </w:pPr>
      <w:bookmarkStart w:id="2417" w:name="_Toc195057826"/>
      <w:r w:rsidRPr="00BD6197">
        <w:rPr>
          <w:lang w:val="en-US"/>
        </w:rPr>
        <w:lastRenderedPageBreak/>
        <w:t>25.2</w:t>
      </w:r>
      <w:r w:rsidRPr="00BD6197">
        <w:rPr>
          <w:lang w:val="en-US"/>
        </w:rPr>
        <w:tab/>
        <w:t>HF Seasonal Sound Broadcasting:</w:t>
      </w:r>
    </w:p>
    <w:p w:rsidR="00FB16F7" w:rsidRPr="00BD6197" w:rsidRDefault="00FB16F7" w:rsidP="00FB16F7">
      <w:pPr>
        <w:pStyle w:val="enumlev1"/>
        <w:keepNext/>
        <w:keepLines/>
        <w:rPr>
          <w:lang w:val="en-US"/>
        </w:rPr>
      </w:pPr>
      <w:r w:rsidRPr="00BD6197">
        <w:rPr>
          <w:lang w:val="en-US"/>
        </w:rPr>
        <w:tab/>
        <w:t>For HF Seasonal Sound Broadcasting Services, the Spectrum Fee shall be charged per transmitter basis and for each transmitter the Annual Spectrum Fees shall be:</w:t>
      </w:r>
    </w:p>
    <w:p w:rsidR="00FB16F7" w:rsidRPr="00BD6197" w:rsidRDefault="00FB16F7" w:rsidP="00FB16F7">
      <w:pPr>
        <w:pStyle w:val="Blanc"/>
        <w:rPr>
          <w:lang w:val="en-US"/>
        </w:rPr>
      </w:pPr>
    </w:p>
    <w:p w:rsidR="00FB16F7" w:rsidRPr="00BD6197" w:rsidRDefault="00FB16F7" w:rsidP="00FB16F7">
      <w:pPr>
        <w:pStyle w:val="Equation"/>
        <w:rPr>
          <w:lang w:val="en-US"/>
        </w:rPr>
      </w:pPr>
      <w:r w:rsidRPr="00BD6197">
        <w:rPr>
          <w:lang w:val="en-US"/>
        </w:rPr>
        <w:tab/>
      </w:r>
      <w:r w:rsidRPr="00BD6197">
        <w:rPr>
          <w:lang w:val="en-US"/>
        </w:rPr>
        <w:tab/>
        <w:t>Spectrum Fees for each HF transmitter = AED 20.000/-</w:t>
      </w:r>
    </w:p>
    <w:bookmarkEnd w:id="2417"/>
    <w:p w:rsidR="00FB16F7" w:rsidRPr="00BD6197" w:rsidRDefault="00FB16F7" w:rsidP="00FB16F7">
      <w:pPr>
        <w:pStyle w:val="Blanc"/>
        <w:rPr>
          <w:lang w:val="en-US"/>
        </w:rPr>
      </w:pPr>
    </w:p>
    <w:p w:rsidR="00FB16F7" w:rsidRPr="00BD6197" w:rsidRDefault="00FB16F7" w:rsidP="00FB16F7">
      <w:pPr>
        <w:pStyle w:val="enumlev1"/>
        <w:keepNext/>
        <w:keepLines/>
        <w:rPr>
          <w:lang w:val="en-US"/>
        </w:rPr>
      </w:pPr>
      <w:r w:rsidRPr="00BD6197">
        <w:rPr>
          <w:lang w:val="en-US"/>
        </w:rPr>
        <w:t>25.3</w:t>
      </w:r>
      <w:r w:rsidRPr="00BD6197">
        <w:rPr>
          <w:lang w:val="en-US"/>
        </w:rPr>
        <w:tab/>
        <w:t>Satellite Radio and Television Broadcasting:</w:t>
      </w:r>
    </w:p>
    <w:p w:rsidR="00FB16F7" w:rsidRPr="00BD6197" w:rsidRDefault="00FB16F7" w:rsidP="00FB16F7">
      <w:pPr>
        <w:pStyle w:val="enumlev1"/>
        <w:rPr>
          <w:lang w:val="en-US"/>
        </w:rPr>
      </w:pPr>
      <w:r w:rsidRPr="00BD6197">
        <w:rPr>
          <w:lang w:val="en-US"/>
        </w:rPr>
        <w:tab/>
        <w:t>Uplinking of DAB, DVB-S and DVB-SH shall be charged at 200.000 AED per multiplex unit and DVB-RCS by 400.000 AED per multiplex unit.</w:t>
      </w:r>
    </w:p>
    <w:p w:rsidR="00FB16F7" w:rsidRPr="00BD6197" w:rsidRDefault="00FB16F7" w:rsidP="00FB16F7">
      <w:pPr>
        <w:pStyle w:val="Note"/>
        <w:ind w:left="794" w:hanging="794"/>
        <w:rPr>
          <w:lang w:val="en-US"/>
        </w:rPr>
      </w:pPr>
      <w:r w:rsidRPr="00BD6197">
        <w:rPr>
          <w:lang w:val="en-US"/>
        </w:rPr>
        <w:tab/>
        <w:t>NOTE 1 – A multiplex unit is defined as one channel (signal) with appropriate bandwidth containing several programmes combined by digital multiplexing. The TRA shall have the sole discretion to determine Multiplex Unit for an Application.</w:t>
      </w:r>
    </w:p>
    <w:p w:rsidR="00FB16F7" w:rsidRPr="00BD6197" w:rsidRDefault="00FB16F7" w:rsidP="00FB16F7">
      <w:pPr>
        <w:pStyle w:val="ArtNo"/>
        <w:rPr>
          <w:lang w:val="en-US"/>
        </w:rPr>
      </w:pPr>
      <w:r w:rsidRPr="00BD6197">
        <w:rPr>
          <w:lang w:val="en-US"/>
        </w:rPr>
        <w:t>ARTICLE 26</w:t>
      </w:r>
    </w:p>
    <w:p w:rsidR="00FB16F7" w:rsidRPr="00BD6197" w:rsidRDefault="00FB16F7" w:rsidP="00FB16F7">
      <w:pPr>
        <w:pStyle w:val="Arttitle"/>
        <w:rPr>
          <w:lang w:val="en-US"/>
        </w:rPr>
      </w:pPr>
      <w:bookmarkStart w:id="2418" w:name="_Toc237657997"/>
      <w:r w:rsidRPr="00BD6197">
        <w:rPr>
          <w:lang w:val="en-US"/>
        </w:rPr>
        <w:t>Short Range Devices</w:t>
      </w:r>
      <w:bookmarkEnd w:id="2418"/>
    </w:p>
    <w:p w:rsidR="00FB16F7" w:rsidRPr="00BD6197" w:rsidRDefault="00FB16F7" w:rsidP="00FB16F7">
      <w:pPr>
        <w:pStyle w:val="enumlev1"/>
        <w:rPr>
          <w:lang w:val="en-US"/>
        </w:rPr>
      </w:pPr>
      <w:r w:rsidRPr="00BD6197">
        <w:rPr>
          <w:lang w:val="en-US"/>
        </w:rPr>
        <w:t>26.1</w:t>
      </w:r>
      <w:r w:rsidRPr="00BD6197">
        <w:rPr>
          <w:lang w:val="en-US"/>
        </w:rPr>
        <w:tab/>
        <w:t xml:space="preserve">All Wireless Transmission equipment meeting the criteria of the Short Range Devices as determined by the TRA shall be exempted from the annual Spectrum Fees. </w:t>
      </w:r>
    </w:p>
    <w:p w:rsidR="00FB16F7" w:rsidRPr="00BD6197" w:rsidRDefault="00FB16F7" w:rsidP="00FB16F7">
      <w:pPr>
        <w:pStyle w:val="enumlev1"/>
        <w:rPr>
          <w:lang w:val="en-US"/>
        </w:rPr>
      </w:pPr>
      <w:r w:rsidRPr="00BD6197">
        <w:rPr>
          <w:lang w:val="en-US"/>
        </w:rPr>
        <w:t>26.2</w:t>
      </w:r>
      <w:r w:rsidRPr="00BD6197">
        <w:rPr>
          <w:lang w:val="en-US"/>
        </w:rPr>
        <w:tab/>
        <w:t>Low Power Transmitting Devices meeting the criteria of the Low Power Transmitting Devices as determined by the TRA shall be charged as follows:</w:t>
      </w:r>
    </w:p>
    <w:p w:rsidR="00FB16F7" w:rsidRPr="00BD6197" w:rsidRDefault="00FB16F7" w:rsidP="00FB16F7">
      <w:pPr>
        <w:pStyle w:val="TableNo"/>
        <w:rPr>
          <w:lang w:val="en-US"/>
        </w:rPr>
      </w:pPr>
      <w:r w:rsidRPr="00BD6197">
        <w:rPr>
          <w:lang w:val="en-US"/>
        </w:rPr>
        <w:t>TABLE 4</w:t>
      </w:r>
    </w:p>
    <w:p w:rsidR="00FB16F7" w:rsidRPr="00BD6197" w:rsidRDefault="00FB16F7" w:rsidP="00FB16F7">
      <w:pPr>
        <w:pStyle w:val="Tabletitle"/>
        <w:rPr>
          <w:lang w:val="en-US"/>
        </w:rPr>
      </w:pPr>
      <w:r w:rsidRPr="00BD6197">
        <w:rPr>
          <w:lang w:val="en-US"/>
        </w:rPr>
        <w:t>Annual Fee for Low Power Equipment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70"/>
        <w:gridCol w:w="1628"/>
      </w:tblGrid>
      <w:tr w:rsidR="00FB16F7" w:rsidRPr="00BD6197" w:rsidTr="000F2BA7">
        <w:trPr>
          <w:cantSplit/>
          <w:jc w:val="center"/>
        </w:trPr>
        <w:tc>
          <w:tcPr>
            <w:tcW w:w="2470" w:type="dxa"/>
            <w:shd w:val="clear" w:color="auto" w:fill="auto"/>
          </w:tcPr>
          <w:p w:rsidR="00FB16F7" w:rsidRPr="00BD6197" w:rsidRDefault="00FB16F7" w:rsidP="000F2BA7">
            <w:pPr>
              <w:pStyle w:val="Tablehead"/>
              <w:rPr>
                <w:lang w:val="en-US"/>
              </w:rPr>
            </w:pPr>
            <w:r w:rsidRPr="00BD6197">
              <w:rPr>
                <w:lang w:val="en-US"/>
              </w:rPr>
              <w:t>Radiated Power</w:t>
            </w:r>
          </w:p>
        </w:tc>
        <w:tc>
          <w:tcPr>
            <w:tcW w:w="1628" w:type="dxa"/>
            <w:shd w:val="clear" w:color="auto" w:fill="auto"/>
          </w:tcPr>
          <w:p w:rsidR="00FB16F7" w:rsidRPr="00BD6197" w:rsidRDefault="00FB16F7" w:rsidP="000F2BA7">
            <w:pPr>
              <w:pStyle w:val="Tablehead"/>
              <w:rPr>
                <w:lang w:val="en-US"/>
              </w:rPr>
            </w:pPr>
            <w:r w:rsidRPr="00BD6197">
              <w:rPr>
                <w:lang w:val="en-US"/>
              </w:rPr>
              <w:t>Annual Fee</w:t>
            </w:r>
          </w:p>
        </w:tc>
      </w:tr>
      <w:tr w:rsidR="00FB16F7" w:rsidRPr="00BD6197" w:rsidTr="000F2BA7">
        <w:trPr>
          <w:trHeight w:hRule="exact" w:val="340"/>
          <w:jc w:val="center"/>
        </w:trPr>
        <w:tc>
          <w:tcPr>
            <w:tcW w:w="2470" w:type="dxa"/>
            <w:vAlign w:val="center"/>
          </w:tcPr>
          <w:p w:rsidR="00FB16F7" w:rsidRPr="00BD6197" w:rsidRDefault="00FB16F7" w:rsidP="000F2BA7">
            <w:pPr>
              <w:pStyle w:val="Tabletext"/>
              <w:jc w:val="center"/>
              <w:rPr>
                <w:lang w:val="en-US"/>
              </w:rPr>
            </w:pPr>
            <w:r w:rsidRPr="00BD6197">
              <w:rPr>
                <w:lang w:val="en-US"/>
              </w:rPr>
              <w:t>≤ 10 mW</w:t>
            </w:r>
          </w:p>
        </w:tc>
        <w:tc>
          <w:tcPr>
            <w:tcW w:w="1628" w:type="dxa"/>
            <w:vAlign w:val="center"/>
          </w:tcPr>
          <w:p w:rsidR="00FB16F7" w:rsidRPr="00BD6197" w:rsidRDefault="00FB16F7" w:rsidP="000F2BA7">
            <w:pPr>
              <w:pStyle w:val="Tabletext"/>
              <w:jc w:val="center"/>
              <w:rPr>
                <w:lang w:val="en-US"/>
              </w:rPr>
            </w:pPr>
            <w:r w:rsidRPr="00BD6197">
              <w:rPr>
                <w:lang w:val="en-US"/>
              </w:rPr>
              <w:t>100 AED</w:t>
            </w:r>
          </w:p>
        </w:tc>
      </w:tr>
      <w:tr w:rsidR="00FB16F7" w:rsidRPr="00BD6197" w:rsidTr="000F2BA7">
        <w:trPr>
          <w:trHeight w:hRule="exact" w:val="340"/>
          <w:jc w:val="center"/>
        </w:trPr>
        <w:tc>
          <w:tcPr>
            <w:tcW w:w="2470" w:type="dxa"/>
            <w:vAlign w:val="center"/>
          </w:tcPr>
          <w:p w:rsidR="00FB16F7" w:rsidRPr="00BD6197" w:rsidRDefault="00FB16F7" w:rsidP="000F2BA7">
            <w:pPr>
              <w:pStyle w:val="Tabletext"/>
              <w:jc w:val="center"/>
              <w:rPr>
                <w:lang w:val="en-US"/>
              </w:rPr>
            </w:pPr>
            <w:r w:rsidRPr="00BD6197">
              <w:rPr>
                <w:lang w:val="en-US"/>
              </w:rPr>
              <w:t>10 mW ≤ 100 mW</w:t>
            </w:r>
          </w:p>
        </w:tc>
        <w:tc>
          <w:tcPr>
            <w:tcW w:w="1628" w:type="dxa"/>
            <w:vAlign w:val="center"/>
          </w:tcPr>
          <w:p w:rsidR="00FB16F7" w:rsidRPr="00BD6197" w:rsidRDefault="00FB16F7" w:rsidP="000F2BA7">
            <w:pPr>
              <w:pStyle w:val="Tabletext"/>
              <w:jc w:val="center"/>
              <w:rPr>
                <w:lang w:val="en-US"/>
              </w:rPr>
            </w:pPr>
            <w:r w:rsidRPr="00BD6197">
              <w:rPr>
                <w:lang w:val="en-US"/>
              </w:rPr>
              <w:t>200 AED</w:t>
            </w:r>
          </w:p>
        </w:tc>
      </w:tr>
      <w:tr w:rsidR="00FB16F7" w:rsidRPr="00BD6197" w:rsidTr="000F2BA7">
        <w:trPr>
          <w:trHeight w:hRule="exact" w:val="340"/>
          <w:jc w:val="center"/>
        </w:trPr>
        <w:tc>
          <w:tcPr>
            <w:tcW w:w="2470" w:type="dxa"/>
            <w:vAlign w:val="center"/>
          </w:tcPr>
          <w:p w:rsidR="00FB16F7" w:rsidRPr="00BD6197" w:rsidRDefault="00FB16F7" w:rsidP="000F2BA7">
            <w:pPr>
              <w:pStyle w:val="Tabletext"/>
              <w:jc w:val="center"/>
              <w:rPr>
                <w:lang w:val="en-US"/>
              </w:rPr>
            </w:pPr>
            <w:r w:rsidRPr="00BD6197">
              <w:rPr>
                <w:lang w:val="en-US"/>
              </w:rPr>
              <w:t>100 mW ≤ 1 W</w:t>
            </w:r>
          </w:p>
        </w:tc>
        <w:tc>
          <w:tcPr>
            <w:tcW w:w="1628" w:type="dxa"/>
            <w:vAlign w:val="center"/>
          </w:tcPr>
          <w:p w:rsidR="00FB16F7" w:rsidRPr="00BD6197" w:rsidRDefault="00FB16F7" w:rsidP="000F2BA7">
            <w:pPr>
              <w:pStyle w:val="Tabletext"/>
              <w:jc w:val="center"/>
              <w:rPr>
                <w:lang w:val="en-US"/>
              </w:rPr>
            </w:pPr>
            <w:r w:rsidRPr="00BD6197">
              <w:rPr>
                <w:lang w:val="en-US"/>
              </w:rPr>
              <w:t>400 AED</w:t>
            </w:r>
          </w:p>
        </w:tc>
      </w:tr>
    </w:tbl>
    <w:p w:rsidR="00FB16F7" w:rsidRPr="00BD6197" w:rsidRDefault="00FB16F7" w:rsidP="00FB16F7">
      <w:pPr>
        <w:pStyle w:val="Tablefin"/>
        <w:rPr>
          <w:lang w:val="en-US"/>
        </w:rPr>
      </w:pPr>
    </w:p>
    <w:p w:rsidR="00FB16F7" w:rsidRPr="00BD6197" w:rsidRDefault="00FB16F7" w:rsidP="00FB16F7">
      <w:pPr>
        <w:pStyle w:val="ArtNo"/>
        <w:rPr>
          <w:lang w:val="en-US"/>
        </w:rPr>
      </w:pPr>
      <w:r w:rsidRPr="00BD6197">
        <w:rPr>
          <w:lang w:val="en-US"/>
        </w:rPr>
        <w:t>ARTICLE 27</w:t>
      </w:r>
    </w:p>
    <w:p w:rsidR="00FB16F7" w:rsidRPr="00BD6197" w:rsidRDefault="00FB16F7" w:rsidP="00FB16F7">
      <w:pPr>
        <w:pStyle w:val="Arttitle"/>
        <w:rPr>
          <w:lang w:val="en-US"/>
        </w:rPr>
      </w:pPr>
      <w:bookmarkStart w:id="2419" w:name="_Toc237657998"/>
      <w:r w:rsidRPr="00BD6197">
        <w:rPr>
          <w:lang w:val="en-US"/>
        </w:rPr>
        <w:t>Emergency and disaster frequencies</w:t>
      </w:r>
      <w:bookmarkEnd w:id="2419"/>
      <w:r w:rsidRPr="00BD6197">
        <w:rPr>
          <w:lang w:val="en-US"/>
        </w:rPr>
        <w:t xml:space="preserve"> </w:t>
      </w:r>
    </w:p>
    <w:p w:rsidR="00FB16F7" w:rsidRPr="00BD6197" w:rsidRDefault="00FB16F7" w:rsidP="00FB16F7">
      <w:pPr>
        <w:pStyle w:val="enumlev1"/>
        <w:rPr>
          <w:lang w:val="en-US"/>
        </w:rPr>
      </w:pPr>
      <w:r w:rsidRPr="00BD6197">
        <w:rPr>
          <w:lang w:val="en-US"/>
        </w:rPr>
        <w:t>27.1</w:t>
      </w:r>
      <w:r w:rsidRPr="00BD6197">
        <w:rPr>
          <w:lang w:val="en-US"/>
        </w:rPr>
        <w:tab/>
        <w:t xml:space="preserve">All emergency, distress and safety of life frequencies identified within the National Spectrum Plan and the National Table of Frequency Allocation shall not be charged. All Wireless Transmission equipment made exclusively for safety of life and accepted by the TRA as falling within this category shall be exempted from the spectrum Fees. </w:t>
      </w:r>
    </w:p>
    <w:p w:rsidR="00FB16F7" w:rsidRPr="00BD6197" w:rsidRDefault="00FB16F7" w:rsidP="00FB16F7">
      <w:pPr>
        <w:pStyle w:val="ArtNo"/>
        <w:rPr>
          <w:lang w:val="en-US"/>
        </w:rPr>
      </w:pPr>
      <w:r w:rsidRPr="00BD6197">
        <w:rPr>
          <w:lang w:val="en-US"/>
        </w:rPr>
        <w:t>ARTICLE 28</w:t>
      </w:r>
    </w:p>
    <w:p w:rsidR="00FB16F7" w:rsidRPr="00BD6197" w:rsidRDefault="00FB16F7" w:rsidP="00FB16F7">
      <w:pPr>
        <w:pStyle w:val="Arttitle"/>
        <w:rPr>
          <w:lang w:val="en-US"/>
        </w:rPr>
      </w:pPr>
      <w:bookmarkStart w:id="2420" w:name="_Toc237657999"/>
      <w:r w:rsidRPr="00BD6197">
        <w:rPr>
          <w:lang w:val="en-US"/>
        </w:rPr>
        <w:t>Temporary Authorization</w:t>
      </w:r>
      <w:bookmarkEnd w:id="2420"/>
      <w:r w:rsidRPr="00BD6197">
        <w:rPr>
          <w:lang w:val="en-US"/>
        </w:rPr>
        <w:t xml:space="preserve"> </w:t>
      </w:r>
    </w:p>
    <w:p w:rsidR="00FB16F7" w:rsidRPr="00BD6197" w:rsidRDefault="00FB16F7" w:rsidP="00FB16F7">
      <w:pPr>
        <w:pStyle w:val="enumlev1"/>
        <w:rPr>
          <w:lang w:val="en-US"/>
        </w:rPr>
      </w:pPr>
      <w:r w:rsidRPr="00BD6197">
        <w:rPr>
          <w:lang w:val="en-US"/>
        </w:rPr>
        <w:t>28.1</w:t>
      </w:r>
      <w:r w:rsidRPr="00BD6197">
        <w:rPr>
          <w:lang w:val="en-US"/>
        </w:rPr>
        <w:tab/>
        <w:t xml:space="preserve">The Annual Spectrum Fees for Temporary Authorization will be calculated on prorate basis of the annual Spectrum Fees in accordance to the Radiocommunication Service. However, a minimum of 100 AED will be charged as Spectrum Fees in case the amount is less than 100 </w:t>
      </w:r>
      <w:r w:rsidRPr="00BD6197">
        <w:rPr>
          <w:lang w:val="en-US"/>
        </w:rPr>
        <w:lastRenderedPageBreak/>
        <w:t xml:space="preserve">AED. The Spectrum Fees for Temporary Authorization will be in addition to the Application processing Fees. </w:t>
      </w:r>
    </w:p>
    <w:p w:rsidR="00FB16F7" w:rsidRPr="00BD6197" w:rsidRDefault="00FB16F7" w:rsidP="00FB16F7">
      <w:pPr>
        <w:pStyle w:val="ArtNo"/>
        <w:rPr>
          <w:lang w:val="en-US"/>
        </w:rPr>
      </w:pPr>
      <w:r w:rsidRPr="00BD6197">
        <w:rPr>
          <w:lang w:val="en-US"/>
        </w:rPr>
        <w:t>ARTICLE 29</w:t>
      </w:r>
    </w:p>
    <w:p w:rsidR="00FB16F7" w:rsidRPr="00BD6197" w:rsidRDefault="00FB16F7" w:rsidP="00FB16F7">
      <w:pPr>
        <w:pStyle w:val="Arttitle"/>
        <w:rPr>
          <w:lang w:val="en-US"/>
        </w:rPr>
      </w:pPr>
      <w:bookmarkStart w:id="2421" w:name="_Toc237658000"/>
      <w:r w:rsidRPr="00BD6197">
        <w:rPr>
          <w:lang w:val="en-US"/>
        </w:rPr>
        <w:t>Other Radio Services</w:t>
      </w:r>
      <w:bookmarkEnd w:id="2421"/>
    </w:p>
    <w:p w:rsidR="00FB16F7" w:rsidRPr="00BD6197" w:rsidRDefault="00FB16F7" w:rsidP="00FB16F7">
      <w:pPr>
        <w:pStyle w:val="enumlev1"/>
        <w:rPr>
          <w:lang w:val="en-US"/>
        </w:rPr>
      </w:pPr>
      <w:r w:rsidRPr="00BD6197">
        <w:rPr>
          <w:lang w:val="en-US"/>
        </w:rPr>
        <w:t>29.1</w:t>
      </w:r>
      <w:r w:rsidRPr="00BD6197">
        <w:rPr>
          <w:lang w:val="en-US"/>
        </w:rPr>
        <w:tab/>
        <w:t xml:space="preserve">The Annual Spectrum Fees for an Authorization which is not covered above shall be as determined by the TRA and shall be applicable on approval by the Director General of the TRA, even before inclusion in the revised issue of these Regulations. </w:t>
      </w:r>
    </w:p>
    <w:p w:rsidR="00FB16F7" w:rsidRPr="00BD6197" w:rsidRDefault="00FB16F7" w:rsidP="00FB16F7">
      <w:pPr>
        <w:pStyle w:val="ArtNo"/>
        <w:rPr>
          <w:lang w:val="en-US"/>
        </w:rPr>
      </w:pPr>
      <w:r w:rsidRPr="00BD6197">
        <w:rPr>
          <w:lang w:val="en-US"/>
        </w:rPr>
        <w:t>ARTICLE 30</w:t>
      </w:r>
    </w:p>
    <w:p w:rsidR="00FB16F7" w:rsidRPr="00BD6197" w:rsidRDefault="00FB16F7" w:rsidP="00FB16F7">
      <w:pPr>
        <w:pStyle w:val="Arttitle"/>
        <w:rPr>
          <w:lang w:val="en-US"/>
        </w:rPr>
      </w:pPr>
      <w:bookmarkStart w:id="2422" w:name="_Toc237658001"/>
      <w:r w:rsidRPr="00BD6197">
        <w:rPr>
          <w:lang w:val="en-US"/>
        </w:rPr>
        <w:t>Interference complaints processing and monitoring Fees</w:t>
      </w:r>
      <w:bookmarkEnd w:id="2422"/>
      <w:r w:rsidRPr="00BD6197">
        <w:rPr>
          <w:lang w:val="en-US"/>
        </w:rPr>
        <w:t xml:space="preserve"> </w:t>
      </w:r>
    </w:p>
    <w:p w:rsidR="00FB16F7" w:rsidRPr="00BD6197" w:rsidRDefault="00FB16F7" w:rsidP="00FB16F7">
      <w:pPr>
        <w:pStyle w:val="enumlev1"/>
        <w:rPr>
          <w:color w:val="000000"/>
          <w:lang w:val="en-US"/>
        </w:rPr>
      </w:pPr>
      <w:r w:rsidRPr="00BD6197">
        <w:rPr>
          <w:lang w:val="en-US"/>
        </w:rPr>
        <w:t>30.1</w:t>
      </w:r>
      <w:r w:rsidRPr="00BD6197">
        <w:rPr>
          <w:lang w:val="en-US"/>
        </w:rPr>
        <w:tab/>
        <w:t>The TRA does not charge for attending the interference complaints and monitoring</w:t>
      </w:r>
      <w:r w:rsidRPr="00BD6197">
        <w:rPr>
          <w:color w:val="000000"/>
          <w:lang w:val="en-US"/>
        </w:rPr>
        <w:t xml:space="preserve">. </w:t>
      </w:r>
    </w:p>
    <w:p w:rsidR="00FB16F7" w:rsidRPr="00BD6197" w:rsidRDefault="00FB16F7" w:rsidP="00FB16F7">
      <w:pPr>
        <w:pStyle w:val="ArtNo"/>
        <w:rPr>
          <w:lang w:val="en-US"/>
        </w:rPr>
      </w:pPr>
      <w:r w:rsidRPr="00BD6197">
        <w:rPr>
          <w:lang w:val="en-US"/>
        </w:rPr>
        <w:t>ARTICLE 31</w:t>
      </w:r>
    </w:p>
    <w:p w:rsidR="00FB16F7" w:rsidRPr="00BD6197" w:rsidRDefault="00FB16F7" w:rsidP="00FB16F7">
      <w:pPr>
        <w:pStyle w:val="Arttitle"/>
        <w:rPr>
          <w:lang w:val="en-US"/>
        </w:rPr>
      </w:pPr>
      <w:bookmarkStart w:id="2423" w:name="_Toc237658002"/>
      <w:r w:rsidRPr="00BD6197">
        <w:rPr>
          <w:lang w:val="en-US"/>
        </w:rPr>
        <w:t>Fees for the Foreign Embassies, Consulates and Diplomatic Missions</w:t>
      </w:r>
      <w:bookmarkEnd w:id="2423"/>
      <w:r w:rsidRPr="00BD6197">
        <w:rPr>
          <w:lang w:val="en-US"/>
        </w:rPr>
        <w:t xml:space="preserve"> </w:t>
      </w:r>
    </w:p>
    <w:p w:rsidR="00FB16F7" w:rsidRPr="00BD6197" w:rsidRDefault="00FB16F7" w:rsidP="00FB16F7">
      <w:pPr>
        <w:pStyle w:val="enumlev1"/>
        <w:rPr>
          <w:lang w:val="en-US"/>
        </w:rPr>
      </w:pPr>
      <w:r w:rsidRPr="00BD6197">
        <w:rPr>
          <w:lang w:val="en-US"/>
        </w:rPr>
        <w:t>31.1</w:t>
      </w:r>
      <w:r w:rsidRPr="00BD6197">
        <w:rPr>
          <w:lang w:val="en-US"/>
        </w:rPr>
        <w:tab/>
        <w:t xml:space="preserve">The Foreign Embassies, Consulates, Diplomatic Missions and the State visits of dignitaries shall be exempted from the Spectrum Fees provided the same exemption is available for the UAE Embassy, Consulate and Mission in the country of origin. This exemption shall be applicable for official correspondence which falls within the scope of the Vienna Convention for diplomatic correspondence and the Applications forwarded to the TRA through the Ministry of Foreign Affairs of the UAE. </w:t>
      </w:r>
    </w:p>
    <w:p w:rsidR="00FB16F7" w:rsidRPr="00BD6197" w:rsidRDefault="00FB16F7" w:rsidP="00FB16F7">
      <w:pPr>
        <w:pStyle w:val="ArtNo"/>
        <w:rPr>
          <w:lang w:val="en-US"/>
        </w:rPr>
      </w:pPr>
      <w:r w:rsidRPr="00BD6197">
        <w:rPr>
          <w:lang w:val="en-US"/>
        </w:rPr>
        <w:t>ARTICLE 32</w:t>
      </w:r>
    </w:p>
    <w:p w:rsidR="00FB16F7" w:rsidRPr="00BD6197" w:rsidRDefault="00FB16F7" w:rsidP="00FB16F7">
      <w:pPr>
        <w:pStyle w:val="Arttitle"/>
        <w:rPr>
          <w:lang w:val="en-US"/>
        </w:rPr>
      </w:pPr>
      <w:bookmarkStart w:id="2424" w:name="_Toc237658003"/>
      <w:r w:rsidRPr="00BD6197">
        <w:rPr>
          <w:lang w:val="en-US"/>
        </w:rPr>
        <w:t>Fees for Site Surveys</w:t>
      </w:r>
      <w:bookmarkEnd w:id="2424"/>
      <w:r w:rsidRPr="00BD6197">
        <w:rPr>
          <w:lang w:val="en-US"/>
        </w:rPr>
        <w:t xml:space="preserve"> </w:t>
      </w:r>
    </w:p>
    <w:p w:rsidR="00FB16F7" w:rsidRPr="00BD6197" w:rsidRDefault="00FB16F7" w:rsidP="00FB16F7">
      <w:pPr>
        <w:pStyle w:val="enumlev1"/>
        <w:rPr>
          <w:lang w:val="en-US"/>
        </w:rPr>
      </w:pPr>
      <w:r w:rsidRPr="00BD6197">
        <w:rPr>
          <w:lang w:val="en-US"/>
        </w:rPr>
        <w:t>32.1</w:t>
      </w:r>
      <w:r w:rsidRPr="00BD6197">
        <w:rPr>
          <w:lang w:val="en-US"/>
        </w:rPr>
        <w:tab/>
        <w:t>The following Fees shall be charged for the site survey conducted by the TRA upon request from the Applicant or the Authorized User for technical assistance:</w:t>
      </w:r>
    </w:p>
    <w:p w:rsidR="00FB16F7" w:rsidRPr="00BD6197" w:rsidRDefault="00FB16F7" w:rsidP="00FB16F7">
      <w:pPr>
        <w:rPr>
          <w:lang w:val="en-US"/>
        </w:rPr>
      </w:pPr>
      <w:r w:rsidRPr="00BD6197">
        <w:rPr>
          <w:b/>
          <w:bCs/>
          <w:lang w:val="en-US"/>
        </w:rPr>
        <w:tab/>
        <w:t>Site Survey Fee</w:t>
      </w:r>
      <w:r w:rsidRPr="00BD6197">
        <w:rPr>
          <w:lang w:val="en-US"/>
        </w:rPr>
        <w:t xml:space="preserve"> = 2,500 AED per day for each visit.</w:t>
      </w:r>
    </w:p>
    <w:p w:rsidR="00FB16F7" w:rsidRPr="00BD6197" w:rsidRDefault="00FB16F7" w:rsidP="00FB16F7">
      <w:pPr>
        <w:pStyle w:val="ArtNo"/>
        <w:rPr>
          <w:lang w:val="en-US"/>
        </w:rPr>
      </w:pPr>
      <w:r w:rsidRPr="00BD6197">
        <w:rPr>
          <w:lang w:val="en-US"/>
        </w:rPr>
        <w:t>ARTICLE 33</w:t>
      </w:r>
    </w:p>
    <w:p w:rsidR="00FB16F7" w:rsidRPr="00BD6197" w:rsidRDefault="00FB16F7" w:rsidP="00FB16F7">
      <w:pPr>
        <w:pStyle w:val="Arttitle"/>
        <w:rPr>
          <w:lang w:val="en-US"/>
        </w:rPr>
      </w:pPr>
      <w:bookmarkStart w:id="2425" w:name="_Toc237658004"/>
      <w:r w:rsidRPr="00BD6197">
        <w:rPr>
          <w:lang w:val="en-US"/>
        </w:rPr>
        <w:t>Obligation to pay</w:t>
      </w:r>
      <w:bookmarkEnd w:id="2425"/>
      <w:r w:rsidRPr="00BD6197">
        <w:rPr>
          <w:lang w:val="en-US"/>
        </w:rPr>
        <w:t xml:space="preserve"> </w:t>
      </w:r>
    </w:p>
    <w:p w:rsidR="00FB16F7" w:rsidRPr="00BD6197" w:rsidRDefault="00FB16F7" w:rsidP="00FB16F7">
      <w:pPr>
        <w:pStyle w:val="enumlev1"/>
        <w:rPr>
          <w:lang w:val="en-US"/>
        </w:rPr>
      </w:pPr>
      <w:r w:rsidRPr="00BD6197">
        <w:rPr>
          <w:lang w:val="en-US"/>
        </w:rPr>
        <w:t>33.1</w:t>
      </w:r>
      <w:r w:rsidRPr="00BD6197">
        <w:rPr>
          <w:lang w:val="en-US"/>
        </w:rPr>
        <w:tab/>
        <w:t xml:space="preserve">The Spectrum Fees shall be payable in advance by all without any exemption except as determined in these Regulations. The Spectrum Fees shall not be construed as Federal Tax or any Local Tax and shall be considered as charge for the use of a scarce national resource of radio spectrum. Authorized Users shall have to pay the full dues within the stipulated time, even in cases where the Authorized User contests the amount either wholly or partially. </w:t>
      </w:r>
    </w:p>
    <w:p w:rsidR="00FB16F7" w:rsidRPr="00BD6197" w:rsidRDefault="00FB16F7" w:rsidP="00FB16F7">
      <w:pPr>
        <w:pStyle w:val="ArtNo"/>
        <w:rPr>
          <w:lang w:val="en-US"/>
        </w:rPr>
      </w:pPr>
      <w:r w:rsidRPr="00BD6197">
        <w:rPr>
          <w:lang w:val="en-US"/>
        </w:rPr>
        <w:lastRenderedPageBreak/>
        <w:t>ARTICLE 34</w:t>
      </w:r>
    </w:p>
    <w:p w:rsidR="00FB16F7" w:rsidRPr="00BD6197" w:rsidRDefault="00FB16F7" w:rsidP="00FB16F7">
      <w:pPr>
        <w:pStyle w:val="Arttitle"/>
        <w:rPr>
          <w:lang w:val="en-US"/>
        </w:rPr>
      </w:pPr>
      <w:bookmarkStart w:id="2426" w:name="_Toc237658005"/>
      <w:r w:rsidRPr="00BD6197">
        <w:rPr>
          <w:lang w:val="en-US"/>
        </w:rPr>
        <w:t>Methods of payments</w:t>
      </w:r>
      <w:bookmarkEnd w:id="2426"/>
      <w:r w:rsidRPr="00BD6197">
        <w:rPr>
          <w:lang w:val="en-US"/>
        </w:rPr>
        <w:t xml:space="preserve"> </w:t>
      </w:r>
    </w:p>
    <w:p w:rsidR="00FB16F7" w:rsidRPr="00BD6197" w:rsidRDefault="00FB16F7" w:rsidP="00FB16F7">
      <w:pPr>
        <w:pStyle w:val="enumlev1"/>
        <w:keepNext/>
        <w:keepLines/>
        <w:rPr>
          <w:lang w:val="en-US"/>
        </w:rPr>
      </w:pPr>
      <w:r w:rsidRPr="00BD6197">
        <w:rPr>
          <w:lang w:val="en-US"/>
        </w:rPr>
        <w:t>34.1</w:t>
      </w:r>
      <w:r w:rsidRPr="00BD6197">
        <w:rPr>
          <w:lang w:val="en-US"/>
        </w:rPr>
        <w:tab/>
        <w:t xml:space="preserve">The TRA accepts spectrum Fees and other associated charges in any of the following methods: </w:t>
      </w:r>
    </w:p>
    <w:p w:rsidR="00FB16F7" w:rsidRPr="00BD6197" w:rsidRDefault="00FB16F7" w:rsidP="00FB16F7">
      <w:pPr>
        <w:pStyle w:val="enumlev2"/>
        <w:rPr>
          <w:lang w:val="en-US"/>
        </w:rPr>
      </w:pPr>
      <w:r w:rsidRPr="00BD6197">
        <w:rPr>
          <w:lang w:val="en-US"/>
        </w:rPr>
        <w:t>–</w:t>
      </w:r>
      <w:r w:rsidRPr="00BD6197">
        <w:rPr>
          <w:lang w:val="en-US"/>
        </w:rPr>
        <w:tab/>
        <w:t>E-Dirham.</w:t>
      </w:r>
    </w:p>
    <w:p w:rsidR="00FB16F7" w:rsidRPr="00BD6197" w:rsidRDefault="00FB16F7" w:rsidP="00FB16F7">
      <w:pPr>
        <w:pStyle w:val="enumlev2"/>
        <w:rPr>
          <w:lang w:val="en-US"/>
        </w:rPr>
      </w:pPr>
      <w:r w:rsidRPr="00BD6197">
        <w:rPr>
          <w:lang w:val="en-US"/>
        </w:rPr>
        <w:t>–</w:t>
      </w:r>
      <w:r w:rsidRPr="00BD6197">
        <w:rPr>
          <w:lang w:val="en-US"/>
        </w:rPr>
        <w:tab/>
        <w:t>Cheque or cash deposit into the TRA’s bank account.</w:t>
      </w:r>
    </w:p>
    <w:p w:rsidR="00FB16F7" w:rsidRPr="00BD6197" w:rsidRDefault="00FB16F7" w:rsidP="00FB16F7">
      <w:pPr>
        <w:pStyle w:val="enumlev2"/>
        <w:rPr>
          <w:lang w:val="en-US"/>
        </w:rPr>
      </w:pPr>
      <w:r w:rsidRPr="00BD6197">
        <w:rPr>
          <w:lang w:val="en-US"/>
        </w:rPr>
        <w:t>–</w:t>
      </w:r>
      <w:r w:rsidRPr="00BD6197">
        <w:rPr>
          <w:lang w:val="en-US"/>
        </w:rPr>
        <w:tab/>
        <w:t>Cash.</w:t>
      </w:r>
    </w:p>
    <w:p w:rsidR="00FB16F7" w:rsidRPr="00BD6197" w:rsidRDefault="00FB16F7" w:rsidP="00FB16F7">
      <w:pPr>
        <w:pStyle w:val="enumlev2"/>
        <w:rPr>
          <w:lang w:val="en-US"/>
        </w:rPr>
      </w:pPr>
      <w:r w:rsidRPr="00BD6197">
        <w:rPr>
          <w:lang w:val="en-US"/>
        </w:rPr>
        <w:t>–</w:t>
      </w:r>
      <w:r w:rsidRPr="00BD6197">
        <w:rPr>
          <w:lang w:val="en-US"/>
        </w:rPr>
        <w:tab/>
        <w:t>Wire transfer.</w:t>
      </w:r>
    </w:p>
    <w:p w:rsidR="00FB16F7" w:rsidRPr="00BD6197" w:rsidRDefault="00FB16F7" w:rsidP="00FB16F7">
      <w:pPr>
        <w:pStyle w:val="enumlev2"/>
        <w:rPr>
          <w:lang w:val="en-US"/>
        </w:rPr>
      </w:pPr>
      <w:r w:rsidRPr="00BD6197">
        <w:rPr>
          <w:lang w:val="en-US"/>
        </w:rPr>
        <w:t>–</w:t>
      </w:r>
      <w:r w:rsidRPr="00BD6197">
        <w:rPr>
          <w:lang w:val="en-US"/>
        </w:rPr>
        <w:tab/>
        <w:t>E-payment (when available).</w:t>
      </w:r>
    </w:p>
    <w:p w:rsidR="00FB16F7" w:rsidRPr="00BD6197" w:rsidRDefault="00FB16F7" w:rsidP="00FB16F7">
      <w:pPr>
        <w:pStyle w:val="ArtNo"/>
        <w:rPr>
          <w:lang w:val="en-US"/>
        </w:rPr>
      </w:pPr>
      <w:r w:rsidRPr="00BD6197">
        <w:rPr>
          <w:lang w:val="en-US"/>
        </w:rPr>
        <w:t>ARTICLE 35</w:t>
      </w:r>
    </w:p>
    <w:p w:rsidR="00FB16F7" w:rsidRPr="00BD6197" w:rsidRDefault="00FB16F7" w:rsidP="00FB16F7">
      <w:pPr>
        <w:pStyle w:val="Arttitle"/>
        <w:rPr>
          <w:lang w:val="en-US"/>
        </w:rPr>
      </w:pPr>
      <w:bookmarkStart w:id="2427" w:name="_Toc237658006"/>
      <w:r w:rsidRPr="00BD6197">
        <w:rPr>
          <w:lang w:val="en-US"/>
        </w:rPr>
        <w:t>Penalties</w:t>
      </w:r>
      <w:bookmarkEnd w:id="2427"/>
      <w:r w:rsidRPr="00BD6197">
        <w:rPr>
          <w:lang w:val="en-US"/>
        </w:rPr>
        <w:t xml:space="preserve"> </w:t>
      </w:r>
    </w:p>
    <w:p w:rsidR="00FB16F7" w:rsidRPr="00BD6197" w:rsidRDefault="00FB16F7" w:rsidP="00FB16F7">
      <w:pPr>
        <w:pStyle w:val="enumlev1"/>
        <w:rPr>
          <w:color w:val="000000"/>
          <w:lang w:val="en-US"/>
        </w:rPr>
      </w:pPr>
      <w:r w:rsidRPr="00BD6197">
        <w:rPr>
          <w:color w:val="000000"/>
          <w:lang w:val="en-US"/>
        </w:rPr>
        <w:t>35.1</w:t>
      </w:r>
      <w:r w:rsidRPr="00BD6197">
        <w:rPr>
          <w:color w:val="000000"/>
          <w:lang w:val="en-US"/>
        </w:rPr>
        <w:tab/>
      </w:r>
      <w:r w:rsidRPr="00BD6197">
        <w:rPr>
          <w:lang w:val="en-US"/>
        </w:rPr>
        <w:t>The penalties of the Federal Law by Decree No. 3 of 2003 as amended shall apply to any violation to these Regulations.</w:t>
      </w:r>
    </w:p>
    <w:p w:rsidR="00FB16F7" w:rsidRPr="00BD6197" w:rsidRDefault="00FB16F7" w:rsidP="00FB16F7">
      <w:pPr>
        <w:pStyle w:val="Blanc"/>
        <w:rPr>
          <w:lang w:val="en-US"/>
        </w:rPr>
      </w:pPr>
    </w:p>
    <w:p w:rsidR="00FB16F7" w:rsidRPr="00BD6197" w:rsidRDefault="00FB16F7" w:rsidP="00FB16F7">
      <w:pPr>
        <w:tabs>
          <w:tab w:val="clear" w:pos="794"/>
          <w:tab w:val="clear" w:pos="1191"/>
          <w:tab w:val="clear" w:pos="1588"/>
          <w:tab w:val="clear" w:pos="1985"/>
        </w:tabs>
        <w:overflowPunct/>
        <w:autoSpaceDE/>
        <w:autoSpaceDN/>
        <w:adjustRightInd/>
        <w:spacing w:before="0"/>
        <w:textAlignment w:val="auto"/>
        <w:rPr>
          <w:b/>
          <w:lang w:val="en-US"/>
        </w:rPr>
      </w:pPr>
      <w:r w:rsidRPr="00BD6197">
        <w:rPr>
          <w:lang w:val="en-US"/>
        </w:rPr>
        <w:br w:type="page"/>
      </w:r>
    </w:p>
    <w:p w:rsidR="00FB16F7" w:rsidRPr="00BD6197" w:rsidRDefault="00FB16F7" w:rsidP="00FB16F7">
      <w:pPr>
        <w:pStyle w:val="Heading3"/>
        <w:rPr>
          <w:lang w:val="en-US"/>
        </w:rPr>
      </w:pPr>
      <w:bookmarkStart w:id="2428" w:name="_Toc289868888"/>
      <w:bookmarkStart w:id="2429" w:name="_Toc289869047"/>
      <w:bookmarkStart w:id="2430" w:name="_Toc289932353"/>
      <w:bookmarkStart w:id="2431" w:name="_Toc289933401"/>
      <w:bookmarkStart w:id="2432" w:name="_Toc291852964"/>
      <w:bookmarkStart w:id="2433" w:name="_Toc392515948"/>
      <w:bookmarkStart w:id="2434" w:name="_Toc454285027"/>
      <w:bookmarkStart w:id="2435" w:name="_Toc462234191"/>
      <w:bookmarkStart w:id="2436" w:name="_Toc518394284"/>
      <w:r w:rsidRPr="00BD6197">
        <w:rPr>
          <w:lang w:val="en-US"/>
        </w:rPr>
        <w:lastRenderedPageBreak/>
        <w:t>A.1.2</w:t>
      </w:r>
      <w:r w:rsidRPr="00BD6197">
        <w:rPr>
          <w:lang w:val="en-US"/>
        </w:rPr>
        <w:tab/>
        <w:t>Fees Policy of Cote D’Ivoire</w:t>
      </w:r>
      <w:bookmarkEnd w:id="2428"/>
      <w:bookmarkEnd w:id="2429"/>
      <w:bookmarkEnd w:id="2430"/>
      <w:bookmarkEnd w:id="2431"/>
      <w:bookmarkEnd w:id="2432"/>
      <w:bookmarkEnd w:id="2433"/>
      <w:bookmarkEnd w:id="2434"/>
      <w:bookmarkEnd w:id="2435"/>
      <w:bookmarkEnd w:id="2436"/>
    </w:p>
    <w:p w:rsidR="00FB16F7" w:rsidRPr="00BD6197" w:rsidRDefault="00FB16F7" w:rsidP="00FB16F7">
      <w:pPr>
        <w:rPr>
          <w:lang w:val="en-US"/>
        </w:rPr>
      </w:pPr>
    </w:p>
    <w:p w:rsidR="00FB16F7" w:rsidRPr="00BD6197" w:rsidRDefault="00FB16F7" w:rsidP="00FB16F7">
      <w:pPr>
        <w:jc w:val="center"/>
        <w:rPr>
          <w:sz w:val="32"/>
          <w:szCs w:val="32"/>
          <w:lang w:val="en-US"/>
        </w:rPr>
      </w:pPr>
      <w:r w:rsidRPr="00BD6197">
        <w:rPr>
          <w:sz w:val="32"/>
          <w:szCs w:val="32"/>
          <w:lang w:val="en-US"/>
        </w:rPr>
        <w:t>REPUBLIC OF COTE D’IVOIRE</w:t>
      </w:r>
    </w:p>
    <w:p w:rsidR="00FB16F7" w:rsidRPr="00BD6197" w:rsidRDefault="00FB16F7" w:rsidP="00FB16F7">
      <w:pPr>
        <w:jc w:val="center"/>
        <w:rPr>
          <w:lang w:val="en-US"/>
        </w:rPr>
      </w:pPr>
      <w:r w:rsidRPr="00BD6197">
        <w:rPr>
          <w:lang w:val="en-US"/>
        </w:rPr>
        <w:t>UNITY-DISCIPLINE-WORK</w:t>
      </w:r>
    </w:p>
    <w:p w:rsidR="00FB16F7" w:rsidRPr="00BD6197" w:rsidRDefault="00FB16F7" w:rsidP="00FB16F7">
      <w:pPr>
        <w:jc w:val="center"/>
        <w:rPr>
          <w:lang w:val="en-US"/>
        </w:rPr>
      </w:pPr>
      <w:r w:rsidRPr="00BD6197">
        <w:rPr>
          <w:lang w:val="en-US"/>
        </w:rPr>
        <w:t>------------------</w:t>
      </w:r>
    </w:p>
    <w:tbl>
      <w:tblPr>
        <w:tblW w:w="0" w:type="auto"/>
        <w:tblLook w:val="04A0" w:firstRow="1" w:lastRow="0" w:firstColumn="1" w:lastColumn="0" w:noHBand="0" w:noVBand="1"/>
      </w:tblPr>
      <w:tblGrid>
        <w:gridCol w:w="4819"/>
        <w:gridCol w:w="4820"/>
      </w:tblGrid>
      <w:tr w:rsidR="00FB16F7" w:rsidRPr="00D17B5B" w:rsidTr="000F2BA7">
        <w:tc>
          <w:tcPr>
            <w:tcW w:w="4927" w:type="dxa"/>
          </w:tcPr>
          <w:p w:rsidR="00FB16F7" w:rsidRPr="00BD6197" w:rsidRDefault="00FB16F7" w:rsidP="000F2BA7">
            <w:pPr>
              <w:rPr>
                <w:lang w:val="en-US"/>
              </w:rPr>
            </w:pPr>
            <w:r w:rsidRPr="00BD6197">
              <w:rPr>
                <w:szCs w:val="24"/>
                <w:lang w:val="en-US"/>
              </w:rPr>
              <w:t>Ministry of Economic Infrastructures</w:t>
            </w:r>
          </w:p>
        </w:tc>
        <w:tc>
          <w:tcPr>
            <w:tcW w:w="4928" w:type="dxa"/>
          </w:tcPr>
          <w:p w:rsidR="00FB16F7" w:rsidRPr="00BD6197" w:rsidRDefault="00FB16F7" w:rsidP="000F2BA7">
            <w:pPr>
              <w:rPr>
                <w:lang w:val="en-US"/>
              </w:rPr>
            </w:pPr>
            <w:r w:rsidRPr="00BD6197">
              <w:rPr>
                <w:szCs w:val="24"/>
                <w:lang w:val="en-US"/>
              </w:rPr>
              <w:t>Ministry of Economy and Finances</w:t>
            </w:r>
          </w:p>
        </w:tc>
      </w:tr>
      <w:tr w:rsidR="00FB16F7" w:rsidRPr="00D17B5B" w:rsidTr="000F2BA7">
        <w:tc>
          <w:tcPr>
            <w:tcW w:w="4927" w:type="dxa"/>
          </w:tcPr>
          <w:p w:rsidR="00FB16F7" w:rsidRPr="00BD6197" w:rsidRDefault="00FB16F7" w:rsidP="000F2BA7">
            <w:pPr>
              <w:tabs>
                <w:tab w:val="clear" w:pos="794"/>
                <w:tab w:val="clear" w:pos="1191"/>
                <w:tab w:val="clear" w:pos="1588"/>
                <w:tab w:val="clear" w:pos="1985"/>
                <w:tab w:val="center" w:leader="dot" w:pos="2835"/>
              </w:tabs>
              <w:rPr>
                <w:lang w:val="en-US"/>
              </w:rPr>
            </w:pPr>
            <w:r w:rsidRPr="00BD6197">
              <w:rPr>
                <w:lang w:val="en-US"/>
              </w:rPr>
              <w:tab/>
            </w:r>
          </w:p>
        </w:tc>
        <w:tc>
          <w:tcPr>
            <w:tcW w:w="4928" w:type="dxa"/>
          </w:tcPr>
          <w:p w:rsidR="00FB16F7" w:rsidRPr="00BD6197" w:rsidRDefault="00FB16F7" w:rsidP="000F2BA7">
            <w:pPr>
              <w:tabs>
                <w:tab w:val="clear" w:pos="794"/>
                <w:tab w:val="clear" w:pos="1191"/>
                <w:tab w:val="clear" w:pos="1588"/>
                <w:tab w:val="clear" w:pos="1985"/>
                <w:tab w:val="center" w:leader="dot" w:pos="2835"/>
              </w:tabs>
              <w:rPr>
                <w:lang w:val="en-US"/>
              </w:rPr>
            </w:pPr>
            <w:r w:rsidRPr="00BD6197">
              <w:rPr>
                <w:lang w:val="en-US"/>
              </w:rPr>
              <w:tab/>
            </w:r>
          </w:p>
        </w:tc>
      </w:tr>
    </w:tbl>
    <w:p w:rsidR="00FB16F7" w:rsidRPr="00BD6197" w:rsidRDefault="00FB16F7" w:rsidP="00FB16F7">
      <w:pPr>
        <w:pStyle w:val="Tablefin"/>
        <w:rPr>
          <w:lang w:val="en-US"/>
        </w:rPr>
      </w:pPr>
    </w:p>
    <w:p w:rsidR="00FB16F7" w:rsidRPr="00BD6197" w:rsidRDefault="00FB16F7" w:rsidP="00FB16F7">
      <w:pPr>
        <w:rPr>
          <w:szCs w:val="24"/>
          <w:lang w:val="en-US"/>
        </w:rPr>
      </w:pPr>
      <w:r w:rsidRPr="00BD6197">
        <w:rPr>
          <w:szCs w:val="24"/>
          <w:lang w:val="en-US"/>
        </w:rPr>
        <w:t>ORDER N°…….. OF…. FIXING AMOUNT OF FEES, TAXES AND CHARGES ON RADIOCOMMUNICATIONS</w:t>
      </w:r>
    </w:p>
    <w:p w:rsidR="00FB16F7" w:rsidRPr="00BD6197" w:rsidRDefault="00FB16F7" w:rsidP="00FB16F7">
      <w:pPr>
        <w:rPr>
          <w:szCs w:val="24"/>
          <w:lang w:val="en-US"/>
        </w:rPr>
      </w:pPr>
      <w:r w:rsidRPr="00BD6197">
        <w:rPr>
          <w:szCs w:val="24"/>
          <w:lang w:val="en-US"/>
        </w:rPr>
        <w:t xml:space="preserve">THE MINISTER OF ECONOMIC INFRASTRUCTURES </w:t>
      </w:r>
    </w:p>
    <w:p w:rsidR="00FB16F7" w:rsidRPr="00BD6197" w:rsidRDefault="00FB16F7" w:rsidP="00FB16F7">
      <w:pPr>
        <w:rPr>
          <w:szCs w:val="24"/>
          <w:lang w:val="en-US"/>
        </w:rPr>
      </w:pPr>
      <w:r w:rsidRPr="00BD6197">
        <w:rPr>
          <w:szCs w:val="24"/>
          <w:lang w:val="en-US"/>
        </w:rPr>
        <w:t>THE MINISTER OF ECONOMY AND FINANCES</w:t>
      </w:r>
    </w:p>
    <w:p w:rsidR="00FB16F7" w:rsidRPr="00BD6197" w:rsidRDefault="00FB16F7" w:rsidP="00FB16F7">
      <w:pPr>
        <w:rPr>
          <w:szCs w:val="24"/>
          <w:lang w:val="en-US"/>
        </w:rPr>
      </w:pPr>
      <w:r w:rsidRPr="00BD6197">
        <w:rPr>
          <w:szCs w:val="24"/>
          <w:lang w:val="en-US"/>
        </w:rPr>
        <w:t>Considering Law N° 95-526 of 7 July 1995 on Telecommunications Code.</w:t>
      </w:r>
    </w:p>
    <w:p w:rsidR="00FB16F7" w:rsidRPr="00BD6197" w:rsidRDefault="00FB16F7" w:rsidP="00FB16F7">
      <w:pPr>
        <w:rPr>
          <w:szCs w:val="24"/>
          <w:lang w:val="en-US"/>
        </w:rPr>
      </w:pPr>
      <w:r w:rsidRPr="00BD6197">
        <w:rPr>
          <w:szCs w:val="24"/>
          <w:lang w:val="en-US"/>
        </w:rPr>
        <w:t>Considering Decree N° 95-554 of 19 July 1995 organizing and fixing the functioning of a Public Entity called Agence des Télécommunications de Côte d’Ivoire (ATCI).</w:t>
      </w:r>
    </w:p>
    <w:p w:rsidR="00FB16F7" w:rsidRPr="00BD6197" w:rsidRDefault="00FB16F7" w:rsidP="00FB16F7">
      <w:pPr>
        <w:rPr>
          <w:szCs w:val="24"/>
          <w:lang w:val="en-US"/>
        </w:rPr>
      </w:pPr>
      <w:r w:rsidRPr="00BD6197">
        <w:rPr>
          <w:szCs w:val="24"/>
          <w:lang w:val="en-US"/>
        </w:rPr>
        <w:t>Considering Decree N° 96-PR/002 of 26 January 1996 appointing members of Government, and modified by Decree N° 96-PR/10 of 10</w:t>
      </w:r>
      <w:r w:rsidRPr="00BD6197">
        <w:rPr>
          <w:szCs w:val="24"/>
          <w:vertAlign w:val="superscript"/>
          <w:lang w:val="en-US"/>
        </w:rPr>
        <w:t>th</w:t>
      </w:r>
      <w:r w:rsidRPr="00BD6197">
        <w:rPr>
          <w:szCs w:val="24"/>
          <w:lang w:val="en-US"/>
        </w:rPr>
        <w:t xml:space="preserve"> August 1996.</w:t>
      </w:r>
    </w:p>
    <w:p w:rsidR="00FB16F7" w:rsidRPr="00BD6197" w:rsidRDefault="00FB16F7" w:rsidP="00FB16F7">
      <w:pPr>
        <w:rPr>
          <w:szCs w:val="24"/>
          <w:lang w:val="en-US"/>
        </w:rPr>
      </w:pPr>
      <w:r w:rsidRPr="00BD6197">
        <w:rPr>
          <w:szCs w:val="24"/>
          <w:lang w:val="en-US"/>
        </w:rPr>
        <w:t>Considering Decree N°… defining fees, taxes and charges on radiocommunications.</w:t>
      </w:r>
    </w:p>
    <w:p w:rsidR="00FB16F7" w:rsidRPr="00BD6197" w:rsidRDefault="00FB16F7" w:rsidP="00FB16F7">
      <w:pPr>
        <w:rPr>
          <w:szCs w:val="24"/>
          <w:lang w:val="en-US"/>
        </w:rPr>
      </w:pPr>
      <w:r w:rsidRPr="00BD6197">
        <w:rPr>
          <w:szCs w:val="24"/>
          <w:lang w:val="en-US"/>
        </w:rPr>
        <w:t>Considering the necessity of service.</w:t>
      </w:r>
    </w:p>
    <w:p w:rsidR="00FB16F7" w:rsidRPr="00BD6197" w:rsidRDefault="00FB16F7" w:rsidP="00FB16F7">
      <w:pPr>
        <w:rPr>
          <w:szCs w:val="24"/>
          <w:lang w:val="en-US"/>
        </w:rPr>
      </w:pPr>
    </w:p>
    <w:p w:rsidR="00FB16F7" w:rsidRPr="00BD6197" w:rsidRDefault="00FB16F7" w:rsidP="00FB16F7">
      <w:pPr>
        <w:jc w:val="center"/>
        <w:rPr>
          <w:b/>
          <w:bCs/>
          <w:sz w:val="28"/>
          <w:szCs w:val="28"/>
          <w:lang w:val="en-US"/>
        </w:rPr>
      </w:pPr>
      <w:r w:rsidRPr="00BD6197">
        <w:rPr>
          <w:b/>
          <w:bCs/>
          <w:sz w:val="28"/>
          <w:szCs w:val="28"/>
          <w:lang w:val="en-US"/>
        </w:rPr>
        <w:t>ORDERS</w:t>
      </w:r>
    </w:p>
    <w:p w:rsidR="00FB16F7" w:rsidRPr="00A01420" w:rsidRDefault="00FB16F7" w:rsidP="00FB16F7">
      <w:pPr>
        <w:pStyle w:val="Headingb"/>
        <w:rPr>
          <w:lang w:val="en-US"/>
        </w:rPr>
      </w:pPr>
      <w:bookmarkStart w:id="2437" w:name="_Toc454285028"/>
      <w:bookmarkStart w:id="2438" w:name="_Toc462234192"/>
      <w:r w:rsidRPr="00A01420">
        <w:rPr>
          <w:lang w:val="en-US"/>
        </w:rPr>
        <w:t>Article 1</w:t>
      </w:r>
      <w:bookmarkEnd w:id="2437"/>
      <w:bookmarkEnd w:id="2438"/>
    </w:p>
    <w:p w:rsidR="00FB16F7" w:rsidRPr="00BD6197" w:rsidRDefault="00FB16F7" w:rsidP="00FB16F7">
      <w:pPr>
        <w:rPr>
          <w:lang w:val="en-US"/>
        </w:rPr>
      </w:pPr>
      <w:r w:rsidRPr="00BD6197">
        <w:rPr>
          <w:lang w:val="en-US"/>
        </w:rPr>
        <w:t>The amount for fees, taxes and charges on radio electricity to be paid in conformity with the rules and regulations in force are fixed in the annex to this Order.</w:t>
      </w:r>
    </w:p>
    <w:p w:rsidR="00FB16F7" w:rsidRPr="00A01420" w:rsidRDefault="00FB16F7" w:rsidP="00FB16F7">
      <w:pPr>
        <w:pStyle w:val="Headingb"/>
        <w:rPr>
          <w:lang w:val="en-US"/>
        </w:rPr>
      </w:pPr>
      <w:bookmarkStart w:id="2439" w:name="_Toc454285029"/>
      <w:bookmarkStart w:id="2440" w:name="_Toc462234193"/>
      <w:r w:rsidRPr="00A01420">
        <w:rPr>
          <w:lang w:val="en-US"/>
        </w:rPr>
        <w:t>Article 2</w:t>
      </w:r>
      <w:bookmarkEnd w:id="2439"/>
      <w:bookmarkEnd w:id="2440"/>
    </w:p>
    <w:p w:rsidR="00FB16F7" w:rsidRPr="00BD6197" w:rsidRDefault="00FB16F7" w:rsidP="00FB16F7">
      <w:pPr>
        <w:rPr>
          <w:lang w:val="en-US"/>
        </w:rPr>
      </w:pPr>
      <w:r w:rsidRPr="00BD6197">
        <w:rPr>
          <w:lang w:val="en-US"/>
        </w:rPr>
        <w:t>The Agence des Télécommunications de Côte d’Ivoire is charged with the responsibility of implementing this Order which will take effect from the date of signature and its publication in the Official Gazette of the Republic of Côte d’Ivoire.</w:t>
      </w:r>
    </w:p>
    <w:p w:rsidR="00FB16F7" w:rsidRPr="00BD6197" w:rsidRDefault="00FB16F7" w:rsidP="00FB16F7">
      <w:pPr>
        <w:rPr>
          <w:lang w:val="en-US"/>
        </w:rPr>
      </w:pPr>
    </w:p>
    <w:p w:rsidR="00FB16F7" w:rsidRPr="00BD6197" w:rsidRDefault="00FB16F7" w:rsidP="00FB16F7">
      <w:pPr>
        <w:jc w:val="center"/>
        <w:rPr>
          <w:lang w:val="en-US"/>
        </w:rPr>
      </w:pPr>
      <w:r w:rsidRPr="00BD6197">
        <w:rPr>
          <w:lang w:val="en-US"/>
        </w:rPr>
        <w:t>Done in Abidjan on ……..</w:t>
      </w:r>
    </w:p>
    <w:p w:rsidR="00FB16F7" w:rsidRPr="00BD6197" w:rsidRDefault="00FB16F7" w:rsidP="00FB16F7">
      <w:pPr>
        <w:tabs>
          <w:tab w:val="left" w:pos="5103"/>
        </w:tabs>
        <w:rPr>
          <w:lang w:val="en-US"/>
        </w:rPr>
      </w:pPr>
    </w:p>
    <w:p w:rsidR="00FB16F7" w:rsidRPr="00BD6197" w:rsidRDefault="00FB16F7" w:rsidP="00FB16F7">
      <w:pPr>
        <w:tabs>
          <w:tab w:val="left" w:pos="5103"/>
        </w:tabs>
        <w:rPr>
          <w:lang w:val="en-US"/>
        </w:rPr>
      </w:pPr>
      <w:r w:rsidRPr="00BD6197">
        <w:rPr>
          <w:lang w:val="en-US"/>
        </w:rPr>
        <w:t>The Minister of Economic Infrastructures</w:t>
      </w:r>
      <w:r w:rsidRPr="00BD6197">
        <w:rPr>
          <w:lang w:val="en-US"/>
        </w:rPr>
        <w:tab/>
        <w:t>The Minister of Economy and Finances</w:t>
      </w:r>
    </w:p>
    <w:p w:rsidR="00FB16F7" w:rsidRPr="00BD6197" w:rsidRDefault="00FB16F7" w:rsidP="00FB16F7">
      <w:pPr>
        <w:tabs>
          <w:tab w:val="clear" w:pos="794"/>
          <w:tab w:val="clear" w:pos="1191"/>
          <w:tab w:val="clear" w:pos="1588"/>
          <w:tab w:val="clear" w:pos="1985"/>
          <w:tab w:val="left" w:pos="5103"/>
        </w:tabs>
        <w:rPr>
          <w:lang w:val="en-US"/>
        </w:rPr>
      </w:pPr>
      <w:r w:rsidRPr="00BD6197">
        <w:rPr>
          <w:lang w:val="en-US"/>
        </w:rPr>
        <w:t>AKELE Ezan</w:t>
      </w:r>
      <w:r w:rsidRPr="00BD6197">
        <w:rPr>
          <w:lang w:val="en-US"/>
        </w:rPr>
        <w:tab/>
        <w:t>N’Goran NIAMIEN</w:t>
      </w:r>
    </w:p>
    <w:p w:rsidR="00FB16F7" w:rsidRPr="00BD6197" w:rsidRDefault="00FB16F7" w:rsidP="00FB16F7">
      <w:pPr>
        <w:keepNext/>
        <w:keepLines/>
        <w:jc w:val="center"/>
        <w:rPr>
          <w:lang w:val="en-US"/>
        </w:rPr>
      </w:pPr>
      <w:r w:rsidRPr="00BD6197">
        <w:rPr>
          <w:lang w:val="en-US"/>
        </w:rPr>
        <w:lastRenderedPageBreak/>
        <w:t>AMOUNT OF FEES, TAXES AND CHARGES ON RADIOELECTRICITY</w:t>
      </w:r>
    </w:p>
    <w:p w:rsidR="00FB16F7" w:rsidRPr="00BD6197" w:rsidRDefault="00FB16F7" w:rsidP="00FB16F7">
      <w:pPr>
        <w:pStyle w:val="Heading1"/>
        <w:rPr>
          <w:lang w:val="en-US"/>
        </w:rPr>
      </w:pPr>
      <w:bookmarkStart w:id="2441" w:name="_Toc289868889"/>
      <w:bookmarkStart w:id="2442" w:name="_Toc289869048"/>
      <w:bookmarkStart w:id="2443" w:name="_Toc289932354"/>
      <w:bookmarkStart w:id="2444" w:name="_Toc289933402"/>
      <w:bookmarkStart w:id="2445" w:name="_Toc291852965"/>
      <w:bookmarkStart w:id="2446" w:name="_Toc392515949"/>
      <w:bookmarkStart w:id="2447" w:name="_Toc454285030"/>
      <w:bookmarkStart w:id="2448" w:name="_Toc462234194"/>
      <w:bookmarkStart w:id="2449" w:name="_Toc518394285"/>
      <w:r w:rsidRPr="00BD6197">
        <w:rPr>
          <w:lang w:val="en-US"/>
        </w:rPr>
        <w:t>A.</w:t>
      </w:r>
      <w:r w:rsidRPr="00BD6197">
        <w:rPr>
          <w:lang w:val="en-US"/>
        </w:rPr>
        <w:tab/>
        <w:t>TERRESTRIAL RADIOCOMMUNICATION SERVICES</w:t>
      </w:r>
      <w:bookmarkEnd w:id="2441"/>
      <w:bookmarkEnd w:id="2442"/>
      <w:bookmarkEnd w:id="2443"/>
      <w:bookmarkEnd w:id="2444"/>
      <w:bookmarkEnd w:id="2445"/>
      <w:bookmarkEnd w:id="2446"/>
      <w:bookmarkEnd w:id="2447"/>
      <w:bookmarkEnd w:id="2448"/>
      <w:bookmarkEnd w:id="244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48"/>
        <w:gridCol w:w="1161"/>
        <w:gridCol w:w="1229"/>
        <w:gridCol w:w="1501"/>
        <w:gridCol w:w="1500"/>
      </w:tblGrid>
      <w:tr w:rsidR="00FB16F7" w:rsidRPr="00D17B5B" w:rsidTr="00A37097">
        <w:trPr>
          <w:tblHeader/>
          <w:jc w:val="center"/>
        </w:trPr>
        <w:tc>
          <w:tcPr>
            <w:tcW w:w="4248" w:type="dxa"/>
            <w:vAlign w:val="center"/>
          </w:tcPr>
          <w:p w:rsidR="00FB16F7" w:rsidRPr="00A37097" w:rsidRDefault="00FB16F7" w:rsidP="000F2BA7">
            <w:pPr>
              <w:pStyle w:val="Tablehead"/>
              <w:rPr>
                <w:sz w:val="16"/>
                <w:szCs w:val="16"/>
                <w:lang w:val="en-US"/>
              </w:rPr>
            </w:pPr>
            <w:r w:rsidRPr="00A37097">
              <w:rPr>
                <w:sz w:val="16"/>
                <w:szCs w:val="16"/>
                <w:lang w:val="en-US"/>
              </w:rPr>
              <w:t>NETWORKS OR STATIONS</w:t>
            </w:r>
          </w:p>
        </w:tc>
        <w:tc>
          <w:tcPr>
            <w:tcW w:w="1161" w:type="dxa"/>
            <w:vAlign w:val="center"/>
          </w:tcPr>
          <w:p w:rsidR="00FB16F7" w:rsidRPr="00A37097" w:rsidRDefault="00FB16F7" w:rsidP="000F2BA7">
            <w:pPr>
              <w:pStyle w:val="Tablehead"/>
              <w:rPr>
                <w:sz w:val="16"/>
                <w:szCs w:val="16"/>
                <w:lang w:val="en-US"/>
              </w:rPr>
            </w:pPr>
            <w:r w:rsidRPr="00A37097">
              <w:rPr>
                <w:sz w:val="16"/>
                <w:szCs w:val="16"/>
                <w:lang w:val="en-US"/>
              </w:rPr>
              <w:t>Fees for compilation of file</w:t>
            </w:r>
          </w:p>
        </w:tc>
        <w:tc>
          <w:tcPr>
            <w:tcW w:w="1229" w:type="dxa"/>
            <w:vAlign w:val="center"/>
          </w:tcPr>
          <w:p w:rsidR="00FB16F7" w:rsidRPr="00A37097" w:rsidRDefault="00FB16F7" w:rsidP="000F2BA7">
            <w:pPr>
              <w:pStyle w:val="Tablehead"/>
              <w:rPr>
                <w:sz w:val="16"/>
                <w:szCs w:val="16"/>
                <w:lang w:val="en-US"/>
              </w:rPr>
            </w:pPr>
            <w:r w:rsidRPr="00A37097">
              <w:rPr>
                <w:sz w:val="16"/>
                <w:szCs w:val="16"/>
                <w:lang w:val="en-US"/>
              </w:rPr>
              <w:t>Fees for visiting or control of stations in CFA</w:t>
            </w:r>
          </w:p>
        </w:tc>
        <w:tc>
          <w:tcPr>
            <w:tcW w:w="1501" w:type="dxa"/>
            <w:vAlign w:val="center"/>
          </w:tcPr>
          <w:p w:rsidR="00FB16F7" w:rsidRPr="00A37097" w:rsidRDefault="00FB16F7" w:rsidP="000F2BA7">
            <w:pPr>
              <w:pStyle w:val="Tablehead"/>
              <w:ind w:left="-57" w:right="-57"/>
              <w:rPr>
                <w:sz w:val="16"/>
                <w:szCs w:val="16"/>
                <w:lang w:val="en-US"/>
              </w:rPr>
            </w:pPr>
            <w:r w:rsidRPr="00A37097">
              <w:rPr>
                <w:sz w:val="16"/>
                <w:szCs w:val="16"/>
                <w:lang w:val="en-US"/>
              </w:rPr>
              <w:t xml:space="preserve">Contribution </w:t>
            </w:r>
            <w:r w:rsidRPr="00A37097">
              <w:rPr>
                <w:sz w:val="16"/>
                <w:szCs w:val="16"/>
                <w:lang w:val="en-US"/>
              </w:rPr>
              <w:br/>
              <w:t>to management costs</w:t>
            </w:r>
          </w:p>
        </w:tc>
        <w:tc>
          <w:tcPr>
            <w:tcW w:w="1500" w:type="dxa"/>
            <w:vAlign w:val="center"/>
          </w:tcPr>
          <w:p w:rsidR="00FB16F7" w:rsidRPr="00A37097" w:rsidRDefault="00FB16F7" w:rsidP="000F2BA7">
            <w:pPr>
              <w:pStyle w:val="Tablehead"/>
              <w:rPr>
                <w:sz w:val="16"/>
                <w:szCs w:val="16"/>
                <w:lang w:val="en-US"/>
              </w:rPr>
            </w:pPr>
            <w:r w:rsidRPr="00A37097">
              <w:rPr>
                <w:sz w:val="16"/>
                <w:szCs w:val="16"/>
                <w:lang w:val="en-US"/>
              </w:rPr>
              <w:t>Charges for use of frequency or radioelectric channel</w:t>
            </w:r>
          </w:p>
        </w:tc>
      </w:tr>
      <w:tr w:rsidR="00BC3845" w:rsidRPr="00D17B5B" w:rsidTr="00A37097">
        <w:trPr>
          <w:jc w:val="center"/>
        </w:trPr>
        <w:tc>
          <w:tcPr>
            <w:tcW w:w="4248" w:type="dxa"/>
          </w:tcPr>
          <w:p w:rsidR="00BC3845" w:rsidRPr="00A37097" w:rsidRDefault="003A1BC2" w:rsidP="000F2BA7">
            <w:pPr>
              <w:pStyle w:val="Tabletext"/>
              <w:rPr>
                <w:sz w:val="16"/>
                <w:szCs w:val="16"/>
                <w:lang w:val="en-US"/>
              </w:rPr>
            </w:pPr>
            <w:r>
              <w:rPr>
                <w:sz w:val="16"/>
                <w:szCs w:val="16"/>
                <w:lang w:val="en-US"/>
              </w:rPr>
              <w:t>I</w:t>
            </w:r>
            <w:r>
              <w:rPr>
                <w:sz w:val="16"/>
                <w:szCs w:val="16"/>
                <w:lang w:val="en-US"/>
              </w:rPr>
              <w:tab/>
            </w:r>
            <w:r w:rsidR="00BC3845" w:rsidRPr="00A37097">
              <w:rPr>
                <w:sz w:val="16"/>
                <w:szCs w:val="16"/>
                <w:lang w:val="en-US"/>
              </w:rPr>
              <w:t xml:space="preserve">FIXED NETWORKS AND INDEPENDENT MOBILE TERRESTRIAL NETWORKS FOR PRIVATE USE </w:t>
            </w:r>
            <w:r>
              <w:rPr>
                <w:sz w:val="16"/>
                <w:szCs w:val="16"/>
                <w:lang w:val="en-US"/>
              </w:rPr>
              <w:br/>
            </w:r>
            <w:r w:rsidR="00BC3845" w:rsidRPr="00A37097">
              <w:rPr>
                <w:sz w:val="16"/>
                <w:szCs w:val="16"/>
                <w:lang w:val="en-US"/>
              </w:rPr>
              <w:t>(Non profitable services)</w:t>
            </w:r>
          </w:p>
        </w:tc>
        <w:tc>
          <w:tcPr>
            <w:tcW w:w="1161" w:type="dxa"/>
          </w:tcPr>
          <w:p w:rsidR="00BC3845" w:rsidRPr="00A37097" w:rsidRDefault="00BC3845" w:rsidP="000F2BA7">
            <w:pPr>
              <w:pStyle w:val="Tabletext"/>
              <w:rPr>
                <w:sz w:val="16"/>
                <w:szCs w:val="16"/>
                <w:lang w:val="en-US"/>
              </w:rPr>
            </w:pPr>
          </w:p>
        </w:tc>
        <w:tc>
          <w:tcPr>
            <w:tcW w:w="1229" w:type="dxa"/>
          </w:tcPr>
          <w:p w:rsidR="00BC3845" w:rsidRPr="00A37097" w:rsidRDefault="00BC3845" w:rsidP="000F2BA7">
            <w:pPr>
              <w:pStyle w:val="Tabletext"/>
              <w:rPr>
                <w:sz w:val="16"/>
                <w:szCs w:val="16"/>
                <w:lang w:val="en-US"/>
              </w:rPr>
            </w:pPr>
          </w:p>
        </w:tc>
        <w:tc>
          <w:tcPr>
            <w:tcW w:w="1501" w:type="dxa"/>
          </w:tcPr>
          <w:p w:rsidR="00BC3845" w:rsidRPr="00A37097" w:rsidRDefault="00BC3845" w:rsidP="000F2BA7">
            <w:pPr>
              <w:pStyle w:val="Tabletext"/>
              <w:rPr>
                <w:sz w:val="16"/>
                <w:szCs w:val="16"/>
                <w:lang w:val="en-US"/>
              </w:rPr>
            </w:pPr>
          </w:p>
        </w:tc>
        <w:tc>
          <w:tcPr>
            <w:tcW w:w="1500" w:type="dxa"/>
          </w:tcPr>
          <w:p w:rsidR="00BC3845" w:rsidRPr="00A37097" w:rsidRDefault="00BC3845" w:rsidP="000F2BA7">
            <w:pPr>
              <w:pStyle w:val="Tabletext"/>
              <w:rPr>
                <w:sz w:val="16"/>
                <w:szCs w:val="16"/>
                <w:lang w:val="en-US"/>
              </w:rPr>
            </w:pPr>
          </w:p>
        </w:tc>
      </w:tr>
      <w:tr w:rsidR="00BC3845" w:rsidRPr="00A37097" w:rsidTr="00A37097">
        <w:trPr>
          <w:jc w:val="center"/>
        </w:trPr>
        <w:tc>
          <w:tcPr>
            <w:tcW w:w="4248" w:type="dxa"/>
          </w:tcPr>
          <w:p w:rsidR="00BC3845" w:rsidRPr="00A37097" w:rsidRDefault="003A1BC2" w:rsidP="00BC3845">
            <w:pPr>
              <w:pStyle w:val="Tabletext"/>
              <w:rPr>
                <w:sz w:val="16"/>
                <w:szCs w:val="16"/>
                <w:lang w:val="en-US"/>
              </w:rPr>
            </w:pPr>
            <w:r>
              <w:rPr>
                <w:sz w:val="16"/>
                <w:szCs w:val="16"/>
                <w:lang w:val="en-US"/>
              </w:rPr>
              <w:t>I</w:t>
            </w:r>
            <w:r w:rsidR="00BC3845" w:rsidRPr="00A37097">
              <w:rPr>
                <w:sz w:val="16"/>
                <w:szCs w:val="16"/>
                <w:lang w:val="en-US"/>
              </w:rPr>
              <w:t>.1 – VHF/UHF Radioelectric network</w:t>
            </w:r>
          </w:p>
          <w:p w:rsidR="00BC3845" w:rsidRPr="00A37097" w:rsidRDefault="00BC3845" w:rsidP="00BC3845">
            <w:pPr>
              <w:pStyle w:val="Tabletext"/>
              <w:rPr>
                <w:sz w:val="16"/>
                <w:szCs w:val="16"/>
                <w:lang w:val="en-US"/>
              </w:rPr>
            </w:pPr>
            <w:r w:rsidRPr="00A37097">
              <w:rPr>
                <w:sz w:val="16"/>
                <w:szCs w:val="16"/>
                <w:lang w:val="en-US"/>
              </w:rPr>
              <w:tab/>
              <w:t>(Bandwidth = 12.5 KHz)</w:t>
            </w:r>
          </w:p>
        </w:tc>
        <w:tc>
          <w:tcPr>
            <w:tcW w:w="1161" w:type="dxa"/>
          </w:tcPr>
          <w:p w:rsidR="00BC3845" w:rsidRPr="00A37097" w:rsidRDefault="003A1BC2" w:rsidP="000F2BA7">
            <w:pPr>
              <w:pStyle w:val="Tabletext"/>
              <w:rPr>
                <w:sz w:val="16"/>
                <w:szCs w:val="16"/>
                <w:lang w:val="en-US"/>
              </w:rPr>
            </w:pPr>
            <w:r w:rsidRPr="00A37097">
              <w:rPr>
                <w:sz w:val="16"/>
                <w:szCs w:val="16"/>
                <w:lang w:val="en-US"/>
              </w:rPr>
              <w:t>11 600</w:t>
            </w:r>
          </w:p>
        </w:tc>
        <w:tc>
          <w:tcPr>
            <w:tcW w:w="1229" w:type="dxa"/>
          </w:tcPr>
          <w:p w:rsidR="00BC3845" w:rsidRPr="00A37097" w:rsidRDefault="00BC3845" w:rsidP="000F2BA7">
            <w:pPr>
              <w:pStyle w:val="Tabletext"/>
              <w:rPr>
                <w:sz w:val="16"/>
                <w:szCs w:val="16"/>
                <w:lang w:val="en-US"/>
              </w:rPr>
            </w:pPr>
          </w:p>
        </w:tc>
        <w:tc>
          <w:tcPr>
            <w:tcW w:w="1501" w:type="dxa"/>
          </w:tcPr>
          <w:p w:rsidR="00BC3845" w:rsidRPr="00A37097" w:rsidRDefault="00BC3845" w:rsidP="000F2BA7">
            <w:pPr>
              <w:pStyle w:val="Tabletext"/>
              <w:rPr>
                <w:sz w:val="16"/>
                <w:szCs w:val="16"/>
                <w:lang w:val="en-US"/>
              </w:rPr>
            </w:pPr>
          </w:p>
        </w:tc>
        <w:tc>
          <w:tcPr>
            <w:tcW w:w="1500" w:type="dxa"/>
          </w:tcPr>
          <w:p w:rsidR="00BC3845" w:rsidRPr="00A37097" w:rsidRDefault="00BC3845" w:rsidP="000F2BA7">
            <w:pPr>
              <w:pStyle w:val="Tabletext"/>
              <w:rPr>
                <w:sz w:val="16"/>
                <w:szCs w:val="16"/>
                <w:lang w:val="en-US"/>
              </w:rPr>
            </w:pPr>
          </w:p>
        </w:tc>
      </w:tr>
      <w:tr w:rsidR="00BC3845" w:rsidRPr="00A37097" w:rsidTr="00A37097">
        <w:trPr>
          <w:jc w:val="center"/>
        </w:trPr>
        <w:tc>
          <w:tcPr>
            <w:tcW w:w="4248" w:type="dxa"/>
          </w:tcPr>
          <w:p w:rsidR="00BC3845" w:rsidRPr="00A37097" w:rsidRDefault="00BC3845" w:rsidP="00BC3845">
            <w:pPr>
              <w:pStyle w:val="Tabletext"/>
              <w:rPr>
                <w:sz w:val="16"/>
                <w:szCs w:val="16"/>
                <w:lang w:val="en-US"/>
              </w:rPr>
            </w:pPr>
            <w:r w:rsidRPr="00A37097">
              <w:rPr>
                <w:sz w:val="16"/>
                <w:szCs w:val="16"/>
                <w:lang w:val="en-US"/>
              </w:rPr>
              <w:t>a1. Transmitter power equal or less than 10 W</w:t>
            </w:r>
          </w:p>
          <w:p w:rsidR="00BC3845" w:rsidRPr="00A37097" w:rsidRDefault="00BC3845" w:rsidP="00BC3845">
            <w:pPr>
              <w:pStyle w:val="Tabletext"/>
              <w:rPr>
                <w:sz w:val="16"/>
                <w:szCs w:val="16"/>
                <w:lang w:val="en-US"/>
              </w:rPr>
            </w:pPr>
            <w:r w:rsidRPr="00A37097">
              <w:rPr>
                <w:sz w:val="16"/>
                <w:szCs w:val="16"/>
                <w:lang w:val="en-US"/>
              </w:rPr>
              <w:t>a2. Transmitter power between 10 and 25 W</w:t>
            </w:r>
          </w:p>
          <w:p w:rsidR="00BC3845" w:rsidRPr="00A37097" w:rsidRDefault="00BC3845" w:rsidP="00BC3845">
            <w:pPr>
              <w:pStyle w:val="Tabletext"/>
              <w:rPr>
                <w:sz w:val="16"/>
                <w:szCs w:val="16"/>
                <w:lang w:val="en-US"/>
              </w:rPr>
            </w:pPr>
            <w:r w:rsidRPr="00A37097">
              <w:rPr>
                <w:sz w:val="16"/>
                <w:szCs w:val="16"/>
                <w:lang w:val="en-US"/>
              </w:rPr>
              <w:t>a3. Transmitter power above 25 W</w:t>
            </w:r>
          </w:p>
        </w:tc>
        <w:tc>
          <w:tcPr>
            <w:tcW w:w="1161" w:type="dxa"/>
          </w:tcPr>
          <w:p w:rsidR="00BC3845" w:rsidRPr="00A37097" w:rsidRDefault="00BC3845" w:rsidP="000F2BA7">
            <w:pPr>
              <w:pStyle w:val="Tabletext"/>
              <w:rPr>
                <w:sz w:val="16"/>
                <w:szCs w:val="16"/>
                <w:lang w:val="en-US"/>
              </w:rPr>
            </w:pPr>
          </w:p>
        </w:tc>
        <w:tc>
          <w:tcPr>
            <w:tcW w:w="1229" w:type="dxa"/>
          </w:tcPr>
          <w:p w:rsidR="00BC3845" w:rsidRPr="00A37097" w:rsidRDefault="00BC3845" w:rsidP="00BC3845">
            <w:pPr>
              <w:pStyle w:val="Tabletext"/>
              <w:rPr>
                <w:sz w:val="16"/>
                <w:szCs w:val="16"/>
                <w:lang w:val="en-US"/>
              </w:rPr>
            </w:pPr>
            <w:r w:rsidRPr="00A37097">
              <w:rPr>
                <w:sz w:val="16"/>
                <w:szCs w:val="16"/>
                <w:lang w:val="en-US"/>
              </w:rPr>
              <w:t>87 000</w:t>
            </w:r>
          </w:p>
          <w:p w:rsidR="00BC3845" w:rsidRPr="00A37097" w:rsidRDefault="00BC3845" w:rsidP="00BC3845">
            <w:pPr>
              <w:pStyle w:val="Tabletext"/>
              <w:rPr>
                <w:sz w:val="16"/>
                <w:szCs w:val="16"/>
                <w:lang w:val="en-US"/>
              </w:rPr>
            </w:pPr>
            <w:r w:rsidRPr="00A37097">
              <w:rPr>
                <w:sz w:val="16"/>
                <w:szCs w:val="16"/>
                <w:lang w:val="en-US"/>
              </w:rPr>
              <w:t>14 500</w:t>
            </w:r>
          </w:p>
          <w:p w:rsidR="00BC3845" w:rsidRPr="00A37097" w:rsidRDefault="00BC3845" w:rsidP="00BC3845">
            <w:pPr>
              <w:pStyle w:val="Tabletext"/>
              <w:rPr>
                <w:sz w:val="16"/>
                <w:szCs w:val="16"/>
                <w:lang w:val="en-US"/>
              </w:rPr>
            </w:pPr>
            <w:r w:rsidRPr="00A37097">
              <w:rPr>
                <w:sz w:val="16"/>
                <w:szCs w:val="16"/>
                <w:lang w:val="en-US"/>
              </w:rPr>
              <w:t>58 000</w:t>
            </w:r>
          </w:p>
        </w:tc>
        <w:tc>
          <w:tcPr>
            <w:tcW w:w="1501" w:type="dxa"/>
          </w:tcPr>
          <w:p w:rsidR="00BC3845" w:rsidRPr="00A37097" w:rsidRDefault="00BC3845" w:rsidP="000F2BA7">
            <w:pPr>
              <w:pStyle w:val="Tabletext"/>
              <w:rPr>
                <w:sz w:val="16"/>
                <w:szCs w:val="16"/>
                <w:lang w:val="en-US"/>
              </w:rPr>
            </w:pPr>
          </w:p>
        </w:tc>
        <w:tc>
          <w:tcPr>
            <w:tcW w:w="1500" w:type="dxa"/>
          </w:tcPr>
          <w:p w:rsidR="00BC3845" w:rsidRPr="00A37097" w:rsidRDefault="00BC3845" w:rsidP="000F2BA7">
            <w:pPr>
              <w:pStyle w:val="Tabletext"/>
              <w:rPr>
                <w:sz w:val="16"/>
                <w:szCs w:val="16"/>
                <w:lang w:val="en-US"/>
              </w:rPr>
            </w:pPr>
          </w:p>
        </w:tc>
      </w:tr>
      <w:tr w:rsidR="00BC3845" w:rsidRPr="00A37097" w:rsidTr="00A37097">
        <w:trPr>
          <w:jc w:val="center"/>
        </w:trPr>
        <w:tc>
          <w:tcPr>
            <w:tcW w:w="4248" w:type="dxa"/>
          </w:tcPr>
          <w:p w:rsidR="00BC3845" w:rsidRPr="00A37097" w:rsidRDefault="00BC3845" w:rsidP="00BC3845">
            <w:pPr>
              <w:pStyle w:val="Tabletext"/>
              <w:rPr>
                <w:sz w:val="16"/>
                <w:szCs w:val="16"/>
                <w:lang w:val="en-US"/>
              </w:rPr>
            </w:pPr>
            <w:r w:rsidRPr="00A37097">
              <w:rPr>
                <w:sz w:val="16"/>
                <w:szCs w:val="16"/>
                <w:lang w:val="en-US"/>
              </w:rPr>
              <w:t>b1. Local links with no relay (less than 10 km)</w:t>
            </w:r>
          </w:p>
          <w:p w:rsidR="00BC3845" w:rsidRPr="00A37097" w:rsidRDefault="00BC3845" w:rsidP="00BC3845">
            <w:pPr>
              <w:pStyle w:val="Tabletext"/>
              <w:rPr>
                <w:sz w:val="16"/>
                <w:szCs w:val="16"/>
                <w:lang w:val="en-US"/>
              </w:rPr>
            </w:pPr>
            <w:r w:rsidRPr="00A37097">
              <w:rPr>
                <w:sz w:val="16"/>
                <w:szCs w:val="16"/>
                <w:lang w:val="en-US"/>
              </w:rPr>
              <w:t>b2. Local links with relay (less than 25 km)</w:t>
            </w:r>
          </w:p>
          <w:p w:rsidR="00BC3845" w:rsidRPr="00A37097" w:rsidRDefault="00BC3845" w:rsidP="00BC3845">
            <w:pPr>
              <w:pStyle w:val="Tabletext"/>
              <w:rPr>
                <w:sz w:val="16"/>
                <w:szCs w:val="16"/>
                <w:lang w:val="en-US"/>
              </w:rPr>
            </w:pPr>
            <w:r w:rsidRPr="00A37097">
              <w:rPr>
                <w:sz w:val="16"/>
                <w:szCs w:val="16"/>
                <w:lang w:val="en-US"/>
              </w:rPr>
              <w:t>b3. Local links in Abidjan</w:t>
            </w:r>
          </w:p>
        </w:tc>
        <w:tc>
          <w:tcPr>
            <w:tcW w:w="1161" w:type="dxa"/>
          </w:tcPr>
          <w:p w:rsidR="00BC3845" w:rsidRPr="00A37097" w:rsidRDefault="00BC3845" w:rsidP="000F2BA7">
            <w:pPr>
              <w:pStyle w:val="Tabletext"/>
              <w:rPr>
                <w:sz w:val="16"/>
                <w:szCs w:val="16"/>
                <w:lang w:val="en-US"/>
              </w:rPr>
            </w:pPr>
          </w:p>
        </w:tc>
        <w:tc>
          <w:tcPr>
            <w:tcW w:w="1229" w:type="dxa"/>
          </w:tcPr>
          <w:p w:rsidR="00BC3845" w:rsidRPr="00A37097" w:rsidRDefault="00BC3845" w:rsidP="000F2BA7">
            <w:pPr>
              <w:pStyle w:val="Tabletext"/>
              <w:rPr>
                <w:sz w:val="16"/>
                <w:szCs w:val="16"/>
                <w:lang w:val="en-US"/>
              </w:rPr>
            </w:pPr>
          </w:p>
        </w:tc>
        <w:tc>
          <w:tcPr>
            <w:tcW w:w="1501" w:type="dxa"/>
          </w:tcPr>
          <w:p w:rsidR="00BC3845" w:rsidRPr="00A37097" w:rsidRDefault="00BC3845" w:rsidP="000F2BA7">
            <w:pPr>
              <w:pStyle w:val="Tabletext"/>
              <w:rPr>
                <w:sz w:val="16"/>
                <w:szCs w:val="16"/>
                <w:lang w:val="en-US"/>
              </w:rPr>
            </w:pPr>
          </w:p>
        </w:tc>
        <w:tc>
          <w:tcPr>
            <w:tcW w:w="1500" w:type="dxa"/>
          </w:tcPr>
          <w:p w:rsidR="00BC3845" w:rsidRPr="00A37097" w:rsidRDefault="00BC3845" w:rsidP="00BC3845">
            <w:pPr>
              <w:pStyle w:val="Tabletext"/>
              <w:rPr>
                <w:sz w:val="16"/>
                <w:szCs w:val="16"/>
                <w:lang w:val="en-US"/>
              </w:rPr>
            </w:pPr>
            <w:r w:rsidRPr="00A37097">
              <w:rPr>
                <w:sz w:val="16"/>
                <w:szCs w:val="16"/>
                <w:lang w:val="en-US"/>
              </w:rPr>
              <w:t>1 450 000</w:t>
            </w:r>
          </w:p>
          <w:p w:rsidR="00BC3845" w:rsidRPr="00A37097" w:rsidRDefault="00BC3845" w:rsidP="00BC3845">
            <w:pPr>
              <w:pStyle w:val="Tabletext"/>
              <w:rPr>
                <w:sz w:val="16"/>
                <w:szCs w:val="16"/>
                <w:lang w:val="en-US"/>
              </w:rPr>
            </w:pPr>
            <w:r w:rsidRPr="00A37097">
              <w:rPr>
                <w:sz w:val="16"/>
                <w:szCs w:val="16"/>
                <w:lang w:val="en-US"/>
              </w:rPr>
              <w:t>362 500</w:t>
            </w:r>
          </w:p>
          <w:p w:rsidR="00BC3845" w:rsidRPr="00A37097" w:rsidRDefault="00BC3845" w:rsidP="00BC3845">
            <w:pPr>
              <w:pStyle w:val="Tabletext"/>
              <w:rPr>
                <w:sz w:val="16"/>
                <w:szCs w:val="16"/>
                <w:lang w:val="en-US"/>
              </w:rPr>
            </w:pPr>
            <w:r w:rsidRPr="00A37097">
              <w:rPr>
                <w:sz w:val="16"/>
                <w:szCs w:val="16"/>
                <w:lang w:val="en-US"/>
              </w:rPr>
              <w:t>Double above taxes</w:t>
            </w:r>
          </w:p>
        </w:tc>
      </w:tr>
      <w:tr w:rsidR="00BC3845" w:rsidRPr="00A37097" w:rsidTr="00A37097">
        <w:trPr>
          <w:jc w:val="center"/>
        </w:trPr>
        <w:tc>
          <w:tcPr>
            <w:tcW w:w="4248" w:type="dxa"/>
          </w:tcPr>
          <w:p w:rsidR="00BC3845" w:rsidRPr="00A37097" w:rsidRDefault="00BC3845" w:rsidP="00BC3845">
            <w:pPr>
              <w:pStyle w:val="Tabletext"/>
              <w:rPr>
                <w:sz w:val="16"/>
                <w:szCs w:val="16"/>
                <w:lang w:val="en-US"/>
              </w:rPr>
            </w:pPr>
            <w:r w:rsidRPr="00A37097">
              <w:rPr>
                <w:sz w:val="16"/>
                <w:szCs w:val="16"/>
                <w:lang w:val="en-US"/>
              </w:rPr>
              <w:t>c1. Network with less than 10 sets in Abidjan</w:t>
            </w:r>
          </w:p>
          <w:p w:rsidR="00BC3845" w:rsidRPr="00A37097" w:rsidRDefault="00BC3845" w:rsidP="00BC3845">
            <w:pPr>
              <w:pStyle w:val="Tabletext"/>
              <w:rPr>
                <w:sz w:val="16"/>
                <w:szCs w:val="16"/>
                <w:lang w:val="en-US"/>
              </w:rPr>
            </w:pPr>
            <w:r w:rsidRPr="00A37097">
              <w:rPr>
                <w:sz w:val="16"/>
                <w:szCs w:val="16"/>
                <w:lang w:val="en-US"/>
              </w:rPr>
              <w:t>c2. Network with 10 to 50 sets in Abidjan</w:t>
            </w:r>
          </w:p>
          <w:p w:rsidR="00BC3845" w:rsidRPr="00A37097" w:rsidRDefault="00BC3845" w:rsidP="00BC3845">
            <w:pPr>
              <w:pStyle w:val="Tabletext"/>
              <w:rPr>
                <w:sz w:val="16"/>
                <w:szCs w:val="16"/>
                <w:lang w:val="en-US"/>
              </w:rPr>
            </w:pPr>
            <w:r w:rsidRPr="00A37097">
              <w:rPr>
                <w:sz w:val="16"/>
                <w:szCs w:val="16"/>
                <w:lang w:val="en-US"/>
              </w:rPr>
              <w:t>c3. Network with more than 50 sets in Abidjan</w:t>
            </w:r>
          </w:p>
          <w:p w:rsidR="00BC3845" w:rsidRPr="00A37097" w:rsidRDefault="00BC3845" w:rsidP="00BC3845">
            <w:pPr>
              <w:pStyle w:val="Tabletext"/>
              <w:rPr>
                <w:sz w:val="16"/>
                <w:szCs w:val="16"/>
                <w:lang w:val="en-US"/>
              </w:rPr>
            </w:pPr>
            <w:r w:rsidRPr="00A37097">
              <w:rPr>
                <w:sz w:val="16"/>
                <w:szCs w:val="16"/>
                <w:lang w:val="en-US"/>
              </w:rPr>
              <w:t>c4. Network outside Abidjan</w:t>
            </w:r>
          </w:p>
        </w:tc>
        <w:tc>
          <w:tcPr>
            <w:tcW w:w="1161" w:type="dxa"/>
          </w:tcPr>
          <w:p w:rsidR="00BC3845" w:rsidRPr="00A37097" w:rsidRDefault="00BC3845" w:rsidP="000F2BA7">
            <w:pPr>
              <w:pStyle w:val="Tabletext"/>
              <w:rPr>
                <w:sz w:val="16"/>
                <w:szCs w:val="16"/>
                <w:lang w:val="en-US"/>
              </w:rPr>
            </w:pPr>
          </w:p>
        </w:tc>
        <w:tc>
          <w:tcPr>
            <w:tcW w:w="1229" w:type="dxa"/>
          </w:tcPr>
          <w:p w:rsidR="00BC3845" w:rsidRPr="00A37097" w:rsidRDefault="00BC3845" w:rsidP="000F2BA7">
            <w:pPr>
              <w:pStyle w:val="Tabletext"/>
              <w:rPr>
                <w:sz w:val="16"/>
                <w:szCs w:val="16"/>
                <w:lang w:val="en-US"/>
              </w:rPr>
            </w:pPr>
          </w:p>
        </w:tc>
        <w:tc>
          <w:tcPr>
            <w:tcW w:w="1501" w:type="dxa"/>
          </w:tcPr>
          <w:p w:rsidR="00BC3845" w:rsidRPr="00A37097" w:rsidRDefault="00BC3845" w:rsidP="00BC3845">
            <w:pPr>
              <w:pStyle w:val="Tabletext"/>
              <w:rPr>
                <w:sz w:val="16"/>
                <w:szCs w:val="16"/>
                <w:lang w:val="en-US"/>
              </w:rPr>
            </w:pPr>
            <w:r w:rsidRPr="00A37097">
              <w:rPr>
                <w:sz w:val="16"/>
                <w:szCs w:val="16"/>
                <w:lang w:val="en-US"/>
              </w:rPr>
              <w:t>290 000</w:t>
            </w:r>
          </w:p>
          <w:p w:rsidR="00BC3845" w:rsidRPr="00A37097" w:rsidRDefault="00BC3845" w:rsidP="00BC3845">
            <w:pPr>
              <w:pStyle w:val="Tabletext"/>
              <w:rPr>
                <w:sz w:val="16"/>
                <w:szCs w:val="16"/>
                <w:lang w:val="en-US"/>
              </w:rPr>
            </w:pPr>
            <w:r w:rsidRPr="00A37097">
              <w:rPr>
                <w:sz w:val="16"/>
                <w:szCs w:val="16"/>
                <w:lang w:val="en-US"/>
              </w:rPr>
              <w:t>145 000</w:t>
            </w:r>
          </w:p>
          <w:p w:rsidR="00BC3845" w:rsidRPr="00A37097" w:rsidRDefault="00BC3845" w:rsidP="00BC3845">
            <w:pPr>
              <w:pStyle w:val="Tabletext"/>
              <w:rPr>
                <w:sz w:val="16"/>
                <w:szCs w:val="16"/>
                <w:lang w:val="en-US"/>
              </w:rPr>
            </w:pPr>
            <w:r w:rsidRPr="00A37097">
              <w:rPr>
                <w:sz w:val="16"/>
                <w:szCs w:val="16"/>
                <w:lang w:val="en-US"/>
              </w:rPr>
              <w:t>58 000</w:t>
            </w:r>
          </w:p>
          <w:p w:rsidR="00BC3845" w:rsidRPr="00A37097" w:rsidRDefault="00BC3845" w:rsidP="00BC3845">
            <w:pPr>
              <w:pStyle w:val="Tabletext"/>
              <w:rPr>
                <w:sz w:val="16"/>
                <w:szCs w:val="16"/>
                <w:lang w:val="en-US"/>
              </w:rPr>
            </w:pPr>
            <w:r w:rsidRPr="00A37097">
              <w:rPr>
                <w:sz w:val="16"/>
                <w:szCs w:val="16"/>
                <w:lang w:val="en-US"/>
              </w:rPr>
              <w:t>58 000</w:t>
            </w:r>
          </w:p>
        </w:tc>
        <w:tc>
          <w:tcPr>
            <w:tcW w:w="1500" w:type="dxa"/>
          </w:tcPr>
          <w:p w:rsidR="00BC3845" w:rsidRPr="00A37097" w:rsidRDefault="00BC3845" w:rsidP="000F2BA7">
            <w:pPr>
              <w:pStyle w:val="Tabletext"/>
              <w:rPr>
                <w:sz w:val="16"/>
                <w:szCs w:val="16"/>
                <w:lang w:val="en-US"/>
              </w:rPr>
            </w:pPr>
          </w:p>
        </w:tc>
      </w:tr>
      <w:tr w:rsidR="00BC3845" w:rsidRPr="00A37097" w:rsidTr="00A37097">
        <w:trPr>
          <w:jc w:val="center"/>
        </w:trPr>
        <w:tc>
          <w:tcPr>
            <w:tcW w:w="4248" w:type="dxa"/>
          </w:tcPr>
          <w:p w:rsidR="00BC3845" w:rsidRPr="00A37097" w:rsidRDefault="003A1BC2" w:rsidP="00BC3845">
            <w:pPr>
              <w:pStyle w:val="Tabletext"/>
              <w:rPr>
                <w:sz w:val="16"/>
                <w:szCs w:val="16"/>
                <w:lang w:val="en-US"/>
              </w:rPr>
            </w:pPr>
            <w:r>
              <w:rPr>
                <w:sz w:val="16"/>
                <w:szCs w:val="16"/>
                <w:lang w:val="en-US"/>
              </w:rPr>
              <w:t>I</w:t>
            </w:r>
            <w:r w:rsidR="00BC3845" w:rsidRPr="00A37097">
              <w:rPr>
                <w:sz w:val="16"/>
                <w:szCs w:val="16"/>
                <w:lang w:val="en-US"/>
              </w:rPr>
              <w:t>.2 – Radioelectric Network in MF/HF</w:t>
            </w:r>
          </w:p>
          <w:p w:rsidR="00BC3845" w:rsidRPr="00A37097" w:rsidRDefault="00BC3845" w:rsidP="00BC3845">
            <w:pPr>
              <w:pStyle w:val="Tabletext"/>
              <w:rPr>
                <w:sz w:val="16"/>
                <w:szCs w:val="16"/>
                <w:lang w:val="en-US"/>
              </w:rPr>
            </w:pPr>
            <w:r w:rsidRPr="00A37097">
              <w:rPr>
                <w:sz w:val="16"/>
                <w:szCs w:val="16"/>
                <w:lang w:val="en-US"/>
              </w:rPr>
              <w:tab/>
              <w:t>(with bandwidth equal to 3 KHz)</w:t>
            </w:r>
          </w:p>
        </w:tc>
        <w:tc>
          <w:tcPr>
            <w:tcW w:w="1161" w:type="dxa"/>
          </w:tcPr>
          <w:p w:rsidR="00BC3845" w:rsidRPr="00A37097" w:rsidRDefault="00BC3845" w:rsidP="000F2BA7">
            <w:pPr>
              <w:pStyle w:val="Tabletext"/>
              <w:rPr>
                <w:sz w:val="16"/>
                <w:szCs w:val="16"/>
                <w:lang w:val="en-US"/>
              </w:rPr>
            </w:pPr>
            <w:r w:rsidRPr="00A37097">
              <w:rPr>
                <w:sz w:val="16"/>
                <w:szCs w:val="16"/>
                <w:lang w:val="en-US"/>
              </w:rPr>
              <w:t>11 600</w:t>
            </w:r>
          </w:p>
        </w:tc>
        <w:tc>
          <w:tcPr>
            <w:tcW w:w="1229" w:type="dxa"/>
          </w:tcPr>
          <w:p w:rsidR="00BC3845" w:rsidRPr="00A37097" w:rsidRDefault="00BC3845" w:rsidP="000F2BA7">
            <w:pPr>
              <w:pStyle w:val="Tabletext"/>
              <w:rPr>
                <w:sz w:val="16"/>
                <w:szCs w:val="16"/>
                <w:lang w:val="en-US"/>
              </w:rPr>
            </w:pPr>
          </w:p>
        </w:tc>
        <w:tc>
          <w:tcPr>
            <w:tcW w:w="1501" w:type="dxa"/>
          </w:tcPr>
          <w:p w:rsidR="00BC3845" w:rsidRPr="00A37097" w:rsidRDefault="00BC3845" w:rsidP="000F2BA7">
            <w:pPr>
              <w:pStyle w:val="Tabletext"/>
              <w:rPr>
                <w:sz w:val="16"/>
                <w:szCs w:val="16"/>
                <w:lang w:val="en-US"/>
              </w:rPr>
            </w:pPr>
          </w:p>
        </w:tc>
        <w:tc>
          <w:tcPr>
            <w:tcW w:w="1500" w:type="dxa"/>
          </w:tcPr>
          <w:p w:rsidR="00BC3845" w:rsidRPr="00A37097" w:rsidRDefault="00BC3845" w:rsidP="000F2BA7">
            <w:pPr>
              <w:pStyle w:val="Tabletext"/>
              <w:rPr>
                <w:sz w:val="16"/>
                <w:szCs w:val="16"/>
                <w:lang w:val="en-US"/>
              </w:rPr>
            </w:pPr>
          </w:p>
        </w:tc>
      </w:tr>
      <w:tr w:rsidR="00BC3845" w:rsidRPr="00A37097" w:rsidTr="00A37097">
        <w:trPr>
          <w:jc w:val="center"/>
        </w:trPr>
        <w:tc>
          <w:tcPr>
            <w:tcW w:w="4248" w:type="dxa"/>
          </w:tcPr>
          <w:p w:rsidR="00BC3845" w:rsidRPr="00A37097" w:rsidRDefault="00BC3845" w:rsidP="00BC3845">
            <w:pPr>
              <w:pStyle w:val="Tabletext"/>
              <w:rPr>
                <w:sz w:val="16"/>
                <w:szCs w:val="16"/>
                <w:lang w:val="en-US"/>
              </w:rPr>
            </w:pPr>
            <w:r w:rsidRPr="00A37097">
              <w:rPr>
                <w:sz w:val="16"/>
                <w:szCs w:val="16"/>
                <w:lang w:val="en-US"/>
              </w:rPr>
              <w:t>1. Transmitter less than 50 W</w:t>
            </w:r>
          </w:p>
          <w:p w:rsidR="00BC3845" w:rsidRPr="00A37097" w:rsidRDefault="00BC3845" w:rsidP="00BC3845">
            <w:pPr>
              <w:pStyle w:val="Tabletext"/>
              <w:rPr>
                <w:sz w:val="16"/>
                <w:szCs w:val="16"/>
                <w:lang w:val="en-US"/>
              </w:rPr>
            </w:pPr>
            <w:r w:rsidRPr="00A37097">
              <w:rPr>
                <w:sz w:val="16"/>
                <w:szCs w:val="16"/>
                <w:lang w:val="en-US"/>
              </w:rPr>
              <w:t>a2. Transmitter between 50 and 150 W</w:t>
            </w:r>
          </w:p>
          <w:p w:rsidR="00BC3845" w:rsidRPr="00A37097" w:rsidRDefault="00BC3845" w:rsidP="00BC3845">
            <w:pPr>
              <w:pStyle w:val="Tabletext"/>
              <w:rPr>
                <w:sz w:val="16"/>
                <w:szCs w:val="16"/>
                <w:lang w:val="en-US"/>
              </w:rPr>
            </w:pPr>
            <w:r w:rsidRPr="00A37097">
              <w:rPr>
                <w:sz w:val="16"/>
                <w:szCs w:val="16"/>
                <w:lang w:val="en-US"/>
              </w:rPr>
              <w:t>a3. Transmitter above 150 W</w:t>
            </w:r>
          </w:p>
        </w:tc>
        <w:tc>
          <w:tcPr>
            <w:tcW w:w="1161" w:type="dxa"/>
          </w:tcPr>
          <w:p w:rsidR="00BC3845" w:rsidRPr="00A37097" w:rsidRDefault="00BC3845" w:rsidP="000F2BA7">
            <w:pPr>
              <w:pStyle w:val="Tabletext"/>
              <w:rPr>
                <w:sz w:val="16"/>
                <w:szCs w:val="16"/>
                <w:lang w:val="en-US"/>
              </w:rPr>
            </w:pPr>
          </w:p>
        </w:tc>
        <w:tc>
          <w:tcPr>
            <w:tcW w:w="1229" w:type="dxa"/>
          </w:tcPr>
          <w:p w:rsidR="00BC3845" w:rsidRPr="00A37097" w:rsidRDefault="00BC3845" w:rsidP="00BC3845">
            <w:pPr>
              <w:pStyle w:val="Tabletext"/>
              <w:rPr>
                <w:sz w:val="16"/>
                <w:szCs w:val="16"/>
                <w:lang w:val="en-US"/>
              </w:rPr>
            </w:pPr>
            <w:r w:rsidRPr="00A37097">
              <w:rPr>
                <w:sz w:val="16"/>
                <w:szCs w:val="16"/>
                <w:lang w:val="en-US"/>
              </w:rPr>
              <w:t>14 500</w:t>
            </w:r>
          </w:p>
          <w:p w:rsidR="00BC3845" w:rsidRPr="00A37097" w:rsidRDefault="00BC3845" w:rsidP="00BC3845">
            <w:pPr>
              <w:pStyle w:val="Tabletext"/>
              <w:rPr>
                <w:sz w:val="16"/>
                <w:szCs w:val="16"/>
                <w:lang w:val="en-US"/>
              </w:rPr>
            </w:pPr>
            <w:r w:rsidRPr="00A37097">
              <w:rPr>
                <w:sz w:val="16"/>
                <w:szCs w:val="16"/>
                <w:lang w:val="en-US"/>
              </w:rPr>
              <w:t>17 400</w:t>
            </w:r>
          </w:p>
          <w:p w:rsidR="00BC3845" w:rsidRPr="00A37097" w:rsidRDefault="00BC3845" w:rsidP="00BC3845">
            <w:pPr>
              <w:pStyle w:val="Tabletext"/>
              <w:rPr>
                <w:sz w:val="16"/>
                <w:szCs w:val="16"/>
                <w:lang w:val="en-US"/>
              </w:rPr>
            </w:pPr>
            <w:r w:rsidRPr="00A37097">
              <w:rPr>
                <w:sz w:val="16"/>
                <w:szCs w:val="16"/>
                <w:lang w:val="en-US"/>
              </w:rPr>
              <w:t>58 000</w:t>
            </w:r>
          </w:p>
        </w:tc>
        <w:tc>
          <w:tcPr>
            <w:tcW w:w="1501" w:type="dxa"/>
          </w:tcPr>
          <w:p w:rsidR="00BC3845" w:rsidRPr="00A37097" w:rsidRDefault="00BC3845" w:rsidP="000F2BA7">
            <w:pPr>
              <w:pStyle w:val="Tabletext"/>
              <w:rPr>
                <w:sz w:val="16"/>
                <w:szCs w:val="16"/>
                <w:lang w:val="en-US"/>
              </w:rPr>
            </w:pPr>
          </w:p>
        </w:tc>
        <w:tc>
          <w:tcPr>
            <w:tcW w:w="1500" w:type="dxa"/>
          </w:tcPr>
          <w:p w:rsidR="00BC3845" w:rsidRPr="00A37097" w:rsidRDefault="00BC3845" w:rsidP="000F2BA7">
            <w:pPr>
              <w:pStyle w:val="Tabletext"/>
              <w:rPr>
                <w:sz w:val="16"/>
                <w:szCs w:val="16"/>
                <w:lang w:val="en-US"/>
              </w:rPr>
            </w:pPr>
          </w:p>
        </w:tc>
      </w:tr>
      <w:tr w:rsidR="00BC3845" w:rsidRPr="00A37097" w:rsidTr="00A37097">
        <w:trPr>
          <w:jc w:val="center"/>
        </w:trPr>
        <w:tc>
          <w:tcPr>
            <w:tcW w:w="4248" w:type="dxa"/>
          </w:tcPr>
          <w:p w:rsidR="00BC3845" w:rsidRPr="00A37097" w:rsidRDefault="00BC3845" w:rsidP="00BC3845">
            <w:pPr>
              <w:pStyle w:val="Tabletext"/>
              <w:rPr>
                <w:sz w:val="16"/>
                <w:szCs w:val="16"/>
                <w:lang w:val="en-US"/>
              </w:rPr>
            </w:pPr>
            <w:r w:rsidRPr="00A37097">
              <w:rPr>
                <w:sz w:val="16"/>
                <w:szCs w:val="16"/>
                <w:lang w:val="en-US"/>
              </w:rPr>
              <w:t>b1. Regional links (average 100 km)</w:t>
            </w:r>
          </w:p>
          <w:p w:rsidR="00BC3845" w:rsidRPr="00A37097" w:rsidRDefault="00BC3845" w:rsidP="00BC3845">
            <w:pPr>
              <w:pStyle w:val="Tabletext"/>
              <w:rPr>
                <w:sz w:val="16"/>
                <w:szCs w:val="16"/>
                <w:lang w:val="en-US"/>
              </w:rPr>
            </w:pPr>
            <w:r w:rsidRPr="00A37097">
              <w:rPr>
                <w:sz w:val="16"/>
                <w:szCs w:val="16"/>
                <w:lang w:val="en-US"/>
              </w:rPr>
              <w:t>b2. Inter-regional links (average 250 km)</w:t>
            </w:r>
          </w:p>
          <w:p w:rsidR="00BC3845" w:rsidRPr="00A37097" w:rsidRDefault="00BC3845" w:rsidP="00BC3845">
            <w:pPr>
              <w:pStyle w:val="Tabletext"/>
              <w:rPr>
                <w:sz w:val="16"/>
                <w:szCs w:val="16"/>
                <w:lang w:val="en-US"/>
              </w:rPr>
            </w:pPr>
            <w:r w:rsidRPr="00A37097">
              <w:rPr>
                <w:sz w:val="16"/>
                <w:szCs w:val="16"/>
                <w:lang w:val="en-US"/>
              </w:rPr>
              <w:t>b3. National Links (average 500 km)</w:t>
            </w:r>
          </w:p>
        </w:tc>
        <w:tc>
          <w:tcPr>
            <w:tcW w:w="1161" w:type="dxa"/>
          </w:tcPr>
          <w:p w:rsidR="00BC3845" w:rsidRPr="00A37097" w:rsidRDefault="00BC3845" w:rsidP="000F2BA7">
            <w:pPr>
              <w:pStyle w:val="Tabletext"/>
              <w:rPr>
                <w:sz w:val="16"/>
                <w:szCs w:val="16"/>
                <w:lang w:val="en-US"/>
              </w:rPr>
            </w:pPr>
          </w:p>
        </w:tc>
        <w:tc>
          <w:tcPr>
            <w:tcW w:w="1229" w:type="dxa"/>
          </w:tcPr>
          <w:p w:rsidR="00BC3845" w:rsidRPr="00A37097" w:rsidRDefault="00BC3845" w:rsidP="000F2BA7">
            <w:pPr>
              <w:pStyle w:val="Tabletext"/>
              <w:rPr>
                <w:sz w:val="16"/>
                <w:szCs w:val="16"/>
                <w:lang w:val="en-US"/>
              </w:rPr>
            </w:pPr>
          </w:p>
        </w:tc>
        <w:tc>
          <w:tcPr>
            <w:tcW w:w="1501" w:type="dxa"/>
          </w:tcPr>
          <w:p w:rsidR="00BC3845" w:rsidRPr="00A37097" w:rsidRDefault="00BC3845" w:rsidP="000F2BA7">
            <w:pPr>
              <w:pStyle w:val="Tabletext"/>
              <w:rPr>
                <w:sz w:val="16"/>
                <w:szCs w:val="16"/>
                <w:lang w:val="en-US"/>
              </w:rPr>
            </w:pPr>
          </w:p>
        </w:tc>
        <w:tc>
          <w:tcPr>
            <w:tcW w:w="1500" w:type="dxa"/>
          </w:tcPr>
          <w:p w:rsidR="00BC3845" w:rsidRPr="00A37097" w:rsidRDefault="00BC3845" w:rsidP="00BC3845">
            <w:pPr>
              <w:pStyle w:val="Tabletext"/>
              <w:rPr>
                <w:sz w:val="16"/>
                <w:szCs w:val="16"/>
                <w:lang w:val="en-US"/>
              </w:rPr>
            </w:pPr>
            <w:r w:rsidRPr="00A37097">
              <w:rPr>
                <w:sz w:val="16"/>
                <w:szCs w:val="16"/>
                <w:lang w:val="en-US"/>
              </w:rPr>
              <w:t>348 000</w:t>
            </w:r>
          </w:p>
          <w:p w:rsidR="00BC3845" w:rsidRPr="00A37097" w:rsidRDefault="00BC3845" w:rsidP="00BC3845">
            <w:pPr>
              <w:pStyle w:val="Tabletext"/>
              <w:rPr>
                <w:sz w:val="16"/>
                <w:szCs w:val="16"/>
                <w:lang w:val="en-US"/>
              </w:rPr>
            </w:pPr>
            <w:r w:rsidRPr="00A37097">
              <w:rPr>
                <w:sz w:val="16"/>
                <w:szCs w:val="16"/>
                <w:lang w:val="en-US"/>
              </w:rPr>
              <w:t>870 000</w:t>
            </w:r>
          </w:p>
          <w:p w:rsidR="00BC3845" w:rsidRPr="00A37097" w:rsidRDefault="00BC3845" w:rsidP="00BC3845">
            <w:pPr>
              <w:pStyle w:val="Tabletext"/>
              <w:rPr>
                <w:sz w:val="16"/>
                <w:szCs w:val="16"/>
                <w:lang w:val="en-US"/>
              </w:rPr>
            </w:pPr>
            <w:r w:rsidRPr="00A37097">
              <w:rPr>
                <w:sz w:val="16"/>
                <w:szCs w:val="16"/>
                <w:lang w:val="en-US"/>
              </w:rPr>
              <w:t>1 740 000</w:t>
            </w:r>
          </w:p>
        </w:tc>
      </w:tr>
      <w:tr w:rsidR="00BC3845" w:rsidRPr="00A37097" w:rsidTr="00A37097">
        <w:trPr>
          <w:jc w:val="center"/>
        </w:trPr>
        <w:tc>
          <w:tcPr>
            <w:tcW w:w="4248" w:type="dxa"/>
          </w:tcPr>
          <w:p w:rsidR="00BC3845" w:rsidRPr="00A37097" w:rsidRDefault="00BC3845" w:rsidP="00BC3845">
            <w:pPr>
              <w:pStyle w:val="Tabletext"/>
              <w:rPr>
                <w:sz w:val="16"/>
                <w:szCs w:val="16"/>
                <w:lang w:val="en-US"/>
              </w:rPr>
            </w:pPr>
            <w:r w:rsidRPr="00A37097">
              <w:rPr>
                <w:sz w:val="16"/>
                <w:szCs w:val="16"/>
                <w:lang w:val="en-US"/>
              </w:rPr>
              <w:t>c1. Network with less than 5 stations</w:t>
            </w:r>
          </w:p>
          <w:p w:rsidR="00BC3845" w:rsidRPr="00A37097" w:rsidRDefault="00BC3845" w:rsidP="00BC3845">
            <w:pPr>
              <w:pStyle w:val="Tabletext"/>
              <w:rPr>
                <w:sz w:val="16"/>
                <w:szCs w:val="16"/>
                <w:lang w:val="en-US"/>
              </w:rPr>
            </w:pPr>
            <w:r w:rsidRPr="00A37097">
              <w:rPr>
                <w:sz w:val="16"/>
                <w:szCs w:val="16"/>
                <w:lang w:val="en-US"/>
              </w:rPr>
              <w:t>c2. Network with 5 to 10 stations</w:t>
            </w:r>
          </w:p>
          <w:p w:rsidR="00BC3845" w:rsidRPr="00A37097" w:rsidRDefault="00BC3845" w:rsidP="00BC3845">
            <w:pPr>
              <w:pStyle w:val="Tabletext"/>
              <w:rPr>
                <w:sz w:val="16"/>
                <w:szCs w:val="16"/>
                <w:lang w:val="en-US"/>
              </w:rPr>
            </w:pPr>
            <w:r w:rsidRPr="00A37097">
              <w:rPr>
                <w:sz w:val="16"/>
                <w:szCs w:val="16"/>
                <w:lang w:val="en-US"/>
              </w:rPr>
              <w:t>c3. Network with more than 10 stations</w:t>
            </w:r>
          </w:p>
        </w:tc>
        <w:tc>
          <w:tcPr>
            <w:tcW w:w="1161" w:type="dxa"/>
          </w:tcPr>
          <w:p w:rsidR="00BC3845" w:rsidRPr="00A37097" w:rsidRDefault="00BC3845" w:rsidP="000F2BA7">
            <w:pPr>
              <w:pStyle w:val="Tabletext"/>
              <w:rPr>
                <w:sz w:val="16"/>
                <w:szCs w:val="16"/>
                <w:lang w:val="en-US"/>
              </w:rPr>
            </w:pPr>
          </w:p>
        </w:tc>
        <w:tc>
          <w:tcPr>
            <w:tcW w:w="1229" w:type="dxa"/>
          </w:tcPr>
          <w:p w:rsidR="00BC3845" w:rsidRPr="00A37097" w:rsidRDefault="00BC3845" w:rsidP="000F2BA7">
            <w:pPr>
              <w:pStyle w:val="Tabletext"/>
              <w:rPr>
                <w:sz w:val="16"/>
                <w:szCs w:val="16"/>
                <w:lang w:val="en-US"/>
              </w:rPr>
            </w:pPr>
          </w:p>
        </w:tc>
        <w:tc>
          <w:tcPr>
            <w:tcW w:w="1501" w:type="dxa"/>
          </w:tcPr>
          <w:p w:rsidR="00BC3845" w:rsidRPr="00A37097" w:rsidRDefault="00BC3845" w:rsidP="00BC3845">
            <w:pPr>
              <w:pStyle w:val="Tabletext"/>
              <w:rPr>
                <w:sz w:val="16"/>
                <w:szCs w:val="16"/>
                <w:lang w:val="en-US"/>
              </w:rPr>
            </w:pPr>
            <w:r w:rsidRPr="00A37097">
              <w:rPr>
                <w:sz w:val="16"/>
                <w:szCs w:val="16"/>
                <w:lang w:val="en-US"/>
              </w:rPr>
              <w:t>58 000</w:t>
            </w:r>
          </w:p>
          <w:p w:rsidR="00BC3845" w:rsidRPr="00A37097" w:rsidRDefault="00BC3845" w:rsidP="00BC3845">
            <w:pPr>
              <w:pStyle w:val="Tabletext"/>
              <w:rPr>
                <w:sz w:val="16"/>
                <w:szCs w:val="16"/>
                <w:lang w:val="en-US"/>
              </w:rPr>
            </w:pPr>
            <w:r w:rsidRPr="00A37097">
              <w:rPr>
                <w:sz w:val="16"/>
                <w:szCs w:val="16"/>
                <w:lang w:val="en-US"/>
              </w:rPr>
              <w:t>87 000</w:t>
            </w:r>
          </w:p>
          <w:p w:rsidR="00BC3845" w:rsidRPr="00A37097" w:rsidRDefault="00BC3845" w:rsidP="00BC3845">
            <w:pPr>
              <w:pStyle w:val="Tabletext"/>
              <w:rPr>
                <w:sz w:val="16"/>
                <w:szCs w:val="16"/>
                <w:lang w:val="en-US"/>
              </w:rPr>
            </w:pPr>
            <w:r w:rsidRPr="00A37097">
              <w:rPr>
                <w:sz w:val="16"/>
                <w:szCs w:val="16"/>
                <w:lang w:val="en-US"/>
              </w:rPr>
              <w:t>145 000</w:t>
            </w:r>
          </w:p>
        </w:tc>
        <w:tc>
          <w:tcPr>
            <w:tcW w:w="1500" w:type="dxa"/>
          </w:tcPr>
          <w:p w:rsidR="00BC3845" w:rsidRPr="00A37097" w:rsidRDefault="00BC3845" w:rsidP="000F2BA7">
            <w:pPr>
              <w:pStyle w:val="Tabletext"/>
              <w:rPr>
                <w:sz w:val="16"/>
                <w:szCs w:val="16"/>
                <w:lang w:val="en-US"/>
              </w:rPr>
            </w:pPr>
          </w:p>
        </w:tc>
      </w:tr>
      <w:tr w:rsidR="00BC3845" w:rsidRPr="00A37097" w:rsidTr="00A37097">
        <w:trPr>
          <w:jc w:val="center"/>
        </w:trPr>
        <w:tc>
          <w:tcPr>
            <w:tcW w:w="4248" w:type="dxa"/>
          </w:tcPr>
          <w:p w:rsidR="00BC3845" w:rsidRPr="00A37097" w:rsidRDefault="003A1BC2" w:rsidP="000F2BA7">
            <w:pPr>
              <w:pStyle w:val="Tabletext"/>
              <w:rPr>
                <w:sz w:val="16"/>
                <w:szCs w:val="16"/>
                <w:lang w:val="en-US"/>
              </w:rPr>
            </w:pPr>
            <w:r>
              <w:rPr>
                <w:sz w:val="16"/>
                <w:szCs w:val="16"/>
                <w:lang w:val="en-US"/>
              </w:rPr>
              <w:t>I</w:t>
            </w:r>
            <w:r w:rsidR="00BC3845" w:rsidRPr="00A37097">
              <w:rPr>
                <w:sz w:val="16"/>
                <w:szCs w:val="16"/>
                <w:lang w:val="en-US"/>
              </w:rPr>
              <w:t xml:space="preserve">.3 – Research radio/ Message radio networks </w:t>
            </w:r>
            <w:r w:rsidR="00BC3845" w:rsidRPr="00A37097">
              <w:rPr>
                <w:sz w:val="16"/>
                <w:szCs w:val="16"/>
                <w:lang w:val="en-US"/>
              </w:rPr>
              <w:br/>
            </w:r>
            <w:r w:rsidR="00BC3845" w:rsidRPr="00A37097">
              <w:rPr>
                <w:sz w:val="16"/>
                <w:szCs w:val="16"/>
                <w:lang w:val="en-US"/>
              </w:rPr>
              <w:tab/>
              <w:t>(Paging) (bandwidth = 12.5 KHz)</w:t>
            </w:r>
          </w:p>
        </w:tc>
        <w:tc>
          <w:tcPr>
            <w:tcW w:w="1161" w:type="dxa"/>
          </w:tcPr>
          <w:p w:rsidR="00BC3845" w:rsidRPr="00A37097" w:rsidRDefault="00BC3845" w:rsidP="000F2BA7">
            <w:pPr>
              <w:pStyle w:val="Tabletext"/>
              <w:rPr>
                <w:sz w:val="16"/>
                <w:szCs w:val="16"/>
                <w:lang w:val="en-US"/>
              </w:rPr>
            </w:pPr>
          </w:p>
        </w:tc>
        <w:tc>
          <w:tcPr>
            <w:tcW w:w="1229" w:type="dxa"/>
          </w:tcPr>
          <w:p w:rsidR="00BC3845" w:rsidRPr="00A37097" w:rsidRDefault="00BC3845" w:rsidP="000F2BA7">
            <w:pPr>
              <w:pStyle w:val="Tabletext"/>
              <w:rPr>
                <w:sz w:val="16"/>
                <w:szCs w:val="16"/>
                <w:lang w:val="en-US"/>
              </w:rPr>
            </w:pPr>
            <w:r w:rsidRPr="00A37097">
              <w:rPr>
                <w:sz w:val="16"/>
                <w:szCs w:val="16"/>
                <w:lang w:val="en-US"/>
              </w:rPr>
              <w:t>34 800</w:t>
            </w:r>
          </w:p>
        </w:tc>
        <w:tc>
          <w:tcPr>
            <w:tcW w:w="1501" w:type="dxa"/>
          </w:tcPr>
          <w:p w:rsidR="00BC3845" w:rsidRPr="00A37097" w:rsidRDefault="00BC3845" w:rsidP="000F2BA7">
            <w:pPr>
              <w:pStyle w:val="Tabletext"/>
              <w:rPr>
                <w:sz w:val="16"/>
                <w:szCs w:val="16"/>
                <w:lang w:val="en-US"/>
              </w:rPr>
            </w:pPr>
          </w:p>
        </w:tc>
        <w:tc>
          <w:tcPr>
            <w:tcW w:w="1500" w:type="dxa"/>
          </w:tcPr>
          <w:p w:rsidR="00BC3845" w:rsidRPr="00A37097" w:rsidRDefault="00BC3845" w:rsidP="000F2BA7">
            <w:pPr>
              <w:pStyle w:val="Tabletext"/>
              <w:rPr>
                <w:sz w:val="16"/>
                <w:szCs w:val="16"/>
                <w:lang w:val="en-US"/>
              </w:rPr>
            </w:pPr>
          </w:p>
        </w:tc>
      </w:tr>
      <w:tr w:rsidR="00BC3845" w:rsidRPr="00A37097" w:rsidTr="00A37097">
        <w:trPr>
          <w:jc w:val="center"/>
        </w:trPr>
        <w:tc>
          <w:tcPr>
            <w:tcW w:w="4248" w:type="dxa"/>
          </w:tcPr>
          <w:p w:rsidR="00BC3845" w:rsidRPr="00A37097" w:rsidRDefault="00BC3845" w:rsidP="00BC3845">
            <w:pPr>
              <w:pStyle w:val="Tabletext"/>
              <w:rPr>
                <w:sz w:val="16"/>
                <w:szCs w:val="16"/>
                <w:lang w:val="en-US"/>
              </w:rPr>
            </w:pPr>
            <w:r w:rsidRPr="00A37097">
              <w:rPr>
                <w:sz w:val="16"/>
                <w:szCs w:val="16"/>
                <w:lang w:val="en-US"/>
              </w:rPr>
              <w:t>a1. Local network (urban)</w:t>
            </w:r>
          </w:p>
          <w:p w:rsidR="00BC3845" w:rsidRPr="00A37097" w:rsidRDefault="00BC3845" w:rsidP="00BC3845">
            <w:pPr>
              <w:pStyle w:val="Tabletext"/>
              <w:rPr>
                <w:sz w:val="16"/>
                <w:szCs w:val="16"/>
                <w:lang w:val="en-US"/>
              </w:rPr>
            </w:pPr>
            <w:r w:rsidRPr="00A37097">
              <w:rPr>
                <w:sz w:val="16"/>
                <w:szCs w:val="16"/>
                <w:lang w:val="en-US"/>
              </w:rPr>
              <w:t>a2. Regional network (interurban)</w:t>
            </w:r>
          </w:p>
          <w:p w:rsidR="00BC3845" w:rsidRPr="00A37097" w:rsidRDefault="00BC3845" w:rsidP="00BC3845">
            <w:pPr>
              <w:pStyle w:val="Tabletext"/>
              <w:rPr>
                <w:sz w:val="16"/>
                <w:szCs w:val="16"/>
                <w:lang w:val="en-US"/>
              </w:rPr>
            </w:pPr>
            <w:r w:rsidRPr="00A37097">
              <w:rPr>
                <w:sz w:val="16"/>
                <w:szCs w:val="16"/>
                <w:lang w:val="en-US"/>
              </w:rPr>
              <w:t>a3. National network</w:t>
            </w:r>
          </w:p>
        </w:tc>
        <w:tc>
          <w:tcPr>
            <w:tcW w:w="1161" w:type="dxa"/>
          </w:tcPr>
          <w:p w:rsidR="00BC3845" w:rsidRPr="00A37097" w:rsidRDefault="00BC3845" w:rsidP="00BC3845">
            <w:pPr>
              <w:pStyle w:val="Tabletext"/>
              <w:rPr>
                <w:sz w:val="16"/>
                <w:szCs w:val="16"/>
                <w:lang w:val="en-US"/>
              </w:rPr>
            </w:pPr>
            <w:r w:rsidRPr="00A37097">
              <w:rPr>
                <w:sz w:val="16"/>
                <w:szCs w:val="16"/>
                <w:lang w:val="en-US"/>
              </w:rPr>
              <w:t>116 000</w:t>
            </w:r>
          </w:p>
          <w:p w:rsidR="00BC3845" w:rsidRPr="00A37097" w:rsidRDefault="00BC3845" w:rsidP="00BC3845">
            <w:pPr>
              <w:pStyle w:val="Tabletext"/>
              <w:rPr>
                <w:sz w:val="16"/>
                <w:szCs w:val="16"/>
                <w:lang w:val="en-US"/>
              </w:rPr>
            </w:pPr>
            <w:r w:rsidRPr="00A37097">
              <w:rPr>
                <w:sz w:val="16"/>
                <w:szCs w:val="16"/>
                <w:lang w:val="en-US"/>
              </w:rPr>
              <w:t>290 000</w:t>
            </w:r>
          </w:p>
          <w:p w:rsidR="00BC3845" w:rsidRPr="00A37097" w:rsidRDefault="00BC3845" w:rsidP="00BC3845">
            <w:pPr>
              <w:pStyle w:val="Tabletext"/>
              <w:rPr>
                <w:sz w:val="16"/>
                <w:szCs w:val="16"/>
                <w:lang w:val="en-US"/>
              </w:rPr>
            </w:pPr>
            <w:r w:rsidRPr="00A37097">
              <w:rPr>
                <w:sz w:val="16"/>
                <w:szCs w:val="16"/>
                <w:lang w:val="en-US"/>
              </w:rPr>
              <w:t>580 000</w:t>
            </w:r>
          </w:p>
        </w:tc>
        <w:tc>
          <w:tcPr>
            <w:tcW w:w="1229" w:type="dxa"/>
          </w:tcPr>
          <w:p w:rsidR="00BC3845" w:rsidRPr="00A37097" w:rsidRDefault="00BC3845" w:rsidP="000F2BA7">
            <w:pPr>
              <w:pStyle w:val="Tabletext"/>
              <w:rPr>
                <w:sz w:val="16"/>
                <w:szCs w:val="16"/>
                <w:lang w:val="en-US"/>
              </w:rPr>
            </w:pPr>
          </w:p>
        </w:tc>
        <w:tc>
          <w:tcPr>
            <w:tcW w:w="1501" w:type="dxa"/>
          </w:tcPr>
          <w:p w:rsidR="00BC3845" w:rsidRPr="00A37097" w:rsidRDefault="00BC3845" w:rsidP="000F2BA7">
            <w:pPr>
              <w:pStyle w:val="Tabletext"/>
              <w:rPr>
                <w:sz w:val="16"/>
                <w:szCs w:val="16"/>
                <w:lang w:val="en-US"/>
              </w:rPr>
            </w:pPr>
          </w:p>
        </w:tc>
        <w:tc>
          <w:tcPr>
            <w:tcW w:w="1500" w:type="dxa"/>
          </w:tcPr>
          <w:p w:rsidR="00BC3845" w:rsidRPr="00A37097" w:rsidRDefault="00BC3845" w:rsidP="000F2BA7">
            <w:pPr>
              <w:pStyle w:val="Tabletext"/>
              <w:rPr>
                <w:sz w:val="16"/>
                <w:szCs w:val="16"/>
                <w:lang w:val="en-US"/>
              </w:rPr>
            </w:pPr>
          </w:p>
        </w:tc>
      </w:tr>
      <w:tr w:rsidR="00BC3845" w:rsidRPr="00A37097" w:rsidTr="00A37097">
        <w:trPr>
          <w:jc w:val="center"/>
        </w:trPr>
        <w:tc>
          <w:tcPr>
            <w:tcW w:w="4248" w:type="dxa"/>
          </w:tcPr>
          <w:p w:rsidR="00BC3845" w:rsidRPr="00A37097" w:rsidRDefault="00BC3845" w:rsidP="000F2BA7">
            <w:pPr>
              <w:pStyle w:val="Tabletext"/>
              <w:rPr>
                <w:sz w:val="16"/>
                <w:szCs w:val="16"/>
                <w:lang w:val="en-US"/>
              </w:rPr>
            </w:pPr>
            <w:r w:rsidRPr="00A37097">
              <w:rPr>
                <w:sz w:val="16"/>
                <w:szCs w:val="16"/>
                <w:lang w:val="en-US"/>
              </w:rPr>
              <w:t>b1. Base station</w:t>
            </w:r>
          </w:p>
        </w:tc>
        <w:tc>
          <w:tcPr>
            <w:tcW w:w="1161" w:type="dxa"/>
          </w:tcPr>
          <w:p w:rsidR="00BC3845" w:rsidRPr="00A37097" w:rsidRDefault="00BC3845" w:rsidP="000F2BA7">
            <w:pPr>
              <w:pStyle w:val="Tabletext"/>
              <w:rPr>
                <w:sz w:val="16"/>
                <w:szCs w:val="16"/>
                <w:lang w:val="en-US"/>
              </w:rPr>
            </w:pPr>
          </w:p>
        </w:tc>
        <w:tc>
          <w:tcPr>
            <w:tcW w:w="1229" w:type="dxa"/>
          </w:tcPr>
          <w:p w:rsidR="00BC3845" w:rsidRPr="00A37097" w:rsidRDefault="00BC3845" w:rsidP="000F2BA7">
            <w:pPr>
              <w:pStyle w:val="Tabletext"/>
              <w:rPr>
                <w:sz w:val="16"/>
                <w:szCs w:val="16"/>
                <w:lang w:val="en-US"/>
              </w:rPr>
            </w:pPr>
            <w:r w:rsidRPr="00A37097">
              <w:rPr>
                <w:sz w:val="16"/>
                <w:szCs w:val="16"/>
                <w:lang w:val="en-US"/>
              </w:rPr>
              <w:t>34 800</w:t>
            </w:r>
          </w:p>
        </w:tc>
        <w:tc>
          <w:tcPr>
            <w:tcW w:w="1501" w:type="dxa"/>
          </w:tcPr>
          <w:p w:rsidR="00BC3845" w:rsidRPr="00A37097" w:rsidRDefault="00BC3845" w:rsidP="000F2BA7">
            <w:pPr>
              <w:pStyle w:val="Tabletext"/>
              <w:rPr>
                <w:sz w:val="16"/>
                <w:szCs w:val="16"/>
                <w:lang w:val="en-US"/>
              </w:rPr>
            </w:pPr>
          </w:p>
        </w:tc>
        <w:tc>
          <w:tcPr>
            <w:tcW w:w="1500" w:type="dxa"/>
          </w:tcPr>
          <w:p w:rsidR="00BC3845" w:rsidRPr="00A37097" w:rsidRDefault="00BC3845" w:rsidP="000F2BA7">
            <w:pPr>
              <w:pStyle w:val="Tabletext"/>
              <w:rPr>
                <w:sz w:val="16"/>
                <w:szCs w:val="16"/>
                <w:lang w:val="en-US"/>
              </w:rPr>
            </w:pPr>
          </w:p>
        </w:tc>
      </w:tr>
      <w:tr w:rsidR="00BC3845" w:rsidRPr="00A37097" w:rsidTr="00A37097">
        <w:trPr>
          <w:jc w:val="center"/>
        </w:trPr>
        <w:tc>
          <w:tcPr>
            <w:tcW w:w="4248" w:type="dxa"/>
          </w:tcPr>
          <w:p w:rsidR="00BC3845" w:rsidRPr="00A37097" w:rsidRDefault="00BC3845" w:rsidP="00BC3845">
            <w:pPr>
              <w:pStyle w:val="Tabletext"/>
              <w:rPr>
                <w:sz w:val="16"/>
                <w:szCs w:val="16"/>
                <w:lang w:val="en-US"/>
              </w:rPr>
            </w:pPr>
            <w:r w:rsidRPr="00A37097">
              <w:rPr>
                <w:sz w:val="16"/>
                <w:szCs w:val="16"/>
                <w:lang w:val="en-US"/>
              </w:rPr>
              <w:t>c1. Locally available frequency</w:t>
            </w:r>
          </w:p>
          <w:p w:rsidR="00BC3845" w:rsidRPr="00A37097" w:rsidRDefault="00BC3845" w:rsidP="00BC3845">
            <w:pPr>
              <w:pStyle w:val="Tabletext"/>
              <w:rPr>
                <w:sz w:val="16"/>
                <w:szCs w:val="16"/>
                <w:lang w:val="en-US"/>
              </w:rPr>
            </w:pPr>
            <w:r w:rsidRPr="00A37097">
              <w:rPr>
                <w:sz w:val="16"/>
                <w:szCs w:val="16"/>
                <w:lang w:val="en-US"/>
              </w:rPr>
              <w:t>c2. Regional available frequency</w:t>
            </w:r>
          </w:p>
          <w:p w:rsidR="00BC3845" w:rsidRPr="00A37097" w:rsidRDefault="00BC3845" w:rsidP="003A1BC2">
            <w:pPr>
              <w:pStyle w:val="Tabletext"/>
              <w:rPr>
                <w:sz w:val="16"/>
                <w:szCs w:val="16"/>
                <w:lang w:val="en-US"/>
              </w:rPr>
            </w:pPr>
            <w:r w:rsidRPr="00A37097">
              <w:rPr>
                <w:sz w:val="16"/>
                <w:szCs w:val="16"/>
                <w:lang w:val="en-US"/>
              </w:rPr>
              <w:t>c3. Frequency available throughout the national territory</w:t>
            </w:r>
          </w:p>
        </w:tc>
        <w:tc>
          <w:tcPr>
            <w:tcW w:w="1161" w:type="dxa"/>
          </w:tcPr>
          <w:p w:rsidR="00BC3845" w:rsidRPr="00A37097" w:rsidRDefault="00BC3845" w:rsidP="000F2BA7">
            <w:pPr>
              <w:pStyle w:val="Tabletext"/>
              <w:rPr>
                <w:sz w:val="16"/>
                <w:szCs w:val="16"/>
                <w:lang w:val="en-US"/>
              </w:rPr>
            </w:pPr>
          </w:p>
        </w:tc>
        <w:tc>
          <w:tcPr>
            <w:tcW w:w="1229" w:type="dxa"/>
          </w:tcPr>
          <w:p w:rsidR="00BC3845" w:rsidRPr="00A37097" w:rsidRDefault="00BC3845" w:rsidP="000F2BA7">
            <w:pPr>
              <w:pStyle w:val="Tabletext"/>
              <w:rPr>
                <w:sz w:val="16"/>
                <w:szCs w:val="16"/>
                <w:lang w:val="en-US"/>
              </w:rPr>
            </w:pPr>
          </w:p>
        </w:tc>
        <w:tc>
          <w:tcPr>
            <w:tcW w:w="1501" w:type="dxa"/>
          </w:tcPr>
          <w:p w:rsidR="00BC3845" w:rsidRPr="00A37097" w:rsidRDefault="00BC3845" w:rsidP="000F2BA7">
            <w:pPr>
              <w:pStyle w:val="Tabletext"/>
              <w:rPr>
                <w:sz w:val="16"/>
                <w:szCs w:val="16"/>
                <w:lang w:val="en-US"/>
              </w:rPr>
            </w:pPr>
          </w:p>
        </w:tc>
        <w:tc>
          <w:tcPr>
            <w:tcW w:w="1500" w:type="dxa"/>
          </w:tcPr>
          <w:p w:rsidR="00BC3845" w:rsidRPr="00A37097" w:rsidRDefault="00BC3845" w:rsidP="00BC3845">
            <w:pPr>
              <w:pStyle w:val="Tabletext"/>
              <w:rPr>
                <w:sz w:val="16"/>
                <w:szCs w:val="16"/>
                <w:lang w:val="en-US"/>
              </w:rPr>
            </w:pPr>
            <w:r w:rsidRPr="00A37097">
              <w:rPr>
                <w:sz w:val="16"/>
                <w:szCs w:val="16"/>
                <w:lang w:val="en-US"/>
              </w:rPr>
              <w:t>1 044 000</w:t>
            </w:r>
          </w:p>
          <w:p w:rsidR="00BC3845" w:rsidRPr="00A37097" w:rsidRDefault="00BC3845" w:rsidP="00BC3845">
            <w:pPr>
              <w:pStyle w:val="Tabletext"/>
              <w:rPr>
                <w:sz w:val="16"/>
                <w:szCs w:val="16"/>
                <w:lang w:val="en-US"/>
              </w:rPr>
            </w:pPr>
            <w:r w:rsidRPr="00A37097">
              <w:rPr>
                <w:sz w:val="16"/>
                <w:szCs w:val="16"/>
                <w:lang w:val="en-US"/>
              </w:rPr>
              <w:t>3 480 000</w:t>
            </w:r>
          </w:p>
          <w:p w:rsidR="00BC3845" w:rsidRPr="00A37097" w:rsidRDefault="00BC3845" w:rsidP="00A37097">
            <w:pPr>
              <w:pStyle w:val="Tabletext"/>
              <w:rPr>
                <w:sz w:val="16"/>
                <w:szCs w:val="16"/>
                <w:lang w:val="en-US"/>
              </w:rPr>
            </w:pPr>
            <w:r w:rsidRPr="00A37097">
              <w:rPr>
                <w:sz w:val="16"/>
                <w:szCs w:val="16"/>
                <w:lang w:val="en-US"/>
              </w:rPr>
              <w:t>5 800 000</w:t>
            </w:r>
          </w:p>
        </w:tc>
      </w:tr>
      <w:tr w:rsidR="00BC3845" w:rsidRPr="003A1BC2" w:rsidTr="00A37097">
        <w:trPr>
          <w:jc w:val="center"/>
        </w:trPr>
        <w:tc>
          <w:tcPr>
            <w:tcW w:w="4248" w:type="dxa"/>
          </w:tcPr>
          <w:p w:rsidR="00BC3845" w:rsidRPr="00A37097" w:rsidRDefault="003A1BC2" w:rsidP="00BC3845">
            <w:pPr>
              <w:pStyle w:val="Tabletext"/>
              <w:ind w:left="284" w:hanging="284"/>
              <w:rPr>
                <w:sz w:val="16"/>
                <w:szCs w:val="16"/>
                <w:lang w:val="en-US"/>
              </w:rPr>
            </w:pPr>
            <w:r>
              <w:rPr>
                <w:sz w:val="16"/>
                <w:szCs w:val="16"/>
                <w:lang w:val="en-US"/>
              </w:rPr>
              <w:t>I</w:t>
            </w:r>
            <w:r w:rsidR="00BC3845" w:rsidRPr="00A37097">
              <w:rPr>
                <w:sz w:val="16"/>
                <w:szCs w:val="16"/>
                <w:lang w:val="en-US"/>
              </w:rPr>
              <w:t>.4 – Shared resources network (Trunking)</w:t>
            </w:r>
          </w:p>
          <w:p w:rsidR="00BC3845" w:rsidRPr="00A37097" w:rsidRDefault="00BC3845" w:rsidP="00BC3845">
            <w:pPr>
              <w:pStyle w:val="Tabletext"/>
              <w:rPr>
                <w:sz w:val="16"/>
                <w:szCs w:val="16"/>
                <w:lang w:val="en-US"/>
              </w:rPr>
            </w:pPr>
            <w:r w:rsidRPr="00A37097">
              <w:rPr>
                <w:sz w:val="16"/>
                <w:szCs w:val="16"/>
                <w:lang w:val="en-US"/>
              </w:rPr>
              <w:tab/>
              <w:t>(with bandwidth of 12.5 KHz)</w:t>
            </w:r>
          </w:p>
        </w:tc>
        <w:tc>
          <w:tcPr>
            <w:tcW w:w="1161" w:type="dxa"/>
          </w:tcPr>
          <w:p w:rsidR="00BC3845" w:rsidRPr="00A37097" w:rsidRDefault="00BC3845" w:rsidP="000F2BA7">
            <w:pPr>
              <w:pStyle w:val="Tabletext"/>
              <w:rPr>
                <w:sz w:val="16"/>
                <w:szCs w:val="16"/>
                <w:lang w:val="en-US"/>
              </w:rPr>
            </w:pPr>
          </w:p>
        </w:tc>
        <w:tc>
          <w:tcPr>
            <w:tcW w:w="1229" w:type="dxa"/>
          </w:tcPr>
          <w:p w:rsidR="00BC3845" w:rsidRPr="00A37097" w:rsidRDefault="00BC3845" w:rsidP="000F2BA7">
            <w:pPr>
              <w:pStyle w:val="Tabletext"/>
              <w:rPr>
                <w:sz w:val="16"/>
                <w:szCs w:val="16"/>
                <w:lang w:val="en-US"/>
              </w:rPr>
            </w:pPr>
          </w:p>
        </w:tc>
        <w:tc>
          <w:tcPr>
            <w:tcW w:w="1501" w:type="dxa"/>
          </w:tcPr>
          <w:p w:rsidR="00BC3845" w:rsidRPr="00A37097" w:rsidRDefault="00BC3845" w:rsidP="000F2BA7">
            <w:pPr>
              <w:pStyle w:val="Tabletext"/>
              <w:rPr>
                <w:sz w:val="16"/>
                <w:szCs w:val="16"/>
                <w:lang w:val="en-US"/>
              </w:rPr>
            </w:pPr>
          </w:p>
        </w:tc>
        <w:tc>
          <w:tcPr>
            <w:tcW w:w="1500" w:type="dxa"/>
          </w:tcPr>
          <w:p w:rsidR="00BC3845" w:rsidRPr="00A37097" w:rsidRDefault="00BC3845" w:rsidP="000F2BA7">
            <w:pPr>
              <w:pStyle w:val="Tabletext"/>
              <w:rPr>
                <w:sz w:val="16"/>
                <w:szCs w:val="16"/>
                <w:lang w:val="en-US"/>
              </w:rPr>
            </w:pPr>
          </w:p>
        </w:tc>
      </w:tr>
      <w:tr w:rsidR="00BC3845" w:rsidRPr="00A37097" w:rsidTr="00A37097">
        <w:trPr>
          <w:jc w:val="center"/>
        </w:trPr>
        <w:tc>
          <w:tcPr>
            <w:tcW w:w="4248" w:type="dxa"/>
          </w:tcPr>
          <w:p w:rsidR="00BC3845" w:rsidRPr="00A37097" w:rsidRDefault="00BC3845" w:rsidP="00BC3845">
            <w:pPr>
              <w:pStyle w:val="Tabletext"/>
              <w:rPr>
                <w:sz w:val="16"/>
                <w:szCs w:val="16"/>
                <w:lang w:val="en-US"/>
              </w:rPr>
            </w:pPr>
            <w:r w:rsidRPr="00A37097">
              <w:rPr>
                <w:sz w:val="16"/>
                <w:szCs w:val="16"/>
                <w:lang w:val="en-US"/>
              </w:rPr>
              <w:t>a1. Local network</w:t>
            </w:r>
          </w:p>
          <w:p w:rsidR="00BC3845" w:rsidRPr="00A37097" w:rsidRDefault="00BC3845" w:rsidP="00BC3845">
            <w:pPr>
              <w:pStyle w:val="Tabletext"/>
              <w:rPr>
                <w:sz w:val="16"/>
                <w:szCs w:val="16"/>
                <w:lang w:val="en-US"/>
              </w:rPr>
            </w:pPr>
            <w:r w:rsidRPr="00A37097">
              <w:rPr>
                <w:sz w:val="16"/>
                <w:szCs w:val="16"/>
                <w:lang w:val="en-US"/>
              </w:rPr>
              <w:t>a2. Regional network</w:t>
            </w:r>
          </w:p>
          <w:p w:rsidR="00BC3845" w:rsidRPr="00A37097" w:rsidRDefault="00BC3845" w:rsidP="00BC3845">
            <w:pPr>
              <w:pStyle w:val="Tabletext"/>
              <w:rPr>
                <w:sz w:val="16"/>
                <w:szCs w:val="16"/>
                <w:lang w:val="en-US"/>
              </w:rPr>
            </w:pPr>
            <w:r w:rsidRPr="00A37097">
              <w:rPr>
                <w:sz w:val="16"/>
                <w:szCs w:val="16"/>
                <w:lang w:val="en-US"/>
              </w:rPr>
              <w:t>a3. National network</w:t>
            </w:r>
          </w:p>
        </w:tc>
        <w:tc>
          <w:tcPr>
            <w:tcW w:w="1161" w:type="dxa"/>
          </w:tcPr>
          <w:p w:rsidR="00BC3845" w:rsidRPr="00A37097" w:rsidRDefault="00BC3845" w:rsidP="00BC3845">
            <w:pPr>
              <w:pStyle w:val="Tabletext"/>
              <w:rPr>
                <w:sz w:val="16"/>
                <w:szCs w:val="16"/>
                <w:lang w:val="en-US"/>
              </w:rPr>
            </w:pPr>
            <w:r w:rsidRPr="00A37097">
              <w:rPr>
                <w:sz w:val="16"/>
                <w:szCs w:val="16"/>
                <w:lang w:val="en-US"/>
              </w:rPr>
              <w:t>16 000</w:t>
            </w:r>
          </w:p>
          <w:p w:rsidR="00BC3845" w:rsidRPr="00A37097" w:rsidRDefault="00BC3845" w:rsidP="00BC3845">
            <w:pPr>
              <w:pStyle w:val="Tabletext"/>
              <w:rPr>
                <w:sz w:val="16"/>
                <w:szCs w:val="16"/>
                <w:lang w:val="en-US"/>
              </w:rPr>
            </w:pPr>
            <w:r w:rsidRPr="00A37097">
              <w:rPr>
                <w:sz w:val="16"/>
                <w:szCs w:val="16"/>
                <w:lang w:val="en-US"/>
              </w:rPr>
              <w:t>290 000</w:t>
            </w:r>
          </w:p>
          <w:p w:rsidR="00BC3845" w:rsidRPr="00A37097" w:rsidRDefault="00BC3845" w:rsidP="003A1BC2">
            <w:pPr>
              <w:pStyle w:val="Tabletext"/>
              <w:rPr>
                <w:sz w:val="16"/>
                <w:szCs w:val="16"/>
                <w:lang w:val="en-US"/>
              </w:rPr>
            </w:pPr>
            <w:r w:rsidRPr="00A37097">
              <w:rPr>
                <w:sz w:val="16"/>
                <w:szCs w:val="16"/>
                <w:lang w:val="en-US"/>
              </w:rPr>
              <w:t>580 000</w:t>
            </w:r>
          </w:p>
        </w:tc>
        <w:tc>
          <w:tcPr>
            <w:tcW w:w="1229" w:type="dxa"/>
          </w:tcPr>
          <w:p w:rsidR="00BC3845" w:rsidRPr="00A37097" w:rsidRDefault="00BC3845" w:rsidP="000F2BA7">
            <w:pPr>
              <w:pStyle w:val="Tabletext"/>
              <w:rPr>
                <w:sz w:val="16"/>
                <w:szCs w:val="16"/>
                <w:lang w:val="en-US"/>
              </w:rPr>
            </w:pPr>
          </w:p>
        </w:tc>
        <w:tc>
          <w:tcPr>
            <w:tcW w:w="1501" w:type="dxa"/>
          </w:tcPr>
          <w:p w:rsidR="00BC3845" w:rsidRPr="00A37097" w:rsidRDefault="00BC3845" w:rsidP="000F2BA7">
            <w:pPr>
              <w:pStyle w:val="Tabletext"/>
              <w:rPr>
                <w:sz w:val="16"/>
                <w:szCs w:val="16"/>
                <w:lang w:val="en-US"/>
              </w:rPr>
            </w:pPr>
          </w:p>
        </w:tc>
        <w:tc>
          <w:tcPr>
            <w:tcW w:w="1500" w:type="dxa"/>
          </w:tcPr>
          <w:p w:rsidR="00BC3845" w:rsidRPr="00A37097" w:rsidRDefault="00BC3845" w:rsidP="000F2BA7">
            <w:pPr>
              <w:pStyle w:val="Tabletext"/>
              <w:rPr>
                <w:sz w:val="16"/>
                <w:szCs w:val="16"/>
                <w:lang w:val="en-US"/>
              </w:rPr>
            </w:pPr>
          </w:p>
        </w:tc>
      </w:tr>
      <w:tr w:rsidR="00BC3845" w:rsidRPr="00A37097" w:rsidTr="00A37097">
        <w:trPr>
          <w:jc w:val="center"/>
        </w:trPr>
        <w:tc>
          <w:tcPr>
            <w:tcW w:w="4248" w:type="dxa"/>
          </w:tcPr>
          <w:p w:rsidR="00BC3845" w:rsidRPr="00A37097" w:rsidRDefault="00BC3845" w:rsidP="000F2BA7">
            <w:pPr>
              <w:pStyle w:val="Tabletext"/>
              <w:rPr>
                <w:sz w:val="16"/>
                <w:szCs w:val="16"/>
                <w:lang w:val="en-US"/>
              </w:rPr>
            </w:pPr>
            <w:r w:rsidRPr="00A37097">
              <w:rPr>
                <w:sz w:val="16"/>
                <w:szCs w:val="16"/>
                <w:lang w:val="en-US"/>
              </w:rPr>
              <w:t>b1. Base station</w:t>
            </w:r>
          </w:p>
        </w:tc>
        <w:tc>
          <w:tcPr>
            <w:tcW w:w="1161" w:type="dxa"/>
          </w:tcPr>
          <w:p w:rsidR="00BC3845" w:rsidRPr="00A37097" w:rsidRDefault="00BC3845" w:rsidP="000F2BA7">
            <w:pPr>
              <w:pStyle w:val="Tabletext"/>
              <w:rPr>
                <w:sz w:val="16"/>
                <w:szCs w:val="16"/>
                <w:lang w:val="en-US"/>
              </w:rPr>
            </w:pPr>
          </w:p>
        </w:tc>
        <w:tc>
          <w:tcPr>
            <w:tcW w:w="1229" w:type="dxa"/>
          </w:tcPr>
          <w:p w:rsidR="00BC3845" w:rsidRPr="00A37097" w:rsidRDefault="00BC3845" w:rsidP="000F2BA7">
            <w:pPr>
              <w:pStyle w:val="Tabletext"/>
              <w:rPr>
                <w:sz w:val="16"/>
                <w:szCs w:val="16"/>
                <w:lang w:val="en-US"/>
              </w:rPr>
            </w:pPr>
            <w:r w:rsidRPr="00A37097">
              <w:rPr>
                <w:sz w:val="16"/>
                <w:szCs w:val="16"/>
                <w:lang w:val="en-US"/>
              </w:rPr>
              <w:t>34 800</w:t>
            </w:r>
          </w:p>
        </w:tc>
        <w:tc>
          <w:tcPr>
            <w:tcW w:w="1501" w:type="dxa"/>
          </w:tcPr>
          <w:p w:rsidR="00BC3845" w:rsidRPr="00A37097" w:rsidRDefault="00BC3845" w:rsidP="000F2BA7">
            <w:pPr>
              <w:pStyle w:val="Tabletext"/>
              <w:rPr>
                <w:sz w:val="16"/>
                <w:szCs w:val="16"/>
                <w:lang w:val="en-US"/>
              </w:rPr>
            </w:pPr>
          </w:p>
        </w:tc>
        <w:tc>
          <w:tcPr>
            <w:tcW w:w="1500" w:type="dxa"/>
          </w:tcPr>
          <w:p w:rsidR="00BC3845" w:rsidRPr="00A37097" w:rsidRDefault="00BC3845" w:rsidP="000F2BA7">
            <w:pPr>
              <w:pStyle w:val="Tabletext"/>
              <w:rPr>
                <w:sz w:val="16"/>
                <w:szCs w:val="16"/>
                <w:lang w:val="en-US"/>
              </w:rPr>
            </w:pPr>
          </w:p>
        </w:tc>
      </w:tr>
      <w:tr w:rsidR="00BC3845" w:rsidRPr="00A37097" w:rsidTr="00A37097">
        <w:trPr>
          <w:jc w:val="center"/>
        </w:trPr>
        <w:tc>
          <w:tcPr>
            <w:tcW w:w="4248" w:type="dxa"/>
          </w:tcPr>
          <w:p w:rsidR="00BC3845" w:rsidRPr="00A37097" w:rsidRDefault="00BC3845" w:rsidP="00BC3845">
            <w:pPr>
              <w:pStyle w:val="Tabletext"/>
              <w:rPr>
                <w:sz w:val="16"/>
                <w:szCs w:val="16"/>
              </w:rPr>
            </w:pPr>
            <w:r w:rsidRPr="00A37097">
              <w:rPr>
                <w:sz w:val="16"/>
                <w:szCs w:val="16"/>
              </w:rPr>
              <w:t>c1.</w:t>
            </w:r>
            <w:r w:rsidRPr="00A37097">
              <w:rPr>
                <w:sz w:val="16"/>
                <w:szCs w:val="16"/>
              </w:rPr>
              <w:tab/>
              <w:t>Locally available duplex channel</w:t>
            </w:r>
          </w:p>
          <w:p w:rsidR="00BC3845" w:rsidRPr="00A37097" w:rsidRDefault="00BC3845" w:rsidP="00BC3845">
            <w:pPr>
              <w:pStyle w:val="Tabletext"/>
              <w:rPr>
                <w:sz w:val="16"/>
                <w:szCs w:val="16"/>
              </w:rPr>
            </w:pPr>
            <w:r w:rsidRPr="00A37097">
              <w:rPr>
                <w:sz w:val="16"/>
                <w:szCs w:val="16"/>
              </w:rPr>
              <w:t>c2.</w:t>
            </w:r>
            <w:r w:rsidRPr="00A37097">
              <w:rPr>
                <w:sz w:val="16"/>
                <w:szCs w:val="16"/>
              </w:rPr>
              <w:tab/>
              <w:t>Duplex channel available on regional plan</w:t>
            </w:r>
          </w:p>
          <w:p w:rsidR="00BC3845" w:rsidRPr="00A37097" w:rsidRDefault="00BC3845" w:rsidP="00BC3845">
            <w:pPr>
              <w:pStyle w:val="Tabletext"/>
              <w:rPr>
                <w:sz w:val="16"/>
                <w:szCs w:val="16"/>
              </w:rPr>
            </w:pPr>
            <w:r w:rsidRPr="00A37097">
              <w:rPr>
                <w:sz w:val="16"/>
                <w:szCs w:val="16"/>
              </w:rPr>
              <w:t>c3.</w:t>
            </w:r>
            <w:r w:rsidRPr="00A37097">
              <w:rPr>
                <w:sz w:val="16"/>
                <w:szCs w:val="16"/>
              </w:rPr>
              <w:tab/>
              <w:t>Duplex ch</w:t>
            </w:r>
            <w:r w:rsidR="00A37097" w:rsidRPr="00A37097">
              <w:rPr>
                <w:sz w:val="16"/>
                <w:szCs w:val="16"/>
              </w:rPr>
              <w:t xml:space="preserve">annel available throughout the </w:t>
            </w:r>
            <w:r w:rsidRPr="00A37097">
              <w:rPr>
                <w:sz w:val="16"/>
                <w:szCs w:val="16"/>
              </w:rPr>
              <w:t>national territory</w:t>
            </w:r>
          </w:p>
        </w:tc>
        <w:tc>
          <w:tcPr>
            <w:tcW w:w="1161" w:type="dxa"/>
          </w:tcPr>
          <w:p w:rsidR="00BC3845" w:rsidRPr="00A37097" w:rsidRDefault="00BC3845" w:rsidP="000F2BA7">
            <w:pPr>
              <w:pStyle w:val="Tabletext"/>
              <w:rPr>
                <w:sz w:val="16"/>
                <w:szCs w:val="16"/>
              </w:rPr>
            </w:pPr>
          </w:p>
        </w:tc>
        <w:tc>
          <w:tcPr>
            <w:tcW w:w="1229" w:type="dxa"/>
          </w:tcPr>
          <w:p w:rsidR="00BC3845" w:rsidRPr="00A37097" w:rsidRDefault="00BC3845" w:rsidP="000F2BA7">
            <w:pPr>
              <w:pStyle w:val="Tabletext"/>
              <w:rPr>
                <w:sz w:val="16"/>
                <w:szCs w:val="16"/>
              </w:rPr>
            </w:pPr>
          </w:p>
        </w:tc>
        <w:tc>
          <w:tcPr>
            <w:tcW w:w="1501" w:type="dxa"/>
          </w:tcPr>
          <w:p w:rsidR="00BC3845" w:rsidRPr="00A37097" w:rsidRDefault="00BC3845" w:rsidP="000F2BA7">
            <w:pPr>
              <w:pStyle w:val="Tabletext"/>
              <w:rPr>
                <w:sz w:val="16"/>
                <w:szCs w:val="16"/>
              </w:rPr>
            </w:pPr>
          </w:p>
        </w:tc>
        <w:tc>
          <w:tcPr>
            <w:tcW w:w="1500" w:type="dxa"/>
          </w:tcPr>
          <w:p w:rsidR="00BC3845" w:rsidRPr="00A37097" w:rsidRDefault="00BC3845" w:rsidP="00BC3845">
            <w:pPr>
              <w:pStyle w:val="Tabletext"/>
              <w:rPr>
                <w:sz w:val="16"/>
                <w:szCs w:val="16"/>
                <w:lang w:val="en-US"/>
              </w:rPr>
            </w:pPr>
            <w:r w:rsidRPr="00A37097">
              <w:rPr>
                <w:sz w:val="16"/>
                <w:szCs w:val="16"/>
                <w:lang w:val="en-US"/>
              </w:rPr>
              <w:t>1 740 000</w:t>
            </w:r>
          </w:p>
          <w:p w:rsidR="00BC3845" w:rsidRPr="00A37097" w:rsidRDefault="00BC3845" w:rsidP="00BC3845">
            <w:pPr>
              <w:pStyle w:val="Tabletext"/>
              <w:rPr>
                <w:sz w:val="16"/>
                <w:szCs w:val="16"/>
                <w:lang w:val="en-US"/>
              </w:rPr>
            </w:pPr>
            <w:r w:rsidRPr="00A37097">
              <w:rPr>
                <w:sz w:val="16"/>
                <w:szCs w:val="16"/>
                <w:lang w:val="en-US"/>
              </w:rPr>
              <w:t>5 800 000</w:t>
            </w:r>
          </w:p>
          <w:p w:rsidR="00BC3845" w:rsidRPr="00A37097" w:rsidRDefault="00BC3845" w:rsidP="00BC3845">
            <w:pPr>
              <w:pStyle w:val="Tabletext"/>
              <w:rPr>
                <w:sz w:val="16"/>
                <w:szCs w:val="16"/>
                <w:lang w:val="en-US"/>
              </w:rPr>
            </w:pPr>
            <w:r w:rsidRPr="00A37097">
              <w:rPr>
                <w:sz w:val="16"/>
                <w:szCs w:val="16"/>
                <w:lang w:val="en-US"/>
              </w:rPr>
              <w:t>8 700 000</w:t>
            </w:r>
          </w:p>
        </w:tc>
      </w:tr>
      <w:tr w:rsidR="00BC3845" w:rsidRPr="00D17B5B" w:rsidTr="00A37097">
        <w:trPr>
          <w:jc w:val="center"/>
        </w:trPr>
        <w:tc>
          <w:tcPr>
            <w:tcW w:w="4248" w:type="dxa"/>
          </w:tcPr>
          <w:p w:rsidR="00BC3845" w:rsidRPr="00A37097" w:rsidRDefault="003A1BC2" w:rsidP="000F2BA7">
            <w:pPr>
              <w:pStyle w:val="Tabletext"/>
              <w:rPr>
                <w:sz w:val="16"/>
                <w:szCs w:val="16"/>
                <w:lang w:val="en-US"/>
              </w:rPr>
            </w:pPr>
            <w:r>
              <w:rPr>
                <w:sz w:val="16"/>
                <w:szCs w:val="16"/>
                <w:lang w:val="en-US"/>
              </w:rPr>
              <w:t>I</w:t>
            </w:r>
            <w:r w:rsidR="00BC3845" w:rsidRPr="00A37097">
              <w:rPr>
                <w:sz w:val="16"/>
                <w:szCs w:val="16"/>
                <w:lang w:val="en-US"/>
              </w:rPr>
              <w:t>.5 – Microwave Links above 1 GHz</w:t>
            </w:r>
          </w:p>
        </w:tc>
        <w:tc>
          <w:tcPr>
            <w:tcW w:w="1161" w:type="dxa"/>
          </w:tcPr>
          <w:p w:rsidR="00BC3845" w:rsidRPr="00A37097" w:rsidRDefault="00BC3845" w:rsidP="000F2BA7">
            <w:pPr>
              <w:pStyle w:val="Tabletext"/>
              <w:rPr>
                <w:sz w:val="16"/>
                <w:szCs w:val="16"/>
                <w:lang w:val="en-US"/>
              </w:rPr>
            </w:pPr>
          </w:p>
        </w:tc>
        <w:tc>
          <w:tcPr>
            <w:tcW w:w="1229" w:type="dxa"/>
          </w:tcPr>
          <w:p w:rsidR="00BC3845" w:rsidRPr="00A37097" w:rsidRDefault="00BC3845" w:rsidP="000F2BA7">
            <w:pPr>
              <w:pStyle w:val="Tabletext"/>
              <w:rPr>
                <w:sz w:val="16"/>
                <w:szCs w:val="16"/>
                <w:lang w:val="en-US"/>
              </w:rPr>
            </w:pPr>
          </w:p>
        </w:tc>
        <w:tc>
          <w:tcPr>
            <w:tcW w:w="1501" w:type="dxa"/>
          </w:tcPr>
          <w:p w:rsidR="00BC3845" w:rsidRPr="00A37097" w:rsidRDefault="00BC3845" w:rsidP="000F2BA7">
            <w:pPr>
              <w:pStyle w:val="Tabletext"/>
              <w:rPr>
                <w:sz w:val="16"/>
                <w:szCs w:val="16"/>
                <w:lang w:val="en-US"/>
              </w:rPr>
            </w:pPr>
          </w:p>
        </w:tc>
        <w:tc>
          <w:tcPr>
            <w:tcW w:w="1500" w:type="dxa"/>
          </w:tcPr>
          <w:p w:rsidR="00BC3845" w:rsidRPr="00A37097" w:rsidRDefault="00BC3845" w:rsidP="000F2BA7">
            <w:pPr>
              <w:pStyle w:val="Tabletext"/>
              <w:rPr>
                <w:sz w:val="16"/>
                <w:szCs w:val="16"/>
                <w:lang w:val="en-US"/>
              </w:rPr>
            </w:pPr>
          </w:p>
        </w:tc>
      </w:tr>
      <w:tr w:rsidR="00BC3845" w:rsidRPr="00A37097" w:rsidTr="00A37097">
        <w:trPr>
          <w:jc w:val="center"/>
        </w:trPr>
        <w:tc>
          <w:tcPr>
            <w:tcW w:w="4248" w:type="dxa"/>
          </w:tcPr>
          <w:p w:rsidR="00BC3845" w:rsidRPr="00A37097" w:rsidRDefault="00BC3845" w:rsidP="00BC3845">
            <w:pPr>
              <w:pStyle w:val="Tabletext"/>
              <w:rPr>
                <w:sz w:val="16"/>
                <w:szCs w:val="16"/>
                <w:lang w:val="en-US"/>
              </w:rPr>
            </w:pPr>
            <w:r w:rsidRPr="00A37097">
              <w:rPr>
                <w:sz w:val="16"/>
                <w:szCs w:val="16"/>
                <w:lang w:val="en-US"/>
              </w:rPr>
              <w:t>a1. Trunk or local network</w:t>
            </w:r>
          </w:p>
          <w:p w:rsidR="00BC3845" w:rsidRPr="00A37097" w:rsidRDefault="00BC3845" w:rsidP="00BC3845">
            <w:pPr>
              <w:pStyle w:val="Tabletext"/>
              <w:rPr>
                <w:sz w:val="16"/>
                <w:szCs w:val="16"/>
                <w:lang w:val="en-US"/>
              </w:rPr>
            </w:pPr>
            <w:r w:rsidRPr="00A37097">
              <w:rPr>
                <w:sz w:val="16"/>
                <w:szCs w:val="16"/>
                <w:lang w:val="en-US"/>
              </w:rPr>
              <w:t>a2. Trunk or regional network</w:t>
            </w:r>
          </w:p>
          <w:p w:rsidR="00BC3845" w:rsidRPr="00A37097" w:rsidRDefault="00BC3845" w:rsidP="00BC3845">
            <w:pPr>
              <w:pStyle w:val="Tabletext"/>
              <w:rPr>
                <w:sz w:val="16"/>
                <w:szCs w:val="16"/>
                <w:lang w:val="en-US"/>
              </w:rPr>
            </w:pPr>
            <w:r w:rsidRPr="00A37097">
              <w:rPr>
                <w:sz w:val="16"/>
                <w:szCs w:val="16"/>
                <w:lang w:val="en-US"/>
              </w:rPr>
              <w:t>a3. Trunk or national network</w:t>
            </w:r>
          </w:p>
        </w:tc>
        <w:tc>
          <w:tcPr>
            <w:tcW w:w="1161" w:type="dxa"/>
          </w:tcPr>
          <w:p w:rsidR="00BC3845" w:rsidRPr="00A37097" w:rsidRDefault="00BC3845" w:rsidP="00BC3845">
            <w:pPr>
              <w:pStyle w:val="Tabletext"/>
              <w:rPr>
                <w:sz w:val="16"/>
                <w:szCs w:val="16"/>
                <w:lang w:val="en-US"/>
              </w:rPr>
            </w:pPr>
            <w:r w:rsidRPr="00A37097">
              <w:rPr>
                <w:sz w:val="16"/>
                <w:szCs w:val="16"/>
                <w:lang w:val="en-US"/>
              </w:rPr>
              <w:t>116 000</w:t>
            </w:r>
          </w:p>
          <w:p w:rsidR="00BC3845" w:rsidRPr="00A37097" w:rsidRDefault="00BC3845" w:rsidP="00BC3845">
            <w:pPr>
              <w:pStyle w:val="Tabletext"/>
              <w:rPr>
                <w:sz w:val="16"/>
                <w:szCs w:val="16"/>
                <w:lang w:val="en-US"/>
              </w:rPr>
            </w:pPr>
            <w:r w:rsidRPr="00A37097">
              <w:rPr>
                <w:sz w:val="16"/>
                <w:szCs w:val="16"/>
                <w:lang w:val="en-US"/>
              </w:rPr>
              <w:t>290 000</w:t>
            </w:r>
          </w:p>
          <w:p w:rsidR="00BC3845" w:rsidRPr="00A37097" w:rsidRDefault="00BC3845" w:rsidP="00BC3845">
            <w:pPr>
              <w:pStyle w:val="Tabletext"/>
              <w:rPr>
                <w:sz w:val="16"/>
                <w:szCs w:val="16"/>
                <w:lang w:val="en-US"/>
              </w:rPr>
            </w:pPr>
            <w:r w:rsidRPr="00A37097">
              <w:rPr>
                <w:sz w:val="16"/>
                <w:szCs w:val="16"/>
                <w:lang w:val="en-US"/>
              </w:rPr>
              <w:t>580 000</w:t>
            </w:r>
          </w:p>
        </w:tc>
        <w:tc>
          <w:tcPr>
            <w:tcW w:w="1229" w:type="dxa"/>
          </w:tcPr>
          <w:p w:rsidR="00BC3845" w:rsidRPr="00A37097" w:rsidRDefault="00BC3845" w:rsidP="000F2BA7">
            <w:pPr>
              <w:pStyle w:val="Tabletext"/>
              <w:rPr>
                <w:sz w:val="16"/>
                <w:szCs w:val="16"/>
                <w:lang w:val="en-US"/>
              </w:rPr>
            </w:pPr>
          </w:p>
        </w:tc>
        <w:tc>
          <w:tcPr>
            <w:tcW w:w="1501" w:type="dxa"/>
          </w:tcPr>
          <w:p w:rsidR="00BC3845" w:rsidRPr="00A37097" w:rsidRDefault="00BC3845" w:rsidP="000F2BA7">
            <w:pPr>
              <w:pStyle w:val="Tabletext"/>
              <w:rPr>
                <w:sz w:val="16"/>
                <w:szCs w:val="16"/>
                <w:lang w:val="en-US"/>
              </w:rPr>
            </w:pPr>
          </w:p>
        </w:tc>
        <w:tc>
          <w:tcPr>
            <w:tcW w:w="1500" w:type="dxa"/>
          </w:tcPr>
          <w:p w:rsidR="00BC3845" w:rsidRPr="00A37097" w:rsidRDefault="00BC3845" w:rsidP="000F2BA7">
            <w:pPr>
              <w:pStyle w:val="Tabletext"/>
              <w:rPr>
                <w:sz w:val="16"/>
                <w:szCs w:val="16"/>
                <w:lang w:val="en-US"/>
              </w:rPr>
            </w:pPr>
          </w:p>
        </w:tc>
      </w:tr>
      <w:tr w:rsidR="00BC3845" w:rsidRPr="00A37097" w:rsidTr="00A37097">
        <w:trPr>
          <w:jc w:val="center"/>
        </w:trPr>
        <w:tc>
          <w:tcPr>
            <w:tcW w:w="4248" w:type="dxa"/>
          </w:tcPr>
          <w:p w:rsidR="00BC3845" w:rsidRPr="00A37097" w:rsidRDefault="00BC3845" w:rsidP="00BC3845">
            <w:pPr>
              <w:pStyle w:val="Tabletext"/>
              <w:rPr>
                <w:sz w:val="16"/>
                <w:szCs w:val="16"/>
                <w:lang w:val="en-US"/>
              </w:rPr>
            </w:pPr>
            <w:r w:rsidRPr="00A37097">
              <w:rPr>
                <w:sz w:val="16"/>
                <w:szCs w:val="16"/>
                <w:lang w:val="en-US"/>
              </w:rPr>
              <w:t>b1. Terminal station</w:t>
            </w:r>
          </w:p>
          <w:p w:rsidR="00BC3845" w:rsidRPr="00A37097" w:rsidRDefault="00BC3845" w:rsidP="00BC3845">
            <w:pPr>
              <w:pStyle w:val="Tabletext"/>
              <w:rPr>
                <w:sz w:val="16"/>
                <w:szCs w:val="16"/>
                <w:lang w:val="en-US"/>
              </w:rPr>
            </w:pPr>
            <w:r w:rsidRPr="00A37097">
              <w:rPr>
                <w:sz w:val="16"/>
                <w:szCs w:val="16"/>
                <w:lang w:val="en-US"/>
              </w:rPr>
              <w:t>b2. Relay station</w:t>
            </w:r>
          </w:p>
        </w:tc>
        <w:tc>
          <w:tcPr>
            <w:tcW w:w="1161" w:type="dxa"/>
          </w:tcPr>
          <w:p w:rsidR="00BC3845" w:rsidRPr="00A37097" w:rsidRDefault="00BC3845" w:rsidP="000F2BA7">
            <w:pPr>
              <w:pStyle w:val="Tabletext"/>
              <w:rPr>
                <w:sz w:val="16"/>
                <w:szCs w:val="16"/>
                <w:lang w:val="en-US"/>
              </w:rPr>
            </w:pPr>
          </w:p>
        </w:tc>
        <w:tc>
          <w:tcPr>
            <w:tcW w:w="1229" w:type="dxa"/>
          </w:tcPr>
          <w:p w:rsidR="00BC3845" w:rsidRPr="00A37097" w:rsidRDefault="00BC3845" w:rsidP="000F2BA7">
            <w:pPr>
              <w:pStyle w:val="Tabletext"/>
              <w:rPr>
                <w:sz w:val="16"/>
                <w:szCs w:val="16"/>
                <w:lang w:val="en-US"/>
              </w:rPr>
            </w:pPr>
            <w:r w:rsidRPr="00A37097">
              <w:rPr>
                <w:sz w:val="16"/>
                <w:szCs w:val="16"/>
                <w:lang w:val="en-US"/>
              </w:rPr>
              <w:t>34 800</w:t>
            </w:r>
          </w:p>
          <w:p w:rsidR="00BC3845" w:rsidRPr="00A37097" w:rsidRDefault="00BC3845" w:rsidP="000F2BA7">
            <w:pPr>
              <w:pStyle w:val="Tabletext"/>
              <w:rPr>
                <w:sz w:val="16"/>
                <w:szCs w:val="16"/>
                <w:lang w:val="en-US"/>
              </w:rPr>
            </w:pPr>
            <w:r w:rsidRPr="00A37097">
              <w:rPr>
                <w:sz w:val="16"/>
                <w:szCs w:val="16"/>
                <w:lang w:val="en-US"/>
              </w:rPr>
              <w:t>29 000</w:t>
            </w:r>
          </w:p>
        </w:tc>
        <w:tc>
          <w:tcPr>
            <w:tcW w:w="1501" w:type="dxa"/>
          </w:tcPr>
          <w:p w:rsidR="00BC3845" w:rsidRPr="00A37097" w:rsidRDefault="00BC3845" w:rsidP="000F2BA7">
            <w:pPr>
              <w:pStyle w:val="Tabletext"/>
              <w:rPr>
                <w:sz w:val="16"/>
                <w:szCs w:val="16"/>
                <w:lang w:val="en-US"/>
              </w:rPr>
            </w:pPr>
          </w:p>
        </w:tc>
        <w:tc>
          <w:tcPr>
            <w:tcW w:w="1500" w:type="dxa"/>
          </w:tcPr>
          <w:p w:rsidR="00BC3845" w:rsidRPr="00A37097" w:rsidRDefault="00BC3845" w:rsidP="000F2BA7">
            <w:pPr>
              <w:pStyle w:val="Tabletext"/>
              <w:rPr>
                <w:sz w:val="16"/>
                <w:szCs w:val="16"/>
                <w:lang w:val="en-US"/>
              </w:rPr>
            </w:pPr>
          </w:p>
        </w:tc>
      </w:tr>
      <w:tr w:rsidR="00E11218" w:rsidRPr="00A37097" w:rsidTr="00A37097">
        <w:trPr>
          <w:jc w:val="center"/>
        </w:trPr>
        <w:tc>
          <w:tcPr>
            <w:tcW w:w="4248" w:type="dxa"/>
          </w:tcPr>
          <w:p w:rsidR="00E11218" w:rsidRPr="00A37097" w:rsidRDefault="00E11218" w:rsidP="00E11218">
            <w:pPr>
              <w:pStyle w:val="Tabletext"/>
              <w:ind w:left="284" w:right="-57" w:hanging="284"/>
              <w:rPr>
                <w:sz w:val="16"/>
                <w:szCs w:val="16"/>
                <w:lang w:val="en-US"/>
              </w:rPr>
            </w:pPr>
            <w:r w:rsidRPr="00A37097">
              <w:rPr>
                <w:sz w:val="16"/>
                <w:szCs w:val="16"/>
                <w:lang w:val="en-US"/>
              </w:rPr>
              <w:lastRenderedPageBreak/>
              <w:t>c1.</w:t>
            </w:r>
            <w:r w:rsidRPr="00A37097">
              <w:rPr>
                <w:sz w:val="16"/>
                <w:szCs w:val="16"/>
                <w:lang w:val="en-US"/>
              </w:rPr>
              <w:tab/>
              <w:t xml:space="preserve">Links between 1 to 24 telephone channels </w:t>
            </w:r>
            <w:r w:rsidR="003A1BC2">
              <w:rPr>
                <w:sz w:val="16"/>
                <w:szCs w:val="16"/>
                <w:lang w:val="en-US"/>
              </w:rPr>
              <w:br/>
            </w:r>
            <w:r w:rsidRPr="00A37097">
              <w:rPr>
                <w:sz w:val="16"/>
                <w:szCs w:val="16"/>
                <w:lang w:val="en-US"/>
              </w:rPr>
              <w:t>or from 2.1 Mbits/s</w:t>
            </w:r>
          </w:p>
          <w:p w:rsidR="00E11218" w:rsidRPr="00A37097" w:rsidRDefault="00E11218" w:rsidP="00E11218">
            <w:pPr>
              <w:pStyle w:val="Tabletext"/>
              <w:rPr>
                <w:sz w:val="16"/>
                <w:szCs w:val="16"/>
                <w:lang w:val="en-US"/>
              </w:rPr>
            </w:pPr>
            <w:r w:rsidRPr="00A37097">
              <w:rPr>
                <w:sz w:val="16"/>
                <w:szCs w:val="16"/>
                <w:lang w:val="en-US"/>
              </w:rPr>
              <w:t>c2.</w:t>
            </w:r>
            <w:r w:rsidRPr="00A37097">
              <w:rPr>
                <w:sz w:val="16"/>
                <w:szCs w:val="16"/>
                <w:lang w:val="en-US"/>
              </w:rPr>
              <w:tab/>
              <w:t xml:space="preserve">Links between 25 to 120 telephone channels </w:t>
            </w:r>
            <w:r w:rsidRPr="00A37097">
              <w:rPr>
                <w:sz w:val="16"/>
                <w:szCs w:val="16"/>
                <w:lang w:val="en-US"/>
              </w:rPr>
              <w:br/>
            </w:r>
            <w:r w:rsidRPr="00A37097">
              <w:rPr>
                <w:sz w:val="16"/>
                <w:szCs w:val="16"/>
                <w:lang w:val="en-US"/>
              </w:rPr>
              <w:tab/>
              <w:t>or from 2.1 to 8 Mbits/s</w:t>
            </w:r>
          </w:p>
          <w:p w:rsidR="00E11218" w:rsidRPr="00A37097" w:rsidRDefault="00E11218" w:rsidP="00A37097">
            <w:pPr>
              <w:pStyle w:val="Tabletext"/>
              <w:ind w:left="284" w:right="-57" w:hanging="284"/>
              <w:rPr>
                <w:sz w:val="16"/>
                <w:szCs w:val="16"/>
                <w:lang w:val="en-US"/>
              </w:rPr>
            </w:pPr>
            <w:r w:rsidRPr="00A37097">
              <w:rPr>
                <w:sz w:val="16"/>
                <w:szCs w:val="16"/>
                <w:lang w:val="en-US"/>
              </w:rPr>
              <w:t>c3.</w:t>
            </w:r>
            <w:r w:rsidRPr="00A37097">
              <w:rPr>
                <w:sz w:val="16"/>
                <w:szCs w:val="16"/>
                <w:lang w:val="en-US"/>
              </w:rPr>
              <w:tab/>
              <w:t xml:space="preserve">Links from 121 to 600 telephone channels </w:t>
            </w:r>
            <w:r w:rsidR="003A1BC2">
              <w:rPr>
                <w:sz w:val="16"/>
                <w:szCs w:val="16"/>
                <w:lang w:val="en-US"/>
              </w:rPr>
              <w:br/>
            </w:r>
            <w:r w:rsidRPr="00A37097">
              <w:rPr>
                <w:sz w:val="16"/>
                <w:szCs w:val="16"/>
                <w:lang w:val="en-US"/>
              </w:rPr>
              <w:t>or from 8 to 34</w:t>
            </w:r>
            <w:r w:rsidR="00A37097">
              <w:rPr>
                <w:sz w:val="16"/>
                <w:szCs w:val="16"/>
                <w:lang w:val="en-US"/>
              </w:rPr>
              <w:t> </w:t>
            </w:r>
            <w:r w:rsidRPr="00A37097">
              <w:rPr>
                <w:sz w:val="16"/>
                <w:szCs w:val="16"/>
                <w:lang w:val="en-US"/>
              </w:rPr>
              <w:t>Mbits/s</w:t>
            </w:r>
          </w:p>
          <w:p w:rsidR="00E11218" w:rsidRPr="00A37097" w:rsidRDefault="00E11218" w:rsidP="00E11218">
            <w:pPr>
              <w:pStyle w:val="Tabletext"/>
              <w:ind w:left="284" w:right="-57" w:hanging="284"/>
              <w:rPr>
                <w:sz w:val="16"/>
                <w:szCs w:val="16"/>
                <w:lang w:val="en-US"/>
              </w:rPr>
            </w:pPr>
            <w:r w:rsidRPr="00A37097">
              <w:rPr>
                <w:sz w:val="16"/>
                <w:szCs w:val="16"/>
                <w:lang w:val="en-US"/>
              </w:rPr>
              <w:t>c4.</w:t>
            </w:r>
            <w:r w:rsidRPr="00A37097">
              <w:rPr>
                <w:sz w:val="16"/>
                <w:szCs w:val="16"/>
                <w:lang w:val="en-US"/>
              </w:rPr>
              <w:tab/>
              <w:t>Links with mo</w:t>
            </w:r>
            <w:r w:rsidR="00A37097">
              <w:rPr>
                <w:sz w:val="16"/>
                <w:szCs w:val="16"/>
                <w:lang w:val="en-US"/>
              </w:rPr>
              <w:t xml:space="preserve">re than 600 telephone channels </w:t>
            </w:r>
            <w:r w:rsidR="003A1BC2">
              <w:rPr>
                <w:sz w:val="16"/>
                <w:szCs w:val="16"/>
                <w:lang w:val="en-US"/>
              </w:rPr>
              <w:br/>
            </w:r>
            <w:r w:rsidRPr="00A37097">
              <w:rPr>
                <w:sz w:val="16"/>
                <w:szCs w:val="16"/>
                <w:lang w:val="en-US"/>
              </w:rPr>
              <w:t>or more than 34 Mbits/s</w:t>
            </w:r>
          </w:p>
        </w:tc>
        <w:tc>
          <w:tcPr>
            <w:tcW w:w="1161" w:type="dxa"/>
          </w:tcPr>
          <w:p w:rsidR="00E11218" w:rsidRPr="00A37097" w:rsidRDefault="00E11218" w:rsidP="000F2BA7">
            <w:pPr>
              <w:pStyle w:val="Tabletext"/>
              <w:rPr>
                <w:sz w:val="16"/>
                <w:szCs w:val="16"/>
                <w:lang w:val="en-US"/>
              </w:rPr>
            </w:pPr>
          </w:p>
        </w:tc>
        <w:tc>
          <w:tcPr>
            <w:tcW w:w="1229" w:type="dxa"/>
          </w:tcPr>
          <w:p w:rsidR="00E11218" w:rsidRPr="00A37097" w:rsidRDefault="00E11218" w:rsidP="000F2BA7">
            <w:pPr>
              <w:pStyle w:val="Tabletext"/>
              <w:rPr>
                <w:sz w:val="16"/>
                <w:szCs w:val="16"/>
                <w:lang w:val="en-US"/>
              </w:rPr>
            </w:pPr>
          </w:p>
        </w:tc>
        <w:tc>
          <w:tcPr>
            <w:tcW w:w="1501" w:type="dxa"/>
          </w:tcPr>
          <w:p w:rsidR="00E11218" w:rsidRPr="00A37097" w:rsidRDefault="00E11218" w:rsidP="000F2BA7">
            <w:pPr>
              <w:pStyle w:val="Tabletext"/>
              <w:rPr>
                <w:sz w:val="16"/>
                <w:szCs w:val="16"/>
                <w:lang w:val="en-US"/>
              </w:rPr>
            </w:pPr>
          </w:p>
        </w:tc>
        <w:tc>
          <w:tcPr>
            <w:tcW w:w="1500" w:type="dxa"/>
          </w:tcPr>
          <w:p w:rsidR="00E11218" w:rsidRPr="00A37097" w:rsidRDefault="00796BB3" w:rsidP="00E11218">
            <w:pPr>
              <w:pStyle w:val="Tabletext"/>
              <w:rPr>
                <w:sz w:val="16"/>
                <w:szCs w:val="16"/>
                <w:lang w:val="en-US"/>
              </w:rPr>
            </w:pPr>
            <w:r w:rsidRPr="00A37097">
              <w:rPr>
                <w:sz w:val="16"/>
                <w:szCs w:val="16"/>
                <w:lang w:val="en-US"/>
              </w:rPr>
              <w:br/>
            </w:r>
            <w:r w:rsidR="00E11218" w:rsidRPr="00A37097">
              <w:rPr>
                <w:sz w:val="16"/>
                <w:szCs w:val="16"/>
                <w:lang w:val="en-US"/>
              </w:rPr>
              <w:t>1 160 000</w:t>
            </w:r>
          </w:p>
          <w:p w:rsidR="00E11218" w:rsidRPr="00A37097" w:rsidRDefault="00796BB3" w:rsidP="00E11218">
            <w:pPr>
              <w:pStyle w:val="Tabletext"/>
              <w:rPr>
                <w:sz w:val="16"/>
                <w:szCs w:val="16"/>
                <w:lang w:val="en-US"/>
              </w:rPr>
            </w:pPr>
            <w:r w:rsidRPr="00A37097">
              <w:rPr>
                <w:sz w:val="16"/>
                <w:szCs w:val="16"/>
                <w:lang w:val="en-US"/>
              </w:rPr>
              <w:br/>
            </w:r>
            <w:r w:rsidR="00E11218" w:rsidRPr="00A37097">
              <w:rPr>
                <w:sz w:val="16"/>
                <w:szCs w:val="16"/>
                <w:lang w:val="en-US"/>
              </w:rPr>
              <w:t>1 450 000</w:t>
            </w:r>
          </w:p>
          <w:p w:rsidR="00E11218" w:rsidRPr="00A37097" w:rsidRDefault="00796BB3" w:rsidP="00E11218">
            <w:pPr>
              <w:pStyle w:val="Tabletext"/>
              <w:rPr>
                <w:sz w:val="16"/>
                <w:szCs w:val="16"/>
                <w:lang w:val="en-US"/>
              </w:rPr>
            </w:pPr>
            <w:r w:rsidRPr="00A37097">
              <w:rPr>
                <w:sz w:val="16"/>
                <w:szCs w:val="16"/>
                <w:lang w:val="en-US"/>
              </w:rPr>
              <w:br/>
            </w:r>
            <w:r w:rsidR="00E11218" w:rsidRPr="00A37097">
              <w:rPr>
                <w:sz w:val="16"/>
                <w:szCs w:val="16"/>
                <w:lang w:val="en-US"/>
              </w:rPr>
              <w:t>1 740 000</w:t>
            </w:r>
          </w:p>
          <w:p w:rsidR="00E11218" w:rsidRPr="00A37097" w:rsidRDefault="00796BB3" w:rsidP="00E11218">
            <w:pPr>
              <w:pStyle w:val="Tabletext"/>
              <w:rPr>
                <w:sz w:val="16"/>
                <w:szCs w:val="16"/>
                <w:lang w:val="en-US"/>
              </w:rPr>
            </w:pPr>
            <w:r w:rsidRPr="00A37097">
              <w:rPr>
                <w:sz w:val="16"/>
                <w:szCs w:val="16"/>
                <w:lang w:val="en-US"/>
              </w:rPr>
              <w:br/>
            </w:r>
            <w:r w:rsidR="00E11218" w:rsidRPr="00A37097">
              <w:rPr>
                <w:sz w:val="16"/>
                <w:szCs w:val="16"/>
                <w:lang w:val="en-US"/>
              </w:rPr>
              <w:t>2 900 000</w:t>
            </w:r>
          </w:p>
        </w:tc>
      </w:tr>
      <w:tr w:rsidR="00796BB3" w:rsidRPr="00D17B5B" w:rsidTr="00A37097">
        <w:trPr>
          <w:jc w:val="center"/>
        </w:trPr>
        <w:tc>
          <w:tcPr>
            <w:tcW w:w="4248" w:type="dxa"/>
          </w:tcPr>
          <w:p w:rsidR="00796BB3" w:rsidRPr="00A37097" w:rsidRDefault="00796BB3" w:rsidP="00A37097">
            <w:pPr>
              <w:pStyle w:val="Tabletext"/>
              <w:ind w:left="284" w:right="-113" w:hanging="284"/>
              <w:rPr>
                <w:sz w:val="16"/>
                <w:szCs w:val="16"/>
                <w:lang w:val="en-US"/>
              </w:rPr>
            </w:pPr>
            <w:r w:rsidRPr="00A37097">
              <w:rPr>
                <w:sz w:val="16"/>
                <w:szCs w:val="16"/>
                <w:lang w:val="en-US"/>
              </w:rPr>
              <w:t>II.</w:t>
            </w:r>
            <w:r w:rsidRPr="00A37097">
              <w:rPr>
                <w:sz w:val="16"/>
                <w:szCs w:val="16"/>
                <w:lang w:val="en-US"/>
              </w:rPr>
              <w:tab/>
              <w:t>FIXED AND TERRESTRIAL MOBILE NETWORKS OPENED TO THE PUBLIC (Profitable business)</w:t>
            </w:r>
          </w:p>
        </w:tc>
        <w:tc>
          <w:tcPr>
            <w:tcW w:w="1161" w:type="dxa"/>
          </w:tcPr>
          <w:p w:rsidR="00796BB3" w:rsidRPr="00A37097" w:rsidRDefault="00796BB3" w:rsidP="000F2BA7">
            <w:pPr>
              <w:pStyle w:val="Tabletext"/>
              <w:rPr>
                <w:sz w:val="16"/>
                <w:szCs w:val="16"/>
                <w:lang w:val="en-US"/>
              </w:rPr>
            </w:pPr>
          </w:p>
        </w:tc>
        <w:tc>
          <w:tcPr>
            <w:tcW w:w="1229" w:type="dxa"/>
          </w:tcPr>
          <w:p w:rsidR="00796BB3" w:rsidRPr="00A37097" w:rsidRDefault="00796BB3" w:rsidP="000F2BA7">
            <w:pPr>
              <w:pStyle w:val="Tabletext"/>
              <w:rPr>
                <w:sz w:val="16"/>
                <w:szCs w:val="16"/>
                <w:lang w:val="en-US"/>
              </w:rPr>
            </w:pPr>
          </w:p>
        </w:tc>
        <w:tc>
          <w:tcPr>
            <w:tcW w:w="1501" w:type="dxa"/>
          </w:tcPr>
          <w:p w:rsidR="00796BB3" w:rsidRPr="00A37097" w:rsidRDefault="00796BB3" w:rsidP="000F2BA7">
            <w:pPr>
              <w:pStyle w:val="Tabletext"/>
              <w:rPr>
                <w:sz w:val="16"/>
                <w:szCs w:val="16"/>
                <w:lang w:val="en-US"/>
              </w:rPr>
            </w:pPr>
          </w:p>
        </w:tc>
        <w:tc>
          <w:tcPr>
            <w:tcW w:w="1500" w:type="dxa"/>
          </w:tcPr>
          <w:p w:rsidR="00796BB3" w:rsidRPr="00A37097" w:rsidRDefault="00796BB3" w:rsidP="000F2BA7">
            <w:pPr>
              <w:pStyle w:val="Tabletext"/>
              <w:rPr>
                <w:sz w:val="16"/>
                <w:szCs w:val="16"/>
                <w:lang w:val="en-US"/>
              </w:rPr>
            </w:pPr>
          </w:p>
        </w:tc>
      </w:tr>
      <w:tr w:rsidR="00796BB3" w:rsidRPr="00D17B5B" w:rsidTr="00A37097">
        <w:trPr>
          <w:jc w:val="center"/>
        </w:trPr>
        <w:tc>
          <w:tcPr>
            <w:tcW w:w="4248" w:type="dxa"/>
          </w:tcPr>
          <w:p w:rsidR="00796BB3" w:rsidRPr="00A37097" w:rsidRDefault="00796BB3" w:rsidP="000F2BA7">
            <w:pPr>
              <w:pStyle w:val="Tabletext"/>
              <w:ind w:right="-113"/>
              <w:rPr>
                <w:sz w:val="16"/>
                <w:szCs w:val="16"/>
                <w:lang w:val="en-US"/>
              </w:rPr>
            </w:pPr>
            <w:r w:rsidRPr="00A37097">
              <w:rPr>
                <w:sz w:val="16"/>
                <w:szCs w:val="16"/>
                <w:lang w:val="en-US"/>
              </w:rPr>
              <w:t>II.1.</w:t>
            </w:r>
            <w:r w:rsidRPr="00A37097">
              <w:rPr>
                <w:sz w:val="16"/>
                <w:szCs w:val="16"/>
                <w:lang w:val="en-US"/>
              </w:rPr>
              <w:tab/>
              <w:t>Research and Message networks (Paging)</w:t>
            </w:r>
            <w:r w:rsidRPr="00A37097">
              <w:rPr>
                <w:sz w:val="16"/>
                <w:szCs w:val="16"/>
                <w:lang w:val="en-US"/>
              </w:rPr>
              <w:br/>
            </w:r>
            <w:r w:rsidRPr="00A37097">
              <w:rPr>
                <w:sz w:val="16"/>
                <w:szCs w:val="16"/>
                <w:lang w:val="en-US"/>
              </w:rPr>
              <w:tab/>
              <w:t>(</w:t>
            </w:r>
            <w:r w:rsidR="003A1BC2" w:rsidRPr="00A37097">
              <w:rPr>
                <w:sz w:val="16"/>
                <w:szCs w:val="16"/>
                <w:lang w:val="en-US"/>
              </w:rPr>
              <w:t xml:space="preserve">with </w:t>
            </w:r>
            <w:r w:rsidRPr="00A37097">
              <w:rPr>
                <w:sz w:val="16"/>
                <w:szCs w:val="16"/>
                <w:lang w:val="en-US"/>
              </w:rPr>
              <w:t>12.5 KHz bandwidth)</w:t>
            </w:r>
          </w:p>
        </w:tc>
        <w:tc>
          <w:tcPr>
            <w:tcW w:w="1161" w:type="dxa"/>
          </w:tcPr>
          <w:p w:rsidR="00796BB3" w:rsidRPr="00A37097" w:rsidRDefault="00796BB3" w:rsidP="000F2BA7">
            <w:pPr>
              <w:pStyle w:val="Tabletext"/>
              <w:rPr>
                <w:sz w:val="16"/>
                <w:szCs w:val="16"/>
                <w:lang w:val="en-US"/>
              </w:rPr>
            </w:pPr>
          </w:p>
        </w:tc>
        <w:tc>
          <w:tcPr>
            <w:tcW w:w="1229" w:type="dxa"/>
          </w:tcPr>
          <w:p w:rsidR="00796BB3" w:rsidRPr="00A37097" w:rsidRDefault="00796BB3" w:rsidP="000F2BA7">
            <w:pPr>
              <w:pStyle w:val="Tabletext"/>
              <w:rPr>
                <w:sz w:val="16"/>
                <w:szCs w:val="16"/>
                <w:lang w:val="en-US"/>
              </w:rPr>
            </w:pPr>
          </w:p>
        </w:tc>
        <w:tc>
          <w:tcPr>
            <w:tcW w:w="1501" w:type="dxa"/>
          </w:tcPr>
          <w:p w:rsidR="00796BB3" w:rsidRPr="00A37097" w:rsidRDefault="00796BB3" w:rsidP="000F2BA7">
            <w:pPr>
              <w:pStyle w:val="Tabletext"/>
              <w:rPr>
                <w:sz w:val="16"/>
                <w:szCs w:val="16"/>
                <w:lang w:val="en-US"/>
              </w:rPr>
            </w:pPr>
          </w:p>
        </w:tc>
        <w:tc>
          <w:tcPr>
            <w:tcW w:w="1500" w:type="dxa"/>
          </w:tcPr>
          <w:p w:rsidR="00796BB3" w:rsidRPr="00A37097" w:rsidRDefault="00796BB3" w:rsidP="000F2BA7">
            <w:pPr>
              <w:pStyle w:val="Tabletext"/>
              <w:rPr>
                <w:sz w:val="16"/>
                <w:szCs w:val="16"/>
                <w:lang w:val="en-US"/>
              </w:rPr>
            </w:pPr>
          </w:p>
        </w:tc>
      </w:tr>
      <w:tr w:rsidR="00796BB3" w:rsidRPr="00A37097" w:rsidTr="00A37097">
        <w:trPr>
          <w:jc w:val="center"/>
        </w:trPr>
        <w:tc>
          <w:tcPr>
            <w:tcW w:w="4248" w:type="dxa"/>
          </w:tcPr>
          <w:p w:rsidR="00796BB3" w:rsidRPr="00A37097" w:rsidRDefault="00796BB3" w:rsidP="00796BB3">
            <w:pPr>
              <w:pStyle w:val="Tabletext"/>
              <w:rPr>
                <w:sz w:val="16"/>
                <w:szCs w:val="16"/>
                <w:lang w:val="en-US"/>
              </w:rPr>
            </w:pPr>
            <w:r w:rsidRPr="00A37097">
              <w:rPr>
                <w:sz w:val="16"/>
                <w:szCs w:val="16"/>
                <w:lang w:val="en-US"/>
              </w:rPr>
              <w:t>a1. Local (urban) network</w:t>
            </w:r>
          </w:p>
          <w:p w:rsidR="00796BB3" w:rsidRPr="00A37097" w:rsidRDefault="00796BB3" w:rsidP="00796BB3">
            <w:pPr>
              <w:pStyle w:val="Tabletext"/>
              <w:rPr>
                <w:sz w:val="16"/>
                <w:szCs w:val="16"/>
                <w:lang w:val="en-US"/>
              </w:rPr>
            </w:pPr>
            <w:r w:rsidRPr="00A37097">
              <w:rPr>
                <w:sz w:val="16"/>
                <w:szCs w:val="16"/>
                <w:lang w:val="en-US"/>
              </w:rPr>
              <w:t>a2. Regional (interurban) network</w:t>
            </w:r>
          </w:p>
          <w:p w:rsidR="00796BB3" w:rsidRPr="00A37097" w:rsidRDefault="00796BB3" w:rsidP="00796BB3">
            <w:pPr>
              <w:pStyle w:val="Tabletext"/>
              <w:rPr>
                <w:sz w:val="16"/>
                <w:szCs w:val="16"/>
                <w:lang w:val="en-US"/>
              </w:rPr>
            </w:pPr>
            <w:r w:rsidRPr="00A37097">
              <w:rPr>
                <w:sz w:val="16"/>
                <w:szCs w:val="16"/>
                <w:lang w:val="en-US"/>
              </w:rPr>
              <w:t>a3. National network</w:t>
            </w:r>
          </w:p>
        </w:tc>
        <w:tc>
          <w:tcPr>
            <w:tcW w:w="1161" w:type="dxa"/>
          </w:tcPr>
          <w:p w:rsidR="00796BB3" w:rsidRPr="00A37097" w:rsidRDefault="00796BB3" w:rsidP="00796BB3">
            <w:pPr>
              <w:pStyle w:val="Tabletext"/>
              <w:rPr>
                <w:sz w:val="16"/>
                <w:szCs w:val="16"/>
                <w:lang w:val="en-US"/>
              </w:rPr>
            </w:pPr>
            <w:r w:rsidRPr="00A37097">
              <w:rPr>
                <w:sz w:val="16"/>
                <w:szCs w:val="16"/>
                <w:lang w:val="en-US"/>
              </w:rPr>
              <w:t>1 160 000</w:t>
            </w:r>
          </w:p>
          <w:p w:rsidR="00796BB3" w:rsidRPr="00A37097" w:rsidRDefault="00796BB3" w:rsidP="00796BB3">
            <w:pPr>
              <w:pStyle w:val="Tabletext"/>
              <w:rPr>
                <w:sz w:val="16"/>
                <w:szCs w:val="16"/>
                <w:lang w:val="en-US"/>
              </w:rPr>
            </w:pPr>
            <w:r w:rsidRPr="00A37097">
              <w:rPr>
                <w:sz w:val="16"/>
                <w:szCs w:val="16"/>
                <w:lang w:val="en-US"/>
              </w:rPr>
              <w:t>1 740 000</w:t>
            </w:r>
          </w:p>
          <w:p w:rsidR="00796BB3" w:rsidRPr="00A37097" w:rsidRDefault="00796BB3" w:rsidP="00796BB3">
            <w:pPr>
              <w:pStyle w:val="Tabletext"/>
              <w:rPr>
                <w:sz w:val="16"/>
                <w:szCs w:val="16"/>
                <w:lang w:val="en-US"/>
              </w:rPr>
            </w:pPr>
            <w:r w:rsidRPr="00A37097">
              <w:rPr>
                <w:sz w:val="16"/>
                <w:szCs w:val="16"/>
                <w:lang w:val="en-US"/>
              </w:rPr>
              <w:t>3 770 000</w:t>
            </w:r>
          </w:p>
        </w:tc>
        <w:tc>
          <w:tcPr>
            <w:tcW w:w="1229" w:type="dxa"/>
          </w:tcPr>
          <w:p w:rsidR="00796BB3" w:rsidRPr="00A37097" w:rsidRDefault="00796BB3" w:rsidP="000F2BA7">
            <w:pPr>
              <w:pStyle w:val="Tabletext"/>
              <w:rPr>
                <w:sz w:val="16"/>
                <w:szCs w:val="16"/>
                <w:lang w:val="en-US"/>
              </w:rPr>
            </w:pPr>
          </w:p>
        </w:tc>
        <w:tc>
          <w:tcPr>
            <w:tcW w:w="1501" w:type="dxa"/>
          </w:tcPr>
          <w:p w:rsidR="00796BB3" w:rsidRPr="00A37097" w:rsidRDefault="00796BB3" w:rsidP="00796BB3">
            <w:pPr>
              <w:pStyle w:val="Tabletext"/>
              <w:rPr>
                <w:sz w:val="16"/>
                <w:szCs w:val="16"/>
                <w:lang w:val="en-US"/>
              </w:rPr>
            </w:pPr>
            <w:r w:rsidRPr="00A37097">
              <w:rPr>
                <w:sz w:val="16"/>
                <w:szCs w:val="16"/>
                <w:lang w:val="en-US"/>
              </w:rPr>
              <w:t>5 800 000</w:t>
            </w:r>
          </w:p>
          <w:p w:rsidR="00796BB3" w:rsidRPr="00A37097" w:rsidRDefault="00796BB3" w:rsidP="00796BB3">
            <w:pPr>
              <w:pStyle w:val="Tabletext"/>
              <w:rPr>
                <w:sz w:val="16"/>
                <w:szCs w:val="16"/>
                <w:lang w:val="en-US"/>
              </w:rPr>
            </w:pPr>
            <w:r w:rsidRPr="00A37097">
              <w:rPr>
                <w:sz w:val="16"/>
                <w:szCs w:val="16"/>
                <w:lang w:val="en-US"/>
              </w:rPr>
              <w:t>14 500 000</w:t>
            </w:r>
          </w:p>
          <w:p w:rsidR="00796BB3" w:rsidRPr="00A37097" w:rsidRDefault="00796BB3" w:rsidP="00796BB3">
            <w:pPr>
              <w:pStyle w:val="Tabletext"/>
              <w:rPr>
                <w:sz w:val="16"/>
                <w:szCs w:val="16"/>
                <w:lang w:val="en-US"/>
              </w:rPr>
            </w:pPr>
            <w:r w:rsidRPr="00A37097">
              <w:rPr>
                <w:sz w:val="16"/>
                <w:szCs w:val="16"/>
                <w:lang w:val="en-US"/>
              </w:rPr>
              <w:t>29 000000</w:t>
            </w:r>
          </w:p>
        </w:tc>
        <w:tc>
          <w:tcPr>
            <w:tcW w:w="1500" w:type="dxa"/>
          </w:tcPr>
          <w:p w:rsidR="00796BB3" w:rsidRPr="00A37097" w:rsidRDefault="00796BB3" w:rsidP="000F2BA7">
            <w:pPr>
              <w:pStyle w:val="Tabletext"/>
              <w:rPr>
                <w:sz w:val="16"/>
                <w:szCs w:val="16"/>
                <w:lang w:val="en-US"/>
              </w:rPr>
            </w:pPr>
          </w:p>
        </w:tc>
      </w:tr>
      <w:tr w:rsidR="00796BB3" w:rsidRPr="00A37097" w:rsidTr="00A37097">
        <w:trPr>
          <w:jc w:val="center"/>
        </w:trPr>
        <w:tc>
          <w:tcPr>
            <w:tcW w:w="4248" w:type="dxa"/>
          </w:tcPr>
          <w:p w:rsidR="00796BB3" w:rsidRPr="00A37097" w:rsidRDefault="00796BB3" w:rsidP="000F2BA7">
            <w:pPr>
              <w:pStyle w:val="Tabletext"/>
              <w:rPr>
                <w:sz w:val="16"/>
                <w:szCs w:val="16"/>
                <w:lang w:val="en-US"/>
              </w:rPr>
            </w:pPr>
            <w:r w:rsidRPr="00A37097">
              <w:rPr>
                <w:sz w:val="16"/>
                <w:szCs w:val="16"/>
                <w:lang w:val="en-US"/>
              </w:rPr>
              <w:t>b1. Base station</w:t>
            </w:r>
          </w:p>
        </w:tc>
        <w:tc>
          <w:tcPr>
            <w:tcW w:w="1161" w:type="dxa"/>
          </w:tcPr>
          <w:p w:rsidR="00796BB3" w:rsidRPr="00A37097" w:rsidRDefault="00796BB3" w:rsidP="000F2BA7">
            <w:pPr>
              <w:pStyle w:val="Tabletext"/>
              <w:rPr>
                <w:sz w:val="16"/>
                <w:szCs w:val="16"/>
                <w:lang w:val="en-US"/>
              </w:rPr>
            </w:pPr>
          </w:p>
        </w:tc>
        <w:tc>
          <w:tcPr>
            <w:tcW w:w="1229" w:type="dxa"/>
          </w:tcPr>
          <w:p w:rsidR="00796BB3" w:rsidRPr="00A37097" w:rsidRDefault="00796BB3" w:rsidP="000F2BA7">
            <w:pPr>
              <w:pStyle w:val="Tabletext"/>
              <w:rPr>
                <w:sz w:val="16"/>
                <w:szCs w:val="16"/>
                <w:lang w:val="en-US"/>
              </w:rPr>
            </w:pPr>
            <w:r w:rsidRPr="00A37097">
              <w:rPr>
                <w:sz w:val="16"/>
                <w:szCs w:val="16"/>
                <w:lang w:val="en-US"/>
              </w:rPr>
              <w:t>34 800</w:t>
            </w:r>
          </w:p>
        </w:tc>
        <w:tc>
          <w:tcPr>
            <w:tcW w:w="1501" w:type="dxa"/>
          </w:tcPr>
          <w:p w:rsidR="00796BB3" w:rsidRPr="00A37097" w:rsidRDefault="00796BB3" w:rsidP="000F2BA7">
            <w:pPr>
              <w:pStyle w:val="Tabletext"/>
              <w:rPr>
                <w:sz w:val="16"/>
                <w:szCs w:val="16"/>
                <w:lang w:val="en-US"/>
              </w:rPr>
            </w:pPr>
          </w:p>
        </w:tc>
        <w:tc>
          <w:tcPr>
            <w:tcW w:w="1500" w:type="dxa"/>
          </w:tcPr>
          <w:p w:rsidR="00796BB3" w:rsidRPr="00A37097" w:rsidRDefault="00796BB3" w:rsidP="000F2BA7">
            <w:pPr>
              <w:pStyle w:val="Tabletext"/>
              <w:rPr>
                <w:sz w:val="16"/>
                <w:szCs w:val="16"/>
                <w:lang w:val="en-US"/>
              </w:rPr>
            </w:pPr>
          </w:p>
        </w:tc>
      </w:tr>
      <w:tr w:rsidR="00796BB3" w:rsidRPr="00A37097" w:rsidTr="00A37097">
        <w:trPr>
          <w:jc w:val="center"/>
        </w:trPr>
        <w:tc>
          <w:tcPr>
            <w:tcW w:w="4248" w:type="dxa"/>
          </w:tcPr>
          <w:p w:rsidR="00796BB3" w:rsidRPr="00A37097" w:rsidRDefault="00796BB3" w:rsidP="00796BB3">
            <w:pPr>
              <w:pStyle w:val="Tabletext"/>
              <w:keepNext/>
              <w:keepLines/>
              <w:rPr>
                <w:sz w:val="16"/>
                <w:szCs w:val="16"/>
                <w:lang w:val="en-US"/>
              </w:rPr>
            </w:pPr>
            <w:r w:rsidRPr="00A37097">
              <w:rPr>
                <w:sz w:val="16"/>
                <w:szCs w:val="16"/>
                <w:lang w:val="en-US"/>
              </w:rPr>
              <w:t>c1. Locally available frequency</w:t>
            </w:r>
          </w:p>
          <w:p w:rsidR="00796BB3" w:rsidRPr="00A37097" w:rsidRDefault="00796BB3" w:rsidP="00796BB3">
            <w:pPr>
              <w:pStyle w:val="Tabletext"/>
              <w:keepNext/>
              <w:keepLines/>
              <w:rPr>
                <w:sz w:val="16"/>
                <w:szCs w:val="16"/>
                <w:lang w:val="en-US"/>
              </w:rPr>
            </w:pPr>
            <w:r w:rsidRPr="00A37097">
              <w:rPr>
                <w:sz w:val="16"/>
                <w:szCs w:val="16"/>
                <w:lang w:val="en-US"/>
              </w:rPr>
              <w:t>c2. Regionally available frequency</w:t>
            </w:r>
          </w:p>
          <w:p w:rsidR="00796BB3" w:rsidRPr="00A37097" w:rsidRDefault="00796BB3" w:rsidP="00796BB3">
            <w:pPr>
              <w:pStyle w:val="Tabletext"/>
              <w:rPr>
                <w:sz w:val="16"/>
                <w:szCs w:val="16"/>
                <w:lang w:val="en-US"/>
              </w:rPr>
            </w:pPr>
            <w:r w:rsidRPr="00A37097">
              <w:rPr>
                <w:sz w:val="16"/>
                <w:szCs w:val="16"/>
                <w:lang w:val="en-US"/>
              </w:rPr>
              <w:t>c3. Nationally available frequency</w:t>
            </w:r>
          </w:p>
        </w:tc>
        <w:tc>
          <w:tcPr>
            <w:tcW w:w="1161" w:type="dxa"/>
          </w:tcPr>
          <w:p w:rsidR="00796BB3" w:rsidRPr="00A37097" w:rsidRDefault="00796BB3" w:rsidP="000F2BA7">
            <w:pPr>
              <w:pStyle w:val="Tabletext"/>
              <w:rPr>
                <w:sz w:val="16"/>
                <w:szCs w:val="16"/>
                <w:lang w:val="en-US"/>
              </w:rPr>
            </w:pPr>
          </w:p>
        </w:tc>
        <w:tc>
          <w:tcPr>
            <w:tcW w:w="1229" w:type="dxa"/>
          </w:tcPr>
          <w:p w:rsidR="00796BB3" w:rsidRPr="00A37097" w:rsidRDefault="00796BB3" w:rsidP="000F2BA7">
            <w:pPr>
              <w:pStyle w:val="Tabletext"/>
              <w:rPr>
                <w:sz w:val="16"/>
                <w:szCs w:val="16"/>
                <w:lang w:val="en-US"/>
              </w:rPr>
            </w:pPr>
          </w:p>
        </w:tc>
        <w:tc>
          <w:tcPr>
            <w:tcW w:w="1501" w:type="dxa"/>
          </w:tcPr>
          <w:p w:rsidR="00796BB3" w:rsidRPr="00A37097" w:rsidRDefault="00796BB3" w:rsidP="000F2BA7">
            <w:pPr>
              <w:pStyle w:val="Tabletext"/>
              <w:rPr>
                <w:sz w:val="16"/>
                <w:szCs w:val="16"/>
                <w:lang w:val="en-US"/>
              </w:rPr>
            </w:pPr>
          </w:p>
        </w:tc>
        <w:tc>
          <w:tcPr>
            <w:tcW w:w="1500" w:type="dxa"/>
          </w:tcPr>
          <w:p w:rsidR="00796BB3" w:rsidRPr="00A37097" w:rsidRDefault="00796BB3" w:rsidP="00796BB3">
            <w:pPr>
              <w:pStyle w:val="Tabletext"/>
              <w:rPr>
                <w:sz w:val="16"/>
                <w:szCs w:val="16"/>
                <w:lang w:val="en-US"/>
              </w:rPr>
            </w:pPr>
            <w:r w:rsidRPr="00A37097">
              <w:rPr>
                <w:sz w:val="16"/>
                <w:szCs w:val="16"/>
                <w:lang w:val="en-US"/>
              </w:rPr>
              <w:t>3 480 000</w:t>
            </w:r>
          </w:p>
          <w:p w:rsidR="00796BB3" w:rsidRPr="00A37097" w:rsidRDefault="00796BB3" w:rsidP="00796BB3">
            <w:pPr>
              <w:pStyle w:val="Tabletext"/>
              <w:rPr>
                <w:sz w:val="16"/>
                <w:szCs w:val="16"/>
                <w:lang w:val="en-US"/>
              </w:rPr>
            </w:pPr>
            <w:r w:rsidRPr="00A37097">
              <w:rPr>
                <w:sz w:val="16"/>
                <w:szCs w:val="16"/>
                <w:lang w:val="en-US"/>
              </w:rPr>
              <w:t>5 800 000</w:t>
            </w:r>
          </w:p>
          <w:p w:rsidR="00796BB3" w:rsidRPr="00A37097" w:rsidRDefault="00796BB3" w:rsidP="00796BB3">
            <w:pPr>
              <w:pStyle w:val="Tabletext"/>
              <w:rPr>
                <w:sz w:val="16"/>
                <w:szCs w:val="16"/>
                <w:lang w:val="en-US"/>
              </w:rPr>
            </w:pPr>
            <w:r w:rsidRPr="00A37097">
              <w:rPr>
                <w:sz w:val="16"/>
                <w:szCs w:val="16"/>
                <w:lang w:val="en-US"/>
              </w:rPr>
              <w:t>8 700 000</w:t>
            </w:r>
          </w:p>
        </w:tc>
      </w:tr>
      <w:tr w:rsidR="00796BB3" w:rsidRPr="00D17B5B" w:rsidTr="00A37097">
        <w:trPr>
          <w:jc w:val="center"/>
        </w:trPr>
        <w:tc>
          <w:tcPr>
            <w:tcW w:w="4248" w:type="dxa"/>
          </w:tcPr>
          <w:p w:rsidR="00796BB3" w:rsidRPr="00A37097" w:rsidRDefault="00796BB3" w:rsidP="005C0761">
            <w:pPr>
              <w:pStyle w:val="Tabletext"/>
              <w:ind w:left="284" w:hanging="284"/>
              <w:rPr>
                <w:sz w:val="16"/>
                <w:szCs w:val="16"/>
                <w:lang w:val="en-US"/>
              </w:rPr>
            </w:pPr>
            <w:r w:rsidRPr="00A37097">
              <w:rPr>
                <w:sz w:val="16"/>
                <w:szCs w:val="16"/>
                <w:lang w:val="en-US"/>
              </w:rPr>
              <w:t>II.2.</w:t>
            </w:r>
            <w:r w:rsidRPr="00A37097">
              <w:rPr>
                <w:sz w:val="16"/>
                <w:szCs w:val="16"/>
                <w:lang w:val="en-US"/>
              </w:rPr>
              <w:tab/>
              <w:t>Shared Resources networks (Trunking)</w:t>
            </w:r>
            <w:r w:rsidRPr="00A37097">
              <w:rPr>
                <w:sz w:val="16"/>
                <w:szCs w:val="16"/>
                <w:lang w:val="en-US"/>
              </w:rPr>
              <w:br/>
              <w:t>With channels = 12.5 KHz)</w:t>
            </w:r>
          </w:p>
        </w:tc>
        <w:tc>
          <w:tcPr>
            <w:tcW w:w="1161" w:type="dxa"/>
          </w:tcPr>
          <w:p w:rsidR="00796BB3" w:rsidRPr="00A37097" w:rsidRDefault="00796BB3" w:rsidP="000F2BA7">
            <w:pPr>
              <w:pStyle w:val="Tabletext"/>
              <w:rPr>
                <w:sz w:val="16"/>
                <w:szCs w:val="16"/>
                <w:lang w:val="en-US"/>
              </w:rPr>
            </w:pPr>
          </w:p>
        </w:tc>
        <w:tc>
          <w:tcPr>
            <w:tcW w:w="1229" w:type="dxa"/>
          </w:tcPr>
          <w:p w:rsidR="00796BB3" w:rsidRPr="00A37097" w:rsidRDefault="00796BB3" w:rsidP="000F2BA7">
            <w:pPr>
              <w:pStyle w:val="Tabletext"/>
              <w:rPr>
                <w:sz w:val="16"/>
                <w:szCs w:val="16"/>
                <w:lang w:val="en-US"/>
              </w:rPr>
            </w:pPr>
          </w:p>
        </w:tc>
        <w:tc>
          <w:tcPr>
            <w:tcW w:w="1501" w:type="dxa"/>
          </w:tcPr>
          <w:p w:rsidR="00796BB3" w:rsidRPr="00A37097" w:rsidRDefault="00796BB3" w:rsidP="000F2BA7">
            <w:pPr>
              <w:pStyle w:val="Tabletext"/>
              <w:rPr>
                <w:sz w:val="16"/>
                <w:szCs w:val="16"/>
                <w:lang w:val="en-US"/>
              </w:rPr>
            </w:pPr>
          </w:p>
        </w:tc>
        <w:tc>
          <w:tcPr>
            <w:tcW w:w="1500" w:type="dxa"/>
          </w:tcPr>
          <w:p w:rsidR="00796BB3" w:rsidRPr="00A37097" w:rsidRDefault="00796BB3" w:rsidP="000F2BA7">
            <w:pPr>
              <w:pStyle w:val="Tabletext"/>
              <w:rPr>
                <w:sz w:val="16"/>
                <w:szCs w:val="16"/>
                <w:lang w:val="en-US"/>
              </w:rPr>
            </w:pPr>
          </w:p>
        </w:tc>
      </w:tr>
      <w:tr w:rsidR="00796BB3" w:rsidRPr="00A37097" w:rsidTr="00A37097">
        <w:trPr>
          <w:jc w:val="center"/>
        </w:trPr>
        <w:tc>
          <w:tcPr>
            <w:tcW w:w="4248" w:type="dxa"/>
          </w:tcPr>
          <w:p w:rsidR="00796BB3" w:rsidRPr="00A37097" w:rsidRDefault="00796BB3" w:rsidP="00796BB3">
            <w:pPr>
              <w:pStyle w:val="Tabletext"/>
              <w:rPr>
                <w:sz w:val="16"/>
                <w:szCs w:val="16"/>
                <w:lang w:val="en-US"/>
              </w:rPr>
            </w:pPr>
            <w:r w:rsidRPr="00A37097">
              <w:rPr>
                <w:sz w:val="16"/>
                <w:szCs w:val="16"/>
                <w:lang w:val="en-US"/>
              </w:rPr>
              <w:t>a1. Local network (urban)</w:t>
            </w:r>
          </w:p>
          <w:p w:rsidR="00796BB3" w:rsidRPr="00A37097" w:rsidRDefault="00796BB3" w:rsidP="00796BB3">
            <w:pPr>
              <w:pStyle w:val="Tabletext"/>
              <w:rPr>
                <w:sz w:val="16"/>
                <w:szCs w:val="16"/>
                <w:lang w:val="en-US"/>
              </w:rPr>
            </w:pPr>
            <w:r w:rsidRPr="00A37097">
              <w:rPr>
                <w:sz w:val="16"/>
                <w:szCs w:val="16"/>
                <w:lang w:val="en-US"/>
              </w:rPr>
              <w:t>a2. Regional network (interurban)</w:t>
            </w:r>
          </w:p>
          <w:p w:rsidR="00796BB3" w:rsidRPr="00A37097" w:rsidRDefault="00796BB3" w:rsidP="00796BB3">
            <w:pPr>
              <w:pStyle w:val="Tabletext"/>
              <w:rPr>
                <w:sz w:val="16"/>
                <w:szCs w:val="16"/>
                <w:lang w:val="en-US"/>
              </w:rPr>
            </w:pPr>
            <w:r w:rsidRPr="00A37097">
              <w:rPr>
                <w:sz w:val="16"/>
                <w:szCs w:val="16"/>
                <w:lang w:val="en-US"/>
              </w:rPr>
              <w:t>a3. National network</w:t>
            </w:r>
          </w:p>
        </w:tc>
        <w:tc>
          <w:tcPr>
            <w:tcW w:w="1161" w:type="dxa"/>
          </w:tcPr>
          <w:p w:rsidR="00796BB3" w:rsidRPr="00A37097" w:rsidRDefault="00796BB3" w:rsidP="00796BB3">
            <w:pPr>
              <w:pStyle w:val="Tabletext"/>
              <w:rPr>
                <w:sz w:val="16"/>
                <w:szCs w:val="16"/>
                <w:lang w:val="en-US"/>
              </w:rPr>
            </w:pPr>
            <w:r w:rsidRPr="00A37097">
              <w:rPr>
                <w:sz w:val="16"/>
                <w:szCs w:val="16"/>
                <w:lang w:val="en-US"/>
              </w:rPr>
              <w:t>1 160 000</w:t>
            </w:r>
          </w:p>
          <w:p w:rsidR="00796BB3" w:rsidRPr="00A37097" w:rsidRDefault="00796BB3" w:rsidP="00796BB3">
            <w:pPr>
              <w:pStyle w:val="Tabletext"/>
              <w:rPr>
                <w:sz w:val="16"/>
                <w:szCs w:val="16"/>
                <w:lang w:val="en-US"/>
              </w:rPr>
            </w:pPr>
            <w:r w:rsidRPr="00A37097">
              <w:rPr>
                <w:sz w:val="16"/>
                <w:szCs w:val="16"/>
                <w:lang w:val="en-US"/>
              </w:rPr>
              <w:t>1 740 000</w:t>
            </w:r>
          </w:p>
          <w:p w:rsidR="00796BB3" w:rsidRPr="00A37097" w:rsidRDefault="00796BB3" w:rsidP="00796BB3">
            <w:pPr>
              <w:pStyle w:val="Tabletext"/>
              <w:rPr>
                <w:sz w:val="16"/>
                <w:szCs w:val="16"/>
                <w:lang w:val="en-US"/>
              </w:rPr>
            </w:pPr>
            <w:r w:rsidRPr="00A37097">
              <w:rPr>
                <w:sz w:val="16"/>
                <w:szCs w:val="16"/>
                <w:lang w:val="en-US"/>
              </w:rPr>
              <w:t>3 770 000</w:t>
            </w:r>
          </w:p>
        </w:tc>
        <w:tc>
          <w:tcPr>
            <w:tcW w:w="1229" w:type="dxa"/>
          </w:tcPr>
          <w:p w:rsidR="00796BB3" w:rsidRPr="00A37097" w:rsidRDefault="00796BB3" w:rsidP="000F2BA7">
            <w:pPr>
              <w:pStyle w:val="Tabletext"/>
              <w:rPr>
                <w:sz w:val="16"/>
                <w:szCs w:val="16"/>
                <w:lang w:val="en-US"/>
              </w:rPr>
            </w:pPr>
          </w:p>
        </w:tc>
        <w:tc>
          <w:tcPr>
            <w:tcW w:w="1501" w:type="dxa"/>
          </w:tcPr>
          <w:p w:rsidR="00796BB3" w:rsidRPr="00A37097" w:rsidRDefault="00796BB3" w:rsidP="000F2BA7">
            <w:pPr>
              <w:pStyle w:val="Tabletext"/>
              <w:rPr>
                <w:sz w:val="16"/>
                <w:szCs w:val="16"/>
                <w:lang w:val="en-US"/>
              </w:rPr>
            </w:pPr>
          </w:p>
        </w:tc>
        <w:tc>
          <w:tcPr>
            <w:tcW w:w="1500" w:type="dxa"/>
          </w:tcPr>
          <w:p w:rsidR="00796BB3" w:rsidRPr="00A37097" w:rsidRDefault="00796BB3" w:rsidP="000F2BA7">
            <w:pPr>
              <w:pStyle w:val="Tabletext"/>
              <w:rPr>
                <w:sz w:val="16"/>
                <w:szCs w:val="16"/>
                <w:lang w:val="en-US"/>
              </w:rPr>
            </w:pPr>
          </w:p>
        </w:tc>
      </w:tr>
      <w:tr w:rsidR="00796BB3" w:rsidRPr="00A37097" w:rsidTr="00A37097">
        <w:trPr>
          <w:jc w:val="center"/>
        </w:trPr>
        <w:tc>
          <w:tcPr>
            <w:tcW w:w="4248" w:type="dxa"/>
          </w:tcPr>
          <w:p w:rsidR="00796BB3" w:rsidRPr="00A37097" w:rsidRDefault="00796BB3" w:rsidP="000F2BA7">
            <w:pPr>
              <w:pStyle w:val="Tabletext"/>
              <w:rPr>
                <w:sz w:val="16"/>
                <w:szCs w:val="16"/>
                <w:lang w:val="en-US"/>
              </w:rPr>
            </w:pPr>
            <w:r w:rsidRPr="00A37097">
              <w:rPr>
                <w:sz w:val="16"/>
                <w:szCs w:val="16"/>
                <w:lang w:val="en-US"/>
              </w:rPr>
              <w:t>b1. Base station</w:t>
            </w:r>
          </w:p>
        </w:tc>
        <w:tc>
          <w:tcPr>
            <w:tcW w:w="1161" w:type="dxa"/>
          </w:tcPr>
          <w:p w:rsidR="00796BB3" w:rsidRPr="00A37097" w:rsidRDefault="00796BB3" w:rsidP="000F2BA7">
            <w:pPr>
              <w:pStyle w:val="Tabletext"/>
              <w:rPr>
                <w:sz w:val="16"/>
                <w:szCs w:val="16"/>
                <w:lang w:val="en-US"/>
              </w:rPr>
            </w:pPr>
          </w:p>
        </w:tc>
        <w:tc>
          <w:tcPr>
            <w:tcW w:w="1229" w:type="dxa"/>
          </w:tcPr>
          <w:p w:rsidR="00796BB3" w:rsidRPr="00A37097" w:rsidRDefault="00796BB3" w:rsidP="000F2BA7">
            <w:pPr>
              <w:pStyle w:val="Tabletext"/>
              <w:rPr>
                <w:sz w:val="16"/>
                <w:szCs w:val="16"/>
                <w:lang w:val="en-US"/>
              </w:rPr>
            </w:pPr>
            <w:r w:rsidRPr="00A37097">
              <w:rPr>
                <w:sz w:val="16"/>
                <w:szCs w:val="16"/>
                <w:lang w:val="en-US"/>
              </w:rPr>
              <w:t>34 800</w:t>
            </w:r>
          </w:p>
        </w:tc>
        <w:tc>
          <w:tcPr>
            <w:tcW w:w="1501" w:type="dxa"/>
          </w:tcPr>
          <w:p w:rsidR="00796BB3" w:rsidRPr="00A37097" w:rsidRDefault="00796BB3" w:rsidP="000F2BA7">
            <w:pPr>
              <w:pStyle w:val="Tabletext"/>
              <w:rPr>
                <w:sz w:val="16"/>
                <w:szCs w:val="16"/>
                <w:lang w:val="en-US"/>
              </w:rPr>
            </w:pPr>
          </w:p>
        </w:tc>
        <w:tc>
          <w:tcPr>
            <w:tcW w:w="1500" w:type="dxa"/>
          </w:tcPr>
          <w:p w:rsidR="00796BB3" w:rsidRPr="00A37097" w:rsidRDefault="00796BB3" w:rsidP="000F2BA7">
            <w:pPr>
              <w:pStyle w:val="Tabletext"/>
              <w:rPr>
                <w:sz w:val="16"/>
                <w:szCs w:val="16"/>
                <w:lang w:val="en-US"/>
              </w:rPr>
            </w:pPr>
          </w:p>
        </w:tc>
      </w:tr>
      <w:tr w:rsidR="00796BB3" w:rsidRPr="00A37097" w:rsidTr="00A37097">
        <w:trPr>
          <w:jc w:val="center"/>
        </w:trPr>
        <w:tc>
          <w:tcPr>
            <w:tcW w:w="4248" w:type="dxa"/>
          </w:tcPr>
          <w:p w:rsidR="00796BB3" w:rsidRPr="00A37097" w:rsidRDefault="00796BB3" w:rsidP="00796BB3">
            <w:pPr>
              <w:pStyle w:val="Tabletext"/>
              <w:rPr>
                <w:sz w:val="16"/>
                <w:szCs w:val="16"/>
                <w:lang w:val="en-US"/>
              </w:rPr>
            </w:pPr>
            <w:r w:rsidRPr="00A37097">
              <w:rPr>
                <w:sz w:val="16"/>
                <w:szCs w:val="16"/>
                <w:lang w:val="en-US"/>
              </w:rPr>
              <w:t>c1. Locally available frequency</w:t>
            </w:r>
          </w:p>
          <w:p w:rsidR="00796BB3" w:rsidRPr="00A37097" w:rsidRDefault="00796BB3" w:rsidP="00796BB3">
            <w:pPr>
              <w:pStyle w:val="Tabletext"/>
              <w:rPr>
                <w:sz w:val="16"/>
                <w:szCs w:val="16"/>
                <w:lang w:val="en-US"/>
              </w:rPr>
            </w:pPr>
            <w:r w:rsidRPr="00A37097">
              <w:rPr>
                <w:sz w:val="16"/>
                <w:szCs w:val="16"/>
                <w:lang w:val="en-US"/>
              </w:rPr>
              <w:t>c2. Regional available frequency</w:t>
            </w:r>
          </w:p>
          <w:p w:rsidR="00796BB3" w:rsidRPr="00A37097" w:rsidRDefault="00796BB3" w:rsidP="00796BB3">
            <w:pPr>
              <w:pStyle w:val="Tabletext"/>
              <w:rPr>
                <w:sz w:val="16"/>
                <w:szCs w:val="16"/>
                <w:lang w:val="en-US"/>
              </w:rPr>
            </w:pPr>
            <w:r w:rsidRPr="00A37097">
              <w:rPr>
                <w:sz w:val="16"/>
                <w:szCs w:val="16"/>
                <w:lang w:val="en-US"/>
              </w:rPr>
              <w:t>c3. Frequency available throughout the national territory</w:t>
            </w:r>
          </w:p>
        </w:tc>
        <w:tc>
          <w:tcPr>
            <w:tcW w:w="1161" w:type="dxa"/>
          </w:tcPr>
          <w:p w:rsidR="00796BB3" w:rsidRPr="00A37097" w:rsidRDefault="00796BB3" w:rsidP="000F2BA7">
            <w:pPr>
              <w:pStyle w:val="Tabletext"/>
              <w:rPr>
                <w:sz w:val="16"/>
                <w:szCs w:val="16"/>
                <w:lang w:val="en-US"/>
              </w:rPr>
            </w:pPr>
          </w:p>
        </w:tc>
        <w:tc>
          <w:tcPr>
            <w:tcW w:w="1229" w:type="dxa"/>
          </w:tcPr>
          <w:p w:rsidR="00796BB3" w:rsidRPr="00A37097" w:rsidRDefault="00796BB3" w:rsidP="000F2BA7">
            <w:pPr>
              <w:pStyle w:val="Tabletext"/>
              <w:rPr>
                <w:sz w:val="16"/>
                <w:szCs w:val="16"/>
                <w:lang w:val="en-US"/>
              </w:rPr>
            </w:pPr>
          </w:p>
        </w:tc>
        <w:tc>
          <w:tcPr>
            <w:tcW w:w="1501" w:type="dxa"/>
          </w:tcPr>
          <w:p w:rsidR="00796BB3" w:rsidRPr="00A37097" w:rsidRDefault="00796BB3" w:rsidP="000F2BA7">
            <w:pPr>
              <w:pStyle w:val="Tabletext"/>
              <w:rPr>
                <w:sz w:val="16"/>
                <w:szCs w:val="16"/>
                <w:lang w:val="en-US"/>
              </w:rPr>
            </w:pPr>
          </w:p>
        </w:tc>
        <w:tc>
          <w:tcPr>
            <w:tcW w:w="1500" w:type="dxa"/>
          </w:tcPr>
          <w:p w:rsidR="00796BB3" w:rsidRPr="00A37097" w:rsidRDefault="00796BB3" w:rsidP="00796BB3">
            <w:pPr>
              <w:pStyle w:val="Tabletext"/>
              <w:rPr>
                <w:sz w:val="16"/>
                <w:szCs w:val="16"/>
                <w:lang w:val="en-US"/>
              </w:rPr>
            </w:pPr>
            <w:r w:rsidRPr="00A37097">
              <w:rPr>
                <w:sz w:val="16"/>
                <w:szCs w:val="16"/>
                <w:lang w:val="en-US"/>
              </w:rPr>
              <w:t>5 800 000</w:t>
            </w:r>
          </w:p>
          <w:p w:rsidR="00796BB3" w:rsidRPr="00A37097" w:rsidRDefault="00796BB3" w:rsidP="00796BB3">
            <w:pPr>
              <w:pStyle w:val="Tabletext"/>
              <w:rPr>
                <w:sz w:val="16"/>
                <w:szCs w:val="16"/>
                <w:lang w:val="en-US"/>
              </w:rPr>
            </w:pPr>
            <w:r w:rsidRPr="00A37097">
              <w:rPr>
                <w:sz w:val="16"/>
                <w:szCs w:val="16"/>
                <w:lang w:val="en-US"/>
              </w:rPr>
              <w:t>8 700 000</w:t>
            </w:r>
          </w:p>
          <w:p w:rsidR="00796BB3" w:rsidRPr="00A37097" w:rsidRDefault="00796BB3" w:rsidP="00796BB3">
            <w:pPr>
              <w:pStyle w:val="Tabletext"/>
              <w:rPr>
                <w:sz w:val="16"/>
                <w:szCs w:val="16"/>
                <w:lang w:val="en-US"/>
              </w:rPr>
            </w:pPr>
            <w:r w:rsidRPr="00A37097">
              <w:rPr>
                <w:sz w:val="16"/>
                <w:szCs w:val="16"/>
                <w:lang w:val="en-US"/>
              </w:rPr>
              <w:t>10 440 000</w:t>
            </w:r>
          </w:p>
        </w:tc>
      </w:tr>
      <w:tr w:rsidR="00796BB3" w:rsidRPr="00A37097" w:rsidTr="00A37097">
        <w:trPr>
          <w:jc w:val="center"/>
        </w:trPr>
        <w:tc>
          <w:tcPr>
            <w:tcW w:w="4248" w:type="dxa"/>
          </w:tcPr>
          <w:p w:rsidR="00796BB3" w:rsidRPr="00A37097" w:rsidRDefault="00796BB3" w:rsidP="000F2BA7">
            <w:pPr>
              <w:pStyle w:val="Tabletext"/>
              <w:ind w:left="284" w:hanging="284"/>
              <w:rPr>
                <w:sz w:val="16"/>
                <w:szCs w:val="16"/>
                <w:lang w:val="en-US"/>
              </w:rPr>
            </w:pPr>
            <w:r w:rsidRPr="00A37097">
              <w:rPr>
                <w:sz w:val="16"/>
                <w:szCs w:val="16"/>
                <w:lang w:val="en-US"/>
              </w:rPr>
              <w:t>II.3. Cellular Network</w:t>
            </w:r>
          </w:p>
        </w:tc>
        <w:tc>
          <w:tcPr>
            <w:tcW w:w="1161" w:type="dxa"/>
          </w:tcPr>
          <w:p w:rsidR="00796BB3" w:rsidRPr="00A37097" w:rsidRDefault="00796BB3" w:rsidP="000F2BA7">
            <w:pPr>
              <w:pStyle w:val="Tabletext"/>
              <w:rPr>
                <w:sz w:val="16"/>
                <w:szCs w:val="16"/>
                <w:lang w:val="en-US"/>
              </w:rPr>
            </w:pPr>
          </w:p>
        </w:tc>
        <w:tc>
          <w:tcPr>
            <w:tcW w:w="1229" w:type="dxa"/>
          </w:tcPr>
          <w:p w:rsidR="00796BB3" w:rsidRPr="00A37097" w:rsidRDefault="00796BB3" w:rsidP="000F2BA7">
            <w:pPr>
              <w:pStyle w:val="Tabletext"/>
              <w:rPr>
                <w:sz w:val="16"/>
                <w:szCs w:val="16"/>
                <w:lang w:val="en-US"/>
              </w:rPr>
            </w:pPr>
          </w:p>
        </w:tc>
        <w:tc>
          <w:tcPr>
            <w:tcW w:w="1501" w:type="dxa"/>
          </w:tcPr>
          <w:p w:rsidR="00796BB3" w:rsidRPr="00A37097" w:rsidRDefault="00796BB3" w:rsidP="000F2BA7">
            <w:pPr>
              <w:pStyle w:val="Tabletext"/>
              <w:rPr>
                <w:sz w:val="16"/>
                <w:szCs w:val="16"/>
                <w:lang w:val="en-US"/>
              </w:rPr>
            </w:pPr>
          </w:p>
        </w:tc>
        <w:tc>
          <w:tcPr>
            <w:tcW w:w="1500" w:type="dxa"/>
          </w:tcPr>
          <w:p w:rsidR="00796BB3" w:rsidRPr="00A37097" w:rsidRDefault="00796BB3" w:rsidP="000F2BA7">
            <w:pPr>
              <w:pStyle w:val="Tabletext"/>
              <w:rPr>
                <w:sz w:val="16"/>
                <w:szCs w:val="16"/>
                <w:lang w:val="en-US"/>
              </w:rPr>
            </w:pPr>
          </w:p>
        </w:tc>
      </w:tr>
      <w:tr w:rsidR="00796BB3" w:rsidRPr="00A37097" w:rsidTr="00A37097">
        <w:trPr>
          <w:jc w:val="center"/>
        </w:trPr>
        <w:tc>
          <w:tcPr>
            <w:tcW w:w="4248" w:type="dxa"/>
          </w:tcPr>
          <w:p w:rsidR="00796BB3" w:rsidRPr="00A37097" w:rsidRDefault="00796BB3" w:rsidP="000F2BA7">
            <w:pPr>
              <w:pStyle w:val="Tabletext"/>
              <w:ind w:left="284" w:hanging="284"/>
              <w:rPr>
                <w:sz w:val="16"/>
                <w:szCs w:val="16"/>
                <w:lang w:val="en-US"/>
              </w:rPr>
            </w:pPr>
            <w:r w:rsidRPr="00A37097">
              <w:rPr>
                <w:sz w:val="16"/>
                <w:szCs w:val="16"/>
                <w:lang w:val="en-US"/>
              </w:rPr>
              <w:t>a1. Base station</w:t>
            </w:r>
          </w:p>
        </w:tc>
        <w:tc>
          <w:tcPr>
            <w:tcW w:w="1161" w:type="dxa"/>
          </w:tcPr>
          <w:p w:rsidR="00796BB3" w:rsidRPr="00A37097" w:rsidRDefault="00796BB3" w:rsidP="000F2BA7">
            <w:pPr>
              <w:pStyle w:val="Tabletext"/>
              <w:rPr>
                <w:sz w:val="16"/>
                <w:szCs w:val="16"/>
                <w:lang w:val="en-US"/>
              </w:rPr>
            </w:pPr>
          </w:p>
        </w:tc>
        <w:tc>
          <w:tcPr>
            <w:tcW w:w="1229" w:type="dxa"/>
          </w:tcPr>
          <w:p w:rsidR="00796BB3" w:rsidRPr="00A37097" w:rsidRDefault="00796BB3" w:rsidP="000F2BA7">
            <w:pPr>
              <w:pStyle w:val="Tabletext"/>
              <w:rPr>
                <w:sz w:val="16"/>
                <w:szCs w:val="16"/>
                <w:lang w:val="en-US"/>
              </w:rPr>
            </w:pPr>
            <w:r w:rsidRPr="00A37097">
              <w:rPr>
                <w:sz w:val="16"/>
                <w:szCs w:val="16"/>
                <w:lang w:val="en-US"/>
              </w:rPr>
              <w:t>34 800</w:t>
            </w:r>
          </w:p>
        </w:tc>
        <w:tc>
          <w:tcPr>
            <w:tcW w:w="1501" w:type="dxa"/>
          </w:tcPr>
          <w:p w:rsidR="00796BB3" w:rsidRPr="00A37097" w:rsidRDefault="00796BB3" w:rsidP="000F2BA7">
            <w:pPr>
              <w:pStyle w:val="Tabletext"/>
              <w:rPr>
                <w:sz w:val="16"/>
                <w:szCs w:val="16"/>
                <w:lang w:val="en-US"/>
              </w:rPr>
            </w:pPr>
            <w:r w:rsidRPr="00A37097">
              <w:rPr>
                <w:sz w:val="16"/>
                <w:szCs w:val="16"/>
                <w:lang w:val="en-US"/>
              </w:rPr>
              <w:t>29 000 000</w:t>
            </w:r>
          </w:p>
        </w:tc>
        <w:tc>
          <w:tcPr>
            <w:tcW w:w="1500" w:type="dxa"/>
          </w:tcPr>
          <w:p w:rsidR="00796BB3" w:rsidRPr="00A37097" w:rsidRDefault="00796BB3" w:rsidP="000F2BA7">
            <w:pPr>
              <w:pStyle w:val="Tabletext"/>
              <w:rPr>
                <w:sz w:val="16"/>
                <w:szCs w:val="16"/>
                <w:lang w:val="en-US"/>
              </w:rPr>
            </w:pPr>
          </w:p>
        </w:tc>
      </w:tr>
      <w:tr w:rsidR="00691DF1" w:rsidRPr="00A37097" w:rsidTr="00A37097">
        <w:trPr>
          <w:jc w:val="center"/>
        </w:trPr>
        <w:tc>
          <w:tcPr>
            <w:tcW w:w="4248" w:type="dxa"/>
          </w:tcPr>
          <w:p w:rsidR="00691DF1" w:rsidRPr="00A37097" w:rsidRDefault="00691DF1" w:rsidP="000F2BA7">
            <w:pPr>
              <w:pStyle w:val="Tabletext"/>
              <w:ind w:left="284" w:hanging="284"/>
              <w:rPr>
                <w:sz w:val="16"/>
                <w:szCs w:val="16"/>
                <w:lang w:val="en-US"/>
              </w:rPr>
            </w:pPr>
            <w:r w:rsidRPr="00A37097">
              <w:rPr>
                <w:sz w:val="16"/>
                <w:szCs w:val="16"/>
                <w:lang w:val="en-US"/>
              </w:rPr>
              <w:t>b1.</w:t>
            </w:r>
            <w:r w:rsidRPr="00A37097">
              <w:rPr>
                <w:sz w:val="16"/>
                <w:szCs w:val="16"/>
                <w:lang w:val="en-US"/>
              </w:rPr>
              <w:tab/>
              <w:t xml:space="preserve">For duplex channel available throughout </w:t>
            </w:r>
            <w:r w:rsidRPr="00A37097">
              <w:rPr>
                <w:sz w:val="16"/>
                <w:szCs w:val="16"/>
                <w:lang w:val="en-US"/>
              </w:rPr>
              <w:br/>
              <w:t>the national territory (with bandwidth = 200 KHz)</w:t>
            </w:r>
          </w:p>
        </w:tc>
        <w:tc>
          <w:tcPr>
            <w:tcW w:w="1161" w:type="dxa"/>
          </w:tcPr>
          <w:p w:rsidR="00691DF1" w:rsidRPr="00A37097" w:rsidRDefault="00691DF1" w:rsidP="000F2BA7">
            <w:pPr>
              <w:pStyle w:val="Tabletext"/>
              <w:rPr>
                <w:sz w:val="16"/>
                <w:szCs w:val="16"/>
                <w:lang w:val="en-US"/>
              </w:rPr>
            </w:pPr>
          </w:p>
        </w:tc>
        <w:tc>
          <w:tcPr>
            <w:tcW w:w="1229" w:type="dxa"/>
          </w:tcPr>
          <w:p w:rsidR="00691DF1" w:rsidRPr="00A37097" w:rsidRDefault="00691DF1" w:rsidP="00796BB3">
            <w:pPr>
              <w:pStyle w:val="Tabletext"/>
              <w:rPr>
                <w:sz w:val="16"/>
                <w:szCs w:val="16"/>
                <w:lang w:val="en-US"/>
              </w:rPr>
            </w:pPr>
          </w:p>
        </w:tc>
        <w:tc>
          <w:tcPr>
            <w:tcW w:w="1501" w:type="dxa"/>
          </w:tcPr>
          <w:p w:rsidR="00691DF1" w:rsidRPr="00A37097" w:rsidRDefault="00691DF1" w:rsidP="000F2BA7">
            <w:pPr>
              <w:pStyle w:val="Tabletext"/>
              <w:rPr>
                <w:sz w:val="16"/>
                <w:szCs w:val="16"/>
                <w:lang w:val="en-US"/>
              </w:rPr>
            </w:pPr>
            <w:r w:rsidRPr="00A37097">
              <w:rPr>
                <w:sz w:val="16"/>
                <w:szCs w:val="16"/>
                <w:lang w:val="en-US"/>
              </w:rPr>
              <w:t>10 440 000</w:t>
            </w:r>
          </w:p>
        </w:tc>
        <w:tc>
          <w:tcPr>
            <w:tcW w:w="1500" w:type="dxa"/>
          </w:tcPr>
          <w:p w:rsidR="00691DF1" w:rsidRPr="00A37097" w:rsidRDefault="00691DF1" w:rsidP="000F2BA7">
            <w:pPr>
              <w:pStyle w:val="Tabletext"/>
              <w:rPr>
                <w:sz w:val="16"/>
                <w:szCs w:val="16"/>
                <w:lang w:val="en-US"/>
              </w:rPr>
            </w:pPr>
            <w:r w:rsidRPr="00A37097">
              <w:rPr>
                <w:sz w:val="16"/>
                <w:szCs w:val="16"/>
                <w:lang w:val="en-US"/>
              </w:rPr>
              <w:t>10 440 000</w:t>
            </w:r>
          </w:p>
        </w:tc>
      </w:tr>
      <w:tr w:rsidR="00691DF1" w:rsidRPr="00D17B5B" w:rsidTr="00A37097">
        <w:trPr>
          <w:jc w:val="center"/>
        </w:trPr>
        <w:tc>
          <w:tcPr>
            <w:tcW w:w="4248" w:type="dxa"/>
          </w:tcPr>
          <w:p w:rsidR="00691DF1" w:rsidRPr="00A37097" w:rsidRDefault="00691DF1" w:rsidP="000F2BA7">
            <w:pPr>
              <w:pStyle w:val="Tabletext"/>
              <w:ind w:left="284" w:hanging="284"/>
              <w:rPr>
                <w:sz w:val="16"/>
                <w:szCs w:val="16"/>
                <w:lang w:val="en-US"/>
              </w:rPr>
            </w:pPr>
            <w:r w:rsidRPr="00A37097">
              <w:rPr>
                <w:sz w:val="16"/>
                <w:szCs w:val="16"/>
                <w:lang w:val="en-US"/>
              </w:rPr>
              <w:t>II.4. Microwave Links above 1 GHz</w:t>
            </w:r>
          </w:p>
        </w:tc>
        <w:tc>
          <w:tcPr>
            <w:tcW w:w="1161" w:type="dxa"/>
          </w:tcPr>
          <w:p w:rsidR="00691DF1" w:rsidRPr="00A37097" w:rsidRDefault="00691DF1" w:rsidP="000F2BA7">
            <w:pPr>
              <w:pStyle w:val="Tabletext"/>
              <w:rPr>
                <w:sz w:val="16"/>
                <w:szCs w:val="16"/>
                <w:lang w:val="en-US"/>
              </w:rPr>
            </w:pPr>
          </w:p>
        </w:tc>
        <w:tc>
          <w:tcPr>
            <w:tcW w:w="1229" w:type="dxa"/>
          </w:tcPr>
          <w:p w:rsidR="00691DF1" w:rsidRPr="00A37097" w:rsidRDefault="00691DF1" w:rsidP="00796BB3">
            <w:pPr>
              <w:pStyle w:val="Tabletext"/>
              <w:rPr>
                <w:sz w:val="16"/>
                <w:szCs w:val="16"/>
                <w:lang w:val="en-US"/>
              </w:rPr>
            </w:pPr>
          </w:p>
        </w:tc>
        <w:tc>
          <w:tcPr>
            <w:tcW w:w="1501" w:type="dxa"/>
          </w:tcPr>
          <w:p w:rsidR="00691DF1" w:rsidRPr="00A37097" w:rsidRDefault="00691DF1" w:rsidP="000F2BA7">
            <w:pPr>
              <w:pStyle w:val="Tabletext"/>
              <w:rPr>
                <w:sz w:val="16"/>
                <w:szCs w:val="16"/>
                <w:lang w:val="en-US"/>
              </w:rPr>
            </w:pPr>
          </w:p>
        </w:tc>
        <w:tc>
          <w:tcPr>
            <w:tcW w:w="1500" w:type="dxa"/>
          </w:tcPr>
          <w:p w:rsidR="00691DF1" w:rsidRPr="00A37097" w:rsidRDefault="00691DF1" w:rsidP="000F2BA7">
            <w:pPr>
              <w:pStyle w:val="Tabletext"/>
              <w:rPr>
                <w:sz w:val="16"/>
                <w:szCs w:val="16"/>
                <w:lang w:val="en-US"/>
              </w:rPr>
            </w:pPr>
          </w:p>
        </w:tc>
      </w:tr>
      <w:tr w:rsidR="00691DF1" w:rsidRPr="00A37097" w:rsidTr="00A37097">
        <w:trPr>
          <w:jc w:val="center"/>
        </w:trPr>
        <w:tc>
          <w:tcPr>
            <w:tcW w:w="4248" w:type="dxa"/>
          </w:tcPr>
          <w:p w:rsidR="00691DF1" w:rsidRPr="00A37097" w:rsidRDefault="00691DF1" w:rsidP="00691DF1">
            <w:pPr>
              <w:pStyle w:val="Tabletext"/>
              <w:rPr>
                <w:sz w:val="16"/>
                <w:szCs w:val="16"/>
                <w:lang w:val="en-US"/>
              </w:rPr>
            </w:pPr>
            <w:r w:rsidRPr="00A37097">
              <w:rPr>
                <w:sz w:val="16"/>
                <w:szCs w:val="16"/>
                <w:lang w:val="en-US"/>
              </w:rPr>
              <w:t>a1. Local links</w:t>
            </w:r>
          </w:p>
          <w:p w:rsidR="00691DF1" w:rsidRPr="00A37097" w:rsidRDefault="00691DF1" w:rsidP="00691DF1">
            <w:pPr>
              <w:pStyle w:val="Tabletext"/>
              <w:rPr>
                <w:sz w:val="16"/>
                <w:szCs w:val="16"/>
                <w:lang w:val="en-US"/>
              </w:rPr>
            </w:pPr>
            <w:r w:rsidRPr="00A37097">
              <w:rPr>
                <w:sz w:val="16"/>
                <w:szCs w:val="16"/>
                <w:lang w:val="en-US"/>
              </w:rPr>
              <w:t>a2. Regional Links</w:t>
            </w:r>
          </w:p>
          <w:p w:rsidR="00691DF1" w:rsidRPr="00A37097" w:rsidRDefault="00691DF1" w:rsidP="00691DF1">
            <w:pPr>
              <w:pStyle w:val="Tabletext"/>
              <w:rPr>
                <w:sz w:val="16"/>
                <w:szCs w:val="16"/>
                <w:lang w:val="en-US"/>
              </w:rPr>
            </w:pPr>
            <w:r w:rsidRPr="00A37097">
              <w:rPr>
                <w:sz w:val="16"/>
                <w:szCs w:val="16"/>
                <w:lang w:val="en-US"/>
              </w:rPr>
              <w:t>a3. National Links</w:t>
            </w:r>
          </w:p>
        </w:tc>
        <w:tc>
          <w:tcPr>
            <w:tcW w:w="1161" w:type="dxa"/>
          </w:tcPr>
          <w:p w:rsidR="00691DF1" w:rsidRPr="00A37097" w:rsidRDefault="00691DF1" w:rsidP="00691DF1">
            <w:pPr>
              <w:pStyle w:val="Tabletext"/>
              <w:rPr>
                <w:sz w:val="16"/>
                <w:szCs w:val="16"/>
                <w:lang w:val="en-US"/>
              </w:rPr>
            </w:pPr>
            <w:r w:rsidRPr="00A37097">
              <w:rPr>
                <w:sz w:val="16"/>
                <w:szCs w:val="16"/>
                <w:lang w:val="en-US"/>
              </w:rPr>
              <w:t>1 160 000</w:t>
            </w:r>
          </w:p>
          <w:p w:rsidR="00691DF1" w:rsidRPr="00A37097" w:rsidRDefault="00691DF1" w:rsidP="00691DF1">
            <w:pPr>
              <w:pStyle w:val="Tabletext"/>
              <w:rPr>
                <w:sz w:val="16"/>
                <w:szCs w:val="16"/>
                <w:lang w:val="en-US"/>
              </w:rPr>
            </w:pPr>
            <w:r w:rsidRPr="00A37097">
              <w:rPr>
                <w:sz w:val="16"/>
                <w:szCs w:val="16"/>
                <w:lang w:val="en-US"/>
              </w:rPr>
              <w:t>1 740 000</w:t>
            </w:r>
          </w:p>
          <w:p w:rsidR="00691DF1" w:rsidRPr="00A37097" w:rsidRDefault="00691DF1" w:rsidP="00691DF1">
            <w:pPr>
              <w:pStyle w:val="Tabletext"/>
              <w:rPr>
                <w:sz w:val="16"/>
                <w:szCs w:val="16"/>
                <w:lang w:val="en-US"/>
              </w:rPr>
            </w:pPr>
            <w:r w:rsidRPr="00A37097">
              <w:rPr>
                <w:sz w:val="16"/>
                <w:szCs w:val="16"/>
                <w:lang w:val="en-US"/>
              </w:rPr>
              <w:t>3 770 00</w:t>
            </w:r>
            <w:r w:rsidR="00235226" w:rsidRPr="00A37097">
              <w:rPr>
                <w:sz w:val="16"/>
                <w:szCs w:val="16"/>
                <w:lang w:val="en-US"/>
              </w:rPr>
              <w:t>0</w:t>
            </w:r>
          </w:p>
        </w:tc>
        <w:tc>
          <w:tcPr>
            <w:tcW w:w="1229" w:type="dxa"/>
          </w:tcPr>
          <w:p w:rsidR="00691DF1" w:rsidRPr="00A37097" w:rsidRDefault="00691DF1" w:rsidP="00796BB3">
            <w:pPr>
              <w:pStyle w:val="Tabletext"/>
              <w:rPr>
                <w:sz w:val="16"/>
                <w:szCs w:val="16"/>
                <w:lang w:val="en-US"/>
              </w:rPr>
            </w:pPr>
          </w:p>
        </w:tc>
        <w:tc>
          <w:tcPr>
            <w:tcW w:w="1501" w:type="dxa"/>
          </w:tcPr>
          <w:p w:rsidR="00691DF1" w:rsidRPr="00A37097" w:rsidRDefault="00691DF1" w:rsidP="00691DF1">
            <w:pPr>
              <w:pStyle w:val="Tabletext"/>
              <w:rPr>
                <w:sz w:val="16"/>
                <w:szCs w:val="16"/>
                <w:lang w:val="en-US"/>
              </w:rPr>
            </w:pPr>
            <w:r w:rsidRPr="00A37097">
              <w:rPr>
                <w:sz w:val="16"/>
                <w:szCs w:val="16"/>
                <w:lang w:val="en-US"/>
              </w:rPr>
              <w:t>5 800 000</w:t>
            </w:r>
          </w:p>
          <w:p w:rsidR="00691DF1" w:rsidRPr="00A37097" w:rsidRDefault="00691DF1" w:rsidP="00691DF1">
            <w:pPr>
              <w:pStyle w:val="Tabletext"/>
              <w:rPr>
                <w:sz w:val="16"/>
                <w:szCs w:val="16"/>
                <w:lang w:val="en-US"/>
              </w:rPr>
            </w:pPr>
            <w:r w:rsidRPr="00A37097">
              <w:rPr>
                <w:sz w:val="16"/>
                <w:szCs w:val="16"/>
                <w:lang w:val="en-US"/>
              </w:rPr>
              <w:t>14 500 000</w:t>
            </w:r>
          </w:p>
          <w:p w:rsidR="00691DF1" w:rsidRPr="00A37097" w:rsidRDefault="00691DF1" w:rsidP="00691DF1">
            <w:pPr>
              <w:pStyle w:val="Tabletext"/>
              <w:rPr>
                <w:sz w:val="16"/>
                <w:szCs w:val="16"/>
                <w:lang w:val="en-US"/>
              </w:rPr>
            </w:pPr>
            <w:r w:rsidRPr="00A37097">
              <w:rPr>
                <w:sz w:val="16"/>
                <w:szCs w:val="16"/>
                <w:lang w:val="en-US"/>
              </w:rPr>
              <w:t>29 000 000</w:t>
            </w:r>
          </w:p>
        </w:tc>
        <w:tc>
          <w:tcPr>
            <w:tcW w:w="1500" w:type="dxa"/>
          </w:tcPr>
          <w:p w:rsidR="00691DF1" w:rsidRPr="00A37097" w:rsidRDefault="00691DF1" w:rsidP="000F2BA7">
            <w:pPr>
              <w:pStyle w:val="Tabletext"/>
              <w:rPr>
                <w:sz w:val="16"/>
                <w:szCs w:val="16"/>
                <w:lang w:val="en-US"/>
              </w:rPr>
            </w:pPr>
          </w:p>
        </w:tc>
      </w:tr>
      <w:tr w:rsidR="00691DF1" w:rsidRPr="00A37097" w:rsidTr="00A37097">
        <w:trPr>
          <w:jc w:val="center"/>
        </w:trPr>
        <w:tc>
          <w:tcPr>
            <w:tcW w:w="4248" w:type="dxa"/>
          </w:tcPr>
          <w:p w:rsidR="00691DF1" w:rsidRPr="00A37097" w:rsidRDefault="00691DF1" w:rsidP="00691DF1">
            <w:pPr>
              <w:pStyle w:val="Tabletext"/>
              <w:rPr>
                <w:sz w:val="16"/>
                <w:szCs w:val="16"/>
                <w:lang w:val="en-US"/>
              </w:rPr>
            </w:pPr>
            <w:r w:rsidRPr="00A37097">
              <w:rPr>
                <w:sz w:val="16"/>
                <w:szCs w:val="16"/>
                <w:lang w:val="en-US"/>
              </w:rPr>
              <w:t>b1. Terminal station</w:t>
            </w:r>
          </w:p>
          <w:p w:rsidR="00691DF1" w:rsidRPr="00A37097" w:rsidRDefault="00691DF1" w:rsidP="00691DF1">
            <w:pPr>
              <w:pStyle w:val="Tabletext"/>
              <w:rPr>
                <w:sz w:val="16"/>
                <w:szCs w:val="16"/>
                <w:lang w:val="en-US"/>
              </w:rPr>
            </w:pPr>
            <w:r w:rsidRPr="00A37097">
              <w:rPr>
                <w:sz w:val="16"/>
                <w:szCs w:val="16"/>
                <w:lang w:val="en-US"/>
              </w:rPr>
              <w:t>b2. Terminal station</w:t>
            </w:r>
          </w:p>
        </w:tc>
        <w:tc>
          <w:tcPr>
            <w:tcW w:w="1161" w:type="dxa"/>
          </w:tcPr>
          <w:p w:rsidR="00691DF1" w:rsidRPr="00A37097" w:rsidRDefault="00691DF1" w:rsidP="000F2BA7">
            <w:pPr>
              <w:pStyle w:val="Tabletext"/>
              <w:rPr>
                <w:sz w:val="16"/>
                <w:szCs w:val="16"/>
                <w:lang w:val="en-US"/>
              </w:rPr>
            </w:pPr>
          </w:p>
        </w:tc>
        <w:tc>
          <w:tcPr>
            <w:tcW w:w="1229" w:type="dxa"/>
          </w:tcPr>
          <w:p w:rsidR="00691DF1" w:rsidRPr="00A37097" w:rsidRDefault="00691DF1" w:rsidP="00691DF1">
            <w:pPr>
              <w:pStyle w:val="Tabletext"/>
              <w:rPr>
                <w:sz w:val="16"/>
                <w:szCs w:val="16"/>
                <w:lang w:val="en-US"/>
              </w:rPr>
            </w:pPr>
            <w:r w:rsidRPr="00A37097">
              <w:rPr>
                <w:sz w:val="16"/>
                <w:szCs w:val="16"/>
                <w:lang w:val="en-US"/>
              </w:rPr>
              <w:t>34 800</w:t>
            </w:r>
          </w:p>
          <w:p w:rsidR="00691DF1" w:rsidRPr="00A37097" w:rsidRDefault="00691DF1" w:rsidP="00691DF1">
            <w:pPr>
              <w:pStyle w:val="Tabletext"/>
              <w:rPr>
                <w:sz w:val="16"/>
                <w:szCs w:val="16"/>
                <w:lang w:val="en-US"/>
              </w:rPr>
            </w:pPr>
            <w:r w:rsidRPr="00A37097">
              <w:rPr>
                <w:sz w:val="16"/>
                <w:szCs w:val="16"/>
                <w:lang w:val="en-US"/>
              </w:rPr>
              <w:t>29 000</w:t>
            </w:r>
          </w:p>
        </w:tc>
        <w:tc>
          <w:tcPr>
            <w:tcW w:w="1501" w:type="dxa"/>
          </w:tcPr>
          <w:p w:rsidR="00691DF1" w:rsidRPr="00A37097" w:rsidRDefault="00691DF1" w:rsidP="000F2BA7">
            <w:pPr>
              <w:pStyle w:val="Tabletext"/>
              <w:rPr>
                <w:sz w:val="16"/>
                <w:szCs w:val="16"/>
                <w:lang w:val="en-US"/>
              </w:rPr>
            </w:pPr>
          </w:p>
        </w:tc>
        <w:tc>
          <w:tcPr>
            <w:tcW w:w="1500" w:type="dxa"/>
          </w:tcPr>
          <w:p w:rsidR="00691DF1" w:rsidRPr="00A37097" w:rsidRDefault="00691DF1" w:rsidP="000F2BA7">
            <w:pPr>
              <w:pStyle w:val="Tabletext"/>
              <w:rPr>
                <w:sz w:val="16"/>
                <w:szCs w:val="16"/>
                <w:lang w:val="en-US"/>
              </w:rPr>
            </w:pPr>
          </w:p>
        </w:tc>
      </w:tr>
      <w:tr w:rsidR="00691DF1" w:rsidRPr="00A37097" w:rsidTr="00A37097">
        <w:trPr>
          <w:jc w:val="center"/>
        </w:trPr>
        <w:tc>
          <w:tcPr>
            <w:tcW w:w="4248" w:type="dxa"/>
          </w:tcPr>
          <w:p w:rsidR="00691DF1" w:rsidRPr="00A37097" w:rsidRDefault="00691DF1" w:rsidP="00691DF1">
            <w:pPr>
              <w:pStyle w:val="Tabletext"/>
              <w:rPr>
                <w:sz w:val="16"/>
                <w:szCs w:val="16"/>
                <w:lang w:val="en-US"/>
              </w:rPr>
            </w:pPr>
            <w:r w:rsidRPr="00A37097">
              <w:rPr>
                <w:sz w:val="16"/>
                <w:szCs w:val="16"/>
                <w:lang w:val="en-US"/>
              </w:rPr>
              <w:t>c1. Links of 120 telephone channels or 8 Mbits/s</w:t>
            </w:r>
          </w:p>
          <w:p w:rsidR="00691DF1" w:rsidRPr="00A37097" w:rsidRDefault="00691DF1" w:rsidP="00691DF1">
            <w:pPr>
              <w:pStyle w:val="Tabletext"/>
              <w:rPr>
                <w:sz w:val="16"/>
                <w:szCs w:val="16"/>
                <w:lang w:val="en-US"/>
              </w:rPr>
            </w:pPr>
            <w:r w:rsidRPr="00A37097">
              <w:rPr>
                <w:sz w:val="16"/>
                <w:szCs w:val="16"/>
                <w:lang w:val="en-US"/>
              </w:rPr>
              <w:t xml:space="preserve">c2. Links from 121 to 600 telephone channels or </w:t>
            </w:r>
            <w:r w:rsidRPr="00A37097">
              <w:rPr>
                <w:sz w:val="16"/>
                <w:szCs w:val="16"/>
                <w:lang w:val="en-US"/>
              </w:rPr>
              <w:br/>
            </w:r>
            <w:r w:rsidRPr="00A37097">
              <w:rPr>
                <w:sz w:val="16"/>
                <w:szCs w:val="16"/>
                <w:lang w:val="en-US"/>
              </w:rPr>
              <w:tab/>
              <w:t>from 2.1-8 Mbits/s</w:t>
            </w:r>
          </w:p>
          <w:p w:rsidR="00691DF1" w:rsidRPr="00A37097" w:rsidRDefault="00691DF1" w:rsidP="00691DF1">
            <w:pPr>
              <w:pStyle w:val="Tabletext"/>
              <w:rPr>
                <w:sz w:val="16"/>
                <w:szCs w:val="16"/>
                <w:lang w:val="en-US"/>
              </w:rPr>
            </w:pPr>
            <w:r w:rsidRPr="00A37097">
              <w:rPr>
                <w:sz w:val="16"/>
                <w:szCs w:val="16"/>
                <w:lang w:val="en-US"/>
              </w:rPr>
              <w:t xml:space="preserve">c3. Links up to 1200 telephone channels or more </w:t>
            </w:r>
            <w:r w:rsidRPr="00A37097">
              <w:rPr>
                <w:sz w:val="16"/>
                <w:szCs w:val="16"/>
                <w:lang w:val="en-US"/>
              </w:rPr>
              <w:br/>
            </w:r>
            <w:r w:rsidRPr="00A37097">
              <w:rPr>
                <w:sz w:val="16"/>
                <w:szCs w:val="16"/>
                <w:lang w:val="en-US"/>
              </w:rPr>
              <w:tab/>
              <w:t>than 70 Mbits/s</w:t>
            </w:r>
          </w:p>
        </w:tc>
        <w:tc>
          <w:tcPr>
            <w:tcW w:w="1161" w:type="dxa"/>
          </w:tcPr>
          <w:p w:rsidR="00691DF1" w:rsidRPr="00A37097" w:rsidRDefault="00691DF1" w:rsidP="000F2BA7">
            <w:pPr>
              <w:pStyle w:val="Tabletext"/>
              <w:rPr>
                <w:sz w:val="16"/>
                <w:szCs w:val="16"/>
                <w:lang w:val="en-US"/>
              </w:rPr>
            </w:pPr>
          </w:p>
        </w:tc>
        <w:tc>
          <w:tcPr>
            <w:tcW w:w="1229" w:type="dxa"/>
          </w:tcPr>
          <w:p w:rsidR="00691DF1" w:rsidRPr="00A37097" w:rsidRDefault="00691DF1" w:rsidP="00691DF1">
            <w:pPr>
              <w:pStyle w:val="Tabletext"/>
              <w:rPr>
                <w:sz w:val="16"/>
                <w:szCs w:val="16"/>
                <w:lang w:val="en-US"/>
              </w:rPr>
            </w:pPr>
          </w:p>
        </w:tc>
        <w:tc>
          <w:tcPr>
            <w:tcW w:w="1501" w:type="dxa"/>
          </w:tcPr>
          <w:p w:rsidR="00691DF1" w:rsidRPr="00A37097" w:rsidRDefault="00691DF1" w:rsidP="000F2BA7">
            <w:pPr>
              <w:pStyle w:val="Tabletext"/>
              <w:rPr>
                <w:sz w:val="16"/>
                <w:szCs w:val="16"/>
                <w:lang w:val="en-US"/>
              </w:rPr>
            </w:pPr>
          </w:p>
        </w:tc>
        <w:tc>
          <w:tcPr>
            <w:tcW w:w="1500" w:type="dxa"/>
          </w:tcPr>
          <w:p w:rsidR="00691DF1" w:rsidRPr="00A37097" w:rsidRDefault="00691DF1" w:rsidP="00691DF1">
            <w:pPr>
              <w:pStyle w:val="Tabletext"/>
              <w:rPr>
                <w:sz w:val="16"/>
                <w:szCs w:val="16"/>
                <w:lang w:val="en-US"/>
              </w:rPr>
            </w:pPr>
            <w:r w:rsidRPr="00A37097">
              <w:rPr>
                <w:sz w:val="16"/>
                <w:szCs w:val="16"/>
                <w:lang w:val="en-US"/>
              </w:rPr>
              <w:t>5 800 000</w:t>
            </w:r>
          </w:p>
          <w:p w:rsidR="00691DF1" w:rsidRPr="00A37097" w:rsidRDefault="00691DF1" w:rsidP="00691DF1">
            <w:pPr>
              <w:pStyle w:val="Tabletext"/>
              <w:rPr>
                <w:sz w:val="16"/>
                <w:szCs w:val="16"/>
                <w:lang w:val="en-US"/>
              </w:rPr>
            </w:pPr>
            <w:r w:rsidRPr="00A37097">
              <w:rPr>
                <w:sz w:val="16"/>
                <w:szCs w:val="16"/>
                <w:lang w:val="en-US"/>
              </w:rPr>
              <w:t>10 440 000</w:t>
            </w:r>
          </w:p>
          <w:p w:rsidR="00691DF1" w:rsidRPr="00A37097" w:rsidRDefault="00691DF1" w:rsidP="00691DF1">
            <w:pPr>
              <w:pStyle w:val="Tabletext"/>
              <w:rPr>
                <w:sz w:val="16"/>
                <w:szCs w:val="16"/>
                <w:lang w:val="en-US"/>
              </w:rPr>
            </w:pPr>
            <w:r w:rsidRPr="00A37097">
              <w:rPr>
                <w:sz w:val="16"/>
                <w:szCs w:val="16"/>
                <w:lang w:val="en-US"/>
              </w:rPr>
              <w:t>14 500 000</w:t>
            </w:r>
          </w:p>
          <w:p w:rsidR="00691DF1" w:rsidRPr="00A37097" w:rsidRDefault="00691DF1" w:rsidP="00691DF1">
            <w:pPr>
              <w:pStyle w:val="Tabletext"/>
              <w:rPr>
                <w:sz w:val="16"/>
                <w:szCs w:val="16"/>
                <w:lang w:val="en-US"/>
              </w:rPr>
            </w:pPr>
            <w:r w:rsidRPr="00A37097">
              <w:rPr>
                <w:sz w:val="16"/>
                <w:szCs w:val="16"/>
                <w:lang w:val="en-US"/>
              </w:rPr>
              <w:t>17 400 000</w:t>
            </w:r>
          </w:p>
        </w:tc>
      </w:tr>
      <w:tr w:rsidR="00235226" w:rsidRPr="00A37097" w:rsidTr="00A37097">
        <w:trPr>
          <w:jc w:val="center"/>
        </w:trPr>
        <w:tc>
          <w:tcPr>
            <w:tcW w:w="4248" w:type="dxa"/>
          </w:tcPr>
          <w:p w:rsidR="00235226" w:rsidRPr="00A37097" w:rsidRDefault="00235226" w:rsidP="000F2BA7">
            <w:pPr>
              <w:pStyle w:val="Tabletext"/>
              <w:rPr>
                <w:sz w:val="16"/>
                <w:szCs w:val="16"/>
                <w:lang w:val="en-US"/>
              </w:rPr>
            </w:pPr>
            <w:r w:rsidRPr="00A37097">
              <w:rPr>
                <w:sz w:val="16"/>
                <w:szCs w:val="16"/>
              </w:rPr>
              <w:t>III.</w:t>
            </w:r>
            <w:r w:rsidRPr="00A37097">
              <w:rPr>
                <w:sz w:val="16"/>
                <w:szCs w:val="16"/>
              </w:rPr>
              <w:tab/>
              <w:t>TERRESTRIAL RADIOMARITIME SERVICE</w:t>
            </w:r>
          </w:p>
        </w:tc>
        <w:tc>
          <w:tcPr>
            <w:tcW w:w="1161" w:type="dxa"/>
          </w:tcPr>
          <w:p w:rsidR="00235226" w:rsidRPr="00A37097" w:rsidRDefault="00235226" w:rsidP="000F2BA7">
            <w:pPr>
              <w:pStyle w:val="Tabletext"/>
              <w:rPr>
                <w:sz w:val="16"/>
                <w:szCs w:val="16"/>
                <w:lang w:val="en-US"/>
              </w:rPr>
            </w:pPr>
          </w:p>
        </w:tc>
        <w:tc>
          <w:tcPr>
            <w:tcW w:w="1229" w:type="dxa"/>
          </w:tcPr>
          <w:p w:rsidR="00235226" w:rsidRPr="00A37097" w:rsidRDefault="00235226" w:rsidP="00691DF1">
            <w:pPr>
              <w:pStyle w:val="Tabletext"/>
              <w:rPr>
                <w:sz w:val="16"/>
                <w:szCs w:val="16"/>
                <w:lang w:val="en-US"/>
              </w:rPr>
            </w:pPr>
          </w:p>
        </w:tc>
        <w:tc>
          <w:tcPr>
            <w:tcW w:w="1501" w:type="dxa"/>
          </w:tcPr>
          <w:p w:rsidR="00235226" w:rsidRPr="00A37097" w:rsidRDefault="00235226" w:rsidP="000F2BA7">
            <w:pPr>
              <w:pStyle w:val="Tabletext"/>
              <w:rPr>
                <w:sz w:val="16"/>
                <w:szCs w:val="16"/>
                <w:lang w:val="en-US"/>
              </w:rPr>
            </w:pPr>
          </w:p>
        </w:tc>
        <w:tc>
          <w:tcPr>
            <w:tcW w:w="1500" w:type="dxa"/>
          </w:tcPr>
          <w:p w:rsidR="00235226" w:rsidRPr="00A37097" w:rsidRDefault="00235226" w:rsidP="000F2BA7">
            <w:pPr>
              <w:pStyle w:val="Tabletext"/>
              <w:rPr>
                <w:sz w:val="16"/>
                <w:szCs w:val="16"/>
                <w:lang w:val="en-US"/>
              </w:rPr>
            </w:pPr>
          </w:p>
        </w:tc>
      </w:tr>
      <w:tr w:rsidR="00235226" w:rsidRPr="005C0761" w:rsidTr="00A37097">
        <w:trPr>
          <w:jc w:val="center"/>
        </w:trPr>
        <w:tc>
          <w:tcPr>
            <w:tcW w:w="4248" w:type="dxa"/>
          </w:tcPr>
          <w:p w:rsidR="00235226" w:rsidRPr="003E54FB" w:rsidRDefault="005C0761" w:rsidP="000F2BA7">
            <w:pPr>
              <w:pStyle w:val="Tabletext"/>
              <w:rPr>
                <w:sz w:val="16"/>
                <w:szCs w:val="16"/>
                <w:lang w:val="fr-CH"/>
              </w:rPr>
            </w:pPr>
            <w:r w:rsidRPr="003E54FB">
              <w:rPr>
                <w:sz w:val="16"/>
                <w:szCs w:val="16"/>
                <w:lang w:val="fr-CH"/>
              </w:rPr>
              <w:t>III.1.</w:t>
            </w:r>
            <w:r w:rsidRPr="003E54FB">
              <w:rPr>
                <w:sz w:val="16"/>
                <w:szCs w:val="16"/>
                <w:lang w:val="fr-CH"/>
              </w:rPr>
              <w:tab/>
            </w:r>
            <w:r w:rsidR="00235226" w:rsidRPr="003E54FB">
              <w:rPr>
                <w:sz w:val="16"/>
                <w:szCs w:val="16"/>
                <w:lang w:val="fr-CH"/>
              </w:rPr>
              <w:t>Private coastal station (non profitable)</w:t>
            </w:r>
          </w:p>
        </w:tc>
        <w:tc>
          <w:tcPr>
            <w:tcW w:w="1161" w:type="dxa"/>
          </w:tcPr>
          <w:p w:rsidR="00235226" w:rsidRPr="00A37097" w:rsidRDefault="00235226" w:rsidP="000F2BA7">
            <w:pPr>
              <w:pStyle w:val="Tabletext"/>
              <w:rPr>
                <w:sz w:val="16"/>
                <w:szCs w:val="16"/>
                <w:lang w:val="en-US"/>
              </w:rPr>
            </w:pPr>
            <w:r w:rsidRPr="00A37097">
              <w:rPr>
                <w:sz w:val="16"/>
                <w:szCs w:val="16"/>
                <w:lang w:val="en-US"/>
              </w:rPr>
              <w:t>580 000</w:t>
            </w:r>
          </w:p>
        </w:tc>
        <w:tc>
          <w:tcPr>
            <w:tcW w:w="1229" w:type="dxa"/>
          </w:tcPr>
          <w:p w:rsidR="00235226" w:rsidRPr="00A37097" w:rsidRDefault="00235226" w:rsidP="00235226">
            <w:pPr>
              <w:pStyle w:val="Tabletext"/>
              <w:rPr>
                <w:sz w:val="16"/>
                <w:szCs w:val="16"/>
                <w:lang w:val="en-US"/>
              </w:rPr>
            </w:pPr>
            <w:r w:rsidRPr="00A37097">
              <w:rPr>
                <w:sz w:val="16"/>
                <w:szCs w:val="16"/>
                <w:lang w:val="en-US"/>
              </w:rPr>
              <w:t>87 000</w:t>
            </w:r>
          </w:p>
        </w:tc>
        <w:tc>
          <w:tcPr>
            <w:tcW w:w="1501" w:type="dxa"/>
          </w:tcPr>
          <w:p w:rsidR="00235226" w:rsidRPr="00A37097" w:rsidRDefault="00235226" w:rsidP="000F2BA7">
            <w:pPr>
              <w:pStyle w:val="Tabletext"/>
              <w:rPr>
                <w:sz w:val="16"/>
                <w:szCs w:val="16"/>
                <w:lang w:val="en-US"/>
              </w:rPr>
            </w:pPr>
            <w:r w:rsidRPr="00A37097">
              <w:rPr>
                <w:sz w:val="16"/>
                <w:szCs w:val="16"/>
                <w:lang w:val="en-US"/>
              </w:rPr>
              <w:t>3 480 000</w:t>
            </w:r>
          </w:p>
        </w:tc>
        <w:tc>
          <w:tcPr>
            <w:tcW w:w="1500" w:type="dxa"/>
          </w:tcPr>
          <w:p w:rsidR="00235226" w:rsidRPr="00A37097" w:rsidRDefault="00235226" w:rsidP="000F2BA7">
            <w:pPr>
              <w:pStyle w:val="Tabletext"/>
              <w:rPr>
                <w:sz w:val="16"/>
                <w:szCs w:val="16"/>
                <w:lang w:val="en-US"/>
              </w:rPr>
            </w:pPr>
          </w:p>
        </w:tc>
      </w:tr>
      <w:tr w:rsidR="00235226" w:rsidRPr="00A37097" w:rsidTr="00A37097">
        <w:trPr>
          <w:jc w:val="center"/>
        </w:trPr>
        <w:tc>
          <w:tcPr>
            <w:tcW w:w="4248" w:type="dxa"/>
          </w:tcPr>
          <w:p w:rsidR="00235226" w:rsidRPr="00A37097" w:rsidRDefault="00235226" w:rsidP="00235226">
            <w:pPr>
              <w:pStyle w:val="Tabletext"/>
              <w:rPr>
                <w:sz w:val="16"/>
                <w:szCs w:val="16"/>
                <w:lang w:val="en-US"/>
              </w:rPr>
            </w:pPr>
            <w:r w:rsidRPr="00A37097">
              <w:rPr>
                <w:sz w:val="16"/>
                <w:szCs w:val="16"/>
                <w:lang w:val="en-US"/>
              </w:rPr>
              <w:t>a1. Radioelectric links VHF (25KHz)</w:t>
            </w:r>
          </w:p>
          <w:p w:rsidR="00235226" w:rsidRPr="00A37097" w:rsidRDefault="00235226" w:rsidP="00235226">
            <w:pPr>
              <w:pStyle w:val="Tabletext"/>
              <w:rPr>
                <w:sz w:val="16"/>
                <w:szCs w:val="16"/>
                <w:lang w:val="en-US"/>
              </w:rPr>
            </w:pPr>
            <w:r w:rsidRPr="00A37097">
              <w:rPr>
                <w:sz w:val="16"/>
                <w:szCs w:val="16"/>
                <w:lang w:val="en-US"/>
              </w:rPr>
              <w:t>a2. Radioelectric links MF/HF (less than 1 KHz)</w:t>
            </w:r>
          </w:p>
          <w:p w:rsidR="00235226" w:rsidRPr="00A37097" w:rsidRDefault="00235226" w:rsidP="00235226">
            <w:pPr>
              <w:pStyle w:val="Tabletext"/>
              <w:rPr>
                <w:sz w:val="16"/>
                <w:szCs w:val="16"/>
                <w:u w:val="single"/>
                <w:lang w:val="en-GB"/>
              </w:rPr>
            </w:pPr>
            <w:r w:rsidRPr="00A37097">
              <w:rPr>
                <w:sz w:val="16"/>
                <w:szCs w:val="16"/>
                <w:lang w:val="en-US"/>
              </w:rPr>
              <w:t>a3. Radioelectric links MF/HF (3KHz)</w:t>
            </w:r>
          </w:p>
        </w:tc>
        <w:tc>
          <w:tcPr>
            <w:tcW w:w="1161" w:type="dxa"/>
          </w:tcPr>
          <w:p w:rsidR="00235226" w:rsidRPr="00A37097" w:rsidRDefault="00235226" w:rsidP="000F2BA7">
            <w:pPr>
              <w:pStyle w:val="Tabletext"/>
              <w:rPr>
                <w:sz w:val="16"/>
                <w:szCs w:val="16"/>
                <w:lang w:val="en-US"/>
              </w:rPr>
            </w:pPr>
          </w:p>
        </w:tc>
        <w:tc>
          <w:tcPr>
            <w:tcW w:w="1229" w:type="dxa"/>
          </w:tcPr>
          <w:p w:rsidR="00235226" w:rsidRPr="00A37097" w:rsidRDefault="00235226" w:rsidP="00235226">
            <w:pPr>
              <w:pStyle w:val="Tabletext"/>
              <w:rPr>
                <w:sz w:val="16"/>
                <w:szCs w:val="16"/>
                <w:lang w:val="en-US"/>
              </w:rPr>
            </w:pPr>
          </w:p>
        </w:tc>
        <w:tc>
          <w:tcPr>
            <w:tcW w:w="1501" w:type="dxa"/>
          </w:tcPr>
          <w:p w:rsidR="00235226" w:rsidRPr="00A37097" w:rsidRDefault="00235226" w:rsidP="000F2BA7">
            <w:pPr>
              <w:pStyle w:val="Tabletext"/>
              <w:rPr>
                <w:sz w:val="16"/>
                <w:szCs w:val="16"/>
                <w:lang w:val="en-US"/>
              </w:rPr>
            </w:pPr>
          </w:p>
        </w:tc>
        <w:tc>
          <w:tcPr>
            <w:tcW w:w="1500" w:type="dxa"/>
          </w:tcPr>
          <w:p w:rsidR="00235226" w:rsidRPr="00A37097" w:rsidRDefault="00235226" w:rsidP="00235226">
            <w:pPr>
              <w:pStyle w:val="Tabletext"/>
              <w:rPr>
                <w:sz w:val="16"/>
                <w:szCs w:val="16"/>
                <w:lang w:val="en-US"/>
              </w:rPr>
            </w:pPr>
            <w:r w:rsidRPr="00A37097">
              <w:rPr>
                <w:sz w:val="16"/>
                <w:szCs w:val="16"/>
                <w:lang w:val="en-US"/>
              </w:rPr>
              <w:t>174 000</w:t>
            </w:r>
          </w:p>
          <w:p w:rsidR="00235226" w:rsidRPr="00A37097" w:rsidRDefault="00235226" w:rsidP="00235226">
            <w:pPr>
              <w:pStyle w:val="Tabletext"/>
              <w:rPr>
                <w:sz w:val="16"/>
                <w:szCs w:val="16"/>
                <w:lang w:val="en-US"/>
              </w:rPr>
            </w:pPr>
            <w:r w:rsidRPr="00A37097">
              <w:rPr>
                <w:sz w:val="16"/>
                <w:szCs w:val="16"/>
                <w:lang w:val="en-US"/>
              </w:rPr>
              <w:t>139 200</w:t>
            </w:r>
          </w:p>
          <w:p w:rsidR="00235226" w:rsidRPr="00A37097" w:rsidRDefault="00235226" w:rsidP="00235226">
            <w:pPr>
              <w:pStyle w:val="Tabletext"/>
              <w:rPr>
                <w:sz w:val="16"/>
                <w:szCs w:val="16"/>
                <w:lang w:val="en-US"/>
              </w:rPr>
            </w:pPr>
            <w:r w:rsidRPr="00A37097">
              <w:rPr>
                <w:sz w:val="16"/>
                <w:szCs w:val="16"/>
                <w:lang w:val="en-US"/>
              </w:rPr>
              <w:t>417 600</w:t>
            </w:r>
          </w:p>
        </w:tc>
      </w:tr>
      <w:tr w:rsidR="00235226" w:rsidRPr="00A37097" w:rsidTr="00A37097">
        <w:trPr>
          <w:jc w:val="center"/>
        </w:trPr>
        <w:tc>
          <w:tcPr>
            <w:tcW w:w="4248" w:type="dxa"/>
          </w:tcPr>
          <w:p w:rsidR="00235226" w:rsidRPr="00A37097" w:rsidRDefault="00235226" w:rsidP="00235226">
            <w:pPr>
              <w:pStyle w:val="Tabletext"/>
              <w:ind w:left="567" w:hanging="567"/>
              <w:rPr>
                <w:sz w:val="16"/>
                <w:szCs w:val="16"/>
                <w:u w:val="single"/>
                <w:lang w:val="en-GB"/>
              </w:rPr>
            </w:pPr>
            <w:r w:rsidRPr="00A37097">
              <w:rPr>
                <w:sz w:val="16"/>
                <w:szCs w:val="16"/>
                <w:lang w:val="en-US"/>
              </w:rPr>
              <w:t>III.2.</w:t>
            </w:r>
            <w:r w:rsidRPr="00A37097">
              <w:rPr>
                <w:sz w:val="16"/>
                <w:szCs w:val="16"/>
                <w:lang w:val="en-US"/>
              </w:rPr>
              <w:tab/>
              <w:t>Coast Station opened to the public</w:t>
            </w:r>
            <w:r w:rsidRPr="00A37097">
              <w:rPr>
                <w:sz w:val="16"/>
                <w:szCs w:val="16"/>
                <w:lang w:val="en-US"/>
              </w:rPr>
              <w:tab/>
              <w:t>(commercial service)</w:t>
            </w:r>
          </w:p>
        </w:tc>
        <w:tc>
          <w:tcPr>
            <w:tcW w:w="1161" w:type="dxa"/>
          </w:tcPr>
          <w:p w:rsidR="00235226" w:rsidRPr="00A37097" w:rsidRDefault="00235226" w:rsidP="000F2BA7">
            <w:pPr>
              <w:pStyle w:val="Tabletext"/>
              <w:rPr>
                <w:sz w:val="16"/>
                <w:szCs w:val="16"/>
                <w:lang w:val="en-US"/>
              </w:rPr>
            </w:pPr>
            <w:r w:rsidRPr="00A37097">
              <w:rPr>
                <w:sz w:val="16"/>
                <w:szCs w:val="16"/>
                <w:lang w:val="en-US"/>
              </w:rPr>
              <w:t>1 450 000</w:t>
            </w:r>
          </w:p>
        </w:tc>
        <w:tc>
          <w:tcPr>
            <w:tcW w:w="1229" w:type="dxa"/>
          </w:tcPr>
          <w:p w:rsidR="00235226" w:rsidRPr="00A37097" w:rsidRDefault="00235226" w:rsidP="00235226">
            <w:pPr>
              <w:pStyle w:val="Tabletext"/>
              <w:rPr>
                <w:sz w:val="16"/>
                <w:szCs w:val="16"/>
                <w:lang w:val="en-US"/>
              </w:rPr>
            </w:pPr>
            <w:r w:rsidRPr="00A37097">
              <w:rPr>
                <w:sz w:val="16"/>
                <w:szCs w:val="16"/>
                <w:lang w:val="en-US"/>
              </w:rPr>
              <w:t>580 000</w:t>
            </w:r>
          </w:p>
        </w:tc>
        <w:tc>
          <w:tcPr>
            <w:tcW w:w="1501" w:type="dxa"/>
          </w:tcPr>
          <w:p w:rsidR="00235226" w:rsidRPr="00A37097" w:rsidRDefault="00235226" w:rsidP="000F2BA7">
            <w:pPr>
              <w:pStyle w:val="Tabletext"/>
              <w:rPr>
                <w:sz w:val="16"/>
                <w:szCs w:val="16"/>
                <w:lang w:val="en-US"/>
              </w:rPr>
            </w:pPr>
            <w:r w:rsidRPr="00A37097">
              <w:rPr>
                <w:sz w:val="16"/>
                <w:szCs w:val="16"/>
                <w:lang w:val="en-US"/>
              </w:rPr>
              <w:t>8 700 000</w:t>
            </w:r>
          </w:p>
        </w:tc>
        <w:tc>
          <w:tcPr>
            <w:tcW w:w="1500" w:type="dxa"/>
          </w:tcPr>
          <w:p w:rsidR="00235226" w:rsidRPr="00A37097" w:rsidRDefault="00235226" w:rsidP="000F2BA7">
            <w:pPr>
              <w:pStyle w:val="Tabletext"/>
              <w:rPr>
                <w:sz w:val="16"/>
                <w:szCs w:val="16"/>
                <w:lang w:val="en-US"/>
              </w:rPr>
            </w:pPr>
          </w:p>
        </w:tc>
      </w:tr>
      <w:tr w:rsidR="00235226" w:rsidRPr="00D17B5B" w:rsidTr="00A37097">
        <w:trPr>
          <w:jc w:val="center"/>
        </w:trPr>
        <w:tc>
          <w:tcPr>
            <w:tcW w:w="4248" w:type="dxa"/>
          </w:tcPr>
          <w:p w:rsidR="00235226" w:rsidRPr="00A37097" w:rsidRDefault="00235226" w:rsidP="00235226">
            <w:pPr>
              <w:pStyle w:val="Tabletext"/>
              <w:rPr>
                <w:sz w:val="16"/>
                <w:szCs w:val="16"/>
                <w:lang w:val="en-US"/>
              </w:rPr>
            </w:pPr>
            <w:r w:rsidRPr="00A37097">
              <w:rPr>
                <w:sz w:val="16"/>
                <w:szCs w:val="16"/>
                <w:lang w:val="en-US"/>
              </w:rPr>
              <w:t>a1. Radioelectric links VHF (25KHz)</w:t>
            </w:r>
          </w:p>
          <w:p w:rsidR="00235226" w:rsidRPr="00A37097" w:rsidRDefault="00235226" w:rsidP="00235226">
            <w:pPr>
              <w:pStyle w:val="Tabletext"/>
              <w:rPr>
                <w:sz w:val="16"/>
                <w:szCs w:val="16"/>
                <w:lang w:val="en-US"/>
              </w:rPr>
            </w:pPr>
            <w:r w:rsidRPr="00A37097">
              <w:rPr>
                <w:sz w:val="16"/>
                <w:szCs w:val="16"/>
                <w:lang w:val="en-US"/>
              </w:rPr>
              <w:t>a2. Radioelectric links MF/HF (less than 1 KHz)</w:t>
            </w:r>
          </w:p>
          <w:p w:rsidR="00235226" w:rsidRPr="00A37097" w:rsidRDefault="00235226" w:rsidP="00235226">
            <w:pPr>
              <w:pStyle w:val="Tabletext"/>
              <w:tabs>
                <w:tab w:val="clear" w:pos="284"/>
                <w:tab w:val="clear" w:pos="567"/>
                <w:tab w:val="clear" w:pos="851"/>
                <w:tab w:val="left" w:pos="142"/>
                <w:tab w:val="left" w:pos="480"/>
              </w:tabs>
              <w:ind w:left="142" w:hanging="142"/>
              <w:rPr>
                <w:sz w:val="16"/>
                <w:szCs w:val="16"/>
                <w:lang w:val="en-US"/>
              </w:rPr>
            </w:pPr>
            <w:r w:rsidRPr="00A37097">
              <w:rPr>
                <w:sz w:val="16"/>
                <w:szCs w:val="16"/>
                <w:lang w:val="en-US"/>
              </w:rPr>
              <w:t>a3. Radioelectric links MF/HF (3KHz)</w:t>
            </w:r>
          </w:p>
        </w:tc>
        <w:tc>
          <w:tcPr>
            <w:tcW w:w="1161" w:type="dxa"/>
          </w:tcPr>
          <w:p w:rsidR="00235226" w:rsidRPr="00A37097" w:rsidRDefault="00235226" w:rsidP="000F2BA7">
            <w:pPr>
              <w:pStyle w:val="Tabletext"/>
              <w:rPr>
                <w:sz w:val="16"/>
                <w:szCs w:val="16"/>
                <w:lang w:val="en-US"/>
              </w:rPr>
            </w:pPr>
          </w:p>
        </w:tc>
        <w:tc>
          <w:tcPr>
            <w:tcW w:w="1229" w:type="dxa"/>
          </w:tcPr>
          <w:p w:rsidR="00235226" w:rsidRPr="00A37097" w:rsidRDefault="00235226" w:rsidP="00235226">
            <w:pPr>
              <w:pStyle w:val="Tabletext"/>
              <w:rPr>
                <w:sz w:val="16"/>
                <w:szCs w:val="16"/>
                <w:lang w:val="en-US"/>
              </w:rPr>
            </w:pPr>
          </w:p>
        </w:tc>
        <w:tc>
          <w:tcPr>
            <w:tcW w:w="1501" w:type="dxa"/>
          </w:tcPr>
          <w:p w:rsidR="00235226" w:rsidRPr="00A37097" w:rsidRDefault="00235226" w:rsidP="000F2BA7">
            <w:pPr>
              <w:pStyle w:val="Tabletext"/>
              <w:rPr>
                <w:sz w:val="16"/>
                <w:szCs w:val="16"/>
                <w:lang w:val="en-US"/>
              </w:rPr>
            </w:pPr>
          </w:p>
        </w:tc>
        <w:tc>
          <w:tcPr>
            <w:tcW w:w="1500" w:type="dxa"/>
          </w:tcPr>
          <w:p w:rsidR="00235226" w:rsidRPr="00A37097" w:rsidRDefault="00235226" w:rsidP="000F2BA7">
            <w:pPr>
              <w:pStyle w:val="Tabletext"/>
              <w:rPr>
                <w:sz w:val="16"/>
                <w:szCs w:val="16"/>
                <w:lang w:val="en-US"/>
              </w:rPr>
            </w:pPr>
          </w:p>
        </w:tc>
      </w:tr>
      <w:tr w:rsidR="00235226" w:rsidRPr="005C0761" w:rsidTr="00A37097">
        <w:trPr>
          <w:jc w:val="center"/>
        </w:trPr>
        <w:tc>
          <w:tcPr>
            <w:tcW w:w="4248" w:type="dxa"/>
          </w:tcPr>
          <w:p w:rsidR="00235226" w:rsidRPr="00A37097" w:rsidRDefault="005C0761" w:rsidP="000F2BA7">
            <w:pPr>
              <w:pStyle w:val="Tabletext"/>
              <w:tabs>
                <w:tab w:val="clear" w:pos="284"/>
                <w:tab w:val="clear" w:pos="567"/>
                <w:tab w:val="clear" w:pos="851"/>
                <w:tab w:val="left" w:pos="142"/>
                <w:tab w:val="left" w:pos="480"/>
              </w:tabs>
              <w:ind w:left="142" w:hanging="142"/>
              <w:rPr>
                <w:sz w:val="16"/>
                <w:szCs w:val="16"/>
                <w:lang w:val="en-US"/>
              </w:rPr>
            </w:pPr>
            <w:r>
              <w:rPr>
                <w:sz w:val="16"/>
                <w:szCs w:val="16"/>
                <w:lang w:val="en-US"/>
              </w:rPr>
              <w:t>III.3.</w:t>
            </w:r>
            <w:r>
              <w:rPr>
                <w:sz w:val="16"/>
                <w:szCs w:val="16"/>
                <w:lang w:val="en-US"/>
              </w:rPr>
              <w:tab/>
            </w:r>
            <w:r w:rsidR="00235226" w:rsidRPr="00A37097">
              <w:rPr>
                <w:sz w:val="16"/>
                <w:szCs w:val="16"/>
                <w:lang w:val="en-US"/>
              </w:rPr>
              <w:t>Commercial ship stations</w:t>
            </w:r>
          </w:p>
        </w:tc>
        <w:tc>
          <w:tcPr>
            <w:tcW w:w="1161" w:type="dxa"/>
          </w:tcPr>
          <w:p w:rsidR="00235226" w:rsidRPr="00A37097" w:rsidRDefault="00235226" w:rsidP="000F2BA7">
            <w:pPr>
              <w:pStyle w:val="Tabletext"/>
              <w:rPr>
                <w:sz w:val="16"/>
                <w:szCs w:val="16"/>
                <w:lang w:val="en-US"/>
              </w:rPr>
            </w:pPr>
          </w:p>
        </w:tc>
        <w:tc>
          <w:tcPr>
            <w:tcW w:w="1229" w:type="dxa"/>
          </w:tcPr>
          <w:p w:rsidR="00235226" w:rsidRPr="00A37097" w:rsidRDefault="00235226" w:rsidP="00235226">
            <w:pPr>
              <w:pStyle w:val="Tabletext"/>
              <w:rPr>
                <w:sz w:val="16"/>
                <w:szCs w:val="16"/>
                <w:lang w:val="en-US"/>
              </w:rPr>
            </w:pPr>
          </w:p>
        </w:tc>
        <w:tc>
          <w:tcPr>
            <w:tcW w:w="1501" w:type="dxa"/>
          </w:tcPr>
          <w:p w:rsidR="00235226" w:rsidRPr="00A37097" w:rsidRDefault="00235226" w:rsidP="000F2BA7">
            <w:pPr>
              <w:pStyle w:val="Tabletext"/>
              <w:rPr>
                <w:sz w:val="16"/>
                <w:szCs w:val="16"/>
                <w:lang w:val="en-US"/>
              </w:rPr>
            </w:pPr>
          </w:p>
        </w:tc>
        <w:tc>
          <w:tcPr>
            <w:tcW w:w="1500" w:type="dxa"/>
          </w:tcPr>
          <w:p w:rsidR="00235226" w:rsidRPr="00A37097" w:rsidRDefault="00235226" w:rsidP="000F2BA7">
            <w:pPr>
              <w:pStyle w:val="Tabletext"/>
              <w:rPr>
                <w:sz w:val="16"/>
                <w:szCs w:val="16"/>
                <w:lang w:val="en-US"/>
              </w:rPr>
            </w:pPr>
          </w:p>
        </w:tc>
      </w:tr>
      <w:tr w:rsidR="00235226" w:rsidRPr="005C0761" w:rsidTr="00A37097">
        <w:trPr>
          <w:jc w:val="center"/>
        </w:trPr>
        <w:tc>
          <w:tcPr>
            <w:tcW w:w="4248" w:type="dxa"/>
          </w:tcPr>
          <w:p w:rsidR="00235226" w:rsidRPr="00A37097" w:rsidRDefault="00235226" w:rsidP="000F2BA7">
            <w:pPr>
              <w:pStyle w:val="Tabletext"/>
              <w:tabs>
                <w:tab w:val="clear" w:pos="284"/>
                <w:tab w:val="clear" w:pos="567"/>
                <w:tab w:val="clear" w:pos="851"/>
                <w:tab w:val="left" w:pos="142"/>
                <w:tab w:val="left" w:pos="480"/>
              </w:tabs>
              <w:ind w:left="142" w:hanging="142"/>
              <w:rPr>
                <w:sz w:val="16"/>
                <w:szCs w:val="16"/>
                <w:lang w:val="en-US"/>
              </w:rPr>
            </w:pPr>
            <w:r w:rsidRPr="00A37097">
              <w:rPr>
                <w:sz w:val="16"/>
                <w:szCs w:val="16"/>
                <w:lang w:val="en-US"/>
              </w:rPr>
              <w:t>a1. Ports operations</w:t>
            </w:r>
          </w:p>
        </w:tc>
        <w:tc>
          <w:tcPr>
            <w:tcW w:w="1161" w:type="dxa"/>
          </w:tcPr>
          <w:p w:rsidR="00235226" w:rsidRPr="00A37097" w:rsidRDefault="00235226" w:rsidP="000F2BA7">
            <w:pPr>
              <w:pStyle w:val="Tabletext"/>
              <w:rPr>
                <w:sz w:val="16"/>
                <w:szCs w:val="16"/>
                <w:lang w:val="en-US"/>
              </w:rPr>
            </w:pPr>
          </w:p>
        </w:tc>
        <w:tc>
          <w:tcPr>
            <w:tcW w:w="1229" w:type="dxa"/>
          </w:tcPr>
          <w:p w:rsidR="00235226" w:rsidRPr="00A37097" w:rsidRDefault="00235226" w:rsidP="00235226">
            <w:pPr>
              <w:pStyle w:val="Tabletext"/>
              <w:rPr>
                <w:sz w:val="16"/>
                <w:szCs w:val="16"/>
                <w:lang w:val="en-US"/>
              </w:rPr>
            </w:pPr>
          </w:p>
        </w:tc>
        <w:tc>
          <w:tcPr>
            <w:tcW w:w="1501" w:type="dxa"/>
          </w:tcPr>
          <w:p w:rsidR="00235226" w:rsidRPr="00A37097" w:rsidRDefault="00235226" w:rsidP="000F2BA7">
            <w:pPr>
              <w:pStyle w:val="Tabletext"/>
              <w:rPr>
                <w:sz w:val="16"/>
                <w:szCs w:val="16"/>
                <w:lang w:val="en-US"/>
              </w:rPr>
            </w:pPr>
          </w:p>
        </w:tc>
        <w:tc>
          <w:tcPr>
            <w:tcW w:w="1500" w:type="dxa"/>
          </w:tcPr>
          <w:p w:rsidR="00235226" w:rsidRPr="00A37097" w:rsidRDefault="00235226" w:rsidP="000F2BA7">
            <w:pPr>
              <w:pStyle w:val="Tabletext"/>
              <w:rPr>
                <w:sz w:val="16"/>
                <w:szCs w:val="16"/>
                <w:lang w:val="en-US"/>
              </w:rPr>
            </w:pPr>
            <w:r w:rsidRPr="00A37097">
              <w:rPr>
                <w:sz w:val="16"/>
                <w:szCs w:val="16"/>
                <w:lang w:val="en-US"/>
              </w:rPr>
              <w:t>174 000</w:t>
            </w:r>
          </w:p>
        </w:tc>
      </w:tr>
      <w:tr w:rsidR="00235226" w:rsidRPr="005C0761" w:rsidTr="00A37097">
        <w:trPr>
          <w:jc w:val="center"/>
        </w:trPr>
        <w:tc>
          <w:tcPr>
            <w:tcW w:w="4248" w:type="dxa"/>
          </w:tcPr>
          <w:p w:rsidR="00235226" w:rsidRPr="00A37097" w:rsidRDefault="00235226" w:rsidP="005C0761">
            <w:pPr>
              <w:pStyle w:val="Tabletext"/>
              <w:tabs>
                <w:tab w:val="clear" w:pos="284"/>
                <w:tab w:val="clear" w:pos="567"/>
                <w:tab w:val="clear" w:pos="851"/>
                <w:tab w:val="left" w:pos="142"/>
                <w:tab w:val="left" w:pos="480"/>
              </w:tabs>
              <w:ind w:left="142" w:hanging="142"/>
              <w:rPr>
                <w:sz w:val="16"/>
                <w:szCs w:val="16"/>
                <w:lang w:val="en-US"/>
              </w:rPr>
            </w:pPr>
            <w:r w:rsidRPr="00A37097">
              <w:rPr>
                <w:sz w:val="16"/>
                <w:szCs w:val="16"/>
                <w:lang w:val="en-US"/>
              </w:rPr>
              <w:lastRenderedPageBreak/>
              <w:t>III.4.</w:t>
            </w:r>
            <w:r w:rsidR="005C0761">
              <w:rPr>
                <w:sz w:val="16"/>
                <w:szCs w:val="16"/>
                <w:lang w:val="en-US"/>
              </w:rPr>
              <w:tab/>
            </w:r>
            <w:r w:rsidRPr="00A37097">
              <w:rPr>
                <w:sz w:val="16"/>
                <w:szCs w:val="16"/>
                <w:lang w:val="en-US"/>
              </w:rPr>
              <w:t>Fishing ship stations</w:t>
            </w:r>
          </w:p>
        </w:tc>
        <w:tc>
          <w:tcPr>
            <w:tcW w:w="1161" w:type="dxa"/>
          </w:tcPr>
          <w:p w:rsidR="00235226" w:rsidRPr="00A37097" w:rsidRDefault="00235226" w:rsidP="000F2BA7">
            <w:pPr>
              <w:pStyle w:val="Tabletext"/>
              <w:rPr>
                <w:sz w:val="16"/>
                <w:szCs w:val="16"/>
                <w:lang w:val="en-US"/>
              </w:rPr>
            </w:pPr>
          </w:p>
        </w:tc>
        <w:tc>
          <w:tcPr>
            <w:tcW w:w="1229" w:type="dxa"/>
          </w:tcPr>
          <w:p w:rsidR="00235226" w:rsidRPr="00A37097" w:rsidRDefault="00235226" w:rsidP="00235226">
            <w:pPr>
              <w:pStyle w:val="Tabletext"/>
              <w:rPr>
                <w:sz w:val="16"/>
                <w:szCs w:val="16"/>
                <w:lang w:val="en-US"/>
              </w:rPr>
            </w:pPr>
          </w:p>
        </w:tc>
        <w:tc>
          <w:tcPr>
            <w:tcW w:w="1501" w:type="dxa"/>
          </w:tcPr>
          <w:p w:rsidR="00235226" w:rsidRPr="00A37097" w:rsidRDefault="00235226" w:rsidP="000F2BA7">
            <w:pPr>
              <w:pStyle w:val="Tabletext"/>
              <w:rPr>
                <w:sz w:val="16"/>
                <w:szCs w:val="16"/>
                <w:lang w:val="en-US"/>
              </w:rPr>
            </w:pPr>
          </w:p>
        </w:tc>
        <w:tc>
          <w:tcPr>
            <w:tcW w:w="1500" w:type="dxa"/>
          </w:tcPr>
          <w:p w:rsidR="00235226" w:rsidRPr="00A37097" w:rsidRDefault="00235226" w:rsidP="000F2BA7">
            <w:pPr>
              <w:pStyle w:val="Tabletext"/>
              <w:rPr>
                <w:sz w:val="16"/>
                <w:szCs w:val="16"/>
                <w:lang w:val="en-US"/>
              </w:rPr>
            </w:pPr>
          </w:p>
        </w:tc>
      </w:tr>
      <w:tr w:rsidR="00235226" w:rsidRPr="005C0761" w:rsidTr="00A37097">
        <w:trPr>
          <w:jc w:val="center"/>
        </w:trPr>
        <w:tc>
          <w:tcPr>
            <w:tcW w:w="4248" w:type="dxa"/>
          </w:tcPr>
          <w:p w:rsidR="00235226" w:rsidRPr="00A37097" w:rsidRDefault="00235226" w:rsidP="00235226">
            <w:pPr>
              <w:pStyle w:val="Tabletext"/>
              <w:rPr>
                <w:sz w:val="16"/>
                <w:szCs w:val="16"/>
                <w:lang w:val="en-US"/>
              </w:rPr>
            </w:pPr>
            <w:r w:rsidRPr="00A37097">
              <w:rPr>
                <w:sz w:val="16"/>
                <w:szCs w:val="16"/>
                <w:lang w:val="en-US"/>
              </w:rPr>
              <w:t>a1. Of less than 150 tons</w:t>
            </w:r>
          </w:p>
          <w:p w:rsidR="00235226" w:rsidRPr="00A37097" w:rsidRDefault="00235226" w:rsidP="00235226">
            <w:pPr>
              <w:pStyle w:val="Tabletext"/>
              <w:rPr>
                <w:sz w:val="16"/>
                <w:szCs w:val="16"/>
                <w:lang w:val="en-US"/>
              </w:rPr>
            </w:pPr>
            <w:r w:rsidRPr="00A37097">
              <w:rPr>
                <w:sz w:val="16"/>
                <w:szCs w:val="16"/>
                <w:lang w:val="en-US"/>
              </w:rPr>
              <w:t>a2. Of more than 150 tons</w:t>
            </w:r>
          </w:p>
        </w:tc>
        <w:tc>
          <w:tcPr>
            <w:tcW w:w="1161" w:type="dxa"/>
          </w:tcPr>
          <w:p w:rsidR="00235226" w:rsidRPr="00A37097" w:rsidRDefault="00235226" w:rsidP="00235226">
            <w:pPr>
              <w:pStyle w:val="Tabletext"/>
              <w:rPr>
                <w:sz w:val="16"/>
                <w:szCs w:val="16"/>
                <w:lang w:val="en-US"/>
              </w:rPr>
            </w:pPr>
            <w:r w:rsidRPr="00A37097">
              <w:rPr>
                <w:sz w:val="16"/>
                <w:szCs w:val="16"/>
                <w:lang w:val="en-US"/>
              </w:rPr>
              <w:t>11 600</w:t>
            </w:r>
          </w:p>
          <w:p w:rsidR="00235226" w:rsidRPr="00A37097" w:rsidRDefault="00235226" w:rsidP="00235226">
            <w:pPr>
              <w:pStyle w:val="Tabletext"/>
              <w:rPr>
                <w:sz w:val="16"/>
                <w:szCs w:val="16"/>
                <w:lang w:val="en-US"/>
              </w:rPr>
            </w:pPr>
            <w:r w:rsidRPr="00A37097">
              <w:rPr>
                <w:sz w:val="16"/>
                <w:szCs w:val="16"/>
                <w:lang w:val="en-US"/>
              </w:rPr>
              <w:t>11 600</w:t>
            </w:r>
          </w:p>
        </w:tc>
        <w:tc>
          <w:tcPr>
            <w:tcW w:w="1229" w:type="dxa"/>
          </w:tcPr>
          <w:p w:rsidR="00235226" w:rsidRPr="00A37097" w:rsidRDefault="00235226" w:rsidP="00235226">
            <w:pPr>
              <w:pStyle w:val="Tabletext"/>
              <w:rPr>
                <w:sz w:val="16"/>
                <w:szCs w:val="16"/>
                <w:lang w:val="en-US"/>
              </w:rPr>
            </w:pPr>
            <w:r w:rsidRPr="00A37097">
              <w:rPr>
                <w:sz w:val="16"/>
                <w:szCs w:val="16"/>
                <w:lang w:val="en-US"/>
              </w:rPr>
              <w:t>34 800</w:t>
            </w:r>
          </w:p>
          <w:p w:rsidR="00235226" w:rsidRPr="00A37097" w:rsidRDefault="00235226" w:rsidP="00235226">
            <w:pPr>
              <w:pStyle w:val="Tabletext"/>
              <w:rPr>
                <w:sz w:val="16"/>
                <w:szCs w:val="16"/>
                <w:lang w:val="en-US"/>
              </w:rPr>
            </w:pPr>
            <w:r w:rsidRPr="00A37097">
              <w:rPr>
                <w:sz w:val="16"/>
                <w:szCs w:val="16"/>
                <w:lang w:val="en-US"/>
              </w:rPr>
              <w:t>34 800</w:t>
            </w:r>
          </w:p>
        </w:tc>
        <w:tc>
          <w:tcPr>
            <w:tcW w:w="1501" w:type="dxa"/>
          </w:tcPr>
          <w:p w:rsidR="00235226" w:rsidRPr="00A37097" w:rsidRDefault="00235226" w:rsidP="00235226">
            <w:pPr>
              <w:pStyle w:val="Tabletext"/>
              <w:rPr>
                <w:sz w:val="16"/>
                <w:szCs w:val="16"/>
                <w:lang w:val="en-US"/>
              </w:rPr>
            </w:pPr>
            <w:r w:rsidRPr="00A37097">
              <w:rPr>
                <w:sz w:val="16"/>
                <w:szCs w:val="16"/>
                <w:lang w:val="en-US"/>
              </w:rPr>
              <w:t>116 000</w:t>
            </w:r>
          </w:p>
          <w:p w:rsidR="00235226" w:rsidRPr="00A37097" w:rsidRDefault="00235226" w:rsidP="00235226">
            <w:pPr>
              <w:pStyle w:val="Tabletext"/>
              <w:rPr>
                <w:sz w:val="16"/>
                <w:szCs w:val="16"/>
                <w:lang w:val="en-US"/>
              </w:rPr>
            </w:pPr>
            <w:r w:rsidRPr="00A37097">
              <w:rPr>
                <w:sz w:val="16"/>
                <w:szCs w:val="16"/>
                <w:lang w:val="en-US"/>
              </w:rPr>
              <w:t>174 000</w:t>
            </w:r>
          </w:p>
        </w:tc>
        <w:tc>
          <w:tcPr>
            <w:tcW w:w="1500" w:type="dxa"/>
          </w:tcPr>
          <w:p w:rsidR="00235226" w:rsidRPr="00A37097" w:rsidRDefault="00235226" w:rsidP="000F2BA7">
            <w:pPr>
              <w:pStyle w:val="Tabletext"/>
              <w:rPr>
                <w:sz w:val="16"/>
                <w:szCs w:val="16"/>
                <w:lang w:val="en-US"/>
              </w:rPr>
            </w:pPr>
            <w:r w:rsidRPr="00A37097">
              <w:rPr>
                <w:sz w:val="16"/>
                <w:szCs w:val="16"/>
                <w:lang w:val="en-US"/>
              </w:rPr>
              <w:t>174 000</w:t>
            </w:r>
          </w:p>
        </w:tc>
      </w:tr>
      <w:tr w:rsidR="00235226" w:rsidRPr="00A37097" w:rsidTr="00A37097">
        <w:trPr>
          <w:jc w:val="center"/>
        </w:trPr>
        <w:tc>
          <w:tcPr>
            <w:tcW w:w="4248" w:type="dxa"/>
          </w:tcPr>
          <w:p w:rsidR="00235226" w:rsidRPr="00A37097" w:rsidRDefault="00235226" w:rsidP="000F2BA7">
            <w:pPr>
              <w:pStyle w:val="Tabletext"/>
              <w:rPr>
                <w:sz w:val="16"/>
                <w:szCs w:val="16"/>
                <w:lang w:val="en-US"/>
              </w:rPr>
            </w:pPr>
            <w:r w:rsidRPr="00A37097">
              <w:rPr>
                <w:sz w:val="16"/>
                <w:szCs w:val="16"/>
                <w:lang w:val="en-US"/>
              </w:rPr>
              <w:t>b1. Ports operations</w:t>
            </w:r>
          </w:p>
        </w:tc>
        <w:tc>
          <w:tcPr>
            <w:tcW w:w="1161" w:type="dxa"/>
          </w:tcPr>
          <w:p w:rsidR="00235226" w:rsidRPr="00A37097" w:rsidRDefault="00235226" w:rsidP="000F2BA7">
            <w:pPr>
              <w:pStyle w:val="Tabletext"/>
              <w:rPr>
                <w:sz w:val="16"/>
                <w:szCs w:val="16"/>
                <w:lang w:val="en-US"/>
              </w:rPr>
            </w:pPr>
          </w:p>
        </w:tc>
        <w:tc>
          <w:tcPr>
            <w:tcW w:w="1229" w:type="dxa"/>
          </w:tcPr>
          <w:p w:rsidR="00235226" w:rsidRPr="00A37097" w:rsidRDefault="00235226" w:rsidP="00235226">
            <w:pPr>
              <w:pStyle w:val="Tabletext"/>
              <w:rPr>
                <w:sz w:val="16"/>
                <w:szCs w:val="16"/>
                <w:lang w:val="en-US"/>
              </w:rPr>
            </w:pPr>
          </w:p>
        </w:tc>
        <w:tc>
          <w:tcPr>
            <w:tcW w:w="1501" w:type="dxa"/>
          </w:tcPr>
          <w:p w:rsidR="00235226" w:rsidRPr="00A37097" w:rsidRDefault="00235226" w:rsidP="000F2BA7">
            <w:pPr>
              <w:pStyle w:val="Tabletext"/>
              <w:rPr>
                <w:sz w:val="16"/>
                <w:szCs w:val="16"/>
                <w:lang w:val="en-US"/>
              </w:rPr>
            </w:pPr>
          </w:p>
        </w:tc>
        <w:tc>
          <w:tcPr>
            <w:tcW w:w="1500" w:type="dxa"/>
          </w:tcPr>
          <w:p w:rsidR="00235226" w:rsidRPr="00A37097" w:rsidRDefault="00235226" w:rsidP="000F2BA7">
            <w:pPr>
              <w:pStyle w:val="Tabletext"/>
              <w:rPr>
                <w:sz w:val="16"/>
                <w:szCs w:val="16"/>
                <w:lang w:val="en-US"/>
              </w:rPr>
            </w:pPr>
            <w:r w:rsidRPr="00A37097">
              <w:rPr>
                <w:sz w:val="16"/>
                <w:szCs w:val="16"/>
                <w:lang w:val="en-US"/>
              </w:rPr>
              <w:t>174 000</w:t>
            </w:r>
          </w:p>
        </w:tc>
      </w:tr>
      <w:tr w:rsidR="00235226" w:rsidRPr="005C0761" w:rsidTr="00A37097">
        <w:trPr>
          <w:jc w:val="center"/>
        </w:trPr>
        <w:tc>
          <w:tcPr>
            <w:tcW w:w="4248" w:type="dxa"/>
          </w:tcPr>
          <w:p w:rsidR="00235226" w:rsidRPr="00A37097" w:rsidRDefault="00235226" w:rsidP="005C0761">
            <w:pPr>
              <w:pStyle w:val="Tabletext"/>
              <w:rPr>
                <w:sz w:val="16"/>
                <w:szCs w:val="16"/>
                <w:lang w:val="en-US"/>
              </w:rPr>
            </w:pPr>
            <w:r w:rsidRPr="00A37097">
              <w:rPr>
                <w:sz w:val="16"/>
                <w:szCs w:val="16"/>
                <w:lang w:val="en-US"/>
              </w:rPr>
              <w:t>III.5.</w:t>
            </w:r>
            <w:r w:rsidR="005C0761">
              <w:rPr>
                <w:sz w:val="16"/>
                <w:szCs w:val="16"/>
                <w:lang w:val="en-US"/>
              </w:rPr>
              <w:tab/>
            </w:r>
            <w:r w:rsidRPr="00A37097">
              <w:rPr>
                <w:sz w:val="16"/>
                <w:szCs w:val="16"/>
                <w:lang w:val="en-US"/>
              </w:rPr>
              <w:t>Tourists / Pleasure ships</w:t>
            </w:r>
          </w:p>
        </w:tc>
        <w:tc>
          <w:tcPr>
            <w:tcW w:w="1161" w:type="dxa"/>
          </w:tcPr>
          <w:p w:rsidR="00235226" w:rsidRPr="00A37097" w:rsidRDefault="00235226" w:rsidP="000F2BA7">
            <w:pPr>
              <w:pStyle w:val="Tabletext"/>
              <w:rPr>
                <w:sz w:val="16"/>
                <w:szCs w:val="16"/>
                <w:lang w:val="en-US"/>
              </w:rPr>
            </w:pPr>
            <w:r w:rsidRPr="00A37097">
              <w:rPr>
                <w:sz w:val="16"/>
                <w:szCs w:val="16"/>
                <w:lang w:val="en-US"/>
              </w:rPr>
              <w:t>11 600</w:t>
            </w:r>
          </w:p>
        </w:tc>
        <w:tc>
          <w:tcPr>
            <w:tcW w:w="1229" w:type="dxa"/>
          </w:tcPr>
          <w:p w:rsidR="00235226" w:rsidRPr="00A37097" w:rsidRDefault="00235226" w:rsidP="00235226">
            <w:pPr>
              <w:pStyle w:val="Tabletext"/>
              <w:rPr>
                <w:sz w:val="16"/>
                <w:szCs w:val="16"/>
                <w:lang w:val="en-US"/>
              </w:rPr>
            </w:pPr>
            <w:r w:rsidRPr="00A37097">
              <w:rPr>
                <w:sz w:val="16"/>
                <w:szCs w:val="16"/>
                <w:lang w:val="en-US"/>
              </w:rPr>
              <w:t>34 800</w:t>
            </w:r>
          </w:p>
        </w:tc>
        <w:tc>
          <w:tcPr>
            <w:tcW w:w="1501" w:type="dxa"/>
          </w:tcPr>
          <w:p w:rsidR="00235226" w:rsidRPr="00A37097" w:rsidRDefault="00235226" w:rsidP="000F2BA7">
            <w:pPr>
              <w:pStyle w:val="Tabletext"/>
              <w:rPr>
                <w:sz w:val="16"/>
                <w:szCs w:val="16"/>
                <w:lang w:val="en-US"/>
              </w:rPr>
            </w:pPr>
            <w:r w:rsidRPr="00A37097">
              <w:rPr>
                <w:sz w:val="16"/>
                <w:szCs w:val="16"/>
                <w:lang w:val="en-US"/>
              </w:rPr>
              <w:t>58 000</w:t>
            </w:r>
          </w:p>
        </w:tc>
        <w:tc>
          <w:tcPr>
            <w:tcW w:w="1500" w:type="dxa"/>
          </w:tcPr>
          <w:p w:rsidR="00235226" w:rsidRPr="00A37097" w:rsidRDefault="00235226" w:rsidP="000F2BA7">
            <w:pPr>
              <w:pStyle w:val="Tabletext"/>
              <w:rPr>
                <w:sz w:val="16"/>
                <w:szCs w:val="16"/>
                <w:lang w:val="en-US"/>
              </w:rPr>
            </w:pPr>
            <w:r w:rsidRPr="00A37097">
              <w:rPr>
                <w:sz w:val="16"/>
                <w:szCs w:val="16"/>
                <w:lang w:val="en-US"/>
              </w:rPr>
              <w:t>Nothing</w:t>
            </w:r>
          </w:p>
        </w:tc>
      </w:tr>
      <w:tr w:rsidR="00235226" w:rsidRPr="005C0761" w:rsidTr="00A37097">
        <w:trPr>
          <w:jc w:val="center"/>
        </w:trPr>
        <w:tc>
          <w:tcPr>
            <w:tcW w:w="4248" w:type="dxa"/>
          </w:tcPr>
          <w:p w:rsidR="00235226" w:rsidRPr="00A37097" w:rsidRDefault="00235226" w:rsidP="005C0761">
            <w:pPr>
              <w:pStyle w:val="Tabletext"/>
              <w:ind w:left="284" w:hanging="284"/>
              <w:rPr>
                <w:sz w:val="16"/>
                <w:szCs w:val="16"/>
                <w:lang w:val="en-US"/>
              </w:rPr>
            </w:pPr>
            <w:r w:rsidRPr="00A37097">
              <w:rPr>
                <w:sz w:val="16"/>
                <w:szCs w:val="16"/>
                <w:lang w:val="en-US"/>
              </w:rPr>
              <w:t>III.6.</w:t>
            </w:r>
            <w:r w:rsidRPr="00A37097">
              <w:rPr>
                <w:sz w:val="16"/>
                <w:szCs w:val="16"/>
                <w:lang w:val="en-US"/>
              </w:rPr>
              <w:tab/>
              <w:t xml:space="preserve">Maritime transmitter (receivers of 55 </w:t>
            </w:r>
            <w:r w:rsidRPr="00A37097">
              <w:rPr>
                <w:sz w:val="16"/>
                <w:szCs w:val="16"/>
                <w:lang w:val="en-US"/>
              </w:rPr>
              <w:br/>
            </w:r>
            <w:r w:rsidRPr="00A37097">
              <w:rPr>
                <w:sz w:val="16"/>
                <w:szCs w:val="16"/>
                <w:lang w:val="en-US"/>
              </w:rPr>
              <w:tab/>
              <w:t>channels</w:t>
            </w:r>
          </w:p>
        </w:tc>
        <w:tc>
          <w:tcPr>
            <w:tcW w:w="1161" w:type="dxa"/>
          </w:tcPr>
          <w:p w:rsidR="00235226" w:rsidRPr="00A37097" w:rsidRDefault="00235226" w:rsidP="000F2BA7">
            <w:pPr>
              <w:pStyle w:val="Tabletext"/>
              <w:rPr>
                <w:sz w:val="16"/>
                <w:szCs w:val="16"/>
                <w:lang w:val="en-US"/>
              </w:rPr>
            </w:pPr>
            <w:r w:rsidRPr="00A37097">
              <w:rPr>
                <w:sz w:val="16"/>
                <w:szCs w:val="16"/>
                <w:lang w:val="en-US"/>
              </w:rPr>
              <w:t>11 600</w:t>
            </w:r>
          </w:p>
        </w:tc>
        <w:tc>
          <w:tcPr>
            <w:tcW w:w="1229" w:type="dxa"/>
          </w:tcPr>
          <w:p w:rsidR="00235226" w:rsidRPr="00A37097" w:rsidRDefault="00235226" w:rsidP="00235226">
            <w:pPr>
              <w:pStyle w:val="Tabletext"/>
              <w:rPr>
                <w:sz w:val="16"/>
                <w:szCs w:val="16"/>
                <w:lang w:val="en-US"/>
              </w:rPr>
            </w:pPr>
            <w:r w:rsidRPr="00A37097">
              <w:rPr>
                <w:sz w:val="16"/>
                <w:szCs w:val="16"/>
                <w:lang w:val="en-US"/>
              </w:rPr>
              <w:t>11 600</w:t>
            </w:r>
          </w:p>
        </w:tc>
        <w:tc>
          <w:tcPr>
            <w:tcW w:w="1501" w:type="dxa"/>
          </w:tcPr>
          <w:p w:rsidR="00235226" w:rsidRPr="00A37097" w:rsidRDefault="00235226" w:rsidP="000F2BA7">
            <w:pPr>
              <w:pStyle w:val="Tabletext"/>
              <w:rPr>
                <w:sz w:val="16"/>
                <w:szCs w:val="16"/>
                <w:lang w:val="en-US"/>
              </w:rPr>
            </w:pPr>
            <w:r w:rsidRPr="00A37097">
              <w:rPr>
                <w:sz w:val="16"/>
                <w:szCs w:val="16"/>
                <w:lang w:val="en-US"/>
              </w:rPr>
              <w:t>58 000</w:t>
            </w:r>
          </w:p>
        </w:tc>
        <w:tc>
          <w:tcPr>
            <w:tcW w:w="1500" w:type="dxa"/>
          </w:tcPr>
          <w:p w:rsidR="00235226" w:rsidRPr="00A37097" w:rsidRDefault="00235226" w:rsidP="000F2BA7">
            <w:pPr>
              <w:pStyle w:val="Tabletext"/>
              <w:rPr>
                <w:sz w:val="16"/>
                <w:szCs w:val="16"/>
                <w:lang w:val="en-US"/>
              </w:rPr>
            </w:pPr>
          </w:p>
        </w:tc>
      </w:tr>
      <w:tr w:rsidR="00235226" w:rsidRPr="00A37097" w:rsidTr="00A37097">
        <w:trPr>
          <w:jc w:val="center"/>
        </w:trPr>
        <w:tc>
          <w:tcPr>
            <w:tcW w:w="4248" w:type="dxa"/>
          </w:tcPr>
          <w:p w:rsidR="00235226" w:rsidRPr="00A37097" w:rsidRDefault="00235226" w:rsidP="000F2BA7">
            <w:pPr>
              <w:pStyle w:val="Tabletext"/>
              <w:rPr>
                <w:sz w:val="16"/>
                <w:szCs w:val="16"/>
                <w:lang w:val="en-US"/>
              </w:rPr>
            </w:pPr>
            <w:r w:rsidRPr="00A37097">
              <w:rPr>
                <w:sz w:val="16"/>
                <w:szCs w:val="16"/>
                <w:lang w:val="en-US"/>
              </w:rPr>
              <w:t>IV. Aeronautic mobile Stations</w:t>
            </w:r>
          </w:p>
        </w:tc>
        <w:tc>
          <w:tcPr>
            <w:tcW w:w="1161" w:type="dxa"/>
          </w:tcPr>
          <w:p w:rsidR="00235226" w:rsidRPr="00A37097" w:rsidRDefault="00235226" w:rsidP="000F2BA7">
            <w:pPr>
              <w:pStyle w:val="Tabletext"/>
              <w:rPr>
                <w:sz w:val="16"/>
                <w:szCs w:val="16"/>
                <w:lang w:val="en-US"/>
              </w:rPr>
            </w:pPr>
          </w:p>
        </w:tc>
        <w:tc>
          <w:tcPr>
            <w:tcW w:w="1229" w:type="dxa"/>
          </w:tcPr>
          <w:p w:rsidR="00235226" w:rsidRPr="00A37097" w:rsidRDefault="00235226" w:rsidP="00235226">
            <w:pPr>
              <w:pStyle w:val="Tabletext"/>
              <w:rPr>
                <w:sz w:val="16"/>
                <w:szCs w:val="16"/>
                <w:lang w:val="en-US"/>
              </w:rPr>
            </w:pPr>
          </w:p>
        </w:tc>
        <w:tc>
          <w:tcPr>
            <w:tcW w:w="1501" w:type="dxa"/>
          </w:tcPr>
          <w:p w:rsidR="00235226" w:rsidRPr="00A37097" w:rsidRDefault="00235226" w:rsidP="000F2BA7">
            <w:pPr>
              <w:pStyle w:val="Tabletext"/>
              <w:rPr>
                <w:sz w:val="16"/>
                <w:szCs w:val="16"/>
                <w:lang w:val="en-US"/>
              </w:rPr>
            </w:pPr>
          </w:p>
        </w:tc>
        <w:tc>
          <w:tcPr>
            <w:tcW w:w="1500" w:type="dxa"/>
          </w:tcPr>
          <w:p w:rsidR="00235226" w:rsidRPr="00A37097" w:rsidRDefault="00235226" w:rsidP="000F2BA7">
            <w:pPr>
              <w:pStyle w:val="Tabletext"/>
              <w:rPr>
                <w:sz w:val="16"/>
                <w:szCs w:val="16"/>
                <w:lang w:val="en-US"/>
              </w:rPr>
            </w:pPr>
          </w:p>
        </w:tc>
      </w:tr>
      <w:tr w:rsidR="00235226" w:rsidRPr="005C0761" w:rsidTr="00A37097">
        <w:trPr>
          <w:jc w:val="center"/>
        </w:trPr>
        <w:tc>
          <w:tcPr>
            <w:tcW w:w="4248" w:type="dxa"/>
          </w:tcPr>
          <w:p w:rsidR="00235226" w:rsidRPr="00A37097" w:rsidRDefault="00235226" w:rsidP="005C0761">
            <w:pPr>
              <w:pStyle w:val="Tabletext"/>
              <w:rPr>
                <w:sz w:val="16"/>
                <w:szCs w:val="16"/>
                <w:lang w:val="en-US"/>
              </w:rPr>
            </w:pPr>
            <w:r w:rsidRPr="00A37097">
              <w:rPr>
                <w:sz w:val="16"/>
                <w:szCs w:val="16"/>
                <w:lang w:val="en-US"/>
              </w:rPr>
              <w:t>IV.1</w:t>
            </w:r>
            <w:r w:rsidR="005C0761">
              <w:rPr>
                <w:sz w:val="16"/>
                <w:szCs w:val="16"/>
                <w:lang w:val="en-US"/>
              </w:rPr>
              <w:tab/>
            </w:r>
            <w:r w:rsidRPr="00A37097">
              <w:rPr>
                <w:sz w:val="16"/>
                <w:szCs w:val="16"/>
                <w:lang w:val="en-US"/>
              </w:rPr>
              <w:t>Private aeronautic station (unofficial)</w:t>
            </w:r>
          </w:p>
        </w:tc>
        <w:tc>
          <w:tcPr>
            <w:tcW w:w="1161" w:type="dxa"/>
          </w:tcPr>
          <w:p w:rsidR="00235226" w:rsidRPr="00A37097" w:rsidRDefault="00A516CA" w:rsidP="000F2BA7">
            <w:pPr>
              <w:pStyle w:val="Tabletext"/>
              <w:rPr>
                <w:sz w:val="16"/>
                <w:szCs w:val="16"/>
                <w:lang w:val="en-US"/>
              </w:rPr>
            </w:pPr>
            <w:r w:rsidRPr="00A37097">
              <w:rPr>
                <w:sz w:val="16"/>
                <w:szCs w:val="16"/>
                <w:lang w:val="en-US"/>
              </w:rPr>
              <w:t>116 000</w:t>
            </w:r>
          </w:p>
        </w:tc>
        <w:tc>
          <w:tcPr>
            <w:tcW w:w="1229" w:type="dxa"/>
          </w:tcPr>
          <w:p w:rsidR="00A516CA" w:rsidRPr="00A37097" w:rsidRDefault="00A516CA" w:rsidP="00A516CA">
            <w:pPr>
              <w:pStyle w:val="Tabletext"/>
              <w:rPr>
                <w:sz w:val="16"/>
                <w:szCs w:val="16"/>
                <w:lang w:val="en-US"/>
              </w:rPr>
            </w:pPr>
            <w:r w:rsidRPr="00A37097">
              <w:rPr>
                <w:sz w:val="16"/>
                <w:szCs w:val="16"/>
                <w:lang w:val="en-US"/>
              </w:rPr>
              <w:t>87 000</w:t>
            </w:r>
          </w:p>
          <w:p w:rsidR="00235226" w:rsidRPr="00A37097" w:rsidRDefault="00235226" w:rsidP="00235226">
            <w:pPr>
              <w:pStyle w:val="Tabletext"/>
              <w:rPr>
                <w:sz w:val="16"/>
                <w:szCs w:val="16"/>
                <w:lang w:val="en-US"/>
              </w:rPr>
            </w:pPr>
          </w:p>
        </w:tc>
        <w:tc>
          <w:tcPr>
            <w:tcW w:w="1501" w:type="dxa"/>
          </w:tcPr>
          <w:p w:rsidR="00235226" w:rsidRPr="00A37097" w:rsidRDefault="00A516CA" w:rsidP="000F2BA7">
            <w:pPr>
              <w:pStyle w:val="Tabletext"/>
              <w:rPr>
                <w:sz w:val="16"/>
                <w:szCs w:val="16"/>
                <w:lang w:val="en-US"/>
              </w:rPr>
            </w:pPr>
            <w:r w:rsidRPr="00A37097">
              <w:rPr>
                <w:sz w:val="16"/>
                <w:szCs w:val="16"/>
                <w:lang w:val="en-US"/>
              </w:rPr>
              <w:t>580 000</w:t>
            </w:r>
          </w:p>
        </w:tc>
        <w:tc>
          <w:tcPr>
            <w:tcW w:w="1500" w:type="dxa"/>
          </w:tcPr>
          <w:p w:rsidR="00235226" w:rsidRPr="00A37097" w:rsidRDefault="00235226" w:rsidP="000F2BA7">
            <w:pPr>
              <w:pStyle w:val="Tabletext"/>
              <w:rPr>
                <w:sz w:val="16"/>
                <w:szCs w:val="16"/>
                <w:lang w:val="en-US"/>
              </w:rPr>
            </w:pPr>
          </w:p>
        </w:tc>
      </w:tr>
      <w:tr w:rsidR="00A516CA" w:rsidRPr="005C0761" w:rsidTr="00A37097">
        <w:trPr>
          <w:jc w:val="center"/>
        </w:trPr>
        <w:tc>
          <w:tcPr>
            <w:tcW w:w="4248" w:type="dxa"/>
          </w:tcPr>
          <w:p w:rsidR="00A516CA" w:rsidRPr="00A37097" w:rsidRDefault="00A516CA" w:rsidP="00A516CA">
            <w:pPr>
              <w:pStyle w:val="Tabletext"/>
              <w:rPr>
                <w:sz w:val="16"/>
                <w:szCs w:val="16"/>
                <w:lang w:val="en-US"/>
              </w:rPr>
            </w:pPr>
            <w:r w:rsidRPr="00A37097">
              <w:rPr>
                <w:sz w:val="16"/>
                <w:szCs w:val="16"/>
                <w:lang w:val="en-US"/>
              </w:rPr>
              <w:t>a1. Link land to air</w:t>
            </w:r>
          </w:p>
          <w:p w:rsidR="00A516CA" w:rsidRPr="00A37097" w:rsidRDefault="00A516CA" w:rsidP="00A516CA">
            <w:pPr>
              <w:pStyle w:val="Tabletext"/>
              <w:rPr>
                <w:sz w:val="16"/>
                <w:szCs w:val="16"/>
                <w:lang w:val="en-US"/>
              </w:rPr>
            </w:pPr>
            <w:r w:rsidRPr="00A37097">
              <w:rPr>
                <w:sz w:val="16"/>
                <w:szCs w:val="16"/>
                <w:lang w:val="en-US"/>
              </w:rPr>
              <w:t>a2. Link land to land</w:t>
            </w:r>
          </w:p>
        </w:tc>
        <w:tc>
          <w:tcPr>
            <w:tcW w:w="1161" w:type="dxa"/>
          </w:tcPr>
          <w:p w:rsidR="00A516CA" w:rsidRPr="00A37097" w:rsidRDefault="00A516CA" w:rsidP="000F2BA7">
            <w:pPr>
              <w:pStyle w:val="Tabletext"/>
              <w:rPr>
                <w:sz w:val="16"/>
                <w:szCs w:val="16"/>
                <w:lang w:val="en-US"/>
              </w:rPr>
            </w:pPr>
          </w:p>
        </w:tc>
        <w:tc>
          <w:tcPr>
            <w:tcW w:w="1229" w:type="dxa"/>
          </w:tcPr>
          <w:p w:rsidR="00A516CA" w:rsidRPr="00A37097" w:rsidRDefault="00A516CA" w:rsidP="00A516CA">
            <w:pPr>
              <w:pStyle w:val="Tabletext"/>
              <w:rPr>
                <w:sz w:val="16"/>
                <w:szCs w:val="16"/>
                <w:lang w:val="en-US"/>
              </w:rPr>
            </w:pPr>
          </w:p>
        </w:tc>
        <w:tc>
          <w:tcPr>
            <w:tcW w:w="1501" w:type="dxa"/>
          </w:tcPr>
          <w:p w:rsidR="00A516CA" w:rsidRPr="00A37097" w:rsidRDefault="00A516CA" w:rsidP="000F2BA7">
            <w:pPr>
              <w:pStyle w:val="Tabletext"/>
              <w:rPr>
                <w:sz w:val="16"/>
                <w:szCs w:val="16"/>
                <w:lang w:val="en-US"/>
              </w:rPr>
            </w:pPr>
          </w:p>
        </w:tc>
        <w:tc>
          <w:tcPr>
            <w:tcW w:w="1500" w:type="dxa"/>
          </w:tcPr>
          <w:p w:rsidR="00A516CA" w:rsidRPr="00A37097" w:rsidRDefault="00A516CA" w:rsidP="00A516CA">
            <w:pPr>
              <w:pStyle w:val="Tabletext"/>
              <w:rPr>
                <w:sz w:val="16"/>
                <w:szCs w:val="16"/>
                <w:lang w:val="en-US"/>
              </w:rPr>
            </w:pPr>
            <w:r w:rsidRPr="00A37097">
              <w:rPr>
                <w:sz w:val="16"/>
                <w:szCs w:val="16"/>
                <w:lang w:val="en-US"/>
              </w:rPr>
              <w:t>116 000</w:t>
            </w:r>
          </w:p>
          <w:p w:rsidR="00A516CA" w:rsidRPr="00A37097" w:rsidRDefault="00A516CA" w:rsidP="00A516CA">
            <w:pPr>
              <w:pStyle w:val="Tabletext"/>
              <w:rPr>
                <w:sz w:val="16"/>
                <w:szCs w:val="16"/>
                <w:lang w:val="en-US"/>
              </w:rPr>
            </w:pPr>
            <w:r w:rsidRPr="00A37097">
              <w:rPr>
                <w:sz w:val="16"/>
                <w:szCs w:val="16"/>
                <w:lang w:val="en-US"/>
              </w:rPr>
              <w:t>145 000</w:t>
            </w:r>
          </w:p>
        </w:tc>
      </w:tr>
      <w:tr w:rsidR="00A516CA" w:rsidRPr="00A37097" w:rsidTr="00A37097">
        <w:trPr>
          <w:jc w:val="center"/>
        </w:trPr>
        <w:tc>
          <w:tcPr>
            <w:tcW w:w="4248" w:type="dxa"/>
          </w:tcPr>
          <w:p w:rsidR="00A516CA" w:rsidRPr="00A37097" w:rsidRDefault="00A516CA" w:rsidP="005C0761">
            <w:pPr>
              <w:pStyle w:val="Tabletext"/>
              <w:rPr>
                <w:sz w:val="16"/>
                <w:szCs w:val="16"/>
                <w:lang w:val="en-US"/>
              </w:rPr>
            </w:pPr>
            <w:r w:rsidRPr="00A37097">
              <w:rPr>
                <w:sz w:val="16"/>
                <w:szCs w:val="16"/>
                <w:lang w:val="en-US"/>
              </w:rPr>
              <w:t>IV.2</w:t>
            </w:r>
            <w:r w:rsidR="005C0761">
              <w:rPr>
                <w:sz w:val="16"/>
                <w:szCs w:val="16"/>
                <w:lang w:val="en-US"/>
              </w:rPr>
              <w:tab/>
            </w:r>
            <w:r w:rsidRPr="00A37097">
              <w:rPr>
                <w:sz w:val="16"/>
                <w:szCs w:val="16"/>
                <w:lang w:val="en-US"/>
              </w:rPr>
              <w:t>Public Civil aviation transport system</w:t>
            </w:r>
          </w:p>
        </w:tc>
        <w:tc>
          <w:tcPr>
            <w:tcW w:w="1161" w:type="dxa"/>
          </w:tcPr>
          <w:p w:rsidR="00A516CA" w:rsidRPr="00A37097" w:rsidRDefault="00A516CA" w:rsidP="000F2BA7">
            <w:pPr>
              <w:pStyle w:val="Tabletext"/>
              <w:rPr>
                <w:sz w:val="16"/>
                <w:szCs w:val="16"/>
                <w:lang w:val="en-US"/>
              </w:rPr>
            </w:pPr>
            <w:r w:rsidRPr="00A37097">
              <w:rPr>
                <w:sz w:val="16"/>
                <w:szCs w:val="16"/>
                <w:lang w:val="en-US"/>
              </w:rPr>
              <w:t>17 400</w:t>
            </w:r>
          </w:p>
        </w:tc>
        <w:tc>
          <w:tcPr>
            <w:tcW w:w="1229" w:type="dxa"/>
          </w:tcPr>
          <w:p w:rsidR="00A516CA" w:rsidRPr="00A37097" w:rsidRDefault="00A516CA" w:rsidP="00A516CA">
            <w:pPr>
              <w:pStyle w:val="Tabletext"/>
              <w:rPr>
                <w:sz w:val="16"/>
                <w:szCs w:val="16"/>
                <w:lang w:val="en-US"/>
              </w:rPr>
            </w:pPr>
            <w:r w:rsidRPr="00A37097">
              <w:rPr>
                <w:sz w:val="16"/>
                <w:szCs w:val="16"/>
                <w:lang w:val="en-US"/>
              </w:rPr>
              <w:t>58 000</w:t>
            </w:r>
          </w:p>
        </w:tc>
        <w:tc>
          <w:tcPr>
            <w:tcW w:w="1501" w:type="dxa"/>
          </w:tcPr>
          <w:p w:rsidR="00A516CA" w:rsidRPr="00A37097" w:rsidRDefault="00A516CA" w:rsidP="000F2BA7">
            <w:pPr>
              <w:pStyle w:val="Tabletext"/>
              <w:rPr>
                <w:sz w:val="16"/>
                <w:szCs w:val="16"/>
                <w:lang w:val="en-US"/>
              </w:rPr>
            </w:pPr>
            <w:r w:rsidRPr="00A37097">
              <w:rPr>
                <w:sz w:val="16"/>
                <w:szCs w:val="16"/>
                <w:lang w:val="en-US"/>
              </w:rPr>
              <w:t>290 000</w:t>
            </w:r>
          </w:p>
        </w:tc>
        <w:tc>
          <w:tcPr>
            <w:tcW w:w="1500" w:type="dxa"/>
          </w:tcPr>
          <w:p w:rsidR="00A516CA" w:rsidRPr="00A37097" w:rsidRDefault="00A516CA" w:rsidP="000F2BA7">
            <w:pPr>
              <w:pStyle w:val="Tabletext"/>
              <w:rPr>
                <w:sz w:val="16"/>
                <w:szCs w:val="16"/>
                <w:lang w:val="en-US"/>
              </w:rPr>
            </w:pPr>
            <w:r w:rsidRPr="00A37097">
              <w:rPr>
                <w:sz w:val="16"/>
                <w:szCs w:val="16"/>
                <w:lang w:val="en-US"/>
              </w:rPr>
              <w:t>Nothing</w:t>
            </w:r>
          </w:p>
        </w:tc>
      </w:tr>
      <w:tr w:rsidR="00A516CA" w:rsidRPr="00A37097" w:rsidTr="00A37097">
        <w:trPr>
          <w:jc w:val="center"/>
        </w:trPr>
        <w:tc>
          <w:tcPr>
            <w:tcW w:w="4248" w:type="dxa"/>
          </w:tcPr>
          <w:p w:rsidR="00A516CA" w:rsidRPr="00A37097" w:rsidRDefault="00A516CA" w:rsidP="005C0761">
            <w:pPr>
              <w:pStyle w:val="Tabletext"/>
              <w:rPr>
                <w:sz w:val="16"/>
                <w:szCs w:val="16"/>
                <w:u w:val="single"/>
                <w:lang w:val="fr-CH"/>
              </w:rPr>
            </w:pPr>
            <w:r w:rsidRPr="00A37097">
              <w:rPr>
                <w:sz w:val="16"/>
                <w:szCs w:val="16"/>
                <w:lang w:val="fr-CH"/>
              </w:rPr>
              <w:t>IV.3</w:t>
            </w:r>
            <w:r w:rsidR="005C0761">
              <w:rPr>
                <w:sz w:val="16"/>
                <w:szCs w:val="16"/>
                <w:lang w:val="fr-CH"/>
              </w:rPr>
              <w:tab/>
            </w:r>
            <w:r w:rsidRPr="00A37097">
              <w:rPr>
                <w:sz w:val="16"/>
                <w:szCs w:val="16"/>
                <w:lang w:val="fr-CH"/>
              </w:rPr>
              <w:t>Private civil aviation transport</w:t>
            </w:r>
          </w:p>
        </w:tc>
        <w:tc>
          <w:tcPr>
            <w:tcW w:w="1161" w:type="dxa"/>
          </w:tcPr>
          <w:p w:rsidR="00A516CA" w:rsidRPr="00A37097" w:rsidRDefault="00A516CA" w:rsidP="00A516CA">
            <w:pPr>
              <w:pStyle w:val="Tabletext"/>
              <w:rPr>
                <w:sz w:val="16"/>
                <w:szCs w:val="16"/>
                <w:lang w:val="en-US"/>
              </w:rPr>
            </w:pPr>
            <w:r w:rsidRPr="00A37097">
              <w:rPr>
                <w:sz w:val="16"/>
                <w:szCs w:val="16"/>
                <w:lang w:val="en-US"/>
              </w:rPr>
              <w:t>11 600</w:t>
            </w:r>
          </w:p>
          <w:p w:rsidR="00A516CA" w:rsidRPr="00A37097" w:rsidRDefault="00A516CA" w:rsidP="000F2BA7">
            <w:pPr>
              <w:pStyle w:val="Tabletext"/>
              <w:rPr>
                <w:sz w:val="16"/>
                <w:szCs w:val="16"/>
                <w:lang w:val="en-US"/>
              </w:rPr>
            </w:pPr>
          </w:p>
        </w:tc>
        <w:tc>
          <w:tcPr>
            <w:tcW w:w="1229" w:type="dxa"/>
          </w:tcPr>
          <w:p w:rsidR="00A516CA" w:rsidRPr="00A37097" w:rsidRDefault="00A516CA" w:rsidP="00A516CA">
            <w:pPr>
              <w:pStyle w:val="Tabletext"/>
              <w:rPr>
                <w:sz w:val="16"/>
                <w:szCs w:val="16"/>
                <w:lang w:val="en-US"/>
              </w:rPr>
            </w:pPr>
            <w:r w:rsidRPr="00A37097">
              <w:rPr>
                <w:sz w:val="16"/>
                <w:szCs w:val="16"/>
                <w:lang w:val="en-US"/>
              </w:rPr>
              <w:t>34 800</w:t>
            </w:r>
          </w:p>
        </w:tc>
        <w:tc>
          <w:tcPr>
            <w:tcW w:w="1501" w:type="dxa"/>
          </w:tcPr>
          <w:p w:rsidR="00A516CA" w:rsidRPr="00A37097" w:rsidRDefault="00A516CA" w:rsidP="00A516CA">
            <w:pPr>
              <w:pStyle w:val="Tabletext"/>
              <w:rPr>
                <w:sz w:val="16"/>
                <w:szCs w:val="16"/>
                <w:lang w:val="en-US"/>
              </w:rPr>
            </w:pPr>
            <w:r w:rsidRPr="00A37097">
              <w:rPr>
                <w:sz w:val="16"/>
                <w:szCs w:val="16"/>
                <w:lang w:val="en-US"/>
              </w:rPr>
              <w:t>58 000</w:t>
            </w:r>
          </w:p>
          <w:p w:rsidR="00A516CA" w:rsidRPr="00A37097" w:rsidRDefault="00A516CA" w:rsidP="000F2BA7">
            <w:pPr>
              <w:pStyle w:val="Tabletext"/>
              <w:rPr>
                <w:sz w:val="16"/>
                <w:szCs w:val="16"/>
                <w:lang w:val="en-US"/>
              </w:rPr>
            </w:pPr>
          </w:p>
        </w:tc>
        <w:tc>
          <w:tcPr>
            <w:tcW w:w="1500" w:type="dxa"/>
          </w:tcPr>
          <w:p w:rsidR="00A516CA" w:rsidRPr="00A37097" w:rsidRDefault="00A516CA" w:rsidP="000F2BA7">
            <w:pPr>
              <w:pStyle w:val="Tabletext"/>
              <w:rPr>
                <w:sz w:val="16"/>
                <w:szCs w:val="16"/>
                <w:lang w:val="en-US"/>
              </w:rPr>
            </w:pPr>
            <w:r w:rsidRPr="00A37097">
              <w:rPr>
                <w:sz w:val="16"/>
                <w:szCs w:val="16"/>
                <w:lang w:val="en-US"/>
              </w:rPr>
              <w:t>Nothing</w:t>
            </w:r>
          </w:p>
        </w:tc>
      </w:tr>
      <w:tr w:rsidR="00F335D2" w:rsidRPr="00A37097" w:rsidTr="00A37097">
        <w:trPr>
          <w:jc w:val="center"/>
        </w:trPr>
        <w:tc>
          <w:tcPr>
            <w:tcW w:w="4248" w:type="dxa"/>
          </w:tcPr>
          <w:p w:rsidR="00F335D2" w:rsidRPr="00A37097" w:rsidRDefault="00F335D2" w:rsidP="000F2BA7">
            <w:pPr>
              <w:pStyle w:val="Tabletext"/>
              <w:rPr>
                <w:sz w:val="16"/>
                <w:szCs w:val="16"/>
                <w:u w:val="single"/>
                <w:lang w:val="en-US"/>
              </w:rPr>
            </w:pPr>
            <w:r w:rsidRPr="00A37097">
              <w:rPr>
                <w:sz w:val="16"/>
                <w:szCs w:val="16"/>
                <w:lang w:val="en-US"/>
              </w:rPr>
              <w:t xml:space="preserve">V. </w:t>
            </w:r>
            <w:r w:rsidR="005C0761">
              <w:rPr>
                <w:sz w:val="16"/>
                <w:szCs w:val="16"/>
                <w:lang w:val="en-US"/>
              </w:rPr>
              <w:tab/>
            </w:r>
            <w:r w:rsidRPr="00A37097">
              <w:rPr>
                <w:sz w:val="16"/>
                <w:szCs w:val="16"/>
                <w:lang w:val="en-US"/>
              </w:rPr>
              <w:t>AMATEUR STATIONS</w:t>
            </w:r>
          </w:p>
        </w:tc>
        <w:tc>
          <w:tcPr>
            <w:tcW w:w="1161" w:type="dxa"/>
          </w:tcPr>
          <w:p w:rsidR="00F335D2" w:rsidRPr="00A37097" w:rsidRDefault="00F335D2" w:rsidP="000F2BA7">
            <w:pPr>
              <w:pStyle w:val="Tabletext"/>
              <w:rPr>
                <w:sz w:val="16"/>
                <w:szCs w:val="16"/>
                <w:lang w:val="en-US"/>
              </w:rPr>
            </w:pPr>
          </w:p>
        </w:tc>
        <w:tc>
          <w:tcPr>
            <w:tcW w:w="1229" w:type="dxa"/>
          </w:tcPr>
          <w:p w:rsidR="00F335D2" w:rsidRPr="00A37097" w:rsidRDefault="00F335D2" w:rsidP="00A516CA">
            <w:pPr>
              <w:pStyle w:val="Tabletext"/>
              <w:rPr>
                <w:sz w:val="16"/>
                <w:szCs w:val="16"/>
                <w:lang w:val="en-US"/>
              </w:rPr>
            </w:pPr>
          </w:p>
        </w:tc>
        <w:tc>
          <w:tcPr>
            <w:tcW w:w="1501" w:type="dxa"/>
          </w:tcPr>
          <w:p w:rsidR="00F335D2" w:rsidRPr="00A37097" w:rsidRDefault="00F335D2" w:rsidP="000F2BA7">
            <w:pPr>
              <w:pStyle w:val="Tabletext"/>
              <w:rPr>
                <w:sz w:val="16"/>
                <w:szCs w:val="16"/>
                <w:lang w:val="en-US"/>
              </w:rPr>
            </w:pPr>
          </w:p>
        </w:tc>
        <w:tc>
          <w:tcPr>
            <w:tcW w:w="1500" w:type="dxa"/>
          </w:tcPr>
          <w:p w:rsidR="00F335D2" w:rsidRPr="00A37097" w:rsidRDefault="00F335D2" w:rsidP="000F2BA7">
            <w:pPr>
              <w:pStyle w:val="Tabletext"/>
              <w:rPr>
                <w:sz w:val="16"/>
                <w:szCs w:val="16"/>
                <w:lang w:val="en-US"/>
              </w:rPr>
            </w:pPr>
          </w:p>
        </w:tc>
      </w:tr>
      <w:tr w:rsidR="00FB16F7" w:rsidRPr="00A37097" w:rsidTr="00A37097">
        <w:trPr>
          <w:jc w:val="center"/>
        </w:trPr>
        <w:tc>
          <w:tcPr>
            <w:tcW w:w="4248" w:type="dxa"/>
          </w:tcPr>
          <w:p w:rsidR="00FB16F7" w:rsidRPr="00A37097" w:rsidRDefault="00FB16F7" w:rsidP="000F2BA7">
            <w:pPr>
              <w:pStyle w:val="Tabletext"/>
              <w:rPr>
                <w:sz w:val="16"/>
                <w:szCs w:val="16"/>
                <w:lang w:val="en-US"/>
              </w:rPr>
            </w:pPr>
            <w:r w:rsidRPr="00A37097">
              <w:rPr>
                <w:sz w:val="16"/>
                <w:szCs w:val="16"/>
                <w:lang w:val="en-US"/>
              </w:rPr>
              <w:t>a1. Radiotelephone station VHF</w:t>
            </w:r>
          </w:p>
          <w:p w:rsidR="00FB16F7" w:rsidRPr="00A37097" w:rsidRDefault="00FB16F7" w:rsidP="000F2BA7">
            <w:pPr>
              <w:pStyle w:val="Tabletext"/>
              <w:rPr>
                <w:sz w:val="16"/>
                <w:szCs w:val="16"/>
                <w:lang w:val="en-US"/>
              </w:rPr>
            </w:pPr>
            <w:r w:rsidRPr="00A37097">
              <w:rPr>
                <w:sz w:val="16"/>
                <w:szCs w:val="16"/>
                <w:lang w:val="en-US"/>
              </w:rPr>
              <w:t>a2. Radiotelephone MF/HF</w:t>
            </w:r>
          </w:p>
        </w:tc>
        <w:tc>
          <w:tcPr>
            <w:tcW w:w="1161" w:type="dxa"/>
          </w:tcPr>
          <w:p w:rsidR="00FB16F7" w:rsidRPr="00A37097" w:rsidRDefault="00FB16F7" w:rsidP="000F2BA7">
            <w:pPr>
              <w:pStyle w:val="Tabletext"/>
              <w:rPr>
                <w:sz w:val="16"/>
                <w:szCs w:val="16"/>
                <w:lang w:val="en-US"/>
              </w:rPr>
            </w:pPr>
            <w:r w:rsidRPr="00A37097">
              <w:rPr>
                <w:sz w:val="16"/>
                <w:szCs w:val="16"/>
                <w:lang w:val="en-US"/>
              </w:rPr>
              <w:t>5 800</w:t>
            </w:r>
          </w:p>
          <w:p w:rsidR="00FB16F7" w:rsidRPr="00A37097" w:rsidRDefault="00FB16F7" w:rsidP="00F335D2">
            <w:pPr>
              <w:pStyle w:val="Tabletext"/>
              <w:rPr>
                <w:sz w:val="16"/>
                <w:szCs w:val="16"/>
                <w:lang w:val="en-US"/>
              </w:rPr>
            </w:pPr>
            <w:r w:rsidRPr="00A37097">
              <w:rPr>
                <w:sz w:val="16"/>
                <w:szCs w:val="16"/>
                <w:lang w:val="en-US"/>
              </w:rPr>
              <w:t>5 800</w:t>
            </w:r>
          </w:p>
        </w:tc>
        <w:tc>
          <w:tcPr>
            <w:tcW w:w="1229" w:type="dxa"/>
          </w:tcPr>
          <w:p w:rsidR="00FB16F7" w:rsidRPr="00A37097" w:rsidRDefault="00FB16F7" w:rsidP="000F2BA7">
            <w:pPr>
              <w:pStyle w:val="Tabletext"/>
              <w:rPr>
                <w:sz w:val="16"/>
                <w:szCs w:val="16"/>
                <w:lang w:val="en-US"/>
              </w:rPr>
            </w:pPr>
            <w:r w:rsidRPr="00A37097">
              <w:rPr>
                <w:sz w:val="16"/>
                <w:szCs w:val="16"/>
                <w:lang w:val="en-US"/>
              </w:rPr>
              <w:t>8 700</w:t>
            </w:r>
          </w:p>
          <w:p w:rsidR="00FB16F7" w:rsidRPr="00A37097" w:rsidRDefault="00FB16F7" w:rsidP="00F335D2">
            <w:pPr>
              <w:pStyle w:val="Tabletext"/>
              <w:rPr>
                <w:sz w:val="16"/>
                <w:szCs w:val="16"/>
                <w:lang w:val="en-US"/>
              </w:rPr>
            </w:pPr>
            <w:r w:rsidRPr="00A37097">
              <w:rPr>
                <w:sz w:val="16"/>
                <w:szCs w:val="16"/>
                <w:lang w:val="en-US"/>
              </w:rPr>
              <w:t>17 400</w:t>
            </w:r>
          </w:p>
        </w:tc>
        <w:tc>
          <w:tcPr>
            <w:tcW w:w="1501" w:type="dxa"/>
          </w:tcPr>
          <w:p w:rsidR="00FB16F7" w:rsidRPr="00A37097" w:rsidRDefault="00FB16F7" w:rsidP="000F2BA7">
            <w:pPr>
              <w:pStyle w:val="Tabletext"/>
              <w:rPr>
                <w:sz w:val="16"/>
                <w:szCs w:val="16"/>
                <w:lang w:val="en-US"/>
              </w:rPr>
            </w:pPr>
            <w:r w:rsidRPr="00A37097">
              <w:rPr>
                <w:sz w:val="16"/>
                <w:szCs w:val="16"/>
                <w:lang w:val="en-US"/>
              </w:rPr>
              <w:t>Nothing</w:t>
            </w:r>
          </w:p>
          <w:p w:rsidR="00FB16F7" w:rsidRPr="00A37097" w:rsidRDefault="00FB16F7" w:rsidP="00F335D2">
            <w:pPr>
              <w:pStyle w:val="Tabletext"/>
              <w:rPr>
                <w:sz w:val="16"/>
                <w:szCs w:val="16"/>
                <w:lang w:val="en-US"/>
              </w:rPr>
            </w:pPr>
            <w:r w:rsidRPr="00A37097">
              <w:rPr>
                <w:sz w:val="16"/>
                <w:szCs w:val="16"/>
                <w:lang w:val="en-US"/>
              </w:rPr>
              <w:t>Nothing</w:t>
            </w:r>
          </w:p>
        </w:tc>
        <w:tc>
          <w:tcPr>
            <w:tcW w:w="1500" w:type="dxa"/>
          </w:tcPr>
          <w:p w:rsidR="00FB16F7" w:rsidRPr="00A37097" w:rsidRDefault="00FB16F7" w:rsidP="000F2BA7">
            <w:pPr>
              <w:pStyle w:val="Tabletext"/>
              <w:rPr>
                <w:sz w:val="16"/>
                <w:szCs w:val="16"/>
                <w:lang w:val="en-US"/>
              </w:rPr>
            </w:pPr>
            <w:r w:rsidRPr="00A37097">
              <w:rPr>
                <w:sz w:val="16"/>
                <w:szCs w:val="16"/>
                <w:lang w:val="en-US"/>
              </w:rPr>
              <w:t>Nothing</w:t>
            </w:r>
          </w:p>
          <w:p w:rsidR="00FB16F7" w:rsidRPr="00A37097" w:rsidRDefault="00FB16F7" w:rsidP="00F335D2">
            <w:pPr>
              <w:pStyle w:val="Tabletext"/>
              <w:rPr>
                <w:sz w:val="16"/>
                <w:szCs w:val="16"/>
                <w:lang w:val="en-US"/>
              </w:rPr>
            </w:pPr>
            <w:r w:rsidRPr="00A37097">
              <w:rPr>
                <w:sz w:val="16"/>
                <w:szCs w:val="16"/>
                <w:lang w:val="en-US"/>
              </w:rPr>
              <w:t>Nothing</w:t>
            </w:r>
          </w:p>
        </w:tc>
      </w:tr>
    </w:tbl>
    <w:p w:rsidR="00FB16F7" w:rsidRPr="00BD6197" w:rsidRDefault="00FB16F7" w:rsidP="00FB16F7">
      <w:pPr>
        <w:rPr>
          <w:lang w:val="en-US"/>
        </w:rPr>
      </w:pPr>
    </w:p>
    <w:p w:rsidR="00FB16F7" w:rsidRPr="00BD6197" w:rsidRDefault="00FB16F7" w:rsidP="00FB16F7">
      <w:pPr>
        <w:pStyle w:val="Heading1"/>
        <w:rPr>
          <w:lang w:val="en-US"/>
        </w:rPr>
      </w:pPr>
      <w:bookmarkStart w:id="2450" w:name="_Toc289868890"/>
      <w:bookmarkStart w:id="2451" w:name="_Toc289869049"/>
      <w:bookmarkStart w:id="2452" w:name="_Toc289932355"/>
      <w:bookmarkStart w:id="2453" w:name="_Toc289933403"/>
      <w:bookmarkStart w:id="2454" w:name="_Toc291852966"/>
      <w:bookmarkStart w:id="2455" w:name="_Toc392515950"/>
      <w:bookmarkStart w:id="2456" w:name="_Toc454285031"/>
      <w:bookmarkStart w:id="2457" w:name="_Toc462234195"/>
      <w:bookmarkStart w:id="2458" w:name="_Toc518394286"/>
      <w:r w:rsidRPr="00BD6197">
        <w:rPr>
          <w:lang w:val="en-US"/>
        </w:rPr>
        <w:t>B.</w:t>
      </w:r>
      <w:r w:rsidRPr="00BD6197">
        <w:rPr>
          <w:lang w:val="en-US"/>
        </w:rPr>
        <w:tab/>
        <w:t>SATELLITE RADIOCOMMUNICATIONS</w:t>
      </w:r>
      <w:bookmarkEnd w:id="2450"/>
      <w:bookmarkEnd w:id="2451"/>
      <w:bookmarkEnd w:id="2452"/>
      <w:bookmarkEnd w:id="2453"/>
      <w:bookmarkEnd w:id="2454"/>
      <w:bookmarkEnd w:id="2455"/>
      <w:bookmarkEnd w:id="2456"/>
      <w:bookmarkEnd w:id="2457"/>
      <w:bookmarkEnd w:id="2458"/>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99"/>
        <w:gridCol w:w="1204"/>
        <w:gridCol w:w="1560"/>
        <w:gridCol w:w="1559"/>
        <w:gridCol w:w="1417"/>
      </w:tblGrid>
      <w:tr w:rsidR="00FB16F7" w:rsidRPr="00D17B5B" w:rsidTr="000F2BA7">
        <w:trPr>
          <w:tblHeader/>
          <w:jc w:val="center"/>
        </w:trPr>
        <w:tc>
          <w:tcPr>
            <w:tcW w:w="3899" w:type="dxa"/>
            <w:vAlign w:val="center"/>
          </w:tcPr>
          <w:p w:rsidR="00FB16F7" w:rsidRPr="00F21259" w:rsidRDefault="00FB16F7" w:rsidP="000F2BA7">
            <w:pPr>
              <w:pStyle w:val="Tablehead"/>
              <w:rPr>
                <w:sz w:val="18"/>
                <w:szCs w:val="18"/>
                <w:lang w:val="en-US"/>
              </w:rPr>
            </w:pPr>
            <w:r w:rsidRPr="00F21259">
              <w:rPr>
                <w:sz w:val="18"/>
                <w:szCs w:val="18"/>
                <w:lang w:val="en-US"/>
              </w:rPr>
              <w:t>NETWORKS OR STATIONS</w:t>
            </w:r>
          </w:p>
        </w:tc>
        <w:tc>
          <w:tcPr>
            <w:tcW w:w="1204" w:type="dxa"/>
            <w:vAlign w:val="center"/>
          </w:tcPr>
          <w:p w:rsidR="00FB16F7" w:rsidRPr="00F21259" w:rsidRDefault="00FB16F7" w:rsidP="000F2BA7">
            <w:pPr>
              <w:pStyle w:val="Tablehead"/>
              <w:rPr>
                <w:sz w:val="18"/>
                <w:szCs w:val="18"/>
                <w:lang w:val="en-US"/>
              </w:rPr>
            </w:pPr>
            <w:r w:rsidRPr="00F21259">
              <w:rPr>
                <w:sz w:val="18"/>
                <w:szCs w:val="18"/>
                <w:lang w:val="en-US"/>
              </w:rPr>
              <w:t>Tax for compiling files</w:t>
            </w:r>
          </w:p>
        </w:tc>
        <w:tc>
          <w:tcPr>
            <w:tcW w:w="1560" w:type="dxa"/>
            <w:vAlign w:val="center"/>
          </w:tcPr>
          <w:p w:rsidR="00FB16F7" w:rsidRPr="00F21259" w:rsidRDefault="00FB16F7" w:rsidP="000F2BA7">
            <w:pPr>
              <w:pStyle w:val="Tablehead"/>
              <w:rPr>
                <w:sz w:val="18"/>
                <w:szCs w:val="18"/>
                <w:lang w:val="en-US"/>
              </w:rPr>
            </w:pPr>
            <w:r w:rsidRPr="00F21259">
              <w:rPr>
                <w:sz w:val="18"/>
                <w:szCs w:val="18"/>
                <w:lang w:val="en-US"/>
              </w:rPr>
              <w:t>Control or visit charges</w:t>
            </w:r>
          </w:p>
        </w:tc>
        <w:tc>
          <w:tcPr>
            <w:tcW w:w="1559" w:type="dxa"/>
            <w:vAlign w:val="center"/>
          </w:tcPr>
          <w:p w:rsidR="00FB16F7" w:rsidRPr="00F21259" w:rsidRDefault="00FB16F7" w:rsidP="000F2BA7">
            <w:pPr>
              <w:pStyle w:val="Tablehead"/>
              <w:rPr>
                <w:sz w:val="18"/>
                <w:szCs w:val="18"/>
                <w:lang w:val="en-US"/>
              </w:rPr>
            </w:pPr>
            <w:r w:rsidRPr="00F21259">
              <w:rPr>
                <w:sz w:val="18"/>
                <w:szCs w:val="18"/>
                <w:lang w:val="en-US"/>
              </w:rPr>
              <w:t>Contributions towards management costs</w:t>
            </w:r>
          </w:p>
        </w:tc>
        <w:tc>
          <w:tcPr>
            <w:tcW w:w="1417" w:type="dxa"/>
            <w:vAlign w:val="center"/>
          </w:tcPr>
          <w:p w:rsidR="00FB16F7" w:rsidRPr="00F21259" w:rsidRDefault="00FB16F7" w:rsidP="000F2BA7">
            <w:pPr>
              <w:pStyle w:val="Tablehead"/>
              <w:rPr>
                <w:sz w:val="18"/>
                <w:szCs w:val="18"/>
                <w:lang w:val="en-US"/>
              </w:rPr>
            </w:pPr>
            <w:r w:rsidRPr="00F21259">
              <w:rPr>
                <w:sz w:val="18"/>
                <w:szCs w:val="18"/>
                <w:lang w:val="en-US"/>
              </w:rPr>
              <w:t>Charges for use of radio frequency or radioelectric channels</w:t>
            </w:r>
          </w:p>
        </w:tc>
      </w:tr>
      <w:tr w:rsidR="004204C1" w:rsidRPr="00D17B5B" w:rsidTr="000F2BA7">
        <w:trPr>
          <w:jc w:val="center"/>
        </w:trPr>
        <w:tc>
          <w:tcPr>
            <w:tcW w:w="3899" w:type="dxa"/>
          </w:tcPr>
          <w:p w:rsidR="004204C1" w:rsidRPr="00F21259" w:rsidRDefault="00A21280" w:rsidP="00A21280">
            <w:pPr>
              <w:pStyle w:val="Tabletext"/>
              <w:ind w:left="284" w:hanging="284"/>
              <w:rPr>
                <w:sz w:val="18"/>
                <w:szCs w:val="18"/>
                <w:lang w:val="en-US"/>
              </w:rPr>
            </w:pPr>
            <w:r>
              <w:rPr>
                <w:sz w:val="18"/>
                <w:szCs w:val="18"/>
                <w:lang w:val="en-US"/>
              </w:rPr>
              <w:t>I</w:t>
            </w:r>
            <w:r>
              <w:rPr>
                <w:sz w:val="18"/>
                <w:szCs w:val="18"/>
                <w:lang w:val="en-US"/>
              </w:rPr>
              <w:tab/>
            </w:r>
            <w:r w:rsidR="004204C1" w:rsidRPr="00F21259">
              <w:rPr>
                <w:sz w:val="18"/>
                <w:szCs w:val="18"/>
                <w:lang w:val="en-US"/>
              </w:rPr>
              <w:t>PRIVATE NETWORKS AND EARTH STATIONS (Non commercial services</w:t>
            </w:r>
            <w:r w:rsidR="004204C1">
              <w:rPr>
                <w:sz w:val="18"/>
                <w:szCs w:val="18"/>
                <w:lang w:val="en-US"/>
              </w:rPr>
              <w:t>)</w:t>
            </w:r>
          </w:p>
        </w:tc>
        <w:tc>
          <w:tcPr>
            <w:tcW w:w="1204" w:type="dxa"/>
          </w:tcPr>
          <w:p w:rsidR="004204C1" w:rsidRPr="00F21259" w:rsidRDefault="004204C1" w:rsidP="000F2BA7">
            <w:pPr>
              <w:pStyle w:val="Tabletext"/>
              <w:rPr>
                <w:sz w:val="18"/>
                <w:szCs w:val="18"/>
                <w:lang w:val="en-US"/>
              </w:rPr>
            </w:pPr>
          </w:p>
        </w:tc>
        <w:tc>
          <w:tcPr>
            <w:tcW w:w="1560" w:type="dxa"/>
          </w:tcPr>
          <w:p w:rsidR="004204C1" w:rsidRPr="00F21259" w:rsidRDefault="004204C1" w:rsidP="000F2BA7">
            <w:pPr>
              <w:pStyle w:val="Tabletext"/>
              <w:rPr>
                <w:sz w:val="18"/>
                <w:szCs w:val="18"/>
                <w:lang w:val="en-US"/>
              </w:rPr>
            </w:pPr>
          </w:p>
        </w:tc>
        <w:tc>
          <w:tcPr>
            <w:tcW w:w="1559" w:type="dxa"/>
          </w:tcPr>
          <w:p w:rsidR="004204C1" w:rsidRPr="00F21259" w:rsidRDefault="004204C1" w:rsidP="000F2BA7">
            <w:pPr>
              <w:pStyle w:val="Tabletext"/>
              <w:rPr>
                <w:sz w:val="18"/>
                <w:szCs w:val="18"/>
                <w:lang w:val="en-US"/>
              </w:rPr>
            </w:pPr>
          </w:p>
        </w:tc>
        <w:tc>
          <w:tcPr>
            <w:tcW w:w="1417" w:type="dxa"/>
          </w:tcPr>
          <w:p w:rsidR="004204C1" w:rsidRPr="00F21259" w:rsidRDefault="004204C1" w:rsidP="000F2BA7">
            <w:pPr>
              <w:pStyle w:val="Tabletext"/>
              <w:rPr>
                <w:sz w:val="18"/>
                <w:szCs w:val="18"/>
                <w:lang w:val="en-US"/>
              </w:rPr>
            </w:pPr>
          </w:p>
        </w:tc>
      </w:tr>
      <w:tr w:rsidR="004204C1" w:rsidRPr="004204C1" w:rsidTr="000F2BA7">
        <w:trPr>
          <w:jc w:val="center"/>
        </w:trPr>
        <w:tc>
          <w:tcPr>
            <w:tcW w:w="3899" w:type="dxa"/>
          </w:tcPr>
          <w:p w:rsidR="004204C1" w:rsidRPr="00F21259" w:rsidRDefault="004204C1" w:rsidP="000F2BA7">
            <w:pPr>
              <w:pStyle w:val="Tabletext"/>
              <w:rPr>
                <w:sz w:val="18"/>
                <w:szCs w:val="18"/>
                <w:lang w:val="en-US"/>
              </w:rPr>
            </w:pPr>
            <w:r w:rsidRPr="00F21259">
              <w:rPr>
                <w:sz w:val="18"/>
                <w:szCs w:val="18"/>
                <w:lang w:val="en-US"/>
              </w:rPr>
              <w:t>I.1. National network (Fixed or Mobile)</w:t>
            </w:r>
          </w:p>
        </w:tc>
        <w:tc>
          <w:tcPr>
            <w:tcW w:w="1204" w:type="dxa"/>
          </w:tcPr>
          <w:p w:rsidR="004204C1" w:rsidRPr="00F21259" w:rsidRDefault="004204C1" w:rsidP="000F2BA7">
            <w:pPr>
              <w:pStyle w:val="Tabletext"/>
              <w:rPr>
                <w:sz w:val="18"/>
                <w:szCs w:val="18"/>
                <w:lang w:val="en-US"/>
              </w:rPr>
            </w:pPr>
            <w:r w:rsidRPr="00F21259">
              <w:rPr>
                <w:sz w:val="18"/>
                <w:szCs w:val="18"/>
                <w:lang w:val="en-US"/>
              </w:rPr>
              <w:t>1 044 000</w:t>
            </w:r>
          </w:p>
        </w:tc>
        <w:tc>
          <w:tcPr>
            <w:tcW w:w="1560" w:type="dxa"/>
          </w:tcPr>
          <w:p w:rsidR="004204C1" w:rsidRPr="00F21259" w:rsidRDefault="004204C1" w:rsidP="000F2BA7">
            <w:pPr>
              <w:pStyle w:val="Tabletext"/>
              <w:rPr>
                <w:sz w:val="18"/>
                <w:szCs w:val="18"/>
                <w:lang w:val="en-US"/>
              </w:rPr>
            </w:pPr>
          </w:p>
        </w:tc>
        <w:tc>
          <w:tcPr>
            <w:tcW w:w="1559" w:type="dxa"/>
          </w:tcPr>
          <w:p w:rsidR="004204C1" w:rsidRPr="00F21259" w:rsidRDefault="004204C1" w:rsidP="004204C1">
            <w:pPr>
              <w:pStyle w:val="Tabletext"/>
              <w:rPr>
                <w:sz w:val="18"/>
                <w:szCs w:val="18"/>
                <w:lang w:val="en-US"/>
              </w:rPr>
            </w:pPr>
            <w:r w:rsidRPr="00F21259">
              <w:rPr>
                <w:sz w:val="18"/>
                <w:szCs w:val="18"/>
                <w:lang w:val="en-US"/>
              </w:rPr>
              <w:t>8 700 000</w:t>
            </w:r>
          </w:p>
        </w:tc>
        <w:tc>
          <w:tcPr>
            <w:tcW w:w="1417" w:type="dxa"/>
          </w:tcPr>
          <w:p w:rsidR="004204C1" w:rsidRPr="00F21259" w:rsidRDefault="004204C1" w:rsidP="000F2BA7">
            <w:pPr>
              <w:pStyle w:val="Tabletext"/>
              <w:rPr>
                <w:sz w:val="18"/>
                <w:szCs w:val="18"/>
                <w:lang w:val="en-US"/>
              </w:rPr>
            </w:pPr>
          </w:p>
        </w:tc>
      </w:tr>
      <w:tr w:rsidR="004204C1" w:rsidRPr="004204C1" w:rsidTr="000F2BA7">
        <w:trPr>
          <w:jc w:val="center"/>
        </w:trPr>
        <w:tc>
          <w:tcPr>
            <w:tcW w:w="3899" w:type="dxa"/>
          </w:tcPr>
          <w:p w:rsidR="004204C1" w:rsidRPr="00F21259" w:rsidRDefault="004204C1" w:rsidP="004204C1">
            <w:pPr>
              <w:pStyle w:val="Tabletext"/>
              <w:rPr>
                <w:sz w:val="18"/>
                <w:szCs w:val="18"/>
                <w:lang w:val="en-US"/>
              </w:rPr>
            </w:pPr>
            <w:r w:rsidRPr="00F21259">
              <w:rPr>
                <w:sz w:val="18"/>
                <w:szCs w:val="18"/>
                <w:lang w:val="en-US"/>
              </w:rPr>
              <w:t>a1. Master station</w:t>
            </w:r>
          </w:p>
          <w:p w:rsidR="004204C1" w:rsidRPr="00F21259" w:rsidRDefault="004204C1" w:rsidP="004204C1">
            <w:pPr>
              <w:pStyle w:val="Tabletext"/>
              <w:rPr>
                <w:sz w:val="18"/>
                <w:szCs w:val="18"/>
                <w:lang w:val="en-US"/>
              </w:rPr>
            </w:pPr>
            <w:r w:rsidRPr="00F21259">
              <w:rPr>
                <w:sz w:val="18"/>
                <w:szCs w:val="18"/>
                <w:lang w:val="en-US"/>
              </w:rPr>
              <w:t>a2. Secondary station</w:t>
            </w:r>
          </w:p>
        </w:tc>
        <w:tc>
          <w:tcPr>
            <w:tcW w:w="1204" w:type="dxa"/>
          </w:tcPr>
          <w:p w:rsidR="004204C1" w:rsidRPr="00F21259" w:rsidRDefault="004204C1" w:rsidP="000F2BA7">
            <w:pPr>
              <w:pStyle w:val="Tabletext"/>
              <w:rPr>
                <w:sz w:val="18"/>
                <w:szCs w:val="18"/>
                <w:lang w:val="en-US"/>
              </w:rPr>
            </w:pPr>
          </w:p>
        </w:tc>
        <w:tc>
          <w:tcPr>
            <w:tcW w:w="1560" w:type="dxa"/>
          </w:tcPr>
          <w:p w:rsidR="004204C1" w:rsidRPr="00F21259" w:rsidRDefault="004204C1" w:rsidP="004204C1">
            <w:pPr>
              <w:pStyle w:val="Tabletext"/>
              <w:rPr>
                <w:sz w:val="18"/>
                <w:szCs w:val="18"/>
                <w:lang w:val="en-US"/>
              </w:rPr>
            </w:pPr>
            <w:r w:rsidRPr="00F21259">
              <w:rPr>
                <w:sz w:val="18"/>
                <w:szCs w:val="18"/>
                <w:lang w:val="en-US"/>
              </w:rPr>
              <w:t>87 000</w:t>
            </w:r>
          </w:p>
          <w:p w:rsidR="004204C1" w:rsidRPr="00F21259" w:rsidRDefault="004204C1" w:rsidP="004204C1">
            <w:pPr>
              <w:pStyle w:val="Tabletext"/>
              <w:rPr>
                <w:sz w:val="18"/>
                <w:szCs w:val="18"/>
                <w:lang w:val="en-US"/>
              </w:rPr>
            </w:pPr>
            <w:r w:rsidRPr="00F21259">
              <w:rPr>
                <w:sz w:val="18"/>
                <w:szCs w:val="18"/>
                <w:lang w:val="en-US"/>
              </w:rPr>
              <w:t>34 000</w:t>
            </w:r>
          </w:p>
        </w:tc>
        <w:tc>
          <w:tcPr>
            <w:tcW w:w="1559" w:type="dxa"/>
          </w:tcPr>
          <w:p w:rsidR="004204C1" w:rsidRPr="00F21259" w:rsidRDefault="004204C1" w:rsidP="000F2BA7">
            <w:pPr>
              <w:pStyle w:val="Tabletext"/>
              <w:rPr>
                <w:sz w:val="18"/>
                <w:szCs w:val="18"/>
                <w:lang w:val="en-US"/>
              </w:rPr>
            </w:pPr>
          </w:p>
        </w:tc>
        <w:tc>
          <w:tcPr>
            <w:tcW w:w="1417" w:type="dxa"/>
          </w:tcPr>
          <w:p w:rsidR="004204C1" w:rsidRPr="00F21259" w:rsidRDefault="004204C1" w:rsidP="000F2BA7">
            <w:pPr>
              <w:pStyle w:val="Tabletext"/>
              <w:rPr>
                <w:sz w:val="18"/>
                <w:szCs w:val="18"/>
                <w:lang w:val="en-US"/>
              </w:rPr>
            </w:pPr>
          </w:p>
        </w:tc>
      </w:tr>
      <w:tr w:rsidR="004204C1" w:rsidRPr="004204C1" w:rsidTr="000F2BA7">
        <w:trPr>
          <w:jc w:val="center"/>
        </w:trPr>
        <w:tc>
          <w:tcPr>
            <w:tcW w:w="3899" w:type="dxa"/>
          </w:tcPr>
          <w:p w:rsidR="004204C1" w:rsidRPr="00F21259" w:rsidRDefault="004204C1" w:rsidP="00A21280">
            <w:pPr>
              <w:pStyle w:val="Tabletext"/>
              <w:ind w:left="284" w:hanging="284"/>
              <w:rPr>
                <w:sz w:val="18"/>
                <w:szCs w:val="18"/>
                <w:lang w:val="en-US"/>
              </w:rPr>
            </w:pPr>
            <w:r w:rsidRPr="00F21259">
              <w:rPr>
                <w:sz w:val="18"/>
                <w:szCs w:val="18"/>
                <w:lang w:val="en-US"/>
              </w:rPr>
              <w:t>b1.</w:t>
            </w:r>
            <w:r w:rsidRPr="00F21259">
              <w:rPr>
                <w:sz w:val="18"/>
                <w:szCs w:val="18"/>
                <w:lang w:val="en-US"/>
              </w:rPr>
              <w:tab/>
              <w:t>Links betwe</w:t>
            </w:r>
            <w:r w:rsidR="00A21280">
              <w:rPr>
                <w:sz w:val="18"/>
                <w:szCs w:val="18"/>
                <w:lang w:val="en-US"/>
              </w:rPr>
              <w:t xml:space="preserve">en 1 to 24 telephone channels </w:t>
            </w:r>
            <w:r w:rsidR="00A21280">
              <w:rPr>
                <w:sz w:val="18"/>
                <w:szCs w:val="18"/>
                <w:lang w:val="en-US"/>
              </w:rPr>
              <w:br/>
            </w:r>
            <w:r w:rsidRPr="00F21259">
              <w:rPr>
                <w:sz w:val="18"/>
                <w:szCs w:val="18"/>
                <w:lang w:val="en-US"/>
              </w:rPr>
              <w:t>or less than 2.1 Mbits/s</w:t>
            </w:r>
          </w:p>
          <w:p w:rsidR="004204C1" w:rsidRPr="00F21259" w:rsidRDefault="004204C1" w:rsidP="00A21280">
            <w:pPr>
              <w:pStyle w:val="Tabletext"/>
              <w:ind w:left="284" w:hanging="284"/>
              <w:rPr>
                <w:sz w:val="18"/>
                <w:szCs w:val="18"/>
                <w:lang w:val="en-US"/>
              </w:rPr>
            </w:pPr>
            <w:r w:rsidRPr="00F21259">
              <w:rPr>
                <w:sz w:val="18"/>
                <w:szCs w:val="18"/>
                <w:lang w:val="en-US"/>
              </w:rPr>
              <w:t>b2.</w:t>
            </w:r>
            <w:r w:rsidRPr="00F21259">
              <w:rPr>
                <w:sz w:val="18"/>
                <w:szCs w:val="18"/>
                <w:lang w:val="en-US"/>
              </w:rPr>
              <w:tab/>
              <w:t xml:space="preserve">Links between 25 to 120 telephone </w:t>
            </w:r>
            <w:r w:rsidR="00A21280" w:rsidRPr="00F21259">
              <w:rPr>
                <w:sz w:val="18"/>
                <w:szCs w:val="18"/>
                <w:lang w:val="en-US"/>
              </w:rPr>
              <w:t>channels</w:t>
            </w:r>
            <w:r w:rsidRPr="00F21259">
              <w:rPr>
                <w:sz w:val="18"/>
                <w:szCs w:val="18"/>
                <w:lang w:val="en-US"/>
              </w:rPr>
              <w:br/>
              <w:t>or 2.1 to 8 Mbits/s</w:t>
            </w:r>
          </w:p>
          <w:p w:rsidR="004204C1" w:rsidRPr="00F21259" w:rsidRDefault="004204C1" w:rsidP="00A21280">
            <w:pPr>
              <w:pStyle w:val="Tabletext"/>
              <w:ind w:left="284" w:hanging="284"/>
              <w:rPr>
                <w:sz w:val="18"/>
                <w:szCs w:val="18"/>
                <w:lang w:val="en-US"/>
              </w:rPr>
            </w:pPr>
            <w:r w:rsidRPr="00F21259">
              <w:rPr>
                <w:sz w:val="18"/>
                <w:szCs w:val="18"/>
                <w:lang w:val="en-US"/>
              </w:rPr>
              <w:t>b3.</w:t>
            </w:r>
            <w:r w:rsidRPr="00F21259">
              <w:rPr>
                <w:sz w:val="18"/>
                <w:szCs w:val="18"/>
                <w:lang w:val="en-US"/>
              </w:rPr>
              <w:tab/>
              <w:t>Links between 121 to 600 telephone channels or 8 to 34 Mbits/s</w:t>
            </w:r>
          </w:p>
          <w:p w:rsidR="004204C1" w:rsidRPr="00F21259" w:rsidRDefault="004204C1" w:rsidP="00A21280">
            <w:pPr>
              <w:pStyle w:val="Tabletext"/>
              <w:ind w:left="284" w:hanging="284"/>
              <w:rPr>
                <w:sz w:val="18"/>
                <w:szCs w:val="18"/>
                <w:lang w:val="en-US"/>
              </w:rPr>
            </w:pPr>
            <w:r w:rsidRPr="00F21259">
              <w:rPr>
                <w:sz w:val="18"/>
                <w:szCs w:val="18"/>
                <w:lang w:val="en-US"/>
              </w:rPr>
              <w:t>b4.</w:t>
            </w:r>
            <w:r w:rsidRPr="00F21259">
              <w:rPr>
                <w:sz w:val="18"/>
                <w:szCs w:val="18"/>
                <w:lang w:val="en-US"/>
              </w:rPr>
              <w:tab/>
              <w:t>Links over 600 telephone channels or more than 34 Mbits/s</w:t>
            </w:r>
          </w:p>
        </w:tc>
        <w:tc>
          <w:tcPr>
            <w:tcW w:w="1204" w:type="dxa"/>
          </w:tcPr>
          <w:p w:rsidR="004204C1" w:rsidRPr="00F21259" w:rsidRDefault="004204C1" w:rsidP="000F2BA7">
            <w:pPr>
              <w:pStyle w:val="Tabletext"/>
              <w:rPr>
                <w:sz w:val="18"/>
                <w:szCs w:val="18"/>
                <w:lang w:val="en-US"/>
              </w:rPr>
            </w:pPr>
          </w:p>
        </w:tc>
        <w:tc>
          <w:tcPr>
            <w:tcW w:w="1560" w:type="dxa"/>
          </w:tcPr>
          <w:p w:rsidR="004204C1" w:rsidRPr="00F21259" w:rsidRDefault="004204C1" w:rsidP="000F2BA7">
            <w:pPr>
              <w:pStyle w:val="Tabletext"/>
              <w:rPr>
                <w:sz w:val="18"/>
                <w:szCs w:val="18"/>
                <w:lang w:val="en-US"/>
              </w:rPr>
            </w:pPr>
          </w:p>
        </w:tc>
        <w:tc>
          <w:tcPr>
            <w:tcW w:w="1559" w:type="dxa"/>
          </w:tcPr>
          <w:p w:rsidR="004204C1" w:rsidRPr="00F21259" w:rsidRDefault="004204C1" w:rsidP="000F2BA7">
            <w:pPr>
              <w:pStyle w:val="Tabletext"/>
              <w:rPr>
                <w:sz w:val="18"/>
                <w:szCs w:val="18"/>
                <w:lang w:val="en-US"/>
              </w:rPr>
            </w:pPr>
          </w:p>
        </w:tc>
        <w:tc>
          <w:tcPr>
            <w:tcW w:w="1417" w:type="dxa"/>
          </w:tcPr>
          <w:p w:rsidR="004204C1" w:rsidRPr="00F21259" w:rsidRDefault="00471F4A" w:rsidP="004204C1">
            <w:pPr>
              <w:pStyle w:val="Tabletext"/>
              <w:rPr>
                <w:sz w:val="18"/>
                <w:szCs w:val="18"/>
                <w:lang w:val="en-US"/>
              </w:rPr>
            </w:pPr>
            <w:r>
              <w:rPr>
                <w:sz w:val="18"/>
                <w:szCs w:val="18"/>
                <w:lang w:val="en-US"/>
              </w:rPr>
              <w:br/>
            </w:r>
            <w:r w:rsidR="004204C1" w:rsidRPr="00F21259">
              <w:rPr>
                <w:sz w:val="18"/>
                <w:szCs w:val="18"/>
                <w:lang w:val="en-US"/>
              </w:rPr>
              <w:t>1 160 000</w:t>
            </w:r>
          </w:p>
          <w:p w:rsidR="004204C1" w:rsidRPr="00F21259" w:rsidRDefault="00471F4A" w:rsidP="004204C1">
            <w:pPr>
              <w:pStyle w:val="Tabletext"/>
              <w:rPr>
                <w:sz w:val="18"/>
                <w:szCs w:val="18"/>
                <w:lang w:val="en-US"/>
              </w:rPr>
            </w:pPr>
            <w:r>
              <w:rPr>
                <w:sz w:val="18"/>
                <w:szCs w:val="18"/>
                <w:lang w:val="en-US"/>
              </w:rPr>
              <w:br/>
            </w:r>
            <w:r w:rsidR="004204C1" w:rsidRPr="00F21259">
              <w:rPr>
                <w:sz w:val="18"/>
                <w:szCs w:val="18"/>
                <w:lang w:val="en-US"/>
              </w:rPr>
              <w:t>1 450 000</w:t>
            </w:r>
          </w:p>
          <w:p w:rsidR="004204C1" w:rsidRPr="00F21259" w:rsidRDefault="00471F4A" w:rsidP="004204C1">
            <w:pPr>
              <w:pStyle w:val="Tabletext"/>
              <w:rPr>
                <w:sz w:val="18"/>
                <w:szCs w:val="18"/>
                <w:lang w:val="en-US"/>
              </w:rPr>
            </w:pPr>
            <w:r>
              <w:rPr>
                <w:sz w:val="18"/>
                <w:szCs w:val="18"/>
                <w:lang w:val="en-US"/>
              </w:rPr>
              <w:br/>
            </w:r>
            <w:r w:rsidR="004204C1" w:rsidRPr="00F21259">
              <w:rPr>
                <w:sz w:val="18"/>
                <w:szCs w:val="18"/>
                <w:lang w:val="en-US"/>
              </w:rPr>
              <w:t>1 740 000</w:t>
            </w:r>
          </w:p>
          <w:p w:rsidR="004204C1" w:rsidRPr="00F21259" w:rsidRDefault="00471F4A" w:rsidP="004204C1">
            <w:pPr>
              <w:pStyle w:val="Tabletext"/>
              <w:rPr>
                <w:sz w:val="18"/>
                <w:szCs w:val="18"/>
                <w:lang w:val="en-US"/>
              </w:rPr>
            </w:pPr>
            <w:r>
              <w:rPr>
                <w:sz w:val="18"/>
                <w:szCs w:val="18"/>
                <w:lang w:val="en-US"/>
              </w:rPr>
              <w:br/>
            </w:r>
            <w:r w:rsidR="004204C1" w:rsidRPr="00F21259">
              <w:rPr>
                <w:sz w:val="18"/>
                <w:szCs w:val="18"/>
                <w:lang w:val="en-US"/>
              </w:rPr>
              <w:t>2 900 000</w:t>
            </w:r>
          </w:p>
        </w:tc>
      </w:tr>
      <w:tr w:rsidR="004204C1" w:rsidRPr="004204C1" w:rsidTr="000F2BA7">
        <w:trPr>
          <w:jc w:val="center"/>
        </w:trPr>
        <w:tc>
          <w:tcPr>
            <w:tcW w:w="3899" w:type="dxa"/>
          </w:tcPr>
          <w:p w:rsidR="004204C1" w:rsidRPr="00F21259" w:rsidRDefault="004204C1" w:rsidP="00A21280">
            <w:pPr>
              <w:pStyle w:val="Tabletext"/>
              <w:rPr>
                <w:sz w:val="18"/>
                <w:szCs w:val="18"/>
                <w:lang w:val="en-US"/>
              </w:rPr>
            </w:pPr>
            <w:r w:rsidRPr="00F21259">
              <w:rPr>
                <w:sz w:val="18"/>
                <w:szCs w:val="18"/>
                <w:lang w:val="en-US"/>
              </w:rPr>
              <w:t>I.2. International Independent Earth station</w:t>
            </w:r>
          </w:p>
        </w:tc>
        <w:tc>
          <w:tcPr>
            <w:tcW w:w="1204" w:type="dxa"/>
          </w:tcPr>
          <w:p w:rsidR="004204C1" w:rsidRPr="00F21259" w:rsidRDefault="00471F4A" w:rsidP="00A21280">
            <w:pPr>
              <w:pStyle w:val="Tabletext"/>
              <w:rPr>
                <w:sz w:val="18"/>
                <w:szCs w:val="18"/>
                <w:lang w:val="en-US"/>
              </w:rPr>
            </w:pPr>
            <w:r w:rsidRPr="00F21259">
              <w:rPr>
                <w:sz w:val="18"/>
                <w:szCs w:val="18"/>
                <w:lang w:val="en-US"/>
              </w:rPr>
              <w:t>116 000</w:t>
            </w:r>
          </w:p>
        </w:tc>
        <w:tc>
          <w:tcPr>
            <w:tcW w:w="1560" w:type="dxa"/>
          </w:tcPr>
          <w:p w:rsidR="004204C1" w:rsidRPr="00F21259" w:rsidRDefault="00471F4A" w:rsidP="00A21280">
            <w:pPr>
              <w:pStyle w:val="Tabletext"/>
              <w:rPr>
                <w:sz w:val="18"/>
                <w:szCs w:val="18"/>
                <w:lang w:val="en-US"/>
              </w:rPr>
            </w:pPr>
            <w:r w:rsidRPr="00F21259">
              <w:rPr>
                <w:sz w:val="18"/>
                <w:szCs w:val="18"/>
                <w:lang w:val="en-US"/>
              </w:rPr>
              <w:t>34 800</w:t>
            </w:r>
          </w:p>
        </w:tc>
        <w:tc>
          <w:tcPr>
            <w:tcW w:w="1559" w:type="dxa"/>
          </w:tcPr>
          <w:p w:rsidR="004204C1" w:rsidRPr="00F21259" w:rsidRDefault="00471F4A" w:rsidP="00A21280">
            <w:pPr>
              <w:pStyle w:val="Tabletext"/>
              <w:rPr>
                <w:sz w:val="18"/>
                <w:szCs w:val="18"/>
                <w:lang w:val="en-US"/>
              </w:rPr>
            </w:pPr>
            <w:r w:rsidRPr="00F21259">
              <w:rPr>
                <w:sz w:val="18"/>
                <w:szCs w:val="18"/>
                <w:lang w:val="en-US"/>
              </w:rPr>
              <w:t>580 000</w:t>
            </w:r>
          </w:p>
        </w:tc>
        <w:tc>
          <w:tcPr>
            <w:tcW w:w="1417" w:type="dxa"/>
          </w:tcPr>
          <w:p w:rsidR="004204C1" w:rsidRPr="00F21259" w:rsidRDefault="00471F4A" w:rsidP="00A21280">
            <w:pPr>
              <w:pStyle w:val="Tabletext"/>
              <w:rPr>
                <w:sz w:val="18"/>
                <w:szCs w:val="18"/>
                <w:lang w:val="en-US"/>
              </w:rPr>
            </w:pPr>
            <w:r w:rsidRPr="00F21259">
              <w:rPr>
                <w:sz w:val="18"/>
                <w:szCs w:val="18"/>
                <w:lang w:val="en-US"/>
              </w:rPr>
              <w:t>348 000</w:t>
            </w:r>
          </w:p>
        </w:tc>
      </w:tr>
      <w:tr w:rsidR="00A21280" w:rsidRPr="00A21280" w:rsidTr="000F2BA7">
        <w:trPr>
          <w:jc w:val="center"/>
        </w:trPr>
        <w:tc>
          <w:tcPr>
            <w:tcW w:w="3899" w:type="dxa"/>
          </w:tcPr>
          <w:p w:rsidR="00A21280" w:rsidRPr="00F21259" w:rsidRDefault="00A21280" w:rsidP="004204C1">
            <w:pPr>
              <w:pStyle w:val="Tabletext"/>
              <w:rPr>
                <w:sz w:val="18"/>
                <w:szCs w:val="18"/>
                <w:lang w:val="en-US"/>
              </w:rPr>
            </w:pPr>
            <w:r w:rsidRPr="00F21259">
              <w:rPr>
                <w:sz w:val="18"/>
                <w:szCs w:val="18"/>
                <w:lang w:val="en-US"/>
              </w:rPr>
              <w:t>I.3.</w:t>
            </w:r>
            <w:r w:rsidRPr="00F21259">
              <w:rPr>
                <w:sz w:val="18"/>
                <w:szCs w:val="18"/>
                <w:lang w:val="en-US"/>
              </w:rPr>
              <w:tab/>
              <w:t>International secondary micro earth stations (VSATs)</w:t>
            </w:r>
          </w:p>
        </w:tc>
        <w:tc>
          <w:tcPr>
            <w:tcW w:w="1204" w:type="dxa"/>
          </w:tcPr>
          <w:p w:rsidR="00A21280" w:rsidRPr="00F21259" w:rsidRDefault="00A21280" w:rsidP="00471F4A">
            <w:pPr>
              <w:pStyle w:val="Tabletext"/>
              <w:rPr>
                <w:sz w:val="18"/>
                <w:szCs w:val="18"/>
                <w:lang w:val="en-US"/>
              </w:rPr>
            </w:pPr>
            <w:r w:rsidRPr="00F21259">
              <w:rPr>
                <w:sz w:val="18"/>
                <w:szCs w:val="18"/>
                <w:lang w:val="en-US"/>
              </w:rPr>
              <w:t>58 000</w:t>
            </w:r>
          </w:p>
        </w:tc>
        <w:tc>
          <w:tcPr>
            <w:tcW w:w="1560" w:type="dxa"/>
          </w:tcPr>
          <w:p w:rsidR="00A21280" w:rsidRPr="00F21259" w:rsidRDefault="00A21280" w:rsidP="00471F4A">
            <w:pPr>
              <w:pStyle w:val="Tabletext"/>
              <w:rPr>
                <w:sz w:val="18"/>
                <w:szCs w:val="18"/>
                <w:lang w:val="en-US"/>
              </w:rPr>
            </w:pPr>
            <w:r w:rsidRPr="00F21259">
              <w:rPr>
                <w:sz w:val="18"/>
                <w:szCs w:val="18"/>
                <w:lang w:val="en-US"/>
              </w:rPr>
              <w:t>34 800</w:t>
            </w:r>
          </w:p>
        </w:tc>
        <w:tc>
          <w:tcPr>
            <w:tcW w:w="1559" w:type="dxa"/>
          </w:tcPr>
          <w:p w:rsidR="00A21280" w:rsidRPr="00F21259" w:rsidRDefault="00A21280" w:rsidP="00471F4A">
            <w:pPr>
              <w:pStyle w:val="Tabletext"/>
              <w:rPr>
                <w:sz w:val="18"/>
                <w:szCs w:val="18"/>
                <w:lang w:val="en-US"/>
              </w:rPr>
            </w:pPr>
            <w:r w:rsidRPr="00F21259">
              <w:rPr>
                <w:sz w:val="18"/>
                <w:szCs w:val="18"/>
                <w:lang w:val="en-US"/>
              </w:rPr>
              <w:t>174 000</w:t>
            </w:r>
          </w:p>
        </w:tc>
        <w:tc>
          <w:tcPr>
            <w:tcW w:w="1417" w:type="dxa"/>
          </w:tcPr>
          <w:p w:rsidR="00A21280" w:rsidRPr="00F21259" w:rsidRDefault="00A21280" w:rsidP="00471F4A">
            <w:pPr>
              <w:pStyle w:val="Tabletext"/>
              <w:rPr>
                <w:sz w:val="18"/>
                <w:szCs w:val="18"/>
                <w:lang w:val="en-US"/>
              </w:rPr>
            </w:pPr>
            <w:r w:rsidRPr="00F21259">
              <w:rPr>
                <w:sz w:val="18"/>
                <w:szCs w:val="18"/>
                <w:lang w:val="en-US"/>
              </w:rPr>
              <w:t>145 000</w:t>
            </w:r>
          </w:p>
        </w:tc>
      </w:tr>
      <w:tr w:rsidR="00A21280" w:rsidRPr="00A21280" w:rsidTr="000F2BA7">
        <w:trPr>
          <w:jc w:val="center"/>
        </w:trPr>
        <w:tc>
          <w:tcPr>
            <w:tcW w:w="3899" w:type="dxa"/>
          </w:tcPr>
          <w:p w:rsidR="00A21280" w:rsidRPr="00F21259" w:rsidRDefault="00A21280" w:rsidP="004204C1">
            <w:pPr>
              <w:pStyle w:val="Tabletext"/>
              <w:rPr>
                <w:sz w:val="18"/>
                <w:szCs w:val="18"/>
                <w:lang w:val="en-US"/>
              </w:rPr>
            </w:pPr>
            <w:r w:rsidRPr="00F21259">
              <w:rPr>
                <w:sz w:val="18"/>
                <w:szCs w:val="18"/>
                <w:lang w:val="en-US"/>
              </w:rPr>
              <w:t>I.4. Portable or Mobile Earth station</w:t>
            </w:r>
          </w:p>
        </w:tc>
        <w:tc>
          <w:tcPr>
            <w:tcW w:w="1204" w:type="dxa"/>
          </w:tcPr>
          <w:p w:rsidR="00A21280" w:rsidRPr="00F21259" w:rsidRDefault="00A21280" w:rsidP="00471F4A">
            <w:pPr>
              <w:pStyle w:val="Tabletext"/>
              <w:rPr>
                <w:sz w:val="18"/>
                <w:szCs w:val="18"/>
                <w:lang w:val="en-US"/>
              </w:rPr>
            </w:pPr>
            <w:r w:rsidRPr="00F21259">
              <w:rPr>
                <w:sz w:val="18"/>
                <w:szCs w:val="18"/>
                <w:lang w:val="en-US"/>
              </w:rPr>
              <w:t>58 000</w:t>
            </w:r>
          </w:p>
        </w:tc>
        <w:tc>
          <w:tcPr>
            <w:tcW w:w="1560" w:type="dxa"/>
          </w:tcPr>
          <w:p w:rsidR="00A21280" w:rsidRPr="00F21259" w:rsidRDefault="00A21280" w:rsidP="00471F4A">
            <w:pPr>
              <w:pStyle w:val="Tabletext"/>
              <w:rPr>
                <w:sz w:val="18"/>
                <w:szCs w:val="18"/>
                <w:lang w:val="en-US"/>
              </w:rPr>
            </w:pPr>
            <w:r w:rsidRPr="00F21259">
              <w:rPr>
                <w:sz w:val="18"/>
                <w:szCs w:val="18"/>
                <w:lang w:val="en-US"/>
              </w:rPr>
              <w:t>29 000</w:t>
            </w:r>
          </w:p>
        </w:tc>
        <w:tc>
          <w:tcPr>
            <w:tcW w:w="1559" w:type="dxa"/>
          </w:tcPr>
          <w:p w:rsidR="00A21280" w:rsidRPr="00F21259" w:rsidRDefault="00A21280" w:rsidP="00471F4A">
            <w:pPr>
              <w:pStyle w:val="Tabletext"/>
              <w:rPr>
                <w:sz w:val="18"/>
                <w:szCs w:val="18"/>
                <w:lang w:val="en-US"/>
              </w:rPr>
            </w:pPr>
            <w:r w:rsidRPr="00F21259">
              <w:rPr>
                <w:sz w:val="18"/>
                <w:szCs w:val="18"/>
                <w:lang w:val="en-US"/>
              </w:rPr>
              <w:t>145 000</w:t>
            </w:r>
          </w:p>
        </w:tc>
        <w:tc>
          <w:tcPr>
            <w:tcW w:w="1417" w:type="dxa"/>
          </w:tcPr>
          <w:p w:rsidR="00A21280" w:rsidRPr="00F21259" w:rsidRDefault="00A21280" w:rsidP="00471F4A">
            <w:pPr>
              <w:pStyle w:val="Tabletext"/>
              <w:rPr>
                <w:sz w:val="18"/>
                <w:szCs w:val="18"/>
                <w:lang w:val="en-US"/>
              </w:rPr>
            </w:pPr>
            <w:r w:rsidRPr="00F21259">
              <w:rPr>
                <w:sz w:val="18"/>
                <w:szCs w:val="18"/>
                <w:lang w:val="en-US"/>
              </w:rPr>
              <w:t>116 000</w:t>
            </w:r>
          </w:p>
        </w:tc>
      </w:tr>
      <w:tr w:rsidR="00A21280" w:rsidRPr="00A21280" w:rsidTr="000F2BA7">
        <w:trPr>
          <w:jc w:val="center"/>
        </w:trPr>
        <w:tc>
          <w:tcPr>
            <w:tcW w:w="3899" w:type="dxa"/>
          </w:tcPr>
          <w:p w:rsidR="00A21280" w:rsidRPr="00F21259" w:rsidRDefault="00A21280" w:rsidP="004204C1">
            <w:pPr>
              <w:pStyle w:val="Tabletext"/>
              <w:rPr>
                <w:sz w:val="18"/>
                <w:szCs w:val="18"/>
                <w:lang w:val="en-US"/>
              </w:rPr>
            </w:pPr>
            <w:r w:rsidRPr="00F21259">
              <w:rPr>
                <w:sz w:val="18"/>
                <w:szCs w:val="18"/>
                <w:lang w:val="en-US"/>
              </w:rPr>
              <w:t>I.5. Individual reception earth station</w:t>
            </w:r>
          </w:p>
        </w:tc>
        <w:tc>
          <w:tcPr>
            <w:tcW w:w="1204" w:type="dxa"/>
          </w:tcPr>
          <w:p w:rsidR="00A21280" w:rsidRPr="00F21259" w:rsidRDefault="00A21280" w:rsidP="00471F4A">
            <w:pPr>
              <w:pStyle w:val="Tabletext"/>
              <w:rPr>
                <w:sz w:val="18"/>
                <w:szCs w:val="18"/>
                <w:lang w:val="en-US"/>
              </w:rPr>
            </w:pPr>
            <w:r w:rsidRPr="00F21259">
              <w:rPr>
                <w:sz w:val="18"/>
                <w:szCs w:val="18"/>
                <w:lang w:val="en-US"/>
              </w:rPr>
              <w:t>11 600</w:t>
            </w:r>
          </w:p>
        </w:tc>
        <w:tc>
          <w:tcPr>
            <w:tcW w:w="1560" w:type="dxa"/>
          </w:tcPr>
          <w:p w:rsidR="00A21280" w:rsidRPr="00F21259" w:rsidRDefault="00A21280" w:rsidP="00471F4A">
            <w:pPr>
              <w:pStyle w:val="Tabletext"/>
              <w:rPr>
                <w:sz w:val="18"/>
                <w:szCs w:val="18"/>
                <w:lang w:val="en-US"/>
              </w:rPr>
            </w:pPr>
            <w:r w:rsidRPr="00F21259">
              <w:rPr>
                <w:sz w:val="18"/>
                <w:szCs w:val="18"/>
                <w:lang w:val="en-US"/>
              </w:rPr>
              <w:t>14 500</w:t>
            </w:r>
          </w:p>
        </w:tc>
        <w:tc>
          <w:tcPr>
            <w:tcW w:w="1559" w:type="dxa"/>
          </w:tcPr>
          <w:p w:rsidR="00A21280" w:rsidRPr="00F21259" w:rsidRDefault="00A21280" w:rsidP="00471F4A">
            <w:pPr>
              <w:pStyle w:val="Tabletext"/>
              <w:rPr>
                <w:sz w:val="18"/>
                <w:szCs w:val="18"/>
                <w:lang w:val="en-US"/>
              </w:rPr>
            </w:pPr>
            <w:r w:rsidRPr="00F21259">
              <w:rPr>
                <w:sz w:val="18"/>
                <w:szCs w:val="18"/>
                <w:lang w:val="en-US"/>
              </w:rPr>
              <w:t>Nothing</w:t>
            </w:r>
          </w:p>
        </w:tc>
        <w:tc>
          <w:tcPr>
            <w:tcW w:w="1417" w:type="dxa"/>
          </w:tcPr>
          <w:p w:rsidR="00A21280" w:rsidRPr="00F21259" w:rsidRDefault="00A21280" w:rsidP="00471F4A">
            <w:pPr>
              <w:pStyle w:val="Tabletext"/>
              <w:rPr>
                <w:sz w:val="18"/>
                <w:szCs w:val="18"/>
                <w:lang w:val="en-US"/>
              </w:rPr>
            </w:pPr>
            <w:r w:rsidRPr="00F21259">
              <w:rPr>
                <w:sz w:val="18"/>
                <w:szCs w:val="18"/>
                <w:lang w:val="en-US"/>
              </w:rPr>
              <w:t>Nothing</w:t>
            </w:r>
          </w:p>
        </w:tc>
      </w:tr>
      <w:tr w:rsidR="005E414F" w:rsidRPr="00D17B5B" w:rsidTr="000F2BA7">
        <w:trPr>
          <w:jc w:val="center"/>
        </w:trPr>
        <w:tc>
          <w:tcPr>
            <w:tcW w:w="3899" w:type="dxa"/>
          </w:tcPr>
          <w:p w:rsidR="005E414F" w:rsidRPr="00F21259" w:rsidRDefault="005E414F" w:rsidP="005E414F">
            <w:pPr>
              <w:pStyle w:val="Tabletext"/>
              <w:ind w:left="284" w:hanging="284"/>
              <w:rPr>
                <w:sz w:val="18"/>
                <w:szCs w:val="18"/>
                <w:lang w:val="en-US"/>
              </w:rPr>
            </w:pPr>
            <w:r w:rsidRPr="00F21259">
              <w:rPr>
                <w:sz w:val="18"/>
                <w:szCs w:val="18"/>
                <w:lang w:val="en-US"/>
              </w:rPr>
              <w:t>II.</w:t>
            </w:r>
            <w:r w:rsidRPr="00F21259">
              <w:rPr>
                <w:sz w:val="18"/>
                <w:szCs w:val="18"/>
                <w:lang w:val="en-US"/>
              </w:rPr>
              <w:tab/>
              <w:t>STATIONS AND TERRESTRIAL NETWORKS OPENED TO THE PUBLIC (Commercial services)</w:t>
            </w:r>
          </w:p>
        </w:tc>
        <w:tc>
          <w:tcPr>
            <w:tcW w:w="1204" w:type="dxa"/>
          </w:tcPr>
          <w:p w:rsidR="005E414F" w:rsidRPr="00F21259" w:rsidRDefault="005E414F" w:rsidP="000F2BA7">
            <w:pPr>
              <w:pStyle w:val="Tabletext"/>
              <w:rPr>
                <w:sz w:val="18"/>
                <w:szCs w:val="18"/>
                <w:lang w:val="en-US"/>
              </w:rPr>
            </w:pPr>
          </w:p>
        </w:tc>
        <w:tc>
          <w:tcPr>
            <w:tcW w:w="1560" w:type="dxa"/>
          </w:tcPr>
          <w:p w:rsidR="005E414F" w:rsidRPr="00F21259" w:rsidRDefault="005E414F" w:rsidP="000F2BA7">
            <w:pPr>
              <w:pStyle w:val="Tabletext"/>
              <w:rPr>
                <w:sz w:val="18"/>
                <w:szCs w:val="18"/>
                <w:lang w:val="en-US"/>
              </w:rPr>
            </w:pPr>
          </w:p>
        </w:tc>
        <w:tc>
          <w:tcPr>
            <w:tcW w:w="1559" w:type="dxa"/>
          </w:tcPr>
          <w:p w:rsidR="005E414F" w:rsidRPr="00F21259" w:rsidRDefault="005E414F" w:rsidP="000F2BA7">
            <w:pPr>
              <w:pStyle w:val="Tabletext"/>
              <w:rPr>
                <w:sz w:val="18"/>
                <w:szCs w:val="18"/>
                <w:lang w:val="en-US"/>
              </w:rPr>
            </w:pPr>
          </w:p>
        </w:tc>
        <w:tc>
          <w:tcPr>
            <w:tcW w:w="1417" w:type="dxa"/>
          </w:tcPr>
          <w:p w:rsidR="005E414F" w:rsidRPr="00F21259" w:rsidRDefault="005E414F" w:rsidP="000F2BA7">
            <w:pPr>
              <w:pStyle w:val="Tabletext"/>
              <w:rPr>
                <w:sz w:val="18"/>
                <w:szCs w:val="18"/>
                <w:lang w:val="en-US"/>
              </w:rPr>
            </w:pPr>
          </w:p>
        </w:tc>
      </w:tr>
      <w:tr w:rsidR="005E414F" w:rsidRPr="00F21259" w:rsidTr="000F2BA7">
        <w:trPr>
          <w:jc w:val="center"/>
        </w:trPr>
        <w:tc>
          <w:tcPr>
            <w:tcW w:w="3899" w:type="dxa"/>
          </w:tcPr>
          <w:p w:rsidR="005E414F" w:rsidRPr="00F21259" w:rsidRDefault="005E414F" w:rsidP="004204C1">
            <w:pPr>
              <w:pStyle w:val="Tabletext"/>
              <w:rPr>
                <w:sz w:val="18"/>
                <w:szCs w:val="18"/>
                <w:lang w:val="en-US"/>
              </w:rPr>
            </w:pPr>
            <w:r w:rsidRPr="00F21259">
              <w:rPr>
                <w:sz w:val="18"/>
                <w:szCs w:val="18"/>
                <w:lang w:val="en-US"/>
              </w:rPr>
              <w:t>II.1. National network opened to the public</w:t>
            </w:r>
          </w:p>
        </w:tc>
        <w:tc>
          <w:tcPr>
            <w:tcW w:w="1204" w:type="dxa"/>
          </w:tcPr>
          <w:p w:rsidR="005E414F" w:rsidRPr="00F21259" w:rsidRDefault="005E414F" w:rsidP="000F2BA7">
            <w:pPr>
              <w:pStyle w:val="Tabletext"/>
              <w:rPr>
                <w:sz w:val="18"/>
                <w:szCs w:val="18"/>
                <w:lang w:val="en-US"/>
              </w:rPr>
            </w:pPr>
            <w:r w:rsidRPr="00F21259">
              <w:rPr>
                <w:sz w:val="18"/>
                <w:szCs w:val="18"/>
                <w:lang w:val="en-US"/>
              </w:rPr>
              <w:t>3 770 000</w:t>
            </w:r>
          </w:p>
        </w:tc>
        <w:tc>
          <w:tcPr>
            <w:tcW w:w="1560" w:type="dxa"/>
          </w:tcPr>
          <w:p w:rsidR="005E414F" w:rsidRPr="00F21259" w:rsidRDefault="005E414F" w:rsidP="000F2BA7">
            <w:pPr>
              <w:pStyle w:val="Tabletext"/>
              <w:rPr>
                <w:sz w:val="18"/>
                <w:szCs w:val="18"/>
                <w:lang w:val="en-US"/>
              </w:rPr>
            </w:pPr>
          </w:p>
        </w:tc>
        <w:tc>
          <w:tcPr>
            <w:tcW w:w="1559" w:type="dxa"/>
          </w:tcPr>
          <w:p w:rsidR="005E414F" w:rsidRPr="00F21259" w:rsidRDefault="005E414F" w:rsidP="000F2BA7">
            <w:pPr>
              <w:pStyle w:val="Tabletext"/>
              <w:rPr>
                <w:sz w:val="18"/>
                <w:szCs w:val="18"/>
                <w:lang w:val="en-US"/>
              </w:rPr>
            </w:pPr>
            <w:r w:rsidRPr="00F21259">
              <w:rPr>
                <w:sz w:val="18"/>
                <w:szCs w:val="18"/>
                <w:lang w:val="en-US"/>
              </w:rPr>
              <w:t>29 000 000</w:t>
            </w:r>
          </w:p>
        </w:tc>
        <w:tc>
          <w:tcPr>
            <w:tcW w:w="1417" w:type="dxa"/>
          </w:tcPr>
          <w:p w:rsidR="005E414F" w:rsidRPr="00F21259" w:rsidRDefault="005E414F" w:rsidP="000F2BA7">
            <w:pPr>
              <w:pStyle w:val="Tabletext"/>
              <w:rPr>
                <w:sz w:val="18"/>
                <w:szCs w:val="18"/>
                <w:lang w:val="en-US"/>
              </w:rPr>
            </w:pPr>
          </w:p>
        </w:tc>
      </w:tr>
      <w:tr w:rsidR="005E414F" w:rsidRPr="005E414F" w:rsidTr="000F2BA7">
        <w:trPr>
          <w:jc w:val="center"/>
        </w:trPr>
        <w:tc>
          <w:tcPr>
            <w:tcW w:w="3899" w:type="dxa"/>
          </w:tcPr>
          <w:p w:rsidR="005E414F" w:rsidRPr="00F21259" w:rsidRDefault="005E414F" w:rsidP="005E414F">
            <w:pPr>
              <w:pStyle w:val="Tabletext"/>
              <w:ind w:left="284" w:hanging="284"/>
              <w:rPr>
                <w:sz w:val="18"/>
                <w:szCs w:val="18"/>
                <w:lang w:val="en-US"/>
              </w:rPr>
            </w:pPr>
            <w:r w:rsidRPr="00F21259">
              <w:rPr>
                <w:sz w:val="18"/>
                <w:szCs w:val="18"/>
                <w:lang w:val="en-US"/>
              </w:rPr>
              <w:t>a1.</w:t>
            </w:r>
            <w:r w:rsidRPr="00F21259">
              <w:rPr>
                <w:sz w:val="18"/>
                <w:szCs w:val="18"/>
                <w:lang w:val="en-US"/>
              </w:rPr>
              <w:tab/>
              <w:t>Terrestrial aeronautic  station-coastal or terrestrial</w:t>
            </w:r>
          </w:p>
          <w:p w:rsidR="005E414F" w:rsidRPr="00F21259" w:rsidRDefault="005E414F" w:rsidP="005E414F">
            <w:pPr>
              <w:pStyle w:val="Tabletext"/>
              <w:rPr>
                <w:sz w:val="18"/>
                <w:szCs w:val="18"/>
                <w:lang w:val="en-US"/>
              </w:rPr>
            </w:pPr>
            <w:r w:rsidRPr="00F21259">
              <w:rPr>
                <w:sz w:val="18"/>
                <w:szCs w:val="18"/>
                <w:lang w:val="en-US"/>
              </w:rPr>
              <w:lastRenderedPageBreak/>
              <w:t>a2. Terrestrial aeronautics- ship or terrestrial</w:t>
            </w:r>
          </w:p>
        </w:tc>
        <w:tc>
          <w:tcPr>
            <w:tcW w:w="1204" w:type="dxa"/>
          </w:tcPr>
          <w:p w:rsidR="005E414F" w:rsidRPr="00F21259" w:rsidRDefault="005E414F" w:rsidP="000F2BA7">
            <w:pPr>
              <w:pStyle w:val="Tabletext"/>
              <w:rPr>
                <w:sz w:val="18"/>
                <w:szCs w:val="18"/>
                <w:lang w:val="en-US"/>
              </w:rPr>
            </w:pPr>
          </w:p>
        </w:tc>
        <w:tc>
          <w:tcPr>
            <w:tcW w:w="1560" w:type="dxa"/>
          </w:tcPr>
          <w:p w:rsidR="005E414F" w:rsidRPr="00F21259" w:rsidRDefault="005E414F" w:rsidP="005E414F">
            <w:pPr>
              <w:pStyle w:val="Tabletext"/>
              <w:rPr>
                <w:sz w:val="18"/>
                <w:szCs w:val="18"/>
                <w:lang w:val="en-US"/>
              </w:rPr>
            </w:pPr>
            <w:r>
              <w:rPr>
                <w:sz w:val="18"/>
                <w:szCs w:val="18"/>
                <w:lang w:val="en-US"/>
              </w:rPr>
              <w:br/>
            </w:r>
            <w:r w:rsidRPr="00F21259">
              <w:rPr>
                <w:sz w:val="18"/>
                <w:szCs w:val="18"/>
                <w:lang w:val="en-US"/>
              </w:rPr>
              <w:t>87 000</w:t>
            </w:r>
          </w:p>
          <w:p w:rsidR="005E414F" w:rsidRPr="00F21259" w:rsidRDefault="005E414F" w:rsidP="005E414F">
            <w:pPr>
              <w:pStyle w:val="Tabletext"/>
              <w:rPr>
                <w:sz w:val="18"/>
                <w:szCs w:val="18"/>
                <w:lang w:val="en-US"/>
              </w:rPr>
            </w:pPr>
            <w:r w:rsidRPr="00F21259">
              <w:rPr>
                <w:sz w:val="18"/>
                <w:szCs w:val="18"/>
                <w:lang w:val="en-US"/>
              </w:rPr>
              <w:lastRenderedPageBreak/>
              <w:t>58 000</w:t>
            </w:r>
          </w:p>
        </w:tc>
        <w:tc>
          <w:tcPr>
            <w:tcW w:w="1559" w:type="dxa"/>
          </w:tcPr>
          <w:p w:rsidR="005E414F" w:rsidRPr="00F21259" w:rsidRDefault="005E414F" w:rsidP="000F2BA7">
            <w:pPr>
              <w:pStyle w:val="Tabletext"/>
              <w:rPr>
                <w:sz w:val="18"/>
                <w:szCs w:val="18"/>
                <w:lang w:val="en-US"/>
              </w:rPr>
            </w:pPr>
          </w:p>
        </w:tc>
        <w:tc>
          <w:tcPr>
            <w:tcW w:w="1417" w:type="dxa"/>
          </w:tcPr>
          <w:p w:rsidR="005E414F" w:rsidRPr="00F21259" w:rsidRDefault="005E414F" w:rsidP="000F2BA7">
            <w:pPr>
              <w:pStyle w:val="Tabletext"/>
              <w:rPr>
                <w:sz w:val="18"/>
                <w:szCs w:val="18"/>
                <w:lang w:val="en-US"/>
              </w:rPr>
            </w:pPr>
          </w:p>
        </w:tc>
      </w:tr>
      <w:tr w:rsidR="005E414F" w:rsidRPr="005E414F" w:rsidTr="000F2BA7">
        <w:trPr>
          <w:jc w:val="center"/>
        </w:trPr>
        <w:tc>
          <w:tcPr>
            <w:tcW w:w="3899" w:type="dxa"/>
          </w:tcPr>
          <w:p w:rsidR="005E414F" w:rsidRPr="00F21259" w:rsidRDefault="005E414F" w:rsidP="005E414F">
            <w:pPr>
              <w:pStyle w:val="Tabletext"/>
              <w:ind w:left="284" w:hanging="284"/>
              <w:rPr>
                <w:sz w:val="18"/>
                <w:szCs w:val="18"/>
                <w:lang w:val="en-US"/>
              </w:rPr>
            </w:pPr>
            <w:r w:rsidRPr="00F21259">
              <w:rPr>
                <w:sz w:val="18"/>
                <w:szCs w:val="18"/>
                <w:lang w:val="en-US"/>
              </w:rPr>
              <w:t>b1.</w:t>
            </w:r>
            <w:r w:rsidRPr="00F21259">
              <w:rPr>
                <w:sz w:val="18"/>
                <w:szCs w:val="18"/>
                <w:lang w:val="en-US"/>
              </w:rPr>
              <w:tab/>
              <w:t>Links between 1 to 120 telephone channels or 2 to 8 Mbits/s</w:t>
            </w:r>
          </w:p>
          <w:p w:rsidR="005E414F" w:rsidRPr="00F21259" w:rsidRDefault="005E414F" w:rsidP="005E414F">
            <w:pPr>
              <w:pStyle w:val="Tabletext"/>
              <w:ind w:left="284" w:hanging="284"/>
              <w:rPr>
                <w:sz w:val="18"/>
                <w:szCs w:val="18"/>
                <w:lang w:val="en-US"/>
              </w:rPr>
            </w:pPr>
            <w:r w:rsidRPr="00F21259">
              <w:rPr>
                <w:sz w:val="18"/>
                <w:szCs w:val="18"/>
                <w:lang w:val="en-US"/>
              </w:rPr>
              <w:t>b2.</w:t>
            </w:r>
            <w:r w:rsidRPr="00F21259">
              <w:rPr>
                <w:sz w:val="18"/>
                <w:szCs w:val="18"/>
                <w:lang w:val="en-US"/>
              </w:rPr>
              <w:tab/>
              <w:t>Links between 121 to 600 telephone channels or 8 to 34 Mbits/s</w:t>
            </w:r>
          </w:p>
          <w:p w:rsidR="005E414F" w:rsidRPr="00F21259" w:rsidRDefault="005E414F" w:rsidP="005E414F">
            <w:pPr>
              <w:pStyle w:val="Tabletext"/>
              <w:ind w:left="284" w:hanging="284"/>
              <w:rPr>
                <w:sz w:val="18"/>
                <w:szCs w:val="18"/>
                <w:lang w:val="en-US"/>
              </w:rPr>
            </w:pPr>
            <w:r w:rsidRPr="00F21259">
              <w:rPr>
                <w:sz w:val="18"/>
                <w:szCs w:val="18"/>
                <w:lang w:val="en-US"/>
              </w:rPr>
              <w:t>b3.</w:t>
            </w:r>
            <w:r w:rsidRPr="00F21259">
              <w:rPr>
                <w:sz w:val="18"/>
                <w:szCs w:val="18"/>
                <w:lang w:val="en-US"/>
              </w:rPr>
              <w:tab/>
              <w:t>Links between 601 to 1200 telephone channels or 34 to 70 Mbits/s</w:t>
            </w:r>
          </w:p>
          <w:p w:rsidR="005E414F" w:rsidRPr="00F21259" w:rsidRDefault="005E414F" w:rsidP="005E414F">
            <w:pPr>
              <w:pStyle w:val="Tabletext"/>
              <w:ind w:left="284" w:hanging="284"/>
              <w:rPr>
                <w:sz w:val="18"/>
                <w:szCs w:val="18"/>
                <w:lang w:val="en-US"/>
              </w:rPr>
            </w:pPr>
            <w:r w:rsidRPr="00F21259">
              <w:rPr>
                <w:sz w:val="18"/>
                <w:szCs w:val="18"/>
                <w:lang w:val="en-US"/>
              </w:rPr>
              <w:t>b4.</w:t>
            </w:r>
            <w:r w:rsidRPr="00F21259">
              <w:rPr>
                <w:sz w:val="18"/>
                <w:szCs w:val="18"/>
                <w:lang w:val="en-US"/>
              </w:rPr>
              <w:tab/>
              <w:t>Links above 1200 telephone channels or more than 70 Mbits/s</w:t>
            </w:r>
          </w:p>
        </w:tc>
        <w:tc>
          <w:tcPr>
            <w:tcW w:w="1204" w:type="dxa"/>
          </w:tcPr>
          <w:p w:rsidR="005E414F" w:rsidRPr="00F21259" w:rsidRDefault="005E414F" w:rsidP="000F2BA7">
            <w:pPr>
              <w:pStyle w:val="Tabletext"/>
              <w:rPr>
                <w:sz w:val="18"/>
                <w:szCs w:val="18"/>
                <w:lang w:val="en-US"/>
              </w:rPr>
            </w:pPr>
          </w:p>
        </w:tc>
        <w:tc>
          <w:tcPr>
            <w:tcW w:w="1560" w:type="dxa"/>
          </w:tcPr>
          <w:p w:rsidR="005E414F" w:rsidRPr="00F21259" w:rsidRDefault="005E414F" w:rsidP="000F2BA7">
            <w:pPr>
              <w:pStyle w:val="Tabletext"/>
              <w:rPr>
                <w:sz w:val="18"/>
                <w:szCs w:val="18"/>
                <w:lang w:val="en-US"/>
              </w:rPr>
            </w:pPr>
          </w:p>
        </w:tc>
        <w:tc>
          <w:tcPr>
            <w:tcW w:w="1559" w:type="dxa"/>
          </w:tcPr>
          <w:p w:rsidR="005E414F" w:rsidRPr="00F21259" w:rsidRDefault="005E414F" w:rsidP="000F2BA7">
            <w:pPr>
              <w:pStyle w:val="Tabletext"/>
              <w:rPr>
                <w:sz w:val="18"/>
                <w:szCs w:val="18"/>
                <w:lang w:val="en-US"/>
              </w:rPr>
            </w:pPr>
          </w:p>
        </w:tc>
        <w:tc>
          <w:tcPr>
            <w:tcW w:w="1417" w:type="dxa"/>
          </w:tcPr>
          <w:p w:rsidR="005E414F" w:rsidRPr="00F21259" w:rsidRDefault="005E414F" w:rsidP="005E414F">
            <w:pPr>
              <w:pStyle w:val="Tabletext"/>
              <w:rPr>
                <w:sz w:val="18"/>
                <w:szCs w:val="18"/>
                <w:lang w:val="en-US"/>
              </w:rPr>
            </w:pPr>
            <w:r>
              <w:rPr>
                <w:sz w:val="18"/>
                <w:szCs w:val="18"/>
                <w:lang w:val="en-US"/>
              </w:rPr>
              <w:br/>
            </w:r>
            <w:r w:rsidRPr="00F21259">
              <w:rPr>
                <w:sz w:val="18"/>
                <w:szCs w:val="18"/>
                <w:lang w:val="en-US"/>
              </w:rPr>
              <w:t>5 800 000</w:t>
            </w:r>
          </w:p>
          <w:p w:rsidR="005E414F" w:rsidRPr="00F21259" w:rsidRDefault="005E414F" w:rsidP="005E414F">
            <w:pPr>
              <w:pStyle w:val="Tabletext"/>
              <w:rPr>
                <w:sz w:val="18"/>
                <w:szCs w:val="18"/>
                <w:lang w:val="en-US"/>
              </w:rPr>
            </w:pPr>
            <w:r>
              <w:rPr>
                <w:sz w:val="18"/>
                <w:szCs w:val="18"/>
                <w:lang w:val="en-US"/>
              </w:rPr>
              <w:br/>
            </w:r>
            <w:r w:rsidRPr="00F21259">
              <w:rPr>
                <w:sz w:val="18"/>
                <w:szCs w:val="18"/>
                <w:lang w:val="en-US"/>
              </w:rPr>
              <w:t>10 440 000</w:t>
            </w:r>
          </w:p>
          <w:p w:rsidR="005E414F" w:rsidRPr="00F21259" w:rsidRDefault="005E414F" w:rsidP="005E414F">
            <w:pPr>
              <w:pStyle w:val="Tabletext"/>
              <w:rPr>
                <w:sz w:val="18"/>
                <w:szCs w:val="18"/>
                <w:lang w:val="en-US"/>
              </w:rPr>
            </w:pPr>
            <w:r>
              <w:rPr>
                <w:sz w:val="18"/>
                <w:szCs w:val="18"/>
                <w:lang w:val="en-US"/>
              </w:rPr>
              <w:br/>
            </w:r>
            <w:r w:rsidRPr="00F21259">
              <w:rPr>
                <w:sz w:val="18"/>
                <w:szCs w:val="18"/>
                <w:lang w:val="en-US"/>
              </w:rPr>
              <w:t>14 500 000</w:t>
            </w:r>
          </w:p>
          <w:p w:rsidR="005E414F" w:rsidRPr="00F21259" w:rsidRDefault="005E414F" w:rsidP="005E414F">
            <w:pPr>
              <w:pStyle w:val="Tabletext"/>
              <w:rPr>
                <w:sz w:val="18"/>
                <w:szCs w:val="18"/>
                <w:lang w:val="en-US"/>
              </w:rPr>
            </w:pPr>
            <w:r>
              <w:rPr>
                <w:sz w:val="18"/>
                <w:szCs w:val="18"/>
                <w:lang w:val="en-US"/>
              </w:rPr>
              <w:br/>
            </w:r>
            <w:r w:rsidRPr="00F21259">
              <w:rPr>
                <w:sz w:val="18"/>
                <w:szCs w:val="18"/>
                <w:lang w:val="en-US"/>
              </w:rPr>
              <w:t>17 400 000</w:t>
            </w:r>
          </w:p>
        </w:tc>
      </w:tr>
      <w:tr w:rsidR="005E414F" w:rsidRPr="005E414F" w:rsidTr="000F2BA7">
        <w:trPr>
          <w:jc w:val="center"/>
        </w:trPr>
        <w:tc>
          <w:tcPr>
            <w:tcW w:w="3899" w:type="dxa"/>
          </w:tcPr>
          <w:p w:rsidR="005E414F" w:rsidRPr="00F21259" w:rsidRDefault="005E414F" w:rsidP="004204C1">
            <w:pPr>
              <w:pStyle w:val="Tabletext"/>
              <w:rPr>
                <w:sz w:val="18"/>
                <w:szCs w:val="18"/>
                <w:lang w:val="en-US"/>
              </w:rPr>
            </w:pPr>
            <w:r w:rsidRPr="00F21259">
              <w:rPr>
                <w:sz w:val="18"/>
                <w:szCs w:val="18"/>
                <w:lang w:val="en-US"/>
              </w:rPr>
              <w:t>II.2.</w:t>
            </w:r>
            <w:r w:rsidRPr="00F21259">
              <w:rPr>
                <w:sz w:val="18"/>
                <w:szCs w:val="18"/>
                <w:lang w:val="en-US"/>
              </w:rPr>
              <w:tab/>
              <w:t>Terrestrial earth stations linked to international public networks</w:t>
            </w:r>
          </w:p>
        </w:tc>
        <w:tc>
          <w:tcPr>
            <w:tcW w:w="1204" w:type="dxa"/>
          </w:tcPr>
          <w:p w:rsidR="005E414F" w:rsidRPr="00F21259" w:rsidRDefault="005E414F" w:rsidP="000F2BA7">
            <w:pPr>
              <w:pStyle w:val="Tabletext"/>
              <w:rPr>
                <w:sz w:val="18"/>
                <w:szCs w:val="18"/>
                <w:lang w:val="en-US"/>
              </w:rPr>
            </w:pPr>
            <w:r w:rsidRPr="00F21259">
              <w:rPr>
                <w:sz w:val="18"/>
                <w:szCs w:val="18"/>
                <w:lang w:val="en-US"/>
              </w:rPr>
              <w:t>1 740 000</w:t>
            </w:r>
          </w:p>
        </w:tc>
        <w:tc>
          <w:tcPr>
            <w:tcW w:w="1560" w:type="dxa"/>
          </w:tcPr>
          <w:p w:rsidR="005E414F" w:rsidRPr="00F21259" w:rsidRDefault="005E414F" w:rsidP="000F2BA7">
            <w:pPr>
              <w:pStyle w:val="Tabletext"/>
              <w:rPr>
                <w:sz w:val="18"/>
                <w:szCs w:val="18"/>
                <w:lang w:val="en-US"/>
              </w:rPr>
            </w:pPr>
            <w:r w:rsidRPr="00F21259">
              <w:rPr>
                <w:sz w:val="18"/>
                <w:szCs w:val="18"/>
                <w:lang w:val="en-US"/>
              </w:rPr>
              <w:t>87 000</w:t>
            </w:r>
          </w:p>
        </w:tc>
        <w:tc>
          <w:tcPr>
            <w:tcW w:w="1559" w:type="dxa"/>
          </w:tcPr>
          <w:p w:rsidR="005E414F" w:rsidRPr="00F21259" w:rsidRDefault="005E414F" w:rsidP="000F2BA7">
            <w:pPr>
              <w:pStyle w:val="Tabletext"/>
              <w:rPr>
                <w:sz w:val="18"/>
                <w:szCs w:val="18"/>
                <w:lang w:val="en-US"/>
              </w:rPr>
            </w:pPr>
            <w:r w:rsidRPr="00F21259">
              <w:rPr>
                <w:sz w:val="18"/>
                <w:szCs w:val="18"/>
                <w:lang w:val="en-US"/>
              </w:rPr>
              <w:t>11 600 000</w:t>
            </w:r>
          </w:p>
        </w:tc>
        <w:tc>
          <w:tcPr>
            <w:tcW w:w="1417" w:type="dxa"/>
          </w:tcPr>
          <w:p w:rsidR="005E414F" w:rsidRPr="00F21259" w:rsidRDefault="005E414F" w:rsidP="005E414F">
            <w:pPr>
              <w:pStyle w:val="Tabletext"/>
              <w:rPr>
                <w:sz w:val="18"/>
                <w:szCs w:val="18"/>
                <w:lang w:val="en-US"/>
              </w:rPr>
            </w:pPr>
            <w:r w:rsidRPr="00F21259">
              <w:rPr>
                <w:sz w:val="18"/>
                <w:szCs w:val="18"/>
                <w:lang w:val="en-US"/>
              </w:rPr>
              <w:t>3 480 000</w:t>
            </w:r>
          </w:p>
          <w:p w:rsidR="005E414F" w:rsidRPr="00F21259" w:rsidRDefault="005E414F" w:rsidP="000F2BA7">
            <w:pPr>
              <w:pStyle w:val="Tabletext"/>
              <w:rPr>
                <w:sz w:val="18"/>
                <w:szCs w:val="18"/>
                <w:lang w:val="en-US"/>
              </w:rPr>
            </w:pPr>
          </w:p>
        </w:tc>
      </w:tr>
      <w:tr w:rsidR="005E414F" w:rsidRPr="005E414F" w:rsidTr="000F2BA7">
        <w:trPr>
          <w:jc w:val="center"/>
        </w:trPr>
        <w:tc>
          <w:tcPr>
            <w:tcW w:w="3899" w:type="dxa"/>
          </w:tcPr>
          <w:p w:rsidR="005E414F" w:rsidRPr="00F21259" w:rsidRDefault="005E414F" w:rsidP="004204C1">
            <w:pPr>
              <w:pStyle w:val="Tabletext"/>
              <w:rPr>
                <w:sz w:val="18"/>
                <w:szCs w:val="18"/>
                <w:lang w:val="en-US"/>
              </w:rPr>
            </w:pPr>
            <w:r w:rsidRPr="00F21259">
              <w:rPr>
                <w:sz w:val="18"/>
                <w:szCs w:val="18"/>
                <w:lang w:val="en-US"/>
              </w:rPr>
              <w:t>II.3.</w:t>
            </w:r>
            <w:r w:rsidRPr="00F21259">
              <w:rPr>
                <w:sz w:val="18"/>
                <w:szCs w:val="18"/>
                <w:lang w:val="en-US"/>
              </w:rPr>
              <w:tab/>
              <w:t>Terrestrial stations linked to international independent networks</w:t>
            </w:r>
          </w:p>
        </w:tc>
        <w:tc>
          <w:tcPr>
            <w:tcW w:w="1204" w:type="dxa"/>
          </w:tcPr>
          <w:p w:rsidR="005E414F" w:rsidRPr="00F21259" w:rsidRDefault="005E414F" w:rsidP="000F2BA7">
            <w:pPr>
              <w:pStyle w:val="Tabletext"/>
              <w:rPr>
                <w:sz w:val="18"/>
                <w:szCs w:val="18"/>
                <w:lang w:val="en-US"/>
              </w:rPr>
            </w:pPr>
            <w:r w:rsidRPr="00F21259">
              <w:rPr>
                <w:sz w:val="18"/>
                <w:szCs w:val="18"/>
                <w:lang w:val="en-US"/>
              </w:rPr>
              <w:t>870 000</w:t>
            </w:r>
          </w:p>
        </w:tc>
        <w:tc>
          <w:tcPr>
            <w:tcW w:w="1560" w:type="dxa"/>
          </w:tcPr>
          <w:p w:rsidR="005E414F" w:rsidRPr="00F21259" w:rsidRDefault="005E414F" w:rsidP="000F2BA7">
            <w:pPr>
              <w:pStyle w:val="Tabletext"/>
              <w:rPr>
                <w:sz w:val="18"/>
                <w:szCs w:val="18"/>
                <w:lang w:val="en-US"/>
              </w:rPr>
            </w:pPr>
            <w:r w:rsidRPr="00F21259">
              <w:rPr>
                <w:sz w:val="18"/>
                <w:szCs w:val="18"/>
                <w:lang w:val="en-US"/>
              </w:rPr>
              <w:t>34 800</w:t>
            </w:r>
          </w:p>
        </w:tc>
        <w:tc>
          <w:tcPr>
            <w:tcW w:w="1559" w:type="dxa"/>
          </w:tcPr>
          <w:p w:rsidR="005E414F" w:rsidRPr="00F21259" w:rsidRDefault="005E414F" w:rsidP="000F2BA7">
            <w:pPr>
              <w:pStyle w:val="Tabletext"/>
              <w:rPr>
                <w:sz w:val="18"/>
                <w:szCs w:val="18"/>
                <w:lang w:val="en-US"/>
              </w:rPr>
            </w:pPr>
            <w:r w:rsidRPr="00F21259">
              <w:rPr>
                <w:sz w:val="18"/>
                <w:szCs w:val="18"/>
                <w:lang w:val="en-US"/>
              </w:rPr>
              <w:t>5 800 000</w:t>
            </w:r>
          </w:p>
        </w:tc>
        <w:tc>
          <w:tcPr>
            <w:tcW w:w="1417" w:type="dxa"/>
          </w:tcPr>
          <w:p w:rsidR="005E414F" w:rsidRPr="00F21259" w:rsidRDefault="005E414F" w:rsidP="000F2BA7">
            <w:pPr>
              <w:pStyle w:val="Tabletext"/>
              <w:rPr>
                <w:sz w:val="18"/>
                <w:szCs w:val="18"/>
                <w:lang w:val="en-US"/>
              </w:rPr>
            </w:pPr>
            <w:r w:rsidRPr="00F21259">
              <w:rPr>
                <w:sz w:val="18"/>
                <w:szCs w:val="18"/>
                <w:lang w:val="en-US"/>
              </w:rPr>
              <w:t>1 740 000</w:t>
            </w:r>
          </w:p>
        </w:tc>
      </w:tr>
      <w:tr w:rsidR="005E414F" w:rsidRPr="005E414F" w:rsidTr="000F2BA7">
        <w:trPr>
          <w:jc w:val="center"/>
        </w:trPr>
        <w:tc>
          <w:tcPr>
            <w:tcW w:w="3899" w:type="dxa"/>
          </w:tcPr>
          <w:p w:rsidR="005E414F" w:rsidRPr="00F21259" w:rsidRDefault="005E414F" w:rsidP="004204C1">
            <w:pPr>
              <w:pStyle w:val="Tabletext"/>
              <w:rPr>
                <w:sz w:val="18"/>
                <w:szCs w:val="18"/>
                <w:lang w:val="en-US"/>
              </w:rPr>
            </w:pPr>
            <w:r w:rsidRPr="00F21259">
              <w:rPr>
                <w:sz w:val="18"/>
                <w:szCs w:val="18"/>
                <w:lang w:val="en-US"/>
              </w:rPr>
              <w:t>II.4.</w:t>
            </w:r>
            <w:r w:rsidRPr="00F21259">
              <w:rPr>
                <w:sz w:val="18"/>
                <w:szCs w:val="18"/>
                <w:lang w:val="en-US"/>
              </w:rPr>
              <w:tab/>
              <w:t>Community reception earth stations</w:t>
            </w:r>
          </w:p>
        </w:tc>
        <w:tc>
          <w:tcPr>
            <w:tcW w:w="1204" w:type="dxa"/>
          </w:tcPr>
          <w:p w:rsidR="005E414F" w:rsidRPr="00F21259" w:rsidRDefault="005E414F" w:rsidP="000F2BA7">
            <w:pPr>
              <w:pStyle w:val="Tabletext"/>
              <w:rPr>
                <w:sz w:val="18"/>
                <w:szCs w:val="18"/>
                <w:lang w:val="en-US"/>
              </w:rPr>
            </w:pPr>
            <w:r w:rsidRPr="00F21259">
              <w:rPr>
                <w:sz w:val="18"/>
                <w:szCs w:val="18"/>
                <w:lang w:val="en-US"/>
              </w:rPr>
              <w:t>580 000</w:t>
            </w:r>
          </w:p>
        </w:tc>
        <w:tc>
          <w:tcPr>
            <w:tcW w:w="1560" w:type="dxa"/>
          </w:tcPr>
          <w:p w:rsidR="005E414F" w:rsidRPr="00F21259" w:rsidRDefault="005E414F" w:rsidP="000F2BA7">
            <w:pPr>
              <w:pStyle w:val="Tabletext"/>
              <w:rPr>
                <w:sz w:val="18"/>
                <w:szCs w:val="18"/>
                <w:lang w:val="en-US"/>
              </w:rPr>
            </w:pPr>
            <w:r w:rsidRPr="00F21259">
              <w:rPr>
                <w:sz w:val="18"/>
                <w:szCs w:val="18"/>
                <w:lang w:val="en-US"/>
              </w:rPr>
              <w:t>34 800</w:t>
            </w:r>
          </w:p>
        </w:tc>
        <w:tc>
          <w:tcPr>
            <w:tcW w:w="1559" w:type="dxa"/>
          </w:tcPr>
          <w:p w:rsidR="005E414F" w:rsidRPr="00F21259" w:rsidRDefault="005E414F" w:rsidP="005E414F">
            <w:pPr>
              <w:pStyle w:val="Tabletext"/>
              <w:rPr>
                <w:sz w:val="18"/>
                <w:szCs w:val="18"/>
                <w:lang w:val="en-US"/>
              </w:rPr>
            </w:pPr>
            <w:r w:rsidRPr="00F21259">
              <w:rPr>
                <w:sz w:val="18"/>
                <w:szCs w:val="18"/>
                <w:lang w:val="en-US"/>
              </w:rPr>
              <w:t>29 900 000</w:t>
            </w:r>
          </w:p>
        </w:tc>
        <w:tc>
          <w:tcPr>
            <w:tcW w:w="1417" w:type="dxa"/>
          </w:tcPr>
          <w:p w:rsidR="005E414F" w:rsidRPr="00F21259" w:rsidRDefault="005E414F" w:rsidP="000F2BA7">
            <w:pPr>
              <w:pStyle w:val="Tabletext"/>
              <w:rPr>
                <w:sz w:val="18"/>
                <w:szCs w:val="18"/>
                <w:lang w:val="en-US"/>
              </w:rPr>
            </w:pPr>
            <w:r w:rsidRPr="00F21259">
              <w:rPr>
                <w:sz w:val="18"/>
                <w:szCs w:val="18"/>
                <w:lang w:val="en-US"/>
              </w:rPr>
              <w:t>580 000</w:t>
            </w:r>
          </w:p>
        </w:tc>
      </w:tr>
      <w:tr w:rsidR="00FB16F7" w:rsidRPr="00F21259" w:rsidTr="000F2BA7">
        <w:trPr>
          <w:jc w:val="center"/>
        </w:trPr>
        <w:tc>
          <w:tcPr>
            <w:tcW w:w="3899" w:type="dxa"/>
          </w:tcPr>
          <w:p w:rsidR="00FB16F7" w:rsidRPr="00F21259" w:rsidRDefault="00FB16F7" w:rsidP="000F2BA7">
            <w:pPr>
              <w:pStyle w:val="Tabletext"/>
              <w:rPr>
                <w:sz w:val="18"/>
                <w:szCs w:val="18"/>
                <w:lang w:val="en-US"/>
              </w:rPr>
            </w:pPr>
            <w:r w:rsidRPr="00F21259">
              <w:rPr>
                <w:sz w:val="18"/>
                <w:szCs w:val="18"/>
                <w:lang w:val="en-US"/>
              </w:rPr>
              <w:t>a1. Reception of less than 5 programmes</w:t>
            </w:r>
          </w:p>
          <w:p w:rsidR="00FB16F7" w:rsidRPr="00F21259" w:rsidRDefault="00FB16F7" w:rsidP="000F2BA7">
            <w:pPr>
              <w:pStyle w:val="Tabletext"/>
              <w:rPr>
                <w:sz w:val="18"/>
                <w:szCs w:val="18"/>
                <w:lang w:val="en-US"/>
              </w:rPr>
            </w:pPr>
            <w:r w:rsidRPr="00F21259">
              <w:rPr>
                <w:sz w:val="18"/>
                <w:szCs w:val="18"/>
                <w:lang w:val="en-US"/>
              </w:rPr>
              <w:t>a2. Reception of 5 to 10 programmes</w:t>
            </w:r>
          </w:p>
          <w:p w:rsidR="00FB16F7" w:rsidRPr="00F21259" w:rsidRDefault="00FB16F7" w:rsidP="000F2BA7">
            <w:pPr>
              <w:pStyle w:val="Tabletext"/>
              <w:rPr>
                <w:sz w:val="18"/>
                <w:szCs w:val="18"/>
                <w:lang w:val="en-US"/>
              </w:rPr>
            </w:pPr>
            <w:r w:rsidRPr="00F21259">
              <w:rPr>
                <w:sz w:val="18"/>
                <w:szCs w:val="18"/>
                <w:lang w:val="en-US"/>
              </w:rPr>
              <w:t>a3. Reception of more than 10 programmes</w:t>
            </w:r>
          </w:p>
        </w:tc>
        <w:tc>
          <w:tcPr>
            <w:tcW w:w="1204" w:type="dxa"/>
          </w:tcPr>
          <w:p w:rsidR="00FB16F7" w:rsidRPr="00F21259" w:rsidRDefault="00FB16F7" w:rsidP="000F2BA7">
            <w:pPr>
              <w:pStyle w:val="Tabletext"/>
              <w:rPr>
                <w:sz w:val="18"/>
                <w:szCs w:val="18"/>
                <w:lang w:val="en-US"/>
              </w:rPr>
            </w:pPr>
            <w:r w:rsidRPr="00F21259">
              <w:rPr>
                <w:sz w:val="18"/>
                <w:szCs w:val="18"/>
                <w:lang w:val="en-US"/>
              </w:rPr>
              <w:t>29 000</w:t>
            </w:r>
          </w:p>
          <w:p w:rsidR="00FB16F7" w:rsidRPr="00F21259" w:rsidRDefault="00FB16F7" w:rsidP="000F2BA7">
            <w:pPr>
              <w:pStyle w:val="Tabletext"/>
              <w:rPr>
                <w:sz w:val="18"/>
                <w:szCs w:val="18"/>
                <w:lang w:val="en-US"/>
              </w:rPr>
            </w:pPr>
            <w:r w:rsidRPr="00F21259">
              <w:rPr>
                <w:sz w:val="18"/>
                <w:szCs w:val="18"/>
                <w:lang w:val="en-US"/>
              </w:rPr>
              <w:t>58 000</w:t>
            </w:r>
          </w:p>
          <w:p w:rsidR="00FB16F7" w:rsidRPr="00F21259" w:rsidRDefault="00FB16F7" w:rsidP="000F2BA7">
            <w:pPr>
              <w:pStyle w:val="Tabletext"/>
              <w:rPr>
                <w:sz w:val="18"/>
                <w:szCs w:val="18"/>
                <w:lang w:val="en-US"/>
              </w:rPr>
            </w:pPr>
            <w:r w:rsidRPr="00F21259">
              <w:rPr>
                <w:sz w:val="18"/>
                <w:szCs w:val="18"/>
                <w:lang w:val="en-US"/>
              </w:rPr>
              <w:t>145 000</w:t>
            </w:r>
          </w:p>
        </w:tc>
        <w:tc>
          <w:tcPr>
            <w:tcW w:w="1560" w:type="dxa"/>
          </w:tcPr>
          <w:p w:rsidR="00FB16F7" w:rsidRPr="00F21259" w:rsidRDefault="00FB16F7" w:rsidP="000F2BA7">
            <w:pPr>
              <w:pStyle w:val="Tabletext"/>
              <w:rPr>
                <w:sz w:val="18"/>
                <w:szCs w:val="18"/>
                <w:lang w:val="en-US"/>
              </w:rPr>
            </w:pPr>
            <w:r w:rsidRPr="00F21259">
              <w:rPr>
                <w:sz w:val="18"/>
                <w:szCs w:val="18"/>
                <w:lang w:val="en-US"/>
              </w:rPr>
              <w:t>14 500</w:t>
            </w:r>
          </w:p>
          <w:p w:rsidR="00FB16F7" w:rsidRPr="00F21259" w:rsidRDefault="00FB16F7" w:rsidP="000F2BA7">
            <w:pPr>
              <w:pStyle w:val="Tabletext"/>
              <w:rPr>
                <w:sz w:val="18"/>
                <w:szCs w:val="18"/>
                <w:lang w:val="en-US"/>
              </w:rPr>
            </w:pPr>
            <w:r w:rsidRPr="00F21259">
              <w:rPr>
                <w:sz w:val="18"/>
                <w:szCs w:val="18"/>
                <w:lang w:val="en-US"/>
              </w:rPr>
              <w:t>29 000</w:t>
            </w:r>
          </w:p>
          <w:p w:rsidR="00FB16F7" w:rsidRPr="00F21259" w:rsidRDefault="00FB16F7" w:rsidP="000F2BA7">
            <w:pPr>
              <w:pStyle w:val="Tabletext"/>
              <w:rPr>
                <w:sz w:val="18"/>
                <w:szCs w:val="18"/>
                <w:lang w:val="en-US"/>
              </w:rPr>
            </w:pPr>
            <w:r w:rsidRPr="00F21259">
              <w:rPr>
                <w:sz w:val="18"/>
                <w:szCs w:val="18"/>
                <w:lang w:val="en-US"/>
              </w:rPr>
              <w:t>58 000</w:t>
            </w:r>
          </w:p>
        </w:tc>
        <w:tc>
          <w:tcPr>
            <w:tcW w:w="1559" w:type="dxa"/>
          </w:tcPr>
          <w:p w:rsidR="00FB16F7" w:rsidRPr="00F21259" w:rsidRDefault="00FB16F7" w:rsidP="000F2BA7">
            <w:pPr>
              <w:pStyle w:val="Tabletext"/>
              <w:rPr>
                <w:sz w:val="18"/>
                <w:szCs w:val="18"/>
                <w:lang w:val="en-US"/>
              </w:rPr>
            </w:pPr>
            <w:r w:rsidRPr="00F21259">
              <w:rPr>
                <w:sz w:val="18"/>
                <w:szCs w:val="18"/>
                <w:lang w:val="en-US"/>
              </w:rPr>
              <w:t>1 450 000</w:t>
            </w:r>
          </w:p>
          <w:p w:rsidR="00FB16F7" w:rsidRPr="00F21259" w:rsidRDefault="00FB16F7" w:rsidP="000F2BA7">
            <w:pPr>
              <w:pStyle w:val="Tabletext"/>
              <w:rPr>
                <w:sz w:val="18"/>
                <w:szCs w:val="18"/>
                <w:lang w:val="en-US"/>
              </w:rPr>
            </w:pPr>
            <w:r w:rsidRPr="00F21259">
              <w:rPr>
                <w:sz w:val="18"/>
                <w:szCs w:val="18"/>
                <w:lang w:val="en-US"/>
              </w:rPr>
              <w:t>5 800 000</w:t>
            </w:r>
          </w:p>
          <w:p w:rsidR="00FB16F7" w:rsidRPr="00F21259" w:rsidRDefault="00FB16F7" w:rsidP="000F2BA7">
            <w:pPr>
              <w:pStyle w:val="Tabletext"/>
              <w:rPr>
                <w:sz w:val="18"/>
                <w:szCs w:val="18"/>
                <w:lang w:val="en-US"/>
              </w:rPr>
            </w:pPr>
            <w:r w:rsidRPr="00F21259">
              <w:rPr>
                <w:sz w:val="18"/>
                <w:szCs w:val="18"/>
                <w:lang w:val="en-US"/>
              </w:rPr>
              <w:t>1 160 000</w:t>
            </w:r>
          </w:p>
        </w:tc>
        <w:tc>
          <w:tcPr>
            <w:tcW w:w="1417" w:type="dxa"/>
          </w:tcPr>
          <w:p w:rsidR="00FB16F7" w:rsidRPr="00F21259" w:rsidRDefault="00FB16F7" w:rsidP="000F2BA7">
            <w:pPr>
              <w:pStyle w:val="Tabletext"/>
              <w:rPr>
                <w:sz w:val="18"/>
                <w:szCs w:val="18"/>
                <w:lang w:val="en-US"/>
              </w:rPr>
            </w:pPr>
            <w:r w:rsidRPr="00F21259">
              <w:rPr>
                <w:sz w:val="18"/>
                <w:szCs w:val="18"/>
                <w:lang w:val="en-US"/>
              </w:rPr>
              <w:t>1 450 000</w:t>
            </w:r>
          </w:p>
          <w:p w:rsidR="00FB16F7" w:rsidRPr="00F21259" w:rsidRDefault="00FB16F7" w:rsidP="000F2BA7">
            <w:pPr>
              <w:pStyle w:val="Tabletext"/>
              <w:rPr>
                <w:sz w:val="18"/>
                <w:szCs w:val="18"/>
                <w:lang w:val="en-US"/>
              </w:rPr>
            </w:pPr>
            <w:r w:rsidRPr="00F21259">
              <w:rPr>
                <w:sz w:val="18"/>
                <w:szCs w:val="18"/>
                <w:lang w:val="en-US"/>
              </w:rPr>
              <w:t>5 800 000</w:t>
            </w:r>
          </w:p>
          <w:p w:rsidR="00FB16F7" w:rsidRPr="00F21259" w:rsidRDefault="00FB16F7" w:rsidP="000F2BA7">
            <w:pPr>
              <w:pStyle w:val="Tabletext"/>
              <w:rPr>
                <w:sz w:val="18"/>
                <w:szCs w:val="18"/>
                <w:lang w:val="en-US"/>
              </w:rPr>
            </w:pPr>
            <w:r w:rsidRPr="00F21259">
              <w:rPr>
                <w:sz w:val="18"/>
                <w:szCs w:val="18"/>
                <w:lang w:val="en-US"/>
              </w:rPr>
              <w:t>11 600 000</w:t>
            </w:r>
          </w:p>
        </w:tc>
      </w:tr>
    </w:tbl>
    <w:p w:rsidR="00FB16F7" w:rsidRPr="00BD6197" w:rsidRDefault="00FB16F7" w:rsidP="00FB16F7">
      <w:pPr>
        <w:pStyle w:val="Tablefin"/>
        <w:rPr>
          <w:lang w:val="en-US"/>
        </w:rPr>
      </w:pPr>
    </w:p>
    <w:p w:rsidR="00FB16F7" w:rsidRPr="00BD6197" w:rsidRDefault="00FB16F7" w:rsidP="00FB16F7">
      <w:pPr>
        <w:pStyle w:val="Heading1"/>
        <w:rPr>
          <w:lang w:val="en-US"/>
        </w:rPr>
      </w:pPr>
      <w:bookmarkStart w:id="2459" w:name="_Toc289868891"/>
      <w:bookmarkStart w:id="2460" w:name="_Toc289869050"/>
      <w:bookmarkStart w:id="2461" w:name="_Toc289932356"/>
      <w:bookmarkStart w:id="2462" w:name="_Toc289933404"/>
      <w:bookmarkStart w:id="2463" w:name="_Toc291852967"/>
      <w:bookmarkStart w:id="2464" w:name="_Toc392515951"/>
      <w:bookmarkStart w:id="2465" w:name="_Toc454285032"/>
      <w:bookmarkStart w:id="2466" w:name="_Toc462234196"/>
      <w:bookmarkStart w:id="2467" w:name="_Toc518394287"/>
      <w:r w:rsidRPr="00BD6197">
        <w:rPr>
          <w:lang w:val="en-US"/>
        </w:rPr>
        <w:t>C.</w:t>
      </w:r>
      <w:r w:rsidRPr="00BD6197">
        <w:rPr>
          <w:lang w:val="en-US"/>
        </w:rPr>
        <w:tab/>
        <w:t>TEMPORAL UTILIZATION OF RADIOELECTRIC STATIONS</w:t>
      </w:r>
      <w:bookmarkEnd w:id="2459"/>
      <w:bookmarkEnd w:id="2460"/>
      <w:bookmarkEnd w:id="2461"/>
      <w:bookmarkEnd w:id="2462"/>
      <w:bookmarkEnd w:id="2463"/>
      <w:bookmarkEnd w:id="2464"/>
      <w:bookmarkEnd w:id="2465"/>
      <w:bookmarkEnd w:id="2466"/>
      <w:bookmarkEnd w:id="2467"/>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1599"/>
        <w:gridCol w:w="1383"/>
        <w:gridCol w:w="1559"/>
        <w:gridCol w:w="1559"/>
      </w:tblGrid>
      <w:tr w:rsidR="00FB16F7" w:rsidRPr="00D17B5B" w:rsidTr="007B2832">
        <w:trPr>
          <w:jc w:val="center"/>
        </w:trPr>
        <w:tc>
          <w:tcPr>
            <w:tcW w:w="3539" w:type="dxa"/>
            <w:vAlign w:val="center"/>
          </w:tcPr>
          <w:p w:rsidR="00FB16F7" w:rsidRPr="00A21280" w:rsidRDefault="00FB16F7" w:rsidP="000F2BA7">
            <w:pPr>
              <w:pStyle w:val="Tablehead"/>
              <w:rPr>
                <w:sz w:val="20"/>
                <w:lang w:val="en-US"/>
              </w:rPr>
            </w:pPr>
            <w:r w:rsidRPr="00A21280">
              <w:rPr>
                <w:sz w:val="20"/>
                <w:lang w:val="en-US"/>
              </w:rPr>
              <w:t>NETWORKS OR STATIONS</w:t>
            </w:r>
          </w:p>
        </w:tc>
        <w:tc>
          <w:tcPr>
            <w:tcW w:w="1599" w:type="dxa"/>
            <w:vAlign w:val="center"/>
          </w:tcPr>
          <w:p w:rsidR="00FB16F7" w:rsidRPr="00A21280" w:rsidRDefault="00FB16F7" w:rsidP="000F2BA7">
            <w:pPr>
              <w:pStyle w:val="Tablehead"/>
              <w:rPr>
                <w:sz w:val="20"/>
                <w:lang w:val="en-US"/>
              </w:rPr>
            </w:pPr>
            <w:r w:rsidRPr="00A21280">
              <w:rPr>
                <w:sz w:val="20"/>
                <w:lang w:val="en-US"/>
              </w:rPr>
              <w:t>FEES FOR COMPILING FILES</w:t>
            </w:r>
          </w:p>
        </w:tc>
        <w:tc>
          <w:tcPr>
            <w:tcW w:w="1383" w:type="dxa"/>
            <w:vAlign w:val="center"/>
          </w:tcPr>
          <w:p w:rsidR="00FB16F7" w:rsidRPr="00A21280" w:rsidRDefault="00FB16F7" w:rsidP="000F2BA7">
            <w:pPr>
              <w:pStyle w:val="Tablehead"/>
              <w:rPr>
                <w:sz w:val="20"/>
                <w:lang w:val="en-US"/>
              </w:rPr>
            </w:pPr>
            <w:r w:rsidRPr="00A21280">
              <w:rPr>
                <w:sz w:val="20"/>
                <w:lang w:val="en-US"/>
              </w:rPr>
              <w:t>Control or visit tax</w:t>
            </w:r>
          </w:p>
        </w:tc>
        <w:tc>
          <w:tcPr>
            <w:tcW w:w="1559" w:type="dxa"/>
            <w:vAlign w:val="center"/>
          </w:tcPr>
          <w:p w:rsidR="00FB16F7" w:rsidRPr="00A21280" w:rsidRDefault="00FB16F7" w:rsidP="000F2BA7">
            <w:pPr>
              <w:pStyle w:val="Tablehead"/>
              <w:ind w:left="-57" w:right="-57"/>
              <w:rPr>
                <w:sz w:val="20"/>
                <w:lang w:val="en-US"/>
              </w:rPr>
            </w:pPr>
            <w:r w:rsidRPr="00A21280">
              <w:rPr>
                <w:sz w:val="20"/>
                <w:lang w:val="en-US"/>
              </w:rPr>
              <w:t xml:space="preserve">Contribution </w:t>
            </w:r>
            <w:r w:rsidRPr="00A21280">
              <w:rPr>
                <w:sz w:val="20"/>
                <w:lang w:val="en-US"/>
              </w:rPr>
              <w:br/>
              <w:t>for management costs</w:t>
            </w:r>
          </w:p>
        </w:tc>
        <w:tc>
          <w:tcPr>
            <w:tcW w:w="1559" w:type="dxa"/>
            <w:vAlign w:val="center"/>
          </w:tcPr>
          <w:p w:rsidR="00FB16F7" w:rsidRPr="00A21280" w:rsidRDefault="00FB16F7" w:rsidP="000F2BA7">
            <w:pPr>
              <w:pStyle w:val="Tablehead"/>
              <w:ind w:left="-57" w:right="-57"/>
              <w:rPr>
                <w:sz w:val="20"/>
                <w:lang w:val="en-US"/>
              </w:rPr>
            </w:pPr>
            <w:r w:rsidRPr="00A21280">
              <w:rPr>
                <w:sz w:val="20"/>
                <w:lang w:val="en-US"/>
              </w:rPr>
              <w:t xml:space="preserve">Charges for use of frequencies </w:t>
            </w:r>
            <w:r w:rsidRPr="00A21280">
              <w:rPr>
                <w:sz w:val="20"/>
                <w:lang w:val="en-US"/>
              </w:rPr>
              <w:br/>
              <w:t>or Radioelectric spectrum</w:t>
            </w:r>
          </w:p>
        </w:tc>
      </w:tr>
      <w:tr w:rsidR="009A52E1" w:rsidRPr="00DC27A7" w:rsidTr="007B2832">
        <w:trPr>
          <w:jc w:val="center"/>
        </w:trPr>
        <w:tc>
          <w:tcPr>
            <w:tcW w:w="3539" w:type="dxa"/>
          </w:tcPr>
          <w:p w:rsidR="009A52E1" w:rsidRPr="00A21280" w:rsidRDefault="009A52E1" w:rsidP="000F2BA7">
            <w:pPr>
              <w:pStyle w:val="Tabletext"/>
              <w:rPr>
                <w:sz w:val="20"/>
                <w:lang w:val="en-US"/>
              </w:rPr>
            </w:pPr>
            <w:r w:rsidRPr="00A21280">
              <w:rPr>
                <w:sz w:val="20"/>
                <w:lang w:val="en-US"/>
              </w:rPr>
              <w:t>Terrestrial services</w:t>
            </w:r>
          </w:p>
        </w:tc>
        <w:tc>
          <w:tcPr>
            <w:tcW w:w="1599" w:type="dxa"/>
          </w:tcPr>
          <w:p w:rsidR="009A52E1" w:rsidRPr="00A21280" w:rsidRDefault="009A52E1" w:rsidP="000F2BA7">
            <w:pPr>
              <w:pStyle w:val="Tabletext"/>
              <w:rPr>
                <w:sz w:val="20"/>
                <w:lang w:val="en-US"/>
              </w:rPr>
            </w:pPr>
          </w:p>
        </w:tc>
        <w:tc>
          <w:tcPr>
            <w:tcW w:w="1383" w:type="dxa"/>
          </w:tcPr>
          <w:p w:rsidR="009A52E1" w:rsidRPr="00A21280" w:rsidRDefault="009A52E1" w:rsidP="000F2BA7">
            <w:pPr>
              <w:pStyle w:val="Tabletext"/>
              <w:rPr>
                <w:sz w:val="20"/>
                <w:lang w:val="en-US"/>
              </w:rPr>
            </w:pPr>
          </w:p>
        </w:tc>
        <w:tc>
          <w:tcPr>
            <w:tcW w:w="1559" w:type="dxa"/>
          </w:tcPr>
          <w:p w:rsidR="009A52E1" w:rsidRPr="00A21280" w:rsidRDefault="009A52E1" w:rsidP="000F2BA7">
            <w:pPr>
              <w:pStyle w:val="Tabletext"/>
              <w:rPr>
                <w:sz w:val="20"/>
                <w:lang w:val="en-US"/>
              </w:rPr>
            </w:pPr>
          </w:p>
        </w:tc>
        <w:tc>
          <w:tcPr>
            <w:tcW w:w="1559" w:type="dxa"/>
          </w:tcPr>
          <w:p w:rsidR="009A52E1" w:rsidRPr="00A21280" w:rsidRDefault="009A52E1" w:rsidP="000F2BA7">
            <w:pPr>
              <w:pStyle w:val="Tabletext"/>
              <w:rPr>
                <w:sz w:val="20"/>
                <w:lang w:val="en-US"/>
              </w:rPr>
            </w:pPr>
          </w:p>
        </w:tc>
      </w:tr>
      <w:tr w:rsidR="00FB16F7" w:rsidRPr="00D17B5B" w:rsidTr="007B2832">
        <w:trPr>
          <w:jc w:val="center"/>
        </w:trPr>
        <w:tc>
          <w:tcPr>
            <w:tcW w:w="3539" w:type="dxa"/>
          </w:tcPr>
          <w:p w:rsidR="00FB16F7" w:rsidRPr="00A21280" w:rsidRDefault="00FB16F7" w:rsidP="000F2BA7">
            <w:pPr>
              <w:pStyle w:val="Tabletext"/>
              <w:rPr>
                <w:sz w:val="20"/>
                <w:lang w:val="en-US"/>
              </w:rPr>
            </w:pPr>
            <w:r w:rsidRPr="00A21280">
              <w:rPr>
                <w:sz w:val="20"/>
                <w:lang w:val="en-US"/>
              </w:rPr>
              <w:t>a1. Fixed station or base</w:t>
            </w:r>
          </w:p>
          <w:p w:rsidR="00FB16F7" w:rsidRPr="00A21280" w:rsidRDefault="00FB16F7" w:rsidP="000F2BA7">
            <w:pPr>
              <w:pStyle w:val="Tabletext"/>
              <w:rPr>
                <w:sz w:val="20"/>
                <w:lang w:val="en-US"/>
              </w:rPr>
            </w:pPr>
            <w:r w:rsidRPr="00A21280">
              <w:rPr>
                <w:sz w:val="20"/>
                <w:lang w:val="en-US"/>
              </w:rPr>
              <w:t>a2. Mobile station</w:t>
            </w:r>
          </w:p>
          <w:p w:rsidR="00FB16F7" w:rsidRPr="00A21280" w:rsidRDefault="00FB16F7" w:rsidP="000F2BA7">
            <w:pPr>
              <w:pStyle w:val="Tabletext"/>
              <w:rPr>
                <w:sz w:val="20"/>
                <w:lang w:val="en-US"/>
              </w:rPr>
            </w:pPr>
            <w:r w:rsidRPr="00A21280">
              <w:rPr>
                <w:sz w:val="20"/>
                <w:lang w:val="en-US"/>
              </w:rPr>
              <w:t>a3. Portable station</w:t>
            </w:r>
          </w:p>
          <w:p w:rsidR="00FB16F7" w:rsidRPr="00A21280" w:rsidRDefault="00FB16F7" w:rsidP="000F2BA7">
            <w:pPr>
              <w:pStyle w:val="Tabletext"/>
              <w:rPr>
                <w:sz w:val="20"/>
                <w:lang w:val="en-US"/>
              </w:rPr>
            </w:pPr>
          </w:p>
        </w:tc>
        <w:tc>
          <w:tcPr>
            <w:tcW w:w="1599" w:type="dxa"/>
          </w:tcPr>
          <w:p w:rsidR="00FB16F7" w:rsidRPr="00A21280" w:rsidRDefault="00FB16F7" w:rsidP="000F2BA7">
            <w:pPr>
              <w:pStyle w:val="Tabletext"/>
              <w:rPr>
                <w:sz w:val="20"/>
                <w:lang w:val="en-US"/>
              </w:rPr>
            </w:pPr>
            <w:r w:rsidRPr="00A21280">
              <w:rPr>
                <w:sz w:val="20"/>
                <w:lang w:val="en-US"/>
              </w:rPr>
              <w:t>Nothing</w:t>
            </w:r>
          </w:p>
          <w:p w:rsidR="00FB16F7" w:rsidRPr="00A21280" w:rsidRDefault="00FB16F7" w:rsidP="000F2BA7">
            <w:pPr>
              <w:pStyle w:val="Tabletext"/>
              <w:rPr>
                <w:sz w:val="20"/>
                <w:lang w:val="en-US"/>
              </w:rPr>
            </w:pPr>
            <w:r w:rsidRPr="00A21280">
              <w:rPr>
                <w:sz w:val="20"/>
                <w:lang w:val="en-US"/>
              </w:rPr>
              <w:t xml:space="preserve">Nothing </w:t>
            </w:r>
          </w:p>
          <w:p w:rsidR="00FB16F7" w:rsidRPr="00A21280" w:rsidRDefault="00FB16F7" w:rsidP="000F2BA7">
            <w:pPr>
              <w:pStyle w:val="Tabletext"/>
              <w:rPr>
                <w:sz w:val="20"/>
                <w:lang w:val="en-US"/>
              </w:rPr>
            </w:pPr>
            <w:r w:rsidRPr="00A21280">
              <w:rPr>
                <w:sz w:val="20"/>
                <w:lang w:val="en-US"/>
              </w:rPr>
              <w:t>Nothing</w:t>
            </w:r>
          </w:p>
          <w:p w:rsidR="00FB16F7" w:rsidRPr="00A21280" w:rsidRDefault="00FB16F7" w:rsidP="009A52E1">
            <w:pPr>
              <w:pStyle w:val="Tabletext"/>
              <w:rPr>
                <w:sz w:val="20"/>
                <w:lang w:val="en-US"/>
              </w:rPr>
            </w:pPr>
          </w:p>
        </w:tc>
        <w:tc>
          <w:tcPr>
            <w:tcW w:w="1383" w:type="dxa"/>
          </w:tcPr>
          <w:p w:rsidR="00FB16F7" w:rsidRPr="00A21280" w:rsidRDefault="00FB16F7" w:rsidP="000F2BA7">
            <w:pPr>
              <w:pStyle w:val="Tabletext"/>
              <w:rPr>
                <w:sz w:val="20"/>
                <w:lang w:val="en-US"/>
              </w:rPr>
            </w:pPr>
            <w:r w:rsidRPr="00A21280">
              <w:rPr>
                <w:sz w:val="20"/>
                <w:lang w:val="en-US"/>
              </w:rPr>
              <w:t>11 600</w:t>
            </w:r>
          </w:p>
          <w:p w:rsidR="00FB16F7" w:rsidRPr="00A21280" w:rsidRDefault="00FB16F7" w:rsidP="000F2BA7">
            <w:pPr>
              <w:pStyle w:val="Tabletext"/>
              <w:rPr>
                <w:sz w:val="20"/>
                <w:lang w:val="en-US"/>
              </w:rPr>
            </w:pPr>
            <w:r w:rsidRPr="00A21280">
              <w:rPr>
                <w:sz w:val="20"/>
                <w:lang w:val="en-US"/>
              </w:rPr>
              <w:t>8 700</w:t>
            </w:r>
          </w:p>
          <w:p w:rsidR="00FB16F7" w:rsidRPr="00A21280" w:rsidRDefault="00FB16F7" w:rsidP="000F2BA7">
            <w:pPr>
              <w:pStyle w:val="Tabletext"/>
              <w:rPr>
                <w:sz w:val="20"/>
                <w:lang w:val="en-US"/>
              </w:rPr>
            </w:pPr>
            <w:r w:rsidRPr="00A21280">
              <w:rPr>
                <w:sz w:val="20"/>
                <w:lang w:val="en-US"/>
              </w:rPr>
              <w:t>5 800</w:t>
            </w:r>
          </w:p>
          <w:p w:rsidR="00FB16F7" w:rsidRPr="00A21280" w:rsidRDefault="00FB16F7" w:rsidP="009A52E1">
            <w:pPr>
              <w:pStyle w:val="Tabletext"/>
              <w:rPr>
                <w:sz w:val="20"/>
                <w:lang w:val="en-US"/>
              </w:rPr>
            </w:pPr>
          </w:p>
        </w:tc>
        <w:tc>
          <w:tcPr>
            <w:tcW w:w="1559" w:type="dxa"/>
          </w:tcPr>
          <w:p w:rsidR="00FB16F7" w:rsidRPr="00A21280" w:rsidRDefault="00FB16F7" w:rsidP="000F2BA7">
            <w:pPr>
              <w:pStyle w:val="Tabletext"/>
              <w:rPr>
                <w:sz w:val="20"/>
                <w:lang w:val="en-US"/>
              </w:rPr>
            </w:pPr>
            <w:r w:rsidRPr="00A21280">
              <w:rPr>
                <w:sz w:val="20"/>
                <w:lang w:val="en-US"/>
              </w:rPr>
              <w:t>Calculated for the whole month on the prorate of utilization</w:t>
            </w:r>
          </w:p>
        </w:tc>
        <w:tc>
          <w:tcPr>
            <w:tcW w:w="1559" w:type="dxa"/>
          </w:tcPr>
          <w:p w:rsidR="00FB16F7" w:rsidRPr="00A21280" w:rsidRDefault="00FB16F7" w:rsidP="000F2BA7">
            <w:pPr>
              <w:pStyle w:val="Tabletext"/>
              <w:rPr>
                <w:sz w:val="20"/>
                <w:lang w:val="en-US"/>
              </w:rPr>
            </w:pPr>
            <w:r w:rsidRPr="00A21280">
              <w:rPr>
                <w:sz w:val="20"/>
                <w:lang w:val="en-US"/>
              </w:rPr>
              <w:t>Calculated for the entire month on the prorate of utilization</w:t>
            </w:r>
          </w:p>
        </w:tc>
      </w:tr>
      <w:tr w:rsidR="009A52E1" w:rsidRPr="00DC27A7" w:rsidTr="007B2832">
        <w:trPr>
          <w:jc w:val="center"/>
        </w:trPr>
        <w:tc>
          <w:tcPr>
            <w:tcW w:w="3539" w:type="dxa"/>
          </w:tcPr>
          <w:p w:rsidR="009A52E1" w:rsidRPr="00A21280" w:rsidRDefault="009A52E1" w:rsidP="009A52E1">
            <w:pPr>
              <w:pStyle w:val="Tabletext"/>
              <w:rPr>
                <w:sz w:val="20"/>
                <w:lang w:val="en-US"/>
              </w:rPr>
            </w:pPr>
            <w:r w:rsidRPr="00A21280">
              <w:rPr>
                <w:sz w:val="20"/>
                <w:lang w:val="en-US"/>
              </w:rPr>
              <w:t>Spatial services</w:t>
            </w:r>
          </w:p>
        </w:tc>
        <w:tc>
          <w:tcPr>
            <w:tcW w:w="1599" w:type="dxa"/>
          </w:tcPr>
          <w:p w:rsidR="009A52E1" w:rsidRPr="00A21280" w:rsidRDefault="009A52E1" w:rsidP="000F2BA7">
            <w:pPr>
              <w:pStyle w:val="Tabletext"/>
              <w:rPr>
                <w:sz w:val="20"/>
                <w:lang w:val="en-US"/>
              </w:rPr>
            </w:pPr>
          </w:p>
        </w:tc>
        <w:tc>
          <w:tcPr>
            <w:tcW w:w="1383" w:type="dxa"/>
          </w:tcPr>
          <w:p w:rsidR="009A52E1" w:rsidRPr="00A21280" w:rsidRDefault="009A52E1" w:rsidP="009A52E1">
            <w:pPr>
              <w:pStyle w:val="Tabletext"/>
              <w:rPr>
                <w:sz w:val="20"/>
                <w:lang w:val="en-US"/>
              </w:rPr>
            </w:pPr>
          </w:p>
        </w:tc>
        <w:tc>
          <w:tcPr>
            <w:tcW w:w="1559" w:type="dxa"/>
          </w:tcPr>
          <w:p w:rsidR="009A52E1" w:rsidRPr="00A21280" w:rsidRDefault="009A52E1" w:rsidP="000F2BA7">
            <w:pPr>
              <w:pStyle w:val="Tabletext"/>
              <w:rPr>
                <w:sz w:val="20"/>
                <w:lang w:val="en-US"/>
              </w:rPr>
            </w:pPr>
          </w:p>
        </w:tc>
        <w:tc>
          <w:tcPr>
            <w:tcW w:w="1559" w:type="dxa"/>
          </w:tcPr>
          <w:p w:rsidR="009A52E1" w:rsidRPr="00A21280" w:rsidRDefault="009A52E1" w:rsidP="000F2BA7">
            <w:pPr>
              <w:pStyle w:val="Tabletext"/>
              <w:rPr>
                <w:sz w:val="20"/>
                <w:lang w:val="en-US"/>
              </w:rPr>
            </w:pPr>
          </w:p>
        </w:tc>
      </w:tr>
      <w:tr w:rsidR="009A52E1" w:rsidRPr="00DC27A7" w:rsidTr="007B2832">
        <w:trPr>
          <w:jc w:val="center"/>
        </w:trPr>
        <w:tc>
          <w:tcPr>
            <w:tcW w:w="3539" w:type="dxa"/>
          </w:tcPr>
          <w:p w:rsidR="009A52E1" w:rsidRPr="00A21280" w:rsidRDefault="009A52E1" w:rsidP="009A52E1">
            <w:pPr>
              <w:pStyle w:val="Tabletext"/>
              <w:rPr>
                <w:sz w:val="20"/>
                <w:lang w:val="en-US"/>
              </w:rPr>
            </w:pPr>
            <w:r w:rsidRPr="00A21280">
              <w:rPr>
                <w:sz w:val="20"/>
                <w:lang w:val="en-US"/>
              </w:rPr>
              <w:t>a1. Aeronautic, coastal or earth station</w:t>
            </w:r>
          </w:p>
          <w:p w:rsidR="009A52E1" w:rsidRPr="00A21280" w:rsidRDefault="009A52E1" w:rsidP="009A52E1">
            <w:pPr>
              <w:pStyle w:val="Tabletext"/>
              <w:rPr>
                <w:sz w:val="20"/>
                <w:lang w:val="en-US"/>
              </w:rPr>
            </w:pPr>
            <w:r w:rsidRPr="00A21280">
              <w:rPr>
                <w:sz w:val="20"/>
                <w:lang w:val="en-US"/>
              </w:rPr>
              <w:t>a2. Mobile earth station</w:t>
            </w:r>
          </w:p>
          <w:p w:rsidR="009A52E1" w:rsidRPr="00A21280" w:rsidRDefault="009A52E1" w:rsidP="009A52E1">
            <w:pPr>
              <w:pStyle w:val="Tabletext"/>
              <w:rPr>
                <w:sz w:val="20"/>
                <w:lang w:val="en-US"/>
              </w:rPr>
            </w:pPr>
            <w:r w:rsidRPr="00A21280">
              <w:rPr>
                <w:sz w:val="20"/>
                <w:lang w:val="en-US"/>
              </w:rPr>
              <w:t>a3. Portable or mobile earth stations</w:t>
            </w:r>
          </w:p>
        </w:tc>
        <w:tc>
          <w:tcPr>
            <w:tcW w:w="1599" w:type="dxa"/>
          </w:tcPr>
          <w:p w:rsidR="009A52E1" w:rsidRPr="00A21280" w:rsidRDefault="009A52E1" w:rsidP="000F2BA7">
            <w:pPr>
              <w:pStyle w:val="Tabletext"/>
              <w:rPr>
                <w:sz w:val="20"/>
                <w:lang w:val="en-US"/>
              </w:rPr>
            </w:pPr>
            <w:r w:rsidRPr="00A21280">
              <w:rPr>
                <w:sz w:val="20"/>
                <w:lang w:val="en-US"/>
              </w:rPr>
              <w:t>Nothing, Nothing, Nothing</w:t>
            </w:r>
          </w:p>
        </w:tc>
        <w:tc>
          <w:tcPr>
            <w:tcW w:w="1383" w:type="dxa"/>
          </w:tcPr>
          <w:p w:rsidR="009A52E1" w:rsidRPr="00A21280" w:rsidRDefault="009A52E1" w:rsidP="009A52E1">
            <w:pPr>
              <w:pStyle w:val="Tabletext"/>
              <w:rPr>
                <w:sz w:val="20"/>
                <w:lang w:val="en-US"/>
              </w:rPr>
            </w:pPr>
            <w:r w:rsidRPr="00A21280">
              <w:rPr>
                <w:sz w:val="20"/>
                <w:lang w:val="en-US"/>
              </w:rPr>
              <w:t>29 000</w:t>
            </w:r>
          </w:p>
          <w:p w:rsidR="009A52E1" w:rsidRPr="00A21280" w:rsidRDefault="009A52E1" w:rsidP="009A52E1">
            <w:pPr>
              <w:pStyle w:val="Tabletext"/>
              <w:rPr>
                <w:sz w:val="20"/>
                <w:lang w:val="en-US"/>
              </w:rPr>
            </w:pPr>
            <w:r w:rsidRPr="00A21280">
              <w:rPr>
                <w:sz w:val="20"/>
                <w:lang w:val="en-US"/>
              </w:rPr>
              <w:t>17 400</w:t>
            </w:r>
          </w:p>
          <w:p w:rsidR="009A52E1" w:rsidRPr="00A21280" w:rsidRDefault="009A52E1" w:rsidP="009A52E1">
            <w:pPr>
              <w:pStyle w:val="Tabletext"/>
              <w:rPr>
                <w:sz w:val="20"/>
                <w:lang w:val="en-US"/>
              </w:rPr>
            </w:pPr>
            <w:r w:rsidRPr="00A21280">
              <w:rPr>
                <w:sz w:val="20"/>
                <w:lang w:val="en-US"/>
              </w:rPr>
              <w:t>11 600</w:t>
            </w:r>
          </w:p>
        </w:tc>
        <w:tc>
          <w:tcPr>
            <w:tcW w:w="1559" w:type="dxa"/>
          </w:tcPr>
          <w:p w:rsidR="009A52E1" w:rsidRPr="00A21280" w:rsidRDefault="009A52E1" w:rsidP="000F2BA7">
            <w:pPr>
              <w:pStyle w:val="Tabletext"/>
              <w:rPr>
                <w:sz w:val="20"/>
                <w:lang w:val="en-US"/>
              </w:rPr>
            </w:pPr>
          </w:p>
        </w:tc>
        <w:tc>
          <w:tcPr>
            <w:tcW w:w="1559" w:type="dxa"/>
          </w:tcPr>
          <w:p w:rsidR="009A52E1" w:rsidRPr="00A21280" w:rsidRDefault="009A52E1" w:rsidP="000F2BA7">
            <w:pPr>
              <w:pStyle w:val="Tabletext"/>
              <w:rPr>
                <w:sz w:val="20"/>
                <w:lang w:val="en-US"/>
              </w:rPr>
            </w:pPr>
          </w:p>
        </w:tc>
      </w:tr>
    </w:tbl>
    <w:p w:rsidR="00FB16F7" w:rsidRPr="00BD6197" w:rsidRDefault="00FB16F7" w:rsidP="00FB16F7">
      <w:pPr>
        <w:rPr>
          <w:lang w:val="en-US"/>
        </w:rPr>
      </w:pPr>
    </w:p>
    <w:p w:rsidR="00FB16F7" w:rsidRPr="00BD6197" w:rsidRDefault="00FB16F7" w:rsidP="00FB16F7">
      <w:pPr>
        <w:pStyle w:val="Heading1"/>
        <w:rPr>
          <w:lang w:val="en-US"/>
        </w:rPr>
      </w:pPr>
      <w:bookmarkStart w:id="2468" w:name="_Toc289868892"/>
      <w:bookmarkStart w:id="2469" w:name="_Toc289869051"/>
      <w:bookmarkStart w:id="2470" w:name="_Toc289932357"/>
      <w:bookmarkStart w:id="2471" w:name="_Toc289933405"/>
      <w:bookmarkStart w:id="2472" w:name="_Toc291852968"/>
      <w:bookmarkStart w:id="2473" w:name="_Toc392515952"/>
      <w:bookmarkStart w:id="2474" w:name="_Toc454285033"/>
      <w:bookmarkStart w:id="2475" w:name="_Toc462234197"/>
      <w:bookmarkStart w:id="2476" w:name="_Toc518394288"/>
      <w:r w:rsidRPr="00BD6197">
        <w:rPr>
          <w:lang w:val="en-US"/>
        </w:rPr>
        <w:t>D.</w:t>
      </w:r>
      <w:r w:rsidRPr="00BD6197">
        <w:rPr>
          <w:lang w:val="en-US"/>
        </w:rPr>
        <w:tab/>
        <w:t>OTHER FEES AND TAXES</w:t>
      </w:r>
      <w:bookmarkEnd w:id="2468"/>
      <w:bookmarkEnd w:id="2469"/>
      <w:bookmarkEnd w:id="2470"/>
      <w:bookmarkEnd w:id="2471"/>
      <w:bookmarkEnd w:id="2472"/>
      <w:bookmarkEnd w:id="2473"/>
      <w:bookmarkEnd w:id="2474"/>
      <w:bookmarkEnd w:id="2475"/>
      <w:bookmarkEnd w:id="2476"/>
    </w:p>
    <w:p w:rsidR="00FB16F7" w:rsidRPr="00BD6197" w:rsidRDefault="00FB16F7" w:rsidP="00FB16F7">
      <w:pPr>
        <w:pStyle w:val="Headingi"/>
        <w:rPr>
          <w:lang w:val="en-US"/>
        </w:rPr>
      </w:pPr>
      <w:bookmarkStart w:id="2477" w:name="_Toc289868893"/>
      <w:bookmarkStart w:id="2478" w:name="_Toc289869052"/>
      <w:bookmarkStart w:id="2479" w:name="_Toc289932358"/>
      <w:bookmarkStart w:id="2480" w:name="_Toc291852969"/>
      <w:bookmarkStart w:id="2481" w:name="_Toc392515953"/>
      <w:bookmarkStart w:id="2482" w:name="_Toc518394289"/>
      <w:r w:rsidRPr="00BD6197">
        <w:rPr>
          <w:lang w:val="en-US"/>
        </w:rPr>
        <w:t>I.</w:t>
      </w:r>
      <w:r w:rsidRPr="00BD6197">
        <w:rPr>
          <w:lang w:val="en-US"/>
        </w:rPr>
        <w:tab/>
        <w:t>SPECIAL EQUIPMENTS.</w:t>
      </w:r>
      <w:bookmarkEnd w:id="2477"/>
      <w:bookmarkEnd w:id="2478"/>
      <w:bookmarkEnd w:id="2479"/>
      <w:bookmarkEnd w:id="2480"/>
      <w:bookmarkEnd w:id="2481"/>
      <w:bookmarkEnd w:id="2482"/>
    </w:p>
    <w:p w:rsidR="00FB16F7" w:rsidRPr="00BD6197" w:rsidRDefault="00FB16F7" w:rsidP="00FB16F7">
      <w:pPr>
        <w:rPr>
          <w:lang w:val="en-US"/>
        </w:rPr>
      </w:pPr>
      <w:r w:rsidRPr="00BD6197">
        <w:rPr>
          <w:lang w:val="en-US"/>
        </w:rPr>
        <w:t>1.</w:t>
      </w:r>
      <w:r w:rsidRPr="00BD6197">
        <w:rPr>
          <w:lang w:val="en-US"/>
        </w:rPr>
        <w:tab/>
        <w:t>Transmitters and Receivers with low power or CB sets</w:t>
      </w:r>
    </w:p>
    <w:p w:rsidR="00FB16F7" w:rsidRPr="00BD6197" w:rsidRDefault="00FB16F7" w:rsidP="00FB16F7">
      <w:pPr>
        <w:pStyle w:val="enumlev1"/>
        <w:rPr>
          <w:lang w:val="en-US"/>
        </w:rPr>
      </w:pPr>
      <w:r w:rsidRPr="00BD6197">
        <w:rPr>
          <w:lang w:val="en-US"/>
        </w:rPr>
        <w:t>–</w:t>
      </w:r>
      <w:r w:rsidRPr="00BD6197">
        <w:rPr>
          <w:lang w:val="en-US"/>
        </w:rPr>
        <w:tab/>
        <w:t>Annual forfeitary charge</w:t>
      </w:r>
      <w:r w:rsidRPr="00BD6197">
        <w:rPr>
          <w:lang w:val="en-US"/>
        </w:rPr>
        <w:tab/>
      </w:r>
      <w:r w:rsidRPr="00BD6197">
        <w:rPr>
          <w:lang w:val="en-US"/>
        </w:rPr>
        <w:tab/>
      </w:r>
      <w:r w:rsidRPr="00BD6197">
        <w:rPr>
          <w:lang w:val="en-US"/>
        </w:rPr>
        <w:tab/>
      </w:r>
      <w:r w:rsidR="00AE3EE4">
        <w:rPr>
          <w:lang w:val="en-US"/>
        </w:rPr>
        <w:tab/>
      </w:r>
      <w:r w:rsidR="00AE3EE4">
        <w:rPr>
          <w:lang w:val="en-US"/>
        </w:rPr>
        <w:tab/>
      </w:r>
      <w:r w:rsidRPr="00BD6197">
        <w:rPr>
          <w:lang w:val="en-US"/>
        </w:rPr>
        <w:t>23 200 F</w:t>
      </w:r>
    </w:p>
    <w:p w:rsidR="00FB16F7" w:rsidRPr="00BD6197" w:rsidRDefault="00FB16F7" w:rsidP="00FB16F7">
      <w:pPr>
        <w:rPr>
          <w:lang w:val="en-US"/>
        </w:rPr>
      </w:pPr>
      <w:r w:rsidRPr="00BD6197">
        <w:rPr>
          <w:lang w:val="en-US"/>
        </w:rPr>
        <w:t>2.</w:t>
      </w:r>
      <w:r w:rsidRPr="00BD6197">
        <w:rPr>
          <w:lang w:val="en-US"/>
        </w:rPr>
        <w:tab/>
        <w:t>Installation of reduced command radio</w:t>
      </w:r>
    </w:p>
    <w:p w:rsidR="00FB16F7" w:rsidRPr="00BD6197" w:rsidRDefault="00FB16F7" w:rsidP="00FB16F7">
      <w:pPr>
        <w:pStyle w:val="enumlev1"/>
        <w:rPr>
          <w:lang w:val="en-US"/>
        </w:rPr>
      </w:pPr>
      <w:r w:rsidRPr="00BD6197">
        <w:rPr>
          <w:lang w:val="en-US"/>
        </w:rPr>
        <w:t>–</w:t>
      </w:r>
      <w:r w:rsidRPr="00BD6197">
        <w:rPr>
          <w:lang w:val="en-US"/>
        </w:rPr>
        <w:tab/>
        <w:t>Special tax for 5 years</w:t>
      </w:r>
      <w:r w:rsidRPr="00BD6197">
        <w:rPr>
          <w:lang w:val="en-US"/>
        </w:rPr>
        <w:tab/>
      </w:r>
      <w:r w:rsidRPr="00BD6197">
        <w:rPr>
          <w:lang w:val="en-US"/>
        </w:rPr>
        <w:tab/>
      </w:r>
      <w:r w:rsidRPr="00BD6197">
        <w:rPr>
          <w:lang w:val="en-US"/>
        </w:rPr>
        <w:tab/>
      </w:r>
      <w:r w:rsidR="00AE3EE4">
        <w:rPr>
          <w:lang w:val="en-US"/>
        </w:rPr>
        <w:tab/>
      </w:r>
      <w:r w:rsidR="00AE3EE4">
        <w:rPr>
          <w:lang w:val="en-US"/>
        </w:rPr>
        <w:tab/>
      </w:r>
      <w:r w:rsidRPr="00BD6197">
        <w:rPr>
          <w:lang w:val="en-US"/>
        </w:rPr>
        <w:t>23 200 F</w:t>
      </w:r>
    </w:p>
    <w:p w:rsidR="00FB16F7" w:rsidRPr="00BD6197" w:rsidRDefault="00FB16F7" w:rsidP="00FB16F7">
      <w:pPr>
        <w:pStyle w:val="Headingi"/>
        <w:rPr>
          <w:lang w:val="en-US"/>
        </w:rPr>
      </w:pPr>
      <w:bookmarkStart w:id="2483" w:name="_Toc289868894"/>
      <w:bookmarkStart w:id="2484" w:name="_Toc289869053"/>
      <w:bookmarkStart w:id="2485" w:name="_Toc289932359"/>
      <w:bookmarkStart w:id="2486" w:name="_Toc291852970"/>
      <w:bookmarkStart w:id="2487" w:name="_Toc392515954"/>
      <w:bookmarkStart w:id="2488" w:name="_Toc518394290"/>
      <w:r w:rsidRPr="00BD6197">
        <w:rPr>
          <w:lang w:val="en-US"/>
        </w:rPr>
        <w:t>II.</w:t>
      </w:r>
      <w:r w:rsidRPr="00BD6197">
        <w:rPr>
          <w:lang w:val="en-US"/>
        </w:rPr>
        <w:tab/>
        <w:t>LICENCE FEES/CERTIFICATE</w:t>
      </w:r>
      <w:bookmarkEnd w:id="2483"/>
      <w:bookmarkEnd w:id="2484"/>
      <w:bookmarkEnd w:id="2485"/>
      <w:bookmarkEnd w:id="2486"/>
      <w:bookmarkEnd w:id="2487"/>
      <w:bookmarkEnd w:id="2488"/>
    </w:p>
    <w:tbl>
      <w:tblPr>
        <w:tblW w:w="0" w:type="auto"/>
        <w:tblCellMar>
          <w:left w:w="0" w:type="dxa"/>
          <w:right w:w="0" w:type="dxa"/>
        </w:tblCellMar>
        <w:tblLook w:val="04A0" w:firstRow="1" w:lastRow="0" w:firstColumn="1" w:lastColumn="0" w:noHBand="0" w:noVBand="1"/>
      </w:tblPr>
      <w:tblGrid>
        <w:gridCol w:w="4253"/>
        <w:gridCol w:w="1984"/>
        <w:gridCol w:w="1843"/>
        <w:gridCol w:w="1559"/>
      </w:tblGrid>
      <w:tr w:rsidR="00FB16F7" w:rsidRPr="00AE3EE4" w:rsidTr="000F2BA7">
        <w:tc>
          <w:tcPr>
            <w:tcW w:w="4253" w:type="dxa"/>
          </w:tcPr>
          <w:p w:rsidR="00FB16F7" w:rsidRPr="00BD6197" w:rsidRDefault="00FB16F7" w:rsidP="000F2BA7">
            <w:pPr>
              <w:jc w:val="center"/>
              <w:rPr>
                <w:lang w:val="en-US"/>
              </w:rPr>
            </w:pPr>
          </w:p>
        </w:tc>
        <w:tc>
          <w:tcPr>
            <w:tcW w:w="1984" w:type="dxa"/>
          </w:tcPr>
          <w:p w:rsidR="00FB16F7" w:rsidRPr="00BD6197" w:rsidRDefault="00FB16F7" w:rsidP="000F2BA7">
            <w:pPr>
              <w:jc w:val="center"/>
              <w:rPr>
                <w:lang w:val="en-US"/>
              </w:rPr>
            </w:pPr>
            <w:r w:rsidRPr="00BD6197">
              <w:rPr>
                <w:lang w:val="en-US"/>
              </w:rPr>
              <w:t>Establishing</w:t>
            </w:r>
          </w:p>
        </w:tc>
        <w:tc>
          <w:tcPr>
            <w:tcW w:w="1843" w:type="dxa"/>
          </w:tcPr>
          <w:p w:rsidR="00FB16F7" w:rsidRPr="00BD6197" w:rsidRDefault="00FB16F7" w:rsidP="000F2BA7">
            <w:pPr>
              <w:jc w:val="center"/>
              <w:rPr>
                <w:lang w:val="en-US"/>
              </w:rPr>
            </w:pPr>
            <w:r w:rsidRPr="00BD6197">
              <w:rPr>
                <w:lang w:val="en-US"/>
              </w:rPr>
              <w:t>Renewal</w:t>
            </w:r>
          </w:p>
        </w:tc>
        <w:tc>
          <w:tcPr>
            <w:tcW w:w="1559" w:type="dxa"/>
          </w:tcPr>
          <w:p w:rsidR="00FB16F7" w:rsidRPr="00BD6197" w:rsidRDefault="00FB16F7" w:rsidP="000F2BA7">
            <w:pPr>
              <w:jc w:val="center"/>
              <w:rPr>
                <w:lang w:val="en-US"/>
              </w:rPr>
            </w:pPr>
            <w:r w:rsidRPr="00BD6197">
              <w:rPr>
                <w:lang w:val="en-US"/>
              </w:rPr>
              <w:t>Duplicata</w:t>
            </w:r>
          </w:p>
        </w:tc>
      </w:tr>
      <w:tr w:rsidR="00FB16F7" w:rsidRPr="00AE3EE4" w:rsidTr="000F2BA7">
        <w:tc>
          <w:tcPr>
            <w:tcW w:w="4253" w:type="dxa"/>
          </w:tcPr>
          <w:p w:rsidR="00FB16F7" w:rsidRPr="00BD6197" w:rsidRDefault="00FB16F7" w:rsidP="000F2BA7">
            <w:pPr>
              <w:rPr>
                <w:lang w:val="en-US"/>
              </w:rPr>
            </w:pPr>
            <w:r w:rsidRPr="00BD6197">
              <w:rPr>
                <w:lang w:val="en-US"/>
              </w:rPr>
              <w:lastRenderedPageBreak/>
              <w:t>1. Amateur station aeronautic or ship</w:t>
            </w:r>
          </w:p>
        </w:tc>
        <w:tc>
          <w:tcPr>
            <w:tcW w:w="1984" w:type="dxa"/>
          </w:tcPr>
          <w:p w:rsidR="00FB16F7" w:rsidRPr="00BD6197" w:rsidRDefault="00FB16F7" w:rsidP="000F2BA7">
            <w:pPr>
              <w:tabs>
                <w:tab w:val="clear" w:pos="794"/>
                <w:tab w:val="clear" w:pos="1191"/>
                <w:tab w:val="clear" w:pos="1588"/>
                <w:tab w:val="clear" w:pos="1985"/>
                <w:tab w:val="decimal" w:pos="850"/>
              </w:tabs>
              <w:rPr>
                <w:lang w:val="en-US"/>
              </w:rPr>
            </w:pPr>
            <w:r w:rsidRPr="00BD6197">
              <w:rPr>
                <w:lang w:val="en-US"/>
              </w:rPr>
              <w:t>5 800</w:t>
            </w:r>
          </w:p>
        </w:tc>
        <w:tc>
          <w:tcPr>
            <w:tcW w:w="1843" w:type="dxa"/>
          </w:tcPr>
          <w:p w:rsidR="00FB16F7" w:rsidRPr="00BD6197" w:rsidRDefault="00FB16F7" w:rsidP="000F2BA7">
            <w:pPr>
              <w:tabs>
                <w:tab w:val="clear" w:pos="794"/>
                <w:tab w:val="clear" w:pos="1191"/>
                <w:tab w:val="clear" w:pos="1588"/>
                <w:tab w:val="clear" w:pos="1985"/>
                <w:tab w:val="decimal" w:pos="851"/>
              </w:tabs>
              <w:rPr>
                <w:lang w:val="en-US"/>
              </w:rPr>
            </w:pPr>
            <w:r w:rsidRPr="00BD6197">
              <w:rPr>
                <w:lang w:val="en-US"/>
              </w:rPr>
              <w:t>5 800</w:t>
            </w:r>
          </w:p>
        </w:tc>
        <w:tc>
          <w:tcPr>
            <w:tcW w:w="1559" w:type="dxa"/>
          </w:tcPr>
          <w:p w:rsidR="00FB16F7" w:rsidRPr="00BD6197" w:rsidRDefault="00FB16F7" w:rsidP="000F2BA7">
            <w:pPr>
              <w:tabs>
                <w:tab w:val="clear" w:pos="794"/>
                <w:tab w:val="clear" w:pos="1191"/>
                <w:tab w:val="clear" w:pos="1588"/>
                <w:tab w:val="clear" w:pos="1985"/>
                <w:tab w:val="decimal" w:pos="709"/>
              </w:tabs>
              <w:rPr>
                <w:lang w:val="en-US"/>
              </w:rPr>
            </w:pPr>
            <w:r w:rsidRPr="00BD6197">
              <w:rPr>
                <w:lang w:val="en-US"/>
              </w:rPr>
              <w:t>11 600</w:t>
            </w:r>
          </w:p>
        </w:tc>
      </w:tr>
      <w:tr w:rsidR="00FB16F7" w:rsidRPr="00BD6197" w:rsidTr="000F2BA7">
        <w:tc>
          <w:tcPr>
            <w:tcW w:w="4253" w:type="dxa"/>
          </w:tcPr>
          <w:p w:rsidR="00FB16F7" w:rsidRPr="00BD6197" w:rsidRDefault="00FB16F7" w:rsidP="000F2BA7">
            <w:pPr>
              <w:rPr>
                <w:lang w:val="en-US"/>
              </w:rPr>
            </w:pPr>
            <w:r w:rsidRPr="00BD6197">
              <w:rPr>
                <w:lang w:val="en-US"/>
              </w:rPr>
              <w:t>2. Amateur Earth Station aeronautic/Ship</w:t>
            </w:r>
          </w:p>
        </w:tc>
        <w:tc>
          <w:tcPr>
            <w:tcW w:w="1984" w:type="dxa"/>
          </w:tcPr>
          <w:p w:rsidR="00FB16F7" w:rsidRPr="00BD6197" w:rsidRDefault="00FB16F7" w:rsidP="000F2BA7">
            <w:pPr>
              <w:tabs>
                <w:tab w:val="clear" w:pos="794"/>
                <w:tab w:val="clear" w:pos="1191"/>
                <w:tab w:val="clear" w:pos="1588"/>
                <w:tab w:val="clear" w:pos="1985"/>
                <w:tab w:val="decimal" w:pos="850"/>
              </w:tabs>
              <w:rPr>
                <w:lang w:val="en-US"/>
              </w:rPr>
            </w:pPr>
            <w:r w:rsidRPr="00BD6197">
              <w:rPr>
                <w:lang w:val="en-US"/>
              </w:rPr>
              <w:t>11 600</w:t>
            </w:r>
          </w:p>
        </w:tc>
        <w:tc>
          <w:tcPr>
            <w:tcW w:w="1843" w:type="dxa"/>
          </w:tcPr>
          <w:p w:rsidR="00FB16F7" w:rsidRPr="00BD6197" w:rsidRDefault="00FB16F7" w:rsidP="000F2BA7">
            <w:pPr>
              <w:tabs>
                <w:tab w:val="clear" w:pos="794"/>
                <w:tab w:val="clear" w:pos="1191"/>
                <w:tab w:val="clear" w:pos="1588"/>
                <w:tab w:val="clear" w:pos="1985"/>
                <w:tab w:val="decimal" w:pos="851"/>
              </w:tabs>
              <w:rPr>
                <w:lang w:val="en-US"/>
              </w:rPr>
            </w:pPr>
            <w:r w:rsidRPr="00BD6197">
              <w:rPr>
                <w:lang w:val="en-US"/>
              </w:rPr>
              <w:t>11 600</w:t>
            </w:r>
          </w:p>
        </w:tc>
        <w:tc>
          <w:tcPr>
            <w:tcW w:w="1559" w:type="dxa"/>
          </w:tcPr>
          <w:p w:rsidR="00FB16F7" w:rsidRPr="00BD6197" w:rsidRDefault="00FB16F7" w:rsidP="000F2BA7">
            <w:pPr>
              <w:tabs>
                <w:tab w:val="clear" w:pos="794"/>
                <w:tab w:val="clear" w:pos="1191"/>
                <w:tab w:val="clear" w:pos="1588"/>
                <w:tab w:val="clear" w:pos="1985"/>
                <w:tab w:val="decimal" w:pos="709"/>
              </w:tabs>
              <w:rPr>
                <w:lang w:val="en-US"/>
              </w:rPr>
            </w:pPr>
            <w:r w:rsidRPr="00BD6197">
              <w:rPr>
                <w:lang w:val="en-US"/>
              </w:rPr>
              <w:t>23 200</w:t>
            </w:r>
          </w:p>
        </w:tc>
      </w:tr>
      <w:tr w:rsidR="00FB16F7" w:rsidRPr="00BD6197" w:rsidTr="000F2BA7">
        <w:tc>
          <w:tcPr>
            <w:tcW w:w="4253" w:type="dxa"/>
          </w:tcPr>
          <w:p w:rsidR="00FB16F7" w:rsidRPr="00BD6197" w:rsidRDefault="00FB16F7" w:rsidP="000F2BA7">
            <w:pPr>
              <w:rPr>
                <w:lang w:val="en-US"/>
              </w:rPr>
            </w:pPr>
            <w:r w:rsidRPr="00BD6197">
              <w:rPr>
                <w:lang w:val="en-US"/>
              </w:rPr>
              <w:t>3. Operator’s certificate</w:t>
            </w:r>
          </w:p>
        </w:tc>
        <w:tc>
          <w:tcPr>
            <w:tcW w:w="1984" w:type="dxa"/>
          </w:tcPr>
          <w:p w:rsidR="00FB16F7" w:rsidRPr="00BD6197" w:rsidRDefault="00FB16F7" w:rsidP="000F2BA7">
            <w:pPr>
              <w:tabs>
                <w:tab w:val="clear" w:pos="794"/>
                <w:tab w:val="clear" w:pos="1191"/>
                <w:tab w:val="clear" w:pos="1588"/>
                <w:tab w:val="clear" w:pos="1985"/>
                <w:tab w:val="decimal" w:pos="850"/>
              </w:tabs>
              <w:rPr>
                <w:lang w:val="en-US"/>
              </w:rPr>
            </w:pPr>
            <w:r w:rsidRPr="00BD6197">
              <w:rPr>
                <w:lang w:val="en-US"/>
              </w:rPr>
              <w:t>5 800</w:t>
            </w:r>
          </w:p>
        </w:tc>
        <w:tc>
          <w:tcPr>
            <w:tcW w:w="1843" w:type="dxa"/>
          </w:tcPr>
          <w:p w:rsidR="00FB16F7" w:rsidRPr="00BD6197" w:rsidRDefault="00FB16F7" w:rsidP="000F2BA7">
            <w:pPr>
              <w:tabs>
                <w:tab w:val="clear" w:pos="794"/>
                <w:tab w:val="clear" w:pos="1191"/>
                <w:tab w:val="clear" w:pos="1588"/>
                <w:tab w:val="clear" w:pos="1985"/>
                <w:tab w:val="decimal" w:pos="851"/>
              </w:tabs>
              <w:rPr>
                <w:lang w:val="en-US"/>
              </w:rPr>
            </w:pPr>
            <w:r w:rsidRPr="00BD6197">
              <w:rPr>
                <w:lang w:val="en-US"/>
              </w:rPr>
              <w:t>–</w:t>
            </w:r>
          </w:p>
        </w:tc>
        <w:tc>
          <w:tcPr>
            <w:tcW w:w="1559" w:type="dxa"/>
          </w:tcPr>
          <w:p w:rsidR="00FB16F7" w:rsidRPr="00BD6197" w:rsidRDefault="00FB16F7" w:rsidP="000F2BA7">
            <w:pPr>
              <w:tabs>
                <w:tab w:val="clear" w:pos="794"/>
                <w:tab w:val="clear" w:pos="1191"/>
                <w:tab w:val="clear" w:pos="1588"/>
                <w:tab w:val="clear" w:pos="1985"/>
                <w:tab w:val="decimal" w:pos="709"/>
              </w:tabs>
              <w:rPr>
                <w:lang w:val="en-US"/>
              </w:rPr>
            </w:pPr>
            <w:r w:rsidRPr="00BD6197">
              <w:rPr>
                <w:lang w:val="en-US"/>
              </w:rPr>
              <w:t>11 600</w:t>
            </w:r>
          </w:p>
        </w:tc>
      </w:tr>
    </w:tbl>
    <w:p w:rsidR="00FB16F7" w:rsidRPr="00BD6197" w:rsidRDefault="00FB16F7" w:rsidP="00FB16F7">
      <w:pPr>
        <w:pStyle w:val="Headingi"/>
        <w:rPr>
          <w:lang w:val="en-US"/>
        </w:rPr>
      </w:pPr>
      <w:bookmarkStart w:id="2489" w:name="_Toc289868895"/>
      <w:bookmarkStart w:id="2490" w:name="_Toc289869054"/>
      <w:bookmarkStart w:id="2491" w:name="_Toc289932360"/>
      <w:bookmarkStart w:id="2492" w:name="_Toc291852971"/>
      <w:bookmarkStart w:id="2493" w:name="_Toc392515955"/>
      <w:bookmarkStart w:id="2494" w:name="_Toc518394291"/>
      <w:r w:rsidRPr="00BD6197">
        <w:rPr>
          <w:lang w:val="en-US"/>
        </w:rPr>
        <w:t>III.</w:t>
      </w:r>
      <w:r w:rsidRPr="00BD6197">
        <w:rPr>
          <w:lang w:val="en-US"/>
        </w:rPr>
        <w:tab/>
        <w:t>EXAM FEES FOR THE ISSUE OF OPERATOR’S CERTIFICATE</w:t>
      </w:r>
      <w:bookmarkEnd w:id="2489"/>
      <w:bookmarkEnd w:id="2490"/>
      <w:bookmarkEnd w:id="2491"/>
      <w:bookmarkEnd w:id="2492"/>
      <w:bookmarkEnd w:id="2493"/>
      <w:bookmarkEnd w:id="2494"/>
    </w:p>
    <w:p w:rsidR="00FB16F7" w:rsidRPr="00BD6197" w:rsidRDefault="00FB16F7" w:rsidP="00FB16F7">
      <w:pPr>
        <w:rPr>
          <w:lang w:val="en-US"/>
        </w:rPr>
      </w:pPr>
      <w:r w:rsidRPr="00BD6197">
        <w:rPr>
          <w:lang w:val="en-US"/>
        </w:rPr>
        <w:t>1. Radiotelegraphic operator for ship station</w:t>
      </w:r>
      <w:r w:rsidRPr="00BD6197">
        <w:rPr>
          <w:lang w:val="en-US"/>
        </w:rPr>
        <w:tab/>
      </w:r>
    </w:p>
    <w:p w:rsidR="00FB16F7" w:rsidRPr="00BD6197" w:rsidRDefault="00FB16F7" w:rsidP="00FB16F7">
      <w:pPr>
        <w:rPr>
          <w:lang w:val="en-US"/>
        </w:rPr>
      </w:pPr>
      <w:r w:rsidRPr="00BD6197">
        <w:rPr>
          <w:lang w:val="en-US"/>
        </w:rPr>
        <w:t>a. General certificate for radiocommunications operator</w:t>
      </w:r>
      <w:r w:rsidRPr="00BD6197">
        <w:rPr>
          <w:lang w:val="en-US"/>
        </w:rPr>
        <w:tab/>
      </w:r>
      <w:r w:rsidRPr="00BD6197">
        <w:rPr>
          <w:lang w:val="en-US"/>
        </w:rPr>
        <w:tab/>
        <w:t>58 000F</w:t>
      </w:r>
    </w:p>
    <w:p w:rsidR="00FB16F7" w:rsidRPr="00BD6197" w:rsidRDefault="00FB16F7" w:rsidP="00FB16F7">
      <w:pPr>
        <w:rPr>
          <w:lang w:val="en-US"/>
        </w:rPr>
      </w:pPr>
      <w:r w:rsidRPr="00BD6197">
        <w:rPr>
          <w:lang w:val="en-US"/>
        </w:rPr>
        <w:t>b. First class radiotelegraphic operator</w:t>
      </w:r>
      <w:r w:rsidRPr="00BD6197">
        <w:rPr>
          <w:lang w:val="en-US"/>
        </w:rPr>
        <w:tab/>
      </w:r>
      <w:r w:rsidRPr="00BD6197">
        <w:rPr>
          <w:lang w:val="en-US"/>
        </w:rPr>
        <w:tab/>
      </w:r>
      <w:r w:rsidRPr="00BD6197">
        <w:rPr>
          <w:lang w:val="en-US"/>
        </w:rPr>
        <w:tab/>
      </w:r>
      <w:r w:rsidRPr="00BD6197">
        <w:rPr>
          <w:lang w:val="en-US"/>
        </w:rPr>
        <w:tab/>
        <w:t>29 000F</w:t>
      </w:r>
    </w:p>
    <w:p w:rsidR="00FB16F7" w:rsidRPr="00BD6197" w:rsidRDefault="00FB16F7" w:rsidP="00FB16F7">
      <w:pPr>
        <w:rPr>
          <w:lang w:val="en-US"/>
        </w:rPr>
      </w:pPr>
      <w:r w:rsidRPr="00BD6197">
        <w:rPr>
          <w:lang w:val="en-US"/>
        </w:rPr>
        <w:t>c. Second class radiotelegraphic operator</w:t>
      </w:r>
      <w:r w:rsidRPr="00BD6197">
        <w:rPr>
          <w:lang w:val="en-US"/>
        </w:rPr>
        <w:tab/>
      </w:r>
      <w:r w:rsidRPr="00BD6197">
        <w:rPr>
          <w:lang w:val="en-US"/>
        </w:rPr>
        <w:tab/>
      </w:r>
      <w:r w:rsidRPr="00BD6197">
        <w:rPr>
          <w:lang w:val="en-US"/>
        </w:rPr>
        <w:tab/>
      </w:r>
      <w:r w:rsidRPr="00BD6197">
        <w:rPr>
          <w:lang w:val="en-US"/>
        </w:rPr>
        <w:tab/>
        <w:t>29 000F</w:t>
      </w:r>
    </w:p>
    <w:p w:rsidR="00FB16F7" w:rsidRPr="00BD6197" w:rsidRDefault="00FB16F7" w:rsidP="00FB16F7">
      <w:pPr>
        <w:rPr>
          <w:lang w:val="en-US"/>
        </w:rPr>
      </w:pPr>
      <w:r w:rsidRPr="00BD6197">
        <w:rPr>
          <w:lang w:val="en-US"/>
        </w:rPr>
        <w:t>d. Special radiotelegraphic operator certificate</w:t>
      </w:r>
      <w:r w:rsidRPr="00BD6197">
        <w:rPr>
          <w:lang w:val="en-US"/>
        </w:rPr>
        <w:tab/>
      </w:r>
      <w:r w:rsidRPr="00BD6197">
        <w:rPr>
          <w:lang w:val="en-US"/>
        </w:rPr>
        <w:tab/>
      </w:r>
      <w:r w:rsidRPr="00BD6197">
        <w:rPr>
          <w:lang w:val="en-US"/>
        </w:rPr>
        <w:tab/>
        <w:t>29 000F</w:t>
      </w:r>
    </w:p>
    <w:p w:rsidR="00FB16F7" w:rsidRPr="00BD6197" w:rsidRDefault="00FB16F7" w:rsidP="00FB16F7">
      <w:pPr>
        <w:rPr>
          <w:lang w:val="en-US"/>
        </w:rPr>
      </w:pPr>
      <w:r w:rsidRPr="00BD6197">
        <w:rPr>
          <w:lang w:val="en-US"/>
        </w:rPr>
        <w:t>2. Radiotelegraphist for aeronautic or ship stations</w:t>
      </w:r>
    </w:p>
    <w:p w:rsidR="00FB16F7" w:rsidRPr="00BD6197" w:rsidRDefault="00FB16F7" w:rsidP="00FB16F7">
      <w:pPr>
        <w:rPr>
          <w:lang w:val="en-US"/>
        </w:rPr>
      </w:pPr>
      <w:r w:rsidRPr="00BD6197">
        <w:rPr>
          <w:lang w:val="en-US"/>
        </w:rPr>
        <w:t>a. General certificate</w:t>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t>14 500F</w:t>
      </w:r>
    </w:p>
    <w:p w:rsidR="00FB16F7" w:rsidRPr="00BD6197" w:rsidRDefault="00FB16F7" w:rsidP="00FB16F7">
      <w:pPr>
        <w:rPr>
          <w:lang w:val="en-US"/>
        </w:rPr>
      </w:pPr>
      <w:r w:rsidRPr="00BD6197">
        <w:rPr>
          <w:lang w:val="en-US"/>
        </w:rPr>
        <w:t>b. Restricted certificate</w:t>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t>14 500F</w:t>
      </w:r>
    </w:p>
    <w:p w:rsidR="00FB16F7" w:rsidRPr="00BD6197" w:rsidRDefault="00FB16F7" w:rsidP="00FB16F7">
      <w:pPr>
        <w:rPr>
          <w:lang w:val="en-US"/>
        </w:rPr>
      </w:pPr>
      <w:r w:rsidRPr="00BD6197">
        <w:rPr>
          <w:lang w:val="en-US"/>
        </w:rPr>
        <w:t>3. Operator’s certificate for Radio amateur station</w:t>
      </w:r>
    </w:p>
    <w:p w:rsidR="00FB16F7" w:rsidRPr="00BD6197" w:rsidRDefault="00FB16F7" w:rsidP="00FB16F7">
      <w:pPr>
        <w:rPr>
          <w:lang w:val="en-US"/>
        </w:rPr>
      </w:pPr>
      <w:r w:rsidRPr="00BD6197">
        <w:rPr>
          <w:lang w:val="en-US"/>
        </w:rPr>
        <w:t>a. Radiotelegraphist</w:t>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t>14 500F</w:t>
      </w:r>
    </w:p>
    <w:p w:rsidR="00FB16F7" w:rsidRPr="00BD6197" w:rsidRDefault="00FB16F7" w:rsidP="00FB16F7">
      <w:pPr>
        <w:rPr>
          <w:lang w:val="en-US"/>
        </w:rPr>
      </w:pPr>
      <w:r w:rsidRPr="00BD6197">
        <w:rPr>
          <w:lang w:val="en-US"/>
        </w:rPr>
        <w:t>b. Radiotelephonic operator</w:t>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t>14 500F</w:t>
      </w:r>
    </w:p>
    <w:p w:rsidR="00FB16F7" w:rsidRPr="00BD6197" w:rsidRDefault="00FB16F7" w:rsidP="00FB16F7">
      <w:pPr>
        <w:pStyle w:val="Headingi"/>
        <w:rPr>
          <w:lang w:val="en-US"/>
        </w:rPr>
      </w:pPr>
      <w:bookmarkStart w:id="2495" w:name="_Toc289868896"/>
      <w:bookmarkStart w:id="2496" w:name="_Toc289869055"/>
      <w:bookmarkStart w:id="2497" w:name="_Toc289932361"/>
      <w:bookmarkStart w:id="2498" w:name="_Toc291852972"/>
      <w:bookmarkStart w:id="2499" w:name="_Toc392515956"/>
      <w:bookmarkStart w:id="2500" w:name="_Toc518394292"/>
      <w:r w:rsidRPr="00BD6197">
        <w:rPr>
          <w:lang w:val="en-US"/>
        </w:rPr>
        <w:t>IV.</w:t>
      </w:r>
      <w:r w:rsidRPr="00BD6197">
        <w:rPr>
          <w:lang w:val="en-US"/>
        </w:rPr>
        <w:tab/>
        <w:t>FEES FOR THE ISSUANCE OF AUTHORIZATIONS</w:t>
      </w:r>
      <w:bookmarkEnd w:id="2495"/>
      <w:bookmarkEnd w:id="2496"/>
      <w:bookmarkEnd w:id="2497"/>
      <w:bookmarkEnd w:id="2498"/>
      <w:bookmarkEnd w:id="2499"/>
      <w:bookmarkEnd w:id="2500"/>
    </w:p>
    <w:p w:rsidR="00FB16F7" w:rsidRPr="00BD6197" w:rsidRDefault="00FB16F7" w:rsidP="00FB16F7">
      <w:pPr>
        <w:rPr>
          <w:lang w:val="en-US"/>
        </w:rPr>
      </w:pP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t>Fees for compiling file    Authorization charge</w:t>
      </w:r>
    </w:p>
    <w:p w:rsidR="00FB16F7" w:rsidRPr="00A01420" w:rsidRDefault="00FB16F7" w:rsidP="00FB16F7">
      <w:pPr>
        <w:rPr>
          <w:lang w:val="de-CH"/>
        </w:rPr>
      </w:pPr>
      <w:r w:rsidRPr="00A01420">
        <w:rPr>
          <w:lang w:val="de-CH"/>
        </w:rPr>
        <w:t>1. Private installer</w:t>
      </w:r>
      <w:r w:rsidRPr="00A01420">
        <w:rPr>
          <w:lang w:val="de-CH"/>
        </w:rPr>
        <w:tab/>
      </w:r>
      <w:r w:rsidRPr="00A01420">
        <w:rPr>
          <w:lang w:val="de-CH"/>
        </w:rPr>
        <w:tab/>
      </w:r>
      <w:r w:rsidRPr="00A01420">
        <w:rPr>
          <w:lang w:val="de-CH"/>
        </w:rPr>
        <w:tab/>
      </w:r>
      <w:r w:rsidRPr="00A01420">
        <w:rPr>
          <w:lang w:val="de-CH"/>
        </w:rPr>
        <w:tab/>
      </w:r>
      <w:r w:rsidRPr="00A01420">
        <w:rPr>
          <w:lang w:val="de-CH"/>
        </w:rPr>
        <w:tab/>
        <w:t xml:space="preserve">58 000F </w:t>
      </w:r>
      <w:r w:rsidRPr="00A01420">
        <w:rPr>
          <w:lang w:val="de-CH"/>
        </w:rPr>
        <w:tab/>
      </w:r>
      <w:r w:rsidRPr="00A01420">
        <w:rPr>
          <w:lang w:val="de-CH"/>
        </w:rPr>
        <w:tab/>
        <w:t>348 000F</w:t>
      </w:r>
    </w:p>
    <w:p w:rsidR="00FB16F7" w:rsidRPr="00A01420" w:rsidRDefault="00FB16F7" w:rsidP="00FB16F7">
      <w:pPr>
        <w:rPr>
          <w:lang w:val="de-CH"/>
        </w:rPr>
      </w:pPr>
      <w:r w:rsidRPr="00A01420">
        <w:rPr>
          <w:lang w:val="de-CH"/>
        </w:rPr>
        <w:t>2. Reseller</w:t>
      </w:r>
      <w:r w:rsidRPr="00A01420">
        <w:rPr>
          <w:lang w:val="de-CH"/>
        </w:rPr>
        <w:tab/>
      </w:r>
      <w:r w:rsidRPr="00A01420">
        <w:rPr>
          <w:lang w:val="de-CH"/>
        </w:rPr>
        <w:tab/>
      </w:r>
      <w:r w:rsidRPr="00A01420">
        <w:rPr>
          <w:lang w:val="de-CH"/>
        </w:rPr>
        <w:tab/>
      </w:r>
      <w:r w:rsidRPr="00A01420">
        <w:rPr>
          <w:lang w:val="de-CH"/>
        </w:rPr>
        <w:tab/>
      </w:r>
      <w:r w:rsidRPr="00A01420">
        <w:rPr>
          <w:lang w:val="de-CH"/>
        </w:rPr>
        <w:tab/>
      </w:r>
      <w:r w:rsidRPr="00A01420">
        <w:rPr>
          <w:lang w:val="de-CH"/>
        </w:rPr>
        <w:tab/>
      </w:r>
      <w:r w:rsidRPr="00A01420">
        <w:rPr>
          <w:lang w:val="de-CH"/>
        </w:rPr>
        <w:tab/>
        <w:t>58 000F</w:t>
      </w:r>
      <w:r w:rsidRPr="00A01420">
        <w:rPr>
          <w:lang w:val="de-CH"/>
        </w:rPr>
        <w:tab/>
      </w:r>
      <w:r w:rsidRPr="00A01420">
        <w:rPr>
          <w:lang w:val="de-CH"/>
        </w:rPr>
        <w:tab/>
        <w:t>145 000F</w:t>
      </w:r>
    </w:p>
    <w:p w:rsidR="00FB16F7" w:rsidRPr="00BD6197" w:rsidRDefault="00FB16F7" w:rsidP="00FB16F7">
      <w:pPr>
        <w:rPr>
          <w:lang w:val="en-US"/>
        </w:rPr>
      </w:pPr>
      <w:r w:rsidRPr="00BD6197">
        <w:rPr>
          <w:lang w:val="en-US"/>
        </w:rPr>
        <w:t>3. Simple Terminal Equipment</w:t>
      </w:r>
      <w:r w:rsidRPr="00BD6197">
        <w:rPr>
          <w:lang w:val="en-US"/>
        </w:rPr>
        <w:tab/>
      </w:r>
      <w:r w:rsidRPr="00BD6197">
        <w:rPr>
          <w:lang w:val="en-US"/>
        </w:rPr>
        <w:tab/>
        <w:t xml:space="preserve">  5 800F</w:t>
      </w:r>
      <w:r w:rsidRPr="00BD6197">
        <w:rPr>
          <w:lang w:val="en-US"/>
        </w:rPr>
        <w:tab/>
      </w:r>
      <w:r w:rsidRPr="00BD6197">
        <w:rPr>
          <w:lang w:val="en-US"/>
        </w:rPr>
        <w:tab/>
        <w:t xml:space="preserve">  58 000F</w:t>
      </w:r>
    </w:p>
    <w:p w:rsidR="00FB16F7" w:rsidRPr="00BD6197" w:rsidRDefault="00FB16F7" w:rsidP="00FB16F7">
      <w:pPr>
        <w:rPr>
          <w:lang w:val="en-US"/>
        </w:rPr>
      </w:pPr>
      <w:r w:rsidRPr="00BD6197">
        <w:rPr>
          <w:lang w:val="en-US"/>
        </w:rPr>
        <w:t>4. Complex Terminal Equipment</w:t>
      </w:r>
      <w:r w:rsidRPr="00BD6197">
        <w:rPr>
          <w:lang w:val="en-US"/>
        </w:rPr>
        <w:tab/>
      </w:r>
      <w:r w:rsidRPr="00BD6197">
        <w:rPr>
          <w:lang w:val="en-US"/>
        </w:rPr>
        <w:tab/>
        <w:t>11 600F</w:t>
      </w:r>
      <w:r w:rsidRPr="00BD6197">
        <w:rPr>
          <w:lang w:val="en-US"/>
        </w:rPr>
        <w:tab/>
      </w:r>
      <w:r w:rsidRPr="00BD6197">
        <w:rPr>
          <w:lang w:val="en-US"/>
        </w:rPr>
        <w:tab/>
        <w:t>116 000F</w:t>
      </w:r>
    </w:p>
    <w:p w:rsidR="00FB16F7" w:rsidRPr="00BD6197" w:rsidRDefault="00FB16F7" w:rsidP="00FB16F7">
      <w:pPr>
        <w:pStyle w:val="Headingi"/>
        <w:rPr>
          <w:lang w:val="en-US"/>
        </w:rPr>
      </w:pPr>
      <w:bookmarkStart w:id="2501" w:name="_Toc289868897"/>
      <w:bookmarkStart w:id="2502" w:name="_Toc289869056"/>
      <w:bookmarkStart w:id="2503" w:name="_Toc289932362"/>
      <w:bookmarkStart w:id="2504" w:name="_Toc291852973"/>
      <w:bookmarkStart w:id="2505" w:name="_Toc392515957"/>
      <w:bookmarkStart w:id="2506" w:name="_Toc518394293"/>
      <w:r w:rsidRPr="00BD6197">
        <w:rPr>
          <w:lang w:val="en-US"/>
        </w:rPr>
        <w:t>V.</w:t>
      </w:r>
      <w:r w:rsidRPr="00BD6197">
        <w:rPr>
          <w:lang w:val="en-US"/>
        </w:rPr>
        <w:tab/>
        <w:t>TAX FOR INTERVENING IN THE NETWORKS</w:t>
      </w:r>
      <w:bookmarkEnd w:id="2501"/>
      <w:bookmarkEnd w:id="2502"/>
      <w:bookmarkEnd w:id="2503"/>
      <w:bookmarkEnd w:id="2504"/>
      <w:bookmarkEnd w:id="2505"/>
      <w:bookmarkEnd w:id="2506"/>
    </w:p>
    <w:p w:rsidR="00FB16F7" w:rsidRPr="00BD6197" w:rsidRDefault="00FB16F7" w:rsidP="00FB16F7">
      <w:pPr>
        <w:rPr>
          <w:lang w:val="en-US"/>
        </w:rPr>
      </w:pPr>
      <w:r w:rsidRPr="00BD6197">
        <w:rPr>
          <w:lang w:val="en-US"/>
        </w:rPr>
        <w:t>1. Interference</w:t>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t>116 000F</w:t>
      </w:r>
    </w:p>
    <w:p w:rsidR="00FB16F7" w:rsidRPr="00BD6197" w:rsidRDefault="00FB16F7" w:rsidP="00FB16F7">
      <w:pPr>
        <w:rPr>
          <w:lang w:val="en-US"/>
        </w:rPr>
      </w:pPr>
      <w:r w:rsidRPr="00BD6197">
        <w:rPr>
          <w:lang w:val="en-US"/>
        </w:rPr>
        <w:t xml:space="preserve">2. Non conformity of installations </w:t>
      </w:r>
      <w:r w:rsidRPr="00BD6197">
        <w:rPr>
          <w:lang w:val="en-US"/>
        </w:rPr>
        <w:tab/>
      </w:r>
      <w:r w:rsidRPr="00BD6197">
        <w:rPr>
          <w:lang w:val="en-US"/>
        </w:rPr>
        <w:tab/>
      </w:r>
      <w:r w:rsidRPr="00BD6197">
        <w:rPr>
          <w:lang w:val="en-US"/>
        </w:rPr>
        <w:tab/>
      </w:r>
      <w:r w:rsidRPr="00BD6197">
        <w:rPr>
          <w:lang w:val="en-US"/>
        </w:rPr>
        <w:tab/>
      </w:r>
      <w:r w:rsidRPr="00BD6197">
        <w:rPr>
          <w:lang w:val="en-US"/>
        </w:rPr>
        <w:tab/>
        <w:t>145 000F</w:t>
      </w:r>
    </w:p>
    <w:p w:rsidR="00FB16F7" w:rsidRPr="00BD6197" w:rsidRDefault="00FB16F7" w:rsidP="00FB16F7">
      <w:pPr>
        <w:rPr>
          <w:lang w:val="en-US"/>
        </w:rPr>
      </w:pPr>
      <w:r w:rsidRPr="00BD6197">
        <w:rPr>
          <w:lang w:val="en-US"/>
        </w:rPr>
        <w:t>3. Miscellaneous</w:t>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t xml:space="preserve">  58 000F</w:t>
      </w:r>
    </w:p>
    <w:p w:rsidR="00FB16F7" w:rsidRPr="00BD6197" w:rsidRDefault="00FB16F7" w:rsidP="00FB16F7">
      <w:pPr>
        <w:pStyle w:val="Headingi"/>
        <w:rPr>
          <w:lang w:val="en-US"/>
        </w:rPr>
      </w:pPr>
      <w:bookmarkStart w:id="2507" w:name="_Toc289868898"/>
      <w:bookmarkStart w:id="2508" w:name="_Toc289869057"/>
      <w:bookmarkStart w:id="2509" w:name="_Toc289932363"/>
      <w:bookmarkStart w:id="2510" w:name="_Toc291852974"/>
      <w:bookmarkStart w:id="2511" w:name="_Toc392515958"/>
      <w:bookmarkStart w:id="2512" w:name="_Toc518394294"/>
      <w:r w:rsidRPr="00BD6197">
        <w:rPr>
          <w:lang w:val="en-US"/>
        </w:rPr>
        <w:t>VI.</w:t>
      </w:r>
      <w:r w:rsidRPr="00BD6197">
        <w:rPr>
          <w:lang w:val="en-US"/>
        </w:rPr>
        <w:tab/>
        <w:t>LABELLING</w:t>
      </w:r>
      <w:bookmarkEnd w:id="2507"/>
      <w:bookmarkEnd w:id="2508"/>
      <w:bookmarkEnd w:id="2509"/>
      <w:bookmarkEnd w:id="2510"/>
      <w:bookmarkEnd w:id="2511"/>
      <w:bookmarkEnd w:id="2512"/>
    </w:p>
    <w:p w:rsidR="00FB16F7" w:rsidRPr="00BD6197" w:rsidRDefault="00FB16F7" w:rsidP="00AE3EE4">
      <w:pPr>
        <w:rPr>
          <w:lang w:val="en-US"/>
        </w:rPr>
      </w:pPr>
      <w:r w:rsidRPr="00BD6197">
        <w:rPr>
          <w:lang w:val="en-US"/>
        </w:rPr>
        <w:t>1. Fixed set</w:t>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r>
      <w:r w:rsidR="00AE3EE4">
        <w:rPr>
          <w:lang w:val="en-US"/>
        </w:rPr>
        <w:tab/>
      </w:r>
      <w:r w:rsidRPr="00BD6197">
        <w:rPr>
          <w:lang w:val="en-US"/>
        </w:rPr>
        <w:t>2 900F</w:t>
      </w:r>
    </w:p>
    <w:p w:rsidR="00FB16F7" w:rsidRPr="00BD6197" w:rsidRDefault="00FB16F7" w:rsidP="00AE3EE4">
      <w:pPr>
        <w:rPr>
          <w:lang w:val="en-US"/>
        </w:rPr>
      </w:pPr>
      <w:r w:rsidRPr="00BD6197">
        <w:rPr>
          <w:lang w:val="en-US"/>
        </w:rPr>
        <w:t>2. Mobile set</w:t>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r>
      <w:r w:rsidR="00AE3EE4">
        <w:rPr>
          <w:lang w:val="en-US"/>
        </w:rPr>
        <w:tab/>
      </w:r>
      <w:r w:rsidRPr="00BD6197">
        <w:rPr>
          <w:lang w:val="en-US"/>
        </w:rPr>
        <w:t>1 740F</w:t>
      </w:r>
    </w:p>
    <w:p w:rsidR="00FB16F7" w:rsidRPr="00BD6197" w:rsidRDefault="00FB16F7" w:rsidP="00FB16F7">
      <w:pPr>
        <w:rPr>
          <w:lang w:val="en-US"/>
        </w:rPr>
      </w:pPr>
      <w:r w:rsidRPr="00BD6197">
        <w:rPr>
          <w:lang w:val="en-US"/>
        </w:rPr>
        <w:t>3. Handheld set</w:t>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r>
      <w:r w:rsidRPr="00BD6197">
        <w:rPr>
          <w:lang w:val="en-US"/>
        </w:rPr>
        <w:tab/>
      </w:r>
      <w:r w:rsidR="00AE3EE4">
        <w:rPr>
          <w:lang w:val="en-US"/>
        </w:rPr>
        <w:tab/>
      </w:r>
      <w:r w:rsidRPr="00BD6197">
        <w:rPr>
          <w:lang w:val="en-US"/>
        </w:rPr>
        <w:t>1 160F</w:t>
      </w:r>
      <w:r w:rsidRPr="00BD6197">
        <w:rPr>
          <w:lang w:val="en-US"/>
        </w:rPr>
        <w:tab/>
      </w:r>
    </w:p>
    <w:p w:rsidR="00FB16F7" w:rsidRPr="00BD6197" w:rsidRDefault="00FB16F7" w:rsidP="00FB16F7">
      <w:pPr>
        <w:tabs>
          <w:tab w:val="clear" w:pos="794"/>
          <w:tab w:val="clear" w:pos="1191"/>
          <w:tab w:val="clear" w:pos="1588"/>
          <w:tab w:val="clear" w:pos="1985"/>
        </w:tabs>
        <w:overflowPunct/>
        <w:autoSpaceDE/>
        <w:autoSpaceDN/>
        <w:adjustRightInd/>
        <w:spacing w:before="0"/>
        <w:textAlignment w:val="auto"/>
        <w:rPr>
          <w:b/>
          <w:lang w:val="en-US"/>
        </w:rPr>
      </w:pPr>
      <w:r w:rsidRPr="00BD6197">
        <w:rPr>
          <w:lang w:val="en-US"/>
        </w:rPr>
        <w:br w:type="page"/>
      </w:r>
    </w:p>
    <w:p w:rsidR="00FB16F7" w:rsidRPr="00A01420" w:rsidRDefault="00FB16F7" w:rsidP="00FB16F7">
      <w:pPr>
        <w:pStyle w:val="Headingb"/>
        <w:rPr>
          <w:lang w:val="en-US"/>
        </w:rPr>
      </w:pPr>
      <w:bookmarkStart w:id="2513" w:name="_Toc454285034"/>
      <w:bookmarkStart w:id="2514" w:name="_Toc462234198"/>
      <w:r w:rsidRPr="00A01420">
        <w:rPr>
          <w:lang w:val="en-US"/>
        </w:rPr>
        <w:lastRenderedPageBreak/>
        <w:t>REPUBLIC OF COTE D’IVOIRE</w:t>
      </w:r>
      <w:bookmarkEnd w:id="2513"/>
      <w:bookmarkEnd w:id="2514"/>
    </w:p>
    <w:p w:rsidR="00FB16F7" w:rsidRPr="00A01420" w:rsidRDefault="00FB16F7" w:rsidP="00FB16F7">
      <w:pPr>
        <w:pStyle w:val="Headingb"/>
        <w:rPr>
          <w:lang w:val="en-US"/>
        </w:rPr>
      </w:pPr>
      <w:bookmarkStart w:id="2515" w:name="_Toc454285035"/>
      <w:bookmarkStart w:id="2516" w:name="_Toc462234199"/>
      <w:r w:rsidRPr="00A01420">
        <w:rPr>
          <w:lang w:val="en-US"/>
        </w:rPr>
        <w:t>CONCESSIONARY CONVENTION</w:t>
      </w:r>
      <w:bookmarkEnd w:id="2515"/>
      <w:bookmarkEnd w:id="2516"/>
    </w:p>
    <w:p w:rsidR="00FB16F7" w:rsidRPr="00A01420" w:rsidRDefault="00FB16F7" w:rsidP="00FB16F7">
      <w:pPr>
        <w:pStyle w:val="Headingb"/>
        <w:rPr>
          <w:lang w:val="en-US"/>
        </w:rPr>
      </w:pPr>
      <w:bookmarkStart w:id="2517" w:name="_Toc454285036"/>
      <w:bookmarkStart w:id="2518" w:name="_Toc462234200"/>
      <w:r w:rsidRPr="00A01420">
        <w:rPr>
          <w:lang w:val="en-US"/>
        </w:rPr>
        <w:t>ANNEX 15</w:t>
      </w:r>
      <w:bookmarkEnd w:id="2517"/>
      <w:bookmarkEnd w:id="2518"/>
    </w:p>
    <w:p w:rsidR="00FB16F7" w:rsidRPr="00A01420" w:rsidRDefault="00FB16F7" w:rsidP="00E10AA1">
      <w:pPr>
        <w:pStyle w:val="Headingb"/>
        <w:jc w:val="left"/>
        <w:rPr>
          <w:lang w:val="en-US"/>
        </w:rPr>
      </w:pPr>
      <w:bookmarkStart w:id="2519" w:name="_Toc454285037"/>
      <w:bookmarkStart w:id="2520" w:name="_Toc462234201"/>
      <w:r w:rsidRPr="00A01420">
        <w:rPr>
          <w:lang w:val="en-US"/>
        </w:rPr>
        <w:t xml:space="preserve">DRAFT DECREE FIXING FEES, TAXES AND </w:t>
      </w:r>
      <w:r w:rsidRPr="00A01420">
        <w:rPr>
          <w:lang w:val="en-US"/>
        </w:rPr>
        <w:br/>
        <w:t>CHARGES ON RADIOCOMMUNICATIONS</w:t>
      </w:r>
      <w:bookmarkEnd w:id="2519"/>
      <w:bookmarkEnd w:id="2520"/>
    </w:p>
    <w:p w:rsidR="00FB16F7" w:rsidRPr="00BD6197" w:rsidRDefault="00FB16F7" w:rsidP="00FB16F7">
      <w:pPr>
        <w:rPr>
          <w:lang w:val="en-US"/>
        </w:rPr>
      </w:pPr>
    </w:p>
    <w:p w:rsidR="00FB16F7" w:rsidRPr="00BD6197" w:rsidRDefault="00FB16F7" w:rsidP="00FB16F7">
      <w:pPr>
        <w:jc w:val="center"/>
        <w:rPr>
          <w:szCs w:val="24"/>
          <w:lang w:val="en-US"/>
        </w:rPr>
      </w:pPr>
      <w:r w:rsidRPr="00BD6197">
        <w:rPr>
          <w:szCs w:val="24"/>
          <w:lang w:val="en-US"/>
        </w:rPr>
        <w:t>REPUBLIC OF COTE D’IVOIRE</w:t>
      </w:r>
    </w:p>
    <w:p w:rsidR="00FB16F7" w:rsidRPr="00BD6197" w:rsidRDefault="00FB16F7" w:rsidP="00FB16F7">
      <w:pPr>
        <w:jc w:val="center"/>
        <w:rPr>
          <w:szCs w:val="24"/>
          <w:lang w:val="en-US"/>
        </w:rPr>
      </w:pPr>
      <w:r w:rsidRPr="00BD6197">
        <w:rPr>
          <w:szCs w:val="24"/>
          <w:lang w:val="en-US"/>
        </w:rPr>
        <w:t>Unity-Discipline-Work</w:t>
      </w:r>
    </w:p>
    <w:p w:rsidR="00FB16F7" w:rsidRPr="00BD6197" w:rsidRDefault="00FB16F7" w:rsidP="00FB16F7">
      <w:pPr>
        <w:rPr>
          <w:szCs w:val="24"/>
          <w:lang w:val="en-US"/>
        </w:rPr>
      </w:pPr>
    </w:p>
    <w:p w:rsidR="00FB16F7" w:rsidRPr="00BD6197" w:rsidRDefault="00FB16F7" w:rsidP="00FB16F7">
      <w:pPr>
        <w:rPr>
          <w:szCs w:val="24"/>
          <w:lang w:val="en-US"/>
        </w:rPr>
      </w:pPr>
      <w:r w:rsidRPr="00BD6197">
        <w:rPr>
          <w:szCs w:val="24"/>
          <w:lang w:val="en-US"/>
        </w:rPr>
        <w:t>Ministry of Economic</w:t>
      </w:r>
      <w:r w:rsidRPr="00BD6197">
        <w:rPr>
          <w:szCs w:val="24"/>
          <w:lang w:val="en-US"/>
        </w:rPr>
        <w:tab/>
      </w:r>
      <w:r w:rsidRPr="00BD6197">
        <w:rPr>
          <w:szCs w:val="24"/>
          <w:lang w:val="en-US"/>
        </w:rPr>
        <w:tab/>
      </w:r>
      <w:r w:rsidRPr="00BD6197">
        <w:rPr>
          <w:szCs w:val="24"/>
          <w:lang w:val="en-US"/>
        </w:rPr>
        <w:tab/>
      </w:r>
      <w:r w:rsidRPr="00BD6197">
        <w:rPr>
          <w:szCs w:val="24"/>
          <w:lang w:val="en-US"/>
        </w:rPr>
        <w:tab/>
        <w:t>Ministry of Economy and Finances</w:t>
      </w:r>
    </w:p>
    <w:p w:rsidR="00FB16F7" w:rsidRPr="00BD6197" w:rsidRDefault="00FB16F7" w:rsidP="00FB16F7">
      <w:pPr>
        <w:rPr>
          <w:szCs w:val="24"/>
          <w:lang w:val="en-US"/>
        </w:rPr>
      </w:pPr>
      <w:r w:rsidRPr="00BD6197">
        <w:rPr>
          <w:szCs w:val="24"/>
          <w:lang w:val="en-US"/>
        </w:rPr>
        <w:t>Infrastructure</w:t>
      </w:r>
    </w:p>
    <w:p w:rsidR="00FB16F7" w:rsidRPr="00BD6197" w:rsidRDefault="00FB16F7" w:rsidP="00FB16F7">
      <w:pPr>
        <w:rPr>
          <w:lang w:val="en-US"/>
        </w:rPr>
      </w:pPr>
    </w:p>
    <w:p w:rsidR="00FB16F7" w:rsidRPr="00BD6197" w:rsidRDefault="00FB16F7" w:rsidP="00FB16F7">
      <w:pPr>
        <w:jc w:val="center"/>
        <w:rPr>
          <w:lang w:val="en-US"/>
        </w:rPr>
      </w:pPr>
      <w:r w:rsidRPr="00BD6197">
        <w:rPr>
          <w:lang w:val="en-US"/>
        </w:rPr>
        <w:t>ORDINANCE N° 97/173/ of 19/03/97 DEFINING FEES, TAXES AND CHARGES IN</w:t>
      </w:r>
      <w:r w:rsidRPr="00BD6197">
        <w:rPr>
          <w:lang w:val="en-US"/>
        </w:rPr>
        <w:br/>
        <w:t>RADIOCOMMUNICATION SERVICES</w:t>
      </w:r>
    </w:p>
    <w:p w:rsidR="00FB16F7" w:rsidRPr="00BD6197" w:rsidRDefault="00FB16F7" w:rsidP="00FB16F7">
      <w:pPr>
        <w:jc w:val="center"/>
        <w:rPr>
          <w:lang w:val="en-US"/>
        </w:rPr>
      </w:pPr>
      <w:r w:rsidRPr="00BD6197">
        <w:rPr>
          <w:lang w:val="en-US"/>
        </w:rPr>
        <w:t>THE PRESIDENT OF THE REPUBLIC</w:t>
      </w:r>
    </w:p>
    <w:p w:rsidR="00FB16F7" w:rsidRPr="00BD6197" w:rsidRDefault="00FB16F7" w:rsidP="00FB16F7">
      <w:pPr>
        <w:pStyle w:val="Normalaftertitle"/>
        <w:rPr>
          <w:lang w:val="en-US"/>
        </w:rPr>
      </w:pPr>
      <w:r w:rsidRPr="00BD6197">
        <w:rPr>
          <w:lang w:val="en-US"/>
        </w:rPr>
        <w:t>Considering the joint report of the Ministry of Economy and Finances and the Ministry of Economic Infrastructure.</w:t>
      </w:r>
    </w:p>
    <w:p w:rsidR="00FB16F7" w:rsidRPr="00BD6197" w:rsidRDefault="00FB16F7" w:rsidP="00FB16F7">
      <w:pPr>
        <w:rPr>
          <w:lang w:val="en-US"/>
        </w:rPr>
      </w:pPr>
      <w:r w:rsidRPr="00BD6197">
        <w:rPr>
          <w:lang w:val="en-US"/>
        </w:rPr>
        <w:t>Considering the Constitution.</w:t>
      </w:r>
    </w:p>
    <w:p w:rsidR="00FB16F7" w:rsidRPr="00BD6197" w:rsidRDefault="00FB16F7" w:rsidP="00FB16F7">
      <w:pPr>
        <w:rPr>
          <w:lang w:val="en-US"/>
        </w:rPr>
      </w:pPr>
      <w:r w:rsidRPr="00BD6197">
        <w:rPr>
          <w:lang w:val="en-US"/>
        </w:rPr>
        <w:t>Considering law N° 95-526 of 7 July 1995 on Telecommunications Code.</w:t>
      </w:r>
    </w:p>
    <w:p w:rsidR="00FB16F7" w:rsidRPr="00BD6197" w:rsidRDefault="00FB16F7" w:rsidP="00FB16F7">
      <w:pPr>
        <w:rPr>
          <w:lang w:val="en-US"/>
        </w:rPr>
      </w:pPr>
      <w:r w:rsidRPr="00BD6197">
        <w:rPr>
          <w:lang w:val="en-US"/>
        </w:rPr>
        <w:t>Considering Decree N° 85-1089 of 16</w:t>
      </w:r>
      <w:r w:rsidRPr="00BD6197">
        <w:rPr>
          <w:vertAlign w:val="superscript"/>
          <w:lang w:val="en-US"/>
        </w:rPr>
        <w:t>th</w:t>
      </w:r>
      <w:r w:rsidRPr="00BD6197">
        <w:rPr>
          <w:lang w:val="en-US"/>
        </w:rPr>
        <w:t xml:space="preserve"> October 1985 fixing Private Radioelectricity regulations in Côte d’Ivoire.</w:t>
      </w:r>
    </w:p>
    <w:p w:rsidR="00FB16F7" w:rsidRPr="00BD6197" w:rsidRDefault="00FB16F7" w:rsidP="00FB16F7">
      <w:pPr>
        <w:rPr>
          <w:lang w:val="en-US"/>
        </w:rPr>
      </w:pPr>
      <w:r w:rsidRPr="00BD6197">
        <w:rPr>
          <w:lang w:val="en-US"/>
        </w:rPr>
        <w:t>Considering decree N° 95-554 of 19 July 1995 fixing organization and functioning of a Special Public entity here-after named Agence des Télécommunications de Côte d’Ivoire.</w:t>
      </w:r>
    </w:p>
    <w:p w:rsidR="00FB16F7" w:rsidRPr="00BD6197" w:rsidRDefault="00FB16F7" w:rsidP="00FB16F7">
      <w:pPr>
        <w:rPr>
          <w:lang w:val="en-US"/>
        </w:rPr>
      </w:pPr>
      <w:r w:rsidRPr="00BD6197">
        <w:rPr>
          <w:lang w:val="en-US"/>
        </w:rPr>
        <w:t>Considering decree N° 96-PR/002 of 26</w:t>
      </w:r>
      <w:r w:rsidRPr="00BD6197">
        <w:rPr>
          <w:vertAlign w:val="superscript"/>
          <w:lang w:val="en-US"/>
        </w:rPr>
        <w:t>th</w:t>
      </w:r>
      <w:r w:rsidRPr="00BD6197">
        <w:rPr>
          <w:lang w:val="en-US"/>
        </w:rPr>
        <w:t xml:space="preserve"> January 1996 appointing members of Government; as modified by decree N° 96-PR/10 of 10</w:t>
      </w:r>
      <w:r w:rsidRPr="00BD6197">
        <w:rPr>
          <w:vertAlign w:val="superscript"/>
          <w:lang w:val="en-US"/>
        </w:rPr>
        <w:t>th</w:t>
      </w:r>
      <w:r w:rsidRPr="00BD6197">
        <w:rPr>
          <w:lang w:val="en-US"/>
        </w:rPr>
        <w:t xml:space="preserve"> August 1996.</w:t>
      </w:r>
    </w:p>
    <w:p w:rsidR="00FB16F7" w:rsidRPr="00BD6197" w:rsidRDefault="00FB16F7" w:rsidP="00FB16F7">
      <w:pPr>
        <w:rPr>
          <w:lang w:val="en-US"/>
        </w:rPr>
      </w:pPr>
      <w:r w:rsidRPr="00BD6197">
        <w:rPr>
          <w:lang w:val="en-US"/>
        </w:rPr>
        <w:t>Considering decree N° 96-179 of 1</w:t>
      </w:r>
      <w:r w:rsidRPr="00BD6197">
        <w:rPr>
          <w:vertAlign w:val="superscript"/>
          <w:lang w:val="en-US"/>
        </w:rPr>
        <w:t>st</w:t>
      </w:r>
      <w:r w:rsidRPr="00BD6197">
        <w:rPr>
          <w:lang w:val="en-US"/>
        </w:rPr>
        <w:t xml:space="preserve"> March 1996 fixing attributions of members of Government.</w:t>
      </w:r>
    </w:p>
    <w:p w:rsidR="00FB16F7" w:rsidRPr="00BD6197" w:rsidRDefault="00FB16F7" w:rsidP="00FB16F7">
      <w:pPr>
        <w:spacing w:before="720"/>
        <w:jc w:val="center"/>
        <w:rPr>
          <w:lang w:val="en-US"/>
        </w:rPr>
      </w:pPr>
      <w:r w:rsidRPr="00BD6197">
        <w:rPr>
          <w:lang w:val="en-US"/>
        </w:rPr>
        <w:t>THE MINISTER’S COUNCIL HAVING CONSIDERED:</w:t>
      </w:r>
    </w:p>
    <w:p w:rsidR="00FB16F7" w:rsidRPr="00BD6197" w:rsidRDefault="00FB16F7" w:rsidP="00FB16F7">
      <w:pPr>
        <w:jc w:val="center"/>
        <w:rPr>
          <w:lang w:val="en-US"/>
        </w:rPr>
      </w:pPr>
      <w:r w:rsidRPr="00BD6197">
        <w:rPr>
          <w:lang w:val="en-US"/>
        </w:rPr>
        <w:t>DECREES</w:t>
      </w:r>
    </w:p>
    <w:p w:rsidR="00FB16F7" w:rsidRPr="00BD6197" w:rsidRDefault="00FB16F7" w:rsidP="00FB16F7">
      <w:pPr>
        <w:rPr>
          <w:lang w:val="en-US"/>
        </w:rPr>
      </w:pPr>
    </w:p>
    <w:p w:rsidR="00FB16F7" w:rsidRPr="00BD6197" w:rsidRDefault="00FB16F7" w:rsidP="00FB16F7">
      <w:pPr>
        <w:jc w:val="center"/>
        <w:rPr>
          <w:lang w:val="en-US"/>
        </w:rPr>
      </w:pPr>
      <w:r w:rsidRPr="00BD6197">
        <w:rPr>
          <w:lang w:val="en-US"/>
        </w:rPr>
        <w:t>CHAPTER I</w:t>
      </w:r>
    </w:p>
    <w:p w:rsidR="00FB16F7" w:rsidRPr="00BD6197" w:rsidRDefault="00FB16F7" w:rsidP="00FB16F7">
      <w:pPr>
        <w:jc w:val="center"/>
        <w:rPr>
          <w:lang w:val="en-US"/>
        </w:rPr>
      </w:pPr>
      <w:r w:rsidRPr="00BD6197">
        <w:rPr>
          <w:lang w:val="en-US"/>
        </w:rPr>
        <w:t>GENERAL PROVISIONS: EXTENT OF APPLICATION</w:t>
      </w:r>
    </w:p>
    <w:p w:rsidR="00FB16F7" w:rsidRPr="00BD6197" w:rsidRDefault="00FB16F7" w:rsidP="00FB16F7">
      <w:pPr>
        <w:pStyle w:val="Normalaftertitle"/>
        <w:rPr>
          <w:lang w:val="en-US"/>
        </w:rPr>
      </w:pPr>
      <w:r w:rsidRPr="00BD6197">
        <w:rPr>
          <w:lang w:val="en-US"/>
        </w:rPr>
        <w:t>Article 1: In application of the provisions of Articles 6, 8, 20, 24 and 51 of Law N° 95-526 of 7 July 1995 fixing Telecommunications Code, this decree defines fees, taxes, charges and contributions payable to Agence des Télécommunications de Côte d’Ivoire (ATCI) by applicants or holders of authorizations in radiocommunications matters.</w:t>
      </w:r>
    </w:p>
    <w:p w:rsidR="00FB16F7" w:rsidRPr="00BD6197" w:rsidRDefault="00FB16F7" w:rsidP="00FB16F7">
      <w:pPr>
        <w:rPr>
          <w:lang w:val="en-US"/>
        </w:rPr>
      </w:pPr>
    </w:p>
    <w:p w:rsidR="00FB16F7" w:rsidRPr="00BD6197" w:rsidRDefault="00FB16F7" w:rsidP="00FB16F7">
      <w:pPr>
        <w:keepNext/>
        <w:keepLines/>
        <w:jc w:val="center"/>
        <w:rPr>
          <w:lang w:val="en-US"/>
        </w:rPr>
      </w:pPr>
      <w:r w:rsidRPr="00BD6197">
        <w:rPr>
          <w:lang w:val="en-US"/>
        </w:rPr>
        <w:lastRenderedPageBreak/>
        <w:t>CHAPTER II</w:t>
      </w:r>
    </w:p>
    <w:p w:rsidR="00FB16F7" w:rsidRPr="00BD6197" w:rsidRDefault="00FB16F7" w:rsidP="00FB16F7">
      <w:pPr>
        <w:keepNext/>
        <w:keepLines/>
        <w:jc w:val="center"/>
        <w:rPr>
          <w:lang w:val="en-US"/>
        </w:rPr>
      </w:pPr>
      <w:r w:rsidRPr="00BD6197">
        <w:rPr>
          <w:lang w:val="en-US"/>
        </w:rPr>
        <w:t xml:space="preserve">FEES, CHARGES AND CONTRIBUTIONS APPLICABLE TO RADIOELECTRIC </w:t>
      </w:r>
      <w:r w:rsidRPr="00BD6197">
        <w:rPr>
          <w:lang w:val="en-US"/>
        </w:rPr>
        <w:br/>
        <w:t>NETWORKS AND STATIONS</w:t>
      </w:r>
    </w:p>
    <w:p w:rsidR="00FB16F7" w:rsidRPr="00BD6197" w:rsidRDefault="00FB16F7" w:rsidP="00FB16F7">
      <w:pPr>
        <w:pStyle w:val="Normalaftertitle"/>
        <w:rPr>
          <w:lang w:val="en-US"/>
        </w:rPr>
      </w:pPr>
      <w:r w:rsidRPr="00BD6197">
        <w:rPr>
          <w:lang w:val="en-US"/>
        </w:rPr>
        <w:t>Section</w:t>
      </w:r>
      <w:r w:rsidRPr="00BD6197">
        <w:rPr>
          <w:u w:val="single"/>
          <w:lang w:val="en-US"/>
        </w:rPr>
        <w:t xml:space="preserve"> </w:t>
      </w:r>
      <w:r w:rsidRPr="00BD6197">
        <w:rPr>
          <w:lang w:val="en-US"/>
        </w:rPr>
        <w:t>1: Radioelectric networks of fixed and mobile services, networks and earth stations of fixed satellite services and mobile satellite services.</w:t>
      </w:r>
    </w:p>
    <w:p w:rsidR="00FB16F7" w:rsidRPr="00BD6197" w:rsidRDefault="00FB16F7" w:rsidP="00FB16F7">
      <w:pPr>
        <w:rPr>
          <w:lang w:val="en-US"/>
        </w:rPr>
      </w:pPr>
      <w:r w:rsidRPr="00BD6197">
        <w:rPr>
          <w:lang w:val="en-US"/>
        </w:rPr>
        <w:t>Article 2: The applicants or holders of authorizations relating to radioelectric networks for fixed and terrestrial mobile services, as well as networks and earth stations for fixed and  mobile satellite services are liable to the payment of fees, charges and contributions as follows:</w:t>
      </w:r>
    </w:p>
    <w:p w:rsidR="00FB16F7" w:rsidRPr="00BD6197" w:rsidRDefault="00FB16F7" w:rsidP="00FB16F7">
      <w:pPr>
        <w:pStyle w:val="enumlev1"/>
        <w:rPr>
          <w:lang w:val="en-US"/>
        </w:rPr>
      </w:pPr>
      <w:r w:rsidRPr="00BD6197">
        <w:rPr>
          <w:lang w:val="en-US"/>
        </w:rPr>
        <w:t>–</w:t>
      </w:r>
      <w:r w:rsidRPr="00BD6197">
        <w:rPr>
          <w:lang w:val="en-US"/>
        </w:rPr>
        <w:tab/>
        <w:t>fees for compiling file;</w:t>
      </w:r>
    </w:p>
    <w:p w:rsidR="00FB16F7" w:rsidRPr="00BD6197" w:rsidRDefault="00FB16F7" w:rsidP="00FB16F7">
      <w:pPr>
        <w:pStyle w:val="enumlev1"/>
        <w:rPr>
          <w:lang w:val="en-US"/>
        </w:rPr>
      </w:pPr>
      <w:r w:rsidRPr="00BD6197">
        <w:rPr>
          <w:lang w:val="en-US"/>
        </w:rPr>
        <w:t>–</w:t>
      </w:r>
      <w:r w:rsidRPr="00BD6197">
        <w:rPr>
          <w:lang w:val="en-US"/>
        </w:rPr>
        <w:tab/>
        <w:t>fees for controlling radioelectric stations;</w:t>
      </w:r>
    </w:p>
    <w:p w:rsidR="00FB16F7" w:rsidRPr="00BD6197" w:rsidRDefault="00FB16F7" w:rsidP="00FB16F7">
      <w:pPr>
        <w:pStyle w:val="enumlev1"/>
        <w:rPr>
          <w:lang w:val="en-US"/>
        </w:rPr>
      </w:pPr>
      <w:r w:rsidRPr="00BD6197">
        <w:rPr>
          <w:lang w:val="en-US"/>
        </w:rPr>
        <w:t>–</w:t>
      </w:r>
      <w:r w:rsidRPr="00BD6197">
        <w:rPr>
          <w:lang w:val="en-US"/>
        </w:rPr>
        <w:tab/>
        <w:t>contribution to management costs;</w:t>
      </w:r>
    </w:p>
    <w:p w:rsidR="00FB16F7" w:rsidRPr="00BD6197" w:rsidRDefault="00FB16F7" w:rsidP="00FB16F7">
      <w:pPr>
        <w:pStyle w:val="enumlev1"/>
        <w:rPr>
          <w:lang w:val="en-US"/>
        </w:rPr>
      </w:pPr>
      <w:r w:rsidRPr="00BD6197">
        <w:rPr>
          <w:lang w:val="en-US"/>
        </w:rPr>
        <w:t>–</w:t>
      </w:r>
      <w:r w:rsidRPr="00BD6197">
        <w:rPr>
          <w:lang w:val="en-US"/>
        </w:rPr>
        <w:tab/>
        <w:t>charges for using radioelectric frequencies.</w:t>
      </w:r>
    </w:p>
    <w:p w:rsidR="00FB16F7" w:rsidRPr="00BD6197" w:rsidRDefault="00FB16F7" w:rsidP="00FB16F7">
      <w:pPr>
        <w:rPr>
          <w:lang w:val="en-US"/>
        </w:rPr>
      </w:pPr>
      <w:r w:rsidRPr="00BD6197">
        <w:rPr>
          <w:lang w:val="en-US"/>
        </w:rPr>
        <w:t>Section II: Community Earth Stations for Reception only.</w:t>
      </w:r>
    </w:p>
    <w:p w:rsidR="00FB16F7" w:rsidRPr="00BD6197" w:rsidRDefault="00FB16F7" w:rsidP="00FB16F7">
      <w:pPr>
        <w:rPr>
          <w:lang w:val="en-US"/>
        </w:rPr>
      </w:pPr>
      <w:r w:rsidRPr="00BD6197">
        <w:rPr>
          <w:lang w:val="en-US"/>
        </w:rPr>
        <w:t>Article 3: Applicants or holders of authorizations relating to installation of radio broadcasting for collective reception or reception from redistribution in conformity with the provisions of Article 20 of Law N° 95-526 of 07 July 1995 fixing Telecommunications Code, are entitled to pay fees, charges and contributions stipulated in Article 2 above.</w:t>
      </w:r>
    </w:p>
    <w:p w:rsidR="00FB16F7" w:rsidRPr="00BD6197" w:rsidRDefault="00FB16F7" w:rsidP="00FB16F7">
      <w:pPr>
        <w:rPr>
          <w:lang w:val="en-US"/>
        </w:rPr>
      </w:pPr>
      <w:r w:rsidRPr="00BD6197">
        <w:rPr>
          <w:lang w:val="en-US"/>
        </w:rPr>
        <w:t>Section III: Amateur Stations.</w:t>
      </w:r>
    </w:p>
    <w:p w:rsidR="00FB16F7" w:rsidRPr="00BD6197" w:rsidRDefault="00FB16F7" w:rsidP="00FB16F7">
      <w:pPr>
        <w:rPr>
          <w:lang w:val="en-US"/>
        </w:rPr>
      </w:pPr>
      <w:r w:rsidRPr="00BD6197">
        <w:rPr>
          <w:lang w:val="en-US"/>
        </w:rPr>
        <w:t>Article 4: Applicants or holders of authorizations for amateur stations are entitled to pay the following fees:</w:t>
      </w:r>
    </w:p>
    <w:p w:rsidR="00FB16F7" w:rsidRPr="00BD6197" w:rsidRDefault="00FB16F7" w:rsidP="00FB16F7">
      <w:pPr>
        <w:pStyle w:val="enumlev1"/>
        <w:rPr>
          <w:lang w:val="en-US"/>
        </w:rPr>
      </w:pPr>
      <w:r w:rsidRPr="00BD6197">
        <w:rPr>
          <w:lang w:val="en-US"/>
        </w:rPr>
        <w:t>–</w:t>
      </w:r>
      <w:r w:rsidRPr="00BD6197">
        <w:rPr>
          <w:lang w:val="en-US"/>
        </w:rPr>
        <w:tab/>
        <w:t>Fees for compiling the file.</w:t>
      </w:r>
    </w:p>
    <w:p w:rsidR="00FB16F7" w:rsidRPr="00BD6197" w:rsidRDefault="00FB16F7" w:rsidP="00FB16F7">
      <w:pPr>
        <w:pStyle w:val="enumlev1"/>
        <w:rPr>
          <w:lang w:val="en-US"/>
        </w:rPr>
      </w:pPr>
      <w:r w:rsidRPr="00BD6197">
        <w:rPr>
          <w:lang w:val="en-US"/>
        </w:rPr>
        <w:t>–</w:t>
      </w:r>
      <w:r w:rsidRPr="00BD6197">
        <w:rPr>
          <w:lang w:val="en-US"/>
        </w:rPr>
        <w:tab/>
        <w:t>Charges for controlling the stations.</w:t>
      </w:r>
    </w:p>
    <w:p w:rsidR="00FB16F7" w:rsidRPr="00BD6197" w:rsidRDefault="00FB16F7" w:rsidP="00FB16F7">
      <w:pPr>
        <w:rPr>
          <w:lang w:val="en-US"/>
        </w:rPr>
      </w:pPr>
      <w:r w:rsidRPr="00BD6197">
        <w:rPr>
          <w:lang w:val="en-US"/>
        </w:rPr>
        <w:t>Section IV: Temporary utilization of radioelectric stations.</w:t>
      </w:r>
    </w:p>
    <w:p w:rsidR="00FB16F7" w:rsidRPr="00BD6197" w:rsidRDefault="00FB16F7" w:rsidP="00FB16F7">
      <w:pPr>
        <w:rPr>
          <w:lang w:val="en-US"/>
        </w:rPr>
      </w:pPr>
      <w:r w:rsidRPr="00BD6197">
        <w:rPr>
          <w:lang w:val="en-US"/>
        </w:rPr>
        <w:t>Article 5: Terrestrial radioelectric stations as well as spatial earth stations which are used on temporal basis are entitled to pay the following charges and fees:</w:t>
      </w:r>
    </w:p>
    <w:p w:rsidR="00FB16F7" w:rsidRPr="00BD6197" w:rsidRDefault="00FB16F7" w:rsidP="00FB16F7">
      <w:pPr>
        <w:pStyle w:val="enumlev1"/>
        <w:rPr>
          <w:lang w:val="en-US"/>
        </w:rPr>
      </w:pPr>
      <w:r w:rsidRPr="00BD6197">
        <w:rPr>
          <w:lang w:val="en-US"/>
        </w:rPr>
        <w:t>–</w:t>
      </w:r>
      <w:r w:rsidRPr="00BD6197">
        <w:rPr>
          <w:lang w:val="en-US"/>
        </w:rPr>
        <w:tab/>
        <w:t xml:space="preserve">control charge; </w:t>
      </w:r>
    </w:p>
    <w:p w:rsidR="00FB16F7" w:rsidRPr="00BD6197" w:rsidRDefault="00FB16F7" w:rsidP="00FB16F7">
      <w:pPr>
        <w:pStyle w:val="enumlev1"/>
        <w:rPr>
          <w:lang w:val="en-US"/>
        </w:rPr>
      </w:pPr>
      <w:r w:rsidRPr="00BD6197">
        <w:rPr>
          <w:lang w:val="en-US"/>
        </w:rPr>
        <w:t>–</w:t>
      </w:r>
      <w:r w:rsidRPr="00BD6197">
        <w:rPr>
          <w:lang w:val="en-US"/>
        </w:rPr>
        <w:tab/>
        <w:t>fees for contribution towards management costs and charges for the use of radioelectric frequencies calculated on monthly basis.</w:t>
      </w:r>
    </w:p>
    <w:p w:rsidR="00FB16F7" w:rsidRPr="00BD6197" w:rsidRDefault="00FB16F7" w:rsidP="00FB16F7">
      <w:pPr>
        <w:rPr>
          <w:lang w:val="en-US"/>
        </w:rPr>
      </w:pPr>
      <w:r w:rsidRPr="00BD6197">
        <w:rPr>
          <w:lang w:val="en-US"/>
        </w:rPr>
        <w:t>Section V: Low power Transmitters and Receivers or CBs sets.</w:t>
      </w:r>
    </w:p>
    <w:p w:rsidR="00FB16F7" w:rsidRPr="00BD6197" w:rsidRDefault="00FB16F7" w:rsidP="00FB16F7">
      <w:pPr>
        <w:rPr>
          <w:lang w:val="en-US"/>
        </w:rPr>
      </w:pPr>
      <w:r w:rsidRPr="00BD6197">
        <w:rPr>
          <w:lang w:val="en-US"/>
        </w:rPr>
        <w:t>Article 6: The use of transmitters and receivers sets which operate on simple channels called CB sets, is submitted to the payment of a forfeitary charge, which is not refundable at the time of awarding the authorization.</w:t>
      </w:r>
    </w:p>
    <w:p w:rsidR="00FB16F7" w:rsidRPr="00BD6197" w:rsidRDefault="00FB16F7" w:rsidP="00FB16F7">
      <w:pPr>
        <w:rPr>
          <w:lang w:val="en-US"/>
        </w:rPr>
      </w:pPr>
      <w:r w:rsidRPr="00BD6197">
        <w:rPr>
          <w:lang w:val="en-US"/>
        </w:rPr>
        <w:t>Not subject to this fees are CB sets with a maximum of 40 channels operating exclusively in angular modulation and having a maximum of 4 W.</w:t>
      </w:r>
    </w:p>
    <w:p w:rsidR="00FB16F7" w:rsidRPr="00BD6197" w:rsidRDefault="00FB16F7" w:rsidP="00FB16F7">
      <w:pPr>
        <w:rPr>
          <w:lang w:val="en-US"/>
        </w:rPr>
      </w:pPr>
      <w:r w:rsidRPr="00BD6197">
        <w:rPr>
          <w:lang w:val="en-US"/>
        </w:rPr>
        <w:t>Section VI: Installation of reduced command radio.</w:t>
      </w:r>
    </w:p>
    <w:p w:rsidR="00FB16F7" w:rsidRPr="00BD6197" w:rsidRDefault="00FB16F7" w:rsidP="00FB16F7">
      <w:pPr>
        <w:rPr>
          <w:lang w:val="en-US"/>
        </w:rPr>
      </w:pPr>
      <w:r w:rsidRPr="00BD6197">
        <w:rPr>
          <w:lang w:val="en-US"/>
        </w:rPr>
        <w:t>Article 7: The use of reduced transmitters and receivers sets with less than five (5) watts meant for command radio, except for those authorized with full right, is submitted to the payment of taxes for a period of five (5) years, which is collected upfront and non refundable.</w:t>
      </w:r>
    </w:p>
    <w:p w:rsidR="00FB16F7" w:rsidRPr="00BD6197" w:rsidRDefault="00FB16F7" w:rsidP="00FB16F7">
      <w:pPr>
        <w:rPr>
          <w:lang w:val="en-US"/>
        </w:rPr>
      </w:pPr>
      <w:r w:rsidRPr="00BD6197">
        <w:rPr>
          <w:lang w:val="en-US"/>
        </w:rPr>
        <w:t>Section VII: Rates and the modality of payment of radioelectric fees and charges.</w:t>
      </w:r>
    </w:p>
    <w:p w:rsidR="00FB16F7" w:rsidRPr="00BD6197" w:rsidRDefault="00FB16F7" w:rsidP="00FB16F7">
      <w:pPr>
        <w:keepNext/>
        <w:keepLines/>
        <w:rPr>
          <w:lang w:val="en-US"/>
        </w:rPr>
      </w:pPr>
      <w:r w:rsidRPr="00BD6197">
        <w:rPr>
          <w:lang w:val="en-US"/>
        </w:rPr>
        <w:lastRenderedPageBreak/>
        <w:t>Article 8: The modalities for payment of fees, charges and contributions as stipulated in Sections I to IV stipulated above is as follows:</w:t>
      </w:r>
    </w:p>
    <w:p w:rsidR="00FB16F7" w:rsidRPr="00BD6197" w:rsidRDefault="00FB16F7" w:rsidP="00FB16F7">
      <w:pPr>
        <w:pStyle w:val="enumlev1"/>
        <w:keepNext/>
        <w:keepLines/>
        <w:rPr>
          <w:lang w:val="en-US"/>
        </w:rPr>
      </w:pPr>
      <w:r w:rsidRPr="00BD6197">
        <w:rPr>
          <w:lang w:val="en-US"/>
        </w:rPr>
        <w:t>–</w:t>
      </w:r>
      <w:r w:rsidRPr="00BD6197">
        <w:rPr>
          <w:lang w:val="en-US"/>
        </w:rPr>
        <w:tab/>
        <w:t>fees for the compilation of files, forfeitary and non refundable charges are paid upfront before the authorization is issued;</w:t>
      </w:r>
    </w:p>
    <w:p w:rsidR="00FB16F7" w:rsidRPr="00BD6197" w:rsidRDefault="00FB16F7" w:rsidP="00FB16F7">
      <w:pPr>
        <w:pStyle w:val="enumlev1"/>
        <w:rPr>
          <w:lang w:val="en-US"/>
        </w:rPr>
      </w:pPr>
      <w:r w:rsidRPr="00BD6197">
        <w:rPr>
          <w:lang w:val="en-US"/>
        </w:rPr>
        <w:t>–</w:t>
      </w:r>
      <w:r w:rsidRPr="00BD6197">
        <w:rPr>
          <w:lang w:val="en-US"/>
        </w:rPr>
        <w:tab/>
        <w:t>control charge for stations and contributions for management costs are paid in advance and due payable on annual basis and non refundable;</w:t>
      </w:r>
    </w:p>
    <w:p w:rsidR="00FB16F7" w:rsidRPr="00BD6197" w:rsidRDefault="00FB16F7" w:rsidP="00FB16F7">
      <w:pPr>
        <w:pStyle w:val="enumlev1"/>
        <w:rPr>
          <w:lang w:val="en-US"/>
        </w:rPr>
      </w:pPr>
      <w:r w:rsidRPr="00BD6197">
        <w:rPr>
          <w:lang w:val="en-US"/>
        </w:rPr>
        <w:t>–</w:t>
      </w:r>
      <w:r w:rsidRPr="00BD6197">
        <w:rPr>
          <w:lang w:val="en-US"/>
        </w:rPr>
        <w:tab/>
        <w:t>charges due for the use of electric frequencies is on annual basis and the first year starts from the date of putting into service of the stations while the subsequent years start from the 1st of January.</w:t>
      </w:r>
    </w:p>
    <w:p w:rsidR="00FB16F7" w:rsidRPr="00BD6197" w:rsidRDefault="00FB16F7" w:rsidP="00FB16F7">
      <w:pPr>
        <w:rPr>
          <w:lang w:val="en-US"/>
        </w:rPr>
      </w:pPr>
      <w:r w:rsidRPr="00BD6197">
        <w:rPr>
          <w:lang w:val="en-US"/>
        </w:rPr>
        <w:t xml:space="preserve">Article 9: Payment of fees and charges is testified with the issue of a label which is gummed on the equipment, vehicles or ship for mobile stations. </w:t>
      </w:r>
    </w:p>
    <w:p w:rsidR="00FB16F7" w:rsidRPr="00BD6197" w:rsidRDefault="00FB16F7" w:rsidP="00FB16F7">
      <w:pPr>
        <w:rPr>
          <w:lang w:val="en-US"/>
        </w:rPr>
      </w:pPr>
    </w:p>
    <w:p w:rsidR="00FB16F7" w:rsidRPr="00BD6197" w:rsidRDefault="00FB16F7" w:rsidP="00FB16F7">
      <w:pPr>
        <w:jc w:val="center"/>
        <w:rPr>
          <w:lang w:val="en-US"/>
        </w:rPr>
      </w:pPr>
      <w:r w:rsidRPr="00BD6197">
        <w:rPr>
          <w:lang w:val="en-US"/>
        </w:rPr>
        <w:t>CHAPTER III</w:t>
      </w:r>
    </w:p>
    <w:p w:rsidR="00FB16F7" w:rsidRPr="00BD6197" w:rsidRDefault="00FB16F7" w:rsidP="00FB16F7">
      <w:pPr>
        <w:jc w:val="center"/>
        <w:rPr>
          <w:lang w:val="en-US"/>
        </w:rPr>
      </w:pPr>
      <w:r w:rsidRPr="00BD6197">
        <w:rPr>
          <w:lang w:val="en-US"/>
        </w:rPr>
        <w:t>FEES AND OTHER CHARGES</w:t>
      </w:r>
    </w:p>
    <w:p w:rsidR="00FB16F7" w:rsidRPr="00BD6197" w:rsidRDefault="00FB16F7" w:rsidP="00FB16F7">
      <w:pPr>
        <w:rPr>
          <w:lang w:val="en-US"/>
        </w:rPr>
      </w:pPr>
      <w:r w:rsidRPr="00BD6197">
        <w:rPr>
          <w:lang w:val="en-US"/>
        </w:rPr>
        <w:t>Section I: Exam Fees.</w:t>
      </w:r>
    </w:p>
    <w:p w:rsidR="00FB16F7" w:rsidRPr="00BD6197" w:rsidRDefault="00FB16F7" w:rsidP="00FB16F7">
      <w:pPr>
        <w:rPr>
          <w:lang w:val="en-US"/>
        </w:rPr>
      </w:pPr>
      <w:r w:rsidRPr="00BD6197">
        <w:rPr>
          <w:lang w:val="en-US"/>
        </w:rPr>
        <w:t>Article 10: For the obtention of a certificates for radiotelegraph operator, radio telephone operator or a certificate for the two, exams fees are paid before the examinations start. The same fees will be paid for issuing a certificate (s) for those having military attestations as operators.</w:t>
      </w:r>
    </w:p>
    <w:p w:rsidR="00FB16F7" w:rsidRPr="00BD6197" w:rsidRDefault="00FB16F7" w:rsidP="00FB16F7">
      <w:pPr>
        <w:rPr>
          <w:lang w:val="en-US"/>
        </w:rPr>
      </w:pPr>
      <w:r w:rsidRPr="00BD6197">
        <w:rPr>
          <w:lang w:val="en-US"/>
        </w:rPr>
        <w:t xml:space="preserve">Article 11: In the course of issuing or renewing or establishing a duplicate of a radio amateur, air or ship licence and a certificate of an operator, forfeitary and non refundable fees are paid. </w:t>
      </w:r>
    </w:p>
    <w:p w:rsidR="00FB16F7" w:rsidRPr="00BD6197" w:rsidRDefault="00FB16F7" w:rsidP="00FB16F7">
      <w:pPr>
        <w:rPr>
          <w:lang w:val="en-US"/>
        </w:rPr>
      </w:pPr>
      <w:r w:rsidRPr="00BD6197">
        <w:rPr>
          <w:lang w:val="en-US"/>
        </w:rPr>
        <w:t>Section II: Intervention fees.</w:t>
      </w:r>
    </w:p>
    <w:p w:rsidR="00FB16F7" w:rsidRPr="00BD6197" w:rsidRDefault="00FB16F7" w:rsidP="00FB16F7">
      <w:pPr>
        <w:rPr>
          <w:lang w:val="en-US"/>
        </w:rPr>
      </w:pPr>
      <w:r w:rsidRPr="00BD6197">
        <w:rPr>
          <w:lang w:val="en-US"/>
        </w:rPr>
        <w:t>Article 12: Exceptional fees are paid for radioelectric interference on frequency which is in regular use or installations which have not respected the norms as stipulated in chapter II above and this leads to payment of a forfeitary charge for each intervention. This tax is paid by the owner of the station which is either interfering with other stations or by the owner of a non conformity installation.</w:t>
      </w:r>
    </w:p>
    <w:p w:rsidR="00FB16F7" w:rsidRPr="00BD6197" w:rsidRDefault="00FB16F7" w:rsidP="00FB16F7">
      <w:pPr>
        <w:rPr>
          <w:lang w:val="en-US"/>
        </w:rPr>
      </w:pPr>
      <w:r w:rsidRPr="00BD6197">
        <w:rPr>
          <w:lang w:val="en-US"/>
        </w:rPr>
        <w:t>Section III: Commissioning Charges.</w:t>
      </w:r>
    </w:p>
    <w:p w:rsidR="00FB16F7" w:rsidRPr="00BD6197" w:rsidRDefault="00FB16F7" w:rsidP="00FB16F7">
      <w:pPr>
        <w:rPr>
          <w:lang w:val="en-US"/>
        </w:rPr>
      </w:pPr>
      <w:r w:rsidRPr="00BD6197">
        <w:rPr>
          <w:lang w:val="en-US"/>
        </w:rPr>
        <w:t>Article 13: The commissioning of terminal equipments and an authorization of private radiocommunications installers are entitled to payment of non refundable charges as follows:</w:t>
      </w:r>
    </w:p>
    <w:p w:rsidR="00FB16F7" w:rsidRPr="00BD6197" w:rsidRDefault="00FB16F7" w:rsidP="00FB16F7">
      <w:pPr>
        <w:pStyle w:val="enumlev1"/>
        <w:rPr>
          <w:lang w:val="en-US"/>
        </w:rPr>
      </w:pPr>
      <w:r w:rsidRPr="00BD6197">
        <w:rPr>
          <w:lang w:val="en-US"/>
        </w:rPr>
        <w:t>1)</w:t>
      </w:r>
      <w:r w:rsidRPr="00BD6197">
        <w:rPr>
          <w:lang w:val="en-US"/>
        </w:rPr>
        <w:tab/>
      </w:r>
      <w:r w:rsidRPr="00BD6197">
        <w:rPr>
          <w:b/>
          <w:lang w:val="en-US"/>
        </w:rPr>
        <w:t>For equipments</w:t>
      </w:r>
      <w:r w:rsidRPr="00BD6197">
        <w:rPr>
          <w:lang w:val="en-US"/>
        </w:rPr>
        <w:t>: A fee for compiling a file and a fee for technical control of the equipment.</w:t>
      </w:r>
    </w:p>
    <w:p w:rsidR="00FB16F7" w:rsidRPr="00BD6197" w:rsidRDefault="00FB16F7" w:rsidP="00FB16F7">
      <w:pPr>
        <w:pStyle w:val="enumlev1"/>
        <w:rPr>
          <w:lang w:val="en-US"/>
        </w:rPr>
      </w:pPr>
      <w:r w:rsidRPr="00BD6197">
        <w:rPr>
          <w:bCs/>
          <w:lang w:val="en-US"/>
        </w:rPr>
        <w:t>2)</w:t>
      </w:r>
      <w:r w:rsidRPr="00BD6197">
        <w:rPr>
          <w:b/>
          <w:lang w:val="en-US"/>
        </w:rPr>
        <w:tab/>
        <w:t>For private installers</w:t>
      </w:r>
      <w:r w:rsidRPr="00BD6197">
        <w:rPr>
          <w:lang w:val="en-US"/>
        </w:rPr>
        <w:t>: A fee for compiling a file and a charge for commissioning which are paid during the issue or renewal of authorization.</w:t>
      </w:r>
    </w:p>
    <w:p w:rsidR="00FB16F7" w:rsidRPr="00BD6197" w:rsidRDefault="00FB16F7" w:rsidP="00FB16F7">
      <w:pPr>
        <w:rPr>
          <w:lang w:val="en-US"/>
        </w:rPr>
      </w:pPr>
    </w:p>
    <w:p w:rsidR="00FB16F7" w:rsidRPr="00BD6197" w:rsidRDefault="00FB16F7" w:rsidP="00FB16F7">
      <w:pPr>
        <w:jc w:val="center"/>
        <w:rPr>
          <w:lang w:val="en-US"/>
        </w:rPr>
      </w:pPr>
      <w:r w:rsidRPr="00BD6197">
        <w:rPr>
          <w:lang w:val="en-US"/>
        </w:rPr>
        <w:t>CHAPTER IV</w:t>
      </w:r>
    </w:p>
    <w:p w:rsidR="00FB16F7" w:rsidRPr="00BD6197" w:rsidRDefault="00FB16F7" w:rsidP="00FB16F7">
      <w:pPr>
        <w:jc w:val="center"/>
        <w:rPr>
          <w:lang w:val="en-US"/>
        </w:rPr>
      </w:pPr>
      <w:r w:rsidRPr="00BD6197">
        <w:rPr>
          <w:lang w:val="en-US"/>
        </w:rPr>
        <w:t>PENAL PROVISIONS</w:t>
      </w:r>
    </w:p>
    <w:p w:rsidR="00FB16F7" w:rsidRPr="00BD6197" w:rsidRDefault="00FB16F7" w:rsidP="00FB16F7">
      <w:pPr>
        <w:pStyle w:val="Normalaftertitle"/>
        <w:rPr>
          <w:lang w:val="en-US"/>
        </w:rPr>
      </w:pPr>
      <w:r w:rsidRPr="00BD6197">
        <w:rPr>
          <w:lang w:val="en-US"/>
        </w:rPr>
        <w:t>Article 14: Any infringement to the provisions of this decree will be sanctioned by Articles 14 and 35 of Law N° 95-526 of 7 July 1995 on Telecommunications code.</w:t>
      </w:r>
    </w:p>
    <w:p w:rsidR="00FB16F7" w:rsidRPr="00BD6197" w:rsidRDefault="00FB16F7" w:rsidP="00FB16F7">
      <w:pPr>
        <w:rPr>
          <w:lang w:val="en-US"/>
        </w:rPr>
      </w:pPr>
      <w:r w:rsidRPr="00BD6197">
        <w:rPr>
          <w:lang w:val="en-US"/>
        </w:rPr>
        <w:t>Article 15: In addition, failure to pay the required fees, charges and contributions will lead to the suspension of the authorization and the sealing of the radioelectric equipment.</w:t>
      </w:r>
    </w:p>
    <w:p w:rsidR="00FB16F7" w:rsidRPr="00BD6197" w:rsidRDefault="00FB16F7" w:rsidP="00FB16F7">
      <w:pPr>
        <w:rPr>
          <w:lang w:val="en-US"/>
        </w:rPr>
      </w:pPr>
    </w:p>
    <w:p w:rsidR="00F21259" w:rsidRDefault="00F21259" w:rsidP="00FB16F7">
      <w:pPr>
        <w:jc w:val="center"/>
        <w:rPr>
          <w:lang w:val="en-US"/>
        </w:rPr>
      </w:pPr>
      <w:r>
        <w:rPr>
          <w:lang w:val="en-US"/>
        </w:rPr>
        <w:br w:type="page"/>
      </w:r>
    </w:p>
    <w:p w:rsidR="00FB16F7" w:rsidRPr="00BD6197" w:rsidRDefault="00FB16F7" w:rsidP="00FB16F7">
      <w:pPr>
        <w:jc w:val="center"/>
        <w:rPr>
          <w:lang w:val="en-US"/>
        </w:rPr>
      </w:pPr>
      <w:r w:rsidRPr="00BD6197">
        <w:rPr>
          <w:lang w:val="en-US"/>
        </w:rPr>
        <w:lastRenderedPageBreak/>
        <w:t>CHAPTER V</w:t>
      </w:r>
    </w:p>
    <w:p w:rsidR="00FB16F7" w:rsidRPr="00BD6197" w:rsidRDefault="00FB16F7" w:rsidP="00FB16F7">
      <w:pPr>
        <w:jc w:val="center"/>
        <w:rPr>
          <w:lang w:val="en-US"/>
        </w:rPr>
      </w:pPr>
      <w:r w:rsidRPr="00BD6197">
        <w:rPr>
          <w:lang w:val="en-US"/>
        </w:rPr>
        <w:t>FINAL PROVISIONS</w:t>
      </w:r>
    </w:p>
    <w:p w:rsidR="00FB16F7" w:rsidRPr="00BD6197" w:rsidRDefault="00FB16F7" w:rsidP="00FB16F7">
      <w:pPr>
        <w:pStyle w:val="Normalaftertitle"/>
        <w:rPr>
          <w:lang w:val="en-US"/>
        </w:rPr>
      </w:pPr>
      <w:r w:rsidRPr="00BD6197">
        <w:rPr>
          <w:lang w:val="en-US"/>
        </w:rPr>
        <w:t>Article 16: The amount of fees, charges and contributions to be paid in accordance to the provisions of this decree are fixed by a joint Ministerial Order of the Minister of Economy and Finances and the Minister in charge of Telecommunications.</w:t>
      </w:r>
    </w:p>
    <w:p w:rsidR="00FB16F7" w:rsidRPr="00BD6197" w:rsidRDefault="00FB16F7" w:rsidP="00FB16F7">
      <w:pPr>
        <w:rPr>
          <w:lang w:val="en-US"/>
        </w:rPr>
      </w:pPr>
      <w:r w:rsidRPr="00BD6197">
        <w:rPr>
          <w:lang w:val="en-US"/>
        </w:rPr>
        <w:t>Article 17: All other former provisions contrary to this decree are cancelled notably Articles 16, 17, 18, 19, 20, 21 and 22 of decree N° 85-1089 of 16 October 1985 fixing regulations on private radioelectricity.</w:t>
      </w:r>
    </w:p>
    <w:p w:rsidR="00FB16F7" w:rsidRPr="00BD6197" w:rsidRDefault="00FB16F7" w:rsidP="00FB16F7">
      <w:pPr>
        <w:rPr>
          <w:lang w:val="en-US"/>
        </w:rPr>
      </w:pPr>
      <w:r w:rsidRPr="00BD6197">
        <w:rPr>
          <w:lang w:val="en-US"/>
        </w:rPr>
        <w:t>Article 18: This decree shall enter into force from the date of signature and will be published in the Official Gazette of the Republic of Côte d’Ivoire.</w:t>
      </w:r>
    </w:p>
    <w:p w:rsidR="00FB16F7" w:rsidRPr="00BD6197" w:rsidRDefault="00FB16F7" w:rsidP="00FB16F7">
      <w:pPr>
        <w:rPr>
          <w:lang w:val="en-US"/>
        </w:rPr>
      </w:pPr>
      <w:r w:rsidRPr="00BD6197">
        <w:rPr>
          <w:lang w:val="en-US"/>
        </w:rPr>
        <w:t>Article 19: The Minister in charge of Telecommunications and the Minister in charge of Economy and Finances are responsible as it concerns each of them in the implementation of this decree.</w:t>
      </w:r>
    </w:p>
    <w:p w:rsidR="00FB16F7" w:rsidRPr="00A01420" w:rsidRDefault="00FB16F7" w:rsidP="007144DD">
      <w:pPr>
        <w:spacing w:before="1440"/>
        <w:jc w:val="left"/>
        <w:rPr>
          <w:lang w:val="de-CH"/>
        </w:rPr>
      </w:pPr>
      <w:r w:rsidRPr="00A01420">
        <w:rPr>
          <w:lang w:val="de-CH"/>
        </w:rPr>
        <w:t>Done in Abidjan</w:t>
      </w:r>
      <w:r w:rsidRPr="00A01420">
        <w:rPr>
          <w:lang w:val="de-CH"/>
        </w:rPr>
        <w:br/>
        <w:t>Henri KONAN BEDIE</w:t>
      </w:r>
    </w:p>
    <w:p w:rsidR="0041268E" w:rsidRPr="00FB16F7" w:rsidRDefault="0041268E" w:rsidP="0041268E">
      <w:pPr>
        <w:rPr>
          <w:lang w:val="de-CH"/>
        </w:rPr>
      </w:pPr>
    </w:p>
    <w:p w:rsidR="0041268E" w:rsidRPr="00FB16F7" w:rsidRDefault="0041268E" w:rsidP="0041268E">
      <w:pPr>
        <w:rPr>
          <w:lang w:val="de-CH"/>
        </w:rPr>
      </w:pPr>
    </w:p>
    <w:p w:rsidR="00007F8D" w:rsidRPr="00935249" w:rsidRDefault="00007F8D" w:rsidP="00E10AA1">
      <w:pPr>
        <w:pStyle w:val="Line"/>
        <w:rPr>
          <w:lang w:val="de-CH"/>
        </w:rPr>
      </w:pPr>
    </w:p>
    <w:sectPr w:rsidR="00007F8D" w:rsidRPr="00935249" w:rsidSect="00DC27A7">
      <w:headerReference w:type="even" r:id="rId323"/>
      <w:headerReference w:type="default" r:id="rId324"/>
      <w:headerReference w:type="first" r:id="rId325"/>
      <w:pgSz w:w="11907" w:h="16834" w:code="9"/>
      <w:pgMar w:top="1418" w:right="1134" w:bottom="1134" w:left="1134" w:header="720" w:footer="482" w:gutter="0"/>
      <w:paperSrc w:first="15" w:other="15"/>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C5F80" w:rsidRDefault="003C5F80">
      <w:r>
        <w:separator/>
      </w:r>
    </w:p>
  </w:endnote>
  <w:endnote w:type="continuationSeparator" w:id="0">
    <w:p w:rsidR="003C5F80" w:rsidRDefault="003C5F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PS">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Times-Roman">
    <w:altName w:val="Times New Roman"/>
    <w:panose1 w:val="00000000000000000000"/>
    <w:charset w:val="4D"/>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NewRoman">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TimesNewRoman,Bold">
    <w:panose1 w:val="00000000000000000000"/>
    <w:charset w:val="00"/>
    <w:family w:val="roman"/>
    <w:notTrueType/>
    <w:pitch w:val="default"/>
    <w:sig w:usb0="00000003" w:usb1="00000000" w:usb2="00000000" w:usb3="00000000" w:csb0="00000001" w:csb1="00000000"/>
  </w:font>
  <w:font w:name="???">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F80" w:rsidRPr="007144DD" w:rsidRDefault="003C5F80" w:rsidP="007144D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F80" w:rsidRPr="007144DD" w:rsidRDefault="003C5F80" w:rsidP="007144D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F80" w:rsidRPr="007144DD" w:rsidRDefault="003C5F80" w:rsidP="007144D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F80" w:rsidRPr="007144DD" w:rsidRDefault="003C5F80" w:rsidP="007144D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C5F80" w:rsidRDefault="003C5F80">
      <w:r>
        <w:separator/>
      </w:r>
    </w:p>
  </w:footnote>
  <w:footnote w:type="continuationSeparator" w:id="0">
    <w:p w:rsidR="003C5F80" w:rsidRDefault="003C5F80">
      <w:r>
        <w:continuationSeparator/>
      </w:r>
    </w:p>
  </w:footnote>
  <w:footnote w:id="1">
    <w:p w:rsidR="003C5F80" w:rsidRPr="00FC0E37" w:rsidRDefault="003C5F80" w:rsidP="00007F8D">
      <w:pPr>
        <w:pStyle w:val="FootnoteText"/>
        <w:spacing w:before="40"/>
        <w:rPr>
          <w:lang w:val="en-US"/>
        </w:rPr>
      </w:pPr>
      <w:r w:rsidRPr="004B1C8B">
        <w:rPr>
          <w:rStyle w:val="FootnoteReference"/>
        </w:rPr>
        <w:footnoteRef/>
      </w:r>
      <w:r w:rsidRPr="005F07FC">
        <w:rPr>
          <w:lang w:val="en-US"/>
        </w:rPr>
        <w:tab/>
      </w:r>
      <w:r w:rsidRPr="00FC0E37">
        <w:rPr>
          <w:lang w:val="en-US"/>
        </w:rPr>
        <w:t>Source: A. M. YOUSSEF, E. KALMAN, L. BENZONI, “Technico-Economic Methods For Radio Spectrum Assignment”, in IEEE Communications Magazine, June 1995.</w:t>
      </w:r>
    </w:p>
  </w:footnote>
  <w:footnote w:id="2">
    <w:p w:rsidR="003C5F80" w:rsidRPr="0024702C" w:rsidRDefault="003C5F80" w:rsidP="00007F8D">
      <w:pPr>
        <w:pStyle w:val="FootnoteText"/>
        <w:rPr>
          <w:lang w:val="en-US"/>
        </w:rPr>
      </w:pPr>
      <w:r w:rsidRPr="00223739">
        <w:rPr>
          <w:rStyle w:val="FootnoteReference"/>
        </w:rPr>
        <w:footnoteRef/>
      </w:r>
      <w:r w:rsidRPr="007F2948">
        <w:rPr>
          <w:lang w:val="en-US"/>
        </w:rPr>
        <w:tab/>
      </w:r>
      <w:r w:rsidRPr="0024702C">
        <w:rPr>
          <w:lang w:val="en-US"/>
        </w:rPr>
        <w:t xml:space="preserve">SMITH-NERA (1996) </w:t>
      </w:r>
      <w:r>
        <w:rPr>
          <w:lang w:val="en-US"/>
        </w:rPr>
        <w:t>– S</w:t>
      </w:r>
      <w:r w:rsidRPr="0024702C">
        <w:rPr>
          <w:lang w:val="en-US"/>
        </w:rPr>
        <w:t xml:space="preserve">tudy into the Use of Spectrum Pricing; </w:t>
      </w:r>
      <w:r>
        <w:rPr>
          <w:lang w:val="en-US"/>
        </w:rPr>
        <w:t>R</w:t>
      </w:r>
      <w:r w:rsidRPr="0024702C">
        <w:rPr>
          <w:lang w:val="en-US"/>
        </w:rPr>
        <w:t xml:space="preserve">eport prepared by the Smith Group and NERA for the UK Radio Agency. See also the </w:t>
      </w:r>
      <w:r>
        <w:rPr>
          <w:lang w:val="en-US"/>
        </w:rPr>
        <w:t xml:space="preserve">Report by Europe Economics for OFCOM </w:t>
      </w:r>
      <w:r w:rsidRPr="0024702C">
        <w:rPr>
          <w:lang w:val="en-US"/>
        </w:rPr>
        <w:t>for the year ending 31 March 2006.</w:t>
      </w:r>
      <w:r>
        <w:rPr>
          <w:lang w:val="en-US"/>
        </w:rPr>
        <w:t xml:space="preserve"> </w:t>
      </w:r>
    </w:p>
  </w:footnote>
  <w:footnote w:id="3">
    <w:p w:rsidR="003C5F80" w:rsidRPr="00776E34" w:rsidRDefault="003C5F80" w:rsidP="00831CFB">
      <w:pPr>
        <w:pStyle w:val="FootnoteText"/>
        <w:rPr>
          <w:lang w:val="en-US"/>
        </w:rPr>
      </w:pPr>
      <w:r w:rsidRPr="007E085A">
        <w:rPr>
          <w:rStyle w:val="FootnoteReference"/>
        </w:rPr>
        <w:footnoteRef/>
      </w:r>
      <w:r w:rsidRPr="00776E34">
        <w:rPr>
          <w:lang w:val="en-US"/>
        </w:rPr>
        <w:t xml:space="preserve"> </w:t>
      </w:r>
      <w:r>
        <w:rPr>
          <w:lang w:val="en-US"/>
        </w:rPr>
        <w:tab/>
      </w:r>
      <w:r w:rsidRPr="0024702C">
        <w:rPr>
          <w:lang w:val="en-US"/>
        </w:rPr>
        <w:t>NOZDRIN, V.</w:t>
      </w:r>
      <w:r>
        <w:rPr>
          <w:lang w:val="en-US"/>
        </w:rPr>
        <w:t xml:space="preserve"> [</w:t>
      </w:r>
      <w:r w:rsidRPr="0024702C">
        <w:rPr>
          <w:lang w:val="en-US"/>
        </w:rPr>
        <w:t>2003</w:t>
      </w:r>
      <w:r>
        <w:rPr>
          <w:lang w:val="en-US"/>
        </w:rPr>
        <w:t>]</w:t>
      </w:r>
      <w:r w:rsidRPr="0024702C">
        <w:rPr>
          <w:lang w:val="en-US"/>
        </w:rPr>
        <w:t xml:space="preserve"> Spectrum pricing</w:t>
      </w:r>
      <w:r>
        <w:rPr>
          <w:lang w:val="en-US"/>
        </w:rPr>
        <w:t>.</w:t>
      </w:r>
      <w:r w:rsidRPr="0024702C">
        <w:rPr>
          <w:lang w:val="en-US"/>
        </w:rPr>
        <w:t xml:space="preserve"> Regional Radiocommunication Seminar, Lusaka</w:t>
      </w:r>
      <w:r>
        <w:rPr>
          <w:lang w:val="en-US"/>
        </w:rPr>
        <w:t> </w:t>
      </w:r>
      <w:r w:rsidRPr="0024702C">
        <w:rPr>
          <w:lang w:val="en-US"/>
        </w:rPr>
        <w:t>2003.</w:t>
      </w:r>
    </w:p>
  </w:footnote>
  <w:footnote w:id="4">
    <w:p w:rsidR="003C5F80" w:rsidRPr="0038417F" w:rsidRDefault="003C5F80" w:rsidP="00A945F2">
      <w:pPr>
        <w:pStyle w:val="FootnoteText"/>
        <w:rPr>
          <w:lang w:val="en-GB"/>
        </w:rPr>
      </w:pPr>
      <w:r>
        <w:rPr>
          <w:rStyle w:val="FootnoteReference"/>
        </w:rPr>
        <w:footnoteRef/>
      </w:r>
      <w:r w:rsidRPr="0038417F">
        <w:rPr>
          <w:rStyle w:val="FootnoteReference"/>
          <w:lang w:val="en-GB"/>
        </w:rPr>
        <w:tab/>
      </w:r>
      <w:r w:rsidRPr="0038417F">
        <w:rPr>
          <w:lang w:val="en-GB"/>
        </w:rPr>
        <w:t xml:space="preserve">The term pricing used in this section should be understood according to </w:t>
      </w:r>
      <w:r>
        <w:rPr>
          <w:lang w:val="en-US"/>
        </w:rPr>
        <w:t xml:space="preserve">the </w:t>
      </w:r>
      <w:r w:rsidRPr="006A0A62">
        <w:rPr>
          <w:lang w:val="en-US"/>
        </w:rPr>
        <w:t>No. 155</w:t>
      </w:r>
      <w:r>
        <w:rPr>
          <w:lang w:val="en-US"/>
        </w:rPr>
        <w:t xml:space="preserve"> of the ITU </w:t>
      </w:r>
      <w:hyperlink r:id="rId1">
        <w:r w:rsidRPr="006A0A62">
          <w:rPr>
            <w:rStyle w:val="InternetLink"/>
            <w:color w:val="auto"/>
            <w:u w:val="none"/>
            <w:lang w:val="en-US"/>
          </w:rPr>
          <w:t>Constitution and Convention</w:t>
        </w:r>
      </w:hyperlink>
      <w:r>
        <w:rPr>
          <w:lang w:val="en-US"/>
        </w:rPr>
        <w:t xml:space="preserve"> (Edition 2015).</w:t>
      </w:r>
    </w:p>
  </w:footnote>
  <w:footnote w:id="5">
    <w:p w:rsidR="003C5F80" w:rsidRPr="0038417F" w:rsidRDefault="003C5F80" w:rsidP="0038417F">
      <w:pPr>
        <w:pStyle w:val="FootnoteText"/>
        <w:rPr>
          <w:lang w:val="en-GB"/>
        </w:rPr>
      </w:pPr>
      <w:r>
        <w:rPr>
          <w:rStyle w:val="FootnoteReference"/>
        </w:rPr>
        <w:footnoteRef/>
      </w:r>
      <w:r w:rsidRPr="0038417F">
        <w:rPr>
          <w:rStyle w:val="FootnoteReference"/>
          <w:lang w:val="en-GB"/>
        </w:rPr>
        <w:tab/>
      </w:r>
      <w:r w:rsidRPr="0038417F">
        <w:rPr>
          <w:lang w:val="en-GB"/>
        </w:rPr>
        <w:t>The modifier to the fee</w:t>
      </w:r>
      <w:r w:rsidRPr="0038417F">
        <w:rPr>
          <w:rFonts w:eastAsia="SimSun"/>
          <w:lang w:val="en-GB"/>
        </w:rPr>
        <w:t xml:space="preserve"> reflects the particular circumstances of the spectrum being priced.</w:t>
      </w:r>
    </w:p>
  </w:footnote>
  <w:footnote w:id="6">
    <w:p w:rsidR="003C5F80" w:rsidRPr="0038417F" w:rsidRDefault="003C5F80" w:rsidP="0038417F">
      <w:pPr>
        <w:pStyle w:val="FootnoteText"/>
        <w:rPr>
          <w:lang w:val="en-GB"/>
        </w:rPr>
      </w:pPr>
      <w:r>
        <w:rPr>
          <w:rStyle w:val="FootnoteReference"/>
        </w:rPr>
        <w:footnoteRef/>
      </w:r>
      <w:r w:rsidRPr="0038417F">
        <w:rPr>
          <w:rStyle w:val="FootnoteReference"/>
          <w:lang w:val="en-GB"/>
        </w:rPr>
        <w:tab/>
      </w:r>
      <w:r>
        <w:rPr>
          <w:szCs w:val="24"/>
          <w:lang w:val="en-US"/>
        </w:rPr>
        <w:t xml:space="preserve">This factor could </w:t>
      </w:r>
      <w:r w:rsidRPr="0038417F">
        <w:rPr>
          <w:szCs w:val="24"/>
          <w:lang w:val="en-GB"/>
        </w:rPr>
        <w:t>be</w:t>
      </w:r>
      <w:r>
        <w:rPr>
          <w:szCs w:val="24"/>
          <w:lang w:val="en-US"/>
        </w:rPr>
        <w:t xml:space="preserve"> excluded in case of agreements among operators on spectrum sharing, under the provisions of national regulations; see </w:t>
      </w:r>
      <w:r w:rsidRPr="0038417F">
        <w:rPr>
          <w:szCs w:val="24"/>
          <w:lang w:val="en-GB"/>
        </w:rPr>
        <w:t xml:space="preserve">Report </w:t>
      </w:r>
      <w:hyperlink r:id="rId2">
        <w:r w:rsidRPr="0038417F">
          <w:rPr>
            <w:rStyle w:val="InternetLink"/>
            <w:color w:val="auto"/>
            <w:szCs w:val="24"/>
            <w:u w:val="none"/>
            <w:lang w:val="en-GB"/>
          </w:rPr>
          <w:t>ITU-R SM.2404</w:t>
        </w:r>
      </w:hyperlink>
      <w:r w:rsidRPr="0038417F">
        <w:rPr>
          <w:szCs w:val="24"/>
          <w:lang w:val="en-GB"/>
        </w:rPr>
        <w:t xml:space="preserve"> – Regulatory tools to support enhanced shared use of the spectrum.</w:t>
      </w:r>
    </w:p>
  </w:footnote>
  <w:footnote w:id="7">
    <w:p w:rsidR="003C5F80" w:rsidRPr="0038417F" w:rsidRDefault="003C5F80" w:rsidP="0038417F">
      <w:pPr>
        <w:pStyle w:val="FootnoteText"/>
        <w:rPr>
          <w:lang w:val="en-GB"/>
        </w:rPr>
      </w:pPr>
      <w:r>
        <w:rPr>
          <w:rStyle w:val="FootnoteReference"/>
        </w:rPr>
        <w:footnoteRef/>
      </w:r>
      <w:r w:rsidRPr="0038417F">
        <w:rPr>
          <w:rStyle w:val="FootnoteReference"/>
          <w:lang w:val="en-GB"/>
        </w:rPr>
        <w:tab/>
      </w:r>
      <w:r w:rsidRPr="0038417F">
        <w:rPr>
          <w:lang w:val="en-GB"/>
        </w:rPr>
        <w:t>Using both subjective and objective parameters in the formula means that it becomes a subjective formula that is devaluing an objectivity that is expected in determining opportunity cost.</w:t>
      </w:r>
    </w:p>
  </w:footnote>
  <w:footnote w:id="8">
    <w:p w:rsidR="003C5F80" w:rsidRPr="0038417F" w:rsidRDefault="003C5F80" w:rsidP="0038417F">
      <w:pPr>
        <w:pStyle w:val="FootnoteText"/>
        <w:rPr>
          <w:lang w:val="en-GB"/>
        </w:rPr>
      </w:pPr>
      <w:r>
        <w:rPr>
          <w:rStyle w:val="FootnoteReference"/>
        </w:rPr>
        <w:footnoteRef/>
      </w:r>
      <w:r w:rsidRPr="0038417F">
        <w:rPr>
          <w:rStyle w:val="FootnoteReference"/>
          <w:lang w:val="en-GB"/>
        </w:rPr>
        <w:tab/>
      </w:r>
      <w:r>
        <w:rPr>
          <w:szCs w:val="24"/>
          <w:lang w:val="en-US"/>
        </w:rPr>
        <w:t xml:space="preserve">The U.S. </w:t>
      </w:r>
      <w:hyperlink r:id="rId3">
        <w:r w:rsidRPr="0038417F">
          <w:rPr>
            <w:rStyle w:val="InternetLink"/>
            <w:szCs w:val="24"/>
            <w:lang w:val="en-GB"/>
          </w:rPr>
          <w:t>Presidential Memorandum 2013</w:t>
        </w:r>
      </w:hyperlink>
      <w:r w:rsidRPr="0038417F">
        <w:rPr>
          <w:szCs w:val="24"/>
          <w:lang w:val="en-GB"/>
        </w:rPr>
        <w:t xml:space="preserve"> "… </w:t>
      </w:r>
      <w:r>
        <w:rPr>
          <w:szCs w:val="24"/>
          <w:lang w:val="en-US"/>
        </w:rPr>
        <w:t xml:space="preserve">to encompass more spectrum bands that may be candidates for shared access, specifically those in the </w:t>
      </w:r>
      <w:r>
        <w:rPr>
          <w:szCs w:val="24"/>
          <w:u w:val="single"/>
          <w:lang w:val="en-US"/>
        </w:rPr>
        <w:t>range below 6 GHz</w:t>
      </w:r>
      <w:r>
        <w:rPr>
          <w:szCs w:val="24"/>
          <w:lang w:val="en-US"/>
        </w:rPr>
        <w:t xml:space="preserve">" (emphasis added). See also ITU-D </w:t>
      </w:r>
      <w:hyperlink r:id="rId4">
        <w:r w:rsidRPr="009012A3">
          <w:rPr>
            <w:rStyle w:val="InternetLink"/>
            <w:color w:val="auto"/>
            <w:szCs w:val="24"/>
            <w:u w:val="none"/>
            <w:lang w:val="en-US"/>
          </w:rPr>
          <w:t>Report</w:t>
        </w:r>
      </w:hyperlink>
      <w:r>
        <w:rPr>
          <w:szCs w:val="24"/>
          <w:lang w:val="en-US"/>
        </w:rPr>
        <w:t>, Table 3 Congestion factors by band [10].</w:t>
      </w:r>
    </w:p>
  </w:footnote>
  <w:footnote w:id="9">
    <w:p w:rsidR="003C5F80" w:rsidRPr="004008E8" w:rsidRDefault="003C5F80" w:rsidP="0038417F">
      <w:pPr>
        <w:pStyle w:val="FootnoteText"/>
        <w:rPr>
          <w:lang w:val="en-US"/>
        </w:rPr>
      </w:pPr>
      <w:r>
        <w:rPr>
          <w:rStyle w:val="FootnoteReference"/>
        </w:rPr>
        <w:footnoteRef/>
      </w:r>
      <w:r w:rsidRPr="0038417F">
        <w:rPr>
          <w:lang w:val="en-GB"/>
        </w:rPr>
        <w:t xml:space="preserve"> </w:t>
      </w:r>
      <w:r>
        <w:rPr>
          <w:lang w:val="en-US"/>
        </w:rPr>
        <w:tab/>
      </w:r>
      <w:r w:rsidRPr="00E77DE4">
        <w:rPr>
          <w:lang w:val="en-US"/>
        </w:rPr>
        <w:t>ERC (1998) Report on the Introduction of Economic Criteria in Spectrum Management and the Principles of Fees and Charging in the CEPT, ERC Report 53, March, Manchester.</w:t>
      </w:r>
    </w:p>
  </w:footnote>
  <w:footnote w:id="10">
    <w:p w:rsidR="003C5F80" w:rsidRPr="008D411F" w:rsidRDefault="003C5F80">
      <w:pPr>
        <w:pStyle w:val="FootnoteText"/>
        <w:rPr>
          <w:lang w:val="en-GB"/>
        </w:rPr>
      </w:pPr>
      <w:r>
        <w:rPr>
          <w:rStyle w:val="FootnoteReference"/>
        </w:rPr>
        <w:footnoteRef/>
      </w:r>
      <w:r w:rsidRPr="008D411F">
        <w:rPr>
          <w:lang w:val="en-GB"/>
        </w:rPr>
        <w:t xml:space="preserve"> </w:t>
      </w:r>
      <w:r>
        <w:rPr>
          <w:lang w:val="en-US"/>
        </w:rPr>
        <w:tab/>
        <w:t>National experiences are only representing the views of the respective Administrations.</w:t>
      </w:r>
    </w:p>
  </w:footnote>
  <w:footnote w:id="11">
    <w:p w:rsidR="003C5F80" w:rsidRPr="00713752" w:rsidRDefault="003C5F80" w:rsidP="0069427A">
      <w:pPr>
        <w:pStyle w:val="FootnoteText"/>
        <w:rPr>
          <w:lang w:val="en-US"/>
        </w:rPr>
      </w:pPr>
      <w:r w:rsidRPr="00713752">
        <w:rPr>
          <w:rStyle w:val="FootnoteReference"/>
          <w:sz w:val="20"/>
        </w:rPr>
        <w:footnoteRef/>
      </w:r>
      <w:r>
        <w:rPr>
          <w:lang w:val="en-US"/>
        </w:rPr>
        <w:tab/>
      </w:r>
      <w:r>
        <w:rPr>
          <w:szCs w:val="24"/>
          <w:lang w:val="en-US"/>
        </w:rPr>
        <w:t>Licens</w:t>
      </w:r>
      <w:r w:rsidRPr="00713752">
        <w:rPr>
          <w:szCs w:val="24"/>
          <w:lang w:val="en-US"/>
        </w:rPr>
        <w:t>e fee – payment levied on the winn</w:t>
      </w:r>
      <w:r w:rsidRPr="00030231">
        <w:rPr>
          <w:szCs w:val="24"/>
          <w:lang w:val="en-US"/>
        </w:rPr>
        <w:t>ing bidder</w:t>
      </w:r>
      <w:r w:rsidRPr="00713752">
        <w:rPr>
          <w:szCs w:val="24"/>
          <w:lang w:val="en-US"/>
        </w:rPr>
        <w:t>.</w:t>
      </w:r>
    </w:p>
  </w:footnote>
  <w:footnote w:id="12">
    <w:p w:rsidR="003C5F80" w:rsidRPr="00713752" w:rsidRDefault="003C5F80" w:rsidP="0069427A">
      <w:pPr>
        <w:pStyle w:val="FootnoteText"/>
        <w:rPr>
          <w:lang w:val="en-GB"/>
        </w:rPr>
      </w:pPr>
      <w:r w:rsidRPr="00713752">
        <w:rPr>
          <w:rStyle w:val="FootnoteReference"/>
          <w:sz w:val="20"/>
        </w:rPr>
        <w:footnoteRef/>
      </w:r>
      <w:r>
        <w:rPr>
          <w:sz w:val="20"/>
          <w:lang w:val="en-US"/>
        </w:rPr>
        <w:tab/>
      </w:r>
      <w:r w:rsidRPr="00713752">
        <w:rPr>
          <w:szCs w:val="24"/>
          <w:lang w:val="en-GB"/>
        </w:rPr>
        <w:t>Amount of licence fee based on results of bidding</w:t>
      </w:r>
      <w:r w:rsidRPr="00B312F7">
        <w:rPr>
          <w:szCs w:val="24"/>
          <w:lang w:val="en-US"/>
        </w:rPr>
        <w:t xml:space="preserve"> process</w:t>
      </w:r>
      <w:r w:rsidRPr="00713752">
        <w:rPr>
          <w:szCs w:val="24"/>
          <w:lang w:val="en-GB"/>
        </w:rPr>
        <w:t>.</w:t>
      </w:r>
    </w:p>
  </w:footnote>
  <w:footnote w:id="13">
    <w:p w:rsidR="003C5F80" w:rsidRPr="00713752" w:rsidRDefault="003C5F80" w:rsidP="008D411F">
      <w:pPr>
        <w:pStyle w:val="FootnoteText"/>
        <w:rPr>
          <w:sz w:val="20"/>
          <w:lang w:val="en-US"/>
        </w:rPr>
      </w:pPr>
      <w:r w:rsidRPr="00713752">
        <w:rPr>
          <w:rStyle w:val="FootnoteReference"/>
          <w:sz w:val="20"/>
        </w:rPr>
        <w:footnoteRef/>
      </w:r>
      <w:r>
        <w:rPr>
          <w:sz w:val="20"/>
          <w:lang w:val="en-US"/>
        </w:rPr>
        <w:tab/>
      </w:r>
      <w:r w:rsidRPr="00713752">
        <w:rPr>
          <w:szCs w:val="24"/>
          <w:lang w:val="en-GB"/>
        </w:rPr>
        <w:t>The amount of</w:t>
      </w:r>
      <w:r w:rsidRPr="00B312F7">
        <w:rPr>
          <w:szCs w:val="24"/>
          <w:lang w:val="en-US"/>
        </w:rPr>
        <w:t xml:space="preserve"> </w:t>
      </w:r>
      <w:r w:rsidRPr="00713752">
        <w:rPr>
          <w:szCs w:val="24"/>
          <w:lang w:val="en-GB"/>
        </w:rPr>
        <w:t xml:space="preserve">payment does not depend on the way in which the frequencies are allocated. The methods of determining the one-off payment and annual payment for use of frequencies is set out in </w:t>
      </w:r>
      <w:r>
        <w:rPr>
          <w:szCs w:val="24"/>
          <w:lang w:val="en-GB"/>
        </w:rPr>
        <w:t>§</w:t>
      </w:r>
      <w:r w:rsidRPr="00713752">
        <w:rPr>
          <w:szCs w:val="24"/>
          <w:lang w:val="en-GB"/>
        </w:rPr>
        <w:t xml:space="preserve"> 5.2.</w:t>
      </w:r>
      <w:r>
        <w:rPr>
          <w:szCs w:val="24"/>
          <w:lang w:val="en-GB"/>
        </w:rPr>
        <w:t>7</w:t>
      </w:r>
      <w:r w:rsidRPr="00713752">
        <w:rPr>
          <w:szCs w:val="24"/>
          <w:lang w:val="en-GB"/>
        </w:rPr>
        <w:t>.</w:t>
      </w:r>
    </w:p>
  </w:footnote>
  <w:footnote w:id="14">
    <w:p w:rsidR="003C5F80" w:rsidRPr="00713752" w:rsidRDefault="003C5F80" w:rsidP="0069427A">
      <w:pPr>
        <w:pStyle w:val="FootnoteText"/>
        <w:rPr>
          <w:sz w:val="20"/>
          <w:lang w:val="en-US"/>
        </w:rPr>
      </w:pPr>
      <w:r w:rsidRPr="00713752">
        <w:rPr>
          <w:rStyle w:val="FootnoteReference"/>
          <w:szCs w:val="18"/>
        </w:rPr>
        <w:footnoteRef/>
      </w:r>
      <w:r w:rsidRPr="0092130F">
        <w:rPr>
          <w:sz w:val="18"/>
          <w:szCs w:val="18"/>
          <w:lang w:val="en-US"/>
        </w:rPr>
        <w:tab/>
      </w:r>
      <w:r w:rsidRPr="00713752">
        <w:rPr>
          <w:szCs w:val="24"/>
          <w:lang w:val="en-GB"/>
        </w:rPr>
        <w:t>Additional points were awarded to a bidder able to invest at least 243.75 m r</w:t>
      </w:r>
      <w:r w:rsidRPr="00B312F7">
        <w:rPr>
          <w:szCs w:val="24"/>
          <w:lang w:val="en-US"/>
        </w:rPr>
        <w:t>o</w:t>
      </w:r>
      <w:r w:rsidRPr="00713752">
        <w:rPr>
          <w:szCs w:val="24"/>
          <w:lang w:val="en-GB"/>
        </w:rPr>
        <w:t xml:space="preserve">ubles, from the bidder’s own funds or from </w:t>
      </w:r>
      <w:r w:rsidRPr="00B312F7">
        <w:rPr>
          <w:szCs w:val="24"/>
          <w:lang w:val="en-US"/>
        </w:rPr>
        <w:t>borrowed funds</w:t>
      </w:r>
      <w:r w:rsidRPr="00713752">
        <w:rPr>
          <w:szCs w:val="24"/>
          <w:lang w:val="en-GB"/>
        </w:rPr>
        <w:t xml:space="preserve">, in order to </w:t>
      </w:r>
      <w:r w:rsidRPr="00B312F7">
        <w:rPr>
          <w:szCs w:val="24"/>
          <w:lang w:val="en-US"/>
        </w:rPr>
        <w:t xml:space="preserve">fulfil </w:t>
      </w:r>
      <w:r w:rsidRPr="00713752">
        <w:rPr>
          <w:szCs w:val="24"/>
          <w:lang w:val="en-GB"/>
        </w:rPr>
        <w:t xml:space="preserve">obligations </w:t>
      </w:r>
      <w:r w:rsidRPr="00B312F7">
        <w:rPr>
          <w:szCs w:val="24"/>
          <w:lang w:val="en-US"/>
        </w:rPr>
        <w:t xml:space="preserve">related to </w:t>
      </w:r>
      <w:r w:rsidRPr="00713752">
        <w:rPr>
          <w:szCs w:val="24"/>
          <w:lang w:val="en-GB"/>
        </w:rPr>
        <w:t>deployment of a GSM mobile network in the 1</w:t>
      </w:r>
      <w:r w:rsidRPr="00B312F7">
        <w:rPr>
          <w:szCs w:val="24"/>
          <w:lang w:val="en-US"/>
        </w:rPr>
        <w:t> </w:t>
      </w:r>
      <w:r w:rsidRPr="00713752">
        <w:rPr>
          <w:szCs w:val="24"/>
          <w:lang w:val="en-GB"/>
        </w:rPr>
        <w:t>800 MHz band.</w:t>
      </w:r>
    </w:p>
  </w:footnote>
  <w:footnote w:id="15">
    <w:p w:rsidR="003C5F80" w:rsidRPr="008E7CC2" w:rsidRDefault="003C5F80" w:rsidP="008E7CC2">
      <w:pPr>
        <w:pStyle w:val="FootnoteTextComplex12pt"/>
        <w:ind w:left="255" w:hanging="255"/>
        <w:rPr>
          <w:sz w:val="22"/>
          <w:szCs w:val="22"/>
        </w:rPr>
      </w:pPr>
      <w:r w:rsidRPr="00713752">
        <w:rPr>
          <w:rStyle w:val="FootnoteReference"/>
          <w:szCs w:val="18"/>
        </w:rPr>
        <w:footnoteRef/>
      </w:r>
      <w:r w:rsidRPr="0092130F">
        <w:rPr>
          <w:sz w:val="18"/>
          <w:szCs w:val="18"/>
          <w:lang w:val="en-US"/>
        </w:rPr>
        <w:tab/>
      </w:r>
      <w:r w:rsidRPr="008E7CC2">
        <w:rPr>
          <w:sz w:val="22"/>
          <w:szCs w:val="22"/>
        </w:rPr>
        <w:t xml:space="preserve">Additional points were awarded to a bidder undertaking to ensure provision of mobile radiotelephony services in the competition territory of the lot in all </w:t>
      </w:r>
      <w:r w:rsidRPr="008E7CC2">
        <w:rPr>
          <w:sz w:val="22"/>
          <w:szCs w:val="22"/>
          <w:lang w:val="en-US"/>
        </w:rPr>
        <w:t xml:space="preserve">settlements with </w:t>
      </w:r>
      <w:r w:rsidRPr="008E7CC2">
        <w:rPr>
          <w:sz w:val="22"/>
          <w:szCs w:val="22"/>
        </w:rPr>
        <w:t>2 000</w:t>
      </w:r>
      <w:r w:rsidRPr="008E7CC2">
        <w:rPr>
          <w:sz w:val="22"/>
          <w:szCs w:val="22"/>
          <w:lang w:val="en-US"/>
        </w:rPr>
        <w:t>-</w:t>
      </w:r>
      <w:r w:rsidRPr="008E7CC2">
        <w:rPr>
          <w:sz w:val="22"/>
          <w:szCs w:val="22"/>
        </w:rPr>
        <w:t xml:space="preserve">100 000 inhabitants, and in at least 10 per cent of </w:t>
      </w:r>
      <w:r w:rsidRPr="008E7CC2">
        <w:rPr>
          <w:sz w:val="22"/>
          <w:szCs w:val="22"/>
          <w:lang w:val="en-US"/>
        </w:rPr>
        <w:t>settlements</w:t>
      </w:r>
      <w:r>
        <w:rPr>
          <w:sz w:val="22"/>
          <w:szCs w:val="22"/>
        </w:rPr>
        <w:t xml:space="preserve"> with 200</w:t>
      </w:r>
      <w:r w:rsidRPr="008E7CC2">
        <w:rPr>
          <w:sz w:val="22"/>
          <w:szCs w:val="22"/>
          <w:lang w:val="en-US"/>
        </w:rPr>
        <w:t>-</w:t>
      </w:r>
      <w:r w:rsidRPr="008E7CC2">
        <w:rPr>
          <w:sz w:val="22"/>
          <w:szCs w:val="22"/>
        </w:rPr>
        <w:t>2 000 inhabitants, within a period of two to three years.</w:t>
      </w:r>
    </w:p>
  </w:footnote>
  <w:footnote w:id="16">
    <w:p w:rsidR="003C5F80" w:rsidRPr="00713752" w:rsidRDefault="003C5F80" w:rsidP="008E7CC2">
      <w:pPr>
        <w:pStyle w:val="FootnoteReference10pt"/>
        <w:ind w:left="255" w:hanging="255"/>
        <w:rPr>
          <w:lang w:val="en-US"/>
        </w:rPr>
      </w:pPr>
      <w:r w:rsidRPr="00713752">
        <w:rPr>
          <w:rStyle w:val="FootnoteReference"/>
          <w:szCs w:val="18"/>
        </w:rPr>
        <w:footnoteRef/>
      </w:r>
      <w:r w:rsidRPr="0092130F">
        <w:rPr>
          <w:sz w:val="18"/>
          <w:szCs w:val="18"/>
          <w:lang w:val="en-US"/>
        </w:rPr>
        <w:tab/>
      </w:r>
      <w:r w:rsidRPr="00713752">
        <w:rPr>
          <w:rStyle w:val="FootnoteTextChar"/>
          <w:lang w:val="en-US"/>
        </w:rPr>
        <w:t xml:space="preserve">Within one year – at least 10 per cent of </w:t>
      </w:r>
      <w:r w:rsidRPr="00A01420">
        <w:rPr>
          <w:rStyle w:val="FootnoteTextChar"/>
          <w:lang w:val="en-US"/>
        </w:rPr>
        <w:t>settlements</w:t>
      </w:r>
      <w:r w:rsidRPr="00713752">
        <w:rPr>
          <w:rStyle w:val="FootnoteTextChar"/>
          <w:lang w:val="en-US"/>
        </w:rPr>
        <w:t xml:space="preserve"> with population of at least 2 000</w:t>
      </w:r>
      <w:r w:rsidRPr="00A01420">
        <w:rPr>
          <w:rStyle w:val="FootnoteTextChar"/>
          <w:lang w:val="en-US"/>
        </w:rPr>
        <w:t xml:space="preserve">; within two years </w:t>
      </w:r>
      <w:r w:rsidRPr="00A01420">
        <w:rPr>
          <w:rStyle w:val="FootnoteTextChar"/>
          <w:lang w:val="en-US"/>
        </w:rPr>
        <w:noBreakHyphen/>
        <w:t xml:space="preserve"> 25 per cent;</w:t>
      </w:r>
      <w:r w:rsidRPr="00713752">
        <w:rPr>
          <w:rStyle w:val="FootnoteTextChar"/>
          <w:lang w:val="en-US"/>
        </w:rPr>
        <w:t xml:space="preserve"> within three years – 40 </w:t>
      </w:r>
      <w:r w:rsidRPr="00A01420">
        <w:rPr>
          <w:rStyle w:val="FootnoteTextChar"/>
          <w:lang w:val="en-US"/>
        </w:rPr>
        <w:t>per cent</w:t>
      </w:r>
      <w:r w:rsidRPr="00713752">
        <w:rPr>
          <w:rStyle w:val="FootnoteTextChar"/>
          <w:lang w:val="en-US"/>
        </w:rPr>
        <w:t xml:space="preserve">; </w:t>
      </w:r>
      <w:r w:rsidRPr="00A01420">
        <w:rPr>
          <w:rStyle w:val="FootnoteTextChar"/>
          <w:lang w:val="en-US"/>
        </w:rPr>
        <w:t>within four years – 65 per cent</w:t>
      </w:r>
      <w:r w:rsidRPr="00713752">
        <w:rPr>
          <w:rStyle w:val="FootnoteTextChar"/>
          <w:lang w:val="en-US"/>
        </w:rPr>
        <w:t xml:space="preserve">; </w:t>
      </w:r>
      <w:r w:rsidRPr="00A01420">
        <w:rPr>
          <w:rStyle w:val="FootnoteTextChar"/>
          <w:lang w:val="en-US"/>
        </w:rPr>
        <w:t>within five years – 85</w:t>
      </w:r>
      <w:r>
        <w:rPr>
          <w:rStyle w:val="FootnoteTextChar"/>
          <w:lang w:val="en-US"/>
        </w:rPr>
        <w:t> </w:t>
      </w:r>
      <w:r w:rsidRPr="00A01420">
        <w:rPr>
          <w:rStyle w:val="FootnoteTextChar"/>
          <w:lang w:val="en-US"/>
        </w:rPr>
        <w:t>per cent; within six years 95 per cent</w:t>
      </w:r>
      <w:r w:rsidRPr="00713752">
        <w:rPr>
          <w:rStyle w:val="FootnoteTextChar"/>
          <w:lang w:val="en-US"/>
        </w:rPr>
        <w:t>; within seven years – 99.9 per cent.</w:t>
      </w:r>
    </w:p>
  </w:footnote>
  <w:footnote w:id="17">
    <w:p w:rsidR="003C5F80" w:rsidRPr="004834FD" w:rsidRDefault="003C5F80" w:rsidP="004834FD">
      <w:pPr>
        <w:pStyle w:val="FootnoteText"/>
        <w:rPr>
          <w:lang w:val="en-GB"/>
        </w:rPr>
      </w:pPr>
      <w:r>
        <w:rPr>
          <w:rStyle w:val="FootnoteReference"/>
        </w:rPr>
        <w:footnoteRef/>
      </w:r>
      <w:r w:rsidRPr="004834FD">
        <w:rPr>
          <w:rStyle w:val="FootnoteReference"/>
          <w:lang w:val="en-GB"/>
        </w:rPr>
        <w:tab/>
      </w:r>
      <w:r w:rsidRPr="004834FD">
        <w:rPr>
          <w:lang w:val="en-GB"/>
        </w:rPr>
        <w:t>On June 2018, 1 South Korean Won (KRW) equals 0,00093 USD.</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F80" w:rsidRPr="00E96173" w:rsidRDefault="003C5F80" w:rsidP="000F2BA7">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FE7E9D">
      <w:rPr>
        <w:b/>
        <w:bCs/>
        <w:noProof/>
        <w:lang w:val="en-US"/>
      </w:rPr>
      <w:t>ii</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Pr="003C5F8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FE7E9D">
      <w:rPr>
        <w:b/>
        <w:bCs/>
        <w:noProof/>
      </w:rPr>
      <w:t>ITU-R  SM.2012-6</w:t>
    </w:r>
    <w:r w:rsidRPr="00B21000">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F80" w:rsidRPr="007144DD" w:rsidRDefault="003C5F80" w:rsidP="007144DD">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FE7E9D">
      <w:rPr>
        <w:b/>
        <w:bCs/>
        <w:noProof/>
        <w:lang w:val="en-US"/>
      </w:rPr>
      <w:t>44</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Pr="003C5F8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FE7E9D">
      <w:rPr>
        <w:b/>
        <w:bCs/>
        <w:noProof/>
      </w:rPr>
      <w:t>ITU-R  SM.2012-6</w:t>
    </w:r>
    <w:r w:rsidRPr="00B21000">
      <w:fldChar w:fldCharType="end"/>
    </w:r>
    <w:r>
      <w:rPr>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F80" w:rsidRDefault="003C5F80" w:rsidP="000F2BA7">
    <w:pPr>
      <w:pStyle w:val="Header"/>
      <w:ind w:right="360" w:firstLine="360"/>
    </w:pPr>
    <w:r>
      <w:rPr>
        <w:noProof/>
        <w:lang w:val="en-GB" w:eastAsia="zh-CN"/>
      </w:rPr>
      <w:drawing>
        <wp:anchor distT="0" distB="0" distL="114300" distR="114300" simplePos="0" relativeHeight="251658240" behindDoc="1" locked="0" layoutInCell="1" allowOverlap="1" wp14:anchorId="01B42C4E" wp14:editId="781459F7">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F80" w:rsidRPr="007144DD" w:rsidRDefault="003C5F80" w:rsidP="007144DD">
    <w:pPr>
      <w:pStyle w:val="Header"/>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sidR="00FE7E9D">
      <w:rPr>
        <w:b/>
        <w:bCs/>
        <w:noProof/>
        <w:lang w:val="en-US"/>
      </w:rPr>
      <w:t>18</w:t>
    </w:r>
    <w:r w:rsidRPr="00B21000">
      <w:fldChar w:fldCharType="end"/>
    </w:r>
    <w:r w:rsidRPr="00B21000">
      <w:rPr>
        <w:lang w:val="en-US"/>
      </w:rPr>
      <w:tab/>
    </w:r>
    <w:r>
      <w:fldChar w:fldCharType="begin"/>
    </w:r>
    <w:r w:rsidRPr="00E96173">
      <w:rPr>
        <w:lang w:val="en-US"/>
      </w:rPr>
      <w:instrText xml:space="preserve"> DOCPROPERTY "Header 2" \* MERGEFORMAT </w:instrText>
    </w:r>
    <w:r>
      <w:fldChar w:fldCharType="separate"/>
    </w:r>
    <w:r w:rsidRPr="003C5F8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FE7E9D">
      <w:rPr>
        <w:b/>
        <w:bCs/>
        <w:noProof/>
      </w:rPr>
      <w:t>ITU-R  SM.2012-6</w:t>
    </w:r>
    <w:r w:rsidRPr="00B21000">
      <w:fldChar w:fldCharType="end"/>
    </w:r>
    <w:r>
      <w:rPr>
        <w:lang w:val="en-US"/>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F80" w:rsidRPr="007144DD" w:rsidRDefault="003C5F80" w:rsidP="007144DD">
    <w:pPr>
      <w:pStyle w:val="Header"/>
      <w:jc w:val="both"/>
      <w:rPr>
        <w:lang w:val="en-US"/>
      </w:rPr>
    </w:pPr>
    <w:r w:rsidRPr="00B21000">
      <w:rPr>
        <w:lang w:val="en-US"/>
      </w:rPr>
      <w:tab/>
    </w:r>
    <w:r>
      <w:fldChar w:fldCharType="begin"/>
    </w:r>
    <w:r w:rsidRPr="00E96173">
      <w:rPr>
        <w:lang w:val="en-US"/>
      </w:rPr>
      <w:instrText xml:space="preserve"> DOCPROPERTY "Header 2" \* MERGEFORMAT </w:instrText>
    </w:r>
    <w:r>
      <w:fldChar w:fldCharType="separate"/>
    </w:r>
    <w:r w:rsidRPr="003C5F8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FE7E9D">
      <w:rPr>
        <w:b/>
        <w:bCs/>
        <w:noProof/>
      </w:rPr>
      <w:t>ITU-R  SM.2012-6</w:t>
    </w:r>
    <w:r w:rsidRPr="00B21000">
      <w:fldChar w:fldCharType="end"/>
    </w:r>
    <w:r>
      <w:rPr>
        <w:lang w:val="en-US"/>
      </w:rPr>
      <w:tab/>
    </w:r>
    <w:r w:rsidRPr="00B21000">
      <w:rPr>
        <w:b/>
        <w:bCs/>
      </w:rPr>
      <w:fldChar w:fldCharType="begin"/>
    </w:r>
    <w:r w:rsidRPr="00B21000">
      <w:rPr>
        <w:b/>
        <w:bCs/>
        <w:lang w:val="en-US"/>
      </w:rPr>
      <w:instrText xml:space="preserve"> PAGE </w:instrText>
    </w:r>
    <w:r w:rsidRPr="00B21000">
      <w:rPr>
        <w:b/>
        <w:bCs/>
      </w:rPr>
      <w:fldChar w:fldCharType="separate"/>
    </w:r>
    <w:r w:rsidR="00FE7E9D">
      <w:rPr>
        <w:b/>
        <w:bCs/>
        <w:noProof/>
        <w:lang w:val="en-US"/>
      </w:rPr>
      <w:t>19</w:t>
    </w:r>
    <w:r w:rsidRPr="00B21000">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F80" w:rsidRPr="0017263C" w:rsidRDefault="003C5F80" w:rsidP="007F4B24">
    <w:pPr>
      <w:pStyle w:val="Header"/>
      <w:rPr>
        <w:b/>
        <w:bCs/>
      </w:rPr>
    </w:pPr>
    <w:r w:rsidRPr="0017263C">
      <w:rPr>
        <w:b/>
        <w:bCs/>
      </w:rPr>
      <w:tab/>
    </w:r>
    <w:r>
      <w:fldChar w:fldCharType="begin"/>
    </w:r>
    <w:r w:rsidRPr="00E96173">
      <w:rPr>
        <w:lang w:val="en-US"/>
      </w:rPr>
      <w:instrText xml:space="preserve"> DOCPROPERTY "Header 2" \* MERGEFORMAT </w:instrText>
    </w:r>
    <w:r>
      <w:fldChar w:fldCharType="separate"/>
    </w:r>
    <w:r w:rsidRPr="003C5F8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FE7E9D">
      <w:rPr>
        <w:b/>
        <w:bCs/>
        <w:noProof/>
      </w:rPr>
      <w:t>ITU-R  SM.2012-6</w:t>
    </w:r>
    <w:r w:rsidRPr="00B21000">
      <w:fldChar w:fldCharType="end"/>
    </w:r>
    <w:r w:rsidRPr="0017263C">
      <w:rPr>
        <w:b/>
        <w:bCs/>
      </w:rPr>
      <w:tab/>
      <w:t>1</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F80" w:rsidRPr="00022D03" w:rsidRDefault="003C5F80" w:rsidP="000F2BA7">
    <w:pPr>
      <w:pStyle w:val="Header"/>
      <w:tabs>
        <w:tab w:val="clear" w:pos="4848"/>
        <w:tab w:val="clear" w:pos="9696"/>
        <w:tab w:val="center" w:pos="7258"/>
        <w:tab w:val="left" w:pos="14515"/>
      </w:tabs>
      <w:jc w:val="both"/>
      <w:rPr>
        <w:lang w:val="en-US"/>
      </w:rPr>
    </w:pPr>
    <w:r w:rsidRPr="00B21000">
      <w:rPr>
        <w:b/>
        <w:bCs/>
      </w:rPr>
      <w:fldChar w:fldCharType="begin"/>
    </w:r>
    <w:r w:rsidRPr="00B21000">
      <w:rPr>
        <w:b/>
        <w:bCs/>
        <w:lang w:val="en-US"/>
      </w:rPr>
      <w:instrText xml:space="preserve"> PAGE </w:instrText>
    </w:r>
    <w:r w:rsidRPr="00B21000">
      <w:rPr>
        <w:b/>
        <w:bCs/>
      </w:rPr>
      <w:fldChar w:fldCharType="separate"/>
    </w:r>
    <w:r>
      <w:rPr>
        <w:b/>
        <w:bCs/>
        <w:noProof/>
        <w:lang w:val="en-US"/>
      </w:rPr>
      <w:t>38</w:t>
    </w:r>
    <w:r w:rsidRPr="00B21000">
      <w:fldChar w:fldCharType="end"/>
    </w:r>
    <w:r w:rsidRPr="00B21000">
      <w:rPr>
        <w:lang w:val="en-US"/>
      </w:rPr>
      <w:tab/>
    </w:r>
    <w:r>
      <w:fldChar w:fldCharType="begin"/>
    </w:r>
    <w:r w:rsidRPr="00022D03">
      <w:rPr>
        <w:lang w:val="en-US"/>
      </w:rPr>
      <w:instrText xml:space="preserve"> DOCPROPERTY "Header 2" \* MERGEFORMAT </w:instrText>
    </w:r>
    <w:r>
      <w:fldChar w:fldCharType="separate"/>
    </w:r>
    <w:r w:rsidRPr="003C5F80">
      <w:rPr>
        <w:b/>
        <w:bCs/>
        <w:lang w:val="en-US"/>
      </w:rPr>
      <w:t xml:space="preserve">Rep. </w:t>
    </w:r>
    <w:r>
      <w:rPr>
        <w:b/>
        <w:bCs/>
        <w:lang w:val="en-US"/>
      </w:rPr>
      <w:fldChar w:fldCharType="end"/>
    </w:r>
    <w:r w:rsidRPr="00022D0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Pr>
        <w:b/>
        <w:bCs/>
        <w:noProof/>
      </w:rPr>
      <w:t>ITU-R  SM.2012-6</w:t>
    </w:r>
    <w:r w:rsidRPr="00B21000">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F80" w:rsidRPr="007144DD" w:rsidRDefault="003C5F80" w:rsidP="007144DD">
    <w:pPr>
      <w:pStyle w:val="Header"/>
      <w:tabs>
        <w:tab w:val="clear" w:pos="4848"/>
        <w:tab w:val="clear" w:pos="9696"/>
        <w:tab w:val="center" w:pos="7088"/>
        <w:tab w:val="right" w:pos="14459"/>
      </w:tabs>
      <w:jc w:val="both"/>
      <w:rPr>
        <w:lang w:val="en-US"/>
      </w:rPr>
    </w:pPr>
    <w:r w:rsidRPr="00B21000">
      <w:rPr>
        <w:lang w:val="en-US"/>
      </w:rPr>
      <w:tab/>
    </w:r>
    <w:r>
      <w:fldChar w:fldCharType="begin"/>
    </w:r>
    <w:r w:rsidRPr="00E96173">
      <w:rPr>
        <w:lang w:val="en-US"/>
      </w:rPr>
      <w:instrText xml:space="preserve"> DOCPROPERTY "Header 2" \* MERGEFORMAT </w:instrText>
    </w:r>
    <w:r>
      <w:fldChar w:fldCharType="separate"/>
    </w:r>
    <w:r w:rsidRPr="003C5F8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FE7E9D">
      <w:rPr>
        <w:b/>
        <w:bCs/>
        <w:noProof/>
      </w:rPr>
      <w:t>ITU-R  SM.2012-6</w:t>
    </w:r>
    <w:r w:rsidRPr="00B21000">
      <w:fldChar w:fldCharType="end"/>
    </w:r>
    <w:r>
      <w:rPr>
        <w:lang w:val="en-US"/>
      </w:rPr>
      <w:tab/>
    </w:r>
    <w:r w:rsidRPr="00B21000">
      <w:rPr>
        <w:b/>
        <w:bCs/>
      </w:rPr>
      <w:fldChar w:fldCharType="begin"/>
    </w:r>
    <w:r w:rsidRPr="00B21000">
      <w:rPr>
        <w:b/>
        <w:bCs/>
        <w:lang w:val="en-US"/>
      </w:rPr>
      <w:instrText xml:space="preserve"> PAGE </w:instrText>
    </w:r>
    <w:r w:rsidRPr="00B21000">
      <w:rPr>
        <w:b/>
        <w:bCs/>
      </w:rPr>
      <w:fldChar w:fldCharType="separate"/>
    </w:r>
    <w:r w:rsidR="00FE7E9D">
      <w:rPr>
        <w:b/>
        <w:bCs/>
        <w:noProof/>
        <w:lang w:val="en-US"/>
      </w:rPr>
      <w:t>43</w:t>
    </w:r>
    <w:r w:rsidRPr="00B21000">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F80" w:rsidRDefault="003C5F80" w:rsidP="007144D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FE7E9D">
      <w:rPr>
        <w:rStyle w:val="PageNumber"/>
        <w:b/>
        <w:bCs/>
        <w:noProof/>
        <w:lang w:val="en-US"/>
      </w:rPr>
      <w:t>194</w:t>
    </w:r>
    <w:r>
      <w:rPr>
        <w:rStyle w:val="PageNumber"/>
        <w:b/>
        <w:bCs/>
      </w:rPr>
      <w:fldChar w:fldCharType="end"/>
    </w:r>
    <w:r>
      <w:rPr>
        <w:lang w:val="en-US"/>
      </w:rPr>
      <w:tab/>
    </w:r>
    <w:r>
      <w:fldChar w:fldCharType="begin"/>
    </w:r>
    <w:r w:rsidRPr="00E96173">
      <w:rPr>
        <w:lang w:val="en-US"/>
      </w:rPr>
      <w:instrText xml:space="preserve"> DOCPROPERTY "Header 2" \* MERGEFORMAT </w:instrText>
    </w:r>
    <w:r>
      <w:fldChar w:fldCharType="separate"/>
    </w:r>
    <w:r w:rsidRPr="003C5F8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FE7E9D">
      <w:rPr>
        <w:b/>
        <w:bCs/>
        <w:noProof/>
      </w:rPr>
      <w:t>ITU-R  SM.2012-6</w:t>
    </w:r>
    <w:r w:rsidRPr="00B21000">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5F80" w:rsidRDefault="003C5F80" w:rsidP="002A3F0C">
    <w:pPr>
      <w:pStyle w:val="Header"/>
    </w:pPr>
    <w:r>
      <w:tab/>
    </w:r>
    <w:r>
      <w:fldChar w:fldCharType="begin"/>
    </w:r>
    <w:r w:rsidRPr="00E96173">
      <w:rPr>
        <w:lang w:val="en-US"/>
      </w:rPr>
      <w:instrText xml:space="preserve"> DOCPROPERTY "Header 2" \* MERGEFORMAT </w:instrText>
    </w:r>
    <w:r>
      <w:fldChar w:fldCharType="separate"/>
    </w:r>
    <w:r w:rsidRPr="003C5F80">
      <w:rPr>
        <w:b/>
        <w:bCs/>
        <w:lang w:val="en-US"/>
      </w:rPr>
      <w:t xml:space="preserve">Rep. </w:t>
    </w:r>
    <w:r>
      <w:rPr>
        <w:b/>
        <w:bCs/>
        <w:lang w:val="en-US"/>
      </w:rPr>
      <w:fldChar w:fldCharType="end"/>
    </w:r>
    <w:r w:rsidRPr="00E96173">
      <w:rPr>
        <w:b/>
        <w:bCs/>
        <w:lang w:val="en-US"/>
      </w:rPr>
      <w:t xml:space="preserve"> </w:t>
    </w:r>
    <w:r w:rsidRPr="00B21000">
      <w:rPr>
        <w:b/>
        <w:bCs/>
      </w:rPr>
      <w:fldChar w:fldCharType="begin"/>
    </w:r>
    <w:r w:rsidRPr="00B21000">
      <w:rPr>
        <w:b/>
        <w:bCs/>
        <w:lang w:val="en-US"/>
      </w:rPr>
      <w:instrText>styleref href</w:instrText>
    </w:r>
    <w:r w:rsidRPr="00B21000">
      <w:rPr>
        <w:b/>
        <w:bCs/>
      </w:rPr>
      <w:fldChar w:fldCharType="separate"/>
    </w:r>
    <w:r w:rsidR="00FE7E9D">
      <w:rPr>
        <w:b/>
        <w:bCs/>
        <w:noProof/>
      </w:rPr>
      <w:t>ITU-R  SM.2012-6</w:t>
    </w:r>
    <w:r w:rsidRPr="00B21000">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E7E9D">
      <w:rPr>
        <w:rStyle w:val="PageNumber"/>
        <w:b/>
        <w:bCs/>
        <w:noProof/>
      </w:rPr>
      <w:t>195</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77ECA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926C2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5F4006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BB054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F76293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8A948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6CC174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5867B6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DA688B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9820E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A32005"/>
    <w:multiLevelType w:val="hybridMultilevel"/>
    <w:tmpl w:val="C56C78CA"/>
    <w:lvl w:ilvl="0" w:tplc="CB1C671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1C61A3"/>
    <w:multiLevelType w:val="hybridMultilevel"/>
    <w:tmpl w:val="3F0C1E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EB5A0F"/>
    <w:multiLevelType w:val="hybridMultilevel"/>
    <w:tmpl w:val="674A1A10"/>
    <w:lvl w:ilvl="0" w:tplc="5BBEF51C">
      <w:start w:val="1"/>
      <w:numFmt w:val="bullet"/>
      <w:pStyle w:val="ListParagraph"/>
      <w:lvlText w:val=""/>
      <w:lvlJc w:val="left"/>
      <w:pPr>
        <w:ind w:left="720" w:hanging="360"/>
      </w:pPr>
      <w:rPr>
        <w:rFonts w:ascii="SymbolPS" w:hAnsi="SymbolP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0E1F7033"/>
    <w:multiLevelType w:val="hybridMultilevel"/>
    <w:tmpl w:val="E308676E"/>
    <w:lvl w:ilvl="0" w:tplc="9AB0BE10">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15:restartNumberingAfterBreak="0">
    <w:nsid w:val="10E133FA"/>
    <w:multiLevelType w:val="hybridMultilevel"/>
    <w:tmpl w:val="655E3C50"/>
    <w:lvl w:ilvl="0" w:tplc="467C9828">
      <w:start w:val="1"/>
      <w:numFmt w:val="bullet"/>
      <w:lvlText w:val=""/>
      <w:lvlJc w:val="left"/>
      <w:pPr>
        <w:ind w:left="360" w:hanging="360"/>
      </w:pPr>
      <w:rPr>
        <w:rFonts w:ascii="SymbolPS" w:hAnsi="SymbolP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2323948"/>
    <w:multiLevelType w:val="hybridMultilevel"/>
    <w:tmpl w:val="826E40C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415655A"/>
    <w:multiLevelType w:val="hybridMultilevel"/>
    <w:tmpl w:val="1AF8FCDA"/>
    <w:lvl w:ilvl="0" w:tplc="2D04539C">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17"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57F7BB2"/>
    <w:multiLevelType w:val="hybridMultilevel"/>
    <w:tmpl w:val="4D94A2AE"/>
    <w:lvl w:ilvl="0" w:tplc="467C9828">
      <w:start w:val="1"/>
      <w:numFmt w:val="bullet"/>
      <w:lvlText w:val=""/>
      <w:lvlJc w:val="left"/>
      <w:pPr>
        <w:ind w:left="720" w:hanging="360"/>
      </w:pPr>
      <w:rPr>
        <w:rFonts w:ascii="SymbolPS" w:hAnsi="SymbolP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3FB83BCA"/>
    <w:multiLevelType w:val="hybridMultilevel"/>
    <w:tmpl w:val="54747092"/>
    <w:lvl w:ilvl="0" w:tplc="689CB7A8">
      <w:start w:val="1"/>
      <w:numFmt w:val="decimal"/>
      <w:lvlText w:val="%1-"/>
      <w:lvlJc w:val="left"/>
      <w:pPr>
        <w:tabs>
          <w:tab w:val="num" w:pos="720"/>
        </w:tabs>
        <w:ind w:left="720" w:hanging="360"/>
      </w:pPr>
      <w:rPr>
        <w:rFonts w:cs="Times New Roman" w:hint="default"/>
      </w:rPr>
    </w:lvl>
    <w:lvl w:ilvl="1" w:tplc="040C0019" w:tentative="1">
      <w:start w:val="1"/>
      <w:numFmt w:val="lowerLetter"/>
      <w:lvlText w:val="%2."/>
      <w:lvlJc w:val="left"/>
      <w:pPr>
        <w:tabs>
          <w:tab w:val="num" w:pos="1440"/>
        </w:tabs>
        <w:ind w:left="1440" w:hanging="360"/>
      </w:pPr>
      <w:rPr>
        <w:rFonts w:cs="Times New Roman"/>
      </w:rPr>
    </w:lvl>
    <w:lvl w:ilvl="2" w:tplc="040C001B" w:tentative="1">
      <w:start w:val="1"/>
      <w:numFmt w:val="lowerRoman"/>
      <w:lvlText w:val="%3."/>
      <w:lvlJc w:val="right"/>
      <w:pPr>
        <w:tabs>
          <w:tab w:val="num" w:pos="2160"/>
        </w:tabs>
        <w:ind w:left="2160" w:hanging="180"/>
      </w:pPr>
      <w:rPr>
        <w:rFonts w:cs="Times New Roman"/>
      </w:rPr>
    </w:lvl>
    <w:lvl w:ilvl="3" w:tplc="040C000F" w:tentative="1">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44342FA2"/>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1" w15:restartNumberingAfterBreak="0">
    <w:nsid w:val="464F7AE1"/>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2" w15:restartNumberingAfterBreak="0">
    <w:nsid w:val="48954B92"/>
    <w:multiLevelType w:val="hybridMultilevel"/>
    <w:tmpl w:val="35708406"/>
    <w:lvl w:ilvl="0" w:tplc="5ED0C5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BC3427B"/>
    <w:multiLevelType w:val="hybridMultilevel"/>
    <w:tmpl w:val="156664F2"/>
    <w:lvl w:ilvl="0" w:tplc="B9707A10">
      <w:start w:val="1"/>
      <w:numFmt w:val="decimal"/>
      <w:lvlText w:val="%1."/>
      <w:lvlJc w:val="left"/>
      <w:pPr>
        <w:ind w:left="760" w:hanging="360"/>
      </w:pPr>
      <w:rPr>
        <w:rFonts w:hint="default"/>
        <w:i/>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4" w15:restartNumberingAfterBreak="0">
    <w:nsid w:val="4EE8507C"/>
    <w:multiLevelType w:val="hybridMultilevel"/>
    <w:tmpl w:val="84E85DE0"/>
    <w:lvl w:ilvl="0" w:tplc="DB004BE8">
      <w:start w:val="1"/>
      <w:numFmt w:val="bullet"/>
      <w:lvlText w:val=""/>
      <w:lvlJc w:val="left"/>
      <w:pPr>
        <w:ind w:left="1429" w:hanging="360"/>
      </w:pPr>
      <w:rPr>
        <w:rFonts w:ascii="SymbolPS" w:hAnsi="SymbolP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560A0D8B"/>
    <w:multiLevelType w:val="multilevel"/>
    <w:tmpl w:val="0409001F"/>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6" w15:restartNumberingAfterBreak="0">
    <w:nsid w:val="5E95481C"/>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1BD4901"/>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66D67463"/>
    <w:multiLevelType w:val="hybridMultilevel"/>
    <w:tmpl w:val="860628BE"/>
    <w:lvl w:ilvl="0" w:tplc="8B048C36">
      <w:numFmt w:val="bullet"/>
      <w:lvlText w:val="-"/>
      <w:lvlJc w:val="left"/>
      <w:pPr>
        <w:ind w:left="465" w:hanging="360"/>
      </w:pPr>
      <w:rPr>
        <w:rFonts w:ascii="Times New Roman" w:eastAsia="Batang" w:hAnsi="Times New Roman" w:cs="Times New Roman" w:hint="default"/>
      </w:rPr>
    </w:lvl>
    <w:lvl w:ilvl="1" w:tplc="04090003" w:tentative="1">
      <w:start w:val="1"/>
      <w:numFmt w:val="bullet"/>
      <w:lvlText w:val=""/>
      <w:lvlJc w:val="left"/>
      <w:pPr>
        <w:ind w:left="905" w:hanging="400"/>
      </w:pPr>
      <w:rPr>
        <w:rFonts w:ascii="Wingdings" w:hAnsi="Wingdings" w:hint="default"/>
      </w:rPr>
    </w:lvl>
    <w:lvl w:ilvl="2" w:tplc="04090005" w:tentative="1">
      <w:start w:val="1"/>
      <w:numFmt w:val="bullet"/>
      <w:lvlText w:val=""/>
      <w:lvlJc w:val="left"/>
      <w:pPr>
        <w:ind w:left="1305" w:hanging="400"/>
      </w:pPr>
      <w:rPr>
        <w:rFonts w:ascii="Wingdings" w:hAnsi="Wingdings" w:hint="default"/>
      </w:rPr>
    </w:lvl>
    <w:lvl w:ilvl="3" w:tplc="04090001" w:tentative="1">
      <w:start w:val="1"/>
      <w:numFmt w:val="bullet"/>
      <w:lvlText w:val=""/>
      <w:lvlJc w:val="left"/>
      <w:pPr>
        <w:ind w:left="1705" w:hanging="400"/>
      </w:pPr>
      <w:rPr>
        <w:rFonts w:ascii="Wingdings" w:hAnsi="Wingdings" w:hint="default"/>
      </w:rPr>
    </w:lvl>
    <w:lvl w:ilvl="4" w:tplc="04090003" w:tentative="1">
      <w:start w:val="1"/>
      <w:numFmt w:val="bullet"/>
      <w:lvlText w:val=""/>
      <w:lvlJc w:val="left"/>
      <w:pPr>
        <w:ind w:left="2105" w:hanging="400"/>
      </w:pPr>
      <w:rPr>
        <w:rFonts w:ascii="Wingdings" w:hAnsi="Wingdings" w:hint="default"/>
      </w:rPr>
    </w:lvl>
    <w:lvl w:ilvl="5" w:tplc="04090005" w:tentative="1">
      <w:start w:val="1"/>
      <w:numFmt w:val="bullet"/>
      <w:lvlText w:val=""/>
      <w:lvlJc w:val="left"/>
      <w:pPr>
        <w:ind w:left="2505" w:hanging="400"/>
      </w:pPr>
      <w:rPr>
        <w:rFonts w:ascii="Wingdings" w:hAnsi="Wingdings" w:hint="default"/>
      </w:rPr>
    </w:lvl>
    <w:lvl w:ilvl="6" w:tplc="04090001" w:tentative="1">
      <w:start w:val="1"/>
      <w:numFmt w:val="bullet"/>
      <w:lvlText w:val=""/>
      <w:lvlJc w:val="left"/>
      <w:pPr>
        <w:ind w:left="2905" w:hanging="400"/>
      </w:pPr>
      <w:rPr>
        <w:rFonts w:ascii="Wingdings" w:hAnsi="Wingdings" w:hint="default"/>
      </w:rPr>
    </w:lvl>
    <w:lvl w:ilvl="7" w:tplc="04090003" w:tentative="1">
      <w:start w:val="1"/>
      <w:numFmt w:val="bullet"/>
      <w:lvlText w:val=""/>
      <w:lvlJc w:val="left"/>
      <w:pPr>
        <w:ind w:left="3305" w:hanging="400"/>
      </w:pPr>
      <w:rPr>
        <w:rFonts w:ascii="Wingdings" w:hAnsi="Wingdings" w:hint="default"/>
      </w:rPr>
    </w:lvl>
    <w:lvl w:ilvl="8" w:tplc="04090005" w:tentative="1">
      <w:start w:val="1"/>
      <w:numFmt w:val="bullet"/>
      <w:lvlText w:val=""/>
      <w:lvlJc w:val="left"/>
      <w:pPr>
        <w:ind w:left="3705" w:hanging="400"/>
      </w:pPr>
      <w:rPr>
        <w:rFonts w:ascii="Wingdings" w:hAnsi="Wingdings" w:hint="default"/>
      </w:rPr>
    </w:lvl>
  </w:abstractNum>
  <w:abstractNum w:abstractNumId="29" w15:restartNumberingAfterBreak="0">
    <w:nsid w:val="730D028F"/>
    <w:multiLevelType w:val="multilevel"/>
    <w:tmpl w:val="85E41DA4"/>
    <w:lvl w:ilvl="0">
      <w:start w:val="5"/>
      <w:numFmt w:val="decimal"/>
      <w:suff w:val="nothing"/>
      <w:lvlText w:val="ARTICLE %1 - "/>
      <w:lvlJc w:val="center"/>
      <w:pPr>
        <w:ind w:left="4320" w:hanging="4320"/>
      </w:pPr>
      <w:rPr>
        <w:rFonts w:ascii="Times New Roman Bold" w:hAnsi="Times New Roman Bold" w:cs="Times New Roman" w:hint="default"/>
        <w:b/>
        <w:i w:val="0"/>
        <w:caps/>
        <w:sz w:val="24"/>
        <w:szCs w:val="24"/>
        <w:u w:val="none"/>
      </w:rPr>
    </w:lvl>
    <w:lvl w:ilvl="1">
      <w:start w:val="1"/>
      <w:numFmt w:val="decimal"/>
      <w:isLgl/>
      <w:lvlText w:val="%1.%2"/>
      <w:lvlJc w:val="left"/>
      <w:pPr>
        <w:tabs>
          <w:tab w:val="num" w:pos="1008"/>
        </w:tabs>
        <w:ind w:left="1008" w:hanging="1008"/>
      </w:pPr>
      <w:rPr>
        <w:rFonts w:ascii="Times New Roman Bold" w:hAnsi="Times New Roman Bold" w:cs="Times New Roman" w:hint="default"/>
        <w:b/>
        <w:i w:val="0"/>
        <w:sz w:val="24"/>
        <w:szCs w:val="24"/>
        <w:u w:val="none"/>
      </w:rPr>
    </w:lvl>
    <w:lvl w:ilvl="2">
      <w:start w:val="1"/>
      <w:numFmt w:val="decimal"/>
      <w:lvlText w:val="%1.%2.%3."/>
      <w:lvlJc w:val="left"/>
      <w:pPr>
        <w:tabs>
          <w:tab w:val="num" w:pos="1008"/>
        </w:tabs>
        <w:ind w:left="1008" w:hanging="1008"/>
      </w:pPr>
      <w:rPr>
        <w:rFonts w:ascii="Times New Roman" w:hAnsi="Times New Roman" w:cs="Times New Roman" w:hint="default"/>
        <w:b w:val="0"/>
        <w:i w:val="0"/>
        <w:sz w:val="24"/>
        <w:szCs w:val="24"/>
        <w:u w:val="none"/>
      </w:rPr>
    </w:lvl>
    <w:lvl w:ilvl="3">
      <w:start w:val="1"/>
      <w:numFmt w:val="lowerLetter"/>
      <w:lvlText w:val="(%4)"/>
      <w:lvlJc w:val="left"/>
      <w:pPr>
        <w:tabs>
          <w:tab w:val="num" w:pos="1728"/>
        </w:tabs>
        <w:ind w:left="1728" w:hanging="720"/>
      </w:pPr>
      <w:rPr>
        <w:rFonts w:ascii="Times New Roman" w:hAnsi="Times New Roman" w:cs="Times New Roman" w:hint="default"/>
        <w:b w:val="0"/>
        <w:i w:val="0"/>
        <w:sz w:val="24"/>
        <w:szCs w:val="24"/>
        <w:u w:val="none"/>
      </w:rPr>
    </w:lvl>
    <w:lvl w:ilvl="4">
      <w:start w:val="1"/>
      <w:numFmt w:val="lowerRoman"/>
      <w:lvlText w:val="(%5)"/>
      <w:lvlJc w:val="left"/>
      <w:pPr>
        <w:tabs>
          <w:tab w:val="num" w:pos="2448"/>
        </w:tabs>
        <w:ind w:left="2448" w:hanging="720"/>
      </w:pPr>
      <w:rPr>
        <w:rFonts w:ascii="Times New Roman" w:hAnsi="Times New Roman" w:cs="Times New Roman" w:hint="default"/>
        <w:b w:val="0"/>
        <w:i w:val="0"/>
        <w:sz w:val="24"/>
        <w:szCs w:val="24"/>
        <w:u w:val="none"/>
      </w:rPr>
    </w:lvl>
    <w:lvl w:ilvl="5">
      <w:start w:val="1"/>
      <w:numFmt w:val="decimal"/>
      <w:lvlText w:val="(%6)"/>
      <w:lvlJc w:val="left"/>
      <w:pPr>
        <w:tabs>
          <w:tab w:val="num" w:pos="3600"/>
        </w:tabs>
        <w:ind w:left="3600" w:hanging="720"/>
      </w:pPr>
      <w:rPr>
        <w:rFonts w:cs="Times New Roman" w:hint="default"/>
      </w:rPr>
    </w:lvl>
    <w:lvl w:ilvl="6">
      <w:start w:val="1"/>
      <w:numFmt w:val="lowerLetter"/>
      <w:lvlText w:val="%7)"/>
      <w:lvlJc w:val="left"/>
      <w:pPr>
        <w:tabs>
          <w:tab w:val="num" w:pos="4320"/>
        </w:tabs>
        <w:ind w:left="4320" w:hanging="720"/>
      </w:pPr>
      <w:rPr>
        <w:rFonts w:cs="Times New Roman" w:hint="default"/>
      </w:rPr>
    </w:lvl>
    <w:lvl w:ilvl="7">
      <w:start w:val="1"/>
      <w:numFmt w:val="lowerRoman"/>
      <w:lvlText w:val="%8)"/>
      <w:lvlJc w:val="left"/>
      <w:pPr>
        <w:tabs>
          <w:tab w:val="num" w:pos="4320"/>
        </w:tabs>
        <w:ind w:left="4320" w:hanging="720"/>
      </w:pPr>
      <w:rPr>
        <w:rFonts w:cs="Times New Roman" w:hint="default"/>
      </w:rPr>
    </w:lvl>
    <w:lvl w:ilvl="8">
      <w:start w:val="1"/>
      <w:numFmt w:val="upperLetter"/>
      <w:lvlText w:val="%9)"/>
      <w:lvlJc w:val="left"/>
      <w:pPr>
        <w:tabs>
          <w:tab w:val="num" w:pos="4320"/>
        </w:tabs>
        <w:ind w:left="4320" w:hanging="720"/>
      </w:pPr>
      <w:rPr>
        <w:rFonts w:cs="Times New Roman" w:hint="default"/>
      </w:rPr>
    </w:lvl>
  </w:abstractNum>
  <w:abstractNum w:abstractNumId="30" w15:restartNumberingAfterBreak="0">
    <w:nsid w:val="797F57B2"/>
    <w:multiLevelType w:val="multilevel"/>
    <w:tmpl w:val="1996DA9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b/>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1"/>
  </w:num>
  <w:num w:numId="12">
    <w:abstractNumId w:val="30"/>
  </w:num>
  <w:num w:numId="13">
    <w:abstractNumId w:val="29"/>
  </w:num>
  <w:num w:numId="14">
    <w:abstractNumId w:val="19"/>
  </w:num>
  <w:num w:numId="15">
    <w:abstractNumId w:val="13"/>
  </w:num>
  <w:num w:numId="16">
    <w:abstractNumId w:val="25"/>
  </w:num>
  <w:num w:numId="17">
    <w:abstractNumId w:val="27"/>
  </w:num>
  <w:num w:numId="18">
    <w:abstractNumId w:val="20"/>
  </w:num>
  <w:num w:numId="19">
    <w:abstractNumId w:val="16"/>
  </w:num>
  <w:num w:numId="20">
    <w:abstractNumId w:val="11"/>
  </w:num>
  <w:num w:numId="21">
    <w:abstractNumId w:val="15"/>
  </w:num>
  <w:num w:numId="22">
    <w:abstractNumId w:val="28"/>
  </w:num>
  <w:num w:numId="23">
    <w:abstractNumId w:val="23"/>
  </w:num>
  <w:num w:numId="24">
    <w:abstractNumId w:val="17"/>
  </w:num>
  <w:num w:numId="25">
    <w:abstractNumId w:val="24"/>
  </w:num>
  <w:num w:numId="26">
    <w:abstractNumId w:val="26"/>
  </w:num>
  <w:num w:numId="27">
    <w:abstractNumId w:val="18"/>
  </w:num>
  <w:num w:numId="28">
    <w:abstractNumId w:val="12"/>
  </w:num>
  <w:num w:numId="29">
    <w:abstractNumId w:val="22"/>
  </w:num>
  <w:num w:numId="30">
    <w:abstractNumId w:val="14"/>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n-GB" w:vendorID="64" w:dllVersion="131078" w:nlCheck="1" w:checkStyle="1"/>
  <w:activeWritingStyle w:appName="MSWord" w:lang="fr-CH" w:vendorID="64" w:dllVersion="131078" w:nlCheck="1" w:checkStyle="0"/>
  <w:activeWritingStyle w:appName="MSWord" w:lang="es-ES"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7717"/>
    <w:rsid w:val="00007F8D"/>
    <w:rsid w:val="0001364B"/>
    <w:rsid w:val="000502A5"/>
    <w:rsid w:val="000530CA"/>
    <w:rsid w:val="000650DA"/>
    <w:rsid w:val="00075A1A"/>
    <w:rsid w:val="000A7554"/>
    <w:rsid w:val="000D2C75"/>
    <w:rsid w:val="000F2BA7"/>
    <w:rsid w:val="000F30C8"/>
    <w:rsid w:val="000F6A8D"/>
    <w:rsid w:val="00107362"/>
    <w:rsid w:val="00132337"/>
    <w:rsid w:val="00140A23"/>
    <w:rsid w:val="0016412E"/>
    <w:rsid w:val="0017263C"/>
    <w:rsid w:val="00173AFD"/>
    <w:rsid w:val="001B381F"/>
    <w:rsid w:val="001B3D60"/>
    <w:rsid w:val="00217EBF"/>
    <w:rsid w:val="00235226"/>
    <w:rsid w:val="00242AEE"/>
    <w:rsid w:val="002571CD"/>
    <w:rsid w:val="00263872"/>
    <w:rsid w:val="00274EBA"/>
    <w:rsid w:val="002A3F0C"/>
    <w:rsid w:val="002B3465"/>
    <w:rsid w:val="002D76C4"/>
    <w:rsid w:val="00367463"/>
    <w:rsid w:val="0038417F"/>
    <w:rsid w:val="003A1BC2"/>
    <w:rsid w:val="003C5F80"/>
    <w:rsid w:val="003E54FB"/>
    <w:rsid w:val="003F76DB"/>
    <w:rsid w:val="0041268E"/>
    <w:rsid w:val="004204C1"/>
    <w:rsid w:val="00424B3C"/>
    <w:rsid w:val="0043398B"/>
    <w:rsid w:val="00471F4A"/>
    <w:rsid w:val="004834FD"/>
    <w:rsid w:val="004D765B"/>
    <w:rsid w:val="0052529D"/>
    <w:rsid w:val="00560B08"/>
    <w:rsid w:val="005659BB"/>
    <w:rsid w:val="00570064"/>
    <w:rsid w:val="00576E6D"/>
    <w:rsid w:val="005C0761"/>
    <w:rsid w:val="005E414F"/>
    <w:rsid w:val="00601C7B"/>
    <w:rsid w:val="00604BEF"/>
    <w:rsid w:val="00607D68"/>
    <w:rsid w:val="006537F4"/>
    <w:rsid w:val="00667B6F"/>
    <w:rsid w:val="00676968"/>
    <w:rsid w:val="00691DF1"/>
    <w:rsid w:val="0069427A"/>
    <w:rsid w:val="006F5168"/>
    <w:rsid w:val="00713752"/>
    <w:rsid w:val="007144DD"/>
    <w:rsid w:val="00745EE7"/>
    <w:rsid w:val="007468DA"/>
    <w:rsid w:val="0077268D"/>
    <w:rsid w:val="00796BB3"/>
    <w:rsid w:val="00797FED"/>
    <w:rsid w:val="007B2832"/>
    <w:rsid w:val="007C2F37"/>
    <w:rsid w:val="007E515E"/>
    <w:rsid w:val="007F4B24"/>
    <w:rsid w:val="00800018"/>
    <w:rsid w:val="00831CFB"/>
    <w:rsid w:val="00847CDA"/>
    <w:rsid w:val="00854F1E"/>
    <w:rsid w:val="008701B4"/>
    <w:rsid w:val="00880F7A"/>
    <w:rsid w:val="00896190"/>
    <w:rsid w:val="008C4C9D"/>
    <w:rsid w:val="008D411F"/>
    <w:rsid w:val="008E2005"/>
    <w:rsid w:val="008E4DBD"/>
    <w:rsid w:val="008E7CC2"/>
    <w:rsid w:val="0091356A"/>
    <w:rsid w:val="00925EE0"/>
    <w:rsid w:val="00935249"/>
    <w:rsid w:val="009556CB"/>
    <w:rsid w:val="00982416"/>
    <w:rsid w:val="00996505"/>
    <w:rsid w:val="00996AB4"/>
    <w:rsid w:val="009A52E1"/>
    <w:rsid w:val="009E00A8"/>
    <w:rsid w:val="009E0AE2"/>
    <w:rsid w:val="00A21280"/>
    <w:rsid w:val="00A37097"/>
    <w:rsid w:val="00A4238B"/>
    <w:rsid w:val="00A516CA"/>
    <w:rsid w:val="00A6617B"/>
    <w:rsid w:val="00A945F2"/>
    <w:rsid w:val="00AA04B2"/>
    <w:rsid w:val="00AB0DC8"/>
    <w:rsid w:val="00AE3C7E"/>
    <w:rsid w:val="00AE3EE4"/>
    <w:rsid w:val="00AE4F74"/>
    <w:rsid w:val="00AE7917"/>
    <w:rsid w:val="00B1738A"/>
    <w:rsid w:val="00B44E24"/>
    <w:rsid w:val="00B82A3F"/>
    <w:rsid w:val="00B9291B"/>
    <w:rsid w:val="00B9592A"/>
    <w:rsid w:val="00BC3845"/>
    <w:rsid w:val="00BC66A3"/>
    <w:rsid w:val="00BE3D02"/>
    <w:rsid w:val="00C26A17"/>
    <w:rsid w:val="00C357BD"/>
    <w:rsid w:val="00C502EC"/>
    <w:rsid w:val="00C67B81"/>
    <w:rsid w:val="00CC78AE"/>
    <w:rsid w:val="00D17B5B"/>
    <w:rsid w:val="00D405F5"/>
    <w:rsid w:val="00D835E1"/>
    <w:rsid w:val="00DB212F"/>
    <w:rsid w:val="00DC27A7"/>
    <w:rsid w:val="00DF4176"/>
    <w:rsid w:val="00E10AA1"/>
    <w:rsid w:val="00E11218"/>
    <w:rsid w:val="00E71677"/>
    <w:rsid w:val="00E97717"/>
    <w:rsid w:val="00EF17D5"/>
    <w:rsid w:val="00F07B12"/>
    <w:rsid w:val="00F21259"/>
    <w:rsid w:val="00F3193E"/>
    <w:rsid w:val="00F335D2"/>
    <w:rsid w:val="00F5184F"/>
    <w:rsid w:val="00F810D3"/>
    <w:rsid w:val="00FB16F7"/>
    <w:rsid w:val="00FE7E9D"/>
    <w:rsid w:val="00FF51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2289"/>
    <o:shapelayout v:ext="edit">
      <o:idmap v:ext="edit" data="1"/>
    </o:shapelayout>
  </w:shapeDefaults>
  <w:decimalSymbol w:val="."/>
  <w:listSeparator w:val=","/>
  <w15:docId w15:val="{14471C8B-67A7-40F1-BFDA-08956D3E5C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35E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uiPriority w:val="9"/>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qFormat/>
    <w:pPr>
      <w:spacing w:before="80"/>
      <w:ind w:left="794" w:hanging="794"/>
    </w:pPr>
  </w:style>
  <w:style w:type="paragraph" w:customStyle="1" w:styleId="enumlev2">
    <w:name w:val="enumlev2"/>
    <w:basedOn w:val="enumlev1"/>
    <w:link w:val="enumlev2Char"/>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link w:val="NoteChar"/>
    <w:qFormat/>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rsid w:val="00D835E1"/>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qFormat/>
    <w:pPr>
      <w:spacing w:before="0"/>
    </w:pPr>
    <w:rPr>
      <w:sz w:val="20"/>
      <w:lang w:val="en-GB"/>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qFormat/>
    <w:pPr>
      <w:keepNext/>
      <w:spacing w:before="360" w:after="120"/>
      <w:jc w:val="center"/>
    </w:pPr>
  </w:style>
  <w:style w:type="paragraph" w:customStyle="1" w:styleId="Tabletext">
    <w:name w:val="Table_text"/>
    <w:basedOn w:val="Normal"/>
    <w:link w:val="TabletextChar"/>
    <w:qFormat/>
    <w:rsid w:val="00E10AA1"/>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Equation">
    <w:name w:val="Equation"/>
    <w:basedOn w:val="Normal"/>
    <w:link w:val="EquationChar"/>
    <w:qFormat/>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qForma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link w:val="ArtNoChar"/>
    <w:pPr>
      <w:keepNext/>
      <w:keepLines/>
      <w:spacing w:before="480"/>
      <w:jc w:val="center"/>
    </w:pPr>
    <w:rPr>
      <w:sz w:val="28"/>
    </w:rPr>
  </w:style>
  <w:style w:type="paragraph" w:customStyle="1" w:styleId="Arttitle">
    <w:name w:val="Art_title"/>
    <w:basedOn w:val="Normal"/>
    <w:next w:val="Normalaftertitle"/>
    <w:link w:val="ArttitleCar"/>
    <w:pPr>
      <w:keepNext/>
      <w:keepLines/>
      <w:spacing w:before="240"/>
      <w:jc w:val="center"/>
    </w:pPr>
    <w:rPr>
      <w:b/>
      <w:sz w:val="28"/>
    </w:rPr>
  </w:style>
  <w:style w:type="paragraph" w:customStyle="1" w:styleId="Blanc">
    <w:name w:val="Blanc"/>
    <w:basedOn w:val="Normal"/>
    <w:next w:val="Tabletext"/>
    <w:qForma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sid w:val="00DC27A7"/>
    <w:pPr>
      <w:outlineLvl w:val="0"/>
    </w:pPr>
  </w:style>
  <w:style w:type="paragraph" w:customStyle="1" w:styleId="Chaptitle">
    <w:name w:val="Chap_title"/>
    <w:basedOn w:val="Arttitle"/>
    <w:next w:val="Normalaftertitle"/>
    <w:link w:val="ChaptitleChar"/>
    <w:rsid w:val="00D835E1"/>
    <w:pPr>
      <w:outlineLvl w:val="0"/>
    </w:pPr>
  </w:style>
  <w:style w:type="character" w:styleId="FootnoteReference">
    <w:name w:val="footnote reference"/>
    <w:basedOn w:val="DefaultParagraphFont"/>
    <w:qForma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link w:val="RepNoChar"/>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link w:val="ResNoChar"/>
  </w:style>
  <w:style w:type="paragraph" w:customStyle="1" w:styleId="Resref">
    <w:name w:val="Res_ref"/>
    <w:basedOn w:val="Recref"/>
    <w:next w:val="Resdate"/>
  </w:style>
  <w:style w:type="paragraph" w:customStyle="1" w:styleId="Restitle">
    <w:name w:val="Res_title"/>
    <w:basedOn w:val="Normal"/>
    <w:next w:val="Resref"/>
    <w:link w:val="RestitleChar"/>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uiPriority w:val="39"/>
    <w:pPr>
      <w:tabs>
        <w:tab w:val="clear" w:pos="1276"/>
        <w:tab w:val="left" w:pos="2155"/>
      </w:tabs>
      <w:ind w:left="2155" w:hanging="879"/>
    </w:pPr>
  </w:style>
  <w:style w:type="paragraph" w:styleId="TOC4">
    <w:name w:val="toc 4"/>
    <w:basedOn w:val="TOC3"/>
    <w:uiPriority w:val="39"/>
    <w:pPr>
      <w:tabs>
        <w:tab w:val="left" w:pos="3261"/>
      </w:tabs>
      <w:spacing w:before="80"/>
      <w:ind w:left="3261" w:hanging="993"/>
    </w:pPr>
  </w:style>
  <w:style w:type="paragraph" w:styleId="TOC5">
    <w:name w:val="toc 5"/>
    <w:basedOn w:val="TOC4"/>
    <w:uiPriority w:val="39"/>
  </w:style>
  <w:style w:type="paragraph" w:styleId="TOC6">
    <w:name w:val="toc 6"/>
    <w:basedOn w:val="TOC4"/>
    <w:uiPriority w:val="39"/>
  </w:style>
  <w:style w:type="paragraph" w:styleId="TOC7">
    <w:name w:val="toc 7"/>
    <w:basedOn w:val="TOC4"/>
    <w:uiPriority w:val="39"/>
  </w:style>
  <w:style w:type="paragraph" w:styleId="TOC8">
    <w:name w:val="toc 8"/>
    <w:basedOn w:val="TOC4"/>
    <w:uiPriority w:val="39"/>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E97717"/>
    <w:rPr>
      <w:b/>
      <w:sz w:val="24"/>
      <w:lang w:val="fr-FR" w:eastAsia="en-U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E97717"/>
    <w:rPr>
      <w:sz w:val="24"/>
      <w:lang w:val="fr-FR" w:eastAsia="en-US"/>
    </w:rPr>
  </w:style>
  <w:style w:type="character" w:styleId="Hyperlink">
    <w:name w:val="Hyperlink"/>
    <w:basedOn w:val="DefaultParagraphFont"/>
    <w:uiPriority w:val="99"/>
    <w:rsid w:val="00E97717"/>
    <w:rPr>
      <w:color w:val="0000FF"/>
      <w:u w:val="single"/>
    </w:rPr>
  </w:style>
  <w:style w:type="character" w:customStyle="1" w:styleId="TabletextChar">
    <w:name w:val="Table_text Char"/>
    <w:basedOn w:val="DefaultParagraphFont"/>
    <w:link w:val="Tabletext"/>
    <w:qFormat/>
    <w:locked/>
    <w:rsid w:val="00E10AA1"/>
    <w:rPr>
      <w:sz w:val="22"/>
      <w:lang w:val="fr-FR" w:eastAsia="en-US"/>
    </w:rPr>
  </w:style>
  <w:style w:type="character" w:customStyle="1" w:styleId="TableheadChar">
    <w:name w:val="Table_head Char"/>
    <w:basedOn w:val="DefaultParagraphFont"/>
    <w:link w:val="Tablehead"/>
    <w:qFormat/>
    <w:rsid w:val="00E97717"/>
    <w:rPr>
      <w:b/>
      <w:sz w:val="22"/>
      <w:lang w:val="fr-FR" w:eastAsia="en-US"/>
    </w:rPr>
  </w:style>
  <w:style w:type="character" w:customStyle="1" w:styleId="Heading2Char">
    <w:name w:val="Heading 2 Char"/>
    <w:link w:val="Heading2"/>
    <w:locked/>
    <w:rsid w:val="00E97717"/>
    <w:rPr>
      <w:b/>
      <w:sz w:val="24"/>
      <w:lang w:val="fr-FR" w:eastAsia="en-US"/>
    </w:rPr>
  </w:style>
  <w:style w:type="character" w:customStyle="1" w:styleId="Heading3Char">
    <w:name w:val="Heading 3 Char"/>
    <w:link w:val="Heading3"/>
    <w:uiPriority w:val="9"/>
    <w:locked/>
    <w:rsid w:val="00E97717"/>
    <w:rPr>
      <w:b/>
      <w:sz w:val="24"/>
      <w:lang w:val="fr-FR" w:eastAsia="en-US"/>
    </w:rPr>
  </w:style>
  <w:style w:type="character" w:customStyle="1" w:styleId="Heading4Char">
    <w:name w:val="Heading 4 Char"/>
    <w:link w:val="Heading4"/>
    <w:locked/>
    <w:rsid w:val="00E97717"/>
    <w:rPr>
      <w:b/>
      <w:sz w:val="24"/>
      <w:lang w:val="fr-FR" w:eastAsia="en-US"/>
    </w:rPr>
  </w:style>
  <w:style w:type="character" w:customStyle="1" w:styleId="Heading5Char">
    <w:name w:val="Heading 5 Char"/>
    <w:link w:val="Heading5"/>
    <w:locked/>
    <w:rsid w:val="00E97717"/>
    <w:rPr>
      <w:b/>
      <w:sz w:val="24"/>
      <w:lang w:val="fr-FR" w:eastAsia="en-US"/>
    </w:rPr>
  </w:style>
  <w:style w:type="character" w:customStyle="1" w:styleId="Heading6Char">
    <w:name w:val="Heading 6 Char"/>
    <w:link w:val="Heading6"/>
    <w:locked/>
    <w:rsid w:val="00E97717"/>
    <w:rPr>
      <w:b/>
      <w:sz w:val="24"/>
      <w:lang w:val="fr-FR" w:eastAsia="en-US"/>
    </w:rPr>
  </w:style>
  <w:style w:type="character" w:customStyle="1" w:styleId="Heading7Char">
    <w:name w:val="Heading 7 Char"/>
    <w:link w:val="Heading7"/>
    <w:locked/>
    <w:rsid w:val="00E97717"/>
    <w:rPr>
      <w:b/>
      <w:sz w:val="24"/>
      <w:lang w:val="fr-FR" w:eastAsia="en-US"/>
    </w:rPr>
  </w:style>
  <w:style w:type="character" w:customStyle="1" w:styleId="Heading8Char">
    <w:name w:val="Heading 8 Char"/>
    <w:link w:val="Heading8"/>
    <w:locked/>
    <w:rsid w:val="00E97717"/>
    <w:rPr>
      <w:b/>
      <w:sz w:val="24"/>
      <w:lang w:val="fr-FR" w:eastAsia="en-US"/>
    </w:rPr>
  </w:style>
  <w:style w:type="character" w:customStyle="1" w:styleId="Heading9Char">
    <w:name w:val="Heading 9 Char"/>
    <w:link w:val="Heading9"/>
    <w:locked/>
    <w:rsid w:val="00E97717"/>
    <w:rPr>
      <w:b/>
      <w:sz w:val="24"/>
      <w:lang w:val="fr-FR" w:eastAsia="en-US"/>
    </w:rPr>
  </w:style>
  <w:style w:type="character" w:customStyle="1" w:styleId="FooterChar">
    <w:name w:val="Footer Char"/>
    <w:link w:val="Footer"/>
    <w:locked/>
    <w:rsid w:val="00E97717"/>
    <w:rPr>
      <w:noProof/>
      <w:sz w:val="18"/>
      <w:lang w:val="fr-FR" w:eastAsia="en-US"/>
    </w:rPr>
  </w:style>
  <w:style w:type="character" w:customStyle="1" w:styleId="HeadingbChar">
    <w:name w:val="Heading_b Char"/>
    <w:link w:val="Headingb"/>
    <w:qFormat/>
    <w:locked/>
    <w:rsid w:val="00E97717"/>
    <w:rPr>
      <w:b/>
      <w:sz w:val="24"/>
      <w:lang w:val="fr-FR" w:eastAsia="en-US"/>
    </w:rPr>
  </w:style>
  <w:style w:type="character" w:customStyle="1" w:styleId="enumlev1Char">
    <w:name w:val="enumlev1 Char"/>
    <w:link w:val="enumlev1"/>
    <w:locked/>
    <w:rsid w:val="00E97717"/>
    <w:rPr>
      <w:sz w:val="24"/>
      <w:lang w:val="fr-FR" w:eastAsia="en-US"/>
    </w:rPr>
  </w:style>
  <w:style w:type="character" w:customStyle="1" w:styleId="NormalaftertitleChar">
    <w:name w:val="Normal_after_title Char"/>
    <w:link w:val="Normalaftertitle"/>
    <w:locked/>
    <w:rsid w:val="00E97717"/>
    <w:rPr>
      <w:sz w:val="24"/>
      <w:lang w:val="fr-FR" w:eastAsia="en-US"/>
    </w:rPr>
  </w:style>
  <w:style w:type="character" w:customStyle="1" w:styleId="RectitleChar">
    <w:name w:val="Rec_title Char"/>
    <w:link w:val="Rectitle"/>
    <w:uiPriority w:val="99"/>
    <w:locked/>
    <w:rsid w:val="00E97717"/>
    <w:rPr>
      <w:b/>
      <w:sz w:val="28"/>
      <w:lang w:val="fr-FR" w:eastAsia="en-US"/>
    </w:rPr>
  </w:style>
  <w:style w:type="character" w:customStyle="1" w:styleId="RecNoChar">
    <w:name w:val="Rec_No Char"/>
    <w:link w:val="RecNo"/>
    <w:locked/>
    <w:rsid w:val="00E97717"/>
    <w:rPr>
      <w:sz w:val="28"/>
      <w:lang w:val="fr-FR" w:eastAsia="en-US"/>
    </w:rPr>
  </w:style>
  <w:style w:type="character" w:customStyle="1" w:styleId="AnnexNoTitleChar">
    <w:name w:val="Annex_NoTitle Char"/>
    <w:link w:val="AnnexNoTitle"/>
    <w:rsid w:val="00D835E1"/>
    <w:rPr>
      <w:b/>
      <w:sz w:val="28"/>
      <w:lang w:val="fr-FR" w:eastAsia="en-US"/>
    </w:rPr>
  </w:style>
  <w:style w:type="character" w:customStyle="1" w:styleId="FootnoteTextChar">
    <w:name w:val="Footnote Text Char"/>
    <w:link w:val="FootnoteText"/>
    <w:qFormat/>
    <w:locked/>
    <w:rsid w:val="00E97717"/>
    <w:rPr>
      <w:sz w:val="22"/>
      <w:lang w:val="fr-FR" w:eastAsia="en-US"/>
    </w:rPr>
  </w:style>
  <w:style w:type="character" w:customStyle="1" w:styleId="RepNoChar">
    <w:name w:val="Rep_No Char"/>
    <w:link w:val="RepNo"/>
    <w:locked/>
    <w:rsid w:val="00E97717"/>
    <w:rPr>
      <w:sz w:val="28"/>
      <w:lang w:val="fr-FR" w:eastAsia="en-US"/>
    </w:rPr>
  </w:style>
  <w:style w:type="character" w:customStyle="1" w:styleId="Tabletitle0">
    <w:name w:val="Table_title Знак"/>
    <w:link w:val="Tabletitle"/>
    <w:locked/>
    <w:rsid w:val="00E97717"/>
    <w:rPr>
      <w:b/>
      <w:sz w:val="24"/>
      <w:lang w:val="fr-FR" w:eastAsia="en-US"/>
    </w:rPr>
  </w:style>
  <w:style w:type="paragraph" w:styleId="Revision">
    <w:name w:val="Revision"/>
    <w:hidden/>
    <w:uiPriority w:val="99"/>
    <w:semiHidden/>
    <w:rsid w:val="00E97717"/>
    <w:rPr>
      <w:sz w:val="24"/>
      <w:lang w:val="en-GB" w:eastAsia="en-US"/>
    </w:rPr>
  </w:style>
  <w:style w:type="paragraph" w:customStyle="1" w:styleId="Title1">
    <w:name w:val="Title 1"/>
    <w:basedOn w:val="Normal"/>
    <w:next w:val="Normal"/>
    <w:link w:val="Title1Char"/>
    <w:rsid w:val="00E97717"/>
    <w:pPr>
      <w:tabs>
        <w:tab w:val="clear" w:pos="794"/>
        <w:tab w:val="clear" w:pos="1191"/>
        <w:tab w:val="clear" w:pos="1588"/>
        <w:tab w:val="clear" w:pos="1985"/>
        <w:tab w:val="left" w:pos="567"/>
        <w:tab w:val="left" w:pos="1134"/>
        <w:tab w:val="left" w:pos="1701"/>
        <w:tab w:val="left" w:pos="1871"/>
        <w:tab w:val="left" w:pos="2268"/>
        <w:tab w:val="left" w:pos="2835"/>
      </w:tabs>
      <w:spacing w:before="240"/>
      <w:jc w:val="center"/>
    </w:pPr>
    <w:rPr>
      <w:caps/>
      <w:sz w:val="28"/>
      <w:lang w:val="en-GB"/>
    </w:rPr>
  </w:style>
  <w:style w:type="paragraph" w:customStyle="1" w:styleId="Artheading">
    <w:name w:val="Art_heading"/>
    <w:basedOn w:val="Normal"/>
    <w:next w:val="Normal"/>
    <w:rsid w:val="00E97717"/>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rsid w:val="00E97717"/>
    <w:rPr>
      <w:vertAlign w:val="superscript"/>
    </w:rPr>
  </w:style>
  <w:style w:type="paragraph" w:customStyle="1" w:styleId="Figurewithouttitle">
    <w:name w:val="Figure_without_title"/>
    <w:basedOn w:val="FigureNo"/>
    <w:next w:val="Normal"/>
    <w:rsid w:val="00E97717"/>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rsid w:val="00E97717"/>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rsid w:val="00E97717"/>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E97717"/>
    <w:pPr>
      <w:tabs>
        <w:tab w:val="left" w:pos="567"/>
        <w:tab w:val="left" w:pos="1134"/>
        <w:tab w:val="left" w:pos="1701"/>
        <w:tab w:val="left" w:pos="2268"/>
        <w:tab w:val="left" w:pos="2835"/>
        <w:tab w:val="left" w:pos="5954"/>
        <w:tab w:val="right" w:pos="9639"/>
      </w:tabs>
      <w:jc w:val="left"/>
    </w:pPr>
    <w:rPr>
      <w:noProof w:val="0"/>
      <w:sz w:val="16"/>
      <w:lang w:val="en-GB"/>
    </w:rPr>
  </w:style>
  <w:style w:type="paragraph" w:customStyle="1" w:styleId="Tableref">
    <w:name w:val="Table_ref"/>
    <w:basedOn w:val="Normal"/>
    <w:next w:val="Normal"/>
    <w:rsid w:val="00E97717"/>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2">
    <w:name w:val="Title 2"/>
    <w:basedOn w:val="Source"/>
    <w:next w:val="Normal"/>
    <w:rsid w:val="00E97717"/>
    <w:pPr>
      <w:overflowPunct/>
      <w:autoSpaceDE/>
      <w:autoSpaceDN/>
      <w:adjustRightInd/>
      <w:spacing w:before="480"/>
      <w:textAlignment w:val="auto"/>
    </w:pPr>
    <w:rPr>
      <w:b w:val="0"/>
      <w:caps/>
    </w:rPr>
  </w:style>
  <w:style w:type="paragraph" w:customStyle="1" w:styleId="Title3">
    <w:name w:val="Title 3"/>
    <w:basedOn w:val="Title2"/>
    <w:next w:val="Normal"/>
    <w:rsid w:val="00E97717"/>
    <w:pPr>
      <w:spacing w:before="240"/>
    </w:pPr>
    <w:rPr>
      <w:caps w:val="0"/>
    </w:rPr>
  </w:style>
  <w:style w:type="paragraph" w:customStyle="1" w:styleId="Title4">
    <w:name w:val="Title 4"/>
    <w:basedOn w:val="Title3"/>
    <w:next w:val="Heading1"/>
    <w:rsid w:val="00E97717"/>
    <w:rPr>
      <w:b/>
    </w:rPr>
  </w:style>
  <w:style w:type="character" w:customStyle="1" w:styleId="Appdef">
    <w:name w:val="App_def"/>
    <w:rsid w:val="00E97717"/>
    <w:rPr>
      <w:rFonts w:ascii="Times New Roman" w:hAnsi="Times New Roman"/>
      <w:b/>
    </w:rPr>
  </w:style>
  <w:style w:type="character" w:customStyle="1" w:styleId="Appref">
    <w:name w:val="App_ref"/>
    <w:basedOn w:val="DefaultParagraphFont"/>
    <w:rsid w:val="00E97717"/>
  </w:style>
  <w:style w:type="character" w:customStyle="1" w:styleId="Artdef">
    <w:name w:val="Art_def"/>
    <w:rsid w:val="00E97717"/>
    <w:rPr>
      <w:rFonts w:ascii="Times New Roman" w:hAnsi="Times New Roman"/>
      <w:b/>
    </w:rPr>
  </w:style>
  <w:style w:type="character" w:customStyle="1" w:styleId="Artref">
    <w:name w:val="Art_ref"/>
    <w:basedOn w:val="DefaultParagraphFont"/>
    <w:rsid w:val="00E97717"/>
  </w:style>
  <w:style w:type="character" w:customStyle="1" w:styleId="Recdef">
    <w:name w:val="Rec_def"/>
    <w:rsid w:val="00E97717"/>
    <w:rPr>
      <w:b/>
    </w:rPr>
  </w:style>
  <w:style w:type="character" w:customStyle="1" w:styleId="Resdef">
    <w:name w:val="Res_def"/>
    <w:rsid w:val="00E97717"/>
    <w:rPr>
      <w:rFonts w:ascii="Times New Roman" w:hAnsi="Times New Roman"/>
      <w:b/>
    </w:rPr>
  </w:style>
  <w:style w:type="character" w:customStyle="1" w:styleId="Tablefreq">
    <w:name w:val="Table_freq"/>
    <w:rsid w:val="00E97717"/>
    <w:rPr>
      <w:b/>
      <w:color w:val="auto"/>
      <w:sz w:val="20"/>
    </w:rPr>
  </w:style>
  <w:style w:type="paragraph" w:customStyle="1" w:styleId="Formal">
    <w:name w:val="Formal"/>
    <w:basedOn w:val="ASN1"/>
    <w:rsid w:val="00E97717"/>
    <w:pPr>
      <w:tabs>
        <w:tab w:val="left" w:pos="1871"/>
      </w:tabs>
      <w:jc w:val="left"/>
    </w:pPr>
    <w:rPr>
      <w:rFonts w:ascii="Times New Roman Bold" w:hAnsi="Times New Roman Bold"/>
      <w:b w:val="0"/>
      <w:lang w:val="en-GB"/>
    </w:rPr>
  </w:style>
  <w:style w:type="paragraph" w:customStyle="1" w:styleId="Section1">
    <w:name w:val="Section_1"/>
    <w:basedOn w:val="Normal"/>
    <w:link w:val="Section1Char"/>
    <w:rsid w:val="00E97717"/>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link w:val="Section2Char"/>
    <w:rsid w:val="00E97717"/>
    <w:rPr>
      <w:b w:val="0"/>
      <w:i/>
    </w:rPr>
  </w:style>
  <w:style w:type="paragraph" w:customStyle="1" w:styleId="AnnexNo">
    <w:name w:val="Annex_No"/>
    <w:basedOn w:val="Normal"/>
    <w:next w:val="Normal"/>
    <w:link w:val="AnnexNoChar"/>
    <w:rsid w:val="00E97717"/>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link w:val="AnnextitleChar1"/>
    <w:rsid w:val="00E9771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link w:val="AppendixNoCar"/>
    <w:rsid w:val="00E97717"/>
  </w:style>
  <w:style w:type="paragraph" w:customStyle="1" w:styleId="Appendixtitle">
    <w:name w:val="Appendix_title"/>
    <w:basedOn w:val="Annextitle"/>
    <w:next w:val="Normal"/>
    <w:link w:val="AppendixtitleChar"/>
    <w:rsid w:val="00E97717"/>
  </w:style>
  <w:style w:type="paragraph" w:customStyle="1" w:styleId="Border">
    <w:name w:val="Border"/>
    <w:basedOn w:val="Normal"/>
    <w:rsid w:val="00E97717"/>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E97717"/>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E97717"/>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E97717"/>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E97717"/>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E97717"/>
  </w:style>
  <w:style w:type="paragraph" w:customStyle="1" w:styleId="Normalaftertitle0">
    <w:name w:val="Normal after title"/>
    <w:basedOn w:val="Normal"/>
    <w:next w:val="Normal"/>
    <w:link w:val="NormalaftertitleChar0"/>
    <w:rsid w:val="00E97717"/>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link w:val="ProposalChar"/>
    <w:rsid w:val="00E97717"/>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link w:val="ReasonsChar"/>
    <w:qFormat/>
    <w:rsid w:val="00E97717"/>
    <w:pPr>
      <w:tabs>
        <w:tab w:val="clear" w:pos="794"/>
        <w:tab w:val="clear" w:pos="1191"/>
        <w:tab w:val="left" w:pos="1134"/>
      </w:tabs>
      <w:jc w:val="left"/>
    </w:pPr>
    <w:rPr>
      <w:lang w:val="en-GB"/>
    </w:rPr>
  </w:style>
  <w:style w:type="paragraph" w:customStyle="1" w:styleId="Section3">
    <w:name w:val="Section_3"/>
    <w:basedOn w:val="Section1"/>
    <w:link w:val="Section3Char"/>
    <w:rsid w:val="00E97717"/>
    <w:rPr>
      <w:b w:val="0"/>
    </w:rPr>
  </w:style>
  <w:style w:type="paragraph" w:customStyle="1" w:styleId="TableTextS5">
    <w:name w:val="Table_TextS5"/>
    <w:basedOn w:val="Normal"/>
    <w:link w:val="TableTextS5Char"/>
    <w:rsid w:val="00E97717"/>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n-GB"/>
    </w:rPr>
  </w:style>
  <w:style w:type="paragraph" w:customStyle="1" w:styleId="Agendaitem">
    <w:name w:val="Agenda_item"/>
    <w:basedOn w:val="Normal"/>
    <w:next w:val="Normal"/>
    <w:qFormat/>
    <w:rsid w:val="00E97717"/>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E97717"/>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E97717"/>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E97717"/>
  </w:style>
  <w:style w:type="paragraph" w:customStyle="1" w:styleId="Committee">
    <w:name w:val="Committee"/>
    <w:basedOn w:val="Normal"/>
    <w:qFormat/>
    <w:rsid w:val="00E97717"/>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Calibri" w:hAnsi="Calibri" w:cs="Calibri"/>
      <w:b/>
      <w:szCs w:val="24"/>
      <w:lang w:val="en-GB"/>
    </w:rPr>
  </w:style>
  <w:style w:type="paragraph" w:customStyle="1" w:styleId="Normalend">
    <w:name w:val="Normal_end"/>
    <w:basedOn w:val="Normal"/>
    <w:next w:val="Normal"/>
    <w:qFormat/>
    <w:rsid w:val="00E97717"/>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E97717"/>
  </w:style>
  <w:style w:type="paragraph" w:customStyle="1" w:styleId="Subsection1">
    <w:name w:val="Subsection_1"/>
    <w:basedOn w:val="Section1"/>
    <w:next w:val="Normalaftertitle0"/>
    <w:qFormat/>
    <w:rsid w:val="00E97717"/>
  </w:style>
  <w:style w:type="paragraph" w:customStyle="1" w:styleId="Volumetitle">
    <w:name w:val="Volume_title"/>
    <w:basedOn w:val="Normal"/>
    <w:qFormat/>
    <w:rsid w:val="00E97717"/>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FootnoteReference10pt">
    <w:name w:val="Footnote Reference + 10 pt"/>
    <w:basedOn w:val="FootnoteText"/>
    <w:rsid w:val="00E97717"/>
    <w:pPr>
      <w:ind w:left="0" w:firstLine="0"/>
      <w:jc w:val="left"/>
    </w:pPr>
    <w:rPr>
      <w:sz w:val="20"/>
    </w:rPr>
  </w:style>
  <w:style w:type="paragraph" w:customStyle="1" w:styleId="FootnoteTextComplex12pt">
    <w:name w:val="Footnote Text + (Complex) 12 pt"/>
    <w:basedOn w:val="FootnoteText"/>
    <w:rsid w:val="00E97717"/>
    <w:pPr>
      <w:ind w:left="0" w:firstLine="0"/>
      <w:jc w:val="left"/>
    </w:pPr>
    <w:rPr>
      <w:sz w:val="24"/>
      <w:szCs w:val="24"/>
      <w:lang w:val="en-GB"/>
    </w:rPr>
  </w:style>
  <w:style w:type="paragraph" w:customStyle="1" w:styleId="FooterQP">
    <w:name w:val="Footer_QP"/>
    <w:basedOn w:val="Normal"/>
    <w:rsid w:val="00E97717"/>
    <w:pPr>
      <w:tabs>
        <w:tab w:val="clear" w:pos="794"/>
        <w:tab w:val="clear" w:pos="1191"/>
        <w:tab w:val="clear" w:pos="1588"/>
        <w:tab w:val="clear" w:pos="1985"/>
        <w:tab w:val="left" w:pos="907"/>
        <w:tab w:val="left" w:pos="1134"/>
        <w:tab w:val="left" w:pos="1871"/>
        <w:tab w:val="left" w:pos="2268"/>
        <w:tab w:val="right" w:pos="8789"/>
        <w:tab w:val="right" w:pos="9639"/>
      </w:tabs>
      <w:spacing w:before="0"/>
      <w:jc w:val="left"/>
    </w:pPr>
    <w:rPr>
      <w:b/>
      <w:sz w:val="22"/>
      <w:lang w:val="en-GB"/>
    </w:rPr>
  </w:style>
  <w:style w:type="paragraph" w:customStyle="1" w:styleId="RecNoBR">
    <w:name w:val="Rec_No_BR"/>
    <w:basedOn w:val="Normal"/>
    <w:next w:val="Rectitle"/>
    <w:rsid w:val="00E97717"/>
    <w:pPr>
      <w:keepNext/>
      <w:keepLines/>
      <w:tabs>
        <w:tab w:val="clear" w:pos="794"/>
        <w:tab w:val="clear" w:pos="1191"/>
        <w:tab w:val="clear" w:pos="1588"/>
        <w:tab w:val="clear" w:pos="1985"/>
        <w:tab w:val="left" w:pos="1134"/>
        <w:tab w:val="left" w:pos="1871"/>
        <w:tab w:val="left" w:pos="2268"/>
      </w:tabs>
      <w:spacing w:before="480"/>
      <w:jc w:val="center"/>
    </w:pPr>
    <w:rPr>
      <w:caps/>
      <w:sz w:val="26"/>
      <w:lang w:val="ru-RU"/>
    </w:rPr>
  </w:style>
  <w:style w:type="paragraph" w:customStyle="1" w:styleId="QuestionNoBR">
    <w:name w:val="Question_No_BR"/>
    <w:basedOn w:val="RecNoBR"/>
    <w:next w:val="Questiontitle"/>
    <w:rsid w:val="00E97717"/>
  </w:style>
  <w:style w:type="paragraph" w:customStyle="1" w:styleId="RepNoBR">
    <w:name w:val="Rep_No_BR"/>
    <w:basedOn w:val="RecNoBR"/>
    <w:next w:val="Reptitle"/>
    <w:rsid w:val="00E97717"/>
  </w:style>
  <w:style w:type="paragraph" w:customStyle="1" w:styleId="ResNoBR">
    <w:name w:val="Res_No_BR"/>
    <w:basedOn w:val="RecNoBR"/>
    <w:next w:val="Restitle"/>
    <w:rsid w:val="00E97717"/>
  </w:style>
  <w:style w:type="paragraph" w:customStyle="1" w:styleId="TabletitleBR">
    <w:name w:val="Table_title_BR"/>
    <w:basedOn w:val="Normal"/>
    <w:next w:val="Tablehead"/>
    <w:rsid w:val="00E97717"/>
    <w:pPr>
      <w:keepNext/>
      <w:keepLines/>
      <w:tabs>
        <w:tab w:val="clear" w:pos="794"/>
        <w:tab w:val="clear" w:pos="1191"/>
        <w:tab w:val="clear" w:pos="1588"/>
        <w:tab w:val="clear" w:pos="1985"/>
        <w:tab w:val="left" w:pos="1134"/>
        <w:tab w:val="left" w:pos="1871"/>
        <w:tab w:val="left" w:pos="2268"/>
      </w:tabs>
      <w:spacing w:before="0" w:after="120"/>
      <w:jc w:val="center"/>
    </w:pPr>
    <w:rPr>
      <w:b/>
      <w:sz w:val="22"/>
      <w:lang w:val="ru-RU"/>
    </w:rPr>
  </w:style>
  <w:style w:type="paragraph" w:customStyle="1" w:styleId="TableNoBR">
    <w:name w:val="Table_No_BR"/>
    <w:basedOn w:val="Normal"/>
    <w:next w:val="TabletitleBR"/>
    <w:rsid w:val="00E97717"/>
    <w:pPr>
      <w:keepNext/>
      <w:tabs>
        <w:tab w:val="clear" w:pos="794"/>
        <w:tab w:val="clear" w:pos="1191"/>
        <w:tab w:val="clear" w:pos="1588"/>
        <w:tab w:val="clear" w:pos="1985"/>
        <w:tab w:val="left" w:pos="1134"/>
        <w:tab w:val="left" w:pos="1871"/>
        <w:tab w:val="left" w:pos="2268"/>
      </w:tabs>
      <w:spacing w:before="560" w:after="120"/>
      <w:jc w:val="center"/>
    </w:pPr>
    <w:rPr>
      <w:caps/>
      <w:sz w:val="22"/>
      <w:lang w:val="ru-RU"/>
    </w:rPr>
  </w:style>
  <w:style w:type="paragraph" w:customStyle="1" w:styleId="FiguretitleBR">
    <w:name w:val="Figure_title_BR"/>
    <w:basedOn w:val="TabletitleBR"/>
    <w:next w:val="Figurewithouttitle"/>
    <w:rsid w:val="00E97717"/>
    <w:pPr>
      <w:keepNext w:val="0"/>
      <w:spacing w:after="480"/>
    </w:pPr>
  </w:style>
  <w:style w:type="paragraph" w:customStyle="1" w:styleId="FigureNoBR">
    <w:name w:val="Figure_No_BR"/>
    <w:basedOn w:val="Normal"/>
    <w:next w:val="FiguretitleBR"/>
    <w:rsid w:val="00E97717"/>
    <w:pPr>
      <w:keepNext/>
      <w:keepLines/>
      <w:tabs>
        <w:tab w:val="clear" w:pos="794"/>
        <w:tab w:val="clear" w:pos="1191"/>
        <w:tab w:val="clear" w:pos="1588"/>
        <w:tab w:val="clear" w:pos="1985"/>
        <w:tab w:val="left" w:pos="1134"/>
        <w:tab w:val="left" w:pos="1871"/>
        <w:tab w:val="left" w:pos="2268"/>
      </w:tabs>
      <w:spacing w:before="480" w:after="120"/>
      <w:jc w:val="center"/>
    </w:pPr>
    <w:rPr>
      <w:caps/>
      <w:sz w:val="22"/>
      <w:lang w:val="ru-RU"/>
    </w:rPr>
  </w:style>
  <w:style w:type="paragraph" w:styleId="BalloonText">
    <w:name w:val="Balloon Text"/>
    <w:basedOn w:val="Normal"/>
    <w:link w:val="BalloonTextChar"/>
    <w:rsid w:val="00E97717"/>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lang w:val="ru-RU"/>
    </w:rPr>
  </w:style>
  <w:style w:type="character" w:customStyle="1" w:styleId="BalloonTextChar">
    <w:name w:val="Balloon Text Char"/>
    <w:basedOn w:val="DefaultParagraphFont"/>
    <w:link w:val="BalloonText"/>
    <w:rsid w:val="00E97717"/>
    <w:rPr>
      <w:rFonts w:ascii="Tahoma" w:hAnsi="Tahoma" w:cs="Tahoma"/>
      <w:sz w:val="16"/>
      <w:szCs w:val="16"/>
      <w:lang w:val="ru-RU" w:eastAsia="en-US"/>
    </w:rPr>
  </w:style>
  <w:style w:type="character" w:customStyle="1" w:styleId="SourceChar">
    <w:name w:val="Source Char"/>
    <w:link w:val="Source"/>
    <w:locked/>
    <w:rsid w:val="00E97717"/>
    <w:rPr>
      <w:b/>
      <w:sz w:val="28"/>
      <w:lang w:val="en-GB" w:eastAsia="en-US"/>
    </w:rPr>
  </w:style>
  <w:style w:type="character" w:customStyle="1" w:styleId="AnnexNoChar">
    <w:name w:val="Annex_No Char"/>
    <w:link w:val="AnnexNo"/>
    <w:locked/>
    <w:rsid w:val="00E97717"/>
    <w:rPr>
      <w:caps/>
      <w:sz w:val="28"/>
      <w:lang w:val="en-GB" w:eastAsia="en-US"/>
    </w:rPr>
  </w:style>
  <w:style w:type="character" w:customStyle="1" w:styleId="AnnextitleChar1">
    <w:name w:val="Annex_title Char1"/>
    <w:link w:val="Annextitle"/>
    <w:locked/>
    <w:rsid w:val="00E97717"/>
    <w:rPr>
      <w:rFonts w:ascii="Times New Roman Bold" w:hAnsi="Times New Roman Bold"/>
      <w:b/>
      <w:sz w:val="28"/>
      <w:lang w:val="en-GB" w:eastAsia="en-US"/>
    </w:rPr>
  </w:style>
  <w:style w:type="character" w:customStyle="1" w:styleId="ArtNoChar">
    <w:name w:val="Art_No Char"/>
    <w:link w:val="ArtNo"/>
    <w:locked/>
    <w:rsid w:val="00E97717"/>
    <w:rPr>
      <w:sz w:val="28"/>
      <w:lang w:val="fr-FR" w:eastAsia="en-US"/>
    </w:rPr>
  </w:style>
  <w:style w:type="character" w:customStyle="1" w:styleId="ArttitleCar">
    <w:name w:val="Art_title Car"/>
    <w:link w:val="Arttitle"/>
    <w:locked/>
    <w:rsid w:val="00E97717"/>
    <w:rPr>
      <w:b/>
      <w:sz w:val="28"/>
      <w:lang w:val="fr-FR" w:eastAsia="en-US"/>
    </w:rPr>
  </w:style>
  <w:style w:type="character" w:customStyle="1" w:styleId="AppendixNoCar">
    <w:name w:val="Appendix_No Car"/>
    <w:link w:val="AppendixNo"/>
    <w:locked/>
    <w:rsid w:val="00E97717"/>
    <w:rPr>
      <w:caps/>
      <w:sz w:val="28"/>
      <w:lang w:val="en-GB" w:eastAsia="en-US"/>
    </w:rPr>
  </w:style>
  <w:style w:type="character" w:customStyle="1" w:styleId="AppendixtitleChar">
    <w:name w:val="Appendix_title Char"/>
    <w:link w:val="Appendixtitle"/>
    <w:locked/>
    <w:rsid w:val="00E97717"/>
    <w:rPr>
      <w:rFonts w:ascii="Times New Roman Bold" w:hAnsi="Times New Roman Bold"/>
      <w:b/>
      <w:sz w:val="28"/>
      <w:lang w:val="en-GB" w:eastAsia="en-US"/>
    </w:rPr>
  </w:style>
  <w:style w:type="paragraph" w:styleId="BodyText">
    <w:name w:val="Body Text"/>
    <w:basedOn w:val="Normal"/>
    <w:link w:val="BodyTextChar"/>
    <w:rsid w:val="00E97717"/>
    <w:pPr>
      <w:framePr w:hSpace="181" w:wrap="around" w:vAnchor="page" w:hAnchor="margin" w:x="1" w:y="852"/>
      <w:tabs>
        <w:tab w:val="clear" w:pos="794"/>
        <w:tab w:val="clear" w:pos="1191"/>
        <w:tab w:val="clear" w:pos="1588"/>
        <w:tab w:val="clear" w:pos="1985"/>
        <w:tab w:val="left" w:pos="1134"/>
        <w:tab w:val="left" w:pos="1871"/>
        <w:tab w:val="left" w:pos="2268"/>
      </w:tabs>
      <w:jc w:val="center"/>
    </w:pPr>
    <w:rPr>
      <w:b/>
      <w:smallCaps/>
      <w:sz w:val="22"/>
      <w:lang w:val="ru-RU"/>
    </w:rPr>
  </w:style>
  <w:style w:type="character" w:customStyle="1" w:styleId="BodyTextChar">
    <w:name w:val="Body Text Char"/>
    <w:basedOn w:val="DefaultParagraphFont"/>
    <w:link w:val="BodyText"/>
    <w:rsid w:val="00E97717"/>
    <w:rPr>
      <w:b/>
      <w:smallCaps/>
      <w:sz w:val="22"/>
      <w:lang w:val="ru-RU" w:eastAsia="en-US"/>
    </w:rPr>
  </w:style>
  <w:style w:type="paragraph" w:customStyle="1" w:styleId="Booktitle">
    <w:name w:val="Book_title"/>
    <w:basedOn w:val="Normal"/>
    <w:qFormat/>
    <w:rsid w:val="00E97717"/>
    <w:pPr>
      <w:tabs>
        <w:tab w:val="clear" w:pos="794"/>
        <w:tab w:val="clear" w:pos="1191"/>
        <w:tab w:val="clear" w:pos="1588"/>
        <w:tab w:val="clear" w:pos="1985"/>
        <w:tab w:val="left" w:pos="1134"/>
        <w:tab w:val="left" w:pos="1871"/>
        <w:tab w:val="left" w:pos="2268"/>
      </w:tabs>
      <w:jc w:val="center"/>
    </w:pPr>
    <w:rPr>
      <w:b/>
      <w:bCs/>
      <w:sz w:val="26"/>
      <w:szCs w:val="28"/>
      <w:lang w:val="en-GB"/>
    </w:rPr>
  </w:style>
  <w:style w:type="character" w:customStyle="1" w:styleId="CallChar">
    <w:name w:val="Call Char"/>
    <w:link w:val="Call"/>
    <w:locked/>
    <w:rsid w:val="00E97717"/>
    <w:rPr>
      <w:i/>
      <w:sz w:val="24"/>
      <w:lang w:val="fr-FR" w:eastAsia="en-US"/>
    </w:rPr>
  </w:style>
  <w:style w:type="character" w:customStyle="1" w:styleId="ChaptitleChar">
    <w:name w:val="Chap_title Char"/>
    <w:link w:val="Chaptitle"/>
    <w:locked/>
    <w:rsid w:val="00D835E1"/>
    <w:rPr>
      <w:b/>
      <w:sz w:val="28"/>
      <w:lang w:val="fr-FR" w:eastAsia="en-US"/>
    </w:rPr>
  </w:style>
  <w:style w:type="character" w:customStyle="1" w:styleId="enumlev2Char">
    <w:name w:val="enumlev2 Char"/>
    <w:link w:val="enumlev2"/>
    <w:locked/>
    <w:rsid w:val="00E97717"/>
    <w:rPr>
      <w:sz w:val="24"/>
      <w:lang w:val="fr-FR" w:eastAsia="en-US"/>
    </w:rPr>
  </w:style>
  <w:style w:type="character" w:customStyle="1" w:styleId="EquationChar">
    <w:name w:val="Equation Char"/>
    <w:link w:val="Equation"/>
    <w:qFormat/>
    <w:locked/>
    <w:rsid w:val="00E97717"/>
    <w:rPr>
      <w:sz w:val="24"/>
      <w:lang w:val="fr-FR" w:eastAsia="en-US"/>
    </w:rPr>
  </w:style>
  <w:style w:type="character" w:customStyle="1" w:styleId="FigureNoChar">
    <w:name w:val="Figure_No Char"/>
    <w:link w:val="FigureNo"/>
    <w:locked/>
    <w:rsid w:val="00E97717"/>
    <w:rPr>
      <w:caps/>
      <w:sz w:val="18"/>
      <w:lang w:val="fr-FR" w:eastAsia="en-US"/>
    </w:rPr>
  </w:style>
  <w:style w:type="character" w:customStyle="1" w:styleId="TabletitleChar">
    <w:name w:val="Table_title Char"/>
    <w:locked/>
    <w:rsid w:val="00E97717"/>
    <w:rPr>
      <w:rFonts w:ascii="Times New Roman Bold" w:hAnsi="Times New Roman Bold"/>
      <w:b/>
      <w:lang w:val="en-GB" w:eastAsia="en-US"/>
    </w:rPr>
  </w:style>
  <w:style w:type="character" w:customStyle="1" w:styleId="FiguretitleChar">
    <w:name w:val="Figure_title Char"/>
    <w:link w:val="Figuretitle"/>
    <w:locked/>
    <w:rsid w:val="00E97717"/>
    <w:rPr>
      <w:rFonts w:ascii="Times New Roman Bold" w:hAnsi="Times New Roman Bold"/>
      <w:b/>
      <w:sz w:val="18"/>
      <w:lang w:val="fr-FR" w:eastAsia="en-US"/>
    </w:rPr>
  </w:style>
  <w:style w:type="paragraph" w:customStyle="1" w:styleId="MEP">
    <w:name w:val="MEP"/>
    <w:basedOn w:val="Normal"/>
    <w:rsid w:val="00E97717"/>
    <w:pPr>
      <w:tabs>
        <w:tab w:val="clear" w:pos="794"/>
        <w:tab w:val="clear" w:pos="1191"/>
        <w:tab w:val="clear" w:pos="1588"/>
        <w:tab w:val="clear" w:pos="1985"/>
        <w:tab w:val="left" w:pos="1134"/>
        <w:tab w:val="left" w:pos="1871"/>
        <w:tab w:val="left" w:pos="2268"/>
      </w:tabs>
      <w:spacing w:before="240"/>
      <w:jc w:val="left"/>
    </w:pPr>
    <w:rPr>
      <w:sz w:val="22"/>
    </w:rPr>
  </w:style>
  <w:style w:type="character" w:customStyle="1" w:styleId="NormalaftertitleChar0">
    <w:name w:val="Normal after title Char"/>
    <w:link w:val="Normalaftertitle0"/>
    <w:locked/>
    <w:rsid w:val="00E97717"/>
    <w:rPr>
      <w:sz w:val="24"/>
      <w:lang w:val="en-GB" w:eastAsia="en-US"/>
    </w:rPr>
  </w:style>
  <w:style w:type="character" w:customStyle="1" w:styleId="NoteChar">
    <w:name w:val="Note Char"/>
    <w:link w:val="Note"/>
    <w:qFormat/>
    <w:locked/>
    <w:rsid w:val="00E97717"/>
    <w:rPr>
      <w:sz w:val="22"/>
      <w:lang w:val="fr-FR" w:eastAsia="en-US"/>
    </w:rPr>
  </w:style>
  <w:style w:type="character" w:customStyle="1" w:styleId="Section1Char">
    <w:name w:val="Section_1 Char"/>
    <w:link w:val="Section1"/>
    <w:locked/>
    <w:rsid w:val="00E97717"/>
    <w:rPr>
      <w:b/>
      <w:sz w:val="24"/>
      <w:lang w:val="en-GB" w:eastAsia="en-US"/>
    </w:rPr>
  </w:style>
  <w:style w:type="character" w:customStyle="1" w:styleId="ProposalChar">
    <w:name w:val="Proposal Char"/>
    <w:link w:val="Proposal"/>
    <w:locked/>
    <w:rsid w:val="00E97717"/>
    <w:rPr>
      <w:rFonts w:hAnsi="Times New Roman Bold"/>
      <w:b/>
      <w:sz w:val="24"/>
      <w:lang w:val="en-GB" w:eastAsia="en-US"/>
    </w:rPr>
  </w:style>
  <w:style w:type="character" w:customStyle="1" w:styleId="ReasonsChar">
    <w:name w:val="Reasons Char"/>
    <w:link w:val="Reasons"/>
    <w:locked/>
    <w:rsid w:val="00E97717"/>
    <w:rPr>
      <w:sz w:val="24"/>
      <w:lang w:val="en-GB" w:eastAsia="en-US"/>
    </w:rPr>
  </w:style>
  <w:style w:type="character" w:customStyle="1" w:styleId="ResNoChar">
    <w:name w:val="Res_No Char"/>
    <w:link w:val="ResNo"/>
    <w:locked/>
    <w:rsid w:val="00E97717"/>
    <w:rPr>
      <w:sz w:val="28"/>
      <w:lang w:val="fr-FR" w:eastAsia="en-US"/>
    </w:rPr>
  </w:style>
  <w:style w:type="character" w:customStyle="1" w:styleId="RestitleChar">
    <w:name w:val="Res_title Char"/>
    <w:link w:val="Restitle"/>
    <w:locked/>
    <w:rsid w:val="00E97717"/>
    <w:rPr>
      <w:b/>
      <w:sz w:val="28"/>
      <w:lang w:val="fr-FR" w:eastAsia="en-US"/>
    </w:rPr>
  </w:style>
  <w:style w:type="character" w:customStyle="1" w:styleId="Section2Char">
    <w:name w:val="Section_2 Char"/>
    <w:link w:val="Section2"/>
    <w:locked/>
    <w:rsid w:val="00E97717"/>
    <w:rPr>
      <w:i/>
      <w:sz w:val="24"/>
      <w:lang w:val="en-GB" w:eastAsia="en-US"/>
    </w:rPr>
  </w:style>
  <w:style w:type="character" w:customStyle="1" w:styleId="Section3Char">
    <w:name w:val="Section_3 Char"/>
    <w:link w:val="Section3"/>
    <w:locked/>
    <w:rsid w:val="00E97717"/>
    <w:rPr>
      <w:sz w:val="24"/>
      <w:lang w:val="en-GB" w:eastAsia="en-US"/>
    </w:rPr>
  </w:style>
  <w:style w:type="table" w:styleId="TableGrid">
    <w:name w:val="Table Grid"/>
    <w:basedOn w:val="TableNormal"/>
    <w:rsid w:val="00E97717"/>
    <w:pPr>
      <w:tabs>
        <w:tab w:val="left" w:pos="1134"/>
        <w:tab w:val="left" w:pos="1871"/>
        <w:tab w:val="left" w:pos="2268"/>
      </w:tabs>
      <w:overflowPunct w:val="0"/>
      <w:autoSpaceDE w:val="0"/>
      <w:autoSpaceDN w:val="0"/>
      <w:adjustRightInd w:val="0"/>
      <w:spacing w:before="120"/>
      <w:textAlignment w:val="baseline"/>
    </w:pPr>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NoChar">
    <w:name w:val="Table_No Char"/>
    <w:link w:val="TableNo"/>
    <w:qFormat/>
    <w:locked/>
    <w:rsid w:val="00E97717"/>
    <w:rPr>
      <w:sz w:val="24"/>
      <w:lang w:val="fr-FR" w:eastAsia="en-US"/>
    </w:rPr>
  </w:style>
  <w:style w:type="character" w:customStyle="1" w:styleId="TableTextS5Char">
    <w:name w:val="Table_TextS5 Char"/>
    <w:link w:val="TableTextS5"/>
    <w:locked/>
    <w:rsid w:val="00E97717"/>
    <w:rPr>
      <w:lang w:val="en-GB" w:eastAsia="en-US"/>
    </w:rPr>
  </w:style>
  <w:style w:type="paragraph" w:customStyle="1" w:styleId="TableNote">
    <w:name w:val="TableNote"/>
    <w:basedOn w:val="Tabletext"/>
    <w:rsid w:val="00E97717"/>
    <w:pPr>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pPr>
    <w:rPr>
      <w:sz w:val="20"/>
    </w:rPr>
  </w:style>
  <w:style w:type="character" w:customStyle="1" w:styleId="Title1Char">
    <w:name w:val="Title 1 Char"/>
    <w:link w:val="Title1"/>
    <w:locked/>
    <w:rsid w:val="00E97717"/>
    <w:rPr>
      <w:caps/>
      <w:sz w:val="28"/>
      <w:lang w:val="en-GB" w:eastAsia="en-US"/>
    </w:rPr>
  </w:style>
  <w:style w:type="character" w:customStyle="1" w:styleId="hps">
    <w:name w:val="hps"/>
    <w:basedOn w:val="DefaultParagraphFont"/>
    <w:rsid w:val="00E97717"/>
  </w:style>
  <w:style w:type="character" w:customStyle="1" w:styleId="shorttext">
    <w:name w:val="short_text"/>
    <w:basedOn w:val="DefaultParagraphFont"/>
    <w:rsid w:val="00E97717"/>
  </w:style>
  <w:style w:type="paragraph" w:styleId="ListParagraph">
    <w:name w:val="List Paragraph"/>
    <w:basedOn w:val="Normal"/>
    <w:link w:val="ListParagraphChar"/>
    <w:autoRedefine/>
    <w:uiPriority w:val="34"/>
    <w:qFormat/>
    <w:rsid w:val="00E97717"/>
    <w:pPr>
      <w:numPr>
        <w:numId w:val="28"/>
      </w:numPr>
      <w:tabs>
        <w:tab w:val="clear" w:pos="794"/>
        <w:tab w:val="clear" w:pos="1191"/>
        <w:tab w:val="clear" w:pos="1588"/>
        <w:tab w:val="clear" w:pos="1985"/>
      </w:tabs>
      <w:overflowPunct/>
      <w:spacing w:before="0" w:line="360" w:lineRule="auto"/>
      <w:contextualSpacing/>
      <w:jc w:val="left"/>
      <w:textAlignment w:val="auto"/>
    </w:pPr>
    <w:rPr>
      <w:rFonts w:eastAsia="Calibri" w:cs="Arial"/>
      <w:sz w:val="22"/>
      <w:szCs w:val="22"/>
      <w:lang w:val="ru-RU"/>
    </w:rPr>
  </w:style>
  <w:style w:type="character" w:customStyle="1" w:styleId="ListParagraphChar">
    <w:name w:val="List Paragraph Char"/>
    <w:link w:val="ListParagraph"/>
    <w:uiPriority w:val="34"/>
    <w:rsid w:val="00E97717"/>
    <w:rPr>
      <w:rFonts w:eastAsia="Calibri" w:cs="Arial"/>
      <w:sz w:val="22"/>
      <w:szCs w:val="22"/>
      <w:lang w:val="ru-RU" w:eastAsia="en-US"/>
    </w:rPr>
  </w:style>
  <w:style w:type="character" w:customStyle="1" w:styleId="a">
    <w:name w:val="Гипертекстовая ссылка"/>
    <w:uiPriority w:val="99"/>
    <w:rsid w:val="00E97717"/>
    <w:rPr>
      <w:color w:val="106BBE"/>
    </w:rPr>
  </w:style>
  <w:style w:type="paragraph" w:customStyle="1" w:styleId="a0">
    <w:name w:val="Комментарий"/>
    <w:basedOn w:val="Normal"/>
    <w:next w:val="Normal"/>
    <w:uiPriority w:val="99"/>
    <w:rsid w:val="00E97717"/>
    <w:pPr>
      <w:widowControl w:val="0"/>
      <w:tabs>
        <w:tab w:val="clear" w:pos="794"/>
        <w:tab w:val="clear" w:pos="1191"/>
        <w:tab w:val="clear" w:pos="1588"/>
        <w:tab w:val="clear" w:pos="1985"/>
      </w:tabs>
      <w:overflowPunct/>
      <w:spacing w:before="75"/>
      <w:ind w:left="170"/>
      <w:jc w:val="left"/>
      <w:textAlignment w:val="auto"/>
    </w:pPr>
    <w:rPr>
      <w:rFonts w:ascii="Arial" w:eastAsia="SimSun" w:hAnsi="Arial" w:cs="Arial"/>
      <w:color w:val="353842"/>
      <w:szCs w:val="24"/>
      <w:shd w:val="clear" w:color="auto" w:fill="F0F0F0"/>
      <w:lang w:val="ru-RU" w:eastAsia="ru-RU"/>
    </w:rPr>
  </w:style>
  <w:style w:type="paragraph" w:customStyle="1" w:styleId="a1">
    <w:name w:val="Информация об изменениях документа"/>
    <w:basedOn w:val="a0"/>
    <w:next w:val="Normal"/>
    <w:uiPriority w:val="99"/>
    <w:rsid w:val="00E97717"/>
    <w:rPr>
      <w:i/>
      <w:iCs/>
    </w:rPr>
  </w:style>
  <w:style w:type="character" w:customStyle="1" w:styleId="a2">
    <w:name w:val="Основной текст_"/>
    <w:link w:val="1"/>
    <w:rsid w:val="00E97717"/>
    <w:rPr>
      <w:shd w:val="clear" w:color="auto" w:fill="FFFFFF"/>
    </w:rPr>
  </w:style>
  <w:style w:type="character" w:customStyle="1" w:styleId="ArialNarrow12pt0pt">
    <w:name w:val="Основной текст + Arial Narrow;12 pt;Интервал 0 pt"/>
    <w:rsid w:val="00E97717"/>
    <w:rPr>
      <w:rFonts w:ascii="Arial Narrow" w:eastAsia="Arial Narrow" w:hAnsi="Arial Narrow" w:cs="Arial Narrow"/>
      <w:color w:val="000000"/>
      <w:spacing w:val="5"/>
      <w:w w:val="100"/>
      <w:position w:val="0"/>
      <w:sz w:val="24"/>
      <w:szCs w:val="24"/>
      <w:shd w:val="clear" w:color="auto" w:fill="FFFFFF"/>
      <w:lang w:val="ru-RU" w:eastAsia="ru-RU" w:bidi="ru-RU"/>
    </w:rPr>
  </w:style>
  <w:style w:type="character" w:customStyle="1" w:styleId="ArialNarrow12pt0pt0">
    <w:name w:val="Основной текст + Arial Narrow;12 pt;Полужирный;Интервал 0 pt"/>
    <w:rsid w:val="00E97717"/>
    <w:rPr>
      <w:rFonts w:ascii="Arial Narrow" w:eastAsia="Arial Narrow" w:hAnsi="Arial Narrow" w:cs="Arial Narrow"/>
      <w:b/>
      <w:bCs/>
      <w:color w:val="000000"/>
      <w:spacing w:val="8"/>
      <w:w w:val="100"/>
      <w:position w:val="0"/>
      <w:sz w:val="24"/>
      <w:szCs w:val="24"/>
      <w:shd w:val="clear" w:color="auto" w:fill="FFFFFF"/>
      <w:lang w:val="ru-RU" w:eastAsia="ru-RU" w:bidi="ru-RU"/>
    </w:rPr>
  </w:style>
  <w:style w:type="paragraph" w:customStyle="1" w:styleId="1">
    <w:name w:val="Основной текст1"/>
    <w:basedOn w:val="Normal"/>
    <w:link w:val="a2"/>
    <w:rsid w:val="00E97717"/>
    <w:pPr>
      <w:widowControl w:val="0"/>
      <w:shd w:val="clear" w:color="auto" w:fill="FFFFFF"/>
      <w:tabs>
        <w:tab w:val="clear" w:pos="794"/>
        <w:tab w:val="clear" w:pos="1191"/>
        <w:tab w:val="clear" w:pos="1588"/>
        <w:tab w:val="clear" w:pos="1985"/>
      </w:tabs>
      <w:overflowPunct/>
      <w:autoSpaceDE/>
      <w:autoSpaceDN/>
      <w:adjustRightInd/>
      <w:spacing w:before="0"/>
      <w:jc w:val="left"/>
      <w:textAlignment w:val="auto"/>
    </w:pPr>
    <w:rPr>
      <w:sz w:val="20"/>
      <w:lang w:val="en-US" w:eastAsia="zh-CN"/>
    </w:rPr>
  </w:style>
  <w:style w:type="paragraph" w:customStyle="1" w:styleId="NormalLeft">
    <w:name w:val="Normal + Left"/>
    <w:aliases w:val="Before:  0 pt"/>
    <w:basedOn w:val="Normal"/>
    <w:rsid w:val="00E97717"/>
    <w:pPr>
      <w:tabs>
        <w:tab w:val="clear" w:pos="794"/>
        <w:tab w:val="clear" w:pos="1191"/>
        <w:tab w:val="clear" w:pos="1588"/>
        <w:tab w:val="clear" w:pos="1985"/>
      </w:tabs>
      <w:overflowPunct/>
      <w:autoSpaceDE/>
      <w:autoSpaceDN/>
      <w:adjustRightInd/>
      <w:spacing w:before="0"/>
      <w:jc w:val="left"/>
      <w:textAlignment w:val="auto"/>
    </w:pPr>
    <w:rPr>
      <w:lang w:val="en-US"/>
    </w:rPr>
  </w:style>
  <w:style w:type="paragraph" w:styleId="PlainText">
    <w:name w:val="Plain Text"/>
    <w:basedOn w:val="Normal"/>
    <w:link w:val="PlainTextChar"/>
    <w:uiPriority w:val="99"/>
    <w:unhideWhenUsed/>
    <w:rsid w:val="00E97717"/>
    <w:pPr>
      <w:tabs>
        <w:tab w:val="clear" w:pos="794"/>
        <w:tab w:val="clear" w:pos="1191"/>
        <w:tab w:val="clear" w:pos="1588"/>
        <w:tab w:val="clear" w:pos="1985"/>
      </w:tabs>
      <w:overflowPunct/>
      <w:autoSpaceDE/>
      <w:autoSpaceDN/>
      <w:adjustRightInd/>
      <w:spacing w:before="0"/>
      <w:jc w:val="left"/>
      <w:textAlignment w:val="auto"/>
    </w:pPr>
    <w:rPr>
      <w:rFonts w:ascii="Calibri" w:eastAsia="SimSun" w:hAnsi="Calibri"/>
      <w:sz w:val="22"/>
      <w:szCs w:val="22"/>
      <w:lang w:val="en-US" w:eastAsia="zh-CN"/>
    </w:rPr>
  </w:style>
  <w:style w:type="character" w:customStyle="1" w:styleId="PlainTextChar">
    <w:name w:val="Plain Text Char"/>
    <w:basedOn w:val="DefaultParagraphFont"/>
    <w:link w:val="PlainText"/>
    <w:uiPriority w:val="99"/>
    <w:rsid w:val="00E97717"/>
    <w:rPr>
      <w:rFonts w:ascii="Calibri" w:eastAsia="SimSun" w:hAnsi="Calibri"/>
      <w:sz w:val="22"/>
      <w:szCs w:val="22"/>
    </w:rPr>
  </w:style>
  <w:style w:type="paragraph" w:styleId="TOC9">
    <w:name w:val="toc 9"/>
    <w:basedOn w:val="Normal"/>
    <w:next w:val="Normal"/>
    <w:autoRedefine/>
    <w:uiPriority w:val="39"/>
    <w:unhideWhenUsed/>
    <w:rsid w:val="00E97717"/>
    <w:pPr>
      <w:tabs>
        <w:tab w:val="clear" w:pos="794"/>
        <w:tab w:val="clear" w:pos="1191"/>
        <w:tab w:val="clear" w:pos="1588"/>
        <w:tab w:val="clear" w:pos="1985"/>
      </w:tabs>
      <w:overflowPunct/>
      <w:autoSpaceDE/>
      <w:autoSpaceDN/>
      <w:adjustRightInd/>
      <w:spacing w:before="0" w:after="100" w:line="259" w:lineRule="auto"/>
      <w:ind w:left="1760"/>
      <w:jc w:val="left"/>
      <w:textAlignment w:val="auto"/>
    </w:pPr>
    <w:rPr>
      <w:rFonts w:ascii="Calibri" w:eastAsia="SimSun" w:hAnsi="Calibri" w:cs="Arial"/>
      <w:sz w:val="22"/>
      <w:szCs w:val="22"/>
      <w:lang w:val="en-US" w:eastAsia="zh-CN"/>
    </w:rPr>
  </w:style>
  <w:style w:type="character" w:customStyle="1" w:styleId="InternetLink">
    <w:name w:val="Internet Link"/>
    <w:basedOn w:val="DefaultParagraphFont"/>
    <w:rsid w:val="0038417F"/>
    <w:rPr>
      <w:color w:val="0000FF"/>
      <w:u w:val="single"/>
    </w:rPr>
  </w:style>
  <w:style w:type="character" w:customStyle="1" w:styleId="EquationlegendChar">
    <w:name w:val="Equation_legend Char"/>
    <w:link w:val="Equationlegend"/>
    <w:qFormat/>
    <w:locked/>
    <w:rsid w:val="0038417F"/>
    <w:rPr>
      <w:sz w:val="24"/>
      <w:lang w:eastAsia="en-US"/>
    </w:rPr>
  </w:style>
  <w:style w:type="character" w:customStyle="1" w:styleId="FootnoteAnchor">
    <w:name w:val="Footnote Anchor"/>
    <w:rsid w:val="0038417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9.bin"/><Relationship Id="rId299" Type="http://schemas.openxmlformats.org/officeDocument/2006/relationships/oleObject" Target="embeddings/oleObject134.bin"/><Relationship Id="rId303" Type="http://schemas.openxmlformats.org/officeDocument/2006/relationships/oleObject" Target="embeddings/oleObject136.bin"/><Relationship Id="rId21" Type="http://schemas.openxmlformats.org/officeDocument/2006/relationships/footer" Target="footer3.xml"/><Relationship Id="rId42" Type="http://schemas.openxmlformats.org/officeDocument/2006/relationships/image" Target="media/image12.emf"/><Relationship Id="rId63" Type="http://schemas.openxmlformats.org/officeDocument/2006/relationships/image" Target="media/image22.wmf"/><Relationship Id="rId84" Type="http://schemas.openxmlformats.org/officeDocument/2006/relationships/image" Target="media/image32.wmf"/><Relationship Id="rId138" Type="http://schemas.openxmlformats.org/officeDocument/2006/relationships/image" Target="media/image58.wmf"/><Relationship Id="rId159" Type="http://schemas.openxmlformats.org/officeDocument/2006/relationships/oleObject" Target="embeddings/oleObject68.bin"/><Relationship Id="rId324" Type="http://schemas.openxmlformats.org/officeDocument/2006/relationships/header" Target="header9.xml"/><Relationship Id="rId170" Type="http://schemas.openxmlformats.org/officeDocument/2006/relationships/image" Target="media/image74.wmf"/><Relationship Id="rId191" Type="http://schemas.openxmlformats.org/officeDocument/2006/relationships/oleObject" Target="embeddings/oleObject84.bin"/><Relationship Id="rId205" Type="http://schemas.openxmlformats.org/officeDocument/2006/relationships/oleObject" Target="embeddings/oleObject91.bin"/><Relationship Id="rId226" Type="http://schemas.openxmlformats.org/officeDocument/2006/relationships/oleObject" Target="embeddings/oleObject101.bin"/><Relationship Id="rId247" Type="http://schemas.openxmlformats.org/officeDocument/2006/relationships/image" Target="media/image110.wmf"/><Relationship Id="rId107" Type="http://schemas.openxmlformats.org/officeDocument/2006/relationships/oleObject" Target="embeddings/oleObject44.bin"/><Relationship Id="rId268" Type="http://schemas.openxmlformats.org/officeDocument/2006/relationships/oleObject" Target="embeddings/oleObject120.bin"/><Relationship Id="rId289" Type="http://schemas.openxmlformats.org/officeDocument/2006/relationships/hyperlink" Target="http://www.ecfr.gov/cgi-bin/text-idx?SID=8ff7d70cef964a24a25ff9612c757d00&amp;node=47:1.0.1.1.2.1.152.49&amp;rgn=div8" TargetMode="External"/><Relationship Id="rId11" Type="http://schemas.openxmlformats.org/officeDocument/2006/relationships/header" Target="header2.xml"/><Relationship Id="rId32" Type="http://schemas.openxmlformats.org/officeDocument/2006/relationships/image" Target="media/image7.wmf"/><Relationship Id="rId53" Type="http://schemas.openxmlformats.org/officeDocument/2006/relationships/oleObject" Target="embeddings/oleObject16.bin"/><Relationship Id="rId74" Type="http://schemas.openxmlformats.org/officeDocument/2006/relationships/oleObject" Target="embeddings/oleObject27.bin"/><Relationship Id="rId128" Type="http://schemas.openxmlformats.org/officeDocument/2006/relationships/oleObject" Target="embeddings/oleObject53.bin"/><Relationship Id="rId149" Type="http://schemas.openxmlformats.org/officeDocument/2006/relationships/oleObject" Target="embeddings/oleObject63.bin"/><Relationship Id="rId314" Type="http://schemas.openxmlformats.org/officeDocument/2006/relationships/image" Target="media/image142.png"/><Relationship Id="rId5" Type="http://schemas.openxmlformats.org/officeDocument/2006/relationships/webSettings" Target="webSettings.xml"/><Relationship Id="rId95" Type="http://schemas.openxmlformats.org/officeDocument/2006/relationships/oleObject" Target="embeddings/oleObject38.bin"/><Relationship Id="rId160" Type="http://schemas.openxmlformats.org/officeDocument/2006/relationships/image" Target="media/image69.wmf"/><Relationship Id="rId181" Type="http://schemas.openxmlformats.org/officeDocument/2006/relationships/oleObject" Target="embeddings/oleObject79.bin"/><Relationship Id="rId216" Type="http://schemas.openxmlformats.org/officeDocument/2006/relationships/image" Target="media/image97.emf"/><Relationship Id="rId237" Type="http://schemas.openxmlformats.org/officeDocument/2006/relationships/image" Target="media/image107.wmf"/><Relationship Id="rId258" Type="http://schemas.openxmlformats.org/officeDocument/2006/relationships/oleObject" Target="embeddings/oleObject115.bin"/><Relationship Id="rId279" Type="http://schemas.openxmlformats.org/officeDocument/2006/relationships/image" Target="media/image126.wmf"/><Relationship Id="rId22" Type="http://schemas.openxmlformats.org/officeDocument/2006/relationships/header" Target="header6.xml"/><Relationship Id="rId43" Type="http://schemas.openxmlformats.org/officeDocument/2006/relationships/oleObject" Target="embeddings/oleObject11.bin"/><Relationship Id="rId64" Type="http://schemas.openxmlformats.org/officeDocument/2006/relationships/oleObject" Target="embeddings/oleObject22.bin"/><Relationship Id="rId118" Type="http://schemas.openxmlformats.org/officeDocument/2006/relationships/image" Target="media/image49.wmf"/><Relationship Id="rId139" Type="http://schemas.openxmlformats.org/officeDocument/2006/relationships/oleObject" Target="embeddings/oleObject58.bin"/><Relationship Id="rId290" Type="http://schemas.openxmlformats.org/officeDocument/2006/relationships/image" Target="media/image130.emf"/><Relationship Id="rId304" Type="http://schemas.openxmlformats.org/officeDocument/2006/relationships/image" Target="media/image137.wmf"/><Relationship Id="rId325" Type="http://schemas.openxmlformats.org/officeDocument/2006/relationships/header" Target="header10.xml"/><Relationship Id="rId85" Type="http://schemas.openxmlformats.org/officeDocument/2006/relationships/oleObject" Target="embeddings/oleObject33.bin"/><Relationship Id="rId150" Type="http://schemas.openxmlformats.org/officeDocument/2006/relationships/image" Target="media/image64.wmf"/><Relationship Id="rId171" Type="http://schemas.openxmlformats.org/officeDocument/2006/relationships/oleObject" Target="embeddings/oleObject74.bin"/><Relationship Id="rId192" Type="http://schemas.openxmlformats.org/officeDocument/2006/relationships/image" Target="media/image85.wmf"/><Relationship Id="rId206" Type="http://schemas.openxmlformats.org/officeDocument/2006/relationships/image" Target="media/image92.wmf"/><Relationship Id="rId227" Type="http://schemas.openxmlformats.org/officeDocument/2006/relationships/image" Target="media/image102.wmf"/><Relationship Id="rId248" Type="http://schemas.openxmlformats.org/officeDocument/2006/relationships/oleObject" Target="embeddings/oleObject110.bin"/><Relationship Id="rId269" Type="http://schemas.openxmlformats.org/officeDocument/2006/relationships/image" Target="media/image121.wmf"/><Relationship Id="rId12" Type="http://schemas.openxmlformats.org/officeDocument/2006/relationships/hyperlink" Target="http://www.itu.int/ITU-R/go/patents/en" TargetMode="External"/><Relationship Id="rId33" Type="http://schemas.openxmlformats.org/officeDocument/2006/relationships/oleObject" Target="embeddings/oleObject6.bin"/><Relationship Id="rId108" Type="http://schemas.openxmlformats.org/officeDocument/2006/relationships/image" Target="media/image44.wmf"/><Relationship Id="rId129" Type="http://schemas.openxmlformats.org/officeDocument/2006/relationships/image" Target="media/image53.wmf"/><Relationship Id="rId280" Type="http://schemas.openxmlformats.org/officeDocument/2006/relationships/oleObject" Target="embeddings/oleObject126.bin"/><Relationship Id="rId315" Type="http://schemas.openxmlformats.org/officeDocument/2006/relationships/image" Target="media/image143.png"/><Relationship Id="rId54" Type="http://schemas.openxmlformats.org/officeDocument/2006/relationships/image" Target="media/image18.wmf"/><Relationship Id="rId75" Type="http://schemas.openxmlformats.org/officeDocument/2006/relationships/image" Target="media/image28.wmf"/><Relationship Id="rId96" Type="http://schemas.openxmlformats.org/officeDocument/2006/relationships/image" Target="media/image38.emf"/><Relationship Id="rId140" Type="http://schemas.openxmlformats.org/officeDocument/2006/relationships/image" Target="media/image59.wmf"/><Relationship Id="rId161" Type="http://schemas.openxmlformats.org/officeDocument/2006/relationships/oleObject" Target="embeddings/oleObject69.bin"/><Relationship Id="rId182" Type="http://schemas.openxmlformats.org/officeDocument/2006/relationships/image" Target="media/image80.wmf"/><Relationship Id="rId217" Type="http://schemas.openxmlformats.org/officeDocument/2006/relationships/oleObject" Target="embeddings/oleObject97.bin"/><Relationship Id="rId6" Type="http://schemas.openxmlformats.org/officeDocument/2006/relationships/footnotes" Target="footnotes.xml"/><Relationship Id="rId238" Type="http://schemas.openxmlformats.org/officeDocument/2006/relationships/oleObject" Target="embeddings/oleObject107.bin"/><Relationship Id="rId259" Type="http://schemas.openxmlformats.org/officeDocument/2006/relationships/image" Target="media/image116.wmf"/><Relationship Id="rId23" Type="http://schemas.openxmlformats.org/officeDocument/2006/relationships/header" Target="header7.xml"/><Relationship Id="rId119" Type="http://schemas.openxmlformats.org/officeDocument/2006/relationships/oleObject" Target="embeddings/oleObject50.bin"/><Relationship Id="rId270" Type="http://schemas.openxmlformats.org/officeDocument/2006/relationships/oleObject" Target="embeddings/oleObject121.bin"/><Relationship Id="rId291" Type="http://schemas.openxmlformats.org/officeDocument/2006/relationships/oleObject" Target="embeddings/oleObject130.bin"/><Relationship Id="rId305" Type="http://schemas.openxmlformats.org/officeDocument/2006/relationships/oleObject" Target="embeddings/oleObject137.bin"/><Relationship Id="rId326" Type="http://schemas.openxmlformats.org/officeDocument/2006/relationships/fontTable" Target="fontTable.xml"/><Relationship Id="rId44" Type="http://schemas.openxmlformats.org/officeDocument/2006/relationships/image" Target="media/image13.wmf"/><Relationship Id="rId65" Type="http://schemas.openxmlformats.org/officeDocument/2006/relationships/image" Target="media/image23.wmf"/><Relationship Id="rId86" Type="http://schemas.openxmlformats.org/officeDocument/2006/relationships/image" Target="media/image33.wmf"/><Relationship Id="rId130" Type="http://schemas.openxmlformats.org/officeDocument/2006/relationships/oleObject" Target="embeddings/oleObject54.bin"/><Relationship Id="rId151" Type="http://schemas.openxmlformats.org/officeDocument/2006/relationships/oleObject" Target="embeddings/oleObject64.bin"/><Relationship Id="rId172" Type="http://schemas.openxmlformats.org/officeDocument/2006/relationships/image" Target="media/image75.wmf"/><Relationship Id="rId193" Type="http://schemas.openxmlformats.org/officeDocument/2006/relationships/oleObject" Target="embeddings/oleObject85.bin"/><Relationship Id="rId207" Type="http://schemas.openxmlformats.org/officeDocument/2006/relationships/oleObject" Target="embeddings/oleObject92.bin"/><Relationship Id="rId228" Type="http://schemas.openxmlformats.org/officeDocument/2006/relationships/oleObject" Target="embeddings/oleObject102.bin"/><Relationship Id="rId249" Type="http://schemas.openxmlformats.org/officeDocument/2006/relationships/image" Target="media/image111.wmf"/><Relationship Id="rId13" Type="http://schemas.openxmlformats.org/officeDocument/2006/relationships/hyperlink" Target="http://www.itu.int/publ/R-REP/en" TargetMode="External"/><Relationship Id="rId109" Type="http://schemas.openxmlformats.org/officeDocument/2006/relationships/oleObject" Target="embeddings/oleObject45.bin"/><Relationship Id="rId260" Type="http://schemas.openxmlformats.org/officeDocument/2006/relationships/oleObject" Target="embeddings/oleObject116.bin"/><Relationship Id="rId281" Type="http://schemas.openxmlformats.org/officeDocument/2006/relationships/image" Target="media/image127.wmf"/><Relationship Id="rId316" Type="http://schemas.openxmlformats.org/officeDocument/2006/relationships/image" Target="media/image144.png"/><Relationship Id="rId34" Type="http://schemas.openxmlformats.org/officeDocument/2006/relationships/image" Target="media/image8.wmf"/><Relationship Id="rId55" Type="http://schemas.openxmlformats.org/officeDocument/2006/relationships/oleObject" Target="embeddings/oleObject17.bin"/><Relationship Id="rId76" Type="http://schemas.openxmlformats.org/officeDocument/2006/relationships/oleObject" Target="embeddings/oleObject28.bin"/><Relationship Id="rId97" Type="http://schemas.openxmlformats.org/officeDocument/2006/relationships/oleObject" Target="embeddings/oleObject39.bin"/><Relationship Id="rId120" Type="http://schemas.openxmlformats.org/officeDocument/2006/relationships/image" Target="media/image50.wmf"/><Relationship Id="rId141" Type="http://schemas.openxmlformats.org/officeDocument/2006/relationships/oleObject" Target="embeddings/oleObject59.bin"/><Relationship Id="rId7" Type="http://schemas.openxmlformats.org/officeDocument/2006/relationships/endnotes" Target="endnotes.xml"/><Relationship Id="rId162" Type="http://schemas.openxmlformats.org/officeDocument/2006/relationships/image" Target="media/image70.wmf"/><Relationship Id="rId183" Type="http://schemas.openxmlformats.org/officeDocument/2006/relationships/oleObject" Target="embeddings/oleObject80.bin"/><Relationship Id="rId218" Type="http://schemas.openxmlformats.org/officeDocument/2006/relationships/hyperlink" Target="http://wireless.fcc.gov/auctions/default.htm?job=auctions_all" TargetMode="External"/><Relationship Id="rId239" Type="http://schemas.openxmlformats.org/officeDocument/2006/relationships/image" Target="media/image108.emf"/><Relationship Id="rId250" Type="http://schemas.openxmlformats.org/officeDocument/2006/relationships/oleObject" Target="embeddings/oleObject111.bin"/><Relationship Id="rId271" Type="http://schemas.openxmlformats.org/officeDocument/2006/relationships/image" Target="media/image122.wmf"/><Relationship Id="rId292" Type="http://schemas.openxmlformats.org/officeDocument/2006/relationships/image" Target="media/image131.wmf"/><Relationship Id="rId306" Type="http://schemas.openxmlformats.org/officeDocument/2006/relationships/image" Target="media/image138.wmf"/><Relationship Id="rId24" Type="http://schemas.openxmlformats.org/officeDocument/2006/relationships/footer" Target="footer4.xml"/><Relationship Id="rId45" Type="http://schemas.openxmlformats.org/officeDocument/2006/relationships/oleObject" Target="embeddings/oleObject12.bin"/><Relationship Id="rId66" Type="http://schemas.openxmlformats.org/officeDocument/2006/relationships/oleObject" Target="embeddings/oleObject23.bin"/><Relationship Id="rId87" Type="http://schemas.openxmlformats.org/officeDocument/2006/relationships/oleObject" Target="embeddings/oleObject34.bin"/><Relationship Id="rId110" Type="http://schemas.openxmlformats.org/officeDocument/2006/relationships/image" Target="media/image45.wmf"/><Relationship Id="rId131" Type="http://schemas.openxmlformats.org/officeDocument/2006/relationships/image" Target="media/image54.png"/><Relationship Id="rId327" Type="http://schemas.openxmlformats.org/officeDocument/2006/relationships/theme" Target="theme/theme1.xml"/><Relationship Id="rId152" Type="http://schemas.openxmlformats.org/officeDocument/2006/relationships/image" Target="media/image65.wmf"/><Relationship Id="rId173" Type="http://schemas.openxmlformats.org/officeDocument/2006/relationships/oleObject" Target="embeddings/oleObject75.bin"/><Relationship Id="rId194" Type="http://schemas.openxmlformats.org/officeDocument/2006/relationships/image" Target="media/image86.wmf"/><Relationship Id="rId208" Type="http://schemas.openxmlformats.org/officeDocument/2006/relationships/image" Target="media/image93.wmf"/><Relationship Id="rId229" Type="http://schemas.openxmlformats.org/officeDocument/2006/relationships/image" Target="media/image103.wmf"/><Relationship Id="rId240" Type="http://schemas.openxmlformats.org/officeDocument/2006/relationships/oleObject" Target="embeddings/oleObject108.bin"/><Relationship Id="rId261" Type="http://schemas.openxmlformats.org/officeDocument/2006/relationships/image" Target="media/image117.wmf"/><Relationship Id="rId14" Type="http://schemas.openxmlformats.org/officeDocument/2006/relationships/image" Target="media/image3.emf"/><Relationship Id="rId30" Type="http://schemas.openxmlformats.org/officeDocument/2006/relationships/image" Target="media/image6.wmf"/><Relationship Id="rId35" Type="http://schemas.openxmlformats.org/officeDocument/2006/relationships/oleObject" Target="embeddings/oleObject7.bin"/><Relationship Id="rId56" Type="http://schemas.openxmlformats.org/officeDocument/2006/relationships/oleObject" Target="embeddings/oleObject18.bin"/><Relationship Id="rId77" Type="http://schemas.openxmlformats.org/officeDocument/2006/relationships/image" Target="media/image29.wmf"/><Relationship Id="rId100" Type="http://schemas.openxmlformats.org/officeDocument/2006/relationships/image" Target="media/image40.wmf"/><Relationship Id="rId105" Type="http://schemas.openxmlformats.org/officeDocument/2006/relationships/oleObject" Target="embeddings/oleObject43.bin"/><Relationship Id="rId126" Type="http://schemas.openxmlformats.org/officeDocument/2006/relationships/oleObject" Target="embeddings/oleObject52.bin"/><Relationship Id="rId147" Type="http://schemas.openxmlformats.org/officeDocument/2006/relationships/oleObject" Target="embeddings/oleObject62.bin"/><Relationship Id="rId168" Type="http://schemas.openxmlformats.org/officeDocument/2006/relationships/image" Target="media/image73.wmf"/><Relationship Id="rId282" Type="http://schemas.openxmlformats.org/officeDocument/2006/relationships/oleObject" Target="embeddings/oleObject127.bin"/><Relationship Id="rId312" Type="http://schemas.openxmlformats.org/officeDocument/2006/relationships/oleObject" Target="embeddings/oleObject141.bin"/><Relationship Id="rId317" Type="http://schemas.openxmlformats.org/officeDocument/2006/relationships/image" Target="media/image145.png"/><Relationship Id="rId8" Type="http://schemas.openxmlformats.org/officeDocument/2006/relationships/image" Target="media/image1.wmf"/><Relationship Id="rId51" Type="http://schemas.openxmlformats.org/officeDocument/2006/relationships/oleObject" Target="embeddings/oleObject15.bin"/><Relationship Id="rId72" Type="http://schemas.openxmlformats.org/officeDocument/2006/relationships/oleObject" Target="embeddings/oleObject26.bin"/><Relationship Id="rId93" Type="http://schemas.openxmlformats.org/officeDocument/2006/relationships/oleObject" Target="embeddings/oleObject37.bin"/><Relationship Id="rId98" Type="http://schemas.openxmlformats.org/officeDocument/2006/relationships/image" Target="media/image39.emf"/><Relationship Id="rId121" Type="http://schemas.openxmlformats.org/officeDocument/2006/relationships/oleObject" Target="embeddings/oleObject51.bin"/><Relationship Id="rId142" Type="http://schemas.openxmlformats.org/officeDocument/2006/relationships/image" Target="media/image60.wmf"/><Relationship Id="rId163" Type="http://schemas.openxmlformats.org/officeDocument/2006/relationships/oleObject" Target="embeddings/oleObject70.bin"/><Relationship Id="rId184" Type="http://schemas.openxmlformats.org/officeDocument/2006/relationships/image" Target="media/image81.wmf"/><Relationship Id="rId189" Type="http://schemas.openxmlformats.org/officeDocument/2006/relationships/oleObject" Target="embeddings/oleObject83.bin"/><Relationship Id="rId219" Type="http://schemas.openxmlformats.org/officeDocument/2006/relationships/image" Target="media/image98.wmf"/><Relationship Id="rId3" Type="http://schemas.openxmlformats.org/officeDocument/2006/relationships/styles" Target="styles.xml"/><Relationship Id="rId214" Type="http://schemas.openxmlformats.org/officeDocument/2006/relationships/image" Target="media/image96.wmf"/><Relationship Id="rId230" Type="http://schemas.openxmlformats.org/officeDocument/2006/relationships/oleObject" Target="embeddings/oleObject103.bin"/><Relationship Id="rId235" Type="http://schemas.openxmlformats.org/officeDocument/2006/relationships/image" Target="media/image106.wmf"/><Relationship Id="rId251" Type="http://schemas.openxmlformats.org/officeDocument/2006/relationships/image" Target="media/image112.wmf"/><Relationship Id="rId256" Type="http://schemas.openxmlformats.org/officeDocument/2006/relationships/oleObject" Target="embeddings/oleObject114.bin"/><Relationship Id="rId277" Type="http://schemas.openxmlformats.org/officeDocument/2006/relationships/image" Target="media/image125.wmf"/><Relationship Id="rId298" Type="http://schemas.openxmlformats.org/officeDocument/2006/relationships/image" Target="media/image134.wmf"/><Relationship Id="rId25" Type="http://schemas.openxmlformats.org/officeDocument/2006/relationships/hyperlink" Target="http://www.itu.int/ITU-D/tech/spectrum_management/docs/MODEL_FULL.pdf" TargetMode="External"/><Relationship Id="rId46" Type="http://schemas.openxmlformats.org/officeDocument/2006/relationships/image" Target="media/image14.emf"/><Relationship Id="rId67" Type="http://schemas.openxmlformats.org/officeDocument/2006/relationships/image" Target="media/image24.wmf"/><Relationship Id="rId116" Type="http://schemas.openxmlformats.org/officeDocument/2006/relationships/image" Target="media/image48.wmf"/><Relationship Id="rId137" Type="http://schemas.openxmlformats.org/officeDocument/2006/relationships/oleObject" Target="embeddings/oleObject57.bin"/><Relationship Id="rId158" Type="http://schemas.openxmlformats.org/officeDocument/2006/relationships/image" Target="media/image68.wmf"/><Relationship Id="rId272" Type="http://schemas.openxmlformats.org/officeDocument/2006/relationships/oleObject" Target="embeddings/oleObject122.bin"/><Relationship Id="rId293" Type="http://schemas.openxmlformats.org/officeDocument/2006/relationships/oleObject" Target="embeddings/oleObject131.bin"/><Relationship Id="rId302" Type="http://schemas.openxmlformats.org/officeDocument/2006/relationships/image" Target="media/image136.wmf"/><Relationship Id="rId307" Type="http://schemas.openxmlformats.org/officeDocument/2006/relationships/oleObject" Target="embeddings/oleObject138.bin"/><Relationship Id="rId323" Type="http://schemas.openxmlformats.org/officeDocument/2006/relationships/header" Target="header8.xml"/><Relationship Id="rId20" Type="http://schemas.openxmlformats.org/officeDocument/2006/relationships/header" Target="header5.xml"/><Relationship Id="rId41" Type="http://schemas.openxmlformats.org/officeDocument/2006/relationships/oleObject" Target="embeddings/oleObject10.bin"/><Relationship Id="rId62" Type="http://schemas.openxmlformats.org/officeDocument/2006/relationships/oleObject" Target="embeddings/oleObject21.bin"/><Relationship Id="rId83" Type="http://schemas.openxmlformats.org/officeDocument/2006/relationships/oleObject" Target="embeddings/oleObject32.bin"/><Relationship Id="rId88" Type="http://schemas.openxmlformats.org/officeDocument/2006/relationships/image" Target="media/image34.wmf"/><Relationship Id="rId111" Type="http://schemas.openxmlformats.org/officeDocument/2006/relationships/oleObject" Target="embeddings/oleObject46.bin"/><Relationship Id="rId132" Type="http://schemas.openxmlformats.org/officeDocument/2006/relationships/image" Target="media/image55.wmf"/><Relationship Id="rId153" Type="http://schemas.openxmlformats.org/officeDocument/2006/relationships/oleObject" Target="embeddings/oleObject65.bin"/><Relationship Id="rId174" Type="http://schemas.openxmlformats.org/officeDocument/2006/relationships/image" Target="media/image76.wmf"/><Relationship Id="rId179" Type="http://schemas.openxmlformats.org/officeDocument/2006/relationships/oleObject" Target="embeddings/oleObject78.bin"/><Relationship Id="rId195" Type="http://schemas.openxmlformats.org/officeDocument/2006/relationships/oleObject" Target="embeddings/oleObject86.bin"/><Relationship Id="rId209" Type="http://schemas.openxmlformats.org/officeDocument/2006/relationships/oleObject" Target="embeddings/oleObject93.bin"/><Relationship Id="rId190" Type="http://schemas.openxmlformats.org/officeDocument/2006/relationships/image" Target="media/image84.wmf"/><Relationship Id="rId204" Type="http://schemas.openxmlformats.org/officeDocument/2006/relationships/image" Target="media/image91.wmf"/><Relationship Id="rId220" Type="http://schemas.openxmlformats.org/officeDocument/2006/relationships/oleObject" Target="embeddings/oleObject98.bin"/><Relationship Id="rId225" Type="http://schemas.openxmlformats.org/officeDocument/2006/relationships/image" Target="media/image101.wmf"/><Relationship Id="rId241" Type="http://schemas.openxmlformats.org/officeDocument/2006/relationships/chart" Target="charts/chart1.xml"/><Relationship Id="rId246" Type="http://schemas.openxmlformats.org/officeDocument/2006/relationships/oleObject" Target="embeddings/oleObject109.bin"/><Relationship Id="rId267" Type="http://schemas.openxmlformats.org/officeDocument/2006/relationships/image" Target="media/image120.wmf"/><Relationship Id="rId288" Type="http://schemas.openxmlformats.org/officeDocument/2006/relationships/hyperlink" Target="http://transition.fcc.gov/fees/appfees.html" TargetMode="External"/><Relationship Id="rId15" Type="http://schemas.openxmlformats.org/officeDocument/2006/relationships/oleObject" Target="embeddings/oleObject2.bin"/><Relationship Id="rId36" Type="http://schemas.openxmlformats.org/officeDocument/2006/relationships/image" Target="media/image9.wmf"/><Relationship Id="rId57" Type="http://schemas.openxmlformats.org/officeDocument/2006/relationships/image" Target="media/image19.wmf"/><Relationship Id="rId106" Type="http://schemas.openxmlformats.org/officeDocument/2006/relationships/image" Target="media/image43.wmf"/><Relationship Id="rId127" Type="http://schemas.openxmlformats.org/officeDocument/2006/relationships/image" Target="media/image52.wmf"/><Relationship Id="rId262" Type="http://schemas.openxmlformats.org/officeDocument/2006/relationships/oleObject" Target="embeddings/oleObject117.bin"/><Relationship Id="rId283" Type="http://schemas.openxmlformats.org/officeDocument/2006/relationships/image" Target="media/image128.wmf"/><Relationship Id="rId313" Type="http://schemas.openxmlformats.org/officeDocument/2006/relationships/image" Target="media/image141.png"/><Relationship Id="rId318" Type="http://schemas.openxmlformats.org/officeDocument/2006/relationships/hyperlink" Target="http://www.fcc.gov/encyclopedia/advisory-committees-fcc" TargetMode="External"/><Relationship Id="rId10" Type="http://schemas.openxmlformats.org/officeDocument/2006/relationships/header" Target="header1.xml"/><Relationship Id="rId31" Type="http://schemas.openxmlformats.org/officeDocument/2006/relationships/oleObject" Target="embeddings/oleObject5.bin"/><Relationship Id="rId52" Type="http://schemas.openxmlformats.org/officeDocument/2006/relationships/image" Target="media/image17.wmf"/><Relationship Id="rId73" Type="http://schemas.openxmlformats.org/officeDocument/2006/relationships/image" Target="media/image27.wmf"/><Relationship Id="rId78" Type="http://schemas.openxmlformats.org/officeDocument/2006/relationships/oleObject" Target="embeddings/oleObject29.bin"/><Relationship Id="rId94" Type="http://schemas.openxmlformats.org/officeDocument/2006/relationships/image" Target="media/image37.emf"/><Relationship Id="rId99" Type="http://schemas.openxmlformats.org/officeDocument/2006/relationships/oleObject" Target="embeddings/oleObject40.bin"/><Relationship Id="rId101" Type="http://schemas.openxmlformats.org/officeDocument/2006/relationships/oleObject" Target="embeddings/oleObject41.bin"/><Relationship Id="rId122" Type="http://schemas.openxmlformats.org/officeDocument/2006/relationships/hyperlink" Target="https://www.itu.int/rec/R-REC-P.2040-1-201507-I/en" TargetMode="External"/><Relationship Id="rId143" Type="http://schemas.openxmlformats.org/officeDocument/2006/relationships/oleObject" Target="embeddings/oleObject60.bin"/><Relationship Id="rId148" Type="http://schemas.openxmlformats.org/officeDocument/2006/relationships/image" Target="media/image63.wmf"/><Relationship Id="rId164" Type="http://schemas.openxmlformats.org/officeDocument/2006/relationships/image" Target="media/image71.wmf"/><Relationship Id="rId169" Type="http://schemas.openxmlformats.org/officeDocument/2006/relationships/oleObject" Target="embeddings/oleObject73.bin"/><Relationship Id="rId185" Type="http://schemas.openxmlformats.org/officeDocument/2006/relationships/oleObject" Target="embeddings/oleObject81.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79.wmf"/><Relationship Id="rId210" Type="http://schemas.openxmlformats.org/officeDocument/2006/relationships/image" Target="media/image94.wmf"/><Relationship Id="rId215" Type="http://schemas.openxmlformats.org/officeDocument/2006/relationships/oleObject" Target="embeddings/oleObject96.bin"/><Relationship Id="rId236" Type="http://schemas.openxmlformats.org/officeDocument/2006/relationships/oleObject" Target="embeddings/oleObject106.bin"/><Relationship Id="rId257" Type="http://schemas.openxmlformats.org/officeDocument/2006/relationships/image" Target="media/image115.wmf"/><Relationship Id="rId278" Type="http://schemas.openxmlformats.org/officeDocument/2006/relationships/oleObject" Target="embeddings/oleObject125.bin"/><Relationship Id="rId26" Type="http://schemas.openxmlformats.org/officeDocument/2006/relationships/image" Target="media/image4.wmf"/><Relationship Id="rId231" Type="http://schemas.openxmlformats.org/officeDocument/2006/relationships/image" Target="media/image104.wmf"/><Relationship Id="rId252" Type="http://schemas.openxmlformats.org/officeDocument/2006/relationships/oleObject" Target="embeddings/oleObject112.bin"/><Relationship Id="rId273" Type="http://schemas.openxmlformats.org/officeDocument/2006/relationships/image" Target="media/image123.wmf"/><Relationship Id="rId294" Type="http://schemas.openxmlformats.org/officeDocument/2006/relationships/image" Target="media/image132.wmf"/><Relationship Id="rId308" Type="http://schemas.openxmlformats.org/officeDocument/2006/relationships/image" Target="media/image139.wmf"/><Relationship Id="rId47" Type="http://schemas.openxmlformats.org/officeDocument/2006/relationships/oleObject" Target="embeddings/oleObject13.bin"/><Relationship Id="rId68" Type="http://schemas.openxmlformats.org/officeDocument/2006/relationships/oleObject" Target="embeddings/oleObject24.bin"/><Relationship Id="rId89" Type="http://schemas.openxmlformats.org/officeDocument/2006/relationships/oleObject" Target="embeddings/oleObject35.bin"/><Relationship Id="rId112" Type="http://schemas.openxmlformats.org/officeDocument/2006/relationships/image" Target="media/image46.wmf"/><Relationship Id="rId133" Type="http://schemas.openxmlformats.org/officeDocument/2006/relationships/oleObject" Target="embeddings/oleObject55.bin"/><Relationship Id="rId154" Type="http://schemas.openxmlformats.org/officeDocument/2006/relationships/image" Target="media/image66.wmf"/><Relationship Id="rId175" Type="http://schemas.openxmlformats.org/officeDocument/2006/relationships/oleObject" Target="embeddings/oleObject76.bin"/><Relationship Id="rId196" Type="http://schemas.openxmlformats.org/officeDocument/2006/relationships/image" Target="media/image87.wmf"/><Relationship Id="rId200" Type="http://schemas.openxmlformats.org/officeDocument/2006/relationships/image" Target="media/image89.wmf"/><Relationship Id="rId16" Type="http://schemas.openxmlformats.org/officeDocument/2006/relationships/header" Target="header3.xml"/><Relationship Id="rId221" Type="http://schemas.openxmlformats.org/officeDocument/2006/relationships/image" Target="media/image99.wmf"/><Relationship Id="rId242" Type="http://schemas.openxmlformats.org/officeDocument/2006/relationships/chart" Target="charts/chart2.xml"/><Relationship Id="rId263" Type="http://schemas.openxmlformats.org/officeDocument/2006/relationships/image" Target="media/image118.wmf"/><Relationship Id="rId284" Type="http://schemas.openxmlformats.org/officeDocument/2006/relationships/oleObject" Target="embeddings/oleObject128.bin"/><Relationship Id="rId319" Type="http://schemas.openxmlformats.org/officeDocument/2006/relationships/hyperlink" Target="http://www.fcc.gov/encyclopedia/public-safety-frequency-coordinators" TargetMode="External"/><Relationship Id="rId37" Type="http://schemas.openxmlformats.org/officeDocument/2006/relationships/oleObject" Target="embeddings/oleObject8.bin"/><Relationship Id="rId58" Type="http://schemas.openxmlformats.org/officeDocument/2006/relationships/oleObject" Target="embeddings/oleObject19.bin"/><Relationship Id="rId79" Type="http://schemas.openxmlformats.org/officeDocument/2006/relationships/oleObject" Target="embeddings/oleObject30.bin"/><Relationship Id="rId102" Type="http://schemas.openxmlformats.org/officeDocument/2006/relationships/image" Target="media/image41.wmf"/><Relationship Id="rId123" Type="http://schemas.openxmlformats.org/officeDocument/2006/relationships/hyperlink" Target="https://www.itu.int/rec/R-REC-P.2109-0-201706-I/en" TargetMode="External"/><Relationship Id="rId144" Type="http://schemas.openxmlformats.org/officeDocument/2006/relationships/image" Target="media/image61.wmf"/><Relationship Id="rId90" Type="http://schemas.openxmlformats.org/officeDocument/2006/relationships/image" Target="media/image35.wmf"/><Relationship Id="rId165" Type="http://schemas.openxmlformats.org/officeDocument/2006/relationships/oleObject" Target="embeddings/oleObject71.bin"/><Relationship Id="rId186" Type="http://schemas.openxmlformats.org/officeDocument/2006/relationships/image" Target="media/image82.wmf"/><Relationship Id="rId211" Type="http://schemas.openxmlformats.org/officeDocument/2006/relationships/oleObject" Target="embeddings/oleObject94.bin"/><Relationship Id="rId232" Type="http://schemas.openxmlformats.org/officeDocument/2006/relationships/oleObject" Target="embeddings/oleObject104.bin"/><Relationship Id="rId253" Type="http://schemas.openxmlformats.org/officeDocument/2006/relationships/image" Target="media/image113.wmf"/><Relationship Id="rId274" Type="http://schemas.openxmlformats.org/officeDocument/2006/relationships/oleObject" Target="embeddings/oleObject123.bin"/><Relationship Id="rId295" Type="http://schemas.openxmlformats.org/officeDocument/2006/relationships/oleObject" Target="embeddings/oleObject132.bin"/><Relationship Id="rId309" Type="http://schemas.openxmlformats.org/officeDocument/2006/relationships/oleObject" Target="embeddings/oleObject139.bin"/><Relationship Id="rId27" Type="http://schemas.openxmlformats.org/officeDocument/2006/relationships/oleObject" Target="embeddings/oleObject3.bin"/><Relationship Id="rId48" Type="http://schemas.openxmlformats.org/officeDocument/2006/relationships/image" Target="media/image15.emf"/><Relationship Id="rId69" Type="http://schemas.openxmlformats.org/officeDocument/2006/relationships/image" Target="media/image25.wmf"/><Relationship Id="rId113" Type="http://schemas.openxmlformats.org/officeDocument/2006/relationships/oleObject" Target="embeddings/oleObject47.bin"/><Relationship Id="rId134" Type="http://schemas.openxmlformats.org/officeDocument/2006/relationships/image" Target="media/image56.wmf"/><Relationship Id="rId320" Type="http://schemas.openxmlformats.org/officeDocument/2006/relationships/hyperlink" Target="http://wireless.fcc.gov/services/index.htm?job=licensing_3&amp;id=industrial_business" TargetMode="External"/><Relationship Id="rId80" Type="http://schemas.openxmlformats.org/officeDocument/2006/relationships/image" Target="media/image30.wmf"/><Relationship Id="rId155" Type="http://schemas.openxmlformats.org/officeDocument/2006/relationships/oleObject" Target="embeddings/oleObject66.bin"/><Relationship Id="rId176" Type="http://schemas.openxmlformats.org/officeDocument/2006/relationships/image" Target="media/image77.wmf"/><Relationship Id="rId197" Type="http://schemas.openxmlformats.org/officeDocument/2006/relationships/oleObject" Target="embeddings/oleObject87.bin"/><Relationship Id="rId201" Type="http://schemas.openxmlformats.org/officeDocument/2006/relationships/oleObject" Target="embeddings/oleObject89.bin"/><Relationship Id="rId222" Type="http://schemas.openxmlformats.org/officeDocument/2006/relationships/oleObject" Target="embeddings/oleObject99.bin"/><Relationship Id="rId243" Type="http://schemas.openxmlformats.org/officeDocument/2006/relationships/chart" Target="charts/chart3.xml"/><Relationship Id="rId264" Type="http://schemas.openxmlformats.org/officeDocument/2006/relationships/oleObject" Target="embeddings/oleObject118.bin"/><Relationship Id="rId285" Type="http://schemas.openxmlformats.org/officeDocument/2006/relationships/image" Target="media/image129.wmf"/><Relationship Id="rId17" Type="http://schemas.openxmlformats.org/officeDocument/2006/relationships/header" Target="header4.xml"/><Relationship Id="rId38" Type="http://schemas.openxmlformats.org/officeDocument/2006/relationships/image" Target="media/image10.emf"/><Relationship Id="rId59" Type="http://schemas.openxmlformats.org/officeDocument/2006/relationships/image" Target="media/image20.wmf"/><Relationship Id="rId103" Type="http://schemas.openxmlformats.org/officeDocument/2006/relationships/oleObject" Target="embeddings/oleObject42.bin"/><Relationship Id="rId124" Type="http://schemas.openxmlformats.org/officeDocument/2006/relationships/hyperlink" Target="https://www.itu.int/pub/R-REP-P/publications.aspx?lang=en&amp;parent=R-REP-P.2346" TargetMode="External"/><Relationship Id="rId310" Type="http://schemas.openxmlformats.org/officeDocument/2006/relationships/image" Target="media/image140.wmf"/><Relationship Id="rId70" Type="http://schemas.openxmlformats.org/officeDocument/2006/relationships/oleObject" Target="embeddings/oleObject25.bin"/><Relationship Id="rId91" Type="http://schemas.openxmlformats.org/officeDocument/2006/relationships/oleObject" Target="embeddings/oleObject36.bin"/><Relationship Id="rId145" Type="http://schemas.openxmlformats.org/officeDocument/2006/relationships/oleObject" Target="embeddings/oleObject61.bin"/><Relationship Id="rId166" Type="http://schemas.openxmlformats.org/officeDocument/2006/relationships/image" Target="media/image72.wmf"/><Relationship Id="rId187" Type="http://schemas.openxmlformats.org/officeDocument/2006/relationships/oleObject" Target="embeddings/oleObject82.bin"/><Relationship Id="rId1" Type="http://schemas.openxmlformats.org/officeDocument/2006/relationships/customXml" Target="../customXml/item1.xml"/><Relationship Id="rId212" Type="http://schemas.openxmlformats.org/officeDocument/2006/relationships/image" Target="media/image95.wmf"/><Relationship Id="rId233" Type="http://schemas.openxmlformats.org/officeDocument/2006/relationships/image" Target="media/image105.wmf"/><Relationship Id="rId254" Type="http://schemas.openxmlformats.org/officeDocument/2006/relationships/oleObject" Target="embeddings/oleObject113.bin"/><Relationship Id="rId28" Type="http://schemas.openxmlformats.org/officeDocument/2006/relationships/image" Target="media/image5.wmf"/><Relationship Id="rId49" Type="http://schemas.openxmlformats.org/officeDocument/2006/relationships/oleObject" Target="embeddings/oleObject14.bin"/><Relationship Id="rId114" Type="http://schemas.openxmlformats.org/officeDocument/2006/relationships/image" Target="media/image47.wmf"/><Relationship Id="rId275" Type="http://schemas.openxmlformats.org/officeDocument/2006/relationships/image" Target="media/image124.wmf"/><Relationship Id="rId296" Type="http://schemas.openxmlformats.org/officeDocument/2006/relationships/image" Target="media/image133.wmf"/><Relationship Id="rId300" Type="http://schemas.openxmlformats.org/officeDocument/2006/relationships/image" Target="media/image135.wmf"/><Relationship Id="rId60" Type="http://schemas.openxmlformats.org/officeDocument/2006/relationships/oleObject" Target="embeddings/oleObject20.bin"/><Relationship Id="rId81" Type="http://schemas.openxmlformats.org/officeDocument/2006/relationships/oleObject" Target="embeddings/oleObject31.bin"/><Relationship Id="rId135" Type="http://schemas.openxmlformats.org/officeDocument/2006/relationships/oleObject" Target="embeddings/oleObject56.bin"/><Relationship Id="rId156" Type="http://schemas.openxmlformats.org/officeDocument/2006/relationships/image" Target="media/image67.wmf"/><Relationship Id="rId177" Type="http://schemas.openxmlformats.org/officeDocument/2006/relationships/oleObject" Target="embeddings/oleObject77.bin"/><Relationship Id="rId198" Type="http://schemas.openxmlformats.org/officeDocument/2006/relationships/image" Target="media/image88.wmf"/><Relationship Id="rId321" Type="http://schemas.openxmlformats.org/officeDocument/2006/relationships/hyperlink" Target="https://www.amazon.com/Radio-Spectrum-Management-Regulations-Techniques/dp/1118511794" TargetMode="External"/><Relationship Id="rId202" Type="http://schemas.openxmlformats.org/officeDocument/2006/relationships/image" Target="media/image90.wmf"/><Relationship Id="rId223" Type="http://schemas.openxmlformats.org/officeDocument/2006/relationships/image" Target="media/image100.wmf"/><Relationship Id="rId244" Type="http://schemas.openxmlformats.org/officeDocument/2006/relationships/hyperlink" Target="http://www.multitran.ru/c/m.exe?t=5846411_1_2&amp;s1=%D1%EE%E1%F0%E0%ED%E8%E5%20%E7%E0%EA%EE%ED%EE%E4%E0%F2%E5%EB%FC%F1%F2%E2%E0" TargetMode="External"/><Relationship Id="rId18" Type="http://schemas.openxmlformats.org/officeDocument/2006/relationships/footer" Target="footer1.xml"/><Relationship Id="rId39" Type="http://schemas.openxmlformats.org/officeDocument/2006/relationships/oleObject" Target="embeddings/oleObject9.bin"/><Relationship Id="rId265" Type="http://schemas.openxmlformats.org/officeDocument/2006/relationships/image" Target="media/image119.wmf"/><Relationship Id="rId286" Type="http://schemas.openxmlformats.org/officeDocument/2006/relationships/oleObject" Target="embeddings/oleObject129.bin"/><Relationship Id="rId50" Type="http://schemas.openxmlformats.org/officeDocument/2006/relationships/image" Target="media/image16.wmf"/><Relationship Id="rId104" Type="http://schemas.openxmlformats.org/officeDocument/2006/relationships/image" Target="media/image42.wmf"/><Relationship Id="rId125" Type="http://schemas.openxmlformats.org/officeDocument/2006/relationships/image" Target="media/image51.wmf"/><Relationship Id="rId146" Type="http://schemas.openxmlformats.org/officeDocument/2006/relationships/image" Target="media/image62.wmf"/><Relationship Id="rId167" Type="http://schemas.openxmlformats.org/officeDocument/2006/relationships/oleObject" Target="embeddings/oleObject72.bin"/><Relationship Id="rId188" Type="http://schemas.openxmlformats.org/officeDocument/2006/relationships/image" Target="media/image83.emf"/><Relationship Id="rId311" Type="http://schemas.openxmlformats.org/officeDocument/2006/relationships/oleObject" Target="embeddings/oleObject140.bin"/><Relationship Id="rId71" Type="http://schemas.openxmlformats.org/officeDocument/2006/relationships/image" Target="media/image26.wmf"/><Relationship Id="rId92" Type="http://schemas.openxmlformats.org/officeDocument/2006/relationships/image" Target="media/image36.emf"/><Relationship Id="rId213" Type="http://schemas.openxmlformats.org/officeDocument/2006/relationships/oleObject" Target="embeddings/oleObject95.bin"/><Relationship Id="rId234" Type="http://schemas.openxmlformats.org/officeDocument/2006/relationships/oleObject" Target="embeddings/oleObject105.bin"/><Relationship Id="rId2" Type="http://schemas.openxmlformats.org/officeDocument/2006/relationships/numbering" Target="numbering.xml"/><Relationship Id="rId29" Type="http://schemas.openxmlformats.org/officeDocument/2006/relationships/oleObject" Target="embeddings/oleObject4.bin"/><Relationship Id="rId255" Type="http://schemas.openxmlformats.org/officeDocument/2006/relationships/image" Target="media/image114.wmf"/><Relationship Id="rId276" Type="http://schemas.openxmlformats.org/officeDocument/2006/relationships/oleObject" Target="embeddings/oleObject124.bin"/><Relationship Id="rId297" Type="http://schemas.openxmlformats.org/officeDocument/2006/relationships/oleObject" Target="embeddings/oleObject133.bin"/><Relationship Id="rId40" Type="http://schemas.openxmlformats.org/officeDocument/2006/relationships/image" Target="media/image11.emf"/><Relationship Id="rId115" Type="http://schemas.openxmlformats.org/officeDocument/2006/relationships/oleObject" Target="embeddings/oleObject48.bin"/><Relationship Id="rId136" Type="http://schemas.openxmlformats.org/officeDocument/2006/relationships/image" Target="media/image57.wmf"/><Relationship Id="rId157" Type="http://schemas.openxmlformats.org/officeDocument/2006/relationships/oleObject" Target="embeddings/oleObject67.bin"/><Relationship Id="rId178" Type="http://schemas.openxmlformats.org/officeDocument/2006/relationships/image" Target="media/image78.wmf"/><Relationship Id="rId301" Type="http://schemas.openxmlformats.org/officeDocument/2006/relationships/oleObject" Target="embeddings/oleObject135.bin"/><Relationship Id="rId322" Type="http://schemas.openxmlformats.org/officeDocument/2006/relationships/hyperlink" Target="http://www.itu.int/en/ITU-D/Spectrum-Broadcasting/Documents/Publications/Guidelines_SpectrumFees_Final_E.pdf" TargetMode="External"/><Relationship Id="rId61" Type="http://schemas.openxmlformats.org/officeDocument/2006/relationships/image" Target="media/image21.wmf"/><Relationship Id="rId82" Type="http://schemas.openxmlformats.org/officeDocument/2006/relationships/image" Target="media/image31.wmf"/><Relationship Id="rId199" Type="http://schemas.openxmlformats.org/officeDocument/2006/relationships/oleObject" Target="embeddings/oleObject88.bin"/><Relationship Id="rId203" Type="http://schemas.openxmlformats.org/officeDocument/2006/relationships/oleObject" Target="embeddings/oleObject90.bin"/><Relationship Id="rId19" Type="http://schemas.openxmlformats.org/officeDocument/2006/relationships/footer" Target="footer2.xml"/><Relationship Id="rId224" Type="http://schemas.openxmlformats.org/officeDocument/2006/relationships/oleObject" Target="embeddings/oleObject100.bin"/><Relationship Id="rId245" Type="http://schemas.openxmlformats.org/officeDocument/2006/relationships/image" Target="media/image109.wmf"/><Relationship Id="rId266" Type="http://schemas.openxmlformats.org/officeDocument/2006/relationships/oleObject" Target="embeddings/oleObject119.bin"/><Relationship Id="rId287" Type="http://schemas.openxmlformats.org/officeDocument/2006/relationships/hyperlink" Target="http://www.ofcom.org.uk/research/radiocomms/reports/policy_report/evaluation_report_AIP.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whitehouse.gov/the-press-office/2013/06/14/presidential-memorandum-expanding-americas-leadership-wireless-innovatio" TargetMode="External"/><Relationship Id="rId2" Type="http://schemas.openxmlformats.org/officeDocument/2006/relationships/hyperlink" Target="https://www.itu.int/pub/R-REP-SM/publications.aspx?lang=en&amp;parent=R-REP-SM.2404" TargetMode="External"/><Relationship Id="rId1" Type="http://schemas.openxmlformats.org/officeDocument/2006/relationships/hyperlink" Target="http://handle.itu.int/11.1004/020.1000/5.21.61.en.100" TargetMode="External"/><Relationship Id="rId4" Type="http://schemas.openxmlformats.org/officeDocument/2006/relationships/hyperlink" Target="https://www.itu.int/en/ITU-D/Spectrum-Broadcasting/Documents/Publications/Guidelines_SpectrumFees_Final_E.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G:\2015\&#1044;&#1086;&#1087;_&#1088;&#1072;&#1073;&#1086;&#1090;&#1072;\&#1043;&#1088;&#1072;&#1092;&#1080;&#1082;&#1080;%20&#1076;&#1083;&#1103;%20&#1074;&#1082;&#1083;&#1072;&#1076;&#1072;_07_05.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G:\2015\&#1044;&#1086;&#1087;_&#1088;&#1072;&#1073;&#1086;&#1090;&#1072;\&#1043;&#1088;&#1072;&#1092;&#1080;&#1082;&#1080;%20&#1076;&#1083;&#1103;%20&#1074;&#1082;&#1083;&#1072;&#1076;&#1072;_07_05.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G:\2015\&#1044;&#1086;&#1087;_&#1088;&#1072;&#1073;&#1086;&#1090;&#1072;\&#1043;&#1088;&#1072;&#1092;&#1080;&#1082;&#1080;%20&#1076;&#1083;&#1103;%20&#1074;&#1082;&#1083;&#1072;&#1076;&#1072;_07_05.xlsx" TargetMode="External"/><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gradFill>
              <a:gsLst>
                <a:gs pos="0">
                  <a:schemeClr val="tx2">
                    <a:lumMod val="75000"/>
                  </a:schemeClr>
                </a:gs>
                <a:gs pos="50000">
                  <a:schemeClr val="tx2">
                    <a:lumMod val="60000"/>
                    <a:lumOff val="40000"/>
                  </a:schemeClr>
                </a:gs>
                <a:gs pos="100000">
                  <a:schemeClr val="tx2">
                    <a:lumMod val="20000"/>
                    <a:lumOff val="80000"/>
                  </a:schemeClr>
                </a:gs>
              </a:gsLst>
              <a:lin ang="5400000" scaled="0"/>
            </a:gradFill>
            <a:scene3d>
              <a:camera prst="orthographicFront"/>
              <a:lightRig rig="threePt" dir="t"/>
            </a:scene3d>
            <a:sp3d>
              <a:bevelT/>
            </a:sp3d>
          </c:spPr>
          <c:invertIfNegative val="0"/>
          <c:dPt>
            <c:idx val="8"/>
            <c:invertIfNegative val="0"/>
            <c:bubble3D val="0"/>
            <c:spPr>
              <a:gradFill>
                <a:gsLst>
                  <a:gs pos="0">
                    <a:schemeClr val="accent6">
                      <a:lumMod val="75000"/>
                    </a:schemeClr>
                  </a:gs>
                  <a:gs pos="50000">
                    <a:schemeClr val="accent6">
                      <a:lumMod val="60000"/>
                      <a:lumOff val="40000"/>
                    </a:schemeClr>
                  </a:gs>
                  <a:gs pos="100000">
                    <a:schemeClr val="accent6">
                      <a:lumMod val="20000"/>
                      <a:lumOff val="80000"/>
                    </a:schemeClr>
                  </a:gs>
                </a:gsLst>
                <a:lin ang="5400000" scaled="0"/>
              </a:gra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6AA8-43E4-BB32-9CAA5777174A}"/>
              </c:ext>
            </c:extLst>
          </c:dPt>
          <c:dLbls>
            <c:dLbl>
              <c:idx val="7"/>
              <c:layout/>
              <c:tx>
                <c:rich>
                  <a:bodyPr/>
                  <a:lstStyle/>
                  <a:p>
                    <a:r>
                      <a:rPr lang="en-US"/>
                      <a:t>100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6AA8-43E4-BB32-9CAA5777174A}"/>
                </c:ext>
                <c:ext xmlns:c15="http://schemas.microsoft.com/office/drawing/2012/chart" uri="{CE6537A1-D6FC-4f65-9D91-7224C49458BB}">
                  <c15:layout/>
                </c:ext>
              </c:extLst>
            </c:dLbl>
            <c:dLbl>
              <c:idx val="8"/>
              <c:layout/>
              <c:tx>
                <c:rich>
                  <a:bodyPr/>
                  <a:lstStyle/>
                  <a:p>
                    <a:r>
                      <a:rPr lang="en-US"/>
                      <a:t>167</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6AA8-43E4-BB32-9CAA5777174A}"/>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'Рис 1'!$A$2:$A$10</c:f>
              <c:strCache>
                <c:ptCount val="9"/>
                <c:pt idx="0">
                  <c:v>IMT-MC-450</c:v>
                </c:pt>
                <c:pt idx="1">
                  <c:v>GSM-900,1800</c:v>
                </c:pt>
                <c:pt idx="2">
                  <c:v>UMTS</c:v>
                </c:pt>
                <c:pt idx="3">
                  <c:v>DTV &amp; ATV</c:v>
                </c:pt>
                <c:pt idx="4">
                  <c:v>WiMAX</c:v>
                </c:pt>
                <c:pt idx="5">
                  <c:v>LTE</c:v>
                </c:pt>
                <c:pt idx="6">
                  <c:v>IEEE 802.11</c:v>
                </c:pt>
                <c:pt idx="7">
                  <c:v>Radar</c:v>
                </c:pt>
                <c:pt idx="8">
                  <c:v>ESSS</c:v>
                </c:pt>
              </c:strCache>
            </c:strRef>
          </c:cat>
          <c:val>
            <c:numRef>
              <c:f>'Рис 1'!$B$2:$B$10</c:f>
              <c:numCache>
                <c:formatCode>General</c:formatCode>
                <c:ptCount val="9"/>
                <c:pt idx="0">
                  <c:v>2</c:v>
                </c:pt>
                <c:pt idx="1">
                  <c:v>4.8600000000000003</c:v>
                </c:pt>
                <c:pt idx="2">
                  <c:v>6</c:v>
                </c:pt>
                <c:pt idx="3">
                  <c:v>8</c:v>
                </c:pt>
                <c:pt idx="4">
                  <c:v>10</c:v>
                </c:pt>
                <c:pt idx="5">
                  <c:v>20</c:v>
                </c:pt>
                <c:pt idx="6">
                  <c:v>40</c:v>
                </c:pt>
                <c:pt idx="7">
                  <c:v>55</c:v>
                </c:pt>
                <c:pt idx="8">
                  <c:v>70</c:v>
                </c:pt>
              </c:numCache>
            </c:numRef>
          </c:val>
          <c:extLst xmlns:c16r2="http://schemas.microsoft.com/office/drawing/2015/06/chart">
            <c:ext xmlns:c16="http://schemas.microsoft.com/office/drawing/2014/chart" uri="{C3380CC4-5D6E-409C-BE32-E72D297353CC}">
              <c16:uniqueId val="{00000003-6AA8-43E4-BB32-9CAA5777174A}"/>
            </c:ext>
          </c:extLst>
        </c:ser>
        <c:dLbls>
          <c:showLegendKey val="0"/>
          <c:showVal val="0"/>
          <c:showCatName val="0"/>
          <c:showSerName val="0"/>
          <c:showPercent val="0"/>
          <c:showBubbleSize val="0"/>
        </c:dLbls>
        <c:gapWidth val="100"/>
        <c:axId val="1033669136"/>
        <c:axId val="585653072"/>
      </c:barChart>
      <c:catAx>
        <c:axId val="1033669136"/>
        <c:scaling>
          <c:orientation val="minMax"/>
        </c:scaling>
        <c:delete val="0"/>
        <c:axPos val="b"/>
        <c:numFmt formatCode="General" sourceLinked="0"/>
        <c:majorTickMark val="out"/>
        <c:minorTickMark val="none"/>
        <c:tickLblPos val="nextTo"/>
        <c:crossAx val="585653072"/>
        <c:crosses val="autoZero"/>
        <c:auto val="1"/>
        <c:lblAlgn val="ctr"/>
        <c:lblOffset val="100"/>
        <c:noMultiLvlLbl val="0"/>
      </c:catAx>
      <c:valAx>
        <c:axId val="585653072"/>
        <c:scaling>
          <c:orientation val="minMax"/>
        </c:scaling>
        <c:delete val="0"/>
        <c:axPos val="l"/>
        <c:title>
          <c:tx>
            <c:rich>
              <a:bodyPr rot="0" vert="horz"/>
              <a:lstStyle/>
              <a:p>
                <a:pPr>
                  <a:defRPr sz="1200"/>
                </a:pPr>
                <a:r>
                  <a:rPr lang="en-US" sz="1200"/>
                  <a:t>MHz</a:t>
                </a:r>
              </a:p>
            </c:rich>
          </c:tx>
          <c:layout>
            <c:manualLayout>
              <c:xMode val="edge"/>
              <c:yMode val="edge"/>
              <c:x val="2.7777777777777776E-2"/>
              <c:y val="4.1188393117526978E-2"/>
            </c:manualLayout>
          </c:layout>
          <c:overlay val="0"/>
        </c:title>
        <c:numFmt formatCode="General" sourceLinked="1"/>
        <c:majorTickMark val="none"/>
        <c:minorTickMark val="none"/>
        <c:tickLblPos val="none"/>
        <c:crossAx val="1033669136"/>
        <c:crosses val="autoZero"/>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spPr>
            <a:gradFill>
              <a:gsLst>
                <a:gs pos="0">
                  <a:schemeClr val="tx2">
                    <a:lumMod val="75000"/>
                  </a:schemeClr>
                </a:gs>
                <a:gs pos="50000">
                  <a:schemeClr val="tx2">
                    <a:lumMod val="60000"/>
                    <a:lumOff val="40000"/>
                  </a:schemeClr>
                </a:gs>
                <a:gs pos="100000">
                  <a:schemeClr val="tx2">
                    <a:lumMod val="20000"/>
                    <a:lumOff val="80000"/>
                  </a:schemeClr>
                </a:gs>
              </a:gsLst>
              <a:lin ang="5400000" scaled="0"/>
            </a:gradFill>
            <a:scene3d>
              <a:camera prst="orthographicFront"/>
              <a:lightRig rig="threePt" dir="t"/>
            </a:scene3d>
            <a:sp3d>
              <a:bevelT/>
            </a:sp3d>
          </c:spPr>
          <c:invertIfNegative val="0"/>
          <c:dPt>
            <c:idx val="1"/>
            <c:invertIfNegative val="0"/>
            <c:bubble3D val="0"/>
            <c:spPr>
              <a:gradFill>
                <a:gsLst>
                  <a:gs pos="0">
                    <a:schemeClr val="accent6">
                      <a:lumMod val="75000"/>
                    </a:schemeClr>
                  </a:gs>
                  <a:gs pos="50000">
                    <a:schemeClr val="accent6">
                      <a:lumMod val="60000"/>
                      <a:lumOff val="40000"/>
                    </a:schemeClr>
                  </a:gs>
                  <a:gs pos="100000">
                    <a:schemeClr val="accent6">
                      <a:lumMod val="20000"/>
                      <a:lumOff val="80000"/>
                    </a:schemeClr>
                  </a:gs>
                </a:gsLst>
                <a:lin ang="5400000" scaled="0"/>
              </a:gra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40CC-45F4-97A2-3AF0933CC71C}"/>
              </c:ext>
            </c:extLst>
          </c:dPt>
          <c:dLbls>
            <c:dLbl>
              <c:idx val="5"/>
              <c:layout/>
              <c:tx>
                <c:rich>
                  <a:bodyPr/>
                  <a:lstStyle/>
                  <a:p>
                    <a:r>
                      <a:rPr lang="en-US"/>
                      <a:t>15260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40CC-45F4-97A2-3AF0933CC71C}"/>
                </c:ext>
                <c:ext xmlns:c15="http://schemas.microsoft.com/office/drawing/2012/chart" uri="{CE6537A1-D6FC-4f65-9D91-7224C49458BB}">
                  <c15:layout/>
                </c:ext>
              </c:extLst>
            </c:dLbl>
            <c:dLbl>
              <c:idx val="6"/>
              <c:layout/>
              <c:tx>
                <c:rich>
                  <a:bodyPr/>
                  <a:lstStyle/>
                  <a:p>
                    <a:r>
                      <a:rPr lang="en-US"/>
                      <a:t>18556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40CC-45F4-97A2-3AF0933CC71C}"/>
                </c:ext>
                <c:ext xmlns:c15="http://schemas.microsoft.com/office/drawing/2012/chart" uri="{CE6537A1-D6FC-4f65-9D91-7224C49458BB}">
                  <c15:layout/>
                </c:ext>
              </c:extLst>
            </c:dLbl>
            <c:dLbl>
              <c:idx val="7"/>
              <c:layout/>
              <c:tx>
                <c:rich>
                  <a:bodyPr/>
                  <a:lstStyle/>
                  <a:p>
                    <a:r>
                      <a:rPr lang="en-US"/>
                      <a:t>20156</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40CC-45F4-97A2-3AF0933CC71C}"/>
                </c:ext>
                <c:ext xmlns:c15="http://schemas.microsoft.com/office/drawing/2012/chart" uri="{CE6537A1-D6FC-4f65-9D91-7224C49458BB}">
                  <c15:layout/>
                </c:ext>
              </c:extLst>
            </c:dLbl>
            <c:dLbl>
              <c:idx val="8"/>
              <c:layout/>
              <c:tx>
                <c:rich>
                  <a:bodyPr/>
                  <a:lstStyle/>
                  <a:p>
                    <a:r>
                      <a:rPr lang="en-US"/>
                      <a:t>36739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40CC-45F4-97A2-3AF0933CC71C}"/>
                </c:ext>
                <c:ext xmlns:c15="http://schemas.microsoft.com/office/drawing/2012/chart" uri="{CE6537A1-D6FC-4f65-9D91-7224C49458BB}">
                  <c15:layout/>
                </c:ext>
              </c:extLst>
            </c:dLbl>
            <c:dLbl>
              <c:idx val="9"/>
              <c:layout/>
              <c:tx>
                <c:rich>
                  <a:bodyPr/>
                  <a:lstStyle/>
                  <a:p>
                    <a:r>
                      <a:rPr lang="en-US"/>
                      <a:t>47150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40CC-45F4-97A2-3AF0933CC71C}"/>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'Рис 2'!$A$2:$A$11</c:f>
              <c:strCache>
                <c:ptCount val="10"/>
                <c:pt idx="0">
                  <c:v>IEEE 802.11</c:v>
                </c:pt>
                <c:pt idx="1">
                  <c:v>ESSS</c:v>
                </c:pt>
                <c:pt idx="2">
                  <c:v>Radar</c:v>
                </c:pt>
                <c:pt idx="3">
                  <c:v>DTV &amp; ATV</c:v>
                </c:pt>
                <c:pt idx="4">
                  <c:v>WiMAX</c:v>
                </c:pt>
                <c:pt idx="5">
                  <c:v>LTE</c:v>
                </c:pt>
                <c:pt idx="6">
                  <c:v>UMTS</c:v>
                </c:pt>
                <c:pt idx="7">
                  <c:v>IMT-MC-450</c:v>
                </c:pt>
                <c:pt idx="8">
                  <c:v>GSM-900</c:v>
                </c:pt>
                <c:pt idx="9">
                  <c:v>GSM-1800</c:v>
                </c:pt>
              </c:strCache>
            </c:strRef>
          </c:cat>
          <c:val>
            <c:numRef>
              <c:f>'Рис 2'!$B$2:$B$11</c:f>
              <c:numCache>
                <c:formatCode>General</c:formatCode>
                <c:ptCount val="10"/>
                <c:pt idx="0">
                  <c:v>813</c:v>
                </c:pt>
                <c:pt idx="1">
                  <c:v>1169</c:v>
                </c:pt>
                <c:pt idx="2">
                  <c:v>2678</c:v>
                </c:pt>
                <c:pt idx="3">
                  <c:v>3126</c:v>
                </c:pt>
                <c:pt idx="4">
                  <c:v>4096</c:v>
                </c:pt>
                <c:pt idx="5">
                  <c:v>5260</c:v>
                </c:pt>
                <c:pt idx="6">
                  <c:v>8556</c:v>
                </c:pt>
                <c:pt idx="7">
                  <c:v>10156</c:v>
                </c:pt>
                <c:pt idx="8">
                  <c:v>12739</c:v>
                </c:pt>
                <c:pt idx="9">
                  <c:v>15150</c:v>
                </c:pt>
              </c:numCache>
            </c:numRef>
          </c:val>
          <c:extLst xmlns:c16r2="http://schemas.microsoft.com/office/drawing/2015/06/chart">
            <c:ext xmlns:c16="http://schemas.microsoft.com/office/drawing/2014/chart" uri="{C3380CC4-5D6E-409C-BE32-E72D297353CC}">
              <c16:uniqueId val="{00000007-40CC-45F4-97A2-3AF0933CC71C}"/>
            </c:ext>
          </c:extLst>
        </c:ser>
        <c:dLbls>
          <c:showLegendKey val="0"/>
          <c:showVal val="0"/>
          <c:showCatName val="0"/>
          <c:showSerName val="0"/>
          <c:showPercent val="0"/>
          <c:showBubbleSize val="0"/>
        </c:dLbls>
        <c:gapWidth val="100"/>
        <c:axId val="585652680"/>
        <c:axId val="1144102272"/>
      </c:barChart>
      <c:catAx>
        <c:axId val="585652680"/>
        <c:scaling>
          <c:orientation val="minMax"/>
        </c:scaling>
        <c:delete val="0"/>
        <c:axPos val="b"/>
        <c:numFmt formatCode="General" sourceLinked="0"/>
        <c:majorTickMark val="out"/>
        <c:minorTickMark val="none"/>
        <c:tickLblPos val="nextTo"/>
        <c:crossAx val="1144102272"/>
        <c:crosses val="autoZero"/>
        <c:auto val="1"/>
        <c:lblAlgn val="ctr"/>
        <c:lblOffset val="100"/>
        <c:noMultiLvlLbl val="0"/>
      </c:catAx>
      <c:valAx>
        <c:axId val="1144102272"/>
        <c:scaling>
          <c:orientation val="minMax"/>
        </c:scaling>
        <c:delete val="0"/>
        <c:axPos val="l"/>
        <c:title>
          <c:tx>
            <c:rich>
              <a:bodyPr rot="0" vert="horz"/>
              <a:lstStyle/>
              <a:p>
                <a:pPr>
                  <a:defRPr/>
                </a:pPr>
                <a:r>
                  <a:rPr lang="en-US"/>
                  <a:t>Roub.</a:t>
                </a:r>
                <a:endParaRPr lang="ru-RU"/>
              </a:p>
            </c:rich>
          </c:tx>
          <c:layout>
            <c:manualLayout>
              <c:xMode val="edge"/>
              <c:yMode val="edge"/>
              <c:x val="3.0555555555555555E-2"/>
              <c:y val="6.4336541265675118E-2"/>
            </c:manualLayout>
          </c:layout>
          <c:overlay val="0"/>
        </c:title>
        <c:numFmt formatCode="General" sourceLinked="1"/>
        <c:majorTickMark val="none"/>
        <c:minorTickMark val="none"/>
        <c:tickLblPos val="none"/>
        <c:crossAx val="585652680"/>
        <c:crosses val="autoZero"/>
        <c:crossBetween val="between"/>
      </c:valAx>
      <c:spPr>
        <a:noFill/>
        <a:ln w="25400">
          <a:noFill/>
        </a:ln>
      </c:spPr>
    </c:plotArea>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1791557305336849E-2"/>
          <c:y val="6.0123801004978106E-2"/>
          <c:w val="0.87209733158355207"/>
          <c:h val="0.60742137678213182"/>
        </c:manualLayout>
      </c:layout>
      <c:barChart>
        <c:barDir val="col"/>
        <c:grouping val="clustered"/>
        <c:varyColors val="0"/>
        <c:ser>
          <c:idx val="0"/>
          <c:order val="0"/>
          <c:spPr>
            <a:gradFill>
              <a:gsLst>
                <a:gs pos="0">
                  <a:schemeClr val="tx2">
                    <a:lumMod val="75000"/>
                  </a:schemeClr>
                </a:gs>
                <a:gs pos="50000">
                  <a:schemeClr val="tx2">
                    <a:lumMod val="60000"/>
                    <a:lumOff val="40000"/>
                  </a:schemeClr>
                </a:gs>
                <a:gs pos="100000">
                  <a:schemeClr val="tx2">
                    <a:lumMod val="20000"/>
                    <a:lumOff val="80000"/>
                  </a:schemeClr>
                </a:gs>
              </a:gsLst>
              <a:lin ang="5400000" scaled="0"/>
            </a:gradFill>
            <a:scene3d>
              <a:camera prst="orthographicFront"/>
              <a:lightRig rig="threePt" dir="t"/>
            </a:scene3d>
            <a:sp3d>
              <a:bevelT/>
            </a:sp3d>
          </c:spPr>
          <c:invertIfNegative val="0"/>
          <c:dPt>
            <c:idx val="0"/>
            <c:invertIfNegative val="0"/>
            <c:bubble3D val="0"/>
            <c:spPr>
              <a:gradFill>
                <a:gsLst>
                  <a:gs pos="0">
                    <a:schemeClr val="accent6">
                      <a:lumMod val="75000"/>
                    </a:schemeClr>
                  </a:gs>
                  <a:gs pos="50000">
                    <a:schemeClr val="accent6">
                      <a:lumMod val="60000"/>
                      <a:lumOff val="40000"/>
                    </a:schemeClr>
                  </a:gs>
                  <a:gs pos="100000">
                    <a:schemeClr val="accent6">
                      <a:lumMod val="20000"/>
                      <a:lumOff val="80000"/>
                    </a:schemeClr>
                  </a:gs>
                </a:gsLst>
                <a:lin ang="5400000" scaled="0"/>
              </a:gradFill>
              <a:scene3d>
                <a:camera prst="orthographicFront"/>
                <a:lightRig rig="threePt" dir="t"/>
              </a:scene3d>
              <a:sp3d>
                <a:bevelT/>
              </a:sp3d>
            </c:spPr>
            <c:extLst xmlns:c16r2="http://schemas.microsoft.com/office/drawing/2015/06/chart">
              <c:ext xmlns:c16="http://schemas.microsoft.com/office/drawing/2014/chart" uri="{C3380CC4-5D6E-409C-BE32-E72D297353CC}">
                <c16:uniqueId val="{00000001-8F80-44CD-9A98-2368EADCE8E4}"/>
              </c:ext>
            </c:extLst>
          </c:dPt>
          <c:dLbls>
            <c:dLbl>
              <c:idx val="3"/>
              <c:layout/>
              <c:tx>
                <c:rich>
                  <a:bodyPr/>
                  <a:lstStyle/>
                  <a:p>
                    <a:r>
                      <a:rPr lang="en-US"/>
                      <a:t>391</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F80-44CD-9A98-2368EADCE8E4}"/>
                </c:ext>
                <c:ext xmlns:c15="http://schemas.microsoft.com/office/drawing/2012/chart" uri="{CE6537A1-D6FC-4f65-9D91-7224C49458BB}">
                  <c15:layout/>
                </c:ext>
              </c:extLst>
            </c:dLbl>
            <c:dLbl>
              <c:idx val="4"/>
              <c:layout/>
              <c:tx>
                <c:rich>
                  <a:bodyPr/>
                  <a:lstStyle/>
                  <a:p>
                    <a:r>
                      <a:rPr lang="en-US"/>
                      <a:t>410</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8F80-44CD-9A98-2368EADCE8E4}"/>
                </c:ext>
                <c:ext xmlns:c15="http://schemas.microsoft.com/office/drawing/2012/chart" uri="{CE6537A1-D6FC-4f65-9D91-7224C49458BB}">
                  <c15:layout/>
                </c:ext>
              </c:extLst>
            </c:dLbl>
            <c:dLbl>
              <c:idx val="5"/>
              <c:layout/>
              <c:tx>
                <c:rich>
                  <a:bodyPr/>
                  <a:lstStyle/>
                  <a:p>
                    <a:r>
                      <a:rPr lang="en-US"/>
                      <a:t>763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8F80-44CD-9A98-2368EADCE8E4}"/>
                </c:ext>
                <c:ext xmlns:c15="http://schemas.microsoft.com/office/drawing/2012/chart" uri="{CE6537A1-D6FC-4f65-9D91-7224C49458BB}">
                  <c15:layout/>
                </c:ext>
              </c:extLst>
            </c:dLbl>
            <c:dLbl>
              <c:idx val="6"/>
              <c:layout/>
              <c:tx>
                <c:rich>
                  <a:bodyPr/>
                  <a:lstStyle/>
                  <a:p>
                    <a:r>
                      <a:rPr lang="en-US"/>
                      <a:t>3093</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8F80-44CD-9A98-2368EADCE8E4}"/>
                </c:ext>
                <c:ext xmlns:c15="http://schemas.microsoft.com/office/drawing/2012/chart" uri="{CE6537A1-D6FC-4f65-9D91-7224C49458BB}">
                  <c15:layout/>
                </c:ext>
              </c:extLst>
            </c:dLbl>
            <c:dLbl>
              <c:idx val="7"/>
              <c:layout/>
              <c:tx>
                <c:rich>
                  <a:bodyPr/>
                  <a:lstStyle/>
                  <a:p>
                    <a:r>
                      <a:rPr lang="en-US"/>
                      <a:t>7559</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8F80-44CD-9A98-2368EADCE8E4}"/>
                </c:ext>
                <c:ext xmlns:c15="http://schemas.microsoft.com/office/drawing/2012/chart" uri="{CE6537A1-D6FC-4f65-9D91-7224C49458BB}">
                  <c15:layout/>
                </c:ext>
              </c:extLst>
            </c:dLbl>
            <c:dLbl>
              <c:idx val="8"/>
              <c:layout/>
              <c:tx>
                <c:rich>
                  <a:bodyPr/>
                  <a:lstStyle/>
                  <a:p>
                    <a:r>
                      <a:rPr lang="en-US"/>
                      <a:t>9702</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8F80-44CD-9A98-2368EADCE8E4}"/>
                </c:ext>
                <c:ext xmlns:c15="http://schemas.microsoft.com/office/drawing/2012/chart" uri="{CE6537A1-D6FC-4f65-9D91-7224C49458BB}">
                  <c15:layout/>
                </c:ext>
              </c:extLst>
            </c:dLbl>
            <c:dLbl>
              <c:idx val="9"/>
              <c:layout>
                <c:manualLayout>
                  <c:x val="2.7777777777777779E-3"/>
                  <c:y val="0"/>
                </c:manualLayout>
              </c:layout>
              <c:tx>
                <c:rich>
                  <a:bodyPr/>
                  <a:lstStyle/>
                  <a:p>
                    <a:r>
                      <a:rPr lang="en-US"/>
                      <a:t>10078</a:t>
                    </a:r>
                  </a:p>
                </c:rich>
              </c:tx>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8F80-44CD-9A98-2368EADCE8E4}"/>
                </c:ex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'Рис 3'!$A$1:$A$10</c:f>
              <c:strCache>
                <c:ptCount val="10"/>
                <c:pt idx="0">
                  <c:v>ESSS</c:v>
                </c:pt>
                <c:pt idx="1">
                  <c:v>IEEE 802.11</c:v>
                </c:pt>
                <c:pt idx="2">
                  <c:v>Radar</c:v>
                </c:pt>
                <c:pt idx="3">
                  <c:v>DTV &amp; ATV</c:v>
                </c:pt>
                <c:pt idx="4">
                  <c:v>WiMAX</c:v>
                </c:pt>
                <c:pt idx="5">
                  <c:v>LTE</c:v>
                </c:pt>
                <c:pt idx="6">
                  <c:v>UMTS</c:v>
                </c:pt>
                <c:pt idx="7">
                  <c:v>GSM-900</c:v>
                </c:pt>
                <c:pt idx="8">
                  <c:v>GSM-1800</c:v>
                </c:pt>
                <c:pt idx="9">
                  <c:v>IMT-MC-450</c:v>
                </c:pt>
              </c:strCache>
            </c:strRef>
          </c:cat>
          <c:val>
            <c:numRef>
              <c:f>'Рис 3'!$B$1:$B$10</c:f>
              <c:numCache>
                <c:formatCode>General</c:formatCode>
                <c:ptCount val="10"/>
                <c:pt idx="0">
                  <c:v>7</c:v>
                </c:pt>
                <c:pt idx="1">
                  <c:v>20</c:v>
                </c:pt>
                <c:pt idx="2">
                  <c:v>27</c:v>
                </c:pt>
                <c:pt idx="3">
                  <c:v>39</c:v>
                </c:pt>
                <c:pt idx="4">
                  <c:v>46</c:v>
                </c:pt>
                <c:pt idx="5">
                  <c:v>76</c:v>
                </c:pt>
                <c:pt idx="6">
                  <c:v>103</c:v>
                </c:pt>
                <c:pt idx="7">
                  <c:v>157</c:v>
                </c:pt>
                <c:pt idx="8">
                  <c:v>194</c:v>
                </c:pt>
                <c:pt idx="9">
                  <c:v>224</c:v>
                </c:pt>
              </c:numCache>
            </c:numRef>
          </c:val>
          <c:extLst xmlns:c16r2="http://schemas.microsoft.com/office/drawing/2015/06/chart">
            <c:ext xmlns:c16="http://schemas.microsoft.com/office/drawing/2014/chart" uri="{C3380CC4-5D6E-409C-BE32-E72D297353CC}">
              <c16:uniqueId val="{00000009-8F80-44CD-9A98-2368EADCE8E4}"/>
            </c:ext>
          </c:extLst>
        </c:ser>
        <c:dLbls>
          <c:showLegendKey val="0"/>
          <c:showVal val="0"/>
          <c:showCatName val="0"/>
          <c:showSerName val="0"/>
          <c:showPercent val="0"/>
          <c:showBubbleSize val="0"/>
        </c:dLbls>
        <c:gapWidth val="100"/>
        <c:axId val="1144103056"/>
        <c:axId val="1144103448"/>
      </c:barChart>
      <c:catAx>
        <c:axId val="1144103056"/>
        <c:scaling>
          <c:orientation val="minMax"/>
        </c:scaling>
        <c:delete val="0"/>
        <c:axPos val="b"/>
        <c:numFmt formatCode="General" sourceLinked="0"/>
        <c:majorTickMark val="out"/>
        <c:minorTickMark val="none"/>
        <c:tickLblPos val="nextTo"/>
        <c:crossAx val="1144103448"/>
        <c:crosses val="autoZero"/>
        <c:auto val="1"/>
        <c:lblAlgn val="ctr"/>
        <c:lblOffset val="100"/>
        <c:noMultiLvlLbl val="0"/>
      </c:catAx>
      <c:valAx>
        <c:axId val="1144103448"/>
        <c:scaling>
          <c:orientation val="minMax"/>
        </c:scaling>
        <c:delete val="0"/>
        <c:axPos val="l"/>
        <c:title>
          <c:tx>
            <c:rich>
              <a:bodyPr rot="0" vert="horz"/>
              <a:lstStyle/>
              <a:p>
                <a:pPr>
                  <a:defRPr/>
                </a:pPr>
                <a:r>
                  <a:rPr lang="en-US"/>
                  <a:t>Roub</a:t>
                </a:r>
                <a:r>
                  <a:rPr lang="ru-RU"/>
                  <a:t>.</a:t>
                </a:r>
              </a:p>
            </c:rich>
          </c:tx>
          <c:layout>
            <c:manualLayout>
              <c:xMode val="edge"/>
              <c:yMode val="edge"/>
              <c:x val="2.2222222222222223E-2"/>
              <c:y val="3.2791003095582069E-2"/>
            </c:manualLayout>
          </c:layout>
          <c:overlay val="0"/>
        </c:title>
        <c:numFmt formatCode="General" sourceLinked="1"/>
        <c:majorTickMark val="none"/>
        <c:minorTickMark val="none"/>
        <c:tickLblPos val="none"/>
        <c:crossAx val="1144103056"/>
        <c:crosses val="autoZero"/>
        <c:crossBetween val="between"/>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C8DBC9-5B9A-4FE7-8B7B-CC01CFAF0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24</TotalTime>
  <Pages>197</Pages>
  <Words>76379</Words>
  <Characters>425718</Characters>
  <Application>Microsoft Office Word</Application>
  <DocSecurity>0</DocSecurity>
  <Lines>3547</Lines>
  <Paragraphs>1002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501095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Al-Yammouni, Hala</cp:lastModifiedBy>
  <cp:revision>10</cp:revision>
  <cp:lastPrinted>2018-11-21T15:49:00Z</cp:lastPrinted>
  <dcterms:created xsi:type="dcterms:W3CDTF">2018-07-04T07:36:00Z</dcterms:created>
  <dcterms:modified xsi:type="dcterms:W3CDTF">2018-11-21T15:56:00Z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